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7FBA37">
      <w:pPr>
        <w:jc w:val="center"/>
        <w:rPr>
          <w:rStyle w:val="164"/>
          <w:color w:val="auto"/>
          <w:woUserID w:val="0"/>
        </w:rPr>
      </w:pPr>
      <w:bookmarkStart w:id="0" w:name="_Hlk218865960"/>
      <w:bookmarkStart w:id="1" w:name="_Toc139505326"/>
      <w:bookmarkStart w:id="2" w:name="_Toc168993449"/>
      <w:bookmarkStart w:id="3" w:name="_Toc139873757"/>
    </w:p>
    <w:p w14:paraId="0A806B5B">
      <w:pPr>
        <w:jc w:val="center"/>
        <w:rPr>
          <w:rStyle w:val="164"/>
          <w:color w:val="auto"/>
          <w:woUserID w:val="0"/>
        </w:rPr>
      </w:pPr>
    </w:p>
    <w:p w14:paraId="6D009DEC">
      <w:pPr>
        <w:jc w:val="center"/>
        <w:rPr>
          <w:rStyle w:val="68"/>
          <w:rFonts w:ascii="Times New Roman" w:hAnsi="Times New Roman" w:cs="Times New Roman"/>
          <w:b/>
          <w:color w:val="auto"/>
          <w:sz w:val="52"/>
          <w:szCs w:val="52"/>
        </w:rPr>
      </w:pPr>
    </w:p>
    <w:p w14:paraId="6AE161CD">
      <w:pPr>
        <w:widowControl/>
        <w:spacing w:line="360" w:lineRule="auto"/>
        <w:jc w:val="center"/>
        <w:rPr>
          <w:rFonts w:hint="eastAsia" w:asciiTheme="minorEastAsia" w:hAnsiTheme="minorEastAsia" w:eastAsiaTheme="minorEastAsia" w:cstheme="minorEastAsia"/>
          <w:color w:val="auto"/>
          <w:spacing w:val="-20"/>
          <w:sz w:val="48"/>
          <w:szCs w:val="48"/>
          <w:lang w:eastAsia="zh-CN"/>
        </w:rPr>
      </w:pPr>
      <w:r>
        <w:rPr>
          <w:rFonts w:hint="eastAsia" w:asciiTheme="minorEastAsia" w:hAnsiTheme="minorEastAsia" w:eastAsiaTheme="minorEastAsia" w:cstheme="minorEastAsia"/>
          <w:color w:val="auto"/>
          <w:spacing w:val="-20"/>
          <w:sz w:val="48"/>
          <w:szCs w:val="48"/>
        </w:rPr>
        <w:t>赤峰</w:t>
      </w:r>
      <w:r>
        <w:rPr>
          <w:rFonts w:hint="eastAsia" w:asciiTheme="minorEastAsia" w:hAnsiTheme="minorEastAsia" w:eastAsiaTheme="minorEastAsia" w:cstheme="minorEastAsia"/>
          <w:color w:val="auto"/>
          <w:spacing w:val="-20"/>
          <w:sz w:val="48"/>
          <w:szCs w:val="48"/>
          <w:lang w:eastAsia="zh-CN"/>
        </w:rPr>
        <w:t>鑫鑫矿业有限公司</w:t>
      </w:r>
    </w:p>
    <w:p w14:paraId="6EF8426D">
      <w:pPr>
        <w:widowControl/>
        <w:spacing w:line="360" w:lineRule="auto"/>
        <w:jc w:val="center"/>
        <w:rPr>
          <w:rFonts w:ascii="Times New Roman" w:hAnsi="Times New Roman" w:eastAsia="黑体" w:cs="Times New Roman"/>
          <w:color w:val="auto"/>
          <w:spacing w:val="-20"/>
          <w:sz w:val="48"/>
          <w:szCs w:val="48"/>
        </w:rPr>
      </w:pPr>
      <w:r>
        <w:rPr>
          <w:rFonts w:hint="eastAsia" w:asciiTheme="minorEastAsia" w:hAnsiTheme="minorEastAsia" w:eastAsiaTheme="minorEastAsia" w:cstheme="minorEastAsia"/>
          <w:color w:val="auto"/>
          <w:spacing w:val="-20"/>
          <w:sz w:val="48"/>
          <w:szCs w:val="48"/>
        </w:rPr>
        <w:t>松山区初头朗镇窑沟门碎石矿</w:t>
      </w:r>
    </w:p>
    <w:p w14:paraId="0B9D91DD">
      <w:pPr>
        <w:widowControl/>
        <w:spacing w:line="360" w:lineRule="auto"/>
        <w:jc w:val="center"/>
        <w:rPr>
          <w:rFonts w:eastAsia="黑体"/>
          <w:color w:val="auto"/>
          <w:spacing w:val="-20"/>
          <w:sz w:val="52"/>
          <w:szCs w:val="52"/>
        </w:rPr>
      </w:pPr>
      <w:r>
        <w:rPr>
          <w:rFonts w:hint="eastAsia" w:eastAsia="黑体"/>
          <w:color w:val="auto"/>
          <w:spacing w:val="-20"/>
          <w:sz w:val="52"/>
          <w:szCs w:val="52"/>
        </w:rPr>
        <w:t>矿区</w:t>
      </w:r>
      <w:r>
        <w:rPr>
          <w:rFonts w:eastAsia="黑体"/>
          <w:color w:val="auto"/>
          <w:spacing w:val="-20"/>
          <w:sz w:val="52"/>
          <w:szCs w:val="52"/>
        </w:rPr>
        <w:t>生态修复方案</w:t>
      </w:r>
    </w:p>
    <w:p w14:paraId="3513CB1D">
      <w:pPr>
        <w:spacing w:line="360" w:lineRule="auto"/>
        <w:jc w:val="center"/>
        <w:rPr>
          <w:rStyle w:val="68"/>
          <w:rFonts w:ascii="Times New Roman" w:hAnsi="Times New Roman" w:eastAsia="黑体" w:cs="Times New Roman"/>
          <w:color w:val="auto"/>
          <w:sz w:val="52"/>
          <w:szCs w:val="52"/>
        </w:rPr>
      </w:pPr>
      <w:r>
        <w:rPr>
          <w:rFonts w:hint="eastAsia" w:ascii="Times New Roman" w:hAnsi="Times New Roman" w:eastAsia="黑体" w:cs="Times New Roman"/>
          <w:color w:val="auto"/>
          <w:spacing w:val="-20"/>
          <w:sz w:val="52"/>
          <w:szCs w:val="52"/>
          <w:lang w:val="en-US" w:eastAsia="zh-CN"/>
        </w:rPr>
        <w:t>（闭坑）</w:t>
      </w:r>
    </w:p>
    <w:p w14:paraId="4B960981">
      <w:pPr>
        <w:ind w:firstLine="480"/>
        <w:jc w:val="center"/>
        <w:rPr>
          <w:rStyle w:val="68"/>
          <w:rFonts w:ascii="Times New Roman" w:hAnsi="Times New Roman" w:cs="Times New Roman"/>
          <w:color w:val="auto"/>
        </w:rPr>
      </w:pPr>
    </w:p>
    <w:p w14:paraId="262DCF76">
      <w:pPr>
        <w:ind w:firstLine="480"/>
        <w:jc w:val="center"/>
        <w:rPr>
          <w:rStyle w:val="68"/>
          <w:rFonts w:ascii="Times New Roman" w:hAnsi="Times New Roman" w:cs="Times New Roman"/>
          <w:color w:val="auto"/>
        </w:rPr>
      </w:pPr>
    </w:p>
    <w:p w14:paraId="2A02C710">
      <w:pPr>
        <w:ind w:firstLine="480"/>
        <w:jc w:val="center"/>
        <w:rPr>
          <w:rStyle w:val="68"/>
          <w:rFonts w:ascii="Times New Roman" w:hAnsi="Times New Roman" w:cs="Times New Roman"/>
          <w:color w:val="auto"/>
        </w:rPr>
      </w:pPr>
    </w:p>
    <w:p w14:paraId="53DC5971">
      <w:pPr>
        <w:ind w:firstLine="480"/>
        <w:jc w:val="center"/>
        <w:rPr>
          <w:rStyle w:val="68"/>
          <w:rFonts w:ascii="Times New Roman" w:hAnsi="Times New Roman" w:cs="Times New Roman"/>
          <w:color w:val="auto"/>
        </w:rPr>
      </w:pPr>
    </w:p>
    <w:p w14:paraId="14E4823D">
      <w:pPr>
        <w:ind w:firstLine="480"/>
        <w:jc w:val="center"/>
        <w:rPr>
          <w:rStyle w:val="68"/>
          <w:rFonts w:ascii="Times New Roman" w:hAnsi="Times New Roman" w:cs="Times New Roman"/>
          <w:color w:val="auto"/>
        </w:rPr>
      </w:pPr>
    </w:p>
    <w:p w14:paraId="0B48378E">
      <w:pPr>
        <w:ind w:firstLine="480"/>
        <w:jc w:val="center"/>
        <w:rPr>
          <w:rStyle w:val="68"/>
          <w:rFonts w:ascii="Times New Roman" w:hAnsi="Times New Roman" w:cs="Times New Roman"/>
          <w:color w:val="auto"/>
        </w:rPr>
      </w:pPr>
    </w:p>
    <w:p w14:paraId="0FD98E44">
      <w:pPr>
        <w:ind w:firstLine="480"/>
        <w:jc w:val="center"/>
        <w:rPr>
          <w:rStyle w:val="68"/>
          <w:rFonts w:ascii="Times New Roman" w:hAnsi="Times New Roman" w:cs="Times New Roman"/>
          <w:color w:val="auto"/>
        </w:rPr>
      </w:pPr>
    </w:p>
    <w:p w14:paraId="2FE65DD3">
      <w:pPr>
        <w:ind w:firstLine="480"/>
        <w:jc w:val="center"/>
        <w:rPr>
          <w:rStyle w:val="68"/>
          <w:rFonts w:ascii="Times New Roman" w:hAnsi="Times New Roman" w:cs="Times New Roman"/>
          <w:color w:val="auto"/>
        </w:rPr>
      </w:pPr>
    </w:p>
    <w:p w14:paraId="3FDF2918">
      <w:pPr>
        <w:ind w:firstLine="480"/>
        <w:jc w:val="center"/>
        <w:rPr>
          <w:rStyle w:val="68"/>
          <w:rFonts w:ascii="Times New Roman" w:hAnsi="Times New Roman" w:cs="Times New Roman"/>
          <w:color w:val="auto"/>
        </w:rPr>
      </w:pPr>
    </w:p>
    <w:p w14:paraId="224BE466">
      <w:pPr>
        <w:ind w:firstLine="480"/>
        <w:jc w:val="center"/>
        <w:rPr>
          <w:rStyle w:val="68"/>
          <w:rFonts w:ascii="Times New Roman" w:hAnsi="Times New Roman" w:cs="Times New Roman"/>
          <w:color w:val="auto"/>
        </w:rPr>
      </w:pPr>
    </w:p>
    <w:p w14:paraId="102E7FF9">
      <w:pPr>
        <w:ind w:firstLine="480"/>
        <w:jc w:val="center"/>
        <w:rPr>
          <w:rStyle w:val="68"/>
          <w:rFonts w:ascii="Times New Roman" w:hAnsi="Times New Roman" w:cs="Times New Roman"/>
          <w:color w:val="auto"/>
        </w:rPr>
      </w:pPr>
    </w:p>
    <w:p w14:paraId="45AF411C">
      <w:pPr>
        <w:ind w:firstLine="480"/>
        <w:jc w:val="center"/>
        <w:rPr>
          <w:rStyle w:val="68"/>
          <w:rFonts w:ascii="Times New Roman" w:hAnsi="Times New Roman" w:cs="Times New Roman"/>
          <w:color w:val="auto"/>
        </w:rPr>
      </w:pPr>
    </w:p>
    <w:p w14:paraId="7AD4E4D2">
      <w:pPr>
        <w:ind w:firstLine="480"/>
        <w:jc w:val="center"/>
        <w:rPr>
          <w:rStyle w:val="68"/>
          <w:rFonts w:ascii="Times New Roman" w:hAnsi="Times New Roman" w:cs="Times New Roman"/>
          <w:color w:val="auto"/>
        </w:rPr>
      </w:pPr>
    </w:p>
    <w:p w14:paraId="61F23F28">
      <w:pPr>
        <w:ind w:firstLine="480"/>
        <w:jc w:val="center"/>
        <w:rPr>
          <w:rStyle w:val="68"/>
          <w:rFonts w:ascii="Times New Roman" w:hAnsi="Times New Roman" w:cs="Times New Roman"/>
          <w:color w:val="auto"/>
        </w:rPr>
      </w:pPr>
    </w:p>
    <w:p w14:paraId="50443DE8">
      <w:pPr>
        <w:ind w:firstLine="480"/>
        <w:jc w:val="center"/>
        <w:rPr>
          <w:rStyle w:val="68"/>
          <w:rFonts w:ascii="Times New Roman" w:hAnsi="Times New Roman" w:cs="Times New Roman"/>
          <w:color w:val="auto"/>
        </w:rPr>
      </w:pPr>
    </w:p>
    <w:p w14:paraId="32493357">
      <w:pPr>
        <w:ind w:firstLine="480"/>
        <w:jc w:val="center"/>
        <w:rPr>
          <w:rStyle w:val="68"/>
          <w:rFonts w:ascii="Times New Roman" w:hAnsi="Times New Roman" w:cs="Times New Roman"/>
          <w:color w:val="auto"/>
        </w:rPr>
      </w:pPr>
    </w:p>
    <w:p w14:paraId="36E1D79E">
      <w:pPr>
        <w:ind w:firstLine="480"/>
        <w:jc w:val="center"/>
        <w:rPr>
          <w:rStyle w:val="68"/>
          <w:rFonts w:ascii="Times New Roman" w:hAnsi="Times New Roman" w:cs="Times New Roman"/>
          <w:color w:val="auto"/>
        </w:rPr>
      </w:pPr>
    </w:p>
    <w:p w14:paraId="494C1A15">
      <w:pPr>
        <w:ind w:firstLine="480"/>
        <w:jc w:val="center"/>
        <w:rPr>
          <w:rStyle w:val="68"/>
          <w:rFonts w:ascii="Times New Roman" w:hAnsi="Times New Roman" w:cs="Times New Roman"/>
          <w:color w:val="auto"/>
        </w:rPr>
      </w:pPr>
    </w:p>
    <w:p w14:paraId="4C6F1DE2">
      <w:pPr>
        <w:ind w:firstLine="480"/>
        <w:jc w:val="center"/>
        <w:rPr>
          <w:rStyle w:val="68"/>
          <w:rFonts w:ascii="Times New Roman" w:hAnsi="Times New Roman" w:cs="Times New Roman"/>
          <w:color w:val="auto"/>
        </w:rPr>
      </w:pPr>
    </w:p>
    <w:p w14:paraId="36C12F73">
      <w:pPr>
        <w:ind w:firstLine="480"/>
        <w:jc w:val="center"/>
        <w:rPr>
          <w:rStyle w:val="68"/>
          <w:rFonts w:ascii="Times New Roman" w:hAnsi="Times New Roman" w:cs="Times New Roman"/>
          <w:color w:val="auto"/>
        </w:rPr>
      </w:pPr>
    </w:p>
    <w:p w14:paraId="230C7FDA">
      <w:pPr>
        <w:ind w:firstLine="480"/>
        <w:jc w:val="center"/>
        <w:rPr>
          <w:rStyle w:val="68"/>
          <w:rFonts w:ascii="Times New Roman" w:hAnsi="Times New Roman" w:cs="Times New Roman"/>
          <w:color w:val="auto"/>
        </w:rPr>
      </w:pPr>
    </w:p>
    <w:p w14:paraId="49D0DB66">
      <w:pPr>
        <w:ind w:firstLine="480"/>
        <w:jc w:val="center"/>
        <w:rPr>
          <w:rStyle w:val="68"/>
          <w:rFonts w:ascii="Times New Roman" w:hAnsi="Times New Roman" w:cs="Times New Roman"/>
          <w:color w:val="auto"/>
        </w:rPr>
      </w:pPr>
    </w:p>
    <w:p w14:paraId="2DA433F8">
      <w:pPr>
        <w:ind w:firstLine="480"/>
        <w:jc w:val="center"/>
        <w:rPr>
          <w:rStyle w:val="68"/>
          <w:rFonts w:ascii="Times New Roman" w:hAnsi="Times New Roman" w:cs="Times New Roman"/>
          <w:color w:val="auto"/>
        </w:rPr>
      </w:pPr>
    </w:p>
    <w:p w14:paraId="3B11729A">
      <w:pPr>
        <w:ind w:firstLine="480"/>
        <w:jc w:val="center"/>
        <w:rPr>
          <w:rStyle w:val="68"/>
          <w:rFonts w:ascii="Times New Roman" w:hAnsi="Times New Roman" w:cs="Times New Roman"/>
          <w:color w:val="auto"/>
        </w:rPr>
      </w:pPr>
    </w:p>
    <w:p w14:paraId="39B92FF7">
      <w:pPr>
        <w:ind w:firstLine="480"/>
        <w:jc w:val="center"/>
        <w:rPr>
          <w:rStyle w:val="68"/>
          <w:rFonts w:ascii="Times New Roman" w:hAnsi="Times New Roman" w:cs="Times New Roman"/>
          <w:color w:val="auto"/>
        </w:rPr>
      </w:pPr>
    </w:p>
    <w:p w14:paraId="0EBA2040">
      <w:pPr>
        <w:ind w:firstLine="480"/>
        <w:jc w:val="center"/>
        <w:rPr>
          <w:rStyle w:val="68"/>
          <w:rFonts w:ascii="Times New Roman" w:hAnsi="Times New Roman" w:cs="Times New Roman"/>
          <w:color w:val="auto"/>
        </w:rPr>
      </w:pPr>
    </w:p>
    <w:p w14:paraId="125FC13B">
      <w:pPr>
        <w:spacing w:line="360" w:lineRule="auto"/>
        <w:jc w:val="center"/>
        <w:rPr>
          <w:rStyle w:val="68"/>
          <w:rFonts w:hint="eastAsia" w:ascii="宋体" w:hAnsi="宋体"/>
          <w:color w:val="auto"/>
          <w:sz w:val="44"/>
          <w:szCs w:val="44"/>
          <w:lang w:val="en-US" w:eastAsia="zh-CN"/>
        </w:rPr>
      </w:pPr>
      <w:r>
        <w:rPr>
          <w:rStyle w:val="68"/>
          <w:rFonts w:hint="eastAsia" w:ascii="宋体" w:hAnsi="宋体"/>
          <w:color w:val="auto"/>
          <w:sz w:val="44"/>
          <w:szCs w:val="44"/>
          <w:lang w:val="en-US" w:eastAsia="zh-CN"/>
        </w:rPr>
        <w:t>赤峰鑫鑫矿业有限公司</w:t>
      </w:r>
    </w:p>
    <w:p w14:paraId="107D6498">
      <w:pPr>
        <w:spacing w:line="360" w:lineRule="auto"/>
        <w:jc w:val="center"/>
        <w:rPr>
          <w:rStyle w:val="68"/>
          <w:rFonts w:ascii="宋体" w:hAnsi="宋体"/>
          <w:color w:val="auto"/>
          <w:sz w:val="44"/>
          <w:szCs w:val="44"/>
        </w:rPr>
      </w:pPr>
      <w:r>
        <w:rPr>
          <w:rStyle w:val="68"/>
          <w:rFonts w:hint="eastAsia" w:ascii="宋体" w:hAnsi="宋体"/>
          <w:color w:val="auto"/>
          <w:sz w:val="44"/>
          <w:szCs w:val="44"/>
        </w:rPr>
        <w:t>2026年</w:t>
      </w:r>
      <w:r>
        <w:rPr>
          <w:rStyle w:val="68"/>
          <w:rFonts w:hint="eastAsia" w:ascii="宋体" w:hAnsi="宋体"/>
          <w:color w:val="auto"/>
          <w:sz w:val="44"/>
          <w:szCs w:val="44"/>
          <w:lang w:val="en-US" w:eastAsia="zh-CN"/>
        </w:rPr>
        <w:t>9</w:t>
      </w:r>
      <w:r>
        <w:rPr>
          <w:rStyle w:val="68"/>
          <w:rFonts w:hint="eastAsia" w:ascii="宋体" w:hAnsi="宋体"/>
          <w:color w:val="auto"/>
          <w:sz w:val="44"/>
          <w:szCs w:val="44"/>
        </w:rPr>
        <w:t>月</w:t>
      </w:r>
    </w:p>
    <w:p w14:paraId="3A6ACAA6">
      <w:pPr>
        <w:jc w:val="center"/>
        <w:rPr>
          <w:rStyle w:val="164"/>
          <w:color w:val="auto"/>
          <w:woUserID w:val="0"/>
        </w:rPr>
      </w:pPr>
    </w:p>
    <w:p w14:paraId="166B5624">
      <w:pPr>
        <w:jc w:val="center"/>
        <w:rPr>
          <w:rStyle w:val="164"/>
          <w:color w:val="auto"/>
          <w:woUserID w:val="0"/>
        </w:rPr>
      </w:pPr>
    </w:p>
    <w:p w14:paraId="29F2A63E">
      <w:pPr>
        <w:widowControl/>
        <w:jc w:val="center"/>
        <w:rPr>
          <w:rFonts w:hint="eastAsia" w:asciiTheme="minorEastAsia" w:hAnsiTheme="minorEastAsia" w:eastAsiaTheme="minorEastAsia" w:cstheme="minorEastAsia"/>
          <w:color w:val="auto"/>
          <w:spacing w:val="-20"/>
          <w:sz w:val="48"/>
          <w:szCs w:val="48"/>
          <w:lang w:eastAsia="zh-CN"/>
        </w:rPr>
      </w:pPr>
      <w:r>
        <w:rPr>
          <w:rFonts w:hint="eastAsia" w:asciiTheme="minorEastAsia" w:hAnsiTheme="minorEastAsia" w:eastAsiaTheme="minorEastAsia" w:cstheme="minorEastAsia"/>
          <w:color w:val="auto"/>
          <w:spacing w:val="-20"/>
          <w:sz w:val="48"/>
          <w:szCs w:val="48"/>
        </w:rPr>
        <w:t>赤峰</w:t>
      </w:r>
      <w:r>
        <w:rPr>
          <w:rFonts w:hint="eastAsia" w:asciiTheme="minorEastAsia" w:hAnsiTheme="minorEastAsia" w:eastAsiaTheme="minorEastAsia" w:cstheme="minorEastAsia"/>
          <w:color w:val="auto"/>
          <w:spacing w:val="-20"/>
          <w:sz w:val="48"/>
          <w:szCs w:val="48"/>
          <w:lang w:eastAsia="zh-CN"/>
        </w:rPr>
        <w:t>鑫鑫矿业有限公司</w:t>
      </w:r>
    </w:p>
    <w:p w14:paraId="19CAA989">
      <w:pPr>
        <w:widowControl/>
        <w:jc w:val="center"/>
        <w:rPr>
          <w:rFonts w:ascii="Times New Roman" w:hAnsi="Times New Roman" w:eastAsia="黑体" w:cs="Times New Roman"/>
          <w:color w:val="auto"/>
          <w:spacing w:val="-20"/>
          <w:sz w:val="48"/>
          <w:szCs w:val="48"/>
        </w:rPr>
      </w:pPr>
      <w:r>
        <w:rPr>
          <w:rFonts w:hint="eastAsia" w:asciiTheme="minorEastAsia" w:hAnsiTheme="minorEastAsia" w:eastAsiaTheme="minorEastAsia" w:cstheme="minorEastAsia"/>
          <w:color w:val="auto"/>
          <w:spacing w:val="-20"/>
          <w:sz w:val="48"/>
          <w:szCs w:val="48"/>
        </w:rPr>
        <w:t>松山区初头朗镇窑沟门碎石矿</w:t>
      </w:r>
    </w:p>
    <w:p w14:paraId="3D5885BE">
      <w:pPr>
        <w:widowControl/>
        <w:jc w:val="center"/>
        <w:rPr>
          <w:rFonts w:eastAsia="黑体"/>
          <w:color w:val="auto"/>
          <w:spacing w:val="-20"/>
          <w:sz w:val="52"/>
          <w:szCs w:val="52"/>
        </w:rPr>
      </w:pPr>
      <w:r>
        <w:rPr>
          <w:rFonts w:hint="eastAsia" w:eastAsia="黑体"/>
          <w:color w:val="auto"/>
          <w:spacing w:val="-20"/>
          <w:sz w:val="52"/>
          <w:szCs w:val="52"/>
        </w:rPr>
        <w:t>矿区</w:t>
      </w:r>
      <w:r>
        <w:rPr>
          <w:rFonts w:eastAsia="黑体"/>
          <w:color w:val="auto"/>
          <w:spacing w:val="-20"/>
          <w:sz w:val="52"/>
          <w:szCs w:val="52"/>
        </w:rPr>
        <w:t>生态修复方案</w:t>
      </w:r>
    </w:p>
    <w:p w14:paraId="1876DC4A">
      <w:pPr>
        <w:widowControl/>
        <w:jc w:val="center"/>
        <w:rPr>
          <w:rFonts w:ascii="Times New Roman" w:hAnsi="Times New Roman" w:eastAsia="黑体" w:cs="Times New Roman"/>
          <w:color w:val="auto"/>
          <w:spacing w:val="-20"/>
          <w:sz w:val="52"/>
          <w:szCs w:val="52"/>
        </w:rPr>
      </w:pPr>
      <w:r>
        <w:rPr>
          <w:rFonts w:hint="eastAsia" w:ascii="Times New Roman" w:hAnsi="Times New Roman" w:eastAsia="黑体" w:cs="Times New Roman"/>
          <w:color w:val="auto"/>
          <w:spacing w:val="-20"/>
          <w:sz w:val="52"/>
          <w:szCs w:val="52"/>
          <w:lang w:val="en-US" w:eastAsia="zh-CN"/>
        </w:rPr>
        <w:t>（闭坑）</w:t>
      </w:r>
    </w:p>
    <w:p w14:paraId="3E72F57D">
      <w:pPr>
        <w:jc w:val="center"/>
        <w:rPr>
          <w:rStyle w:val="68"/>
          <w:rFonts w:ascii="Times New Roman" w:hAnsi="Times New Roman" w:cs="Times New Roman"/>
          <w:color w:val="auto"/>
          <w:sz w:val="44"/>
          <w:szCs w:val="44"/>
        </w:rPr>
      </w:pPr>
    </w:p>
    <w:p w14:paraId="03A578E8">
      <w:pPr>
        <w:pStyle w:val="69"/>
        <w:spacing w:line="480" w:lineRule="auto"/>
        <w:ind w:firstLineChars="74"/>
        <w:rPr>
          <w:rFonts w:ascii="宋体" w:hAnsi="宋体" w:eastAsia="宋体"/>
          <w:color w:val="auto"/>
          <w:w w:val="85"/>
          <w:sz w:val="32"/>
          <w:szCs w:val="32"/>
        </w:rPr>
      </w:pPr>
    </w:p>
    <w:p w14:paraId="76689D0B">
      <w:pPr>
        <w:pStyle w:val="69"/>
        <w:spacing w:line="480" w:lineRule="auto"/>
        <w:ind w:firstLineChars="74"/>
        <w:rPr>
          <w:rFonts w:ascii="宋体" w:hAnsi="宋体" w:eastAsia="宋体"/>
          <w:color w:val="auto"/>
          <w:w w:val="85"/>
          <w:sz w:val="32"/>
          <w:szCs w:val="32"/>
        </w:rPr>
      </w:pPr>
    </w:p>
    <w:p w14:paraId="612D6B2A">
      <w:pPr>
        <w:pStyle w:val="69"/>
        <w:spacing w:line="480" w:lineRule="auto"/>
        <w:ind w:firstLineChars="74"/>
        <w:rPr>
          <w:rFonts w:ascii="宋体" w:hAnsi="宋体" w:eastAsia="宋体"/>
          <w:color w:val="auto"/>
          <w:w w:val="85"/>
          <w:sz w:val="32"/>
          <w:szCs w:val="32"/>
        </w:rPr>
      </w:pPr>
    </w:p>
    <w:p w14:paraId="4E0E24EE">
      <w:pPr>
        <w:pStyle w:val="69"/>
        <w:spacing w:line="480" w:lineRule="auto"/>
        <w:ind w:firstLineChars="74"/>
        <w:rPr>
          <w:rFonts w:ascii="宋体" w:hAnsi="宋体" w:eastAsia="宋体"/>
          <w:color w:val="auto"/>
          <w:w w:val="85"/>
          <w:sz w:val="32"/>
          <w:szCs w:val="32"/>
        </w:rPr>
      </w:pPr>
    </w:p>
    <w:p w14:paraId="137519BD">
      <w:pPr>
        <w:pStyle w:val="69"/>
        <w:spacing w:line="480" w:lineRule="auto"/>
        <w:ind w:firstLineChars="74"/>
        <w:rPr>
          <w:rFonts w:ascii="宋体" w:hAnsi="宋体" w:eastAsia="宋体"/>
          <w:color w:val="auto"/>
          <w:w w:val="85"/>
          <w:sz w:val="32"/>
          <w:szCs w:val="32"/>
        </w:rPr>
      </w:pPr>
    </w:p>
    <w:p w14:paraId="4E2B4162">
      <w:pPr>
        <w:pStyle w:val="69"/>
        <w:spacing w:line="480" w:lineRule="auto"/>
        <w:ind w:firstLineChars="74"/>
        <w:rPr>
          <w:rFonts w:ascii="宋体" w:hAnsi="宋体" w:eastAsia="宋体"/>
          <w:color w:val="auto"/>
          <w:w w:val="85"/>
          <w:sz w:val="32"/>
          <w:szCs w:val="32"/>
        </w:rPr>
      </w:pPr>
    </w:p>
    <w:p w14:paraId="39C69D28">
      <w:pPr>
        <w:pStyle w:val="69"/>
        <w:spacing w:line="480" w:lineRule="auto"/>
        <w:ind w:firstLineChars="74"/>
        <w:rPr>
          <w:rFonts w:ascii="宋体" w:hAnsi="宋体" w:eastAsia="宋体"/>
          <w:color w:val="auto"/>
          <w:w w:val="85"/>
          <w:sz w:val="32"/>
          <w:szCs w:val="32"/>
        </w:rPr>
      </w:pPr>
    </w:p>
    <w:p w14:paraId="6EA865CC">
      <w:pPr>
        <w:pStyle w:val="69"/>
        <w:spacing w:line="480" w:lineRule="auto"/>
        <w:ind w:firstLineChars="74"/>
        <w:rPr>
          <w:rFonts w:ascii="宋体" w:hAnsi="宋体" w:eastAsia="宋体"/>
          <w:color w:val="auto"/>
          <w:w w:val="85"/>
          <w:sz w:val="32"/>
          <w:szCs w:val="32"/>
        </w:rPr>
      </w:pPr>
    </w:p>
    <w:p w14:paraId="783E1DD7">
      <w:pPr>
        <w:pStyle w:val="69"/>
        <w:spacing w:line="480" w:lineRule="auto"/>
        <w:ind w:firstLineChars="74"/>
        <w:rPr>
          <w:rFonts w:ascii="宋体" w:hAnsi="宋体" w:eastAsia="宋体"/>
          <w:color w:val="auto"/>
          <w:w w:val="85"/>
          <w:sz w:val="32"/>
          <w:szCs w:val="32"/>
        </w:rPr>
      </w:pPr>
    </w:p>
    <w:p w14:paraId="7D645ED7">
      <w:pPr>
        <w:spacing w:line="360" w:lineRule="auto"/>
        <w:rPr>
          <w:rFonts w:ascii="宋体" w:hAnsi="宋体" w:cs="宋体"/>
          <w:color w:val="auto"/>
          <w:sz w:val="32"/>
          <w:szCs w:val="32"/>
        </w:rPr>
      </w:pPr>
      <w:r>
        <w:rPr>
          <w:rFonts w:hint="eastAsia" w:ascii="宋体" w:hAnsi="宋体" w:cs="宋体"/>
          <w:color w:val="auto"/>
          <w:sz w:val="32"/>
          <w:szCs w:val="32"/>
        </w:rPr>
        <w:t>编 制 单 位：内蒙古兴矿技术服务有限公司</w:t>
      </w:r>
    </w:p>
    <w:p w14:paraId="09A6F95A">
      <w:pPr>
        <w:spacing w:line="360" w:lineRule="auto"/>
        <w:rPr>
          <w:rFonts w:ascii="宋体" w:hAnsi="宋体" w:cs="宋体"/>
          <w:color w:val="auto"/>
          <w:sz w:val="32"/>
          <w:szCs w:val="32"/>
        </w:rPr>
      </w:pPr>
      <w:r>
        <w:rPr>
          <w:rFonts w:hint="eastAsia" w:ascii="宋体" w:hAnsi="宋体" w:cs="宋体"/>
          <w:color w:val="auto"/>
          <w:sz w:val="32"/>
          <w:szCs w:val="32"/>
        </w:rPr>
        <w:t>法 定 代 表 人：刘欣楠</w:t>
      </w:r>
    </w:p>
    <w:p w14:paraId="477097D9">
      <w:pPr>
        <w:spacing w:line="360" w:lineRule="auto"/>
        <w:rPr>
          <w:rFonts w:ascii="宋体" w:hAnsi="宋体" w:cs="宋体"/>
          <w:color w:val="auto"/>
          <w:sz w:val="32"/>
          <w:szCs w:val="32"/>
        </w:rPr>
      </w:pPr>
      <w:r>
        <w:rPr>
          <w:rFonts w:hint="eastAsia" w:ascii="宋体" w:hAnsi="宋体" w:cs="宋体"/>
          <w:color w:val="auto"/>
          <w:sz w:val="32"/>
          <w:szCs w:val="32"/>
        </w:rPr>
        <w:t>方案编制负责人：秦龙飞</w:t>
      </w:r>
    </w:p>
    <w:p w14:paraId="1A343071">
      <w:pPr>
        <w:widowControl/>
        <w:spacing w:line="360" w:lineRule="auto"/>
        <w:jc w:val="left"/>
        <w:rPr>
          <w:rFonts w:hint="eastAsia" w:ascii="宋体" w:hAnsi="宋体" w:cs="宋体"/>
          <w:color w:val="auto"/>
          <w:sz w:val="32"/>
          <w:szCs w:val="32"/>
          <w:lang w:val="en-US" w:eastAsia="zh-CN"/>
        </w:rPr>
      </w:pPr>
      <w:r>
        <w:rPr>
          <w:rFonts w:hint="eastAsia" w:ascii="宋体" w:hAnsi="宋体" w:cs="宋体"/>
          <w:color w:val="auto"/>
          <w:sz w:val="32"/>
          <w:szCs w:val="32"/>
        </w:rPr>
        <w:t xml:space="preserve">主 要 编 制 人：秦龙飞  王永强  </w:t>
      </w:r>
      <w:r>
        <w:rPr>
          <w:rFonts w:hint="eastAsia" w:ascii="宋体" w:hAnsi="宋体" w:cs="宋体"/>
          <w:color w:val="auto"/>
          <w:sz w:val="32"/>
          <w:szCs w:val="32"/>
          <w:lang w:val="en-US" w:eastAsia="zh-CN"/>
        </w:rPr>
        <w:t>刘  广</w:t>
      </w:r>
    </w:p>
    <w:p w14:paraId="1A6D1F60">
      <w:pPr>
        <w:spacing w:after="120" w:line="240" w:lineRule="auto"/>
        <w:jc w:val="center"/>
        <w:rPr>
          <w:b/>
          <w:bCs/>
          <w:color w:val="auto"/>
          <w:sz w:val="32"/>
          <w:szCs w:val="32"/>
        </w:rPr>
      </w:pPr>
      <w:r>
        <w:rPr>
          <w:rFonts w:hint="eastAsia"/>
          <w:b/>
          <w:bCs/>
          <w:color w:val="auto"/>
          <w:sz w:val="32"/>
          <w:szCs w:val="32"/>
        </w:rPr>
        <w:t>矿区生态修复方案编制信息表</w:t>
      </w:r>
    </w:p>
    <w:bookmarkEnd w:id="0"/>
    <w:p w14:paraId="35436784">
      <w:pPr>
        <w:jc w:val="center"/>
        <w:rPr>
          <w:b/>
          <w:bCs/>
          <w:color w:val="auto"/>
          <w:sz w:val="32"/>
          <w:szCs w:val="32"/>
        </w:rPr>
        <w:sectPr>
          <w:footerReference r:id="rId5" w:type="first"/>
          <w:headerReference r:id="rId3" w:type="default"/>
          <w:footerReference r:id="rId4" w:type="default"/>
          <w:pgSz w:w="11907" w:h="16840"/>
          <w:pgMar w:top="1418" w:right="1418" w:bottom="1418" w:left="1701" w:header="851" w:footer="992" w:gutter="0"/>
          <w:pgNumType w:fmt="decimal"/>
          <w:cols w:space="720" w:num="1"/>
          <w:titlePg/>
          <w:docGrid w:linePitch="312" w:charSpace="0"/>
        </w:sectPr>
      </w:pPr>
    </w:p>
    <w:p w14:paraId="75E6FB7B">
      <w:pPr>
        <w:pStyle w:val="24"/>
        <w:spacing w:before="0" w:after="0"/>
        <w:jc w:val="center"/>
        <w:rPr>
          <w:color w:val="auto"/>
          <w:sz w:val="36"/>
          <w:szCs w:val="36"/>
        </w:rPr>
      </w:pPr>
      <w:r>
        <w:rPr>
          <w:color w:val="auto"/>
          <w:sz w:val="36"/>
          <w:szCs w:val="36"/>
        </w:rPr>
        <w:t>目  录</w:t>
      </w:r>
    </w:p>
    <w:p w14:paraId="394A974B">
      <w:pPr>
        <w:pStyle w:val="24"/>
        <w:tabs>
          <w:tab w:val="right" w:leader="dot" w:pos="8788"/>
        </w:tabs>
        <w:spacing w:line="320" w:lineRule="exact"/>
        <w:rPr>
          <w:color w:val="auto"/>
          <w:sz w:val="24"/>
          <w:szCs w:val="24"/>
        </w:rPr>
      </w:pPr>
      <w:r>
        <w:rPr>
          <w:rFonts w:hint="eastAsia" w:asciiTheme="minorEastAsia" w:hAnsiTheme="minorEastAsia" w:eastAsiaTheme="minorEastAsia" w:cstheme="minorEastAsia"/>
          <w:b w:val="0"/>
          <w:color w:val="auto"/>
          <w:sz w:val="28"/>
          <w:szCs w:val="28"/>
        </w:rPr>
        <w:fldChar w:fldCharType="begin"/>
      </w:r>
      <w:r>
        <w:rPr>
          <w:rFonts w:hint="eastAsia" w:asciiTheme="minorEastAsia" w:hAnsiTheme="minorEastAsia" w:eastAsiaTheme="minorEastAsia" w:cstheme="minorEastAsia"/>
          <w:b w:val="0"/>
          <w:color w:val="auto"/>
          <w:sz w:val="28"/>
          <w:szCs w:val="28"/>
        </w:rPr>
        <w:instrText xml:space="preserve"> TOC \o "1-2" \h \z \u </w:instrText>
      </w:r>
      <w:r>
        <w:rPr>
          <w:rFonts w:hint="eastAsia" w:asciiTheme="minorEastAsia" w:hAnsiTheme="minorEastAsia" w:eastAsiaTheme="minorEastAsia" w:cstheme="minorEastAsia"/>
          <w:b w:val="0"/>
          <w:color w:val="auto"/>
          <w:sz w:val="28"/>
          <w:szCs w:val="28"/>
        </w:rPr>
        <w:fldChar w:fldCharType="separate"/>
      </w:r>
      <w:r>
        <w:rPr>
          <w:color w:val="auto"/>
        </w:rPr>
        <w:fldChar w:fldCharType="begin"/>
      </w:r>
      <w:r>
        <w:rPr>
          <w:color w:val="auto"/>
        </w:rPr>
        <w:instrText xml:space="preserve"> HYPERLINK \l "_Toc11673" </w:instrText>
      </w:r>
      <w:r>
        <w:rPr>
          <w:color w:val="auto"/>
        </w:rPr>
        <w:fldChar w:fldCharType="separate"/>
      </w:r>
      <w:r>
        <w:rPr>
          <w:rFonts w:hint="eastAsia" w:ascii="黑体" w:hAnsi="黑体" w:eastAsia="黑体" w:cs="黑体"/>
          <w:bCs/>
          <w:color w:val="auto"/>
          <w:sz w:val="24"/>
          <w:szCs w:val="24"/>
        </w:rPr>
        <w:t>前  言</w:t>
      </w:r>
      <w:r>
        <w:rPr>
          <w:color w:val="auto"/>
          <w:sz w:val="24"/>
          <w:szCs w:val="24"/>
        </w:rPr>
        <w:tab/>
      </w:r>
      <w:r>
        <w:rPr>
          <w:color w:val="auto"/>
          <w:sz w:val="24"/>
          <w:szCs w:val="24"/>
        </w:rPr>
        <w:fldChar w:fldCharType="begin"/>
      </w:r>
      <w:r>
        <w:rPr>
          <w:color w:val="auto"/>
          <w:sz w:val="24"/>
          <w:szCs w:val="24"/>
        </w:rPr>
        <w:instrText xml:space="preserve"> PAGEREF _Toc11673 \h </w:instrText>
      </w:r>
      <w:r>
        <w:rPr>
          <w:color w:val="auto"/>
          <w:sz w:val="24"/>
          <w:szCs w:val="24"/>
        </w:rPr>
        <w:fldChar w:fldCharType="separate"/>
      </w:r>
      <w:r>
        <w:rPr>
          <w:color w:val="auto"/>
          <w:sz w:val="24"/>
          <w:szCs w:val="24"/>
        </w:rPr>
        <w:t>1</w:t>
      </w:r>
      <w:r>
        <w:rPr>
          <w:color w:val="auto"/>
          <w:sz w:val="24"/>
          <w:szCs w:val="24"/>
        </w:rPr>
        <w:fldChar w:fldCharType="end"/>
      </w:r>
      <w:r>
        <w:rPr>
          <w:color w:val="auto"/>
          <w:sz w:val="24"/>
          <w:szCs w:val="24"/>
        </w:rPr>
        <w:fldChar w:fldCharType="end"/>
      </w:r>
    </w:p>
    <w:p w14:paraId="7D9AEA97">
      <w:pPr>
        <w:pStyle w:val="24"/>
        <w:tabs>
          <w:tab w:val="right" w:leader="dot" w:pos="8788"/>
        </w:tabs>
        <w:spacing w:line="320" w:lineRule="exact"/>
        <w:rPr>
          <w:color w:val="auto"/>
          <w:sz w:val="24"/>
          <w:szCs w:val="24"/>
        </w:rPr>
      </w:pPr>
      <w:r>
        <w:rPr>
          <w:color w:val="auto"/>
        </w:rPr>
        <w:fldChar w:fldCharType="begin"/>
      </w:r>
      <w:r>
        <w:rPr>
          <w:color w:val="auto"/>
        </w:rPr>
        <w:instrText xml:space="preserve"> HYPERLINK \l "_Toc1151" </w:instrText>
      </w:r>
      <w:r>
        <w:rPr>
          <w:color w:val="auto"/>
        </w:rPr>
        <w:fldChar w:fldCharType="separate"/>
      </w:r>
      <w:r>
        <w:rPr>
          <w:rFonts w:hint="eastAsia" w:ascii="黑体" w:hAnsi="黑体" w:eastAsia="黑体" w:cs="黑体"/>
          <w:bCs/>
          <w:color w:val="auto"/>
          <w:sz w:val="24"/>
          <w:szCs w:val="24"/>
        </w:rPr>
        <w:t>第一章  矿山基本情况</w:t>
      </w:r>
      <w:r>
        <w:rPr>
          <w:color w:val="auto"/>
          <w:sz w:val="24"/>
          <w:szCs w:val="24"/>
        </w:rPr>
        <w:tab/>
      </w:r>
      <w:r>
        <w:rPr>
          <w:color w:val="auto"/>
          <w:sz w:val="24"/>
          <w:szCs w:val="24"/>
        </w:rPr>
        <w:fldChar w:fldCharType="begin"/>
      </w:r>
      <w:r>
        <w:rPr>
          <w:color w:val="auto"/>
          <w:sz w:val="24"/>
          <w:szCs w:val="24"/>
        </w:rPr>
        <w:instrText xml:space="preserve"> PAGEREF _Toc1151 \h </w:instrText>
      </w:r>
      <w:r>
        <w:rPr>
          <w:color w:val="auto"/>
          <w:sz w:val="24"/>
          <w:szCs w:val="24"/>
        </w:rPr>
        <w:fldChar w:fldCharType="separate"/>
      </w:r>
      <w:r>
        <w:rPr>
          <w:color w:val="auto"/>
          <w:sz w:val="24"/>
          <w:szCs w:val="24"/>
        </w:rPr>
        <w:t>12</w:t>
      </w:r>
      <w:r>
        <w:rPr>
          <w:color w:val="auto"/>
          <w:sz w:val="24"/>
          <w:szCs w:val="24"/>
        </w:rPr>
        <w:fldChar w:fldCharType="end"/>
      </w:r>
      <w:r>
        <w:rPr>
          <w:color w:val="auto"/>
          <w:sz w:val="24"/>
          <w:szCs w:val="24"/>
        </w:rPr>
        <w:fldChar w:fldCharType="end"/>
      </w:r>
    </w:p>
    <w:p w14:paraId="3B269499">
      <w:pPr>
        <w:pStyle w:val="27"/>
        <w:tabs>
          <w:tab w:val="right" w:leader="dot" w:pos="8788"/>
        </w:tabs>
        <w:spacing w:line="320" w:lineRule="exact"/>
        <w:rPr>
          <w:color w:val="auto"/>
          <w:sz w:val="24"/>
          <w:szCs w:val="24"/>
        </w:rPr>
      </w:pPr>
      <w:r>
        <w:rPr>
          <w:color w:val="auto"/>
        </w:rPr>
        <w:fldChar w:fldCharType="begin"/>
      </w:r>
      <w:r>
        <w:rPr>
          <w:color w:val="auto"/>
        </w:rPr>
        <w:instrText xml:space="preserve"> HYPERLINK \l "_Toc14475" </w:instrText>
      </w:r>
      <w:r>
        <w:rPr>
          <w:color w:val="auto"/>
        </w:rPr>
        <w:fldChar w:fldCharType="separate"/>
      </w:r>
      <w:r>
        <w:rPr>
          <w:rFonts w:hint="eastAsia"/>
          <w:color w:val="auto"/>
          <w:sz w:val="24"/>
          <w:szCs w:val="24"/>
        </w:rPr>
        <w:t>第一节  矿业权人基本情况</w:t>
      </w:r>
      <w:r>
        <w:rPr>
          <w:color w:val="auto"/>
          <w:sz w:val="24"/>
          <w:szCs w:val="24"/>
        </w:rPr>
        <w:tab/>
      </w:r>
      <w:r>
        <w:rPr>
          <w:color w:val="auto"/>
          <w:sz w:val="24"/>
          <w:szCs w:val="24"/>
        </w:rPr>
        <w:fldChar w:fldCharType="begin"/>
      </w:r>
      <w:r>
        <w:rPr>
          <w:color w:val="auto"/>
          <w:sz w:val="24"/>
          <w:szCs w:val="24"/>
        </w:rPr>
        <w:instrText xml:space="preserve"> PAGEREF _Toc14475 \h </w:instrText>
      </w:r>
      <w:r>
        <w:rPr>
          <w:color w:val="auto"/>
          <w:sz w:val="24"/>
          <w:szCs w:val="24"/>
        </w:rPr>
        <w:fldChar w:fldCharType="separate"/>
      </w:r>
      <w:r>
        <w:rPr>
          <w:color w:val="auto"/>
          <w:sz w:val="24"/>
          <w:szCs w:val="24"/>
        </w:rPr>
        <w:t>12</w:t>
      </w:r>
      <w:r>
        <w:rPr>
          <w:color w:val="auto"/>
          <w:sz w:val="24"/>
          <w:szCs w:val="24"/>
        </w:rPr>
        <w:fldChar w:fldCharType="end"/>
      </w:r>
      <w:r>
        <w:rPr>
          <w:color w:val="auto"/>
          <w:sz w:val="24"/>
          <w:szCs w:val="24"/>
        </w:rPr>
        <w:fldChar w:fldCharType="end"/>
      </w:r>
    </w:p>
    <w:p w14:paraId="521F813B">
      <w:pPr>
        <w:pStyle w:val="27"/>
        <w:tabs>
          <w:tab w:val="right" w:leader="dot" w:pos="8788"/>
        </w:tabs>
        <w:spacing w:line="320" w:lineRule="exact"/>
        <w:rPr>
          <w:color w:val="auto"/>
          <w:sz w:val="24"/>
          <w:szCs w:val="24"/>
        </w:rPr>
      </w:pPr>
      <w:r>
        <w:rPr>
          <w:color w:val="auto"/>
        </w:rPr>
        <w:fldChar w:fldCharType="begin"/>
      </w:r>
      <w:r>
        <w:rPr>
          <w:color w:val="auto"/>
        </w:rPr>
        <w:instrText xml:space="preserve"> HYPERLINK \l "_Toc8419" </w:instrText>
      </w:r>
      <w:r>
        <w:rPr>
          <w:color w:val="auto"/>
        </w:rPr>
        <w:fldChar w:fldCharType="separate"/>
      </w:r>
      <w:r>
        <w:rPr>
          <w:color w:val="auto"/>
          <w:sz w:val="24"/>
          <w:szCs w:val="24"/>
        </w:rPr>
        <w:t>第二节  地理位置与区域概况</w:t>
      </w:r>
      <w:r>
        <w:rPr>
          <w:color w:val="auto"/>
          <w:sz w:val="24"/>
          <w:szCs w:val="24"/>
        </w:rPr>
        <w:tab/>
      </w:r>
      <w:r>
        <w:rPr>
          <w:color w:val="auto"/>
          <w:sz w:val="24"/>
          <w:szCs w:val="24"/>
        </w:rPr>
        <w:fldChar w:fldCharType="begin"/>
      </w:r>
      <w:r>
        <w:rPr>
          <w:color w:val="auto"/>
          <w:sz w:val="24"/>
          <w:szCs w:val="24"/>
        </w:rPr>
        <w:instrText xml:space="preserve"> PAGEREF _Toc8419 \h </w:instrText>
      </w:r>
      <w:r>
        <w:rPr>
          <w:color w:val="auto"/>
          <w:sz w:val="24"/>
          <w:szCs w:val="24"/>
        </w:rPr>
        <w:fldChar w:fldCharType="separate"/>
      </w:r>
      <w:r>
        <w:rPr>
          <w:color w:val="auto"/>
          <w:sz w:val="24"/>
          <w:szCs w:val="24"/>
        </w:rPr>
        <w:t>13</w:t>
      </w:r>
      <w:r>
        <w:rPr>
          <w:color w:val="auto"/>
          <w:sz w:val="24"/>
          <w:szCs w:val="24"/>
        </w:rPr>
        <w:fldChar w:fldCharType="end"/>
      </w:r>
      <w:r>
        <w:rPr>
          <w:color w:val="auto"/>
          <w:sz w:val="24"/>
          <w:szCs w:val="24"/>
        </w:rPr>
        <w:fldChar w:fldCharType="end"/>
      </w:r>
    </w:p>
    <w:p w14:paraId="1DAD917F">
      <w:pPr>
        <w:pStyle w:val="27"/>
        <w:tabs>
          <w:tab w:val="right" w:leader="dot" w:pos="8788"/>
        </w:tabs>
        <w:spacing w:line="320" w:lineRule="exact"/>
        <w:rPr>
          <w:color w:val="auto"/>
          <w:sz w:val="24"/>
          <w:szCs w:val="24"/>
        </w:rPr>
      </w:pPr>
      <w:r>
        <w:rPr>
          <w:color w:val="auto"/>
        </w:rPr>
        <w:fldChar w:fldCharType="begin"/>
      </w:r>
      <w:r>
        <w:rPr>
          <w:color w:val="auto"/>
        </w:rPr>
        <w:instrText xml:space="preserve"> HYPERLINK \l "_Toc3670" </w:instrText>
      </w:r>
      <w:r>
        <w:rPr>
          <w:color w:val="auto"/>
        </w:rPr>
        <w:fldChar w:fldCharType="separate"/>
      </w:r>
      <w:r>
        <w:rPr>
          <w:rFonts w:hint="eastAsia"/>
          <w:color w:val="auto"/>
          <w:sz w:val="24"/>
          <w:szCs w:val="24"/>
        </w:rPr>
        <w:t>第三节  矿山开采历史及现状</w:t>
      </w:r>
      <w:r>
        <w:rPr>
          <w:color w:val="auto"/>
          <w:sz w:val="24"/>
          <w:szCs w:val="24"/>
        </w:rPr>
        <w:tab/>
      </w:r>
      <w:r>
        <w:rPr>
          <w:color w:val="auto"/>
          <w:sz w:val="24"/>
          <w:szCs w:val="24"/>
        </w:rPr>
        <w:fldChar w:fldCharType="begin"/>
      </w:r>
      <w:r>
        <w:rPr>
          <w:color w:val="auto"/>
          <w:sz w:val="24"/>
          <w:szCs w:val="24"/>
        </w:rPr>
        <w:instrText xml:space="preserve"> PAGEREF _Toc3670 \h </w:instrText>
      </w:r>
      <w:r>
        <w:rPr>
          <w:color w:val="auto"/>
          <w:sz w:val="24"/>
          <w:szCs w:val="24"/>
        </w:rPr>
        <w:fldChar w:fldCharType="separate"/>
      </w:r>
      <w:r>
        <w:rPr>
          <w:color w:val="auto"/>
          <w:sz w:val="24"/>
          <w:szCs w:val="24"/>
        </w:rPr>
        <w:t>16</w:t>
      </w:r>
      <w:r>
        <w:rPr>
          <w:color w:val="auto"/>
          <w:sz w:val="24"/>
          <w:szCs w:val="24"/>
        </w:rPr>
        <w:fldChar w:fldCharType="end"/>
      </w:r>
      <w:r>
        <w:rPr>
          <w:color w:val="auto"/>
          <w:sz w:val="24"/>
          <w:szCs w:val="24"/>
        </w:rPr>
        <w:fldChar w:fldCharType="end"/>
      </w:r>
    </w:p>
    <w:p w14:paraId="26B37F8B">
      <w:pPr>
        <w:pStyle w:val="24"/>
        <w:tabs>
          <w:tab w:val="right" w:leader="dot" w:pos="8788"/>
        </w:tabs>
        <w:spacing w:line="320" w:lineRule="exact"/>
        <w:rPr>
          <w:color w:val="auto"/>
          <w:sz w:val="24"/>
          <w:szCs w:val="24"/>
        </w:rPr>
      </w:pPr>
      <w:r>
        <w:rPr>
          <w:color w:val="auto"/>
        </w:rPr>
        <w:fldChar w:fldCharType="begin"/>
      </w:r>
      <w:r>
        <w:rPr>
          <w:color w:val="auto"/>
        </w:rPr>
        <w:instrText xml:space="preserve"> HYPERLINK \l "_Toc30394" </w:instrText>
      </w:r>
      <w:r>
        <w:rPr>
          <w:color w:val="auto"/>
        </w:rPr>
        <w:fldChar w:fldCharType="separate"/>
      </w:r>
      <w:r>
        <w:rPr>
          <w:rFonts w:hint="eastAsia" w:ascii="黑体" w:hAnsi="黑体" w:eastAsia="黑体" w:cs="黑体"/>
          <w:bCs/>
          <w:color w:val="auto"/>
          <w:sz w:val="24"/>
          <w:szCs w:val="24"/>
        </w:rPr>
        <w:t>第二章  矿区基础信息</w:t>
      </w:r>
      <w:r>
        <w:rPr>
          <w:color w:val="auto"/>
          <w:sz w:val="24"/>
          <w:szCs w:val="24"/>
        </w:rPr>
        <w:tab/>
      </w:r>
      <w:r>
        <w:rPr>
          <w:color w:val="auto"/>
          <w:sz w:val="24"/>
          <w:szCs w:val="24"/>
        </w:rPr>
        <w:fldChar w:fldCharType="begin"/>
      </w:r>
      <w:r>
        <w:rPr>
          <w:color w:val="auto"/>
          <w:sz w:val="24"/>
          <w:szCs w:val="24"/>
        </w:rPr>
        <w:instrText xml:space="preserve"> PAGEREF _Toc30394 \h </w:instrText>
      </w:r>
      <w:r>
        <w:rPr>
          <w:color w:val="auto"/>
          <w:sz w:val="24"/>
          <w:szCs w:val="24"/>
        </w:rPr>
        <w:fldChar w:fldCharType="separate"/>
      </w:r>
      <w:r>
        <w:rPr>
          <w:color w:val="auto"/>
          <w:sz w:val="24"/>
          <w:szCs w:val="24"/>
        </w:rPr>
        <w:t>23</w:t>
      </w:r>
      <w:r>
        <w:rPr>
          <w:color w:val="auto"/>
          <w:sz w:val="24"/>
          <w:szCs w:val="24"/>
        </w:rPr>
        <w:fldChar w:fldCharType="end"/>
      </w:r>
      <w:r>
        <w:rPr>
          <w:color w:val="auto"/>
          <w:sz w:val="24"/>
          <w:szCs w:val="24"/>
        </w:rPr>
        <w:fldChar w:fldCharType="end"/>
      </w:r>
    </w:p>
    <w:p w14:paraId="4F30B922">
      <w:pPr>
        <w:pStyle w:val="27"/>
        <w:tabs>
          <w:tab w:val="right" w:leader="dot" w:pos="8788"/>
        </w:tabs>
        <w:spacing w:line="320" w:lineRule="exact"/>
        <w:rPr>
          <w:color w:val="auto"/>
          <w:sz w:val="24"/>
          <w:szCs w:val="24"/>
        </w:rPr>
      </w:pPr>
      <w:r>
        <w:rPr>
          <w:color w:val="auto"/>
        </w:rPr>
        <w:fldChar w:fldCharType="begin"/>
      </w:r>
      <w:r>
        <w:rPr>
          <w:color w:val="auto"/>
        </w:rPr>
        <w:instrText xml:space="preserve"> HYPERLINK \l "_Toc32453" </w:instrText>
      </w:r>
      <w:r>
        <w:rPr>
          <w:color w:val="auto"/>
        </w:rPr>
        <w:fldChar w:fldCharType="separate"/>
      </w:r>
      <w:r>
        <w:rPr>
          <w:rFonts w:hint="eastAsia"/>
          <w:color w:val="auto"/>
          <w:sz w:val="24"/>
          <w:szCs w:val="24"/>
        </w:rPr>
        <w:t>第一节  矿区自然条件</w:t>
      </w:r>
      <w:r>
        <w:rPr>
          <w:color w:val="auto"/>
          <w:sz w:val="24"/>
          <w:szCs w:val="24"/>
        </w:rPr>
        <w:tab/>
      </w:r>
      <w:r>
        <w:rPr>
          <w:color w:val="auto"/>
          <w:sz w:val="24"/>
          <w:szCs w:val="24"/>
        </w:rPr>
        <w:fldChar w:fldCharType="begin"/>
      </w:r>
      <w:r>
        <w:rPr>
          <w:color w:val="auto"/>
          <w:sz w:val="24"/>
          <w:szCs w:val="24"/>
        </w:rPr>
        <w:instrText xml:space="preserve"> PAGEREF _Toc32453 \h </w:instrText>
      </w:r>
      <w:r>
        <w:rPr>
          <w:color w:val="auto"/>
          <w:sz w:val="24"/>
          <w:szCs w:val="24"/>
        </w:rPr>
        <w:fldChar w:fldCharType="separate"/>
      </w:r>
      <w:r>
        <w:rPr>
          <w:color w:val="auto"/>
          <w:sz w:val="24"/>
          <w:szCs w:val="24"/>
        </w:rPr>
        <w:t>23</w:t>
      </w:r>
      <w:r>
        <w:rPr>
          <w:color w:val="auto"/>
          <w:sz w:val="24"/>
          <w:szCs w:val="24"/>
        </w:rPr>
        <w:fldChar w:fldCharType="end"/>
      </w:r>
      <w:r>
        <w:rPr>
          <w:color w:val="auto"/>
          <w:sz w:val="24"/>
          <w:szCs w:val="24"/>
        </w:rPr>
        <w:fldChar w:fldCharType="end"/>
      </w:r>
    </w:p>
    <w:p w14:paraId="1B3B2BB0">
      <w:pPr>
        <w:pStyle w:val="27"/>
        <w:tabs>
          <w:tab w:val="right" w:leader="dot" w:pos="8788"/>
        </w:tabs>
        <w:spacing w:line="320" w:lineRule="exact"/>
        <w:rPr>
          <w:color w:val="auto"/>
          <w:sz w:val="24"/>
          <w:szCs w:val="24"/>
        </w:rPr>
      </w:pPr>
      <w:r>
        <w:rPr>
          <w:color w:val="auto"/>
        </w:rPr>
        <w:fldChar w:fldCharType="begin"/>
      </w:r>
      <w:r>
        <w:rPr>
          <w:color w:val="auto"/>
        </w:rPr>
        <w:instrText xml:space="preserve"> HYPERLINK \l "_Toc26803" </w:instrText>
      </w:r>
      <w:r>
        <w:rPr>
          <w:color w:val="auto"/>
        </w:rPr>
        <w:fldChar w:fldCharType="separate"/>
      </w:r>
      <w:r>
        <w:rPr>
          <w:rFonts w:hint="eastAsia"/>
          <w:color w:val="auto"/>
          <w:sz w:val="24"/>
          <w:szCs w:val="24"/>
        </w:rPr>
        <w:t>第二节  社会经济概况</w:t>
      </w:r>
      <w:r>
        <w:rPr>
          <w:color w:val="auto"/>
          <w:sz w:val="24"/>
          <w:szCs w:val="24"/>
        </w:rPr>
        <w:tab/>
      </w:r>
      <w:r>
        <w:rPr>
          <w:color w:val="auto"/>
          <w:sz w:val="24"/>
          <w:szCs w:val="24"/>
        </w:rPr>
        <w:fldChar w:fldCharType="begin"/>
      </w:r>
      <w:r>
        <w:rPr>
          <w:color w:val="auto"/>
          <w:sz w:val="24"/>
          <w:szCs w:val="24"/>
        </w:rPr>
        <w:instrText xml:space="preserve"> PAGEREF _Toc26803 \h </w:instrText>
      </w:r>
      <w:r>
        <w:rPr>
          <w:color w:val="auto"/>
          <w:sz w:val="24"/>
          <w:szCs w:val="24"/>
        </w:rPr>
        <w:fldChar w:fldCharType="separate"/>
      </w:r>
      <w:r>
        <w:rPr>
          <w:color w:val="auto"/>
          <w:sz w:val="24"/>
          <w:szCs w:val="24"/>
        </w:rPr>
        <w:t>28</w:t>
      </w:r>
      <w:r>
        <w:rPr>
          <w:color w:val="auto"/>
          <w:sz w:val="24"/>
          <w:szCs w:val="24"/>
        </w:rPr>
        <w:fldChar w:fldCharType="end"/>
      </w:r>
      <w:r>
        <w:rPr>
          <w:color w:val="auto"/>
          <w:sz w:val="24"/>
          <w:szCs w:val="24"/>
        </w:rPr>
        <w:fldChar w:fldCharType="end"/>
      </w:r>
    </w:p>
    <w:p w14:paraId="4807CCB7">
      <w:pPr>
        <w:pStyle w:val="27"/>
        <w:tabs>
          <w:tab w:val="right" w:leader="dot" w:pos="8788"/>
        </w:tabs>
        <w:spacing w:line="320" w:lineRule="exact"/>
        <w:rPr>
          <w:color w:val="auto"/>
          <w:sz w:val="24"/>
          <w:szCs w:val="24"/>
        </w:rPr>
      </w:pPr>
      <w:r>
        <w:rPr>
          <w:color w:val="auto"/>
        </w:rPr>
        <w:fldChar w:fldCharType="begin"/>
      </w:r>
      <w:r>
        <w:rPr>
          <w:color w:val="auto"/>
        </w:rPr>
        <w:instrText xml:space="preserve"> HYPERLINK \l "_Toc5035" </w:instrText>
      </w:r>
      <w:r>
        <w:rPr>
          <w:color w:val="auto"/>
        </w:rPr>
        <w:fldChar w:fldCharType="separate"/>
      </w:r>
      <w:r>
        <w:rPr>
          <w:rFonts w:hint="eastAsia"/>
          <w:color w:val="auto"/>
          <w:sz w:val="24"/>
          <w:szCs w:val="24"/>
        </w:rPr>
        <w:t>第三节  矿区地质环境背景</w:t>
      </w:r>
      <w:r>
        <w:rPr>
          <w:color w:val="auto"/>
          <w:sz w:val="24"/>
          <w:szCs w:val="24"/>
        </w:rPr>
        <w:tab/>
      </w:r>
      <w:r>
        <w:rPr>
          <w:color w:val="auto"/>
          <w:sz w:val="24"/>
          <w:szCs w:val="24"/>
        </w:rPr>
        <w:fldChar w:fldCharType="begin"/>
      </w:r>
      <w:r>
        <w:rPr>
          <w:color w:val="auto"/>
          <w:sz w:val="24"/>
          <w:szCs w:val="24"/>
        </w:rPr>
        <w:instrText xml:space="preserve"> PAGEREF _Toc5035 \h </w:instrText>
      </w:r>
      <w:r>
        <w:rPr>
          <w:color w:val="auto"/>
          <w:sz w:val="24"/>
          <w:szCs w:val="24"/>
        </w:rPr>
        <w:fldChar w:fldCharType="separate"/>
      </w:r>
      <w:r>
        <w:rPr>
          <w:color w:val="auto"/>
          <w:sz w:val="24"/>
          <w:szCs w:val="24"/>
        </w:rPr>
        <w:t>29</w:t>
      </w:r>
      <w:r>
        <w:rPr>
          <w:color w:val="auto"/>
          <w:sz w:val="24"/>
          <w:szCs w:val="24"/>
        </w:rPr>
        <w:fldChar w:fldCharType="end"/>
      </w:r>
      <w:r>
        <w:rPr>
          <w:color w:val="auto"/>
          <w:sz w:val="24"/>
          <w:szCs w:val="24"/>
        </w:rPr>
        <w:fldChar w:fldCharType="end"/>
      </w:r>
    </w:p>
    <w:p w14:paraId="6E4550C9">
      <w:pPr>
        <w:pStyle w:val="27"/>
        <w:tabs>
          <w:tab w:val="right" w:leader="dot" w:pos="8788"/>
        </w:tabs>
        <w:spacing w:line="320" w:lineRule="exact"/>
        <w:rPr>
          <w:color w:val="auto"/>
          <w:sz w:val="24"/>
          <w:szCs w:val="24"/>
        </w:rPr>
      </w:pPr>
      <w:r>
        <w:rPr>
          <w:color w:val="auto"/>
        </w:rPr>
        <w:fldChar w:fldCharType="begin"/>
      </w:r>
      <w:r>
        <w:rPr>
          <w:color w:val="auto"/>
        </w:rPr>
        <w:instrText xml:space="preserve"> HYPERLINK \l "_Toc19370" </w:instrText>
      </w:r>
      <w:r>
        <w:rPr>
          <w:color w:val="auto"/>
        </w:rPr>
        <w:fldChar w:fldCharType="separate"/>
      </w:r>
      <w:r>
        <w:rPr>
          <w:color w:val="auto"/>
          <w:sz w:val="24"/>
          <w:szCs w:val="24"/>
        </w:rPr>
        <w:t>第四节  矿区土地利用现状及采矿用地审批情况</w:t>
      </w:r>
      <w:r>
        <w:rPr>
          <w:color w:val="auto"/>
          <w:sz w:val="24"/>
          <w:szCs w:val="24"/>
        </w:rPr>
        <w:tab/>
      </w:r>
      <w:r>
        <w:rPr>
          <w:color w:val="auto"/>
          <w:sz w:val="24"/>
          <w:szCs w:val="24"/>
        </w:rPr>
        <w:fldChar w:fldCharType="begin"/>
      </w:r>
      <w:r>
        <w:rPr>
          <w:color w:val="auto"/>
          <w:sz w:val="24"/>
          <w:szCs w:val="24"/>
        </w:rPr>
        <w:instrText xml:space="preserve"> PAGEREF _Toc19370 \h </w:instrText>
      </w:r>
      <w:r>
        <w:rPr>
          <w:color w:val="auto"/>
          <w:sz w:val="24"/>
          <w:szCs w:val="24"/>
        </w:rPr>
        <w:fldChar w:fldCharType="separate"/>
      </w:r>
      <w:r>
        <w:rPr>
          <w:color w:val="auto"/>
          <w:sz w:val="24"/>
          <w:szCs w:val="24"/>
        </w:rPr>
        <w:t>35</w:t>
      </w:r>
      <w:r>
        <w:rPr>
          <w:color w:val="auto"/>
          <w:sz w:val="24"/>
          <w:szCs w:val="24"/>
        </w:rPr>
        <w:fldChar w:fldCharType="end"/>
      </w:r>
      <w:r>
        <w:rPr>
          <w:color w:val="auto"/>
          <w:sz w:val="24"/>
          <w:szCs w:val="24"/>
        </w:rPr>
        <w:fldChar w:fldCharType="end"/>
      </w:r>
    </w:p>
    <w:p w14:paraId="743913B8">
      <w:pPr>
        <w:pStyle w:val="27"/>
        <w:tabs>
          <w:tab w:val="right" w:leader="dot" w:pos="8788"/>
        </w:tabs>
        <w:spacing w:line="320" w:lineRule="exact"/>
        <w:rPr>
          <w:color w:val="auto"/>
          <w:sz w:val="24"/>
          <w:szCs w:val="24"/>
        </w:rPr>
      </w:pPr>
      <w:r>
        <w:rPr>
          <w:color w:val="auto"/>
        </w:rPr>
        <w:fldChar w:fldCharType="begin"/>
      </w:r>
      <w:r>
        <w:rPr>
          <w:color w:val="auto"/>
        </w:rPr>
        <w:instrText xml:space="preserve"> HYPERLINK \l "_Toc24424" </w:instrText>
      </w:r>
      <w:r>
        <w:rPr>
          <w:color w:val="auto"/>
        </w:rPr>
        <w:fldChar w:fldCharType="separate"/>
      </w:r>
      <w:r>
        <w:rPr>
          <w:rFonts w:hint="eastAsia"/>
          <w:color w:val="auto"/>
          <w:sz w:val="24"/>
          <w:szCs w:val="24"/>
        </w:rPr>
        <w:t>第五节  矿区生态状况</w:t>
      </w:r>
      <w:r>
        <w:rPr>
          <w:color w:val="auto"/>
          <w:sz w:val="24"/>
          <w:szCs w:val="24"/>
        </w:rPr>
        <w:tab/>
      </w:r>
      <w:r>
        <w:rPr>
          <w:color w:val="auto"/>
          <w:sz w:val="24"/>
          <w:szCs w:val="24"/>
        </w:rPr>
        <w:fldChar w:fldCharType="begin"/>
      </w:r>
      <w:r>
        <w:rPr>
          <w:color w:val="auto"/>
          <w:sz w:val="24"/>
          <w:szCs w:val="24"/>
        </w:rPr>
        <w:instrText xml:space="preserve"> PAGEREF _Toc24424 \h </w:instrText>
      </w:r>
      <w:r>
        <w:rPr>
          <w:color w:val="auto"/>
          <w:sz w:val="24"/>
          <w:szCs w:val="24"/>
        </w:rPr>
        <w:fldChar w:fldCharType="separate"/>
      </w:r>
      <w:r>
        <w:rPr>
          <w:color w:val="auto"/>
          <w:sz w:val="24"/>
          <w:szCs w:val="24"/>
        </w:rPr>
        <w:t>37</w:t>
      </w:r>
      <w:r>
        <w:rPr>
          <w:color w:val="auto"/>
          <w:sz w:val="24"/>
          <w:szCs w:val="24"/>
        </w:rPr>
        <w:fldChar w:fldCharType="end"/>
      </w:r>
      <w:r>
        <w:rPr>
          <w:color w:val="auto"/>
          <w:sz w:val="24"/>
          <w:szCs w:val="24"/>
        </w:rPr>
        <w:fldChar w:fldCharType="end"/>
      </w:r>
    </w:p>
    <w:p w14:paraId="102CE7D5">
      <w:pPr>
        <w:pStyle w:val="27"/>
        <w:tabs>
          <w:tab w:val="right" w:leader="dot" w:pos="8788"/>
        </w:tabs>
        <w:spacing w:line="320" w:lineRule="exact"/>
        <w:rPr>
          <w:color w:val="auto"/>
          <w:sz w:val="24"/>
          <w:szCs w:val="24"/>
        </w:rPr>
      </w:pPr>
      <w:r>
        <w:rPr>
          <w:color w:val="auto"/>
        </w:rPr>
        <w:fldChar w:fldCharType="begin"/>
      </w:r>
      <w:r>
        <w:rPr>
          <w:color w:val="auto"/>
        </w:rPr>
        <w:instrText xml:space="preserve"> HYPERLINK \l "_Toc12378" </w:instrText>
      </w:r>
      <w:r>
        <w:rPr>
          <w:color w:val="auto"/>
        </w:rPr>
        <w:fldChar w:fldCharType="separate"/>
      </w:r>
      <w:r>
        <w:rPr>
          <w:rFonts w:hint="eastAsia"/>
          <w:color w:val="auto"/>
          <w:sz w:val="24"/>
          <w:szCs w:val="24"/>
        </w:rPr>
        <w:t>第</w:t>
      </w:r>
      <w:r>
        <w:rPr>
          <w:rFonts w:hint="eastAsia"/>
          <w:color w:val="auto"/>
          <w:sz w:val="24"/>
          <w:szCs w:val="24"/>
          <w:lang w:val="en-US" w:eastAsia="zh-CN"/>
        </w:rPr>
        <w:t>六</w:t>
      </w:r>
      <w:r>
        <w:rPr>
          <w:rFonts w:hint="eastAsia"/>
          <w:color w:val="auto"/>
          <w:sz w:val="24"/>
          <w:szCs w:val="24"/>
        </w:rPr>
        <w:t>节  矿区生态修复工作情况</w:t>
      </w:r>
      <w:r>
        <w:rPr>
          <w:color w:val="auto"/>
          <w:sz w:val="24"/>
          <w:szCs w:val="24"/>
        </w:rPr>
        <w:tab/>
      </w:r>
      <w:r>
        <w:rPr>
          <w:color w:val="auto"/>
          <w:sz w:val="24"/>
          <w:szCs w:val="24"/>
        </w:rPr>
        <w:fldChar w:fldCharType="begin"/>
      </w:r>
      <w:r>
        <w:rPr>
          <w:color w:val="auto"/>
          <w:sz w:val="24"/>
          <w:szCs w:val="24"/>
        </w:rPr>
        <w:instrText xml:space="preserve"> PAGEREF _Toc12378 \h </w:instrText>
      </w:r>
      <w:r>
        <w:rPr>
          <w:color w:val="auto"/>
          <w:sz w:val="24"/>
          <w:szCs w:val="24"/>
        </w:rPr>
        <w:fldChar w:fldCharType="separate"/>
      </w:r>
      <w:r>
        <w:rPr>
          <w:color w:val="auto"/>
          <w:sz w:val="24"/>
          <w:szCs w:val="24"/>
        </w:rPr>
        <w:t>44</w:t>
      </w:r>
      <w:r>
        <w:rPr>
          <w:color w:val="auto"/>
          <w:sz w:val="24"/>
          <w:szCs w:val="24"/>
        </w:rPr>
        <w:fldChar w:fldCharType="end"/>
      </w:r>
      <w:r>
        <w:rPr>
          <w:color w:val="auto"/>
          <w:sz w:val="24"/>
          <w:szCs w:val="24"/>
        </w:rPr>
        <w:fldChar w:fldCharType="end"/>
      </w:r>
    </w:p>
    <w:p w14:paraId="25C6952C">
      <w:pPr>
        <w:pStyle w:val="27"/>
        <w:tabs>
          <w:tab w:val="right" w:leader="dot" w:pos="8788"/>
        </w:tabs>
        <w:spacing w:line="320" w:lineRule="exact"/>
        <w:rPr>
          <w:color w:val="auto"/>
          <w:sz w:val="24"/>
          <w:szCs w:val="24"/>
        </w:rPr>
      </w:pPr>
      <w:r>
        <w:rPr>
          <w:color w:val="auto"/>
        </w:rPr>
        <w:fldChar w:fldCharType="begin"/>
      </w:r>
      <w:r>
        <w:rPr>
          <w:color w:val="auto"/>
        </w:rPr>
        <w:instrText xml:space="preserve"> HYPERLINK \l "_Toc25112" </w:instrText>
      </w:r>
      <w:r>
        <w:rPr>
          <w:color w:val="auto"/>
        </w:rPr>
        <w:fldChar w:fldCharType="separate"/>
      </w:r>
      <w:r>
        <w:rPr>
          <w:rFonts w:hint="eastAsia"/>
          <w:color w:val="auto"/>
          <w:sz w:val="24"/>
          <w:szCs w:val="24"/>
        </w:rPr>
        <w:t>第</w:t>
      </w:r>
      <w:r>
        <w:rPr>
          <w:rFonts w:hint="eastAsia"/>
          <w:color w:val="auto"/>
          <w:sz w:val="24"/>
          <w:szCs w:val="24"/>
          <w:lang w:val="en-US" w:eastAsia="zh-CN"/>
        </w:rPr>
        <w:t>七</w:t>
      </w:r>
      <w:r>
        <w:rPr>
          <w:rFonts w:hint="eastAsia"/>
          <w:color w:val="auto"/>
          <w:sz w:val="24"/>
          <w:szCs w:val="24"/>
        </w:rPr>
        <w:t>节  矿区基本情况调查监测指标</w:t>
      </w:r>
      <w:r>
        <w:rPr>
          <w:color w:val="auto"/>
          <w:sz w:val="24"/>
          <w:szCs w:val="24"/>
        </w:rPr>
        <w:tab/>
      </w:r>
      <w:r>
        <w:rPr>
          <w:color w:val="auto"/>
          <w:sz w:val="24"/>
          <w:szCs w:val="24"/>
        </w:rPr>
        <w:fldChar w:fldCharType="begin"/>
      </w:r>
      <w:r>
        <w:rPr>
          <w:color w:val="auto"/>
          <w:sz w:val="24"/>
          <w:szCs w:val="24"/>
        </w:rPr>
        <w:instrText xml:space="preserve"> PAGEREF _Toc25112 \h </w:instrText>
      </w:r>
      <w:r>
        <w:rPr>
          <w:color w:val="auto"/>
          <w:sz w:val="24"/>
          <w:szCs w:val="24"/>
        </w:rPr>
        <w:fldChar w:fldCharType="separate"/>
      </w:r>
      <w:r>
        <w:rPr>
          <w:color w:val="auto"/>
          <w:sz w:val="24"/>
          <w:szCs w:val="24"/>
        </w:rPr>
        <w:t>48</w:t>
      </w:r>
      <w:r>
        <w:rPr>
          <w:color w:val="auto"/>
          <w:sz w:val="24"/>
          <w:szCs w:val="24"/>
        </w:rPr>
        <w:fldChar w:fldCharType="end"/>
      </w:r>
      <w:r>
        <w:rPr>
          <w:color w:val="auto"/>
          <w:sz w:val="24"/>
          <w:szCs w:val="24"/>
        </w:rPr>
        <w:fldChar w:fldCharType="end"/>
      </w:r>
    </w:p>
    <w:p w14:paraId="4E5574B4">
      <w:pPr>
        <w:pStyle w:val="24"/>
        <w:tabs>
          <w:tab w:val="right" w:leader="dot" w:pos="8788"/>
        </w:tabs>
        <w:spacing w:line="320" w:lineRule="exact"/>
        <w:rPr>
          <w:color w:val="auto"/>
          <w:sz w:val="24"/>
          <w:szCs w:val="24"/>
        </w:rPr>
      </w:pPr>
      <w:r>
        <w:rPr>
          <w:color w:val="auto"/>
        </w:rPr>
        <w:fldChar w:fldCharType="begin"/>
      </w:r>
      <w:r>
        <w:rPr>
          <w:color w:val="auto"/>
        </w:rPr>
        <w:instrText xml:space="preserve"> HYPERLINK \l "_Toc22765" </w:instrText>
      </w:r>
      <w:r>
        <w:rPr>
          <w:color w:val="auto"/>
        </w:rPr>
        <w:fldChar w:fldCharType="separate"/>
      </w:r>
      <w:r>
        <w:rPr>
          <w:rFonts w:hint="eastAsia" w:ascii="黑体" w:hAnsi="黑体" w:eastAsia="黑体" w:cs="黑体"/>
          <w:bCs/>
          <w:color w:val="auto"/>
          <w:sz w:val="24"/>
          <w:szCs w:val="24"/>
        </w:rPr>
        <w:t>第三章  问题识别诊断及修复可行性分析</w:t>
      </w:r>
      <w:r>
        <w:rPr>
          <w:color w:val="auto"/>
          <w:sz w:val="24"/>
          <w:szCs w:val="24"/>
        </w:rPr>
        <w:tab/>
      </w:r>
      <w:r>
        <w:rPr>
          <w:color w:val="auto"/>
          <w:sz w:val="24"/>
          <w:szCs w:val="24"/>
        </w:rPr>
        <w:fldChar w:fldCharType="begin"/>
      </w:r>
      <w:r>
        <w:rPr>
          <w:color w:val="auto"/>
          <w:sz w:val="24"/>
          <w:szCs w:val="24"/>
        </w:rPr>
        <w:instrText xml:space="preserve"> PAGEREF _Toc22765 \h </w:instrText>
      </w:r>
      <w:r>
        <w:rPr>
          <w:color w:val="auto"/>
          <w:sz w:val="24"/>
          <w:szCs w:val="24"/>
        </w:rPr>
        <w:fldChar w:fldCharType="separate"/>
      </w:r>
      <w:r>
        <w:rPr>
          <w:color w:val="auto"/>
          <w:sz w:val="24"/>
          <w:szCs w:val="24"/>
        </w:rPr>
        <w:t>53</w:t>
      </w:r>
      <w:r>
        <w:rPr>
          <w:color w:val="auto"/>
          <w:sz w:val="24"/>
          <w:szCs w:val="24"/>
        </w:rPr>
        <w:fldChar w:fldCharType="end"/>
      </w:r>
      <w:r>
        <w:rPr>
          <w:color w:val="auto"/>
          <w:sz w:val="24"/>
          <w:szCs w:val="24"/>
        </w:rPr>
        <w:fldChar w:fldCharType="end"/>
      </w:r>
    </w:p>
    <w:p w14:paraId="3F6AEE50">
      <w:pPr>
        <w:pStyle w:val="27"/>
        <w:tabs>
          <w:tab w:val="right" w:leader="dot" w:pos="8788"/>
        </w:tabs>
        <w:spacing w:line="320" w:lineRule="exact"/>
        <w:rPr>
          <w:color w:val="auto"/>
          <w:sz w:val="24"/>
          <w:szCs w:val="24"/>
        </w:rPr>
      </w:pPr>
      <w:r>
        <w:rPr>
          <w:color w:val="auto"/>
        </w:rPr>
        <w:fldChar w:fldCharType="begin"/>
      </w:r>
      <w:r>
        <w:rPr>
          <w:color w:val="auto"/>
        </w:rPr>
        <w:instrText xml:space="preserve"> HYPERLINK \l "_Toc21494" </w:instrText>
      </w:r>
      <w:r>
        <w:rPr>
          <w:color w:val="auto"/>
        </w:rPr>
        <w:fldChar w:fldCharType="separate"/>
      </w:r>
      <w:r>
        <w:rPr>
          <w:color w:val="auto"/>
          <w:sz w:val="24"/>
          <w:szCs w:val="24"/>
        </w:rPr>
        <w:t>第一节  问题识别与受损预测</w:t>
      </w:r>
      <w:r>
        <w:rPr>
          <w:color w:val="auto"/>
          <w:sz w:val="24"/>
          <w:szCs w:val="24"/>
        </w:rPr>
        <w:tab/>
      </w:r>
      <w:r>
        <w:rPr>
          <w:color w:val="auto"/>
          <w:sz w:val="24"/>
          <w:szCs w:val="24"/>
        </w:rPr>
        <w:fldChar w:fldCharType="begin"/>
      </w:r>
      <w:r>
        <w:rPr>
          <w:color w:val="auto"/>
          <w:sz w:val="24"/>
          <w:szCs w:val="24"/>
        </w:rPr>
        <w:instrText xml:space="preserve"> PAGEREF _Toc21494 \h </w:instrText>
      </w:r>
      <w:r>
        <w:rPr>
          <w:color w:val="auto"/>
          <w:sz w:val="24"/>
          <w:szCs w:val="24"/>
        </w:rPr>
        <w:fldChar w:fldCharType="separate"/>
      </w:r>
      <w:r>
        <w:rPr>
          <w:color w:val="auto"/>
          <w:sz w:val="24"/>
          <w:szCs w:val="24"/>
        </w:rPr>
        <w:t>53</w:t>
      </w:r>
      <w:r>
        <w:rPr>
          <w:color w:val="auto"/>
          <w:sz w:val="24"/>
          <w:szCs w:val="24"/>
        </w:rPr>
        <w:fldChar w:fldCharType="end"/>
      </w:r>
      <w:r>
        <w:rPr>
          <w:color w:val="auto"/>
          <w:sz w:val="24"/>
          <w:szCs w:val="24"/>
        </w:rPr>
        <w:fldChar w:fldCharType="end"/>
      </w:r>
    </w:p>
    <w:p w14:paraId="04455380">
      <w:pPr>
        <w:pStyle w:val="27"/>
        <w:tabs>
          <w:tab w:val="right" w:leader="dot" w:pos="8788"/>
        </w:tabs>
        <w:spacing w:line="320" w:lineRule="exact"/>
        <w:rPr>
          <w:color w:val="auto"/>
          <w:sz w:val="24"/>
          <w:szCs w:val="24"/>
        </w:rPr>
      </w:pPr>
      <w:r>
        <w:rPr>
          <w:color w:val="auto"/>
        </w:rPr>
        <w:fldChar w:fldCharType="begin"/>
      </w:r>
      <w:r>
        <w:rPr>
          <w:color w:val="auto"/>
        </w:rPr>
        <w:instrText xml:space="preserve"> HYPERLINK \l "_Toc31024" </w:instrText>
      </w:r>
      <w:r>
        <w:rPr>
          <w:color w:val="auto"/>
        </w:rPr>
        <w:fldChar w:fldCharType="separate"/>
      </w:r>
      <w:r>
        <w:rPr>
          <w:rFonts w:hint="eastAsia"/>
          <w:color w:val="auto"/>
          <w:sz w:val="24"/>
          <w:szCs w:val="24"/>
        </w:rPr>
        <w:t>第二节  生态修复可行性分析</w:t>
      </w:r>
      <w:r>
        <w:rPr>
          <w:color w:val="auto"/>
          <w:sz w:val="24"/>
          <w:szCs w:val="24"/>
        </w:rPr>
        <w:tab/>
      </w:r>
      <w:r>
        <w:rPr>
          <w:color w:val="auto"/>
          <w:sz w:val="24"/>
          <w:szCs w:val="24"/>
        </w:rPr>
        <w:fldChar w:fldCharType="begin"/>
      </w:r>
      <w:r>
        <w:rPr>
          <w:color w:val="auto"/>
          <w:sz w:val="24"/>
          <w:szCs w:val="24"/>
        </w:rPr>
        <w:instrText xml:space="preserve"> PAGEREF _Toc31024 \h </w:instrText>
      </w:r>
      <w:r>
        <w:rPr>
          <w:color w:val="auto"/>
          <w:sz w:val="24"/>
          <w:szCs w:val="24"/>
        </w:rPr>
        <w:fldChar w:fldCharType="separate"/>
      </w:r>
      <w:r>
        <w:rPr>
          <w:color w:val="auto"/>
          <w:sz w:val="24"/>
          <w:szCs w:val="24"/>
        </w:rPr>
        <w:t>85</w:t>
      </w:r>
      <w:r>
        <w:rPr>
          <w:color w:val="auto"/>
          <w:sz w:val="24"/>
          <w:szCs w:val="24"/>
        </w:rPr>
        <w:fldChar w:fldCharType="end"/>
      </w:r>
      <w:r>
        <w:rPr>
          <w:color w:val="auto"/>
          <w:sz w:val="24"/>
          <w:szCs w:val="24"/>
        </w:rPr>
        <w:fldChar w:fldCharType="end"/>
      </w:r>
    </w:p>
    <w:p w14:paraId="72A10035">
      <w:pPr>
        <w:pStyle w:val="27"/>
        <w:tabs>
          <w:tab w:val="right" w:leader="dot" w:pos="8788"/>
        </w:tabs>
        <w:spacing w:line="320" w:lineRule="exact"/>
        <w:rPr>
          <w:color w:val="auto"/>
          <w:sz w:val="24"/>
          <w:szCs w:val="24"/>
        </w:rPr>
      </w:pPr>
      <w:r>
        <w:rPr>
          <w:color w:val="auto"/>
        </w:rPr>
        <w:fldChar w:fldCharType="begin"/>
      </w:r>
      <w:r>
        <w:rPr>
          <w:color w:val="auto"/>
        </w:rPr>
        <w:instrText xml:space="preserve"> HYPERLINK \l "_Toc26544" </w:instrText>
      </w:r>
      <w:r>
        <w:rPr>
          <w:color w:val="auto"/>
        </w:rPr>
        <w:fldChar w:fldCharType="separate"/>
      </w:r>
      <w:r>
        <w:rPr>
          <w:color w:val="auto"/>
          <w:sz w:val="24"/>
          <w:szCs w:val="24"/>
        </w:rPr>
        <w:t>第三节  生态修复分区及修复时序安排</w:t>
      </w:r>
      <w:r>
        <w:rPr>
          <w:color w:val="auto"/>
          <w:sz w:val="24"/>
          <w:szCs w:val="24"/>
        </w:rPr>
        <w:tab/>
      </w:r>
      <w:r>
        <w:rPr>
          <w:color w:val="auto"/>
          <w:sz w:val="24"/>
          <w:szCs w:val="24"/>
        </w:rPr>
        <w:fldChar w:fldCharType="begin"/>
      </w:r>
      <w:r>
        <w:rPr>
          <w:color w:val="auto"/>
          <w:sz w:val="24"/>
          <w:szCs w:val="24"/>
        </w:rPr>
        <w:instrText xml:space="preserve"> PAGEREF _Toc26544 \h </w:instrText>
      </w:r>
      <w:r>
        <w:rPr>
          <w:color w:val="auto"/>
          <w:sz w:val="24"/>
          <w:szCs w:val="24"/>
        </w:rPr>
        <w:fldChar w:fldCharType="separate"/>
      </w:r>
      <w:r>
        <w:rPr>
          <w:color w:val="auto"/>
          <w:sz w:val="24"/>
          <w:szCs w:val="24"/>
        </w:rPr>
        <w:t>102</w:t>
      </w:r>
      <w:r>
        <w:rPr>
          <w:color w:val="auto"/>
          <w:sz w:val="24"/>
          <w:szCs w:val="24"/>
        </w:rPr>
        <w:fldChar w:fldCharType="end"/>
      </w:r>
      <w:r>
        <w:rPr>
          <w:color w:val="auto"/>
          <w:sz w:val="24"/>
          <w:szCs w:val="24"/>
        </w:rPr>
        <w:fldChar w:fldCharType="end"/>
      </w:r>
    </w:p>
    <w:p w14:paraId="2591DFA0">
      <w:pPr>
        <w:pStyle w:val="27"/>
        <w:tabs>
          <w:tab w:val="right" w:leader="dot" w:pos="8788"/>
        </w:tabs>
        <w:spacing w:line="320" w:lineRule="exact"/>
        <w:rPr>
          <w:color w:val="auto"/>
          <w:sz w:val="24"/>
          <w:szCs w:val="24"/>
        </w:rPr>
      </w:pPr>
      <w:r>
        <w:rPr>
          <w:color w:val="auto"/>
        </w:rPr>
        <w:fldChar w:fldCharType="begin"/>
      </w:r>
      <w:r>
        <w:rPr>
          <w:color w:val="auto"/>
        </w:rPr>
        <w:instrText xml:space="preserve"> HYPERLINK \l "_Toc24091" </w:instrText>
      </w:r>
      <w:r>
        <w:rPr>
          <w:color w:val="auto"/>
        </w:rPr>
        <w:fldChar w:fldCharType="separate"/>
      </w:r>
      <w:r>
        <w:rPr>
          <w:rFonts w:hint="eastAsia"/>
          <w:color w:val="auto"/>
          <w:sz w:val="24"/>
          <w:szCs w:val="24"/>
        </w:rPr>
        <w:t>第四节  采矿用地与复垦修复安排</w:t>
      </w:r>
      <w:r>
        <w:rPr>
          <w:color w:val="auto"/>
          <w:sz w:val="24"/>
          <w:szCs w:val="24"/>
        </w:rPr>
        <w:tab/>
      </w:r>
      <w:r>
        <w:rPr>
          <w:color w:val="auto"/>
          <w:sz w:val="24"/>
          <w:szCs w:val="24"/>
        </w:rPr>
        <w:fldChar w:fldCharType="begin"/>
      </w:r>
      <w:r>
        <w:rPr>
          <w:color w:val="auto"/>
          <w:sz w:val="24"/>
          <w:szCs w:val="24"/>
        </w:rPr>
        <w:instrText xml:space="preserve"> PAGEREF _Toc24091 \h </w:instrText>
      </w:r>
      <w:r>
        <w:rPr>
          <w:color w:val="auto"/>
          <w:sz w:val="24"/>
          <w:szCs w:val="24"/>
        </w:rPr>
        <w:fldChar w:fldCharType="separate"/>
      </w:r>
      <w:r>
        <w:rPr>
          <w:color w:val="auto"/>
          <w:sz w:val="24"/>
          <w:szCs w:val="24"/>
        </w:rPr>
        <w:t>109</w:t>
      </w:r>
      <w:r>
        <w:rPr>
          <w:color w:val="auto"/>
          <w:sz w:val="24"/>
          <w:szCs w:val="24"/>
        </w:rPr>
        <w:fldChar w:fldCharType="end"/>
      </w:r>
      <w:r>
        <w:rPr>
          <w:color w:val="auto"/>
          <w:sz w:val="24"/>
          <w:szCs w:val="24"/>
        </w:rPr>
        <w:fldChar w:fldCharType="end"/>
      </w:r>
    </w:p>
    <w:p w14:paraId="683CC607">
      <w:pPr>
        <w:pStyle w:val="24"/>
        <w:tabs>
          <w:tab w:val="right" w:leader="dot" w:pos="8788"/>
        </w:tabs>
        <w:spacing w:line="320" w:lineRule="exact"/>
        <w:rPr>
          <w:color w:val="auto"/>
          <w:sz w:val="24"/>
          <w:szCs w:val="24"/>
        </w:rPr>
      </w:pPr>
      <w:r>
        <w:rPr>
          <w:color w:val="auto"/>
        </w:rPr>
        <w:fldChar w:fldCharType="begin"/>
      </w:r>
      <w:r>
        <w:rPr>
          <w:color w:val="auto"/>
        </w:rPr>
        <w:instrText xml:space="preserve"> HYPERLINK \l "_Toc24520" </w:instrText>
      </w:r>
      <w:r>
        <w:rPr>
          <w:color w:val="auto"/>
        </w:rPr>
        <w:fldChar w:fldCharType="separate"/>
      </w:r>
      <w:r>
        <w:rPr>
          <w:rFonts w:hint="eastAsia" w:ascii="黑体" w:hAnsi="黑体" w:eastAsia="黑体" w:cs="黑体"/>
          <w:bCs/>
          <w:color w:val="auto"/>
          <w:sz w:val="24"/>
          <w:szCs w:val="24"/>
        </w:rPr>
        <w:t>第四章  生态修复措施与工程内容</w:t>
      </w:r>
      <w:r>
        <w:rPr>
          <w:color w:val="auto"/>
          <w:sz w:val="24"/>
          <w:szCs w:val="24"/>
        </w:rPr>
        <w:tab/>
      </w:r>
      <w:r>
        <w:rPr>
          <w:color w:val="auto"/>
          <w:sz w:val="24"/>
          <w:szCs w:val="24"/>
        </w:rPr>
        <w:fldChar w:fldCharType="begin"/>
      </w:r>
      <w:r>
        <w:rPr>
          <w:color w:val="auto"/>
          <w:sz w:val="24"/>
          <w:szCs w:val="24"/>
        </w:rPr>
        <w:instrText xml:space="preserve"> PAGEREF _Toc24520 \h </w:instrText>
      </w:r>
      <w:r>
        <w:rPr>
          <w:color w:val="auto"/>
          <w:sz w:val="24"/>
          <w:szCs w:val="24"/>
        </w:rPr>
        <w:fldChar w:fldCharType="separate"/>
      </w:r>
      <w:r>
        <w:rPr>
          <w:color w:val="auto"/>
          <w:sz w:val="24"/>
          <w:szCs w:val="24"/>
        </w:rPr>
        <w:t>113</w:t>
      </w:r>
      <w:r>
        <w:rPr>
          <w:color w:val="auto"/>
          <w:sz w:val="24"/>
          <w:szCs w:val="24"/>
        </w:rPr>
        <w:fldChar w:fldCharType="end"/>
      </w:r>
      <w:r>
        <w:rPr>
          <w:color w:val="auto"/>
          <w:sz w:val="24"/>
          <w:szCs w:val="24"/>
        </w:rPr>
        <w:fldChar w:fldCharType="end"/>
      </w:r>
    </w:p>
    <w:p w14:paraId="7E85F0A0">
      <w:pPr>
        <w:pStyle w:val="27"/>
        <w:tabs>
          <w:tab w:val="right" w:leader="dot" w:pos="8788"/>
        </w:tabs>
        <w:spacing w:line="320" w:lineRule="exact"/>
        <w:rPr>
          <w:color w:val="auto"/>
          <w:sz w:val="24"/>
          <w:szCs w:val="24"/>
        </w:rPr>
      </w:pPr>
      <w:r>
        <w:rPr>
          <w:color w:val="auto"/>
        </w:rPr>
        <w:fldChar w:fldCharType="begin"/>
      </w:r>
      <w:r>
        <w:rPr>
          <w:color w:val="auto"/>
        </w:rPr>
        <w:instrText xml:space="preserve"> HYPERLINK \l "_Toc27621" </w:instrText>
      </w:r>
      <w:r>
        <w:rPr>
          <w:color w:val="auto"/>
        </w:rPr>
        <w:fldChar w:fldCharType="separate"/>
      </w:r>
      <w:r>
        <w:rPr>
          <w:rFonts w:hint="eastAsia" w:ascii="黑体" w:hAnsi="Arial"/>
          <w:color w:val="auto"/>
          <w:sz w:val="24"/>
          <w:szCs w:val="24"/>
        </w:rPr>
        <w:t>第一节 保护与预防控制措施</w:t>
      </w:r>
      <w:r>
        <w:rPr>
          <w:color w:val="auto"/>
          <w:sz w:val="24"/>
          <w:szCs w:val="24"/>
        </w:rPr>
        <w:tab/>
      </w:r>
      <w:r>
        <w:rPr>
          <w:color w:val="auto"/>
          <w:sz w:val="24"/>
          <w:szCs w:val="24"/>
        </w:rPr>
        <w:fldChar w:fldCharType="begin"/>
      </w:r>
      <w:r>
        <w:rPr>
          <w:color w:val="auto"/>
          <w:sz w:val="24"/>
          <w:szCs w:val="24"/>
        </w:rPr>
        <w:instrText xml:space="preserve"> PAGEREF _Toc27621 \h </w:instrText>
      </w:r>
      <w:r>
        <w:rPr>
          <w:color w:val="auto"/>
          <w:sz w:val="24"/>
          <w:szCs w:val="24"/>
        </w:rPr>
        <w:fldChar w:fldCharType="separate"/>
      </w:r>
      <w:r>
        <w:rPr>
          <w:color w:val="auto"/>
          <w:sz w:val="24"/>
          <w:szCs w:val="24"/>
        </w:rPr>
        <w:t>113</w:t>
      </w:r>
      <w:r>
        <w:rPr>
          <w:color w:val="auto"/>
          <w:sz w:val="24"/>
          <w:szCs w:val="24"/>
        </w:rPr>
        <w:fldChar w:fldCharType="end"/>
      </w:r>
      <w:r>
        <w:rPr>
          <w:color w:val="auto"/>
          <w:sz w:val="24"/>
          <w:szCs w:val="24"/>
        </w:rPr>
        <w:fldChar w:fldCharType="end"/>
      </w:r>
    </w:p>
    <w:p w14:paraId="736D3484">
      <w:pPr>
        <w:pStyle w:val="27"/>
        <w:tabs>
          <w:tab w:val="right" w:leader="dot" w:pos="8788"/>
        </w:tabs>
        <w:spacing w:line="320" w:lineRule="exact"/>
        <w:rPr>
          <w:color w:val="auto"/>
          <w:sz w:val="24"/>
          <w:szCs w:val="24"/>
        </w:rPr>
      </w:pPr>
      <w:r>
        <w:rPr>
          <w:color w:val="auto"/>
        </w:rPr>
        <w:fldChar w:fldCharType="begin"/>
      </w:r>
      <w:r>
        <w:rPr>
          <w:color w:val="auto"/>
        </w:rPr>
        <w:instrText xml:space="preserve"> HYPERLINK \l "_Toc5207" </w:instrText>
      </w:r>
      <w:r>
        <w:rPr>
          <w:color w:val="auto"/>
        </w:rPr>
        <w:fldChar w:fldCharType="separate"/>
      </w:r>
      <w:r>
        <w:rPr>
          <w:color w:val="auto"/>
          <w:sz w:val="24"/>
          <w:szCs w:val="24"/>
        </w:rPr>
        <w:t>第二节  修复措施</w:t>
      </w:r>
      <w:r>
        <w:rPr>
          <w:color w:val="auto"/>
          <w:sz w:val="24"/>
          <w:szCs w:val="24"/>
        </w:rPr>
        <w:tab/>
      </w:r>
      <w:r>
        <w:rPr>
          <w:color w:val="auto"/>
          <w:sz w:val="24"/>
          <w:szCs w:val="24"/>
        </w:rPr>
        <w:fldChar w:fldCharType="begin"/>
      </w:r>
      <w:r>
        <w:rPr>
          <w:color w:val="auto"/>
          <w:sz w:val="24"/>
          <w:szCs w:val="24"/>
        </w:rPr>
        <w:instrText xml:space="preserve"> PAGEREF _Toc5207 \h </w:instrText>
      </w:r>
      <w:r>
        <w:rPr>
          <w:color w:val="auto"/>
          <w:sz w:val="24"/>
          <w:szCs w:val="24"/>
        </w:rPr>
        <w:fldChar w:fldCharType="separate"/>
      </w:r>
      <w:r>
        <w:rPr>
          <w:color w:val="auto"/>
          <w:sz w:val="24"/>
          <w:szCs w:val="24"/>
        </w:rPr>
        <w:t>115</w:t>
      </w:r>
      <w:r>
        <w:rPr>
          <w:color w:val="auto"/>
          <w:sz w:val="24"/>
          <w:szCs w:val="24"/>
        </w:rPr>
        <w:fldChar w:fldCharType="end"/>
      </w:r>
      <w:r>
        <w:rPr>
          <w:color w:val="auto"/>
          <w:sz w:val="24"/>
          <w:szCs w:val="24"/>
        </w:rPr>
        <w:fldChar w:fldCharType="end"/>
      </w:r>
    </w:p>
    <w:p w14:paraId="3F8498AD">
      <w:pPr>
        <w:pStyle w:val="27"/>
        <w:tabs>
          <w:tab w:val="right" w:leader="dot" w:pos="8788"/>
        </w:tabs>
        <w:spacing w:line="320" w:lineRule="exact"/>
        <w:rPr>
          <w:color w:val="auto"/>
          <w:sz w:val="24"/>
          <w:szCs w:val="24"/>
        </w:rPr>
      </w:pPr>
      <w:r>
        <w:rPr>
          <w:color w:val="auto"/>
        </w:rPr>
        <w:fldChar w:fldCharType="begin"/>
      </w:r>
      <w:r>
        <w:rPr>
          <w:color w:val="auto"/>
        </w:rPr>
        <w:instrText xml:space="preserve"> HYPERLINK \l "_Toc29717" </w:instrText>
      </w:r>
      <w:r>
        <w:rPr>
          <w:color w:val="auto"/>
        </w:rPr>
        <w:fldChar w:fldCharType="separate"/>
      </w:r>
      <w:r>
        <w:rPr>
          <w:color w:val="auto"/>
          <w:sz w:val="24"/>
          <w:szCs w:val="24"/>
        </w:rPr>
        <w:t>第三节  工程内容</w:t>
      </w:r>
      <w:r>
        <w:rPr>
          <w:color w:val="auto"/>
          <w:sz w:val="24"/>
          <w:szCs w:val="24"/>
        </w:rPr>
        <w:tab/>
      </w:r>
      <w:r>
        <w:rPr>
          <w:color w:val="auto"/>
          <w:sz w:val="24"/>
          <w:szCs w:val="24"/>
        </w:rPr>
        <w:fldChar w:fldCharType="begin"/>
      </w:r>
      <w:r>
        <w:rPr>
          <w:color w:val="auto"/>
          <w:sz w:val="24"/>
          <w:szCs w:val="24"/>
        </w:rPr>
        <w:instrText xml:space="preserve"> PAGEREF _Toc29717 \h </w:instrText>
      </w:r>
      <w:r>
        <w:rPr>
          <w:color w:val="auto"/>
          <w:sz w:val="24"/>
          <w:szCs w:val="24"/>
        </w:rPr>
        <w:fldChar w:fldCharType="separate"/>
      </w:r>
      <w:r>
        <w:rPr>
          <w:color w:val="auto"/>
          <w:sz w:val="24"/>
          <w:szCs w:val="24"/>
        </w:rPr>
        <w:t>118</w:t>
      </w:r>
      <w:r>
        <w:rPr>
          <w:color w:val="auto"/>
          <w:sz w:val="24"/>
          <w:szCs w:val="24"/>
        </w:rPr>
        <w:fldChar w:fldCharType="end"/>
      </w:r>
      <w:r>
        <w:rPr>
          <w:color w:val="auto"/>
          <w:sz w:val="24"/>
          <w:szCs w:val="24"/>
        </w:rPr>
        <w:fldChar w:fldCharType="end"/>
      </w:r>
    </w:p>
    <w:p w14:paraId="5CE1EDE7">
      <w:pPr>
        <w:pStyle w:val="24"/>
        <w:tabs>
          <w:tab w:val="right" w:leader="dot" w:pos="8788"/>
        </w:tabs>
        <w:spacing w:line="320" w:lineRule="exact"/>
        <w:rPr>
          <w:color w:val="auto"/>
          <w:sz w:val="24"/>
          <w:szCs w:val="24"/>
        </w:rPr>
      </w:pPr>
      <w:r>
        <w:rPr>
          <w:color w:val="auto"/>
        </w:rPr>
        <w:fldChar w:fldCharType="begin"/>
      </w:r>
      <w:r>
        <w:rPr>
          <w:color w:val="auto"/>
        </w:rPr>
        <w:instrText xml:space="preserve"> HYPERLINK \l "_Toc19275" </w:instrText>
      </w:r>
      <w:r>
        <w:rPr>
          <w:color w:val="auto"/>
        </w:rPr>
        <w:fldChar w:fldCharType="separate"/>
      </w:r>
      <w:r>
        <w:rPr>
          <w:rFonts w:hint="eastAsia" w:ascii="黑体" w:hAnsi="黑体" w:eastAsia="黑体" w:cs="黑体"/>
          <w:bCs/>
          <w:color w:val="auto"/>
          <w:sz w:val="24"/>
          <w:szCs w:val="24"/>
        </w:rPr>
        <w:t>第五章  监测与管护</w:t>
      </w:r>
      <w:r>
        <w:rPr>
          <w:color w:val="auto"/>
          <w:sz w:val="24"/>
          <w:szCs w:val="24"/>
        </w:rPr>
        <w:tab/>
      </w:r>
      <w:r>
        <w:rPr>
          <w:color w:val="auto"/>
          <w:sz w:val="24"/>
          <w:szCs w:val="24"/>
        </w:rPr>
        <w:fldChar w:fldCharType="begin"/>
      </w:r>
      <w:r>
        <w:rPr>
          <w:color w:val="auto"/>
          <w:sz w:val="24"/>
          <w:szCs w:val="24"/>
        </w:rPr>
        <w:instrText xml:space="preserve"> PAGEREF _Toc19275 \h </w:instrText>
      </w:r>
      <w:r>
        <w:rPr>
          <w:color w:val="auto"/>
          <w:sz w:val="24"/>
          <w:szCs w:val="24"/>
        </w:rPr>
        <w:fldChar w:fldCharType="separate"/>
      </w:r>
      <w:r>
        <w:rPr>
          <w:color w:val="auto"/>
          <w:sz w:val="24"/>
          <w:szCs w:val="24"/>
        </w:rPr>
        <w:t>130</w:t>
      </w:r>
      <w:r>
        <w:rPr>
          <w:color w:val="auto"/>
          <w:sz w:val="24"/>
          <w:szCs w:val="24"/>
        </w:rPr>
        <w:fldChar w:fldCharType="end"/>
      </w:r>
      <w:r>
        <w:rPr>
          <w:color w:val="auto"/>
          <w:sz w:val="24"/>
          <w:szCs w:val="24"/>
        </w:rPr>
        <w:fldChar w:fldCharType="end"/>
      </w:r>
    </w:p>
    <w:p w14:paraId="62709494">
      <w:pPr>
        <w:pStyle w:val="27"/>
        <w:tabs>
          <w:tab w:val="right" w:leader="dot" w:pos="8788"/>
        </w:tabs>
        <w:spacing w:line="320" w:lineRule="exact"/>
        <w:rPr>
          <w:color w:val="auto"/>
          <w:sz w:val="24"/>
          <w:szCs w:val="24"/>
        </w:rPr>
      </w:pPr>
      <w:r>
        <w:rPr>
          <w:color w:val="auto"/>
        </w:rPr>
        <w:fldChar w:fldCharType="begin"/>
      </w:r>
      <w:r>
        <w:rPr>
          <w:color w:val="auto"/>
        </w:rPr>
        <w:instrText xml:space="preserve"> HYPERLINK \l "_Toc7491" </w:instrText>
      </w:r>
      <w:r>
        <w:rPr>
          <w:color w:val="auto"/>
        </w:rPr>
        <w:fldChar w:fldCharType="separate"/>
      </w:r>
      <w:r>
        <w:rPr>
          <w:rFonts w:hint="eastAsia"/>
          <w:color w:val="auto"/>
          <w:sz w:val="24"/>
          <w:szCs w:val="24"/>
        </w:rPr>
        <w:t>第一节  监测目标与措施</w:t>
      </w:r>
      <w:r>
        <w:rPr>
          <w:color w:val="auto"/>
          <w:sz w:val="24"/>
          <w:szCs w:val="24"/>
        </w:rPr>
        <w:tab/>
      </w:r>
      <w:r>
        <w:rPr>
          <w:color w:val="auto"/>
          <w:sz w:val="24"/>
          <w:szCs w:val="24"/>
        </w:rPr>
        <w:fldChar w:fldCharType="begin"/>
      </w:r>
      <w:r>
        <w:rPr>
          <w:color w:val="auto"/>
          <w:sz w:val="24"/>
          <w:szCs w:val="24"/>
        </w:rPr>
        <w:instrText xml:space="preserve"> PAGEREF _Toc7491 \h </w:instrText>
      </w:r>
      <w:r>
        <w:rPr>
          <w:color w:val="auto"/>
          <w:sz w:val="24"/>
          <w:szCs w:val="24"/>
        </w:rPr>
        <w:fldChar w:fldCharType="separate"/>
      </w:r>
      <w:r>
        <w:rPr>
          <w:color w:val="auto"/>
          <w:sz w:val="24"/>
          <w:szCs w:val="24"/>
        </w:rPr>
        <w:t>130</w:t>
      </w:r>
      <w:r>
        <w:rPr>
          <w:color w:val="auto"/>
          <w:sz w:val="24"/>
          <w:szCs w:val="24"/>
        </w:rPr>
        <w:fldChar w:fldCharType="end"/>
      </w:r>
      <w:r>
        <w:rPr>
          <w:color w:val="auto"/>
          <w:sz w:val="24"/>
          <w:szCs w:val="24"/>
        </w:rPr>
        <w:fldChar w:fldCharType="end"/>
      </w:r>
    </w:p>
    <w:p w14:paraId="1400CD8E">
      <w:pPr>
        <w:pStyle w:val="27"/>
        <w:tabs>
          <w:tab w:val="right" w:leader="dot" w:pos="8788"/>
        </w:tabs>
        <w:spacing w:line="320" w:lineRule="exact"/>
        <w:rPr>
          <w:color w:val="auto"/>
          <w:sz w:val="24"/>
          <w:szCs w:val="24"/>
        </w:rPr>
      </w:pPr>
      <w:r>
        <w:rPr>
          <w:color w:val="auto"/>
        </w:rPr>
        <w:fldChar w:fldCharType="begin"/>
      </w:r>
      <w:r>
        <w:rPr>
          <w:color w:val="auto"/>
        </w:rPr>
        <w:instrText xml:space="preserve"> HYPERLINK \l "_Toc12222" </w:instrText>
      </w:r>
      <w:r>
        <w:rPr>
          <w:color w:val="auto"/>
        </w:rPr>
        <w:fldChar w:fldCharType="separate"/>
      </w:r>
      <w:r>
        <w:rPr>
          <w:rFonts w:hint="eastAsia"/>
          <w:color w:val="auto"/>
          <w:sz w:val="24"/>
          <w:szCs w:val="24"/>
        </w:rPr>
        <w:t>第二节  管护目标与措施</w:t>
      </w:r>
      <w:r>
        <w:rPr>
          <w:color w:val="auto"/>
          <w:sz w:val="24"/>
          <w:szCs w:val="24"/>
        </w:rPr>
        <w:tab/>
      </w:r>
      <w:r>
        <w:rPr>
          <w:color w:val="auto"/>
          <w:sz w:val="24"/>
          <w:szCs w:val="24"/>
        </w:rPr>
        <w:fldChar w:fldCharType="begin"/>
      </w:r>
      <w:r>
        <w:rPr>
          <w:color w:val="auto"/>
          <w:sz w:val="24"/>
          <w:szCs w:val="24"/>
        </w:rPr>
        <w:instrText xml:space="preserve"> PAGEREF _Toc12222 \h </w:instrText>
      </w:r>
      <w:r>
        <w:rPr>
          <w:color w:val="auto"/>
          <w:sz w:val="24"/>
          <w:szCs w:val="24"/>
        </w:rPr>
        <w:fldChar w:fldCharType="separate"/>
      </w:r>
      <w:r>
        <w:rPr>
          <w:color w:val="auto"/>
          <w:sz w:val="24"/>
          <w:szCs w:val="24"/>
        </w:rPr>
        <w:t>131</w:t>
      </w:r>
      <w:r>
        <w:rPr>
          <w:color w:val="auto"/>
          <w:sz w:val="24"/>
          <w:szCs w:val="24"/>
        </w:rPr>
        <w:fldChar w:fldCharType="end"/>
      </w:r>
      <w:r>
        <w:rPr>
          <w:color w:val="auto"/>
          <w:sz w:val="24"/>
          <w:szCs w:val="24"/>
        </w:rPr>
        <w:fldChar w:fldCharType="end"/>
      </w:r>
    </w:p>
    <w:p w14:paraId="7DDA879D">
      <w:pPr>
        <w:pStyle w:val="27"/>
        <w:tabs>
          <w:tab w:val="right" w:leader="dot" w:pos="8788"/>
        </w:tabs>
        <w:spacing w:line="320" w:lineRule="exact"/>
        <w:rPr>
          <w:color w:val="auto"/>
          <w:sz w:val="24"/>
          <w:szCs w:val="24"/>
        </w:rPr>
      </w:pPr>
      <w:r>
        <w:rPr>
          <w:color w:val="auto"/>
        </w:rPr>
        <w:fldChar w:fldCharType="begin"/>
      </w:r>
      <w:r>
        <w:rPr>
          <w:color w:val="auto"/>
        </w:rPr>
        <w:instrText xml:space="preserve"> HYPERLINK \l "_Toc29079" </w:instrText>
      </w:r>
      <w:r>
        <w:rPr>
          <w:color w:val="auto"/>
        </w:rPr>
        <w:fldChar w:fldCharType="separate"/>
      </w:r>
      <w:r>
        <w:rPr>
          <w:color w:val="auto"/>
          <w:sz w:val="24"/>
          <w:szCs w:val="24"/>
        </w:rPr>
        <w:t>第三节  监测与管护工程量</w:t>
      </w:r>
      <w:r>
        <w:rPr>
          <w:color w:val="auto"/>
          <w:sz w:val="24"/>
          <w:szCs w:val="24"/>
        </w:rPr>
        <w:tab/>
      </w:r>
      <w:r>
        <w:rPr>
          <w:color w:val="auto"/>
          <w:sz w:val="24"/>
          <w:szCs w:val="24"/>
        </w:rPr>
        <w:fldChar w:fldCharType="begin"/>
      </w:r>
      <w:r>
        <w:rPr>
          <w:color w:val="auto"/>
          <w:sz w:val="24"/>
          <w:szCs w:val="24"/>
        </w:rPr>
        <w:instrText xml:space="preserve"> PAGEREF _Toc29079 \h </w:instrText>
      </w:r>
      <w:r>
        <w:rPr>
          <w:color w:val="auto"/>
          <w:sz w:val="24"/>
          <w:szCs w:val="24"/>
        </w:rPr>
        <w:fldChar w:fldCharType="separate"/>
      </w:r>
      <w:r>
        <w:rPr>
          <w:color w:val="auto"/>
          <w:sz w:val="24"/>
          <w:szCs w:val="24"/>
        </w:rPr>
        <w:t>133</w:t>
      </w:r>
      <w:r>
        <w:rPr>
          <w:color w:val="auto"/>
          <w:sz w:val="24"/>
          <w:szCs w:val="24"/>
        </w:rPr>
        <w:fldChar w:fldCharType="end"/>
      </w:r>
      <w:r>
        <w:rPr>
          <w:color w:val="auto"/>
          <w:sz w:val="24"/>
          <w:szCs w:val="24"/>
        </w:rPr>
        <w:fldChar w:fldCharType="end"/>
      </w:r>
    </w:p>
    <w:p w14:paraId="439199BB">
      <w:pPr>
        <w:pStyle w:val="24"/>
        <w:tabs>
          <w:tab w:val="right" w:leader="dot" w:pos="8788"/>
        </w:tabs>
        <w:spacing w:line="320" w:lineRule="exact"/>
        <w:rPr>
          <w:color w:val="auto"/>
          <w:sz w:val="24"/>
          <w:szCs w:val="24"/>
        </w:rPr>
      </w:pPr>
      <w:r>
        <w:rPr>
          <w:color w:val="auto"/>
        </w:rPr>
        <w:fldChar w:fldCharType="begin"/>
      </w:r>
      <w:r>
        <w:rPr>
          <w:color w:val="auto"/>
        </w:rPr>
        <w:instrText xml:space="preserve"> HYPERLINK \l "_Toc18653" </w:instrText>
      </w:r>
      <w:r>
        <w:rPr>
          <w:color w:val="auto"/>
        </w:rPr>
        <w:fldChar w:fldCharType="separate"/>
      </w:r>
      <w:r>
        <w:rPr>
          <w:rFonts w:hint="eastAsia" w:ascii="黑体" w:hAnsi="黑体" w:eastAsia="黑体" w:cs="黑体"/>
          <w:bCs/>
          <w:color w:val="auto"/>
          <w:sz w:val="24"/>
          <w:szCs w:val="24"/>
        </w:rPr>
        <w:t>第六章  工程部署与经费估算</w:t>
      </w:r>
      <w:r>
        <w:rPr>
          <w:color w:val="auto"/>
          <w:sz w:val="24"/>
          <w:szCs w:val="24"/>
        </w:rPr>
        <w:tab/>
      </w:r>
      <w:r>
        <w:rPr>
          <w:color w:val="auto"/>
          <w:sz w:val="24"/>
          <w:szCs w:val="24"/>
        </w:rPr>
        <w:fldChar w:fldCharType="begin"/>
      </w:r>
      <w:r>
        <w:rPr>
          <w:color w:val="auto"/>
          <w:sz w:val="24"/>
          <w:szCs w:val="24"/>
        </w:rPr>
        <w:instrText xml:space="preserve"> PAGEREF _Toc18653 \h </w:instrText>
      </w:r>
      <w:r>
        <w:rPr>
          <w:color w:val="auto"/>
          <w:sz w:val="24"/>
          <w:szCs w:val="24"/>
        </w:rPr>
        <w:fldChar w:fldCharType="separate"/>
      </w:r>
      <w:r>
        <w:rPr>
          <w:color w:val="auto"/>
          <w:sz w:val="24"/>
          <w:szCs w:val="24"/>
        </w:rPr>
        <w:t>134</w:t>
      </w:r>
      <w:r>
        <w:rPr>
          <w:color w:val="auto"/>
          <w:sz w:val="24"/>
          <w:szCs w:val="24"/>
        </w:rPr>
        <w:fldChar w:fldCharType="end"/>
      </w:r>
      <w:r>
        <w:rPr>
          <w:color w:val="auto"/>
          <w:sz w:val="24"/>
          <w:szCs w:val="24"/>
        </w:rPr>
        <w:fldChar w:fldCharType="end"/>
      </w:r>
    </w:p>
    <w:p w14:paraId="43C372F9">
      <w:pPr>
        <w:pStyle w:val="27"/>
        <w:tabs>
          <w:tab w:val="right" w:leader="dot" w:pos="8788"/>
        </w:tabs>
        <w:spacing w:line="320" w:lineRule="exact"/>
        <w:rPr>
          <w:color w:val="auto"/>
          <w:sz w:val="24"/>
          <w:szCs w:val="24"/>
        </w:rPr>
      </w:pPr>
      <w:r>
        <w:rPr>
          <w:color w:val="auto"/>
        </w:rPr>
        <w:fldChar w:fldCharType="begin"/>
      </w:r>
      <w:r>
        <w:rPr>
          <w:color w:val="auto"/>
        </w:rPr>
        <w:instrText xml:space="preserve"> HYPERLINK \l "_Toc4746" </w:instrText>
      </w:r>
      <w:r>
        <w:rPr>
          <w:color w:val="auto"/>
        </w:rPr>
        <w:fldChar w:fldCharType="separate"/>
      </w:r>
      <w:r>
        <w:rPr>
          <w:rFonts w:hint="eastAsia"/>
          <w:color w:val="auto"/>
          <w:sz w:val="24"/>
          <w:szCs w:val="24"/>
        </w:rPr>
        <w:t>第一节  总体部署</w:t>
      </w:r>
      <w:r>
        <w:rPr>
          <w:color w:val="auto"/>
          <w:sz w:val="24"/>
          <w:szCs w:val="24"/>
        </w:rPr>
        <w:tab/>
      </w:r>
      <w:r>
        <w:rPr>
          <w:color w:val="auto"/>
          <w:sz w:val="24"/>
          <w:szCs w:val="24"/>
        </w:rPr>
        <w:fldChar w:fldCharType="begin"/>
      </w:r>
      <w:r>
        <w:rPr>
          <w:color w:val="auto"/>
          <w:sz w:val="24"/>
          <w:szCs w:val="24"/>
        </w:rPr>
        <w:instrText xml:space="preserve"> PAGEREF _Toc4746 \h </w:instrText>
      </w:r>
      <w:r>
        <w:rPr>
          <w:color w:val="auto"/>
          <w:sz w:val="24"/>
          <w:szCs w:val="24"/>
        </w:rPr>
        <w:fldChar w:fldCharType="separate"/>
      </w:r>
      <w:r>
        <w:rPr>
          <w:color w:val="auto"/>
          <w:sz w:val="24"/>
          <w:szCs w:val="24"/>
        </w:rPr>
        <w:t>134</w:t>
      </w:r>
      <w:r>
        <w:rPr>
          <w:color w:val="auto"/>
          <w:sz w:val="24"/>
          <w:szCs w:val="24"/>
        </w:rPr>
        <w:fldChar w:fldCharType="end"/>
      </w:r>
      <w:r>
        <w:rPr>
          <w:color w:val="auto"/>
          <w:sz w:val="24"/>
          <w:szCs w:val="24"/>
        </w:rPr>
        <w:fldChar w:fldCharType="end"/>
      </w:r>
    </w:p>
    <w:p w14:paraId="3C1EA4B5">
      <w:pPr>
        <w:pStyle w:val="27"/>
        <w:tabs>
          <w:tab w:val="right" w:leader="dot" w:pos="8788"/>
        </w:tabs>
        <w:spacing w:line="320" w:lineRule="exact"/>
        <w:rPr>
          <w:color w:val="auto"/>
          <w:sz w:val="24"/>
          <w:szCs w:val="24"/>
        </w:rPr>
      </w:pPr>
      <w:r>
        <w:rPr>
          <w:color w:val="auto"/>
        </w:rPr>
        <w:fldChar w:fldCharType="begin"/>
      </w:r>
      <w:r>
        <w:rPr>
          <w:color w:val="auto"/>
        </w:rPr>
        <w:instrText xml:space="preserve"> HYPERLINK \l "_Toc5431" </w:instrText>
      </w:r>
      <w:r>
        <w:rPr>
          <w:color w:val="auto"/>
        </w:rPr>
        <w:fldChar w:fldCharType="separate"/>
      </w:r>
      <w:r>
        <w:rPr>
          <w:rFonts w:hint="eastAsia"/>
          <w:color w:val="auto"/>
          <w:sz w:val="24"/>
          <w:szCs w:val="24"/>
        </w:rPr>
        <w:t>第二节  总体经费估算</w:t>
      </w:r>
      <w:r>
        <w:rPr>
          <w:color w:val="auto"/>
          <w:sz w:val="24"/>
          <w:szCs w:val="24"/>
        </w:rPr>
        <w:tab/>
      </w:r>
      <w:r>
        <w:rPr>
          <w:color w:val="auto"/>
          <w:sz w:val="24"/>
          <w:szCs w:val="24"/>
        </w:rPr>
        <w:fldChar w:fldCharType="begin"/>
      </w:r>
      <w:r>
        <w:rPr>
          <w:color w:val="auto"/>
          <w:sz w:val="24"/>
          <w:szCs w:val="24"/>
        </w:rPr>
        <w:instrText xml:space="preserve"> PAGEREF _Toc5431 \h </w:instrText>
      </w:r>
      <w:r>
        <w:rPr>
          <w:color w:val="auto"/>
          <w:sz w:val="24"/>
          <w:szCs w:val="24"/>
        </w:rPr>
        <w:fldChar w:fldCharType="separate"/>
      </w:r>
      <w:r>
        <w:rPr>
          <w:color w:val="auto"/>
          <w:sz w:val="24"/>
          <w:szCs w:val="24"/>
        </w:rPr>
        <w:t>134</w:t>
      </w:r>
      <w:r>
        <w:rPr>
          <w:color w:val="auto"/>
          <w:sz w:val="24"/>
          <w:szCs w:val="24"/>
        </w:rPr>
        <w:fldChar w:fldCharType="end"/>
      </w:r>
      <w:r>
        <w:rPr>
          <w:color w:val="auto"/>
          <w:sz w:val="24"/>
          <w:szCs w:val="24"/>
        </w:rPr>
        <w:fldChar w:fldCharType="end"/>
      </w:r>
    </w:p>
    <w:p w14:paraId="7EA17CF5">
      <w:pPr>
        <w:pStyle w:val="27"/>
        <w:tabs>
          <w:tab w:val="right" w:leader="dot" w:pos="8788"/>
        </w:tabs>
        <w:spacing w:line="320" w:lineRule="exact"/>
        <w:rPr>
          <w:color w:val="auto"/>
          <w:sz w:val="24"/>
          <w:szCs w:val="24"/>
        </w:rPr>
      </w:pPr>
      <w:r>
        <w:rPr>
          <w:color w:val="auto"/>
        </w:rPr>
        <w:fldChar w:fldCharType="begin"/>
      </w:r>
      <w:r>
        <w:rPr>
          <w:color w:val="auto"/>
        </w:rPr>
        <w:instrText xml:space="preserve"> HYPERLINK \l "_Toc17277" </w:instrText>
      </w:r>
      <w:r>
        <w:rPr>
          <w:color w:val="auto"/>
        </w:rPr>
        <w:fldChar w:fldCharType="separate"/>
      </w:r>
      <w:r>
        <w:rPr>
          <w:rFonts w:hint="eastAsia" w:ascii="宋体" w:hAnsi="宋体" w:cs="宋体"/>
          <w:color w:val="auto"/>
          <w:sz w:val="24"/>
          <w:szCs w:val="24"/>
        </w:rPr>
        <w:t>第三节  阶段工作任务与经费安排</w:t>
      </w:r>
      <w:r>
        <w:rPr>
          <w:color w:val="auto"/>
          <w:sz w:val="24"/>
          <w:szCs w:val="24"/>
        </w:rPr>
        <w:tab/>
      </w:r>
      <w:r>
        <w:rPr>
          <w:color w:val="auto"/>
          <w:sz w:val="24"/>
          <w:szCs w:val="24"/>
        </w:rPr>
        <w:fldChar w:fldCharType="begin"/>
      </w:r>
      <w:r>
        <w:rPr>
          <w:color w:val="auto"/>
          <w:sz w:val="24"/>
          <w:szCs w:val="24"/>
        </w:rPr>
        <w:instrText xml:space="preserve"> PAGEREF _Toc17277 \h </w:instrText>
      </w:r>
      <w:r>
        <w:rPr>
          <w:color w:val="auto"/>
          <w:sz w:val="24"/>
          <w:szCs w:val="24"/>
        </w:rPr>
        <w:fldChar w:fldCharType="separate"/>
      </w:r>
      <w:r>
        <w:rPr>
          <w:color w:val="auto"/>
          <w:sz w:val="24"/>
          <w:szCs w:val="24"/>
        </w:rPr>
        <w:t>149</w:t>
      </w:r>
      <w:r>
        <w:rPr>
          <w:color w:val="auto"/>
          <w:sz w:val="24"/>
          <w:szCs w:val="24"/>
        </w:rPr>
        <w:fldChar w:fldCharType="end"/>
      </w:r>
      <w:r>
        <w:rPr>
          <w:color w:val="auto"/>
          <w:sz w:val="24"/>
          <w:szCs w:val="24"/>
        </w:rPr>
        <w:fldChar w:fldCharType="end"/>
      </w:r>
    </w:p>
    <w:p w14:paraId="1443AE9B">
      <w:pPr>
        <w:pStyle w:val="24"/>
        <w:tabs>
          <w:tab w:val="right" w:leader="dot" w:pos="8788"/>
        </w:tabs>
        <w:spacing w:line="320" w:lineRule="exact"/>
        <w:rPr>
          <w:color w:val="auto"/>
          <w:sz w:val="24"/>
          <w:szCs w:val="24"/>
        </w:rPr>
      </w:pPr>
      <w:r>
        <w:rPr>
          <w:color w:val="auto"/>
        </w:rPr>
        <w:fldChar w:fldCharType="begin"/>
      </w:r>
      <w:r>
        <w:rPr>
          <w:color w:val="auto"/>
        </w:rPr>
        <w:instrText xml:space="preserve"> HYPERLINK \l "_Toc21880" </w:instrText>
      </w:r>
      <w:r>
        <w:rPr>
          <w:color w:val="auto"/>
        </w:rPr>
        <w:fldChar w:fldCharType="separate"/>
      </w:r>
      <w:r>
        <w:rPr>
          <w:rFonts w:hint="eastAsia" w:ascii="黑体" w:hAnsi="黑体" w:eastAsia="黑体" w:cs="黑体"/>
          <w:bCs/>
          <w:color w:val="auto"/>
          <w:sz w:val="24"/>
          <w:szCs w:val="24"/>
        </w:rPr>
        <w:t>第七章  保障措施与公众参与</w:t>
      </w:r>
      <w:r>
        <w:rPr>
          <w:color w:val="auto"/>
          <w:sz w:val="24"/>
          <w:szCs w:val="24"/>
        </w:rPr>
        <w:tab/>
      </w:r>
      <w:r>
        <w:rPr>
          <w:color w:val="auto"/>
          <w:sz w:val="24"/>
          <w:szCs w:val="24"/>
        </w:rPr>
        <w:fldChar w:fldCharType="begin"/>
      </w:r>
      <w:r>
        <w:rPr>
          <w:color w:val="auto"/>
          <w:sz w:val="24"/>
          <w:szCs w:val="24"/>
        </w:rPr>
        <w:instrText xml:space="preserve"> PAGEREF _Toc21880 \h </w:instrText>
      </w:r>
      <w:r>
        <w:rPr>
          <w:color w:val="auto"/>
          <w:sz w:val="24"/>
          <w:szCs w:val="24"/>
        </w:rPr>
        <w:fldChar w:fldCharType="separate"/>
      </w:r>
      <w:r>
        <w:rPr>
          <w:color w:val="auto"/>
          <w:sz w:val="24"/>
          <w:szCs w:val="24"/>
        </w:rPr>
        <w:t>152</w:t>
      </w:r>
      <w:r>
        <w:rPr>
          <w:color w:val="auto"/>
          <w:sz w:val="24"/>
          <w:szCs w:val="24"/>
        </w:rPr>
        <w:fldChar w:fldCharType="end"/>
      </w:r>
      <w:r>
        <w:rPr>
          <w:color w:val="auto"/>
          <w:sz w:val="24"/>
          <w:szCs w:val="24"/>
        </w:rPr>
        <w:fldChar w:fldCharType="end"/>
      </w:r>
    </w:p>
    <w:p w14:paraId="038E1D7F">
      <w:pPr>
        <w:pStyle w:val="27"/>
        <w:tabs>
          <w:tab w:val="right" w:leader="dot" w:pos="8788"/>
        </w:tabs>
        <w:spacing w:line="320" w:lineRule="exact"/>
        <w:rPr>
          <w:color w:val="auto"/>
          <w:sz w:val="24"/>
          <w:szCs w:val="24"/>
        </w:rPr>
      </w:pPr>
      <w:r>
        <w:rPr>
          <w:color w:val="auto"/>
        </w:rPr>
        <w:fldChar w:fldCharType="begin"/>
      </w:r>
      <w:r>
        <w:rPr>
          <w:color w:val="auto"/>
        </w:rPr>
        <w:instrText xml:space="preserve"> HYPERLINK \l "_Toc18964" </w:instrText>
      </w:r>
      <w:r>
        <w:rPr>
          <w:color w:val="auto"/>
        </w:rPr>
        <w:fldChar w:fldCharType="separate"/>
      </w:r>
      <w:r>
        <w:rPr>
          <w:rFonts w:hint="eastAsia"/>
          <w:color w:val="auto"/>
          <w:sz w:val="24"/>
          <w:szCs w:val="24"/>
        </w:rPr>
        <w:t>第一节  保障措施</w:t>
      </w:r>
      <w:r>
        <w:rPr>
          <w:color w:val="auto"/>
          <w:sz w:val="24"/>
          <w:szCs w:val="24"/>
        </w:rPr>
        <w:tab/>
      </w:r>
      <w:r>
        <w:rPr>
          <w:color w:val="auto"/>
          <w:sz w:val="24"/>
          <w:szCs w:val="24"/>
        </w:rPr>
        <w:fldChar w:fldCharType="begin"/>
      </w:r>
      <w:r>
        <w:rPr>
          <w:color w:val="auto"/>
          <w:sz w:val="24"/>
          <w:szCs w:val="24"/>
        </w:rPr>
        <w:instrText xml:space="preserve"> PAGEREF _Toc18964 \h </w:instrText>
      </w:r>
      <w:r>
        <w:rPr>
          <w:color w:val="auto"/>
          <w:sz w:val="24"/>
          <w:szCs w:val="24"/>
        </w:rPr>
        <w:fldChar w:fldCharType="separate"/>
      </w:r>
      <w:r>
        <w:rPr>
          <w:color w:val="auto"/>
          <w:sz w:val="24"/>
          <w:szCs w:val="24"/>
        </w:rPr>
        <w:t>152</w:t>
      </w:r>
      <w:r>
        <w:rPr>
          <w:color w:val="auto"/>
          <w:sz w:val="24"/>
          <w:szCs w:val="24"/>
        </w:rPr>
        <w:fldChar w:fldCharType="end"/>
      </w:r>
      <w:r>
        <w:rPr>
          <w:color w:val="auto"/>
          <w:sz w:val="24"/>
          <w:szCs w:val="24"/>
        </w:rPr>
        <w:fldChar w:fldCharType="end"/>
      </w:r>
    </w:p>
    <w:p w14:paraId="7E0E328D">
      <w:pPr>
        <w:pStyle w:val="27"/>
        <w:tabs>
          <w:tab w:val="right" w:leader="dot" w:pos="8788"/>
        </w:tabs>
        <w:spacing w:line="320" w:lineRule="exact"/>
        <w:rPr>
          <w:color w:val="auto"/>
          <w:sz w:val="24"/>
          <w:szCs w:val="24"/>
        </w:rPr>
      </w:pPr>
      <w:r>
        <w:rPr>
          <w:color w:val="auto"/>
        </w:rPr>
        <w:fldChar w:fldCharType="begin"/>
      </w:r>
      <w:r>
        <w:rPr>
          <w:color w:val="auto"/>
        </w:rPr>
        <w:instrText xml:space="preserve"> HYPERLINK \l "_Toc10696" </w:instrText>
      </w:r>
      <w:r>
        <w:rPr>
          <w:color w:val="auto"/>
        </w:rPr>
        <w:fldChar w:fldCharType="separate"/>
      </w:r>
      <w:r>
        <w:rPr>
          <w:color w:val="auto"/>
          <w:sz w:val="24"/>
          <w:szCs w:val="24"/>
        </w:rPr>
        <w:t>第二节  公众参与</w:t>
      </w:r>
      <w:r>
        <w:rPr>
          <w:color w:val="auto"/>
          <w:sz w:val="24"/>
          <w:szCs w:val="24"/>
        </w:rPr>
        <w:tab/>
      </w:r>
      <w:r>
        <w:rPr>
          <w:color w:val="auto"/>
          <w:sz w:val="24"/>
          <w:szCs w:val="24"/>
        </w:rPr>
        <w:fldChar w:fldCharType="begin"/>
      </w:r>
      <w:r>
        <w:rPr>
          <w:color w:val="auto"/>
          <w:sz w:val="24"/>
          <w:szCs w:val="24"/>
        </w:rPr>
        <w:instrText xml:space="preserve"> PAGEREF _Toc10696 \h </w:instrText>
      </w:r>
      <w:r>
        <w:rPr>
          <w:color w:val="auto"/>
          <w:sz w:val="24"/>
          <w:szCs w:val="24"/>
        </w:rPr>
        <w:fldChar w:fldCharType="separate"/>
      </w:r>
      <w:r>
        <w:rPr>
          <w:color w:val="auto"/>
          <w:sz w:val="24"/>
          <w:szCs w:val="24"/>
        </w:rPr>
        <w:t>155</w:t>
      </w:r>
      <w:r>
        <w:rPr>
          <w:color w:val="auto"/>
          <w:sz w:val="24"/>
          <w:szCs w:val="24"/>
        </w:rPr>
        <w:fldChar w:fldCharType="end"/>
      </w:r>
      <w:r>
        <w:rPr>
          <w:color w:val="auto"/>
          <w:sz w:val="24"/>
          <w:szCs w:val="24"/>
        </w:rPr>
        <w:fldChar w:fldCharType="end"/>
      </w:r>
    </w:p>
    <w:p w14:paraId="01B64BE1">
      <w:pPr>
        <w:pStyle w:val="27"/>
        <w:tabs>
          <w:tab w:val="right" w:leader="dot" w:pos="8788"/>
        </w:tabs>
        <w:spacing w:line="320" w:lineRule="exact"/>
        <w:rPr>
          <w:color w:val="auto"/>
          <w:sz w:val="24"/>
          <w:szCs w:val="24"/>
        </w:rPr>
      </w:pPr>
      <w:r>
        <w:rPr>
          <w:color w:val="auto"/>
        </w:rPr>
        <w:fldChar w:fldCharType="begin"/>
      </w:r>
      <w:r>
        <w:rPr>
          <w:color w:val="auto"/>
        </w:rPr>
        <w:instrText xml:space="preserve"> HYPERLINK \l "_Toc23173" </w:instrText>
      </w:r>
      <w:r>
        <w:rPr>
          <w:color w:val="auto"/>
        </w:rPr>
        <w:fldChar w:fldCharType="separate"/>
      </w:r>
      <w:r>
        <w:rPr>
          <w:color w:val="auto"/>
          <w:sz w:val="24"/>
          <w:szCs w:val="24"/>
        </w:rPr>
        <w:t>第三节  效益分析</w:t>
      </w:r>
      <w:r>
        <w:rPr>
          <w:color w:val="auto"/>
          <w:sz w:val="24"/>
          <w:szCs w:val="24"/>
        </w:rPr>
        <w:tab/>
      </w:r>
      <w:r>
        <w:rPr>
          <w:color w:val="auto"/>
          <w:sz w:val="24"/>
          <w:szCs w:val="24"/>
        </w:rPr>
        <w:fldChar w:fldCharType="begin"/>
      </w:r>
      <w:r>
        <w:rPr>
          <w:color w:val="auto"/>
          <w:sz w:val="24"/>
          <w:szCs w:val="24"/>
        </w:rPr>
        <w:instrText xml:space="preserve"> PAGEREF _Toc23173 \h </w:instrText>
      </w:r>
      <w:r>
        <w:rPr>
          <w:color w:val="auto"/>
          <w:sz w:val="24"/>
          <w:szCs w:val="24"/>
        </w:rPr>
        <w:fldChar w:fldCharType="separate"/>
      </w:r>
      <w:r>
        <w:rPr>
          <w:color w:val="auto"/>
          <w:sz w:val="24"/>
          <w:szCs w:val="24"/>
        </w:rPr>
        <w:t>158</w:t>
      </w:r>
      <w:r>
        <w:rPr>
          <w:color w:val="auto"/>
          <w:sz w:val="24"/>
          <w:szCs w:val="24"/>
        </w:rPr>
        <w:fldChar w:fldCharType="end"/>
      </w:r>
      <w:r>
        <w:rPr>
          <w:color w:val="auto"/>
          <w:sz w:val="24"/>
          <w:szCs w:val="24"/>
        </w:rPr>
        <w:fldChar w:fldCharType="end"/>
      </w:r>
    </w:p>
    <w:p w14:paraId="4989A591">
      <w:pPr>
        <w:pStyle w:val="24"/>
        <w:tabs>
          <w:tab w:val="right" w:leader="dot" w:pos="8788"/>
        </w:tabs>
        <w:spacing w:line="320" w:lineRule="exact"/>
        <w:rPr>
          <w:color w:val="auto"/>
        </w:rPr>
      </w:pPr>
      <w:r>
        <w:rPr>
          <w:color w:val="auto"/>
        </w:rPr>
        <w:fldChar w:fldCharType="begin"/>
      </w:r>
      <w:r>
        <w:rPr>
          <w:color w:val="auto"/>
        </w:rPr>
        <w:instrText xml:space="preserve"> HYPERLINK \l "_Toc32625" </w:instrText>
      </w:r>
      <w:r>
        <w:rPr>
          <w:color w:val="auto"/>
        </w:rPr>
        <w:fldChar w:fldCharType="separate"/>
      </w:r>
      <w:r>
        <w:rPr>
          <w:rFonts w:hint="eastAsia" w:ascii="黑体" w:hAnsi="黑体" w:eastAsia="黑体" w:cs="黑体"/>
          <w:bCs/>
          <w:color w:val="auto"/>
          <w:sz w:val="24"/>
          <w:szCs w:val="24"/>
        </w:rPr>
        <w:t>第八章  结论</w:t>
      </w:r>
      <w:r>
        <w:rPr>
          <w:color w:val="auto"/>
          <w:sz w:val="24"/>
          <w:szCs w:val="24"/>
        </w:rPr>
        <w:tab/>
      </w:r>
      <w:r>
        <w:rPr>
          <w:color w:val="auto"/>
          <w:sz w:val="24"/>
          <w:szCs w:val="24"/>
        </w:rPr>
        <w:fldChar w:fldCharType="begin"/>
      </w:r>
      <w:r>
        <w:rPr>
          <w:color w:val="auto"/>
          <w:sz w:val="24"/>
          <w:szCs w:val="24"/>
        </w:rPr>
        <w:instrText xml:space="preserve"> PAGEREF _Toc32625 \h </w:instrText>
      </w:r>
      <w:r>
        <w:rPr>
          <w:color w:val="auto"/>
          <w:sz w:val="24"/>
          <w:szCs w:val="24"/>
        </w:rPr>
        <w:fldChar w:fldCharType="separate"/>
      </w:r>
      <w:r>
        <w:rPr>
          <w:color w:val="auto"/>
          <w:sz w:val="24"/>
          <w:szCs w:val="24"/>
        </w:rPr>
        <w:t>160</w:t>
      </w:r>
      <w:r>
        <w:rPr>
          <w:color w:val="auto"/>
          <w:sz w:val="24"/>
          <w:szCs w:val="24"/>
        </w:rPr>
        <w:fldChar w:fldCharType="end"/>
      </w:r>
      <w:r>
        <w:rPr>
          <w:color w:val="auto"/>
          <w:sz w:val="24"/>
          <w:szCs w:val="24"/>
        </w:rPr>
        <w:fldChar w:fldCharType="end"/>
      </w:r>
    </w:p>
    <w:p w14:paraId="40A199AC">
      <w:pPr>
        <w:spacing w:line="400" w:lineRule="exact"/>
        <w:ind w:firstLine="315" w:firstLineChars="150"/>
        <w:rPr>
          <w:rFonts w:hint="eastAsia" w:asciiTheme="minorEastAsia" w:hAnsiTheme="minorEastAsia" w:eastAsiaTheme="minorEastAsia" w:cstheme="minorEastAsia"/>
          <w:color w:val="auto"/>
          <w:sz w:val="28"/>
          <w:szCs w:val="28"/>
        </w:rPr>
        <w:sectPr>
          <w:headerReference r:id="rId6" w:type="first"/>
          <w:pgSz w:w="11907" w:h="16840"/>
          <w:pgMar w:top="1418" w:right="1418" w:bottom="1418" w:left="1701" w:header="851" w:footer="992" w:gutter="0"/>
          <w:pgNumType w:fmt="decimal"/>
          <w:cols w:space="720" w:num="1"/>
          <w:titlePg/>
          <w:docGrid w:linePitch="312" w:charSpace="0"/>
        </w:sectPr>
      </w:pPr>
      <w:r>
        <w:rPr>
          <w:rFonts w:hint="eastAsia" w:asciiTheme="minorEastAsia" w:hAnsiTheme="minorEastAsia" w:eastAsiaTheme="minorEastAsia" w:cstheme="minorEastAsia"/>
          <w:color w:val="auto"/>
          <w:szCs w:val="28"/>
        </w:rPr>
        <w:fldChar w:fldCharType="end"/>
      </w:r>
    </w:p>
    <w:p w14:paraId="12913ED8">
      <w:pPr>
        <w:spacing w:line="360" w:lineRule="auto"/>
        <w:ind w:firstLine="602"/>
        <w:contextualSpacing/>
        <w:jc w:val="center"/>
        <w:rPr>
          <w:rFonts w:hint="eastAsia" w:ascii="宋体" w:hAnsi="宋体" w:cs="宋体"/>
          <w:b/>
          <w:color w:val="auto"/>
          <w:sz w:val="28"/>
          <w:szCs w:val="30"/>
        </w:rPr>
      </w:pPr>
      <w:r>
        <w:rPr>
          <w:rFonts w:hint="eastAsia" w:ascii="宋体" w:hAnsi="宋体" w:cs="宋体"/>
          <w:b/>
          <w:color w:val="auto"/>
          <w:sz w:val="28"/>
          <w:szCs w:val="30"/>
        </w:rPr>
        <w:t>附  表</w:t>
      </w:r>
    </w:p>
    <w:tbl>
      <w:tblPr>
        <w:tblStyle w:val="34"/>
        <w:tblW w:w="8682" w:type="dxa"/>
        <w:jc w:val="center"/>
        <w:tblLayout w:type="autofit"/>
        <w:tblCellMar>
          <w:top w:w="0" w:type="dxa"/>
          <w:left w:w="108" w:type="dxa"/>
          <w:bottom w:w="0" w:type="dxa"/>
          <w:right w:w="108" w:type="dxa"/>
        </w:tblCellMar>
      </w:tblPr>
      <w:tblGrid>
        <w:gridCol w:w="1046"/>
        <w:gridCol w:w="7636"/>
      </w:tblGrid>
      <w:tr w14:paraId="1EF0E7FA">
        <w:tblPrEx>
          <w:tblCellMar>
            <w:top w:w="0" w:type="dxa"/>
            <w:left w:w="108" w:type="dxa"/>
            <w:bottom w:w="0" w:type="dxa"/>
            <w:right w:w="108" w:type="dxa"/>
          </w:tblCellMar>
        </w:tblPrEx>
        <w:trPr>
          <w:trHeight w:val="397" w:hRule="atLeast"/>
          <w:jc w:val="center"/>
        </w:trPr>
        <w:tc>
          <w:tcPr>
            <w:tcW w:w="1046" w:type="dxa"/>
            <w:tcBorders>
              <w:top w:val="single" w:color="auto" w:sz="4" w:space="0"/>
              <w:left w:val="single" w:color="auto" w:sz="4" w:space="0"/>
              <w:bottom w:val="single" w:color="auto" w:sz="4" w:space="0"/>
              <w:right w:val="single" w:color="auto" w:sz="4" w:space="0"/>
            </w:tcBorders>
            <w:noWrap/>
            <w:vAlign w:val="center"/>
          </w:tcPr>
          <w:p w14:paraId="69249266">
            <w:pPr>
              <w:jc w:val="center"/>
              <w:rPr>
                <w:b/>
                <w:bCs/>
                <w:color w:val="auto"/>
                <w:szCs w:val="21"/>
              </w:rPr>
            </w:pPr>
            <w:r>
              <w:rPr>
                <w:b/>
                <w:bCs/>
                <w:color w:val="auto"/>
                <w:szCs w:val="21"/>
              </w:rPr>
              <w:t>序号</w:t>
            </w:r>
          </w:p>
        </w:tc>
        <w:tc>
          <w:tcPr>
            <w:tcW w:w="7636" w:type="dxa"/>
            <w:tcBorders>
              <w:top w:val="single" w:color="auto" w:sz="4" w:space="0"/>
              <w:left w:val="nil"/>
              <w:bottom w:val="single" w:color="auto" w:sz="4" w:space="0"/>
              <w:right w:val="single" w:color="auto" w:sz="4" w:space="0"/>
            </w:tcBorders>
            <w:noWrap/>
            <w:vAlign w:val="center"/>
          </w:tcPr>
          <w:p w14:paraId="3B113A28">
            <w:pPr>
              <w:jc w:val="center"/>
              <w:rPr>
                <w:b/>
                <w:bCs/>
                <w:color w:val="auto"/>
                <w:szCs w:val="21"/>
              </w:rPr>
            </w:pPr>
            <w:r>
              <w:rPr>
                <w:b/>
                <w:bCs/>
                <w:color w:val="auto"/>
                <w:szCs w:val="21"/>
              </w:rPr>
              <w:t>名称</w:t>
            </w:r>
          </w:p>
        </w:tc>
      </w:tr>
      <w:tr w14:paraId="5EBF00F7">
        <w:tblPrEx>
          <w:tblCellMar>
            <w:top w:w="0" w:type="dxa"/>
            <w:left w:w="108" w:type="dxa"/>
            <w:bottom w:w="0" w:type="dxa"/>
            <w:right w:w="108" w:type="dxa"/>
          </w:tblCellMar>
        </w:tblPrEx>
        <w:trPr>
          <w:trHeight w:val="397" w:hRule="atLeast"/>
          <w:jc w:val="center"/>
        </w:trPr>
        <w:tc>
          <w:tcPr>
            <w:tcW w:w="1046" w:type="dxa"/>
            <w:tcBorders>
              <w:top w:val="nil"/>
              <w:left w:val="single" w:color="auto" w:sz="4" w:space="0"/>
              <w:bottom w:val="single" w:color="auto" w:sz="4" w:space="0"/>
              <w:right w:val="single" w:color="auto" w:sz="4" w:space="0"/>
            </w:tcBorders>
            <w:noWrap/>
            <w:vAlign w:val="center"/>
          </w:tcPr>
          <w:p w14:paraId="1B001453">
            <w:pPr>
              <w:jc w:val="center"/>
              <w:rPr>
                <w:color w:val="auto"/>
                <w:szCs w:val="21"/>
              </w:rPr>
            </w:pPr>
            <w:r>
              <w:rPr>
                <w:color w:val="auto"/>
                <w:szCs w:val="21"/>
              </w:rPr>
              <w:t>1</w:t>
            </w:r>
          </w:p>
        </w:tc>
        <w:tc>
          <w:tcPr>
            <w:tcW w:w="7636" w:type="dxa"/>
            <w:tcBorders>
              <w:top w:val="nil"/>
              <w:left w:val="nil"/>
              <w:bottom w:val="single" w:color="auto" w:sz="4" w:space="0"/>
              <w:right w:val="single" w:color="auto" w:sz="4" w:space="0"/>
            </w:tcBorders>
            <w:shd w:val="clear" w:color="auto" w:fill="auto"/>
            <w:noWrap/>
            <w:vAlign w:val="center"/>
          </w:tcPr>
          <w:p w14:paraId="6D1877F6">
            <w:pPr>
              <w:jc w:val="center"/>
              <w:rPr>
                <w:rFonts w:ascii="Times New Roman" w:hAnsi="Times New Roman" w:eastAsia="宋体" w:cs="Times New Roman"/>
                <w:color w:val="auto"/>
                <w:kern w:val="2"/>
                <w:sz w:val="21"/>
                <w:szCs w:val="21"/>
                <w:lang w:val="en-US" w:eastAsia="zh-CN" w:bidi="ar-SA"/>
              </w:rPr>
            </w:pPr>
            <w:r>
              <w:rPr>
                <w:color w:val="auto"/>
                <w:szCs w:val="21"/>
              </w:rPr>
              <w:t>矿区生态修复方案编制信息表</w:t>
            </w:r>
          </w:p>
        </w:tc>
      </w:tr>
      <w:tr w14:paraId="048A1696">
        <w:tblPrEx>
          <w:tblCellMar>
            <w:top w:w="0" w:type="dxa"/>
            <w:left w:w="108" w:type="dxa"/>
            <w:bottom w:w="0" w:type="dxa"/>
            <w:right w:w="108" w:type="dxa"/>
          </w:tblCellMar>
        </w:tblPrEx>
        <w:trPr>
          <w:trHeight w:val="397" w:hRule="atLeast"/>
          <w:jc w:val="center"/>
        </w:trPr>
        <w:tc>
          <w:tcPr>
            <w:tcW w:w="1046" w:type="dxa"/>
            <w:tcBorders>
              <w:top w:val="nil"/>
              <w:left w:val="single" w:color="auto" w:sz="4" w:space="0"/>
              <w:bottom w:val="single" w:color="auto" w:sz="4" w:space="0"/>
              <w:right w:val="single" w:color="auto" w:sz="4" w:space="0"/>
            </w:tcBorders>
            <w:noWrap/>
            <w:vAlign w:val="center"/>
          </w:tcPr>
          <w:p w14:paraId="6094F372">
            <w:pPr>
              <w:jc w:val="center"/>
              <w:rPr>
                <w:color w:val="auto"/>
                <w:szCs w:val="21"/>
              </w:rPr>
            </w:pPr>
            <w:r>
              <w:rPr>
                <w:color w:val="auto"/>
                <w:szCs w:val="21"/>
              </w:rPr>
              <w:t>2</w:t>
            </w:r>
          </w:p>
        </w:tc>
        <w:tc>
          <w:tcPr>
            <w:tcW w:w="7636" w:type="dxa"/>
            <w:tcBorders>
              <w:top w:val="nil"/>
              <w:left w:val="nil"/>
              <w:bottom w:val="single" w:color="auto" w:sz="4" w:space="0"/>
              <w:right w:val="single" w:color="auto" w:sz="4" w:space="0"/>
            </w:tcBorders>
            <w:shd w:val="clear" w:color="auto" w:fill="auto"/>
            <w:noWrap/>
            <w:vAlign w:val="center"/>
          </w:tcPr>
          <w:p w14:paraId="4D4C55F2">
            <w:pPr>
              <w:jc w:val="center"/>
              <w:rPr>
                <w:rFonts w:ascii="Times New Roman" w:hAnsi="Times New Roman" w:eastAsia="宋体" w:cs="Times New Roman"/>
                <w:color w:val="auto"/>
                <w:kern w:val="2"/>
                <w:sz w:val="21"/>
                <w:szCs w:val="21"/>
                <w:lang w:val="en-US" w:eastAsia="zh-CN" w:bidi="ar-SA"/>
              </w:rPr>
            </w:pPr>
            <w:r>
              <w:rPr>
                <w:color w:val="auto"/>
                <w:szCs w:val="21"/>
              </w:rPr>
              <w:t>矿区土地利用现状表</w:t>
            </w:r>
          </w:p>
        </w:tc>
      </w:tr>
      <w:tr w14:paraId="59C49DD9">
        <w:tblPrEx>
          <w:tblCellMar>
            <w:top w:w="0" w:type="dxa"/>
            <w:left w:w="108" w:type="dxa"/>
            <w:bottom w:w="0" w:type="dxa"/>
            <w:right w:w="108" w:type="dxa"/>
          </w:tblCellMar>
        </w:tblPrEx>
        <w:trPr>
          <w:trHeight w:val="397" w:hRule="atLeast"/>
          <w:jc w:val="center"/>
        </w:trPr>
        <w:tc>
          <w:tcPr>
            <w:tcW w:w="1046" w:type="dxa"/>
            <w:tcBorders>
              <w:top w:val="nil"/>
              <w:left w:val="single" w:color="auto" w:sz="4" w:space="0"/>
              <w:bottom w:val="single" w:color="auto" w:sz="4" w:space="0"/>
              <w:right w:val="single" w:color="auto" w:sz="4" w:space="0"/>
            </w:tcBorders>
            <w:noWrap/>
            <w:vAlign w:val="center"/>
          </w:tcPr>
          <w:p w14:paraId="40911AA9">
            <w:pPr>
              <w:jc w:val="center"/>
              <w:rPr>
                <w:color w:val="auto"/>
                <w:szCs w:val="21"/>
              </w:rPr>
            </w:pPr>
            <w:r>
              <w:rPr>
                <w:color w:val="auto"/>
                <w:szCs w:val="21"/>
              </w:rPr>
              <w:t>3</w:t>
            </w:r>
          </w:p>
        </w:tc>
        <w:tc>
          <w:tcPr>
            <w:tcW w:w="7636" w:type="dxa"/>
            <w:tcBorders>
              <w:top w:val="nil"/>
              <w:left w:val="nil"/>
              <w:bottom w:val="single" w:color="auto" w:sz="4" w:space="0"/>
              <w:right w:val="single" w:color="auto" w:sz="4" w:space="0"/>
            </w:tcBorders>
            <w:shd w:val="clear" w:color="auto" w:fill="auto"/>
            <w:noWrap/>
            <w:vAlign w:val="center"/>
          </w:tcPr>
          <w:p w14:paraId="19B898A4">
            <w:pPr>
              <w:jc w:val="center"/>
              <w:rPr>
                <w:rFonts w:ascii="Times New Roman" w:hAnsi="Times New Roman" w:eastAsia="宋体" w:cs="Times New Roman"/>
                <w:color w:val="auto"/>
                <w:kern w:val="2"/>
                <w:sz w:val="21"/>
                <w:szCs w:val="21"/>
                <w:lang w:val="en-US" w:eastAsia="zh-CN" w:bidi="ar-SA"/>
              </w:rPr>
            </w:pPr>
            <w:r>
              <w:rPr>
                <w:color w:val="auto"/>
                <w:szCs w:val="21"/>
              </w:rPr>
              <w:t>矿区土地利用权属表</w:t>
            </w:r>
          </w:p>
        </w:tc>
      </w:tr>
      <w:tr w14:paraId="46556A36">
        <w:tblPrEx>
          <w:tblCellMar>
            <w:top w:w="0" w:type="dxa"/>
            <w:left w:w="108" w:type="dxa"/>
            <w:bottom w:w="0" w:type="dxa"/>
            <w:right w:w="108" w:type="dxa"/>
          </w:tblCellMar>
        </w:tblPrEx>
        <w:trPr>
          <w:trHeight w:val="397" w:hRule="atLeast"/>
          <w:jc w:val="center"/>
        </w:trPr>
        <w:tc>
          <w:tcPr>
            <w:tcW w:w="1046" w:type="dxa"/>
            <w:tcBorders>
              <w:top w:val="nil"/>
              <w:left w:val="single" w:color="auto" w:sz="4" w:space="0"/>
              <w:bottom w:val="single" w:color="auto" w:sz="4" w:space="0"/>
              <w:right w:val="single" w:color="auto" w:sz="4" w:space="0"/>
            </w:tcBorders>
            <w:noWrap/>
            <w:vAlign w:val="center"/>
          </w:tcPr>
          <w:p w14:paraId="66E8789A">
            <w:pPr>
              <w:jc w:val="center"/>
              <w:rPr>
                <w:color w:val="auto"/>
                <w:szCs w:val="21"/>
              </w:rPr>
            </w:pPr>
            <w:r>
              <w:rPr>
                <w:color w:val="auto"/>
                <w:szCs w:val="21"/>
              </w:rPr>
              <w:t>4</w:t>
            </w:r>
          </w:p>
        </w:tc>
        <w:tc>
          <w:tcPr>
            <w:tcW w:w="7636" w:type="dxa"/>
            <w:tcBorders>
              <w:top w:val="nil"/>
              <w:left w:val="nil"/>
              <w:bottom w:val="single" w:color="auto" w:sz="4" w:space="0"/>
              <w:right w:val="single" w:color="auto" w:sz="4" w:space="0"/>
            </w:tcBorders>
            <w:shd w:val="clear" w:color="auto" w:fill="auto"/>
            <w:noWrap/>
            <w:vAlign w:val="center"/>
          </w:tcPr>
          <w:p w14:paraId="7F67A5ED">
            <w:pPr>
              <w:jc w:val="center"/>
              <w:rPr>
                <w:rFonts w:ascii="Times New Roman" w:hAnsi="Times New Roman" w:eastAsia="宋体" w:cs="Times New Roman"/>
                <w:color w:val="auto"/>
                <w:kern w:val="2"/>
                <w:sz w:val="21"/>
                <w:szCs w:val="21"/>
                <w:lang w:val="en-US" w:eastAsia="zh-CN" w:bidi="ar-SA"/>
              </w:rPr>
            </w:pPr>
            <w:r>
              <w:rPr>
                <w:color w:val="auto"/>
                <w:szCs w:val="21"/>
              </w:rPr>
              <w:t>矿区开采前生态修复监测内容与监测指标表</w:t>
            </w:r>
          </w:p>
        </w:tc>
      </w:tr>
      <w:tr w14:paraId="2492C531">
        <w:tblPrEx>
          <w:tblCellMar>
            <w:top w:w="0" w:type="dxa"/>
            <w:left w:w="108" w:type="dxa"/>
            <w:bottom w:w="0" w:type="dxa"/>
            <w:right w:w="108" w:type="dxa"/>
          </w:tblCellMar>
        </w:tblPrEx>
        <w:trPr>
          <w:trHeight w:val="397" w:hRule="atLeast"/>
          <w:jc w:val="center"/>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09E83DCC">
            <w:pPr>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lang w:val="en-US" w:eastAsia="zh-CN"/>
              </w:rPr>
              <w:t>5</w:t>
            </w:r>
          </w:p>
        </w:tc>
        <w:tc>
          <w:tcPr>
            <w:tcW w:w="7636" w:type="dxa"/>
            <w:tcBorders>
              <w:top w:val="nil"/>
              <w:left w:val="nil"/>
              <w:bottom w:val="single" w:color="auto" w:sz="4" w:space="0"/>
              <w:right w:val="single" w:color="auto" w:sz="4" w:space="0"/>
            </w:tcBorders>
            <w:shd w:val="clear" w:color="auto" w:fill="auto"/>
            <w:noWrap/>
            <w:vAlign w:val="center"/>
          </w:tcPr>
          <w:p w14:paraId="72F68BC7">
            <w:pPr>
              <w:jc w:val="center"/>
              <w:rPr>
                <w:color w:val="auto"/>
                <w:szCs w:val="21"/>
              </w:rPr>
            </w:pPr>
            <w:r>
              <w:rPr>
                <w:rFonts w:hint="eastAsia"/>
                <w:color w:val="auto"/>
                <w:szCs w:val="21"/>
              </w:rPr>
              <w:t>矿山开采中生态修复监测内容与监测指标表</w:t>
            </w:r>
          </w:p>
        </w:tc>
      </w:tr>
      <w:tr w14:paraId="4A1BB9FC">
        <w:tblPrEx>
          <w:tblCellMar>
            <w:top w:w="0" w:type="dxa"/>
            <w:left w:w="108" w:type="dxa"/>
            <w:bottom w:w="0" w:type="dxa"/>
            <w:right w:w="108" w:type="dxa"/>
          </w:tblCellMar>
        </w:tblPrEx>
        <w:trPr>
          <w:trHeight w:val="397" w:hRule="atLeast"/>
          <w:jc w:val="center"/>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55D86FDC">
            <w:pPr>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lang w:val="en-US" w:eastAsia="zh-CN"/>
              </w:rPr>
              <w:t>6</w:t>
            </w:r>
          </w:p>
        </w:tc>
        <w:tc>
          <w:tcPr>
            <w:tcW w:w="7636" w:type="dxa"/>
            <w:tcBorders>
              <w:top w:val="nil"/>
              <w:left w:val="nil"/>
              <w:bottom w:val="single" w:color="auto" w:sz="4" w:space="0"/>
              <w:right w:val="single" w:color="auto" w:sz="4" w:space="0"/>
            </w:tcBorders>
            <w:shd w:val="clear" w:color="auto" w:fill="auto"/>
            <w:noWrap/>
            <w:vAlign w:val="center"/>
          </w:tcPr>
          <w:p w14:paraId="6B482762">
            <w:pPr>
              <w:jc w:val="center"/>
              <w:rPr>
                <w:rFonts w:ascii="Times New Roman" w:hAnsi="Times New Roman" w:eastAsia="宋体" w:cs="Times New Roman"/>
                <w:color w:val="auto"/>
                <w:kern w:val="2"/>
                <w:sz w:val="21"/>
                <w:szCs w:val="21"/>
                <w:lang w:val="en-US" w:eastAsia="zh-CN" w:bidi="ar-SA"/>
              </w:rPr>
            </w:pPr>
            <w:r>
              <w:rPr>
                <w:color w:val="auto"/>
                <w:szCs w:val="21"/>
              </w:rPr>
              <w:t>矿区损毁程度综合评价表</w:t>
            </w:r>
          </w:p>
        </w:tc>
      </w:tr>
      <w:tr w14:paraId="123E459F">
        <w:tblPrEx>
          <w:tblCellMar>
            <w:top w:w="0" w:type="dxa"/>
            <w:left w:w="108" w:type="dxa"/>
            <w:bottom w:w="0" w:type="dxa"/>
            <w:right w:w="108" w:type="dxa"/>
          </w:tblCellMar>
        </w:tblPrEx>
        <w:trPr>
          <w:trHeight w:val="397" w:hRule="atLeast"/>
          <w:jc w:val="center"/>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12F6A777">
            <w:pPr>
              <w:jc w:val="center"/>
              <w:rPr>
                <w:rFonts w:hint="eastAsia" w:ascii="Times New Roman" w:hAnsi="Times New Roman" w:eastAsia="宋体" w:cs="Times New Roman"/>
                <w:color w:val="auto"/>
                <w:kern w:val="2"/>
                <w:sz w:val="21"/>
                <w:szCs w:val="21"/>
                <w:lang w:val="en-US" w:eastAsia="zh-CN" w:bidi="ar-SA"/>
              </w:rPr>
            </w:pPr>
            <w:r>
              <w:rPr>
                <w:color w:val="auto"/>
                <w:szCs w:val="21"/>
              </w:rPr>
              <w:t>7</w:t>
            </w:r>
          </w:p>
        </w:tc>
        <w:tc>
          <w:tcPr>
            <w:tcW w:w="7636" w:type="dxa"/>
            <w:tcBorders>
              <w:top w:val="nil"/>
              <w:left w:val="nil"/>
              <w:bottom w:val="single" w:color="auto" w:sz="4" w:space="0"/>
              <w:right w:val="single" w:color="auto" w:sz="4" w:space="0"/>
            </w:tcBorders>
            <w:shd w:val="clear" w:color="auto" w:fill="auto"/>
            <w:noWrap/>
            <w:vAlign w:val="center"/>
          </w:tcPr>
          <w:p w14:paraId="1B832C11">
            <w:pPr>
              <w:jc w:val="center"/>
              <w:rPr>
                <w:rFonts w:ascii="Times New Roman" w:hAnsi="Times New Roman" w:eastAsia="宋体" w:cs="Times New Roman"/>
                <w:color w:val="auto"/>
                <w:kern w:val="2"/>
                <w:sz w:val="21"/>
                <w:szCs w:val="21"/>
                <w:lang w:val="en-US" w:eastAsia="zh-CN" w:bidi="ar-SA"/>
              </w:rPr>
            </w:pPr>
            <w:r>
              <w:rPr>
                <w:color w:val="auto"/>
                <w:szCs w:val="21"/>
              </w:rPr>
              <w:t>矿区生态修复目标及土地利用变化表</w:t>
            </w:r>
          </w:p>
        </w:tc>
      </w:tr>
      <w:tr w14:paraId="054988FC">
        <w:tblPrEx>
          <w:tblCellMar>
            <w:top w:w="0" w:type="dxa"/>
            <w:left w:w="108" w:type="dxa"/>
            <w:bottom w:w="0" w:type="dxa"/>
            <w:right w:w="108" w:type="dxa"/>
          </w:tblCellMar>
        </w:tblPrEx>
        <w:trPr>
          <w:trHeight w:val="397" w:hRule="atLeast"/>
          <w:jc w:val="center"/>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7A019623">
            <w:pPr>
              <w:jc w:val="center"/>
              <w:rPr>
                <w:rFonts w:ascii="Times New Roman" w:hAnsi="Times New Roman" w:eastAsia="宋体" w:cs="Times New Roman"/>
                <w:color w:val="auto"/>
                <w:kern w:val="2"/>
                <w:sz w:val="21"/>
                <w:szCs w:val="21"/>
                <w:lang w:val="en-US" w:eastAsia="zh-CN" w:bidi="ar-SA"/>
              </w:rPr>
            </w:pPr>
            <w:r>
              <w:rPr>
                <w:color w:val="auto"/>
                <w:szCs w:val="21"/>
              </w:rPr>
              <w:t>8</w:t>
            </w:r>
          </w:p>
        </w:tc>
        <w:tc>
          <w:tcPr>
            <w:tcW w:w="7636" w:type="dxa"/>
            <w:tcBorders>
              <w:top w:val="nil"/>
              <w:left w:val="nil"/>
              <w:bottom w:val="single" w:color="auto" w:sz="4" w:space="0"/>
              <w:right w:val="single" w:color="auto" w:sz="4" w:space="0"/>
            </w:tcBorders>
            <w:shd w:val="clear" w:color="auto" w:fill="auto"/>
            <w:noWrap/>
            <w:vAlign w:val="center"/>
          </w:tcPr>
          <w:p w14:paraId="29E9B174">
            <w:pPr>
              <w:jc w:val="center"/>
              <w:rPr>
                <w:rFonts w:ascii="Times New Roman" w:hAnsi="Times New Roman" w:eastAsia="宋体" w:cs="Times New Roman"/>
                <w:color w:val="auto"/>
                <w:kern w:val="2"/>
                <w:sz w:val="21"/>
                <w:szCs w:val="21"/>
                <w:lang w:val="en-US" w:eastAsia="zh-CN" w:bidi="ar-SA"/>
              </w:rPr>
            </w:pPr>
            <w:r>
              <w:rPr>
                <w:color w:val="auto"/>
                <w:szCs w:val="21"/>
              </w:rPr>
              <w:t>矿区用地与复垦修复计划表</w:t>
            </w:r>
          </w:p>
        </w:tc>
      </w:tr>
      <w:tr w14:paraId="6978FF63">
        <w:tblPrEx>
          <w:tblCellMar>
            <w:top w:w="0" w:type="dxa"/>
            <w:left w:w="108" w:type="dxa"/>
            <w:bottom w:w="0" w:type="dxa"/>
            <w:right w:w="108" w:type="dxa"/>
          </w:tblCellMar>
        </w:tblPrEx>
        <w:trPr>
          <w:trHeight w:val="397" w:hRule="atLeast"/>
          <w:jc w:val="center"/>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315EB65E">
            <w:pPr>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9</w:t>
            </w:r>
          </w:p>
        </w:tc>
        <w:tc>
          <w:tcPr>
            <w:tcW w:w="7636" w:type="dxa"/>
            <w:tcBorders>
              <w:top w:val="nil"/>
              <w:left w:val="nil"/>
              <w:bottom w:val="single" w:color="auto" w:sz="4" w:space="0"/>
              <w:right w:val="single" w:color="auto" w:sz="4" w:space="0"/>
            </w:tcBorders>
            <w:shd w:val="clear" w:color="auto" w:fill="auto"/>
            <w:noWrap/>
            <w:vAlign w:val="center"/>
          </w:tcPr>
          <w:p w14:paraId="1986F530">
            <w:pPr>
              <w:jc w:val="center"/>
              <w:rPr>
                <w:rFonts w:ascii="Times New Roman" w:hAnsi="Times New Roman" w:eastAsia="宋体" w:cs="Times New Roman"/>
                <w:color w:val="auto"/>
                <w:kern w:val="2"/>
                <w:sz w:val="21"/>
                <w:szCs w:val="21"/>
                <w:lang w:val="en-US" w:eastAsia="zh-CN" w:bidi="ar-SA"/>
              </w:rPr>
            </w:pPr>
            <w:r>
              <w:rPr>
                <w:color w:val="auto"/>
                <w:szCs w:val="21"/>
              </w:rPr>
              <w:t>矿区生态修复投资估算总表</w:t>
            </w:r>
          </w:p>
        </w:tc>
      </w:tr>
      <w:tr w14:paraId="32610E1D">
        <w:tblPrEx>
          <w:tblCellMar>
            <w:top w:w="0" w:type="dxa"/>
            <w:left w:w="108" w:type="dxa"/>
            <w:bottom w:w="0" w:type="dxa"/>
            <w:right w:w="108" w:type="dxa"/>
          </w:tblCellMar>
        </w:tblPrEx>
        <w:trPr>
          <w:trHeight w:val="397" w:hRule="atLeast"/>
          <w:jc w:val="center"/>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61EA67B5">
            <w:pPr>
              <w:jc w:val="center"/>
              <w:rPr>
                <w:rFonts w:hint="eastAsia" w:ascii="Times New Roman" w:hAnsi="Times New Roman" w:eastAsia="宋体" w:cs="Times New Roman"/>
                <w:color w:val="auto"/>
                <w:kern w:val="2"/>
                <w:sz w:val="21"/>
                <w:szCs w:val="21"/>
                <w:lang w:val="en-US" w:eastAsia="zh-CN" w:bidi="ar-SA"/>
              </w:rPr>
            </w:pPr>
            <w:r>
              <w:rPr>
                <w:color w:val="auto"/>
                <w:szCs w:val="21"/>
              </w:rPr>
              <w:t>1</w:t>
            </w:r>
            <w:r>
              <w:rPr>
                <w:rFonts w:hint="eastAsia"/>
                <w:color w:val="auto"/>
                <w:szCs w:val="21"/>
                <w:lang w:val="en-US" w:eastAsia="zh-CN"/>
              </w:rPr>
              <w:t>0</w:t>
            </w:r>
          </w:p>
        </w:tc>
        <w:tc>
          <w:tcPr>
            <w:tcW w:w="7636" w:type="dxa"/>
            <w:tcBorders>
              <w:top w:val="nil"/>
              <w:left w:val="nil"/>
              <w:bottom w:val="single" w:color="auto" w:sz="4" w:space="0"/>
              <w:right w:val="single" w:color="auto" w:sz="4" w:space="0"/>
            </w:tcBorders>
            <w:shd w:val="clear" w:color="auto" w:fill="auto"/>
            <w:noWrap/>
            <w:vAlign w:val="center"/>
          </w:tcPr>
          <w:p w14:paraId="7899766C">
            <w:pPr>
              <w:jc w:val="center"/>
              <w:rPr>
                <w:rFonts w:ascii="Times New Roman" w:hAnsi="Times New Roman" w:eastAsia="宋体" w:cs="Times New Roman"/>
                <w:color w:val="auto"/>
                <w:kern w:val="2"/>
                <w:sz w:val="21"/>
                <w:szCs w:val="21"/>
                <w:lang w:val="en-US" w:eastAsia="zh-CN" w:bidi="ar-SA"/>
              </w:rPr>
            </w:pPr>
            <w:r>
              <w:rPr>
                <w:color w:val="auto"/>
                <w:szCs w:val="21"/>
              </w:rPr>
              <w:t>工程施工费单价估算表</w:t>
            </w:r>
          </w:p>
        </w:tc>
      </w:tr>
      <w:tr w14:paraId="1590D09E">
        <w:tblPrEx>
          <w:tblCellMar>
            <w:top w:w="0" w:type="dxa"/>
            <w:left w:w="108" w:type="dxa"/>
            <w:bottom w:w="0" w:type="dxa"/>
            <w:right w:w="108" w:type="dxa"/>
          </w:tblCellMar>
        </w:tblPrEx>
        <w:trPr>
          <w:trHeight w:val="397" w:hRule="atLeast"/>
          <w:jc w:val="center"/>
        </w:trPr>
        <w:tc>
          <w:tcPr>
            <w:tcW w:w="1046" w:type="dxa"/>
            <w:tcBorders>
              <w:top w:val="nil"/>
              <w:left w:val="single" w:color="auto" w:sz="4" w:space="0"/>
              <w:bottom w:val="single" w:color="auto" w:sz="4" w:space="0"/>
              <w:right w:val="single" w:color="auto" w:sz="4" w:space="0"/>
            </w:tcBorders>
            <w:shd w:val="clear" w:color="auto" w:fill="auto"/>
            <w:noWrap/>
            <w:vAlign w:val="center"/>
          </w:tcPr>
          <w:p w14:paraId="50673232">
            <w:pPr>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lang w:val="en-US" w:eastAsia="zh-CN"/>
              </w:rPr>
              <w:t>11</w:t>
            </w:r>
          </w:p>
        </w:tc>
        <w:tc>
          <w:tcPr>
            <w:tcW w:w="7636" w:type="dxa"/>
            <w:tcBorders>
              <w:top w:val="nil"/>
              <w:left w:val="nil"/>
              <w:bottom w:val="single" w:color="auto" w:sz="4" w:space="0"/>
              <w:right w:val="single" w:color="auto" w:sz="4" w:space="0"/>
            </w:tcBorders>
            <w:shd w:val="clear" w:color="auto" w:fill="auto"/>
            <w:noWrap/>
            <w:vAlign w:val="center"/>
          </w:tcPr>
          <w:p w14:paraId="21FD82D4">
            <w:pPr>
              <w:jc w:val="center"/>
              <w:rPr>
                <w:rFonts w:ascii="Times New Roman" w:hAnsi="Times New Roman" w:eastAsia="宋体" w:cs="Times New Roman"/>
                <w:color w:val="auto"/>
                <w:kern w:val="2"/>
                <w:sz w:val="21"/>
                <w:szCs w:val="21"/>
                <w:lang w:val="en-US" w:eastAsia="zh-CN" w:bidi="ar-SA"/>
              </w:rPr>
            </w:pPr>
            <w:r>
              <w:rPr>
                <w:color w:val="auto"/>
                <w:szCs w:val="21"/>
              </w:rPr>
              <w:t>工程施工费估算表</w:t>
            </w:r>
          </w:p>
        </w:tc>
      </w:tr>
      <w:tr w14:paraId="012319A7">
        <w:tblPrEx>
          <w:tblCellMar>
            <w:top w:w="0" w:type="dxa"/>
            <w:left w:w="108" w:type="dxa"/>
            <w:bottom w:w="0" w:type="dxa"/>
            <w:right w:w="108" w:type="dxa"/>
          </w:tblCellMar>
        </w:tblPrEx>
        <w:trPr>
          <w:trHeight w:val="420" w:hRule="atLeast"/>
          <w:jc w:val="center"/>
        </w:trPr>
        <w:tc>
          <w:tcPr>
            <w:tcW w:w="10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9FE974">
            <w:pPr>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lang w:val="en-US" w:eastAsia="zh-CN"/>
              </w:rPr>
              <w:t>12</w:t>
            </w:r>
          </w:p>
        </w:tc>
        <w:tc>
          <w:tcPr>
            <w:tcW w:w="7636" w:type="dxa"/>
            <w:tcBorders>
              <w:top w:val="single" w:color="auto" w:sz="4" w:space="0"/>
              <w:left w:val="nil"/>
              <w:bottom w:val="single" w:color="auto" w:sz="4" w:space="0"/>
              <w:right w:val="single" w:color="auto" w:sz="4" w:space="0"/>
            </w:tcBorders>
            <w:shd w:val="clear" w:color="auto" w:fill="auto"/>
            <w:noWrap/>
            <w:vAlign w:val="center"/>
          </w:tcPr>
          <w:p w14:paraId="64CBFFD9">
            <w:pPr>
              <w:jc w:val="center"/>
              <w:rPr>
                <w:rFonts w:ascii="Times New Roman" w:hAnsi="Times New Roman" w:eastAsia="宋体" w:cs="Times New Roman"/>
                <w:color w:val="auto"/>
                <w:kern w:val="2"/>
                <w:sz w:val="21"/>
                <w:szCs w:val="21"/>
                <w:lang w:val="en-US" w:eastAsia="zh-CN" w:bidi="ar-SA"/>
              </w:rPr>
            </w:pPr>
            <w:r>
              <w:rPr>
                <w:color w:val="auto"/>
                <w:szCs w:val="21"/>
              </w:rPr>
              <w:t>其他费用估算表</w:t>
            </w:r>
          </w:p>
        </w:tc>
      </w:tr>
      <w:tr w14:paraId="4552F04F">
        <w:tblPrEx>
          <w:tblCellMar>
            <w:top w:w="0" w:type="dxa"/>
            <w:left w:w="108" w:type="dxa"/>
            <w:bottom w:w="0" w:type="dxa"/>
            <w:right w:w="108" w:type="dxa"/>
          </w:tblCellMar>
        </w:tblPrEx>
        <w:trPr>
          <w:trHeight w:val="397" w:hRule="atLeast"/>
          <w:jc w:val="center"/>
        </w:trPr>
        <w:tc>
          <w:tcPr>
            <w:tcW w:w="10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9BCBC6">
            <w:pPr>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lang w:val="en-US" w:eastAsia="zh-CN"/>
              </w:rPr>
              <w:t>13</w:t>
            </w:r>
          </w:p>
        </w:tc>
        <w:tc>
          <w:tcPr>
            <w:tcW w:w="7636" w:type="dxa"/>
            <w:tcBorders>
              <w:top w:val="single" w:color="auto" w:sz="4" w:space="0"/>
              <w:left w:val="nil"/>
              <w:bottom w:val="single" w:color="auto" w:sz="4" w:space="0"/>
              <w:right w:val="single" w:color="auto" w:sz="4" w:space="0"/>
            </w:tcBorders>
            <w:shd w:val="clear" w:color="auto" w:fill="auto"/>
            <w:noWrap/>
            <w:vAlign w:val="center"/>
          </w:tcPr>
          <w:p w14:paraId="05E535F0">
            <w:pPr>
              <w:jc w:val="center"/>
              <w:rPr>
                <w:rFonts w:ascii="Times New Roman" w:hAnsi="Times New Roman" w:eastAsia="宋体" w:cs="Times New Roman"/>
                <w:color w:val="auto"/>
                <w:kern w:val="2"/>
                <w:sz w:val="21"/>
                <w:szCs w:val="21"/>
                <w:lang w:val="en-US" w:eastAsia="zh-CN" w:bidi="ar-SA"/>
              </w:rPr>
            </w:pPr>
            <w:r>
              <w:rPr>
                <w:color w:val="auto"/>
                <w:szCs w:val="21"/>
              </w:rPr>
              <w:t>年度矿区生态修复工作计划表</w:t>
            </w:r>
          </w:p>
        </w:tc>
      </w:tr>
      <w:tr w14:paraId="7A82127D">
        <w:tblPrEx>
          <w:tblCellMar>
            <w:top w:w="0" w:type="dxa"/>
            <w:left w:w="108" w:type="dxa"/>
            <w:bottom w:w="0" w:type="dxa"/>
            <w:right w:w="108" w:type="dxa"/>
          </w:tblCellMar>
        </w:tblPrEx>
        <w:trPr>
          <w:trHeight w:val="397" w:hRule="atLeast"/>
          <w:jc w:val="center"/>
        </w:trPr>
        <w:tc>
          <w:tcPr>
            <w:tcW w:w="10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D9E26A">
            <w:pPr>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14</w:t>
            </w:r>
          </w:p>
        </w:tc>
        <w:tc>
          <w:tcPr>
            <w:tcW w:w="7636" w:type="dxa"/>
            <w:tcBorders>
              <w:top w:val="single" w:color="auto" w:sz="4" w:space="0"/>
              <w:left w:val="nil"/>
              <w:bottom w:val="single" w:color="auto" w:sz="4" w:space="0"/>
              <w:right w:val="single" w:color="auto" w:sz="4" w:space="0"/>
            </w:tcBorders>
            <w:shd w:val="clear" w:color="auto" w:fill="auto"/>
            <w:noWrap/>
            <w:vAlign w:val="center"/>
          </w:tcPr>
          <w:p w14:paraId="56CFBC92">
            <w:pPr>
              <w:jc w:val="center"/>
              <w:rPr>
                <w:rFonts w:ascii="Times New Roman" w:hAnsi="Times New Roman" w:eastAsia="宋体" w:cs="Times New Roman"/>
                <w:color w:val="auto"/>
                <w:kern w:val="2"/>
                <w:sz w:val="21"/>
                <w:szCs w:val="21"/>
                <w:lang w:val="en-US" w:eastAsia="zh-CN" w:bidi="ar-SA"/>
              </w:rPr>
            </w:pPr>
            <w:r>
              <w:rPr>
                <w:rFonts w:hint="eastAsia"/>
                <w:color w:val="auto"/>
                <w:szCs w:val="21"/>
              </w:rPr>
              <w:t>存量采矿用地腾退指标使用计划表</w:t>
            </w:r>
          </w:p>
        </w:tc>
      </w:tr>
      <w:tr w14:paraId="5C267057">
        <w:tblPrEx>
          <w:tblCellMar>
            <w:top w:w="0" w:type="dxa"/>
            <w:left w:w="108" w:type="dxa"/>
            <w:bottom w:w="0" w:type="dxa"/>
            <w:right w:w="108" w:type="dxa"/>
          </w:tblCellMar>
        </w:tblPrEx>
        <w:trPr>
          <w:trHeight w:val="397" w:hRule="atLeast"/>
          <w:jc w:val="center"/>
        </w:trPr>
        <w:tc>
          <w:tcPr>
            <w:tcW w:w="10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4A8980">
            <w:pPr>
              <w:jc w:val="center"/>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15</w:t>
            </w:r>
          </w:p>
        </w:tc>
        <w:tc>
          <w:tcPr>
            <w:tcW w:w="7636" w:type="dxa"/>
            <w:tcBorders>
              <w:top w:val="single" w:color="auto" w:sz="4" w:space="0"/>
              <w:left w:val="nil"/>
              <w:bottom w:val="single" w:color="auto" w:sz="4" w:space="0"/>
              <w:right w:val="single" w:color="auto" w:sz="4" w:space="0"/>
            </w:tcBorders>
            <w:shd w:val="clear" w:color="auto" w:fill="auto"/>
            <w:noWrap/>
            <w:vAlign w:val="center"/>
          </w:tcPr>
          <w:p w14:paraId="26B3A6F4">
            <w:pPr>
              <w:jc w:val="center"/>
              <w:rPr>
                <w:rFonts w:hint="eastAsia"/>
                <w:color w:val="auto"/>
                <w:szCs w:val="21"/>
              </w:rPr>
            </w:pPr>
            <w:r>
              <w:rPr>
                <w:rFonts w:hint="eastAsia"/>
                <w:color w:val="auto"/>
                <w:szCs w:val="21"/>
              </w:rPr>
              <w:t>矿区各生态修复单元拐点坐标表</w:t>
            </w:r>
          </w:p>
        </w:tc>
      </w:tr>
    </w:tbl>
    <w:p w14:paraId="569215A7">
      <w:pPr>
        <w:spacing w:line="360" w:lineRule="auto"/>
        <w:ind w:firstLine="602"/>
        <w:contextualSpacing/>
        <w:jc w:val="center"/>
        <w:rPr>
          <w:rFonts w:hint="eastAsia" w:ascii="宋体" w:hAnsi="宋体" w:cs="宋体"/>
          <w:b/>
          <w:color w:val="auto"/>
          <w:sz w:val="28"/>
          <w:szCs w:val="30"/>
        </w:rPr>
      </w:pPr>
      <w:r>
        <w:rPr>
          <w:rFonts w:hint="eastAsia" w:ascii="宋体" w:hAnsi="宋体" w:cs="宋体"/>
          <w:b/>
          <w:color w:val="auto"/>
          <w:sz w:val="28"/>
          <w:szCs w:val="30"/>
        </w:rPr>
        <w:t>附  图</w:t>
      </w:r>
    </w:p>
    <w:tbl>
      <w:tblPr>
        <w:tblStyle w:val="34"/>
        <w:tblW w:w="4998" w:type="pct"/>
        <w:jc w:val="center"/>
        <w:tblLayout w:type="autofit"/>
        <w:tblCellMar>
          <w:top w:w="0" w:type="dxa"/>
          <w:left w:w="108" w:type="dxa"/>
          <w:bottom w:w="0" w:type="dxa"/>
          <w:right w:w="108" w:type="dxa"/>
        </w:tblCellMar>
      </w:tblPr>
      <w:tblGrid>
        <w:gridCol w:w="894"/>
        <w:gridCol w:w="684"/>
        <w:gridCol w:w="6065"/>
        <w:gridCol w:w="1141"/>
      </w:tblGrid>
      <w:tr w14:paraId="5A9288AF">
        <w:tblPrEx>
          <w:tblCellMar>
            <w:top w:w="0" w:type="dxa"/>
            <w:left w:w="108" w:type="dxa"/>
            <w:bottom w:w="0" w:type="dxa"/>
            <w:right w:w="108" w:type="dxa"/>
          </w:tblCellMar>
        </w:tblPrEx>
        <w:trPr>
          <w:trHeight w:val="397" w:hRule="atLeast"/>
          <w:jc w:val="center"/>
        </w:trPr>
        <w:tc>
          <w:tcPr>
            <w:tcW w:w="509" w:type="pct"/>
            <w:tcBorders>
              <w:top w:val="single" w:color="auto" w:sz="4" w:space="0"/>
              <w:left w:val="single" w:color="auto" w:sz="4" w:space="0"/>
              <w:bottom w:val="single" w:color="auto" w:sz="4" w:space="0"/>
              <w:right w:val="single" w:color="auto" w:sz="4" w:space="0"/>
            </w:tcBorders>
            <w:vAlign w:val="center"/>
          </w:tcPr>
          <w:p w14:paraId="3D55834E">
            <w:pPr>
              <w:jc w:val="center"/>
              <w:rPr>
                <w:b/>
                <w:bCs/>
                <w:color w:val="auto"/>
              </w:rPr>
            </w:pPr>
            <w:r>
              <w:rPr>
                <w:b/>
                <w:bCs/>
                <w:color w:val="auto"/>
              </w:rPr>
              <w:t>顺序号</w:t>
            </w:r>
          </w:p>
        </w:tc>
        <w:tc>
          <w:tcPr>
            <w:tcW w:w="389" w:type="pct"/>
            <w:tcBorders>
              <w:top w:val="single" w:color="auto" w:sz="4" w:space="0"/>
              <w:left w:val="nil"/>
              <w:bottom w:val="single" w:color="auto" w:sz="4" w:space="0"/>
              <w:right w:val="single" w:color="auto" w:sz="4" w:space="0"/>
            </w:tcBorders>
            <w:vAlign w:val="center"/>
          </w:tcPr>
          <w:p w14:paraId="149B26CC">
            <w:pPr>
              <w:jc w:val="center"/>
              <w:rPr>
                <w:b/>
                <w:bCs/>
                <w:color w:val="auto"/>
              </w:rPr>
            </w:pPr>
            <w:r>
              <w:rPr>
                <w:b/>
                <w:bCs/>
                <w:color w:val="auto"/>
              </w:rPr>
              <w:t>图号</w:t>
            </w:r>
          </w:p>
        </w:tc>
        <w:tc>
          <w:tcPr>
            <w:tcW w:w="3451" w:type="pct"/>
            <w:tcBorders>
              <w:top w:val="single" w:color="auto" w:sz="4" w:space="0"/>
              <w:left w:val="nil"/>
              <w:bottom w:val="single" w:color="auto" w:sz="4" w:space="0"/>
              <w:right w:val="single" w:color="auto" w:sz="4" w:space="0"/>
            </w:tcBorders>
            <w:vAlign w:val="center"/>
          </w:tcPr>
          <w:p w14:paraId="1F2C2353">
            <w:pPr>
              <w:jc w:val="center"/>
              <w:rPr>
                <w:b/>
                <w:bCs/>
                <w:color w:val="auto"/>
              </w:rPr>
            </w:pPr>
            <w:r>
              <w:rPr>
                <w:b/>
                <w:bCs/>
                <w:color w:val="auto"/>
              </w:rPr>
              <w:t>图 名</w:t>
            </w:r>
          </w:p>
        </w:tc>
        <w:tc>
          <w:tcPr>
            <w:tcW w:w="649" w:type="pct"/>
            <w:tcBorders>
              <w:top w:val="single" w:color="auto" w:sz="4" w:space="0"/>
              <w:left w:val="nil"/>
              <w:bottom w:val="single" w:color="auto" w:sz="4" w:space="0"/>
              <w:right w:val="single" w:color="auto" w:sz="4" w:space="0"/>
            </w:tcBorders>
            <w:vAlign w:val="center"/>
          </w:tcPr>
          <w:p w14:paraId="7B53D801">
            <w:pPr>
              <w:jc w:val="center"/>
              <w:rPr>
                <w:b/>
                <w:bCs/>
                <w:color w:val="auto"/>
              </w:rPr>
            </w:pPr>
            <w:r>
              <w:rPr>
                <w:b/>
                <w:bCs/>
                <w:color w:val="auto"/>
              </w:rPr>
              <w:t>比例尺</w:t>
            </w:r>
          </w:p>
        </w:tc>
      </w:tr>
      <w:tr w14:paraId="6D15C3EE">
        <w:tblPrEx>
          <w:tblCellMar>
            <w:top w:w="0" w:type="dxa"/>
            <w:left w:w="108" w:type="dxa"/>
            <w:bottom w:w="0" w:type="dxa"/>
            <w:right w:w="108" w:type="dxa"/>
          </w:tblCellMar>
        </w:tblPrEx>
        <w:trPr>
          <w:trHeight w:val="397" w:hRule="atLeast"/>
          <w:jc w:val="center"/>
        </w:trPr>
        <w:tc>
          <w:tcPr>
            <w:tcW w:w="509" w:type="pct"/>
            <w:tcBorders>
              <w:top w:val="single" w:color="auto" w:sz="4" w:space="0"/>
              <w:left w:val="single" w:color="auto" w:sz="4" w:space="0"/>
              <w:bottom w:val="single" w:color="auto" w:sz="4" w:space="0"/>
              <w:right w:val="single" w:color="auto" w:sz="4" w:space="0"/>
            </w:tcBorders>
            <w:vAlign w:val="center"/>
          </w:tcPr>
          <w:p w14:paraId="42929830">
            <w:pPr>
              <w:jc w:val="center"/>
              <w:rPr>
                <w:color w:val="auto"/>
              </w:rPr>
            </w:pPr>
            <w:r>
              <w:rPr>
                <w:color w:val="auto"/>
              </w:rPr>
              <w:t>1</w:t>
            </w:r>
          </w:p>
        </w:tc>
        <w:tc>
          <w:tcPr>
            <w:tcW w:w="389" w:type="pct"/>
            <w:tcBorders>
              <w:top w:val="single" w:color="auto" w:sz="4" w:space="0"/>
              <w:left w:val="single" w:color="auto" w:sz="4" w:space="0"/>
              <w:bottom w:val="single" w:color="auto" w:sz="4" w:space="0"/>
              <w:right w:val="single" w:color="auto" w:sz="4" w:space="0"/>
            </w:tcBorders>
            <w:vAlign w:val="center"/>
          </w:tcPr>
          <w:p w14:paraId="0CE53186">
            <w:pPr>
              <w:jc w:val="center"/>
              <w:rPr>
                <w:color w:val="auto"/>
              </w:rPr>
            </w:pPr>
            <w:r>
              <w:rPr>
                <w:color w:val="auto"/>
              </w:rPr>
              <w:t>1</w:t>
            </w:r>
          </w:p>
        </w:tc>
        <w:tc>
          <w:tcPr>
            <w:tcW w:w="3451" w:type="pct"/>
            <w:tcBorders>
              <w:top w:val="single" w:color="auto" w:sz="4" w:space="0"/>
              <w:left w:val="single" w:color="auto" w:sz="4" w:space="0"/>
              <w:bottom w:val="single" w:color="auto" w:sz="4" w:space="0"/>
              <w:right w:val="single" w:color="auto" w:sz="4" w:space="0"/>
            </w:tcBorders>
            <w:vAlign w:val="center"/>
          </w:tcPr>
          <w:p w14:paraId="4FA98B1D">
            <w:pPr>
              <w:jc w:val="center"/>
              <w:rPr>
                <w:color w:val="auto"/>
                <w:szCs w:val="24"/>
              </w:rPr>
            </w:pPr>
            <w:r>
              <w:rPr>
                <w:rFonts w:ascii="Times New Roman" w:hAnsi="Times New Roman" w:eastAsia="宋体" w:cs="Times New Roman"/>
                <w:color w:val="auto"/>
                <w:szCs w:val="24"/>
              </w:rPr>
              <w:t>松山区</w:t>
            </w:r>
            <w:r>
              <w:rPr>
                <w:rFonts w:hint="eastAsia" w:ascii="Times New Roman" w:hAnsi="Times New Roman" w:eastAsia="宋体" w:cs="Times New Roman"/>
                <w:color w:val="auto"/>
                <w:szCs w:val="24"/>
              </w:rPr>
              <w:t>初头朗镇窑沟门</w:t>
            </w:r>
            <w:r>
              <w:rPr>
                <w:rFonts w:ascii="Times New Roman" w:hAnsi="Times New Roman" w:eastAsia="宋体" w:cs="Times New Roman"/>
                <w:color w:val="auto"/>
                <w:szCs w:val="24"/>
              </w:rPr>
              <w:t>碎石矿矿区土地利用现状图</w:t>
            </w:r>
          </w:p>
        </w:tc>
        <w:tc>
          <w:tcPr>
            <w:tcW w:w="649" w:type="pct"/>
            <w:tcBorders>
              <w:top w:val="single" w:color="auto" w:sz="4" w:space="0"/>
              <w:left w:val="single" w:color="auto" w:sz="4" w:space="0"/>
              <w:bottom w:val="single" w:color="auto" w:sz="4" w:space="0"/>
              <w:right w:val="single" w:color="auto" w:sz="4" w:space="0"/>
            </w:tcBorders>
            <w:vAlign w:val="center"/>
          </w:tcPr>
          <w:p w14:paraId="364AC289">
            <w:pPr>
              <w:jc w:val="center"/>
              <w:rPr>
                <w:color w:val="auto"/>
              </w:rPr>
            </w:pPr>
            <w:r>
              <w:rPr>
                <w:color w:val="auto"/>
              </w:rPr>
              <w:t>1：</w:t>
            </w:r>
            <w:r>
              <w:rPr>
                <w:rFonts w:hint="eastAsia"/>
                <w:color w:val="auto"/>
                <w:lang w:val="en-US" w:eastAsia="zh-CN"/>
              </w:rPr>
              <w:t>10</w:t>
            </w:r>
            <w:r>
              <w:rPr>
                <w:color w:val="auto"/>
              </w:rPr>
              <w:t>00</w:t>
            </w:r>
          </w:p>
        </w:tc>
      </w:tr>
      <w:tr w14:paraId="5E8B4849">
        <w:tblPrEx>
          <w:tblCellMar>
            <w:top w:w="0" w:type="dxa"/>
            <w:left w:w="108" w:type="dxa"/>
            <w:bottom w:w="0" w:type="dxa"/>
            <w:right w:w="108" w:type="dxa"/>
          </w:tblCellMar>
        </w:tblPrEx>
        <w:trPr>
          <w:trHeight w:val="397" w:hRule="atLeast"/>
          <w:jc w:val="center"/>
        </w:trPr>
        <w:tc>
          <w:tcPr>
            <w:tcW w:w="509" w:type="pct"/>
            <w:tcBorders>
              <w:top w:val="single" w:color="auto" w:sz="4" w:space="0"/>
              <w:left w:val="single" w:color="auto" w:sz="4" w:space="0"/>
              <w:bottom w:val="single" w:color="auto" w:sz="4" w:space="0"/>
              <w:right w:val="single" w:color="auto" w:sz="4" w:space="0"/>
            </w:tcBorders>
            <w:vAlign w:val="center"/>
          </w:tcPr>
          <w:p w14:paraId="770A6A35">
            <w:pPr>
              <w:jc w:val="center"/>
              <w:rPr>
                <w:color w:val="auto"/>
              </w:rPr>
            </w:pPr>
            <w:r>
              <w:rPr>
                <w:color w:val="auto"/>
              </w:rPr>
              <w:t>2</w:t>
            </w:r>
          </w:p>
        </w:tc>
        <w:tc>
          <w:tcPr>
            <w:tcW w:w="389" w:type="pct"/>
            <w:tcBorders>
              <w:top w:val="single" w:color="auto" w:sz="4" w:space="0"/>
              <w:left w:val="single" w:color="auto" w:sz="4" w:space="0"/>
              <w:bottom w:val="single" w:color="auto" w:sz="4" w:space="0"/>
              <w:right w:val="single" w:color="auto" w:sz="4" w:space="0"/>
            </w:tcBorders>
            <w:vAlign w:val="center"/>
          </w:tcPr>
          <w:p w14:paraId="6599710E">
            <w:pPr>
              <w:jc w:val="center"/>
              <w:rPr>
                <w:color w:val="auto"/>
              </w:rPr>
            </w:pPr>
            <w:r>
              <w:rPr>
                <w:color w:val="auto"/>
              </w:rPr>
              <w:t>2</w:t>
            </w:r>
          </w:p>
        </w:tc>
        <w:tc>
          <w:tcPr>
            <w:tcW w:w="3451" w:type="pct"/>
            <w:tcBorders>
              <w:top w:val="single" w:color="auto" w:sz="4" w:space="0"/>
              <w:left w:val="single" w:color="auto" w:sz="4" w:space="0"/>
              <w:bottom w:val="single" w:color="auto" w:sz="4" w:space="0"/>
              <w:right w:val="single" w:color="auto" w:sz="4" w:space="0"/>
            </w:tcBorders>
            <w:vAlign w:val="center"/>
          </w:tcPr>
          <w:p w14:paraId="4A932564">
            <w:pPr>
              <w:jc w:val="center"/>
              <w:rPr>
                <w:color w:val="auto"/>
              </w:rPr>
            </w:pPr>
            <w:r>
              <w:rPr>
                <w:rFonts w:ascii="Times New Roman" w:hAnsi="Times New Roman" w:eastAsia="宋体" w:cs="Times New Roman"/>
                <w:color w:val="auto"/>
                <w:szCs w:val="24"/>
              </w:rPr>
              <w:t>松山区</w:t>
            </w:r>
            <w:r>
              <w:rPr>
                <w:rFonts w:hint="eastAsia" w:ascii="Times New Roman" w:hAnsi="Times New Roman" w:eastAsia="宋体" w:cs="Times New Roman"/>
                <w:color w:val="auto"/>
                <w:szCs w:val="24"/>
              </w:rPr>
              <w:t>初头朗镇窑沟门</w:t>
            </w:r>
            <w:r>
              <w:rPr>
                <w:rFonts w:ascii="Times New Roman" w:hAnsi="Times New Roman" w:eastAsia="宋体" w:cs="Times New Roman"/>
                <w:color w:val="auto"/>
                <w:szCs w:val="24"/>
              </w:rPr>
              <w:t>碎石矿矿区</w:t>
            </w:r>
            <w:r>
              <w:rPr>
                <w:color w:val="auto"/>
                <w:szCs w:val="24"/>
              </w:rPr>
              <w:t>地质环境问题现状图</w:t>
            </w:r>
          </w:p>
        </w:tc>
        <w:tc>
          <w:tcPr>
            <w:tcW w:w="649" w:type="pct"/>
            <w:tcBorders>
              <w:top w:val="single" w:color="auto" w:sz="4" w:space="0"/>
              <w:left w:val="single" w:color="auto" w:sz="4" w:space="0"/>
              <w:bottom w:val="single" w:color="auto" w:sz="4" w:space="0"/>
              <w:right w:val="single" w:color="auto" w:sz="4" w:space="0"/>
            </w:tcBorders>
            <w:vAlign w:val="center"/>
          </w:tcPr>
          <w:p w14:paraId="0A0E381C">
            <w:pPr>
              <w:jc w:val="center"/>
              <w:rPr>
                <w:color w:val="auto"/>
              </w:rPr>
            </w:pPr>
            <w:r>
              <w:rPr>
                <w:color w:val="auto"/>
              </w:rPr>
              <w:t>1：</w:t>
            </w:r>
            <w:r>
              <w:rPr>
                <w:rFonts w:hint="eastAsia"/>
                <w:color w:val="auto"/>
                <w:lang w:val="en-US" w:eastAsia="zh-CN"/>
              </w:rPr>
              <w:t>10</w:t>
            </w:r>
            <w:r>
              <w:rPr>
                <w:color w:val="auto"/>
              </w:rPr>
              <w:t>00</w:t>
            </w:r>
          </w:p>
        </w:tc>
      </w:tr>
      <w:tr w14:paraId="5B170C66">
        <w:tblPrEx>
          <w:tblCellMar>
            <w:top w:w="0" w:type="dxa"/>
            <w:left w:w="108" w:type="dxa"/>
            <w:bottom w:w="0" w:type="dxa"/>
            <w:right w:w="108" w:type="dxa"/>
          </w:tblCellMar>
        </w:tblPrEx>
        <w:trPr>
          <w:trHeight w:val="397" w:hRule="atLeast"/>
          <w:jc w:val="center"/>
        </w:trPr>
        <w:tc>
          <w:tcPr>
            <w:tcW w:w="509" w:type="pct"/>
            <w:tcBorders>
              <w:top w:val="single" w:color="auto" w:sz="4" w:space="0"/>
              <w:left w:val="single" w:color="auto" w:sz="4" w:space="0"/>
              <w:bottom w:val="single" w:color="auto" w:sz="4" w:space="0"/>
              <w:right w:val="single" w:color="auto" w:sz="4" w:space="0"/>
            </w:tcBorders>
            <w:vAlign w:val="center"/>
          </w:tcPr>
          <w:p w14:paraId="2061089D">
            <w:pPr>
              <w:jc w:val="center"/>
              <w:rPr>
                <w:color w:val="auto"/>
              </w:rPr>
            </w:pPr>
            <w:r>
              <w:rPr>
                <w:color w:val="auto"/>
              </w:rPr>
              <w:t>3</w:t>
            </w:r>
          </w:p>
        </w:tc>
        <w:tc>
          <w:tcPr>
            <w:tcW w:w="389" w:type="pct"/>
            <w:tcBorders>
              <w:top w:val="single" w:color="auto" w:sz="4" w:space="0"/>
              <w:left w:val="single" w:color="auto" w:sz="4" w:space="0"/>
              <w:bottom w:val="single" w:color="auto" w:sz="4" w:space="0"/>
              <w:right w:val="single" w:color="auto" w:sz="4" w:space="0"/>
            </w:tcBorders>
            <w:vAlign w:val="center"/>
          </w:tcPr>
          <w:p w14:paraId="45943EAF">
            <w:pPr>
              <w:jc w:val="center"/>
              <w:rPr>
                <w:color w:val="auto"/>
              </w:rPr>
            </w:pPr>
            <w:r>
              <w:rPr>
                <w:color w:val="auto"/>
              </w:rPr>
              <w:t>3</w:t>
            </w:r>
          </w:p>
        </w:tc>
        <w:tc>
          <w:tcPr>
            <w:tcW w:w="3451" w:type="pct"/>
            <w:tcBorders>
              <w:top w:val="single" w:color="auto" w:sz="4" w:space="0"/>
              <w:left w:val="single" w:color="auto" w:sz="4" w:space="0"/>
              <w:bottom w:val="single" w:color="auto" w:sz="4" w:space="0"/>
              <w:right w:val="single" w:color="auto" w:sz="4" w:space="0"/>
            </w:tcBorders>
            <w:vAlign w:val="center"/>
          </w:tcPr>
          <w:p w14:paraId="63359CA2">
            <w:pPr>
              <w:jc w:val="center"/>
              <w:rPr>
                <w:color w:val="auto"/>
              </w:rPr>
            </w:pPr>
            <w:r>
              <w:rPr>
                <w:rFonts w:ascii="Times New Roman" w:hAnsi="Times New Roman" w:eastAsia="宋体" w:cs="Times New Roman"/>
                <w:color w:val="auto"/>
                <w:szCs w:val="24"/>
              </w:rPr>
              <w:t>松山区</w:t>
            </w:r>
            <w:r>
              <w:rPr>
                <w:rFonts w:hint="eastAsia" w:ascii="Times New Roman" w:hAnsi="Times New Roman" w:eastAsia="宋体" w:cs="Times New Roman"/>
                <w:color w:val="auto"/>
                <w:szCs w:val="24"/>
              </w:rPr>
              <w:t>初头朗镇窑沟门</w:t>
            </w:r>
            <w:r>
              <w:rPr>
                <w:rFonts w:ascii="Times New Roman" w:hAnsi="Times New Roman" w:eastAsia="宋体" w:cs="Times New Roman"/>
                <w:color w:val="auto"/>
                <w:szCs w:val="24"/>
              </w:rPr>
              <w:t>碎石矿</w:t>
            </w:r>
            <w:r>
              <w:rPr>
                <w:color w:val="auto"/>
                <w:szCs w:val="24"/>
              </w:rPr>
              <w:t>矿区土地损毁现状图</w:t>
            </w:r>
          </w:p>
        </w:tc>
        <w:tc>
          <w:tcPr>
            <w:tcW w:w="649" w:type="pct"/>
            <w:tcBorders>
              <w:top w:val="single" w:color="auto" w:sz="4" w:space="0"/>
              <w:left w:val="single" w:color="auto" w:sz="4" w:space="0"/>
              <w:bottom w:val="single" w:color="auto" w:sz="4" w:space="0"/>
              <w:right w:val="single" w:color="auto" w:sz="4" w:space="0"/>
            </w:tcBorders>
            <w:vAlign w:val="center"/>
          </w:tcPr>
          <w:p w14:paraId="1AC6E39F">
            <w:pPr>
              <w:jc w:val="center"/>
              <w:rPr>
                <w:color w:val="auto"/>
              </w:rPr>
            </w:pPr>
            <w:r>
              <w:rPr>
                <w:color w:val="auto"/>
              </w:rPr>
              <w:t>1：</w:t>
            </w:r>
            <w:r>
              <w:rPr>
                <w:rFonts w:hint="eastAsia"/>
                <w:color w:val="auto"/>
                <w:lang w:val="en-US" w:eastAsia="zh-CN"/>
              </w:rPr>
              <w:t>10</w:t>
            </w:r>
            <w:r>
              <w:rPr>
                <w:color w:val="auto"/>
              </w:rPr>
              <w:t>00</w:t>
            </w:r>
          </w:p>
        </w:tc>
      </w:tr>
      <w:tr w14:paraId="6FD6B9F7">
        <w:tblPrEx>
          <w:tblCellMar>
            <w:top w:w="0" w:type="dxa"/>
            <w:left w:w="108" w:type="dxa"/>
            <w:bottom w:w="0" w:type="dxa"/>
            <w:right w:w="108" w:type="dxa"/>
          </w:tblCellMar>
        </w:tblPrEx>
        <w:trPr>
          <w:trHeight w:val="397" w:hRule="atLeast"/>
          <w:jc w:val="center"/>
        </w:trPr>
        <w:tc>
          <w:tcPr>
            <w:tcW w:w="509" w:type="pct"/>
            <w:tcBorders>
              <w:top w:val="single" w:color="auto" w:sz="4" w:space="0"/>
              <w:left w:val="single" w:color="auto" w:sz="4" w:space="0"/>
              <w:bottom w:val="single" w:color="auto" w:sz="4" w:space="0"/>
              <w:right w:val="single" w:color="auto" w:sz="4" w:space="0"/>
            </w:tcBorders>
            <w:vAlign w:val="center"/>
          </w:tcPr>
          <w:p w14:paraId="12C69249">
            <w:pPr>
              <w:jc w:val="center"/>
              <w:rPr>
                <w:rFonts w:hint="eastAsia" w:eastAsia="宋体"/>
                <w:color w:val="auto"/>
                <w:lang w:eastAsia="zh-CN"/>
              </w:rPr>
            </w:pPr>
            <w:r>
              <w:rPr>
                <w:rFonts w:hint="eastAsia"/>
                <w:color w:val="auto"/>
                <w:lang w:val="en-US" w:eastAsia="zh-CN"/>
              </w:rPr>
              <w:t>4</w:t>
            </w:r>
          </w:p>
        </w:tc>
        <w:tc>
          <w:tcPr>
            <w:tcW w:w="389" w:type="pct"/>
            <w:tcBorders>
              <w:top w:val="single" w:color="auto" w:sz="4" w:space="0"/>
              <w:left w:val="single" w:color="auto" w:sz="4" w:space="0"/>
              <w:bottom w:val="single" w:color="auto" w:sz="4" w:space="0"/>
              <w:right w:val="single" w:color="auto" w:sz="4" w:space="0"/>
            </w:tcBorders>
            <w:vAlign w:val="center"/>
          </w:tcPr>
          <w:p w14:paraId="66E6A839">
            <w:pPr>
              <w:jc w:val="center"/>
              <w:rPr>
                <w:rFonts w:hint="eastAsia" w:eastAsia="宋体"/>
                <w:color w:val="auto"/>
                <w:lang w:eastAsia="zh-CN"/>
              </w:rPr>
            </w:pPr>
            <w:r>
              <w:rPr>
                <w:rFonts w:hint="eastAsia"/>
                <w:color w:val="auto"/>
                <w:lang w:val="en-US" w:eastAsia="zh-CN"/>
              </w:rPr>
              <w:t>4</w:t>
            </w:r>
          </w:p>
        </w:tc>
        <w:tc>
          <w:tcPr>
            <w:tcW w:w="3451" w:type="pct"/>
            <w:tcBorders>
              <w:top w:val="single" w:color="auto" w:sz="4" w:space="0"/>
              <w:left w:val="single" w:color="auto" w:sz="4" w:space="0"/>
              <w:bottom w:val="single" w:color="auto" w:sz="4" w:space="0"/>
              <w:right w:val="single" w:color="auto" w:sz="4" w:space="0"/>
            </w:tcBorders>
            <w:vAlign w:val="center"/>
          </w:tcPr>
          <w:p w14:paraId="39D08B44">
            <w:pPr>
              <w:jc w:val="center"/>
              <w:rPr>
                <w:color w:val="auto"/>
              </w:rPr>
            </w:pPr>
            <w:r>
              <w:rPr>
                <w:rFonts w:ascii="Times New Roman" w:hAnsi="Times New Roman" w:eastAsia="宋体" w:cs="Times New Roman"/>
                <w:color w:val="auto"/>
                <w:szCs w:val="24"/>
              </w:rPr>
              <w:t>松山区</w:t>
            </w:r>
            <w:r>
              <w:rPr>
                <w:rFonts w:hint="eastAsia" w:ascii="Times New Roman" w:hAnsi="Times New Roman" w:eastAsia="宋体" w:cs="Times New Roman"/>
                <w:color w:val="auto"/>
                <w:szCs w:val="24"/>
              </w:rPr>
              <w:t>初头朗镇窑沟门</w:t>
            </w:r>
            <w:r>
              <w:rPr>
                <w:rFonts w:ascii="Times New Roman" w:hAnsi="Times New Roman" w:eastAsia="宋体" w:cs="Times New Roman"/>
                <w:color w:val="auto"/>
                <w:szCs w:val="24"/>
              </w:rPr>
              <w:t>碎石</w:t>
            </w:r>
            <w:r>
              <w:rPr>
                <w:color w:val="auto"/>
                <w:szCs w:val="24"/>
              </w:rPr>
              <w:t>矿区生态修复工程部署图</w:t>
            </w:r>
          </w:p>
        </w:tc>
        <w:tc>
          <w:tcPr>
            <w:tcW w:w="649" w:type="pct"/>
            <w:tcBorders>
              <w:top w:val="single" w:color="auto" w:sz="4" w:space="0"/>
              <w:left w:val="single" w:color="auto" w:sz="4" w:space="0"/>
              <w:bottom w:val="single" w:color="auto" w:sz="4" w:space="0"/>
              <w:right w:val="single" w:color="auto" w:sz="4" w:space="0"/>
            </w:tcBorders>
            <w:vAlign w:val="center"/>
          </w:tcPr>
          <w:p w14:paraId="107B9383">
            <w:pPr>
              <w:jc w:val="center"/>
              <w:rPr>
                <w:color w:val="auto"/>
              </w:rPr>
            </w:pPr>
            <w:r>
              <w:rPr>
                <w:color w:val="auto"/>
              </w:rPr>
              <w:t>1：</w:t>
            </w:r>
            <w:r>
              <w:rPr>
                <w:rFonts w:hint="eastAsia"/>
                <w:color w:val="auto"/>
                <w:lang w:val="en-US" w:eastAsia="zh-CN"/>
              </w:rPr>
              <w:t>10</w:t>
            </w:r>
            <w:r>
              <w:rPr>
                <w:color w:val="auto"/>
              </w:rPr>
              <w:t>00</w:t>
            </w:r>
          </w:p>
        </w:tc>
      </w:tr>
      <w:tr w14:paraId="593BDBC4">
        <w:tblPrEx>
          <w:tblCellMar>
            <w:top w:w="0" w:type="dxa"/>
            <w:left w:w="108" w:type="dxa"/>
            <w:bottom w:w="0" w:type="dxa"/>
            <w:right w:w="108" w:type="dxa"/>
          </w:tblCellMar>
        </w:tblPrEx>
        <w:trPr>
          <w:trHeight w:val="397" w:hRule="atLeast"/>
          <w:jc w:val="center"/>
        </w:trPr>
        <w:tc>
          <w:tcPr>
            <w:tcW w:w="509" w:type="pct"/>
            <w:tcBorders>
              <w:top w:val="single" w:color="auto" w:sz="4" w:space="0"/>
              <w:left w:val="single" w:color="auto" w:sz="4" w:space="0"/>
              <w:bottom w:val="single" w:color="auto" w:sz="4" w:space="0"/>
              <w:right w:val="single" w:color="auto" w:sz="4" w:space="0"/>
            </w:tcBorders>
            <w:vAlign w:val="center"/>
          </w:tcPr>
          <w:p w14:paraId="1BA92D79">
            <w:pPr>
              <w:jc w:val="center"/>
              <w:rPr>
                <w:rFonts w:hint="eastAsia" w:eastAsia="宋体"/>
                <w:color w:val="auto"/>
                <w:lang w:eastAsia="zh-CN"/>
              </w:rPr>
            </w:pPr>
            <w:r>
              <w:rPr>
                <w:rFonts w:hint="eastAsia"/>
                <w:color w:val="auto"/>
                <w:lang w:val="en-US" w:eastAsia="zh-CN"/>
              </w:rPr>
              <w:t>5</w:t>
            </w:r>
          </w:p>
        </w:tc>
        <w:tc>
          <w:tcPr>
            <w:tcW w:w="389" w:type="pct"/>
            <w:tcBorders>
              <w:top w:val="single" w:color="auto" w:sz="4" w:space="0"/>
              <w:left w:val="single" w:color="auto" w:sz="4" w:space="0"/>
              <w:bottom w:val="single" w:color="auto" w:sz="4" w:space="0"/>
              <w:right w:val="single" w:color="auto" w:sz="4" w:space="0"/>
            </w:tcBorders>
            <w:vAlign w:val="center"/>
          </w:tcPr>
          <w:p w14:paraId="44422E6F">
            <w:pPr>
              <w:jc w:val="center"/>
              <w:rPr>
                <w:rFonts w:hint="eastAsia" w:eastAsia="宋体"/>
                <w:color w:val="auto"/>
                <w:lang w:eastAsia="zh-CN"/>
              </w:rPr>
            </w:pPr>
            <w:r>
              <w:rPr>
                <w:rFonts w:hint="eastAsia"/>
                <w:color w:val="auto"/>
                <w:lang w:val="en-US" w:eastAsia="zh-CN"/>
              </w:rPr>
              <w:t>5</w:t>
            </w:r>
          </w:p>
        </w:tc>
        <w:tc>
          <w:tcPr>
            <w:tcW w:w="3451" w:type="pct"/>
            <w:tcBorders>
              <w:top w:val="single" w:color="auto" w:sz="4" w:space="0"/>
              <w:left w:val="single" w:color="auto" w:sz="4" w:space="0"/>
              <w:bottom w:val="single" w:color="auto" w:sz="4" w:space="0"/>
              <w:right w:val="single" w:color="auto" w:sz="4" w:space="0"/>
            </w:tcBorders>
            <w:vAlign w:val="center"/>
          </w:tcPr>
          <w:p w14:paraId="39FC29FF">
            <w:pPr>
              <w:jc w:val="center"/>
              <w:rPr>
                <w:color w:val="auto"/>
                <w:szCs w:val="24"/>
              </w:rPr>
            </w:pPr>
            <w:r>
              <w:rPr>
                <w:rFonts w:ascii="Times New Roman" w:hAnsi="Times New Roman" w:eastAsia="宋体" w:cs="Times New Roman"/>
                <w:color w:val="auto"/>
                <w:szCs w:val="24"/>
              </w:rPr>
              <w:t>松山区</w:t>
            </w:r>
            <w:r>
              <w:rPr>
                <w:rFonts w:hint="eastAsia" w:ascii="Times New Roman" w:hAnsi="Times New Roman" w:eastAsia="宋体" w:cs="Times New Roman"/>
                <w:color w:val="auto"/>
                <w:szCs w:val="24"/>
              </w:rPr>
              <w:t>初头朗镇窑沟门</w:t>
            </w:r>
            <w:r>
              <w:rPr>
                <w:rFonts w:ascii="Times New Roman" w:hAnsi="Times New Roman" w:eastAsia="宋体" w:cs="Times New Roman"/>
                <w:color w:val="auto"/>
                <w:szCs w:val="24"/>
              </w:rPr>
              <w:t>碎石矿</w:t>
            </w:r>
            <w:r>
              <w:rPr>
                <w:color w:val="auto"/>
                <w:szCs w:val="24"/>
              </w:rPr>
              <w:t>矿区</w:t>
            </w:r>
            <w:r>
              <w:rPr>
                <w:rFonts w:hint="eastAsia"/>
                <w:color w:val="auto"/>
                <w:szCs w:val="24"/>
              </w:rPr>
              <w:t>遥感影像图</w:t>
            </w:r>
          </w:p>
        </w:tc>
        <w:tc>
          <w:tcPr>
            <w:tcW w:w="649" w:type="pct"/>
            <w:tcBorders>
              <w:top w:val="single" w:color="auto" w:sz="4" w:space="0"/>
              <w:left w:val="single" w:color="auto" w:sz="4" w:space="0"/>
              <w:bottom w:val="single" w:color="auto" w:sz="4" w:space="0"/>
              <w:right w:val="single" w:color="auto" w:sz="4" w:space="0"/>
            </w:tcBorders>
            <w:vAlign w:val="center"/>
          </w:tcPr>
          <w:p w14:paraId="19E3F507">
            <w:pPr>
              <w:jc w:val="center"/>
              <w:rPr>
                <w:color w:val="auto"/>
              </w:rPr>
            </w:pPr>
            <w:r>
              <w:rPr>
                <w:color w:val="auto"/>
              </w:rPr>
              <w:t>1：</w:t>
            </w:r>
            <w:r>
              <w:rPr>
                <w:rFonts w:hint="eastAsia"/>
                <w:color w:val="auto"/>
                <w:lang w:val="en-US" w:eastAsia="zh-CN"/>
              </w:rPr>
              <w:t>10</w:t>
            </w:r>
            <w:r>
              <w:rPr>
                <w:color w:val="auto"/>
              </w:rPr>
              <w:t>00</w:t>
            </w:r>
          </w:p>
        </w:tc>
      </w:tr>
    </w:tbl>
    <w:p w14:paraId="672C75C4">
      <w:pPr>
        <w:ind w:firstLine="602"/>
        <w:contextualSpacing/>
        <w:jc w:val="center"/>
        <w:rPr>
          <w:b/>
          <w:color w:val="auto"/>
          <w:sz w:val="28"/>
          <w:szCs w:val="30"/>
        </w:rPr>
      </w:pPr>
      <w:r>
        <w:rPr>
          <w:b/>
          <w:color w:val="auto"/>
          <w:sz w:val="28"/>
          <w:szCs w:val="30"/>
        </w:rPr>
        <w:br w:type="page"/>
      </w:r>
    </w:p>
    <w:p w14:paraId="2FAEC116">
      <w:pPr>
        <w:ind w:firstLine="602"/>
        <w:contextualSpacing/>
        <w:jc w:val="center"/>
        <w:rPr>
          <w:b/>
          <w:color w:val="auto"/>
          <w:sz w:val="28"/>
          <w:szCs w:val="30"/>
        </w:rPr>
      </w:pPr>
      <w:r>
        <w:rPr>
          <w:b/>
          <w:color w:val="auto"/>
          <w:sz w:val="28"/>
          <w:szCs w:val="30"/>
        </w:rPr>
        <w:t>附  件</w:t>
      </w:r>
    </w:p>
    <w:p w14:paraId="4DC475E8">
      <w:pPr>
        <w:ind w:firstLine="602"/>
        <w:contextualSpacing/>
        <w:jc w:val="center"/>
        <w:rPr>
          <w:b/>
          <w:color w:val="auto"/>
          <w:sz w:val="28"/>
          <w:szCs w:val="30"/>
        </w:rPr>
      </w:pPr>
    </w:p>
    <w:p w14:paraId="486EA03C">
      <w:pPr>
        <w:spacing w:line="360" w:lineRule="auto"/>
        <w:ind w:firstLine="560" w:firstLineChars="200"/>
        <w:rPr>
          <w:snapToGrid w:val="0"/>
          <w:color w:val="auto"/>
          <w:kern w:val="0"/>
          <w:sz w:val="28"/>
          <w:szCs w:val="21"/>
        </w:rPr>
      </w:pPr>
      <w:r>
        <w:rPr>
          <w:rFonts w:hint="eastAsia"/>
          <w:snapToGrid w:val="0"/>
          <w:color w:val="auto"/>
          <w:kern w:val="0"/>
          <w:sz w:val="28"/>
          <w:szCs w:val="21"/>
        </w:rPr>
        <w:t>1、矿区生态修复方案评审申请信息表</w:t>
      </w:r>
    </w:p>
    <w:p w14:paraId="5705E8E0">
      <w:pPr>
        <w:spacing w:line="360" w:lineRule="auto"/>
        <w:ind w:firstLine="560" w:firstLineChars="200"/>
        <w:rPr>
          <w:snapToGrid w:val="0"/>
          <w:color w:val="auto"/>
          <w:kern w:val="0"/>
          <w:sz w:val="28"/>
          <w:szCs w:val="21"/>
        </w:rPr>
      </w:pPr>
      <w:r>
        <w:rPr>
          <w:rFonts w:hint="eastAsia"/>
          <w:snapToGrid w:val="0"/>
          <w:color w:val="auto"/>
          <w:kern w:val="0"/>
          <w:sz w:val="28"/>
          <w:szCs w:val="21"/>
        </w:rPr>
        <w:t>2、采矿许可证</w:t>
      </w:r>
    </w:p>
    <w:p w14:paraId="61324B3C">
      <w:pPr>
        <w:spacing w:line="360" w:lineRule="auto"/>
        <w:ind w:firstLine="560" w:firstLineChars="200"/>
        <w:rPr>
          <w:rFonts w:hint="eastAsia"/>
          <w:snapToGrid w:val="0"/>
          <w:color w:val="auto"/>
          <w:kern w:val="0"/>
          <w:sz w:val="28"/>
          <w:szCs w:val="21"/>
        </w:rPr>
      </w:pPr>
      <w:r>
        <w:rPr>
          <w:rFonts w:hint="eastAsia"/>
          <w:snapToGrid w:val="0"/>
          <w:color w:val="auto"/>
          <w:kern w:val="0"/>
          <w:sz w:val="28"/>
          <w:szCs w:val="21"/>
        </w:rPr>
        <w:t>3、方案评审申请承诺书</w:t>
      </w:r>
    </w:p>
    <w:p w14:paraId="7E22F360">
      <w:pPr>
        <w:spacing w:line="360" w:lineRule="auto"/>
        <w:ind w:firstLine="560" w:firstLineChars="200"/>
        <w:rPr>
          <w:rFonts w:hint="eastAsia"/>
          <w:snapToGrid w:val="0"/>
          <w:color w:val="auto"/>
          <w:kern w:val="0"/>
          <w:sz w:val="28"/>
          <w:szCs w:val="21"/>
        </w:rPr>
      </w:pPr>
      <w:r>
        <w:rPr>
          <w:rFonts w:hint="eastAsia"/>
          <w:snapToGrid w:val="0"/>
          <w:color w:val="auto"/>
          <w:kern w:val="0"/>
          <w:sz w:val="28"/>
          <w:szCs w:val="21"/>
        </w:rPr>
        <w:t>4、方案编制委托书</w:t>
      </w:r>
    </w:p>
    <w:p w14:paraId="6861B1D6">
      <w:pPr>
        <w:spacing w:line="360" w:lineRule="auto"/>
        <w:ind w:firstLine="560" w:firstLineChars="200"/>
        <w:rPr>
          <w:snapToGrid w:val="0"/>
          <w:color w:val="auto"/>
          <w:kern w:val="0"/>
          <w:sz w:val="28"/>
          <w:szCs w:val="21"/>
        </w:rPr>
      </w:pPr>
      <w:r>
        <w:rPr>
          <w:rFonts w:hint="eastAsia"/>
          <w:snapToGrid w:val="0"/>
          <w:color w:val="auto"/>
          <w:kern w:val="0"/>
          <w:sz w:val="28"/>
          <w:szCs w:val="21"/>
        </w:rPr>
        <w:t>5、编制单位资料真实性承诺书</w:t>
      </w:r>
    </w:p>
    <w:p w14:paraId="03A2734E">
      <w:pPr>
        <w:spacing w:line="360" w:lineRule="auto"/>
        <w:ind w:firstLine="560" w:firstLineChars="200"/>
        <w:rPr>
          <w:rFonts w:hint="eastAsia"/>
          <w:snapToGrid w:val="0"/>
          <w:color w:val="auto"/>
          <w:kern w:val="0"/>
          <w:sz w:val="28"/>
          <w:szCs w:val="21"/>
        </w:rPr>
      </w:pPr>
      <w:r>
        <w:rPr>
          <w:rFonts w:hint="eastAsia"/>
          <w:snapToGrid w:val="0"/>
          <w:color w:val="auto"/>
          <w:kern w:val="0"/>
          <w:sz w:val="28"/>
          <w:szCs w:val="21"/>
        </w:rPr>
        <w:t>6、矿权人资料真实性承诺</w:t>
      </w:r>
    </w:p>
    <w:p w14:paraId="0257A172">
      <w:pPr>
        <w:spacing w:line="360" w:lineRule="auto"/>
        <w:ind w:firstLine="560" w:firstLineChars="200"/>
        <w:rPr>
          <w:rFonts w:hint="eastAsia"/>
          <w:snapToGrid w:val="0"/>
          <w:color w:val="auto"/>
          <w:kern w:val="0"/>
          <w:sz w:val="28"/>
          <w:szCs w:val="21"/>
        </w:rPr>
      </w:pPr>
      <w:r>
        <w:rPr>
          <w:rFonts w:hint="eastAsia"/>
          <w:snapToGrid w:val="0"/>
          <w:color w:val="auto"/>
          <w:kern w:val="0"/>
          <w:sz w:val="28"/>
          <w:szCs w:val="21"/>
        </w:rPr>
        <w:t>7、储量备案证明及普查报告评审意见</w:t>
      </w:r>
    </w:p>
    <w:p w14:paraId="6C84FA58">
      <w:pPr>
        <w:spacing w:line="360" w:lineRule="auto"/>
        <w:ind w:firstLine="560" w:firstLineChars="200"/>
        <w:rPr>
          <w:rFonts w:hint="eastAsia"/>
          <w:snapToGrid w:val="0"/>
          <w:color w:val="auto"/>
          <w:kern w:val="0"/>
          <w:sz w:val="28"/>
          <w:szCs w:val="21"/>
        </w:rPr>
      </w:pPr>
      <w:r>
        <w:rPr>
          <w:rFonts w:hint="eastAsia"/>
          <w:snapToGrid w:val="0"/>
          <w:color w:val="auto"/>
          <w:kern w:val="0"/>
          <w:sz w:val="28"/>
          <w:szCs w:val="21"/>
        </w:rPr>
        <w:t>8、开发利用方案评审意见</w:t>
      </w:r>
    </w:p>
    <w:p w14:paraId="010AB644">
      <w:pPr>
        <w:spacing w:line="360" w:lineRule="auto"/>
        <w:ind w:firstLine="560" w:firstLineChars="200"/>
        <w:rPr>
          <w:rFonts w:hint="eastAsia"/>
          <w:snapToGrid w:val="0"/>
          <w:color w:val="auto"/>
          <w:kern w:val="0"/>
          <w:sz w:val="28"/>
          <w:szCs w:val="21"/>
        </w:rPr>
      </w:pPr>
      <w:r>
        <w:rPr>
          <w:rFonts w:hint="eastAsia"/>
          <w:snapToGrid w:val="0"/>
          <w:color w:val="auto"/>
          <w:kern w:val="0"/>
          <w:sz w:val="28"/>
          <w:szCs w:val="21"/>
        </w:rPr>
        <w:t>9、公众参与调查表</w:t>
      </w:r>
    </w:p>
    <w:p w14:paraId="3AE80CDA">
      <w:pPr>
        <w:spacing w:line="360" w:lineRule="auto"/>
        <w:ind w:firstLine="560" w:firstLineChars="200"/>
        <w:rPr>
          <w:rFonts w:hint="default" w:eastAsia="宋体"/>
          <w:snapToGrid w:val="0"/>
          <w:color w:val="auto"/>
          <w:kern w:val="0"/>
          <w:sz w:val="28"/>
          <w:szCs w:val="21"/>
          <w:lang w:val="en-US" w:eastAsia="zh-CN"/>
        </w:rPr>
      </w:pPr>
      <w:r>
        <w:rPr>
          <w:rFonts w:hint="eastAsia"/>
          <w:snapToGrid w:val="0"/>
          <w:color w:val="auto"/>
          <w:kern w:val="0"/>
          <w:sz w:val="28"/>
          <w:szCs w:val="21"/>
          <w:lang w:val="en-US" w:eastAsia="zh-CN"/>
        </w:rPr>
        <w:t>10、窑沟门村民委员会会议纪要</w:t>
      </w:r>
    </w:p>
    <w:p w14:paraId="46EB33C4">
      <w:pPr>
        <w:spacing w:line="360" w:lineRule="auto"/>
        <w:ind w:firstLine="560" w:firstLineChars="200"/>
        <w:rPr>
          <w:snapToGrid w:val="0"/>
          <w:color w:val="auto"/>
          <w:kern w:val="0"/>
          <w:sz w:val="28"/>
          <w:szCs w:val="21"/>
        </w:rPr>
      </w:pPr>
      <w:r>
        <w:rPr>
          <w:rFonts w:hint="eastAsia"/>
          <w:snapToGrid w:val="0"/>
          <w:color w:val="auto"/>
          <w:kern w:val="0"/>
          <w:sz w:val="28"/>
          <w:szCs w:val="21"/>
        </w:rPr>
        <w:t>1</w:t>
      </w:r>
      <w:r>
        <w:rPr>
          <w:rFonts w:hint="eastAsia"/>
          <w:snapToGrid w:val="0"/>
          <w:color w:val="auto"/>
          <w:kern w:val="0"/>
          <w:sz w:val="28"/>
          <w:szCs w:val="21"/>
          <w:lang w:val="en-US" w:eastAsia="zh-CN"/>
        </w:rPr>
        <w:t>1</w:t>
      </w:r>
      <w:r>
        <w:rPr>
          <w:rFonts w:hint="eastAsia"/>
          <w:snapToGrid w:val="0"/>
          <w:color w:val="auto"/>
          <w:kern w:val="0"/>
          <w:sz w:val="28"/>
          <w:szCs w:val="21"/>
        </w:rPr>
        <w:t>、编制单位内审表</w:t>
      </w:r>
    </w:p>
    <w:p w14:paraId="482DADC2">
      <w:pPr>
        <w:spacing w:line="360" w:lineRule="auto"/>
        <w:ind w:firstLine="560" w:firstLineChars="200"/>
        <w:rPr>
          <w:snapToGrid w:val="0"/>
          <w:color w:val="auto"/>
          <w:kern w:val="0"/>
          <w:sz w:val="28"/>
          <w:szCs w:val="21"/>
        </w:rPr>
      </w:pPr>
      <w:r>
        <w:rPr>
          <w:rFonts w:hint="eastAsia"/>
          <w:snapToGrid w:val="0"/>
          <w:color w:val="auto"/>
          <w:kern w:val="0"/>
          <w:sz w:val="28"/>
          <w:szCs w:val="21"/>
        </w:rPr>
        <w:t>1</w:t>
      </w:r>
      <w:r>
        <w:rPr>
          <w:rFonts w:hint="eastAsia"/>
          <w:snapToGrid w:val="0"/>
          <w:color w:val="auto"/>
          <w:kern w:val="0"/>
          <w:sz w:val="28"/>
          <w:szCs w:val="21"/>
          <w:lang w:val="en-US" w:eastAsia="zh-CN"/>
        </w:rPr>
        <w:t>2</w:t>
      </w:r>
      <w:r>
        <w:rPr>
          <w:rFonts w:hint="eastAsia"/>
          <w:snapToGrid w:val="0"/>
          <w:color w:val="auto"/>
          <w:kern w:val="0"/>
          <w:sz w:val="28"/>
          <w:szCs w:val="21"/>
        </w:rPr>
        <w:t>、一分期验收意见</w:t>
      </w:r>
    </w:p>
    <w:p w14:paraId="1B6FD73A">
      <w:pPr>
        <w:spacing w:line="360" w:lineRule="auto"/>
        <w:ind w:firstLine="560" w:firstLineChars="200"/>
        <w:rPr>
          <w:rFonts w:hint="eastAsia"/>
          <w:snapToGrid w:val="0"/>
          <w:color w:val="auto"/>
          <w:kern w:val="0"/>
          <w:sz w:val="28"/>
          <w:szCs w:val="21"/>
        </w:rPr>
      </w:pPr>
      <w:r>
        <w:rPr>
          <w:rFonts w:hint="eastAsia"/>
          <w:snapToGrid w:val="0"/>
          <w:color w:val="auto"/>
          <w:kern w:val="0"/>
          <w:sz w:val="28"/>
          <w:szCs w:val="21"/>
        </w:rPr>
        <w:t>1</w:t>
      </w:r>
      <w:r>
        <w:rPr>
          <w:rFonts w:hint="eastAsia"/>
          <w:snapToGrid w:val="0"/>
          <w:color w:val="auto"/>
          <w:kern w:val="0"/>
          <w:sz w:val="28"/>
          <w:szCs w:val="21"/>
          <w:lang w:val="en-US" w:eastAsia="zh-CN"/>
        </w:rPr>
        <w:t>3</w:t>
      </w:r>
      <w:r>
        <w:rPr>
          <w:rFonts w:hint="eastAsia"/>
          <w:snapToGrid w:val="0"/>
          <w:color w:val="auto"/>
          <w:kern w:val="0"/>
          <w:sz w:val="28"/>
          <w:szCs w:val="21"/>
        </w:rPr>
        <w:t>、原方案评审复核意见</w:t>
      </w:r>
    </w:p>
    <w:p w14:paraId="18673DBB">
      <w:pPr>
        <w:spacing w:line="360" w:lineRule="auto"/>
        <w:ind w:firstLine="560" w:firstLineChars="200"/>
        <w:rPr>
          <w:rFonts w:hint="eastAsia" w:ascii="Times New Roman" w:hAnsi="Times New Roman" w:cs="Times New Roman"/>
          <w:snapToGrid w:val="0"/>
          <w:color w:val="auto"/>
          <w:kern w:val="0"/>
          <w:sz w:val="28"/>
          <w:szCs w:val="21"/>
        </w:rPr>
      </w:pPr>
      <w:r>
        <w:rPr>
          <w:rFonts w:hint="eastAsia" w:ascii="Times New Roman" w:hAnsi="Times New Roman" w:cs="Times New Roman"/>
          <w:snapToGrid w:val="0"/>
          <w:color w:val="auto"/>
          <w:kern w:val="0"/>
          <w:sz w:val="28"/>
          <w:szCs w:val="21"/>
          <w:lang w:val="en-US" w:eastAsia="zh-CN"/>
        </w:rPr>
        <w:t>14、</w:t>
      </w:r>
      <w:r>
        <w:rPr>
          <w:rFonts w:hint="eastAsia" w:ascii="Times New Roman" w:hAnsi="Times New Roman" w:cs="Times New Roman"/>
          <w:snapToGrid w:val="0"/>
          <w:color w:val="auto"/>
          <w:kern w:val="0"/>
          <w:sz w:val="28"/>
          <w:szCs w:val="21"/>
        </w:rPr>
        <w:t>赤峰市松山区2025年资源储量年度变化表审查意见书</w:t>
      </w:r>
    </w:p>
    <w:p w14:paraId="2CA08731">
      <w:pPr>
        <w:spacing w:line="360" w:lineRule="auto"/>
        <w:ind w:firstLine="560" w:firstLineChars="200"/>
        <w:rPr>
          <w:snapToGrid w:val="0"/>
          <w:color w:val="auto"/>
          <w:kern w:val="0"/>
          <w:sz w:val="28"/>
          <w:szCs w:val="21"/>
        </w:rPr>
      </w:pPr>
      <w:r>
        <w:rPr>
          <w:rFonts w:hint="eastAsia"/>
          <w:snapToGrid w:val="0"/>
          <w:color w:val="auto"/>
          <w:kern w:val="0"/>
          <w:sz w:val="28"/>
          <w:szCs w:val="21"/>
        </w:rPr>
        <w:t>1</w:t>
      </w:r>
      <w:r>
        <w:rPr>
          <w:rFonts w:hint="eastAsia"/>
          <w:snapToGrid w:val="0"/>
          <w:color w:val="auto"/>
          <w:kern w:val="0"/>
          <w:sz w:val="28"/>
          <w:szCs w:val="21"/>
          <w:lang w:val="en-US" w:eastAsia="zh-CN"/>
        </w:rPr>
        <w:t>5</w:t>
      </w:r>
      <w:r>
        <w:rPr>
          <w:rFonts w:hint="eastAsia"/>
          <w:snapToGrid w:val="0"/>
          <w:color w:val="auto"/>
          <w:kern w:val="0"/>
          <w:sz w:val="28"/>
          <w:szCs w:val="21"/>
        </w:rPr>
        <w:t>、总平面布置及最终开采境界图</w:t>
      </w:r>
    </w:p>
    <w:p w14:paraId="711EF5E2">
      <w:pPr>
        <w:ind w:firstLine="602"/>
        <w:contextualSpacing/>
        <w:jc w:val="center"/>
        <w:rPr>
          <w:b/>
          <w:color w:val="auto"/>
          <w:sz w:val="30"/>
          <w:szCs w:val="30"/>
        </w:rPr>
        <w:sectPr>
          <w:pgSz w:w="11907" w:h="16840"/>
          <w:pgMar w:top="1418" w:right="1418" w:bottom="1418" w:left="1701" w:header="851" w:footer="992" w:gutter="0"/>
          <w:pgNumType w:fmt="decimal"/>
          <w:cols w:space="720" w:num="1"/>
          <w:titlePg/>
          <w:docGrid w:linePitch="312" w:charSpace="0"/>
        </w:sectPr>
      </w:pPr>
    </w:p>
    <w:bookmarkEnd w:id="1"/>
    <w:bookmarkEnd w:id="2"/>
    <w:bookmarkEnd w:id="3"/>
    <w:p w14:paraId="4BCBCCF2">
      <w:pPr>
        <w:pStyle w:val="2"/>
        <w:spacing w:line="360" w:lineRule="auto"/>
        <w:jc w:val="center"/>
        <w:rPr>
          <w:rFonts w:hint="eastAsia" w:ascii="黑体" w:hAnsi="黑体" w:eastAsia="黑体" w:cs="黑体"/>
          <w:bCs/>
          <w:color w:val="auto"/>
        </w:rPr>
      </w:pPr>
      <w:bookmarkStart w:id="4" w:name="_Toc11673"/>
      <w:r>
        <w:rPr>
          <w:rFonts w:hint="eastAsia" w:ascii="黑体" w:hAnsi="黑体" w:eastAsia="黑体" w:cs="黑体"/>
          <w:bCs/>
          <w:color w:val="auto"/>
        </w:rPr>
        <w:t>前  言</w:t>
      </w:r>
      <w:bookmarkEnd w:id="4"/>
    </w:p>
    <w:p w14:paraId="648244D7">
      <w:pPr>
        <w:adjustRightInd w:val="0"/>
        <w:snapToGrid w:val="0"/>
        <w:spacing w:line="360" w:lineRule="auto"/>
        <w:ind w:firstLine="562" w:firstLineChars="200"/>
        <w:outlineLvl w:val="2"/>
        <w:rPr>
          <w:color w:val="auto"/>
        </w:rPr>
      </w:pPr>
      <w:bookmarkStart w:id="5" w:name="OLE_LINK1"/>
      <w:r>
        <w:rPr>
          <w:rFonts w:ascii="宋体" w:hAnsi="宋体" w:cs="宋体"/>
          <w:b/>
          <w:bCs/>
          <w:color w:val="auto"/>
          <w:sz w:val="28"/>
          <w:szCs w:val="28"/>
        </w:rPr>
        <w:t>一、</w:t>
      </w:r>
      <w:r>
        <w:rPr>
          <w:rFonts w:hint="eastAsia" w:ascii="宋体" w:hAnsi="宋体" w:cs="宋体"/>
          <w:b/>
          <w:bCs/>
          <w:color w:val="auto"/>
          <w:sz w:val="28"/>
          <w:szCs w:val="28"/>
        </w:rPr>
        <w:t>编制目的</w:t>
      </w:r>
    </w:p>
    <w:p w14:paraId="7497DFA4">
      <w:pPr>
        <w:spacing w:line="360" w:lineRule="auto"/>
        <w:ind w:firstLine="562" w:firstLineChars="200"/>
        <w:rPr>
          <w:rFonts w:hint="eastAsia" w:ascii="Times New Roman" w:hAnsi="Times New Roman" w:eastAsia="宋体" w:cs="Times New Roman"/>
          <w:color w:val="auto"/>
          <w:sz w:val="28"/>
          <w:szCs w:val="28"/>
        </w:rPr>
      </w:pPr>
      <w:r>
        <w:rPr>
          <w:rFonts w:hint="eastAsia" w:ascii="宋体" w:hAnsi="宋体" w:cs="宋体"/>
          <w:b/>
          <w:bCs/>
          <w:color w:val="auto"/>
          <w:sz w:val="28"/>
          <w:szCs w:val="28"/>
        </w:rPr>
        <w:t>（一）任务由来</w:t>
      </w:r>
    </w:p>
    <w:bookmarkEnd w:id="5"/>
    <w:p w14:paraId="17E84C3B">
      <w:pPr>
        <w:spacing w:line="360" w:lineRule="auto"/>
        <w:ind w:firstLine="560" w:firstLineChars="200"/>
        <w:rPr>
          <w:rFonts w:hint="default" w:eastAsia="宋体"/>
          <w:color w:val="auto"/>
          <w:sz w:val="28"/>
          <w:szCs w:val="28"/>
          <w:lang w:val="en-US" w:eastAsia="zh-CN"/>
        </w:rPr>
      </w:pPr>
      <w:bookmarkStart w:id="6" w:name="_Toc210478038"/>
      <w:r>
        <w:rPr>
          <w:rFonts w:ascii="Times New Roman" w:hAnsi="Times New Roman" w:eastAsia="宋体" w:cs="Times New Roman"/>
          <w:color w:val="auto"/>
          <w:sz w:val="28"/>
          <w:szCs w:val="28"/>
        </w:rPr>
        <w:t>松山区</w:t>
      </w:r>
      <w:r>
        <w:rPr>
          <w:rFonts w:hint="eastAsia" w:ascii="Times New Roman" w:hAnsi="Times New Roman" w:eastAsia="宋体" w:cs="Times New Roman"/>
          <w:color w:val="auto"/>
          <w:sz w:val="28"/>
          <w:szCs w:val="28"/>
        </w:rPr>
        <w:t>初头朗镇窑沟门</w:t>
      </w:r>
      <w:r>
        <w:rPr>
          <w:rFonts w:ascii="Times New Roman" w:hAnsi="Times New Roman" w:eastAsia="宋体" w:cs="Times New Roman"/>
          <w:color w:val="auto"/>
          <w:sz w:val="28"/>
          <w:szCs w:val="28"/>
        </w:rPr>
        <w:t>碎石矿始建于</w:t>
      </w:r>
      <w:r>
        <w:rPr>
          <w:rFonts w:hint="eastAsia" w:cs="Times New Roman"/>
          <w:color w:val="auto"/>
          <w:sz w:val="28"/>
          <w:szCs w:val="28"/>
          <w:lang w:val="en-US" w:eastAsia="zh-CN"/>
        </w:rPr>
        <w:t>2013</w:t>
      </w:r>
      <w:r>
        <w:rPr>
          <w:rFonts w:ascii="Times New Roman" w:hAnsi="Times New Roman" w:eastAsia="宋体" w:cs="Times New Roman"/>
          <w:color w:val="auto"/>
          <w:sz w:val="28"/>
          <w:szCs w:val="28"/>
        </w:rPr>
        <w:t>年</w:t>
      </w:r>
      <w:r>
        <w:rPr>
          <w:rFonts w:hint="eastAsia" w:cs="Times New Roman"/>
          <w:color w:val="auto"/>
          <w:sz w:val="28"/>
          <w:szCs w:val="28"/>
          <w:lang w:eastAsia="zh-CN"/>
        </w:rPr>
        <w:t>。</w:t>
      </w:r>
      <w:r>
        <w:rPr>
          <w:rFonts w:ascii="Times New Roman" w:hAnsi="Times New Roman" w:eastAsia="宋体" w:cs="Times New Roman"/>
          <w:color w:val="auto"/>
          <w:sz w:val="28"/>
          <w:szCs w:val="28"/>
        </w:rPr>
        <w:t>202</w:t>
      </w:r>
      <w:r>
        <w:rPr>
          <w:rFonts w:hint="eastAsia" w:cs="Times New Roman"/>
          <w:color w:val="auto"/>
          <w:sz w:val="28"/>
          <w:szCs w:val="28"/>
          <w:lang w:val="en-US" w:eastAsia="zh-CN"/>
        </w:rPr>
        <w:t>1</w:t>
      </w:r>
      <w:r>
        <w:rPr>
          <w:rFonts w:ascii="Times New Roman" w:hAnsi="Times New Roman" w:eastAsia="宋体" w:cs="Times New Roman"/>
          <w:color w:val="auto"/>
          <w:sz w:val="28"/>
          <w:szCs w:val="28"/>
        </w:rPr>
        <w:t>年</w:t>
      </w:r>
      <w:r>
        <w:rPr>
          <w:rFonts w:hint="eastAsia" w:cs="Times New Roman"/>
          <w:color w:val="auto"/>
          <w:sz w:val="28"/>
          <w:szCs w:val="28"/>
          <w:lang w:val="en-US" w:eastAsia="zh-CN"/>
        </w:rPr>
        <w:t>3</w:t>
      </w:r>
      <w:r>
        <w:rPr>
          <w:rFonts w:ascii="Times New Roman" w:hAnsi="Times New Roman" w:eastAsia="宋体" w:cs="Times New Roman"/>
          <w:color w:val="auto"/>
          <w:sz w:val="28"/>
          <w:szCs w:val="28"/>
        </w:rPr>
        <w:t>月，由江西核工业工程地质勘察院编制了《</w:t>
      </w:r>
      <w:r>
        <w:rPr>
          <w:rFonts w:hint="eastAsia" w:ascii="Times New Roman" w:hAnsi="Times New Roman" w:eastAsia="宋体" w:cs="Times New Roman"/>
          <w:color w:val="auto"/>
          <w:sz w:val="28"/>
          <w:szCs w:val="28"/>
          <w:lang w:eastAsia="zh-CN"/>
        </w:rPr>
        <w:t>赤峰鑫鑫矿业有限公司松山区</w:t>
      </w:r>
      <w:r>
        <w:rPr>
          <w:rFonts w:hint="eastAsia" w:ascii="Times New Roman" w:hAnsi="Times New Roman" w:eastAsia="宋体" w:cs="Times New Roman"/>
          <w:color w:val="auto"/>
          <w:sz w:val="28"/>
          <w:szCs w:val="28"/>
        </w:rPr>
        <w:t>初头朗镇窑沟门</w:t>
      </w:r>
      <w:r>
        <w:rPr>
          <w:rFonts w:ascii="Times New Roman" w:hAnsi="Times New Roman" w:eastAsia="宋体" w:cs="Times New Roman"/>
          <w:color w:val="auto"/>
          <w:sz w:val="28"/>
          <w:szCs w:val="28"/>
        </w:rPr>
        <w:t>碎石矿矿山地质环境</w:t>
      </w:r>
      <w:r>
        <w:rPr>
          <w:rFonts w:hint="eastAsia" w:ascii="Times New Roman" w:hAnsi="Times New Roman" w:eastAsia="宋体" w:cs="Times New Roman"/>
          <w:color w:val="auto"/>
          <w:sz w:val="28"/>
          <w:szCs w:val="28"/>
          <w:lang w:eastAsia="zh-CN"/>
        </w:rPr>
        <w:t>保护与土地复垦</w:t>
      </w:r>
      <w:r>
        <w:rPr>
          <w:rFonts w:ascii="Times New Roman" w:hAnsi="Times New Roman" w:eastAsia="宋体" w:cs="Times New Roman"/>
          <w:color w:val="auto"/>
          <w:sz w:val="28"/>
          <w:szCs w:val="28"/>
        </w:rPr>
        <w:t>方案》，该方案规划矿山地质环境治理年限为</w:t>
      </w:r>
      <w:r>
        <w:rPr>
          <w:rFonts w:hint="eastAsia" w:ascii="Times New Roman" w:hAnsi="Times New Roman" w:eastAsia="宋体" w:cs="Times New Roman"/>
          <w:color w:val="auto"/>
          <w:sz w:val="28"/>
          <w:szCs w:val="28"/>
        </w:rPr>
        <w:t>1</w:t>
      </w:r>
      <w:r>
        <w:rPr>
          <w:rFonts w:hint="eastAsia" w:cs="Times New Roman"/>
          <w:color w:val="auto"/>
          <w:sz w:val="28"/>
          <w:szCs w:val="28"/>
          <w:lang w:val="en-US" w:eastAsia="zh-CN"/>
        </w:rPr>
        <w:t>3</w:t>
      </w:r>
      <w:r>
        <w:rPr>
          <w:rFonts w:ascii="Times New Roman" w:hAnsi="Times New Roman" w:eastAsia="宋体" w:cs="Times New Roman"/>
          <w:color w:val="auto"/>
          <w:sz w:val="28"/>
          <w:szCs w:val="28"/>
        </w:rPr>
        <w:t>年，即202</w:t>
      </w:r>
      <w:r>
        <w:rPr>
          <w:rFonts w:hint="eastAsia" w:cs="Times New Roman"/>
          <w:color w:val="auto"/>
          <w:sz w:val="28"/>
          <w:szCs w:val="28"/>
          <w:lang w:val="en-US" w:eastAsia="zh-CN"/>
        </w:rPr>
        <w:t>1</w:t>
      </w:r>
      <w:r>
        <w:rPr>
          <w:rFonts w:ascii="Times New Roman" w:hAnsi="Times New Roman" w:eastAsia="宋体" w:cs="Times New Roman"/>
          <w:color w:val="auto"/>
          <w:sz w:val="28"/>
          <w:szCs w:val="28"/>
        </w:rPr>
        <w:t>年</w:t>
      </w:r>
      <w:r>
        <w:rPr>
          <w:rFonts w:hint="eastAsia" w:cs="Times New Roman"/>
          <w:color w:val="auto"/>
          <w:sz w:val="28"/>
          <w:szCs w:val="28"/>
          <w:lang w:val="en-US" w:eastAsia="zh-CN"/>
        </w:rPr>
        <w:t>1</w:t>
      </w:r>
      <w:r>
        <w:rPr>
          <w:rFonts w:ascii="Times New Roman" w:hAnsi="Times New Roman" w:eastAsia="宋体" w:cs="Times New Roman"/>
          <w:color w:val="auto"/>
          <w:sz w:val="28"/>
          <w:szCs w:val="28"/>
        </w:rPr>
        <w:t>月1日～20</w:t>
      </w:r>
      <w:r>
        <w:rPr>
          <w:rFonts w:hint="eastAsia" w:ascii="Times New Roman" w:hAnsi="Times New Roman" w:eastAsia="宋体" w:cs="Times New Roman"/>
          <w:color w:val="auto"/>
          <w:sz w:val="28"/>
          <w:szCs w:val="28"/>
        </w:rPr>
        <w:t>3</w:t>
      </w:r>
      <w:r>
        <w:rPr>
          <w:rFonts w:hint="eastAsia" w:cs="Times New Roman"/>
          <w:color w:val="auto"/>
          <w:sz w:val="28"/>
          <w:szCs w:val="28"/>
          <w:lang w:val="en-US" w:eastAsia="zh-CN"/>
        </w:rPr>
        <w:t>3</w:t>
      </w:r>
      <w:r>
        <w:rPr>
          <w:rFonts w:ascii="Times New Roman" w:hAnsi="Times New Roman" w:eastAsia="宋体" w:cs="Times New Roman"/>
          <w:color w:val="auto"/>
          <w:sz w:val="28"/>
          <w:szCs w:val="28"/>
        </w:rPr>
        <w:t>年</w:t>
      </w:r>
      <w:r>
        <w:rPr>
          <w:rFonts w:hint="eastAsia" w:cs="Times New Roman"/>
          <w:color w:val="auto"/>
          <w:sz w:val="28"/>
          <w:szCs w:val="28"/>
          <w:lang w:val="en-US" w:eastAsia="zh-CN"/>
        </w:rPr>
        <w:t>12</w:t>
      </w:r>
      <w:r>
        <w:rPr>
          <w:rFonts w:ascii="Times New Roman" w:hAnsi="Times New Roman" w:eastAsia="宋体" w:cs="Times New Roman"/>
          <w:color w:val="auto"/>
          <w:sz w:val="28"/>
          <w:szCs w:val="28"/>
        </w:rPr>
        <w:t>月</w:t>
      </w:r>
      <w:r>
        <w:rPr>
          <w:rFonts w:hint="eastAsia" w:ascii="Times New Roman" w:hAnsi="Times New Roman" w:eastAsia="宋体" w:cs="Times New Roman"/>
          <w:color w:val="auto"/>
          <w:sz w:val="28"/>
          <w:szCs w:val="28"/>
        </w:rPr>
        <w:t>3</w:t>
      </w:r>
      <w:r>
        <w:rPr>
          <w:rFonts w:hint="eastAsia" w:cs="Times New Roman"/>
          <w:color w:val="auto"/>
          <w:sz w:val="28"/>
          <w:szCs w:val="28"/>
          <w:lang w:val="en-US" w:eastAsia="zh-CN"/>
        </w:rPr>
        <w:t>1</w:t>
      </w:r>
      <w:r>
        <w:rPr>
          <w:rFonts w:ascii="Times New Roman" w:hAnsi="Times New Roman" w:eastAsia="宋体" w:cs="Times New Roman"/>
          <w:color w:val="auto"/>
          <w:sz w:val="28"/>
          <w:szCs w:val="28"/>
        </w:rPr>
        <w:t>日，方案适用年限为5年，即202</w:t>
      </w:r>
      <w:r>
        <w:rPr>
          <w:rFonts w:hint="eastAsia" w:cs="Times New Roman"/>
          <w:color w:val="auto"/>
          <w:sz w:val="28"/>
          <w:szCs w:val="28"/>
          <w:lang w:val="en-US" w:eastAsia="zh-CN"/>
        </w:rPr>
        <w:t>1</w:t>
      </w:r>
      <w:r>
        <w:rPr>
          <w:rFonts w:ascii="Times New Roman" w:hAnsi="Times New Roman" w:eastAsia="宋体" w:cs="Times New Roman"/>
          <w:color w:val="auto"/>
          <w:sz w:val="28"/>
          <w:szCs w:val="28"/>
        </w:rPr>
        <w:t>年</w:t>
      </w:r>
      <w:r>
        <w:rPr>
          <w:rFonts w:hint="eastAsia" w:cs="Times New Roman"/>
          <w:color w:val="auto"/>
          <w:sz w:val="28"/>
          <w:szCs w:val="28"/>
          <w:lang w:val="en-US" w:eastAsia="zh-CN"/>
        </w:rPr>
        <w:t>1</w:t>
      </w:r>
      <w:r>
        <w:rPr>
          <w:rFonts w:ascii="Times New Roman" w:hAnsi="Times New Roman" w:eastAsia="宋体" w:cs="Times New Roman"/>
          <w:color w:val="auto"/>
          <w:sz w:val="28"/>
          <w:szCs w:val="28"/>
        </w:rPr>
        <w:t>月1日～2025年</w:t>
      </w:r>
      <w:r>
        <w:rPr>
          <w:rFonts w:hint="eastAsia" w:cs="Times New Roman"/>
          <w:color w:val="auto"/>
          <w:sz w:val="28"/>
          <w:szCs w:val="28"/>
          <w:lang w:val="en-US" w:eastAsia="zh-CN"/>
        </w:rPr>
        <w:t>12</w:t>
      </w:r>
      <w:r>
        <w:rPr>
          <w:rFonts w:ascii="Times New Roman" w:hAnsi="Times New Roman" w:eastAsia="宋体" w:cs="Times New Roman"/>
          <w:color w:val="auto"/>
          <w:sz w:val="28"/>
          <w:szCs w:val="28"/>
        </w:rPr>
        <w:t>月</w:t>
      </w:r>
      <w:r>
        <w:rPr>
          <w:rFonts w:hint="eastAsia" w:ascii="Times New Roman" w:hAnsi="Times New Roman" w:eastAsia="宋体" w:cs="Times New Roman"/>
          <w:color w:val="auto"/>
          <w:sz w:val="28"/>
          <w:szCs w:val="28"/>
        </w:rPr>
        <w:t>3</w:t>
      </w:r>
      <w:r>
        <w:rPr>
          <w:rFonts w:hint="eastAsia" w:cs="Times New Roman"/>
          <w:color w:val="auto"/>
          <w:sz w:val="28"/>
          <w:szCs w:val="28"/>
          <w:lang w:val="en-US" w:eastAsia="zh-CN"/>
        </w:rPr>
        <w:t>1</w:t>
      </w:r>
      <w:r>
        <w:rPr>
          <w:rFonts w:ascii="Times New Roman" w:hAnsi="Times New Roman" w:eastAsia="宋体" w:cs="Times New Roman"/>
          <w:color w:val="auto"/>
          <w:sz w:val="28"/>
          <w:szCs w:val="28"/>
        </w:rPr>
        <w:t>日，方案编制基准期为202</w:t>
      </w:r>
      <w:r>
        <w:rPr>
          <w:rFonts w:hint="eastAsia" w:cs="Times New Roman"/>
          <w:color w:val="auto"/>
          <w:sz w:val="28"/>
          <w:szCs w:val="28"/>
          <w:lang w:val="en-US" w:eastAsia="zh-CN"/>
        </w:rPr>
        <w:t>1</w:t>
      </w:r>
      <w:r>
        <w:rPr>
          <w:rFonts w:ascii="Times New Roman" w:hAnsi="Times New Roman" w:eastAsia="宋体" w:cs="Times New Roman"/>
          <w:color w:val="auto"/>
          <w:sz w:val="28"/>
          <w:szCs w:val="28"/>
        </w:rPr>
        <w:t>年</w:t>
      </w:r>
      <w:r>
        <w:rPr>
          <w:rFonts w:hint="eastAsia" w:cs="Times New Roman"/>
          <w:color w:val="auto"/>
          <w:sz w:val="28"/>
          <w:szCs w:val="28"/>
          <w:lang w:val="en-US" w:eastAsia="zh-CN"/>
        </w:rPr>
        <w:t>1</w:t>
      </w:r>
      <w:r>
        <w:rPr>
          <w:rFonts w:ascii="Times New Roman" w:hAnsi="Times New Roman" w:eastAsia="宋体" w:cs="Times New Roman"/>
          <w:color w:val="auto"/>
          <w:sz w:val="28"/>
          <w:szCs w:val="28"/>
        </w:rPr>
        <w:t>月。目前该方案已过适用期</w:t>
      </w:r>
      <w:r>
        <w:rPr>
          <w:rFonts w:hint="eastAsia" w:cs="Times New Roman"/>
          <w:color w:val="auto"/>
          <w:sz w:val="28"/>
          <w:szCs w:val="28"/>
          <w:lang w:eastAsia="zh-CN"/>
        </w:rPr>
        <w:t>，</w:t>
      </w:r>
      <w:r>
        <w:rPr>
          <w:rFonts w:hint="eastAsia" w:cs="Times New Roman"/>
          <w:color w:val="auto"/>
          <w:sz w:val="28"/>
          <w:szCs w:val="28"/>
          <w:lang w:val="en-US" w:eastAsia="zh-CN"/>
        </w:rPr>
        <w:t>由于矿石硬度不够，达不到质量要求，</w:t>
      </w:r>
      <w:r>
        <w:rPr>
          <w:rFonts w:hint="eastAsia" w:ascii="Times New Roman" w:hAnsi="Times New Roman" w:eastAsia="宋体" w:cs="Times New Roman"/>
          <w:color w:val="auto"/>
          <w:sz w:val="28"/>
          <w:szCs w:val="28"/>
          <w:lang w:eastAsia="zh-CN"/>
        </w:rPr>
        <w:t>赤峰鑫鑫矿业有限公司</w:t>
      </w:r>
      <w:r>
        <w:rPr>
          <w:rFonts w:ascii="Times New Roman" w:hAnsi="Times New Roman" w:eastAsia="宋体" w:cs="Times New Roman"/>
          <w:color w:val="auto"/>
          <w:sz w:val="28"/>
          <w:szCs w:val="28"/>
        </w:rPr>
        <w:t>松山区</w:t>
      </w:r>
      <w:r>
        <w:rPr>
          <w:rFonts w:hint="eastAsia" w:ascii="Times New Roman" w:hAnsi="Times New Roman" w:eastAsia="宋体" w:cs="Times New Roman"/>
          <w:color w:val="auto"/>
          <w:sz w:val="28"/>
          <w:szCs w:val="28"/>
        </w:rPr>
        <w:t>初头朗镇窑沟门</w:t>
      </w:r>
      <w:r>
        <w:rPr>
          <w:rFonts w:ascii="Times New Roman" w:hAnsi="Times New Roman" w:eastAsia="宋体" w:cs="Times New Roman"/>
          <w:color w:val="auto"/>
          <w:sz w:val="28"/>
          <w:szCs w:val="28"/>
        </w:rPr>
        <w:t>碎石矿</w:t>
      </w:r>
      <w:r>
        <w:rPr>
          <w:rFonts w:hint="eastAsia" w:cs="Times New Roman"/>
          <w:color w:val="auto"/>
          <w:sz w:val="28"/>
          <w:szCs w:val="28"/>
          <w:lang w:val="en-US" w:eastAsia="zh-CN"/>
        </w:rPr>
        <w:t>决定不再继续开采，承诺放弃采矿权，进行最终闭坑治理。</w:t>
      </w:r>
    </w:p>
    <w:p w14:paraId="45C11F4E">
      <w:pPr>
        <w:spacing w:line="360" w:lineRule="auto"/>
        <w:ind w:firstLine="560" w:firstLineChars="200"/>
        <w:rPr>
          <w:rFonts w:hint="eastAsia" w:eastAsia="宋体"/>
          <w:color w:val="auto"/>
          <w:sz w:val="28"/>
          <w:szCs w:val="28"/>
          <w:lang w:val="en-US" w:eastAsia="zh-CN"/>
        </w:rPr>
      </w:pPr>
      <w:r>
        <w:rPr>
          <w:color w:val="auto"/>
          <w:sz w:val="28"/>
          <w:szCs w:val="28"/>
        </w:rPr>
        <w:t>为保护矿山地质环境和生态环境，促进矿产资源合理开发，提高矿产资源利用效率，避免和减少矿产资源开采活动中对矿区地质环境、土地及生态环境的破坏，实现矿产资源开发与地质环境保护、生态环境协调发展，依据《中华人民共和国矿产资源法》（2024年修订）、自然资源部2019年8月14日发布的修改后的《矿山地质环境保护规定》《土地复垦条例》（国务院令第592号）等相关法律法规</w:t>
      </w:r>
      <w:r>
        <w:rPr>
          <w:rFonts w:hint="eastAsia"/>
          <w:color w:val="auto"/>
          <w:sz w:val="28"/>
          <w:szCs w:val="28"/>
          <w:lang w:eastAsia="zh-CN"/>
        </w:rPr>
        <w:t>，</w:t>
      </w:r>
      <w:r>
        <w:rPr>
          <w:rFonts w:ascii="Times New Roman" w:hAnsi="Times New Roman" w:eastAsia="宋体" w:cs="Times New Roman"/>
          <w:color w:val="auto"/>
          <w:sz w:val="28"/>
          <w:szCs w:val="28"/>
        </w:rPr>
        <w:t>202</w:t>
      </w:r>
      <w:r>
        <w:rPr>
          <w:rFonts w:hint="eastAsia" w:cs="Times New Roman"/>
          <w:color w:val="auto"/>
          <w:sz w:val="28"/>
          <w:szCs w:val="28"/>
          <w:lang w:val="en-US" w:eastAsia="zh-CN"/>
        </w:rPr>
        <w:t>6</w:t>
      </w:r>
      <w:r>
        <w:rPr>
          <w:rFonts w:ascii="Times New Roman" w:hAnsi="Times New Roman" w:eastAsia="宋体" w:cs="Times New Roman"/>
          <w:color w:val="auto"/>
          <w:sz w:val="28"/>
          <w:szCs w:val="28"/>
        </w:rPr>
        <w:t>年</w:t>
      </w:r>
      <w:r>
        <w:rPr>
          <w:rFonts w:hint="eastAsia" w:cs="Times New Roman"/>
          <w:color w:val="auto"/>
          <w:sz w:val="28"/>
          <w:szCs w:val="28"/>
          <w:lang w:val="en-US" w:eastAsia="zh-CN"/>
        </w:rPr>
        <w:t>5</w:t>
      </w:r>
      <w:r>
        <w:rPr>
          <w:rFonts w:ascii="Times New Roman" w:hAnsi="Times New Roman" w:eastAsia="宋体" w:cs="Times New Roman"/>
          <w:color w:val="auto"/>
          <w:sz w:val="28"/>
          <w:szCs w:val="28"/>
        </w:rPr>
        <w:t>月1</w:t>
      </w:r>
      <w:r>
        <w:rPr>
          <w:rFonts w:hint="eastAsia" w:ascii="Times New Roman" w:hAnsi="Times New Roman" w:eastAsia="宋体" w:cs="Times New Roman"/>
          <w:color w:val="auto"/>
          <w:sz w:val="28"/>
          <w:szCs w:val="28"/>
          <w:lang w:val="en-US" w:eastAsia="zh-CN"/>
        </w:rPr>
        <w:t>5</w:t>
      </w:r>
      <w:r>
        <w:rPr>
          <w:rFonts w:ascii="Times New Roman" w:hAnsi="Times New Roman" w:eastAsia="宋体" w:cs="Times New Roman"/>
          <w:color w:val="auto"/>
          <w:sz w:val="28"/>
          <w:szCs w:val="28"/>
        </w:rPr>
        <w:t>日，赤峰</w:t>
      </w:r>
      <w:r>
        <w:rPr>
          <w:rFonts w:hint="eastAsia" w:ascii="Times New Roman" w:hAnsi="Times New Roman" w:eastAsia="宋体" w:cs="Times New Roman"/>
          <w:color w:val="auto"/>
          <w:sz w:val="28"/>
          <w:szCs w:val="28"/>
          <w:lang w:eastAsia="zh-CN"/>
        </w:rPr>
        <w:t>鑫鑫矿业有限公司</w:t>
      </w:r>
      <w:r>
        <w:rPr>
          <w:rFonts w:ascii="Times New Roman" w:hAnsi="Times New Roman" w:eastAsia="宋体" w:cs="Times New Roman"/>
          <w:color w:val="auto"/>
          <w:sz w:val="28"/>
          <w:szCs w:val="28"/>
        </w:rPr>
        <w:t>委托</w:t>
      </w:r>
      <w:r>
        <w:rPr>
          <w:rFonts w:hint="eastAsia" w:ascii="Times New Roman" w:hAnsi="Times New Roman" w:eastAsia="宋体" w:cs="Times New Roman"/>
          <w:color w:val="auto"/>
          <w:sz w:val="28"/>
          <w:szCs w:val="28"/>
        </w:rPr>
        <w:t>内蒙古兴矿技术服务有限公司</w:t>
      </w:r>
      <w:r>
        <w:rPr>
          <w:rFonts w:ascii="Times New Roman" w:hAnsi="Times New Roman" w:eastAsia="宋体" w:cs="Times New Roman"/>
          <w:color w:val="auto"/>
          <w:sz w:val="28"/>
          <w:szCs w:val="28"/>
        </w:rPr>
        <w:t>进行《赤峰</w:t>
      </w:r>
      <w:r>
        <w:rPr>
          <w:rFonts w:hint="eastAsia" w:ascii="Times New Roman" w:hAnsi="Times New Roman" w:eastAsia="宋体" w:cs="Times New Roman"/>
          <w:color w:val="auto"/>
          <w:sz w:val="28"/>
          <w:szCs w:val="28"/>
          <w:lang w:eastAsia="zh-CN"/>
        </w:rPr>
        <w:t>鑫鑫矿业有限公司</w:t>
      </w:r>
      <w:r>
        <w:rPr>
          <w:rFonts w:hint="eastAsia" w:ascii="Times New Roman" w:hAnsi="Times New Roman" w:eastAsia="宋体" w:cs="Times New Roman"/>
          <w:color w:val="auto"/>
          <w:sz w:val="28"/>
          <w:szCs w:val="28"/>
        </w:rPr>
        <w:t>松山区初头朗镇窑沟门碎石矿</w:t>
      </w:r>
      <w:r>
        <w:rPr>
          <w:rFonts w:hint="eastAsia" w:ascii="Times New Roman" w:hAnsi="Times New Roman" w:eastAsia="宋体" w:cs="Times New Roman"/>
          <w:color w:val="auto"/>
          <w:sz w:val="28"/>
          <w:szCs w:val="28"/>
          <w:lang w:val="en-US" w:eastAsia="zh-CN"/>
        </w:rPr>
        <w:t>矿区生态修复方案</w:t>
      </w:r>
      <w:r>
        <w:rPr>
          <w:rFonts w:hint="eastAsia" w:ascii="Times New Roman" w:hAnsi="Times New Roman" w:cs="Times New Roman"/>
          <w:color w:val="auto"/>
          <w:sz w:val="28"/>
          <w:szCs w:val="28"/>
          <w:lang w:val="en-US" w:eastAsia="zh-CN"/>
        </w:rPr>
        <w:t>（闭坑）</w:t>
      </w:r>
      <w:r>
        <w:rPr>
          <w:rFonts w:ascii="Times New Roman" w:hAnsi="Times New Roman" w:eastAsia="宋体" w:cs="Times New Roman"/>
          <w:color w:val="auto"/>
          <w:sz w:val="28"/>
          <w:szCs w:val="28"/>
        </w:rPr>
        <w:t>》</w:t>
      </w:r>
      <w:r>
        <w:rPr>
          <w:rFonts w:hint="eastAsia" w:cs="Times New Roman"/>
          <w:color w:val="auto"/>
          <w:sz w:val="28"/>
          <w:szCs w:val="28"/>
          <w:lang w:val="en-US" w:eastAsia="zh-CN"/>
        </w:rPr>
        <w:t>编制</w:t>
      </w:r>
      <w:r>
        <w:rPr>
          <w:rFonts w:ascii="Times New Roman" w:hAnsi="Times New Roman" w:eastAsia="宋体" w:cs="Times New Roman"/>
          <w:color w:val="auto"/>
          <w:sz w:val="28"/>
          <w:szCs w:val="28"/>
        </w:rPr>
        <w:t>工作，以下简称《</w:t>
      </w:r>
      <w:r>
        <w:rPr>
          <w:rFonts w:hint="eastAsia" w:ascii="Times New Roman" w:hAnsi="Times New Roman" w:eastAsia="宋体" w:cs="Times New Roman"/>
          <w:color w:val="auto"/>
          <w:sz w:val="28"/>
          <w:szCs w:val="28"/>
          <w:lang w:val="en-US" w:eastAsia="zh-CN"/>
        </w:rPr>
        <w:t>矿区生态修复方案</w:t>
      </w:r>
      <w:r>
        <w:rPr>
          <w:rFonts w:hint="eastAsia" w:ascii="Times New Roman" w:hAnsi="Times New Roman" w:cs="Times New Roman"/>
          <w:color w:val="auto"/>
          <w:sz w:val="28"/>
          <w:szCs w:val="28"/>
          <w:lang w:val="en-US" w:eastAsia="zh-CN"/>
        </w:rPr>
        <w:t>（闭坑）</w:t>
      </w:r>
      <w:r>
        <w:rPr>
          <w:rFonts w:ascii="Times New Roman" w:hAnsi="Times New Roman" w:eastAsia="宋体" w:cs="Times New Roman"/>
          <w:color w:val="auto"/>
          <w:sz w:val="28"/>
          <w:szCs w:val="28"/>
        </w:rPr>
        <w:t>》</w:t>
      </w:r>
      <w:r>
        <w:rPr>
          <w:rFonts w:hint="eastAsia" w:cs="Times New Roman"/>
          <w:color w:val="auto"/>
          <w:sz w:val="28"/>
          <w:szCs w:val="28"/>
          <w:lang w:val="en-US" w:eastAsia="zh-CN"/>
        </w:rPr>
        <w:t>。</w:t>
      </w:r>
    </w:p>
    <w:p w14:paraId="1CDAC772">
      <w:pPr>
        <w:spacing w:line="360" w:lineRule="auto"/>
        <w:ind w:firstLine="560" w:firstLineChars="200"/>
        <w:rPr>
          <w:color w:val="auto"/>
          <w:sz w:val="28"/>
          <w:szCs w:val="28"/>
        </w:rPr>
      </w:pPr>
      <w:r>
        <w:rPr>
          <w:color w:val="auto"/>
          <w:sz w:val="28"/>
          <w:szCs w:val="28"/>
        </w:rPr>
        <w:t>本方案仅作实施保护、监测及生态修复的技术依据之一，不代替相关工程勘查、治理设计。</w:t>
      </w:r>
    </w:p>
    <w:p w14:paraId="102222F4">
      <w:pPr>
        <w:spacing w:line="360" w:lineRule="auto"/>
        <w:ind w:firstLine="562" w:firstLineChars="200"/>
        <w:rPr>
          <w:b/>
          <w:bCs/>
          <w:color w:val="auto"/>
          <w:sz w:val="28"/>
          <w:szCs w:val="28"/>
        </w:rPr>
      </w:pPr>
      <w:r>
        <w:rPr>
          <w:b/>
          <w:bCs/>
          <w:color w:val="auto"/>
          <w:sz w:val="28"/>
          <w:szCs w:val="28"/>
        </w:rPr>
        <w:t>（二）编制目的</w:t>
      </w:r>
    </w:p>
    <w:p w14:paraId="08BAFC84">
      <w:pPr>
        <w:spacing w:line="360" w:lineRule="auto"/>
        <w:ind w:left="559" w:leftChars="266" w:firstLine="0" w:firstLineChars="0"/>
        <w:rPr>
          <w:rFonts w:hint="default" w:ascii="Times New Roman" w:hAnsi="Times New Roman" w:eastAsia="宋体" w:cs="Times New Roman"/>
          <w:color w:val="auto"/>
          <w:sz w:val="28"/>
          <w:szCs w:val="28"/>
          <w:lang w:val="en-US" w:eastAsia="zh-CN"/>
        </w:rPr>
      </w:pPr>
      <w:r>
        <w:rPr>
          <w:rFonts w:hint="eastAsia" w:cs="Times New Roman"/>
          <w:color w:val="auto"/>
          <w:sz w:val="28"/>
          <w:szCs w:val="28"/>
          <w:lang w:val="en-US" w:eastAsia="zh-CN"/>
        </w:rPr>
        <w:t>1</w:t>
      </w:r>
      <w:r>
        <w:rPr>
          <w:rFonts w:hint="default" w:ascii="Times New Roman" w:hAnsi="Times New Roman" w:eastAsia="宋体" w:cs="Times New Roman"/>
          <w:color w:val="auto"/>
          <w:sz w:val="28"/>
          <w:szCs w:val="28"/>
          <w:lang w:val="en-US" w:eastAsia="zh-CN"/>
        </w:rPr>
        <w:t>、履行法定义务，落实主体责任</w:t>
      </w:r>
      <w:r>
        <w:rPr>
          <w:rFonts w:hint="default" w:ascii="Times New Roman" w:hAnsi="Times New Roman" w:eastAsia="宋体" w:cs="Times New Roman"/>
          <w:color w:val="auto"/>
          <w:sz w:val="28"/>
          <w:szCs w:val="28"/>
          <w:lang w:val="en-US" w:eastAsia="zh-CN"/>
        </w:rPr>
        <w:br w:type="textWrapping"/>
      </w:r>
      <w:r>
        <w:rPr>
          <w:rFonts w:hint="default" w:ascii="Times New Roman" w:hAnsi="Times New Roman" w:eastAsia="宋体" w:cs="Times New Roman"/>
          <w:color w:val="auto"/>
          <w:sz w:val="28"/>
          <w:szCs w:val="28"/>
          <w:lang w:val="en-US" w:eastAsia="zh-CN"/>
        </w:rPr>
        <w:t>明确</w:t>
      </w:r>
      <w:r>
        <w:rPr>
          <w:rFonts w:hint="default"/>
          <w:color w:val="auto"/>
          <w:sz w:val="28"/>
          <w:szCs w:val="28"/>
          <w:lang w:val="en-US" w:eastAsia="zh-CN"/>
        </w:rPr>
        <w:t>采矿权</w:t>
      </w:r>
      <w:r>
        <w:rPr>
          <w:rFonts w:hint="default" w:ascii="Times New Roman" w:hAnsi="Times New Roman" w:eastAsia="宋体" w:cs="Times New Roman"/>
          <w:color w:val="auto"/>
          <w:sz w:val="28"/>
          <w:szCs w:val="28"/>
          <w:lang w:val="en-US" w:eastAsia="zh-CN"/>
        </w:rPr>
        <w:t>人作为修复责任主体的法律义务，为自然资源主管部门的</w:t>
      </w:r>
    </w:p>
    <w:p w14:paraId="1B29FAED">
      <w:pPr>
        <w:spacing w:line="360" w:lineRule="auto"/>
        <w:rPr>
          <w:rFonts w:hint="eastAsia" w:ascii="Times New Roman" w:hAnsi="Times New Roman" w:eastAsia="宋体" w:cs="Times New Roman"/>
          <w:color w:val="auto"/>
          <w:sz w:val="28"/>
          <w:szCs w:val="28"/>
          <w:lang w:val="en-US" w:eastAsia="zh-CN"/>
        </w:rPr>
      </w:pPr>
      <w:r>
        <w:rPr>
          <w:rFonts w:hint="default" w:ascii="Times New Roman" w:hAnsi="Times New Roman" w:eastAsia="宋体" w:cs="Times New Roman"/>
          <w:color w:val="auto"/>
          <w:sz w:val="28"/>
          <w:szCs w:val="28"/>
          <w:lang w:val="en-US" w:eastAsia="zh-CN"/>
        </w:rPr>
        <w:t>监管、验收及责任追究提供依据，确保“谁破坏、谁治理”原则落到实处。</w:t>
      </w:r>
    </w:p>
    <w:p w14:paraId="499B753D">
      <w:pPr>
        <w:spacing w:line="360" w:lineRule="auto"/>
        <w:ind w:left="559" w:leftChars="266" w:firstLine="0" w:firstLineChars="0"/>
        <w:rPr>
          <w:rFonts w:hint="default" w:ascii="Times New Roman" w:hAnsi="Times New Roman" w:eastAsia="宋体" w:cs="Times New Roman"/>
          <w:color w:val="auto"/>
          <w:sz w:val="28"/>
          <w:szCs w:val="28"/>
          <w:lang w:val="en-US" w:eastAsia="zh-CN"/>
        </w:rPr>
      </w:pPr>
      <w:r>
        <w:rPr>
          <w:rFonts w:hint="eastAsia" w:cs="Times New Roman"/>
          <w:color w:val="auto"/>
          <w:sz w:val="28"/>
          <w:szCs w:val="28"/>
          <w:lang w:val="en-US" w:eastAsia="zh-CN"/>
        </w:rPr>
        <w:t>2</w:t>
      </w:r>
      <w:r>
        <w:rPr>
          <w:rFonts w:hint="default" w:ascii="Times New Roman" w:hAnsi="Times New Roman" w:eastAsia="宋体" w:cs="Times New Roman"/>
          <w:color w:val="auto"/>
          <w:sz w:val="28"/>
          <w:szCs w:val="28"/>
          <w:lang w:val="en-US" w:eastAsia="zh-CN"/>
        </w:rPr>
        <w:t>、消除安全隐患，防控环境风险</w:t>
      </w:r>
      <w:r>
        <w:rPr>
          <w:rFonts w:hint="default" w:ascii="Times New Roman" w:hAnsi="Times New Roman" w:eastAsia="宋体" w:cs="Times New Roman"/>
          <w:color w:val="auto"/>
          <w:sz w:val="28"/>
          <w:szCs w:val="28"/>
          <w:lang w:val="en-US" w:eastAsia="zh-CN"/>
        </w:rPr>
        <w:br w:type="textWrapping"/>
      </w:r>
      <w:r>
        <w:rPr>
          <w:rFonts w:hint="default" w:ascii="Times New Roman" w:hAnsi="Times New Roman" w:eastAsia="宋体" w:cs="Times New Roman"/>
          <w:color w:val="auto"/>
          <w:sz w:val="28"/>
          <w:szCs w:val="28"/>
          <w:lang w:val="en-US" w:eastAsia="zh-CN"/>
        </w:rPr>
        <w:t>系统部署</w:t>
      </w:r>
      <w:r>
        <w:rPr>
          <w:rFonts w:hint="eastAsia" w:cs="Times New Roman"/>
          <w:color w:val="auto"/>
          <w:sz w:val="28"/>
          <w:szCs w:val="28"/>
          <w:lang w:val="en-US" w:eastAsia="zh-CN"/>
        </w:rPr>
        <w:t>修复治理</w:t>
      </w:r>
      <w:r>
        <w:rPr>
          <w:rFonts w:hint="default" w:ascii="Times New Roman" w:hAnsi="Times New Roman" w:eastAsia="宋体" w:cs="Times New Roman"/>
          <w:color w:val="auto"/>
          <w:sz w:val="28"/>
          <w:szCs w:val="28"/>
          <w:lang w:val="en-US" w:eastAsia="zh-CN"/>
        </w:rPr>
        <w:t>工程，有效防范地面</w:t>
      </w:r>
      <w:r>
        <w:rPr>
          <w:rFonts w:hint="eastAsia" w:cs="Times New Roman"/>
          <w:color w:val="auto"/>
          <w:sz w:val="28"/>
          <w:szCs w:val="28"/>
          <w:lang w:val="en-US" w:eastAsia="zh-CN"/>
        </w:rPr>
        <w:t>崩塌、</w:t>
      </w:r>
      <w:r>
        <w:rPr>
          <w:rFonts w:hint="default" w:ascii="Times New Roman" w:hAnsi="Times New Roman" w:eastAsia="宋体" w:cs="Times New Roman"/>
          <w:color w:val="auto"/>
          <w:sz w:val="28"/>
          <w:szCs w:val="28"/>
          <w:lang w:val="en-US" w:eastAsia="zh-CN"/>
        </w:rPr>
        <w:t>滑坡等地质灾害；同时，</w:t>
      </w:r>
    </w:p>
    <w:p w14:paraId="08DF609B">
      <w:pPr>
        <w:spacing w:line="360" w:lineRule="auto"/>
        <w:rPr>
          <w:rFonts w:hint="default" w:ascii="Times New Roman" w:hAnsi="Times New Roman" w:eastAsia="宋体" w:cs="Times New Roman"/>
          <w:color w:val="auto"/>
          <w:sz w:val="28"/>
          <w:szCs w:val="28"/>
          <w:lang w:val="en-US" w:eastAsia="zh-CN"/>
        </w:rPr>
      </w:pPr>
      <w:r>
        <w:rPr>
          <w:rFonts w:hint="default" w:ascii="Times New Roman" w:hAnsi="Times New Roman" w:eastAsia="宋体" w:cs="Times New Roman"/>
          <w:color w:val="auto"/>
          <w:sz w:val="28"/>
          <w:szCs w:val="28"/>
          <w:lang w:val="en-US" w:eastAsia="zh-CN"/>
        </w:rPr>
        <w:t>对废石堆等污染源进行源头管控与达标处理，保障周边人民群众生命财产安全和水土环境安全。</w:t>
      </w:r>
    </w:p>
    <w:p w14:paraId="27DE0535">
      <w:pPr>
        <w:spacing w:line="360" w:lineRule="auto"/>
        <w:ind w:left="559" w:leftChars="266" w:firstLine="0" w:firstLineChars="0"/>
        <w:rPr>
          <w:rFonts w:hint="default" w:ascii="Times New Roman" w:hAnsi="Times New Roman" w:eastAsia="宋体" w:cs="Times New Roman"/>
          <w:color w:val="auto"/>
          <w:sz w:val="28"/>
          <w:szCs w:val="28"/>
          <w:lang w:val="en-US" w:eastAsia="zh-CN"/>
        </w:rPr>
      </w:pPr>
      <w:r>
        <w:rPr>
          <w:rFonts w:hint="eastAsia" w:cs="Times New Roman"/>
          <w:color w:val="auto"/>
          <w:sz w:val="28"/>
          <w:szCs w:val="28"/>
          <w:lang w:val="en-US" w:eastAsia="zh-CN"/>
        </w:rPr>
        <w:t>3</w:t>
      </w:r>
      <w:r>
        <w:rPr>
          <w:rFonts w:hint="default" w:ascii="Times New Roman" w:hAnsi="Times New Roman" w:eastAsia="宋体" w:cs="Times New Roman"/>
          <w:color w:val="auto"/>
          <w:sz w:val="28"/>
          <w:szCs w:val="28"/>
          <w:lang w:val="en-US" w:eastAsia="zh-CN"/>
        </w:rPr>
        <w:t>、恢复生态功能，实现土地再利用</w:t>
      </w:r>
      <w:r>
        <w:rPr>
          <w:rFonts w:hint="default" w:ascii="Times New Roman" w:hAnsi="Times New Roman" w:eastAsia="宋体" w:cs="Times New Roman"/>
          <w:color w:val="auto"/>
          <w:sz w:val="28"/>
          <w:szCs w:val="28"/>
          <w:lang w:val="en-US" w:eastAsia="zh-CN"/>
        </w:rPr>
        <w:br w:type="textWrapping"/>
      </w:r>
      <w:r>
        <w:rPr>
          <w:rFonts w:hint="default" w:ascii="Times New Roman" w:hAnsi="Times New Roman" w:eastAsia="宋体" w:cs="Times New Roman"/>
          <w:color w:val="auto"/>
          <w:sz w:val="28"/>
          <w:szCs w:val="28"/>
          <w:lang w:val="en-US" w:eastAsia="zh-CN"/>
        </w:rPr>
        <w:t>坚持因地制宜、分类施策的原则，明确修复后土地的利用方向（如</w:t>
      </w:r>
    </w:p>
    <w:p w14:paraId="6CE6F62C">
      <w:pPr>
        <w:spacing w:line="360" w:lineRule="auto"/>
        <w:rPr>
          <w:rFonts w:hint="default" w:ascii="Times New Roman" w:hAnsi="Times New Roman" w:eastAsia="宋体" w:cs="Times New Roman"/>
          <w:color w:val="auto"/>
          <w:sz w:val="28"/>
          <w:szCs w:val="28"/>
          <w:lang w:val="en-US" w:eastAsia="zh-CN"/>
        </w:rPr>
      </w:pPr>
      <w:r>
        <w:rPr>
          <w:rFonts w:hint="default" w:ascii="Times New Roman" w:hAnsi="Times New Roman" w:eastAsia="宋体" w:cs="Times New Roman"/>
          <w:color w:val="auto"/>
          <w:sz w:val="28"/>
          <w:szCs w:val="28"/>
          <w:lang w:val="en-US" w:eastAsia="zh-CN"/>
        </w:rPr>
        <w:t>林地或建设用地），设定植被成活率、复垦率等量化指标，使修复后的生态系统与周边景观相协调，形成可自我维持的稳定群落。</w:t>
      </w:r>
    </w:p>
    <w:p w14:paraId="2E42E464">
      <w:pPr>
        <w:spacing w:line="360" w:lineRule="auto"/>
        <w:ind w:left="559" w:leftChars="266" w:firstLine="0" w:firstLineChars="0"/>
        <w:rPr>
          <w:rFonts w:hint="default" w:ascii="Times New Roman" w:hAnsi="Times New Roman" w:eastAsia="宋体" w:cs="Times New Roman"/>
          <w:color w:val="auto"/>
          <w:sz w:val="28"/>
          <w:szCs w:val="28"/>
          <w:lang w:val="en-US" w:eastAsia="zh-CN"/>
        </w:rPr>
      </w:pPr>
      <w:r>
        <w:rPr>
          <w:rFonts w:hint="eastAsia" w:cs="Times New Roman"/>
          <w:color w:val="auto"/>
          <w:sz w:val="28"/>
          <w:szCs w:val="28"/>
          <w:lang w:val="en-US" w:eastAsia="zh-CN"/>
        </w:rPr>
        <w:t>4</w:t>
      </w:r>
      <w:r>
        <w:rPr>
          <w:rFonts w:hint="default" w:ascii="Times New Roman" w:hAnsi="Times New Roman" w:eastAsia="宋体" w:cs="Times New Roman"/>
          <w:color w:val="auto"/>
          <w:sz w:val="28"/>
          <w:szCs w:val="28"/>
          <w:lang w:val="en-US" w:eastAsia="zh-CN"/>
        </w:rPr>
        <w:t>、指导工程实施，保障资金投入</w:t>
      </w:r>
      <w:r>
        <w:rPr>
          <w:rFonts w:hint="default" w:ascii="Times New Roman" w:hAnsi="Times New Roman" w:eastAsia="宋体" w:cs="Times New Roman"/>
          <w:color w:val="auto"/>
          <w:sz w:val="28"/>
          <w:szCs w:val="28"/>
          <w:lang w:val="en-US" w:eastAsia="zh-CN"/>
        </w:rPr>
        <w:br w:type="textWrapping"/>
      </w:r>
      <w:r>
        <w:rPr>
          <w:rFonts w:hint="default" w:ascii="Times New Roman" w:hAnsi="Times New Roman" w:eastAsia="宋体" w:cs="Times New Roman"/>
          <w:color w:val="auto"/>
          <w:sz w:val="28"/>
          <w:szCs w:val="28"/>
          <w:lang w:val="en-US" w:eastAsia="zh-CN"/>
        </w:rPr>
        <w:t>细化各项修复工程的施工时序与技术措施，明确分阶段任务与管护要</w:t>
      </w:r>
    </w:p>
    <w:p w14:paraId="3037B8B2">
      <w:pPr>
        <w:spacing w:line="360" w:lineRule="auto"/>
        <w:rPr>
          <w:rFonts w:hint="default" w:ascii="Times New Roman" w:hAnsi="Times New Roman" w:eastAsia="宋体" w:cs="Times New Roman"/>
          <w:color w:val="auto"/>
          <w:sz w:val="28"/>
          <w:szCs w:val="28"/>
          <w:lang w:val="en-US" w:eastAsia="zh-CN"/>
        </w:rPr>
      </w:pPr>
      <w:r>
        <w:rPr>
          <w:rFonts w:hint="default" w:ascii="Times New Roman" w:hAnsi="Times New Roman" w:eastAsia="宋体" w:cs="Times New Roman"/>
          <w:color w:val="auto"/>
          <w:sz w:val="28"/>
          <w:szCs w:val="28"/>
          <w:lang w:val="en-US" w:eastAsia="zh-CN"/>
        </w:rPr>
        <w:t>求，同时科学概算经费并确保资金专款专用，为修复工作的有序推进和长效管护提供坚实保障。</w:t>
      </w:r>
    </w:p>
    <w:p w14:paraId="09AAA2EB">
      <w:pPr>
        <w:spacing w:line="360" w:lineRule="auto"/>
        <w:ind w:firstLine="560" w:firstLineChars="200"/>
        <w:rPr>
          <w:color w:val="auto"/>
          <w:sz w:val="28"/>
          <w:szCs w:val="28"/>
        </w:rPr>
      </w:pPr>
      <w:r>
        <w:rPr>
          <w:color w:val="auto"/>
          <w:sz w:val="28"/>
          <w:szCs w:val="28"/>
        </w:rPr>
        <w:t>本《</w:t>
      </w:r>
      <w:r>
        <w:rPr>
          <w:rFonts w:hint="eastAsia" w:ascii="Times New Roman" w:hAnsi="Times New Roman" w:eastAsia="宋体" w:cs="Times New Roman"/>
          <w:color w:val="auto"/>
          <w:sz w:val="28"/>
          <w:szCs w:val="28"/>
          <w:lang w:val="en-US" w:eastAsia="zh-CN"/>
        </w:rPr>
        <w:t>矿区生态修复方案</w:t>
      </w:r>
      <w:r>
        <w:rPr>
          <w:color w:val="auto"/>
          <w:sz w:val="28"/>
          <w:szCs w:val="28"/>
        </w:rPr>
        <w:t>》的编制与实施，将实现矿区生态环境的有效治理和保护，达到矿产资源的开发利用和矿区社会经济的综合发展相协调的目的，对保护土地资源、矿山地质环境及周边生态环境具有重要的意义。</w:t>
      </w:r>
    </w:p>
    <w:p w14:paraId="7238B7CE">
      <w:pPr>
        <w:spacing w:line="360" w:lineRule="auto"/>
        <w:ind w:firstLine="560" w:firstLineChars="200"/>
        <w:rPr>
          <w:color w:val="auto"/>
          <w:sz w:val="28"/>
          <w:szCs w:val="28"/>
        </w:rPr>
      </w:pPr>
      <w:r>
        <w:rPr>
          <w:color w:val="auto"/>
          <w:sz w:val="28"/>
          <w:szCs w:val="28"/>
        </w:rPr>
        <w:t>主要任务为：</w:t>
      </w:r>
    </w:p>
    <w:p w14:paraId="04F06103">
      <w:pPr>
        <w:spacing w:line="360" w:lineRule="auto"/>
        <w:ind w:firstLine="560" w:firstLineChars="200"/>
        <w:rPr>
          <w:color w:val="auto"/>
          <w:sz w:val="28"/>
          <w:szCs w:val="28"/>
        </w:rPr>
      </w:pPr>
      <w:r>
        <w:rPr>
          <w:color w:val="auto"/>
          <w:sz w:val="28"/>
          <w:szCs w:val="28"/>
        </w:rPr>
        <w:t>1、通过收集资料与野外调查，实地开展矿山地质环境、土地资源、生态问题等调查，查明矿山概况、矿区地质环境条件、土地资源利用现状、生态本底状况及生态功能定位；</w:t>
      </w:r>
    </w:p>
    <w:p w14:paraId="14C65748">
      <w:pPr>
        <w:spacing w:line="360" w:lineRule="auto"/>
        <w:ind w:firstLine="560" w:firstLineChars="200"/>
        <w:rPr>
          <w:color w:val="auto"/>
          <w:sz w:val="28"/>
          <w:szCs w:val="28"/>
        </w:rPr>
      </w:pPr>
      <w:r>
        <w:rPr>
          <w:color w:val="auto"/>
          <w:sz w:val="28"/>
          <w:szCs w:val="28"/>
        </w:rPr>
        <w:t>2、查明矿区地质环境问题、地质灾害发育现状及造成的危害，土地损毁情况，生态受损与退化等问题，矿山开采后可能产生的地质环境影响，土地损毁，生态问题，分析研究主要地质环境问题的分布规律、形成机理及影响因素，论述土地损毁环节与时序；论述植被损毁、生物多样性丧失、地表水系、土壤和地下水污染等问题，根据调查情况、矿山开采方案、采矿地质环境条件对采矿权范围及采矿活动问题识别诊断；</w:t>
      </w:r>
    </w:p>
    <w:p w14:paraId="180F188F">
      <w:pPr>
        <w:spacing w:line="360" w:lineRule="auto"/>
        <w:ind w:firstLine="560" w:firstLineChars="200"/>
        <w:rPr>
          <w:color w:val="auto"/>
          <w:sz w:val="28"/>
          <w:szCs w:val="28"/>
        </w:rPr>
      </w:pPr>
      <w:r>
        <w:rPr>
          <w:color w:val="auto"/>
          <w:sz w:val="28"/>
          <w:szCs w:val="28"/>
        </w:rPr>
        <w:t>3、在现状和预测问题分析，综合诊断评价的基础上，进行分区和确定土地生态修复区与生态修复责任范围；</w:t>
      </w:r>
    </w:p>
    <w:p w14:paraId="162DF0A8">
      <w:pPr>
        <w:spacing w:line="360" w:lineRule="auto"/>
        <w:ind w:firstLine="560" w:firstLineChars="200"/>
        <w:rPr>
          <w:color w:val="auto"/>
          <w:sz w:val="28"/>
          <w:szCs w:val="28"/>
        </w:rPr>
      </w:pPr>
      <w:r>
        <w:rPr>
          <w:color w:val="auto"/>
          <w:sz w:val="28"/>
          <w:szCs w:val="28"/>
        </w:rPr>
        <w:t>4、从地质环境治理、复垦修复、生态恢复力等方面进行矿区生态修复可行性进行分析；</w:t>
      </w:r>
    </w:p>
    <w:p w14:paraId="7B76142D">
      <w:pPr>
        <w:spacing w:line="360" w:lineRule="auto"/>
        <w:ind w:firstLine="560" w:firstLineChars="200"/>
        <w:rPr>
          <w:color w:val="auto"/>
          <w:sz w:val="28"/>
          <w:szCs w:val="28"/>
        </w:rPr>
      </w:pPr>
      <w:r>
        <w:rPr>
          <w:color w:val="auto"/>
          <w:sz w:val="28"/>
          <w:szCs w:val="28"/>
        </w:rPr>
        <w:t>5、提出矿区生态修复技术措施，矿山地质环境监测、土地复垦监测、生态系统监测和管护方案，明确各项工作的目标任务；</w:t>
      </w:r>
    </w:p>
    <w:p w14:paraId="7BF0F68F">
      <w:pPr>
        <w:spacing w:line="360" w:lineRule="auto"/>
        <w:ind w:firstLine="560" w:firstLineChars="200"/>
        <w:rPr>
          <w:color w:val="auto"/>
          <w:sz w:val="28"/>
          <w:szCs w:val="28"/>
        </w:rPr>
      </w:pPr>
      <w:r>
        <w:rPr>
          <w:color w:val="auto"/>
          <w:sz w:val="28"/>
          <w:szCs w:val="28"/>
        </w:rPr>
        <w:t>6、对矿区生态修复工作分阶段进行工作部署，并明确阶段工作安排情况；</w:t>
      </w:r>
    </w:p>
    <w:p w14:paraId="662FC1A9">
      <w:pPr>
        <w:spacing w:line="360" w:lineRule="auto"/>
        <w:ind w:firstLine="560" w:firstLineChars="200"/>
        <w:rPr>
          <w:color w:val="auto"/>
          <w:sz w:val="28"/>
          <w:szCs w:val="28"/>
        </w:rPr>
      </w:pPr>
      <w:r>
        <w:rPr>
          <w:color w:val="auto"/>
          <w:sz w:val="28"/>
          <w:szCs w:val="28"/>
        </w:rPr>
        <w:t>7、进行矿区生态修复的经费估算，提出生态修复的保障措施。</w:t>
      </w:r>
    </w:p>
    <w:p w14:paraId="51255805">
      <w:pPr>
        <w:spacing w:line="360" w:lineRule="auto"/>
        <w:ind w:firstLine="562" w:firstLineChars="200"/>
        <w:rPr>
          <w:rFonts w:hint="eastAsia" w:ascii="宋体" w:hAnsi="宋体" w:cs="宋体"/>
          <w:b/>
          <w:bCs/>
          <w:color w:val="auto"/>
          <w:sz w:val="28"/>
          <w:szCs w:val="28"/>
        </w:rPr>
      </w:pPr>
      <w:r>
        <w:rPr>
          <w:rFonts w:hint="eastAsia" w:ascii="宋体" w:hAnsi="宋体" w:cs="宋体"/>
          <w:b/>
          <w:bCs/>
          <w:color w:val="auto"/>
          <w:sz w:val="28"/>
          <w:szCs w:val="28"/>
        </w:rPr>
        <w:t>（三）编制工作概况</w:t>
      </w:r>
    </w:p>
    <w:p w14:paraId="20AE99AD">
      <w:pPr>
        <w:spacing w:line="360" w:lineRule="auto"/>
        <w:ind w:firstLine="560" w:firstLineChars="200"/>
        <w:rPr>
          <w:color w:val="auto"/>
          <w:sz w:val="28"/>
          <w:szCs w:val="28"/>
        </w:rPr>
      </w:pPr>
      <w:r>
        <w:rPr>
          <w:color w:val="auto"/>
          <w:sz w:val="28"/>
          <w:szCs w:val="28"/>
        </w:rPr>
        <w:t>1、工作程序</w:t>
      </w:r>
    </w:p>
    <w:p w14:paraId="654A3DDD">
      <w:pPr>
        <w:spacing w:line="360" w:lineRule="auto"/>
        <w:ind w:firstLine="560" w:firstLineChars="200"/>
        <w:rPr>
          <w:color w:val="auto"/>
          <w:sz w:val="28"/>
          <w:szCs w:val="28"/>
        </w:rPr>
      </w:pPr>
      <w:r>
        <w:rPr>
          <w:color w:val="auto"/>
          <w:sz w:val="28"/>
          <w:szCs w:val="28"/>
        </w:rPr>
        <w:t>本次矿区生态修复方案的编写工作严格按照《矿区生态修复方案编制指南》规定的程序进行（见图0-1）。</w:t>
      </w:r>
    </w:p>
    <w:p w14:paraId="7C731249">
      <w:pPr>
        <w:ind w:left="-36" w:leftChars="-67" w:hanging="105" w:hangingChars="50"/>
        <w:jc w:val="center"/>
        <w:rPr>
          <w:rFonts w:hint="eastAsia" w:eastAsia="宋体"/>
          <w:color w:val="auto"/>
          <w:lang w:eastAsia="zh-CN"/>
        </w:rPr>
      </w:pPr>
      <w:r>
        <w:rPr>
          <w:rFonts w:hint="eastAsia"/>
          <w:color w:val="auto"/>
          <w:lang w:eastAsia="zh-CN"/>
        </w:rPr>
        <w:t xml:space="preserve">    </w:t>
      </w:r>
    </w:p>
    <w:p w14:paraId="19ADD56A">
      <w:pPr>
        <w:ind w:left="-27" w:leftChars="-67" w:hanging="114" w:hangingChars="50"/>
        <w:jc w:val="center"/>
        <w:rPr>
          <w:rFonts w:hint="eastAsia" w:ascii="宋体" w:hAnsi="宋体" w:cs="宋体"/>
          <w:color w:val="auto"/>
          <w:sz w:val="28"/>
          <w:szCs w:val="28"/>
        </w:rPr>
      </w:pPr>
      <w:r>
        <w:rPr>
          <w:rFonts w:ascii="黑体" w:hAnsi="黑体" w:eastAsia="黑体" w:cs="宋体"/>
          <w:bCs/>
          <w:color w:val="auto"/>
          <w:w w:val="95"/>
          <w:kern w:val="0"/>
          <w:sz w:val="24"/>
          <w:szCs w:val="28"/>
        </w:rPr>
        <w:t>图0-</w:t>
      </w:r>
      <w:r>
        <w:rPr>
          <w:rFonts w:ascii="黑体" w:hAnsi="黑体" w:eastAsia="黑体" w:cs="宋体"/>
          <w:bCs/>
          <w:color w:val="auto"/>
          <w:spacing w:val="-10"/>
          <w:w w:val="95"/>
          <w:kern w:val="0"/>
          <w:sz w:val="24"/>
          <w:szCs w:val="28"/>
        </w:rPr>
        <w:t>1</w:t>
      </w:r>
      <w:r>
        <w:rPr>
          <w:rFonts w:hint="eastAsia" w:ascii="黑体" w:hAnsi="黑体" w:eastAsia="黑体" w:cs="宋体"/>
          <w:bCs/>
          <w:color w:val="auto"/>
          <w:kern w:val="0"/>
          <w:sz w:val="24"/>
          <w:szCs w:val="28"/>
        </w:rPr>
        <w:t xml:space="preserve">  </w:t>
      </w:r>
      <w:r>
        <w:rPr>
          <w:rFonts w:ascii="黑体" w:hAnsi="黑体" w:eastAsia="黑体" w:cs="宋体"/>
          <w:bCs/>
          <w:color w:val="auto"/>
          <w:w w:val="95"/>
          <w:kern w:val="0"/>
          <w:sz w:val="24"/>
          <w:szCs w:val="28"/>
        </w:rPr>
        <w:t>工作程序框</w:t>
      </w:r>
      <w:r>
        <w:rPr>
          <w:rFonts w:ascii="黑体" w:hAnsi="黑体" w:eastAsia="黑体" w:cs="宋体"/>
          <w:bCs/>
          <w:color w:val="auto"/>
          <w:spacing w:val="-10"/>
          <w:w w:val="95"/>
          <w:kern w:val="0"/>
          <w:sz w:val="24"/>
          <w:szCs w:val="28"/>
        </w:rPr>
        <w:t>图</w:t>
      </w:r>
      <w:r>
        <w:rPr>
          <w:rFonts w:ascii="宋体" w:hAnsi="宋体" w:cs="宋体"/>
          <w:color w:val="auto"/>
          <w:sz w:val="28"/>
          <w:szCs w:val="28"/>
        </w:rPr>
        <w:br w:type="page"/>
      </w:r>
    </w:p>
    <w:p w14:paraId="3CE10465">
      <w:pPr>
        <w:spacing w:line="360" w:lineRule="auto"/>
        <w:ind w:firstLine="560" w:firstLineChars="200"/>
        <w:rPr>
          <w:rFonts w:hint="eastAsia" w:ascii="宋体" w:hAnsi="宋体" w:cs="宋体"/>
          <w:color w:val="auto"/>
          <w:sz w:val="28"/>
          <w:szCs w:val="28"/>
        </w:rPr>
      </w:pPr>
      <w:r>
        <w:rPr>
          <w:rFonts w:ascii="宋体" w:hAnsi="宋体" w:cs="宋体"/>
          <w:color w:val="auto"/>
          <w:sz w:val="28"/>
          <w:szCs w:val="28"/>
        </w:rPr>
        <w:t>大致工作流程为：接受委托→成立项目组→收集资料→开展野外调查→资料汇总、综合研究→编制方案。</w:t>
      </w:r>
    </w:p>
    <w:p w14:paraId="1F727C12">
      <w:pPr>
        <w:spacing w:line="360" w:lineRule="auto"/>
        <w:ind w:firstLine="560" w:firstLineChars="200"/>
        <w:rPr>
          <w:color w:val="auto"/>
          <w:sz w:val="28"/>
          <w:szCs w:val="28"/>
        </w:rPr>
      </w:pPr>
      <w:r>
        <w:rPr>
          <w:color w:val="auto"/>
          <w:sz w:val="28"/>
          <w:szCs w:val="28"/>
        </w:rPr>
        <w:t>2、工作方法</w:t>
      </w:r>
    </w:p>
    <w:p w14:paraId="060E8F2A">
      <w:pPr>
        <w:spacing w:line="360" w:lineRule="auto"/>
        <w:ind w:firstLine="560" w:firstLineChars="200"/>
        <w:rPr>
          <w:bCs/>
          <w:color w:val="auto"/>
          <w:sz w:val="28"/>
          <w:szCs w:val="28"/>
        </w:rPr>
      </w:pPr>
      <w:r>
        <w:rPr>
          <w:bCs/>
          <w:color w:val="auto"/>
          <w:sz w:val="28"/>
          <w:szCs w:val="28"/>
        </w:rPr>
        <w:t>（1）收集矿区社会经济、自然地理、地质条件、土壤植被分布、土地利用现状及规划、矿山开发利用方案等相关资料，对矿区内地质环境条件的基本特征进行综合分析，找出与矿区开采活动相关的矿山地质环境问题、土地资源损毁问题、生态系统受损问题，确定矿区生态修复影响范围。</w:t>
      </w:r>
    </w:p>
    <w:p w14:paraId="779702D0">
      <w:pPr>
        <w:spacing w:line="360" w:lineRule="auto"/>
        <w:ind w:firstLine="560" w:firstLineChars="200"/>
        <w:rPr>
          <w:bCs/>
          <w:color w:val="auto"/>
          <w:sz w:val="28"/>
          <w:szCs w:val="28"/>
        </w:rPr>
      </w:pPr>
      <w:r>
        <w:rPr>
          <w:bCs/>
          <w:color w:val="auto"/>
          <w:sz w:val="28"/>
          <w:szCs w:val="28"/>
        </w:rPr>
        <w:t>（2）</w:t>
      </w:r>
      <w:r>
        <w:rPr>
          <w:rFonts w:hint="eastAsia"/>
          <w:bCs/>
          <w:color w:val="auto"/>
          <w:sz w:val="28"/>
          <w:szCs w:val="28"/>
        </w:rPr>
        <w:t>基础调查：</w:t>
      </w:r>
      <w:r>
        <w:rPr>
          <w:bCs/>
          <w:color w:val="auto"/>
          <w:sz w:val="28"/>
          <w:szCs w:val="28"/>
        </w:rPr>
        <w:t>采用1：</w:t>
      </w:r>
      <w:r>
        <w:rPr>
          <w:rFonts w:hint="eastAsia"/>
          <w:bCs/>
          <w:color w:val="auto"/>
          <w:sz w:val="28"/>
          <w:szCs w:val="28"/>
          <w:lang w:val="en-US" w:eastAsia="zh-CN"/>
        </w:rPr>
        <w:t>1</w:t>
      </w:r>
      <w:r>
        <w:rPr>
          <w:bCs/>
          <w:color w:val="auto"/>
          <w:sz w:val="28"/>
          <w:szCs w:val="28"/>
        </w:rPr>
        <w:t>000地形图（实测）作为底图，开展矿山</w:t>
      </w:r>
      <w:r>
        <w:rPr>
          <w:rFonts w:hint="eastAsia"/>
          <w:bCs/>
          <w:color w:val="auto"/>
          <w:sz w:val="28"/>
          <w:szCs w:val="28"/>
        </w:rPr>
        <w:t>基础调</w:t>
      </w:r>
      <w:r>
        <w:rPr>
          <w:bCs/>
          <w:color w:val="auto"/>
          <w:sz w:val="28"/>
          <w:szCs w:val="28"/>
        </w:rPr>
        <w:t>查，实地调查生态修复区土壤、水文、土地利用、土地损毁、矿山地质环境破坏、生态系统，生物多样性等情况，调查范围面积</w:t>
      </w:r>
      <w:r>
        <w:rPr>
          <w:rFonts w:hint="eastAsia"/>
          <w:bCs/>
          <w:color w:val="auto"/>
          <w:sz w:val="28"/>
          <w:szCs w:val="28"/>
          <w:lang w:val="en-US" w:eastAsia="zh-CN"/>
        </w:rPr>
        <w:t>0.17464</w:t>
      </w:r>
      <w:r>
        <w:rPr>
          <w:bCs/>
          <w:color w:val="auto"/>
          <w:sz w:val="28"/>
          <w:szCs w:val="28"/>
        </w:rPr>
        <w:t>km</w:t>
      </w:r>
      <w:r>
        <w:rPr>
          <w:bCs/>
          <w:color w:val="auto"/>
          <w:sz w:val="28"/>
          <w:szCs w:val="28"/>
          <w:vertAlign w:val="superscript"/>
        </w:rPr>
        <w:t>2</w:t>
      </w:r>
      <w:r>
        <w:rPr>
          <w:bCs/>
          <w:color w:val="auto"/>
          <w:sz w:val="28"/>
          <w:szCs w:val="28"/>
        </w:rPr>
        <w:t>，对灾害点和重要地质现象进行详细记录和拍照，</w:t>
      </w:r>
      <w:r>
        <w:rPr>
          <w:rFonts w:hint="eastAsia"/>
          <w:bCs/>
          <w:color w:val="auto"/>
          <w:sz w:val="28"/>
          <w:szCs w:val="28"/>
        </w:rPr>
        <w:t>基础</w:t>
      </w:r>
      <w:r>
        <w:rPr>
          <w:bCs/>
          <w:color w:val="auto"/>
          <w:sz w:val="28"/>
          <w:szCs w:val="28"/>
        </w:rPr>
        <w:t>调查内容主要是对区内交通、居民饮用水井、村庄、植被覆盖率、地形地貌、现状地质环境条件、生物多样性状况、水土污染情况等进行了调查，基本查明了评估区内的地质环境现状问题、土地损毁现状，生态本底状况等，保证了调查的质量。</w:t>
      </w:r>
    </w:p>
    <w:p w14:paraId="7753ED7B">
      <w:pPr>
        <w:spacing w:line="360" w:lineRule="auto"/>
        <w:ind w:firstLine="560" w:firstLineChars="200"/>
        <w:rPr>
          <w:rFonts w:hint="eastAsia" w:ascii="Times New Roman" w:hAnsi="Times New Roman" w:cs="Times New Roman"/>
          <w:bCs/>
          <w:color w:val="auto"/>
          <w:sz w:val="28"/>
          <w:szCs w:val="28"/>
          <w:lang w:val="en-US" w:eastAsia="zh-CN"/>
        </w:rPr>
      </w:pPr>
      <w:r>
        <w:rPr>
          <w:rFonts w:hint="eastAsia"/>
          <w:bCs/>
          <w:color w:val="auto"/>
          <w:sz w:val="28"/>
          <w:szCs w:val="28"/>
        </w:rPr>
        <w:t>（3）水土污染分析</w:t>
      </w:r>
    </w:p>
    <w:p w14:paraId="69CA74B4">
      <w:pPr>
        <w:spacing w:line="360" w:lineRule="auto"/>
        <w:ind w:firstLine="560" w:firstLineChars="200"/>
        <w:rPr>
          <w:bCs/>
          <w:color w:val="auto"/>
          <w:sz w:val="28"/>
          <w:szCs w:val="28"/>
        </w:rPr>
      </w:pPr>
      <w:r>
        <w:rPr>
          <w:rFonts w:hint="eastAsia" w:ascii="Times New Roman" w:hAnsi="Times New Roman" w:cs="Times New Roman"/>
          <w:bCs/>
          <w:color w:val="auto"/>
          <w:sz w:val="28"/>
          <w:szCs w:val="28"/>
          <w:lang w:val="en-US" w:eastAsia="zh-CN"/>
        </w:rPr>
        <w:t>矿山采用露天开采，未破坏地下含水层，根据地质普查报告，该矿区凝灰岩矿的各项技术指标均达到中华人民共和国国家标准（ＧＢ/Ｔ14685-2011）《建筑用卵石、碎石》的技术标准，不含有毒有害物质。综合分析</w:t>
      </w:r>
      <w:r>
        <w:rPr>
          <w:rFonts w:hint="eastAsia"/>
          <w:bCs/>
          <w:color w:val="auto"/>
          <w:sz w:val="28"/>
          <w:szCs w:val="28"/>
          <w:lang w:val="en-US" w:eastAsia="zh-CN"/>
        </w:rPr>
        <w:t>，</w:t>
      </w:r>
      <w:r>
        <w:rPr>
          <w:rFonts w:hint="eastAsia"/>
          <w:bCs/>
          <w:color w:val="auto"/>
          <w:sz w:val="28"/>
          <w:szCs w:val="28"/>
        </w:rPr>
        <w:t>对矿区生态修复影响范围</w:t>
      </w:r>
      <w:r>
        <w:rPr>
          <w:rFonts w:hint="eastAsia"/>
          <w:bCs/>
          <w:color w:val="auto"/>
          <w:sz w:val="28"/>
          <w:szCs w:val="28"/>
          <w:lang w:val="en-US" w:eastAsia="zh-CN"/>
        </w:rPr>
        <w:t>的</w:t>
      </w:r>
      <w:r>
        <w:rPr>
          <w:rFonts w:hint="eastAsia"/>
          <w:bCs/>
          <w:color w:val="auto"/>
          <w:sz w:val="28"/>
          <w:szCs w:val="28"/>
        </w:rPr>
        <w:t>地下水、土壤</w:t>
      </w:r>
      <w:r>
        <w:rPr>
          <w:rFonts w:hint="eastAsia"/>
          <w:bCs/>
          <w:color w:val="auto"/>
          <w:sz w:val="28"/>
          <w:szCs w:val="28"/>
          <w:lang w:val="en-US" w:eastAsia="zh-CN"/>
        </w:rPr>
        <w:t>影响较轻</w:t>
      </w:r>
      <w:r>
        <w:rPr>
          <w:rFonts w:hint="eastAsia"/>
          <w:bCs/>
          <w:color w:val="auto"/>
          <w:sz w:val="28"/>
          <w:szCs w:val="28"/>
        </w:rPr>
        <w:t>。</w:t>
      </w:r>
    </w:p>
    <w:p w14:paraId="16EC0252">
      <w:pPr>
        <w:spacing w:line="360" w:lineRule="auto"/>
        <w:ind w:firstLine="560" w:firstLineChars="200"/>
        <w:rPr>
          <w:bCs/>
          <w:color w:val="auto"/>
          <w:sz w:val="28"/>
          <w:szCs w:val="28"/>
        </w:rPr>
      </w:pPr>
      <w:r>
        <w:rPr>
          <w:rFonts w:hint="eastAsia"/>
          <w:bCs/>
          <w:color w:val="auto"/>
          <w:sz w:val="28"/>
          <w:szCs w:val="28"/>
        </w:rPr>
        <w:t>（4）公众调查</w:t>
      </w:r>
    </w:p>
    <w:p w14:paraId="7721D0F6">
      <w:pPr>
        <w:spacing w:line="360" w:lineRule="auto"/>
        <w:ind w:firstLine="560" w:firstLineChars="200"/>
        <w:rPr>
          <w:bCs/>
          <w:color w:val="auto"/>
          <w:sz w:val="28"/>
          <w:szCs w:val="28"/>
        </w:rPr>
      </w:pPr>
      <w:r>
        <w:rPr>
          <w:rFonts w:hint="eastAsia"/>
          <w:bCs/>
          <w:color w:val="auto"/>
          <w:sz w:val="28"/>
          <w:szCs w:val="28"/>
          <w:lang w:val="en-US" w:eastAsia="zh-CN"/>
        </w:rPr>
        <w:t>关于该矿山生态修复工作，向</w:t>
      </w:r>
      <w:r>
        <w:rPr>
          <w:rFonts w:hint="eastAsia"/>
          <w:bCs/>
          <w:color w:val="auto"/>
          <w:sz w:val="28"/>
          <w:szCs w:val="28"/>
        </w:rPr>
        <w:t>初头朗</w:t>
      </w:r>
      <w:r>
        <w:rPr>
          <w:rFonts w:hint="eastAsia" w:ascii="Times New Roman" w:hAnsi="Times New Roman" w:cs="Times New Roman"/>
          <w:bCs/>
          <w:color w:val="auto"/>
          <w:sz w:val="28"/>
          <w:szCs w:val="28"/>
        </w:rPr>
        <w:t>镇窑沟门村</w:t>
      </w:r>
      <w:r>
        <w:rPr>
          <w:rFonts w:hint="eastAsia"/>
          <w:bCs/>
          <w:color w:val="auto"/>
          <w:sz w:val="28"/>
          <w:szCs w:val="28"/>
          <w:lang w:val="en-US" w:eastAsia="zh-CN"/>
        </w:rPr>
        <w:t>民</w:t>
      </w:r>
      <w:r>
        <w:rPr>
          <w:bCs/>
          <w:color w:val="auto"/>
          <w:sz w:val="28"/>
          <w:szCs w:val="28"/>
        </w:rPr>
        <w:t>发放问卷调查表</w:t>
      </w:r>
      <w:r>
        <w:rPr>
          <w:rFonts w:hint="eastAsia"/>
          <w:bCs/>
          <w:color w:val="auto"/>
          <w:sz w:val="28"/>
          <w:szCs w:val="28"/>
          <w:lang w:val="en-US" w:eastAsia="zh-CN"/>
        </w:rPr>
        <w:t>4</w:t>
      </w:r>
      <w:r>
        <w:rPr>
          <w:bCs/>
          <w:color w:val="auto"/>
          <w:sz w:val="28"/>
          <w:szCs w:val="28"/>
        </w:rPr>
        <w:t>份，回收</w:t>
      </w:r>
      <w:r>
        <w:rPr>
          <w:rFonts w:hint="eastAsia"/>
          <w:bCs/>
          <w:color w:val="auto"/>
          <w:sz w:val="28"/>
          <w:szCs w:val="28"/>
          <w:lang w:val="en-US" w:eastAsia="zh-CN"/>
        </w:rPr>
        <w:t>4</w:t>
      </w:r>
      <w:r>
        <w:rPr>
          <w:bCs/>
          <w:color w:val="auto"/>
          <w:sz w:val="28"/>
          <w:szCs w:val="28"/>
        </w:rPr>
        <w:t>份</w:t>
      </w:r>
      <w:r>
        <w:rPr>
          <w:rFonts w:hint="eastAsia"/>
          <w:bCs/>
          <w:color w:val="auto"/>
          <w:sz w:val="28"/>
          <w:szCs w:val="28"/>
        </w:rPr>
        <w:t>；汇总</w:t>
      </w:r>
      <w:r>
        <w:rPr>
          <w:bCs/>
          <w:color w:val="auto"/>
          <w:sz w:val="28"/>
          <w:szCs w:val="28"/>
        </w:rPr>
        <w:t>公众调查统计分析表，对分析结果进行整理归纳，方案编制予以采纳。</w:t>
      </w:r>
    </w:p>
    <w:p w14:paraId="675A7104">
      <w:pPr>
        <w:spacing w:line="360" w:lineRule="auto"/>
        <w:ind w:firstLine="560" w:firstLineChars="200"/>
        <w:rPr>
          <w:bCs/>
          <w:color w:val="auto"/>
          <w:sz w:val="28"/>
          <w:szCs w:val="28"/>
        </w:rPr>
      </w:pPr>
      <w:r>
        <w:rPr>
          <w:bCs/>
          <w:color w:val="auto"/>
          <w:sz w:val="28"/>
          <w:szCs w:val="28"/>
        </w:rPr>
        <w:t>（3）资料整理，选定矿区生态修复治理的标准和措施，明确矿区生态修复的目标，确定矿区生态修复影响范围以及土地生态修复区和生态修复责任范围；进行问题识别诊断（包括地质环境影响、土地资源和生态问题的现状问题和受损预测情况）和复垦修复适宜性评价（包括土地利用现状分析、土地损毁分析与预测）；根据矿山地质环境影响、土地损毁、生态问题现状和预测问题分析综合诊断评价结果，进行矿区生态修复分区；根据矿山基础调查和诊断评价结果，选择参照生态系统，同时结合国土空间规划及相关规划、公众参与意见及土地复垦适宜性评价结果，确定拟复垦修复的最佳利用方向；结合不同修复单元的参照生态系统和复垦修复目标，提出相应生态系统和地类的复垦修复标准；根据矿区生态修复单元，提出矿区生态修复措施，进行相关生态修复工程设计及经费估算，同时对矿区生态修复计划进行年度工作安排，给出相应的保障措施，完成了矿区生态修复方案的编制及图件绘制工作。</w:t>
      </w:r>
    </w:p>
    <w:p w14:paraId="13AE85D7">
      <w:pPr>
        <w:spacing w:line="360" w:lineRule="auto"/>
        <w:ind w:firstLine="560" w:firstLineChars="200"/>
        <w:rPr>
          <w:color w:val="auto"/>
          <w:sz w:val="28"/>
          <w:szCs w:val="28"/>
        </w:rPr>
      </w:pPr>
      <w:r>
        <w:rPr>
          <w:color w:val="auto"/>
          <w:sz w:val="28"/>
          <w:szCs w:val="28"/>
        </w:rPr>
        <w:t>3、完成的工作量</w:t>
      </w:r>
    </w:p>
    <w:p w14:paraId="29514559">
      <w:pPr>
        <w:spacing w:line="360" w:lineRule="auto"/>
        <w:ind w:firstLine="560" w:firstLineChars="200"/>
        <w:rPr>
          <w:color w:val="auto"/>
          <w:sz w:val="28"/>
          <w:szCs w:val="28"/>
        </w:rPr>
      </w:pPr>
      <w:r>
        <w:rPr>
          <w:color w:val="auto"/>
          <w:sz w:val="28"/>
          <w:szCs w:val="28"/>
        </w:rPr>
        <w:t>矿山实地调查完毕后，至附近的</w:t>
      </w:r>
      <w:r>
        <w:rPr>
          <w:rFonts w:hint="eastAsia" w:ascii="Times New Roman" w:hAnsi="Times New Roman" w:cs="Times New Roman"/>
          <w:bCs/>
          <w:color w:val="auto"/>
          <w:sz w:val="28"/>
          <w:szCs w:val="28"/>
        </w:rPr>
        <w:t>窑沟门村</w:t>
      </w:r>
      <w:r>
        <w:rPr>
          <w:color w:val="auto"/>
          <w:sz w:val="28"/>
          <w:szCs w:val="28"/>
        </w:rPr>
        <w:t>走访了当地村民，了解了矿区周边矿山分布情况及当地自然地理概况、</w:t>
      </w:r>
      <w:r>
        <w:rPr>
          <w:rFonts w:hint="eastAsia"/>
          <w:color w:val="auto"/>
          <w:sz w:val="28"/>
          <w:szCs w:val="28"/>
          <w:lang w:eastAsia="zh-CN"/>
        </w:rPr>
        <w:t>对</w:t>
      </w:r>
      <w:r>
        <w:rPr>
          <w:color w:val="auto"/>
          <w:sz w:val="28"/>
          <w:szCs w:val="28"/>
        </w:rPr>
        <w:t>矿山地质环境治理的意见等。矿山现状调查完毕后，与矿方沟通了有关该矿具体治理工程问题。在此基础上编制了《</w:t>
      </w:r>
      <w:r>
        <w:rPr>
          <w:rFonts w:ascii="Times New Roman" w:hAnsi="Times New Roman" w:eastAsia="宋体" w:cs="Times New Roman"/>
          <w:color w:val="auto"/>
          <w:sz w:val="28"/>
          <w:szCs w:val="28"/>
        </w:rPr>
        <w:t>赤峰</w:t>
      </w:r>
      <w:r>
        <w:rPr>
          <w:rFonts w:hint="eastAsia" w:ascii="Times New Roman" w:hAnsi="Times New Roman" w:eastAsia="宋体" w:cs="Times New Roman"/>
          <w:color w:val="auto"/>
          <w:sz w:val="28"/>
          <w:szCs w:val="28"/>
          <w:lang w:eastAsia="zh-CN"/>
        </w:rPr>
        <w:t>鑫鑫矿业有限公司</w:t>
      </w:r>
      <w:r>
        <w:rPr>
          <w:rFonts w:hint="eastAsia" w:ascii="Times New Roman" w:hAnsi="Times New Roman" w:eastAsia="宋体" w:cs="Times New Roman"/>
          <w:color w:val="auto"/>
          <w:sz w:val="28"/>
          <w:szCs w:val="28"/>
        </w:rPr>
        <w:t>松山区初头朗镇窑沟门碎石矿</w:t>
      </w:r>
      <w:r>
        <w:rPr>
          <w:rFonts w:hint="eastAsia" w:ascii="Times New Roman" w:hAnsi="Times New Roman" w:eastAsia="宋体" w:cs="Times New Roman"/>
          <w:color w:val="auto"/>
          <w:sz w:val="28"/>
          <w:szCs w:val="28"/>
          <w:lang w:val="en-US" w:eastAsia="zh-CN"/>
        </w:rPr>
        <w:t>矿区生态修复方案</w:t>
      </w:r>
      <w:r>
        <w:rPr>
          <w:rFonts w:hint="eastAsia" w:ascii="Times New Roman" w:hAnsi="Times New Roman" w:cs="Times New Roman"/>
          <w:color w:val="auto"/>
          <w:sz w:val="28"/>
          <w:szCs w:val="28"/>
          <w:lang w:val="en-US" w:eastAsia="zh-CN"/>
        </w:rPr>
        <w:t>（闭坑）</w:t>
      </w:r>
      <w:r>
        <w:rPr>
          <w:color w:val="auto"/>
          <w:sz w:val="28"/>
          <w:szCs w:val="28"/>
        </w:rPr>
        <w:t>》。完成工作量见表1。</w:t>
      </w:r>
    </w:p>
    <w:p w14:paraId="2DDE42AC">
      <w:pPr>
        <w:rPr>
          <w:rFonts w:hint="eastAsia" w:ascii="黑体" w:hAnsi="黑体" w:eastAsia="黑体" w:cs="宋体"/>
          <w:color w:val="auto"/>
          <w:sz w:val="24"/>
          <w:szCs w:val="24"/>
        </w:rPr>
      </w:pPr>
      <w:r>
        <w:rPr>
          <w:rFonts w:hint="eastAsia" w:ascii="黑体" w:hAnsi="黑体" w:eastAsia="黑体" w:cs="宋体"/>
          <w:color w:val="auto"/>
          <w:sz w:val="24"/>
          <w:szCs w:val="24"/>
        </w:rPr>
        <w:br w:type="page"/>
      </w:r>
    </w:p>
    <w:p w14:paraId="42B08412">
      <w:pPr>
        <w:pStyle w:val="71"/>
        <w:rPr>
          <w:rFonts w:hint="eastAsia" w:ascii="黑体" w:hAnsi="黑体" w:eastAsia="黑体" w:cs="宋体"/>
          <w:color w:val="auto"/>
          <w:sz w:val="24"/>
          <w:szCs w:val="24"/>
        </w:rPr>
      </w:pPr>
      <w:r>
        <w:rPr>
          <w:rFonts w:hint="eastAsia" w:ascii="黑体" w:hAnsi="黑体" w:eastAsia="黑体" w:cs="宋体"/>
          <w:color w:val="auto"/>
          <w:sz w:val="24"/>
          <w:szCs w:val="24"/>
        </w:rPr>
        <w:t>表1  工作量统计一览表</w:t>
      </w:r>
    </w:p>
    <w:p w14:paraId="2A4A6364">
      <w:pPr>
        <w:spacing w:line="360" w:lineRule="auto"/>
        <w:ind w:firstLine="562" w:firstLineChars="200"/>
        <w:rPr>
          <w:rFonts w:hint="eastAsia" w:ascii="宋体" w:hAnsi="宋体" w:cs="宋体"/>
          <w:b/>
          <w:bCs/>
          <w:color w:val="auto"/>
          <w:sz w:val="28"/>
          <w:szCs w:val="28"/>
        </w:rPr>
      </w:pPr>
      <w:r>
        <w:rPr>
          <w:rFonts w:hint="eastAsia" w:ascii="宋体" w:hAnsi="宋体" w:cs="宋体"/>
          <w:b/>
          <w:bCs/>
          <w:color w:val="auto"/>
          <w:sz w:val="28"/>
          <w:szCs w:val="28"/>
        </w:rPr>
        <w:t>（四）编制依据</w:t>
      </w:r>
    </w:p>
    <w:p w14:paraId="02D3C7A0">
      <w:pPr>
        <w:spacing w:line="360" w:lineRule="auto"/>
        <w:ind w:firstLine="560" w:firstLineChars="200"/>
        <w:rPr>
          <w:color w:val="auto"/>
          <w:sz w:val="28"/>
          <w:szCs w:val="28"/>
        </w:rPr>
      </w:pPr>
      <w:bookmarkStart w:id="7" w:name="_Toc210478039"/>
      <w:bookmarkStart w:id="8" w:name="_Toc210478041"/>
      <w:bookmarkStart w:id="9" w:name="_Toc210478042"/>
      <w:r>
        <w:rPr>
          <w:color w:val="auto"/>
          <w:sz w:val="28"/>
          <w:szCs w:val="28"/>
        </w:rPr>
        <w:t>1、法律、法规</w:t>
      </w:r>
      <w:bookmarkEnd w:id="7"/>
    </w:p>
    <w:p w14:paraId="119E05DE">
      <w:pPr>
        <w:spacing w:line="360" w:lineRule="auto"/>
        <w:ind w:firstLine="560" w:firstLineChars="200"/>
        <w:rPr>
          <w:rFonts w:hint="eastAsia" w:eastAsia="宋体"/>
          <w:color w:val="auto"/>
          <w:sz w:val="28"/>
          <w:szCs w:val="28"/>
          <w:lang w:eastAsia="zh-CN"/>
        </w:rPr>
      </w:pPr>
      <w:bookmarkStart w:id="10" w:name="_Toc210478040"/>
      <w:r>
        <w:rPr>
          <w:color w:val="auto"/>
          <w:sz w:val="28"/>
          <w:szCs w:val="28"/>
        </w:rPr>
        <w:t>（1）《中华人民共和国矿产资源法》（2024年11月08日</w:t>
      </w:r>
      <w:r>
        <w:rPr>
          <w:rFonts w:hint="eastAsia"/>
          <w:color w:val="auto"/>
          <w:sz w:val="28"/>
          <w:szCs w:val="28"/>
          <w:lang w:val="en-US" w:eastAsia="zh-CN"/>
        </w:rPr>
        <w:t>修订</w:t>
      </w:r>
      <w:r>
        <w:rPr>
          <w:color w:val="auto"/>
          <w:sz w:val="28"/>
          <w:szCs w:val="28"/>
        </w:rPr>
        <w:t>）</w:t>
      </w:r>
      <w:r>
        <w:rPr>
          <w:rFonts w:hint="eastAsia"/>
          <w:color w:val="auto"/>
          <w:sz w:val="28"/>
          <w:szCs w:val="28"/>
          <w:lang w:eastAsia="zh-CN"/>
        </w:rPr>
        <w:t>；</w:t>
      </w:r>
    </w:p>
    <w:p w14:paraId="49492467">
      <w:pPr>
        <w:pStyle w:val="33"/>
        <w:ind w:left="0" w:leftChars="0" w:firstLine="560" w:firstLineChars="200"/>
        <w:rPr>
          <w:rFonts w:hint="eastAsia" w:ascii="Times New Roman" w:hAnsi="Times New Roman" w:eastAsia="宋体" w:cs="Times New Roman"/>
          <w:color w:val="auto"/>
          <w:kern w:val="2"/>
          <w:sz w:val="28"/>
          <w:szCs w:val="28"/>
          <w:lang w:val="en-US" w:eastAsia="zh-CN" w:bidi="ar-SA"/>
        </w:rPr>
      </w:pPr>
      <w:r>
        <w:rPr>
          <w:rFonts w:hint="eastAsia"/>
          <w:color w:val="auto"/>
          <w:sz w:val="28"/>
          <w:szCs w:val="28"/>
          <w:lang w:eastAsia="zh-CN"/>
        </w:rPr>
        <w:t>（</w:t>
      </w:r>
      <w:r>
        <w:rPr>
          <w:rFonts w:hint="eastAsia"/>
          <w:color w:val="auto"/>
          <w:sz w:val="28"/>
          <w:szCs w:val="28"/>
          <w:lang w:val="en-US" w:eastAsia="zh-CN"/>
        </w:rPr>
        <w:t>2</w:t>
      </w:r>
      <w:r>
        <w:rPr>
          <w:rFonts w:hint="eastAsia"/>
          <w:color w:val="auto"/>
          <w:sz w:val="28"/>
          <w:szCs w:val="28"/>
          <w:lang w:eastAsia="zh-CN"/>
        </w:rPr>
        <w:t>）</w:t>
      </w:r>
      <w:r>
        <w:rPr>
          <w:rFonts w:hint="eastAsia" w:ascii="Times New Roman" w:hAnsi="Times New Roman" w:eastAsia="宋体" w:cs="Times New Roman"/>
          <w:color w:val="auto"/>
          <w:kern w:val="2"/>
          <w:sz w:val="28"/>
          <w:szCs w:val="28"/>
          <w:lang w:val="en-US" w:eastAsia="zh-CN" w:bidi="ar-SA"/>
        </w:rPr>
        <w:t>《</w:t>
      </w:r>
      <w:r>
        <w:rPr>
          <w:rFonts w:ascii="Times New Roman" w:hAnsi="Times New Roman" w:eastAsia="宋体" w:cs="Times New Roman"/>
          <w:color w:val="auto"/>
          <w:kern w:val="2"/>
          <w:sz w:val="28"/>
          <w:szCs w:val="28"/>
          <w:lang w:val="en-US" w:eastAsia="zh-CN" w:bidi="ar-SA"/>
        </w:rPr>
        <w:t>中华人民共和国生态环境法典</w:t>
      </w:r>
      <w:r>
        <w:rPr>
          <w:rFonts w:hint="eastAsia" w:ascii="Times New Roman" w:hAnsi="Times New Roman" w:eastAsia="宋体" w:cs="Times New Roman"/>
          <w:color w:val="auto"/>
          <w:kern w:val="2"/>
          <w:sz w:val="28"/>
          <w:szCs w:val="28"/>
          <w:lang w:val="en-US" w:eastAsia="zh-CN" w:bidi="ar-SA"/>
        </w:rPr>
        <w:t>》（</w:t>
      </w:r>
      <w:r>
        <w:rPr>
          <w:rFonts w:ascii="Times New Roman" w:hAnsi="Times New Roman" w:eastAsia="宋体" w:cs="Times New Roman"/>
          <w:color w:val="auto"/>
          <w:kern w:val="2"/>
          <w:sz w:val="28"/>
          <w:szCs w:val="28"/>
          <w:lang w:val="en-US" w:eastAsia="zh-CN" w:bidi="ar-SA"/>
        </w:rPr>
        <w:t>2026年3月12日第十四届全国人民代表大会第四次会议通过</w:t>
      </w:r>
      <w:r>
        <w:rPr>
          <w:rFonts w:hint="eastAsia" w:ascii="Times New Roman" w:hAnsi="Times New Roman" w:eastAsia="宋体" w:cs="Times New Roman"/>
          <w:color w:val="auto"/>
          <w:kern w:val="2"/>
          <w:sz w:val="28"/>
          <w:szCs w:val="28"/>
          <w:lang w:val="en-US" w:eastAsia="zh-CN" w:bidi="ar-SA"/>
        </w:rPr>
        <w:t>）</w:t>
      </w:r>
      <w:r>
        <w:rPr>
          <w:rFonts w:hint="eastAsia" w:cs="Times New Roman"/>
          <w:color w:val="auto"/>
          <w:kern w:val="2"/>
          <w:sz w:val="28"/>
          <w:szCs w:val="28"/>
          <w:lang w:val="en-US" w:eastAsia="zh-CN" w:bidi="ar-SA"/>
        </w:rPr>
        <w:t>。</w:t>
      </w:r>
    </w:p>
    <w:p w14:paraId="7653C6BA">
      <w:pPr>
        <w:spacing w:line="360" w:lineRule="auto"/>
        <w:ind w:firstLine="560" w:firstLineChars="200"/>
        <w:rPr>
          <w:color w:val="auto"/>
          <w:sz w:val="28"/>
          <w:szCs w:val="28"/>
        </w:rPr>
      </w:pPr>
      <w:r>
        <w:rPr>
          <w:color w:val="auto"/>
          <w:sz w:val="28"/>
          <w:szCs w:val="28"/>
        </w:rPr>
        <w:t>2、政策性文件</w:t>
      </w:r>
    </w:p>
    <w:p w14:paraId="06FBBD71">
      <w:pPr>
        <w:spacing w:line="360" w:lineRule="auto"/>
        <w:ind w:firstLine="560" w:firstLineChars="200"/>
        <w:rPr>
          <w:color w:val="auto"/>
          <w:sz w:val="28"/>
          <w:szCs w:val="28"/>
        </w:rPr>
      </w:pPr>
      <w:r>
        <w:rPr>
          <w:color w:val="auto"/>
          <w:sz w:val="28"/>
          <w:szCs w:val="28"/>
        </w:rPr>
        <w:t>（1）《自然资源部办公厅关于&lt;矿产资源法&gt;实施衔接过渡有关事项的通知》（自然资办函（2025）1704号）；</w:t>
      </w:r>
    </w:p>
    <w:p w14:paraId="029F52E0">
      <w:pPr>
        <w:spacing w:line="360" w:lineRule="auto"/>
        <w:ind w:firstLine="560" w:firstLineChars="200"/>
        <w:rPr>
          <w:rFonts w:hint="eastAsia" w:eastAsia="宋体"/>
          <w:color w:val="auto"/>
          <w:sz w:val="28"/>
          <w:szCs w:val="28"/>
          <w:lang w:eastAsia="zh-CN"/>
        </w:rPr>
      </w:pPr>
      <w:r>
        <w:rPr>
          <w:color w:val="auto"/>
          <w:sz w:val="28"/>
          <w:szCs w:val="28"/>
        </w:rPr>
        <w:t>（2）《自然资源部办公厅关于做好&lt;矿产资源法&gt;实施过渡期内矿区生态修复方案编制评审有关工作的通知》（自然资办函</w:t>
      </w:r>
      <w:r>
        <w:rPr>
          <w:rFonts w:hint="eastAsia"/>
          <w:color w:val="auto"/>
          <w:sz w:val="28"/>
          <w:szCs w:val="28"/>
        </w:rPr>
        <w:t>［</w:t>
      </w:r>
      <w:r>
        <w:rPr>
          <w:color w:val="auto"/>
          <w:sz w:val="28"/>
          <w:szCs w:val="28"/>
        </w:rPr>
        <w:t>2025号</w:t>
      </w:r>
      <w:r>
        <w:rPr>
          <w:rFonts w:hint="eastAsia"/>
          <w:color w:val="auto"/>
          <w:sz w:val="28"/>
          <w:szCs w:val="28"/>
        </w:rPr>
        <w:t>］</w:t>
      </w:r>
      <w:r>
        <w:rPr>
          <w:color w:val="auto"/>
          <w:sz w:val="28"/>
          <w:szCs w:val="28"/>
        </w:rPr>
        <w:t>2043号）</w:t>
      </w:r>
      <w:r>
        <w:rPr>
          <w:rFonts w:hint="eastAsia"/>
          <w:color w:val="auto"/>
          <w:sz w:val="28"/>
          <w:szCs w:val="28"/>
          <w:lang w:eastAsia="zh-CN"/>
        </w:rPr>
        <w:t>；</w:t>
      </w:r>
    </w:p>
    <w:p w14:paraId="353AFF0B">
      <w:pPr>
        <w:spacing w:line="360" w:lineRule="auto"/>
        <w:ind w:firstLine="560" w:firstLineChars="200"/>
        <w:rPr>
          <w:color w:val="auto"/>
          <w:sz w:val="28"/>
          <w:szCs w:val="28"/>
        </w:rPr>
      </w:pPr>
      <w:r>
        <w:rPr>
          <w:color w:val="auto"/>
          <w:sz w:val="28"/>
          <w:szCs w:val="28"/>
        </w:rPr>
        <w:t>（3）《自然资源部关于进一步完善矿产资源勘查开采登记管理的通知》（自然资规（2023）4号）号；</w:t>
      </w:r>
    </w:p>
    <w:p w14:paraId="33570E29">
      <w:pPr>
        <w:spacing w:line="360" w:lineRule="auto"/>
        <w:ind w:firstLine="560" w:firstLineChars="200"/>
        <w:rPr>
          <w:color w:val="auto"/>
          <w:sz w:val="28"/>
          <w:szCs w:val="28"/>
        </w:rPr>
      </w:pPr>
      <w:r>
        <w:rPr>
          <w:color w:val="auto"/>
          <w:sz w:val="28"/>
          <w:szCs w:val="28"/>
        </w:rPr>
        <w:t>（4）《自然资源部关于深化矿产资源管理改革若干事项的意见》（自然资规（2023）6号）；</w:t>
      </w:r>
    </w:p>
    <w:p w14:paraId="2DC6F81D">
      <w:pPr>
        <w:spacing w:line="360" w:lineRule="auto"/>
        <w:ind w:firstLine="560" w:firstLineChars="200"/>
        <w:rPr>
          <w:color w:val="auto"/>
          <w:sz w:val="28"/>
          <w:szCs w:val="28"/>
        </w:rPr>
      </w:pPr>
      <w:r>
        <w:rPr>
          <w:color w:val="auto"/>
          <w:sz w:val="28"/>
          <w:szCs w:val="28"/>
        </w:rPr>
        <w:t>（5）《自然资源部农业农村部关于加强和改进永久基本农田保护工作的通知》（自然资规〔2019〕1号）；</w:t>
      </w:r>
    </w:p>
    <w:p w14:paraId="4529335F">
      <w:pPr>
        <w:spacing w:line="360" w:lineRule="auto"/>
        <w:ind w:firstLine="560" w:firstLineChars="200"/>
        <w:rPr>
          <w:color w:val="auto"/>
          <w:sz w:val="28"/>
          <w:szCs w:val="28"/>
        </w:rPr>
      </w:pPr>
      <w:r>
        <w:rPr>
          <w:color w:val="auto"/>
          <w:sz w:val="28"/>
          <w:szCs w:val="28"/>
        </w:rPr>
        <w:t>（6）</w:t>
      </w:r>
      <w:r>
        <w:rPr>
          <w:color w:val="auto"/>
          <w:spacing w:val="-6"/>
          <w:sz w:val="28"/>
          <w:szCs w:val="28"/>
        </w:rPr>
        <w:t>《内蒙古自治区政府办公厅关于进一步加强绿色矿山建设的通知》（内政办发〔2025〕24号）；</w:t>
      </w:r>
      <w:r>
        <w:rPr>
          <w:color w:val="auto"/>
          <w:sz w:val="28"/>
          <w:szCs w:val="28"/>
        </w:rPr>
        <w:t xml:space="preserve"> </w:t>
      </w:r>
    </w:p>
    <w:p w14:paraId="58A49E40">
      <w:pPr>
        <w:spacing w:line="360" w:lineRule="auto"/>
        <w:ind w:firstLine="560" w:firstLineChars="200"/>
        <w:rPr>
          <w:color w:val="auto"/>
          <w:sz w:val="28"/>
          <w:szCs w:val="28"/>
        </w:rPr>
      </w:pPr>
      <w:r>
        <w:rPr>
          <w:color w:val="auto"/>
          <w:sz w:val="28"/>
          <w:szCs w:val="28"/>
        </w:rPr>
        <w:t>（7）内蒙古自治区财政厅、自然资源厅和生态环境厅制定《内蒙古自治区矿山地质环境治理恢复基金管理办法（试行）》（内国土资规[2019]3号）；</w:t>
      </w:r>
    </w:p>
    <w:p w14:paraId="3E57D5D1">
      <w:pPr>
        <w:spacing w:line="360" w:lineRule="auto"/>
        <w:ind w:firstLine="560" w:firstLineChars="200"/>
        <w:rPr>
          <w:color w:val="auto"/>
          <w:sz w:val="28"/>
          <w:szCs w:val="28"/>
        </w:rPr>
      </w:pPr>
      <w:r>
        <w:rPr>
          <w:color w:val="auto"/>
          <w:sz w:val="28"/>
          <w:szCs w:val="28"/>
        </w:rPr>
        <w:t>（8）《内蒙古自治区人民政府办公厅关于进一步加强耕地保护工作的实施意见》（内政办发〔2021〕32号）；</w:t>
      </w:r>
    </w:p>
    <w:p w14:paraId="3D1460CB">
      <w:pPr>
        <w:spacing w:line="360" w:lineRule="auto"/>
        <w:ind w:firstLine="560" w:firstLineChars="200"/>
        <w:rPr>
          <w:rFonts w:hint="eastAsia" w:eastAsia="宋体"/>
          <w:color w:val="auto"/>
          <w:sz w:val="28"/>
          <w:szCs w:val="28"/>
          <w:lang w:eastAsia="zh-CN"/>
        </w:rPr>
      </w:pPr>
      <w:r>
        <w:rPr>
          <w:color w:val="auto"/>
          <w:sz w:val="28"/>
          <w:szCs w:val="28"/>
        </w:rPr>
        <w:t>（9）《内蒙古自治区发展和改革委员会关于反馈国家审核通过2025年第二批需中央加大用地保障力度的重大项目清单的通知》内发改投字〔2025〕1213号</w:t>
      </w:r>
      <w:r>
        <w:rPr>
          <w:rFonts w:hint="eastAsia"/>
          <w:color w:val="auto"/>
          <w:sz w:val="28"/>
          <w:szCs w:val="28"/>
          <w:lang w:eastAsia="zh-CN"/>
        </w:rPr>
        <w:t>。</w:t>
      </w:r>
    </w:p>
    <w:bookmarkEnd w:id="10"/>
    <w:p w14:paraId="51D2139A">
      <w:pPr>
        <w:spacing w:line="360" w:lineRule="auto"/>
        <w:ind w:firstLine="560" w:firstLineChars="200"/>
        <w:rPr>
          <w:color w:val="auto"/>
          <w:sz w:val="28"/>
          <w:szCs w:val="28"/>
        </w:rPr>
      </w:pPr>
      <w:r>
        <w:rPr>
          <w:color w:val="auto"/>
          <w:sz w:val="28"/>
          <w:szCs w:val="28"/>
        </w:rPr>
        <w:t>3、规范及规程</w:t>
      </w:r>
    </w:p>
    <w:p w14:paraId="0346DC35">
      <w:pPr>
        <w:spacing w:line="360" w:lineRule="auto"/>
        <w:ind w:firstLine="560" w:firstLineChars="200"/>
        <w:rPr>
          <w:color w:val="auto"/>
          <w:sz w:val="28"/>
          <w:szCs w:val="28"/>
        </w:rPr>
      </w:pPr>
      <w:bookmarkStart w:id="11" w:name="_Hlt314558713"/>
      <w:bookmarkEnd w:id="11"/>
      <w:bookmarkStart w:id="12" w:name="OLE_LINK3"/>
      <w:r>
        <w:rPr>
          <w:color w:val="auto"/>
          <w:sz w:val="28"/>
          <w:szCs w:val="28"/>
        </w:rPr>
        <w:t>（1）《矿区生态修复方案编制指南（临时）》（自然资办函〔2025〕2034号）；</w:t>
      </w:r>
    </w:p>
    <w:p w14:paraId="507A87E3">
      <w:pPr>
        <w:spacing w:line="360" w:lineRule="auto"/>
        <w:ind w:firstLine="560" w:firstLineChars="200"/>
        <w:rPr>
          <w:color w:val="auto"/>
          <w:sz w:val="28"/>
          <w:szCs w:val="28"/>
        </w:rPr>
      </w:pPr>
      <w:r>
        <w:rPr>
          <w:color w:val="auto"/>
          <w:sz w:val="28"/>
          <w:szCs w:val="28"/>
        </w:rPr>
        <w:t>（2）《国土空间生态保护修复工程实施方案编制规程》（TD/T 1068-2022）；</w:t>
      </w:r>
    </w:p>
    <w:p w14:paraId="50FA869A">
      <w:pPr>
        <w:spacing w:line="360" w:lineRule="auto"/>
        <w:ind w:firstLine="560" w:firstLineChars="200"/>
        <w:rPr>
          <w:color w:val="auto"/>
          <w:sz w:val="28"/>
          <w:szCs w:val="28"/>
        </w:rPr>
      </w:pPr>
      <w:bookmarkStart w:id="13" w:name="dttl"/>
      <w:r>
        <w:rPr>
          <w:color w:val="auto"/>
          <w:sz w:val="28"/>
          <w:szCs w:val="28"/>
        </w:rPr>
        <w:t>（</w:t>
      </w:r>
      <w:r>
        <w:rPr>
          <w:rFonts w:hint="eastAsia"/>
          <w:color w:val="auto"/>
          <w:sz w:val="28"/>
          <w:szCs w:val="28"/>
          <w:lang w:val="en-US" w:eastAsia="zh-CN"/>
        </w:rPr>
        <w:t>3</w:t>
      </w:r>
      <w:r>
        <w:rPr>
          <w:color w:val="auto"/>
          <w:sz w:val="28"/>
          <w:szCs w:val="28"/>
        </w:rPr>
        <w:t>）《地质灾害危险性评估规范》（GB/T 40112-2021)；</w:t>
      </w:r>
    </w:p>
    <w:p w14:paraId="360AA7A0">
      <w:pPr>
        <w:spacing w:line="360" w:lineRule="auto"/>
        <w:ind w:firstLine="560" w:firstLineChars="200"/>
        <w:rPr>
          <w:color w:val="auto"/>
          <w:sz w:val="28"/>
          <w:szCs w:val="28"/>
        </w:rPr>
      </w:pPr>
      <w:r>
        <w:rPr>
          <w:color w:val="auto"/>
          <w:sz w:val="28"/>
          <w:szCs w:val="28"/>
        </w:rPr>
        <w:t>（</w:t>
      </w:r>
      <w:r>
        <w:rPr>
          <w:rFonts w:hint="eastAsia"/>
          <w:color w:val="auto"/>
          <w:sz w:val="28"/>
          <w:szCs w:val="28"/>
          <w:lang w:val="en-US" w:eastAsia="zh-CN"/>
        </w:rPr>
        <w:t>4</w:t>
      </w:r>
      <w:r>
        <w:rPr>
          <w:color w:val="auto"/>
          <w:sz w:val="28"/>
          <w:szCs w:val="28"/>
        </w:rPr>
        <w:t>）《矿区水文地质工程地质勘查规范》（GB/T 12719-2021）；</w:t>
      </w:r>
    </w:p>
    <w:p w14:paraId="50904919">
      <w:pPr>
        <w:spacing w:line="360" w:lineRule="auto"/>
        <w:ind w:firstLine="560" w:firstLineChars="200"/>
        <w:rPr>
          <w:color w:val="auto"/>
          <w:sz w:val="28"/>
          <w:szCs w:val="28"/>
        </w:rPr>
      </w:pPr>
      <w:r>
        <w:rPr>
          <w:color w:val="auto"/>
          <w:sz w:val="28"/>
          <w:szCs w:val="28"/>
        </w:rPr>
        <w:t>（</w:t>
      </w:r>
      <w:r>
        <w:rPr>
          <w:rFonts w:hint="eastAsia"/>
          <w:color w:val="auto"/>
          <w:sz w:val="28"/>
          <w:szCs w:val="28"/>
          <w:lang w:val="en-US" w:eastAsia="zh-CN"/>
        </w:rPr>
        <w:t>5</w:t>
      </w:r>
      <w:r>
        <w:rPr>
          <w:color w:val="auto"/>
          <w:sz w:val="28"/>
          <w:szCs w:val="28"/>
        </w:rPr>
        <w:t>）《矿山地质环境监测技术规程》（DZ/T 0287-2015）；</w:t>
      </w:r>
    </w:p>
    <w:p w14:paraId="4A51154E">
      <w:pPr>
        <w:spacing w:line="360" w:lineRule="auto"/>
        <w:ind w:firstLine="560" w:firstLineChars="200"/>
        <w:rPr>
          <w:color w:val="auto"/>
          <w:sz w:val="28"/>
          <w:szCs w:val="28"/>
        </w:rPr>
      </w:pPr>
      <w:r>
        <w:rPr>
          <w:color w:val="auto"/>
          <w:sz w:val="28"/>
          <w:szCs w:val="28"/>
        </w:rPr>
        <w:t>（</w:t>
      </w:r>
      <w:r>
        <w:rPr>
          <w:rFonts w:hint="eastAsia"/>
          <w:color w:val="auto"/>
          <w:sz w:val="28"/>
          <w:szCs w:val="28"/>
          <w:lang w:val="en-US" w:eastAsia="zh-CN"/>
        </w:rPr>
        <w:t>6</w:t>
      </w:r>
      <w:r>
        <w:rPr>
          <w:color w:val="auto"/>
          <w:sz w:val="28"/>
          <w:szCs w:val="28"/>
        </w:rPr>
        <w:t>）《矿区土地复垦基础信息调查规程》（TD/T 1049-2016）；</w:t>
      </w:r>
    </w:p>
    <w:p w14:paraId="23AB2748">
      <w:pPr>
        <w:spacing w:line="360" w:lineRule="auto"/>
        <w:ind w:firstLine="560" w:firstLineChars="200"/>
        <w:rPr>
          <w:color w:val="auto"/>
          <w:sz w:val="28"/>
          <w:szCs w:val="28"/>
        </w:rPr>
      </w:pPr>
      <w:r>
        <w:rPr>
          <w:color w:val="auto"/>
          <w:sz w:val="28"/>
          <w:szCs w:val="28"/>
        </w:rPr>
        <w:t>（</w:t>
      </w:r>
      <w:r>
        <w:rPr>
          <w:rFonts w:hint="eastAsia"/>
          <w:color w:val="auto"/>
          <w:sz w:val="28"/>
          <w:szCs w:val="28"/>
          <w:lang w:val="en-US" w:eastAsia="zh-CN"/>
        </w:rPr>
        <w:t>7</w:t>
      </w:r>
      <w:r>
        <w:rPr>
          <w:color w:val="auto"/>
          <w:sz w:val="28"/>
          <w:szCs w:val="28"/>
        </w:rPr>
        <w:t>）《土地利用现状分类》（GB/T 21010-2017）；</w:t>
      </w:r>
    </w:p>
    <w:bookmarkEnd w:id="13"/>
    <w:p w14:paraId="675F29E4">
      <w:pPr>
        <w:spacing w:line="360" w:lineRule="auto"/>
        <w:ind w:firstLine="560" w:firstLineChars="200"/>
        <w:rPr>
          <w:color w:val="auto"/>
          <w:sz w:val="28"/>
          <w:szCs w:val="28"/>
        </w:rPr>
      </w:pPr>
      <w:r>
        <w:rPr>
          <w:color w:val="auto"/>
          <w:sz w:val="28"/>
          <w:szCs w:val="28"/>
        </w:rPr>
        <w:t>（</w:t>
      </w:r>
      <w:r>
        <w:rPr>
          <w:rFonts w:hint="eastAsia"/>
          <w:color w:val="auto"/>
          <w:sz w:val="28"/>
          <w:szCs w:val="28"/>
          <w:lang w:val="en-US" w:eastAsia="zh-CN"/>
        </w:rPr>
        <w:t>8</w:t>
      </w:r>
      <w:r>
        <w:rPr>
          <w:color w:val="auto"/>
          <w:sz w:val="28"/>
          <w:szCs w:val="28"/>
        </w:rPr>
        <w:t>）《第三次全国国土调査技术规程》（TD/T</w:t>
      </w:r>
      <w:r>
        <w:rPr>
          <w:rFonts w:hint="eastAsia"/>
          <w:color w:val="auto"/>
          <w:sz w:val="28"/>
          <w:szCs w:val="28"/>
        </w:rPr>
        <w:t xml:space="preserve"> </w:t>
      </w:r>
      <w:r>
        <w:rPr>
          <w:color w:val="auto"/>
          <w:sz w:val="28"/>
          <w:szCs w:val="28"/>
        </w:rPr>
        <w:t>1055-2019）；</w:t>
      </w:r>
    </w:p>
    <w:p w14:paraId="48D6F103">
      <w:pPr>
        <w:spacing w:line="360" w:lineRule="auto"/>
        <w:ind w:firstLine="560" w:firstLineChars="200"/>
        <w:rPr>
          <w:color w:val="auto"/>
          <w:sz w:val="28"/>
          <w:szCs w:val="28"/>
        </w:rPr>
      </w:pPr>
      <w:r>
        <w:rPr>
          <w:color w:val="auto"/>
          <w:sz w:val="28"/>
          <w:szCs w:val="28"/>
        </w:rPr>
        <w:t>（</w:t>
      </w:r>
      <w:r>
        <w:rPr>
          <w:rFonts w:hint="eastAsia"/>
          <w:color w:val="auto"/>
          <w:sz w:val="28"/>
          <w:szCs w:val="28"/>
          <w:lang w:val="en-US" w:eastAsia="zh-CN"/>
        </w:rPr>
        <w:t>9</w:t>
      </w:r>
      <w:r>
        <w:rPr>
          <w:color w:val="auto"/>
          <w:sz w:val="28"/>
          <w:szCs w:val="28"/>
        </w:rPr>
        <w:t>）《</w:t>
      </w:r>
      <w:r>
        <w:rPr>
          <w:rFonts w:hint="eastAsia"/>
          <w:color w:val="auto"/>
          <w:sz w:val="28"/>
          <w:szCs w:val="28"/>
          <w:lang w:eastAsia="zh-CN"/>
        </w:rPr>
        <w:t>内蒙古自治区矿山生态修复工程预算定额标准（</w:t>
      </w:r>
      <w:r>
        <w:rPr>
          <w:rFonts w:hint="eastAsia"/>
          <w:color w:val="auto"/>
          <w:sz w:val="28"/>
          <w:szCs w:val="28"/>
          <w:lang w:val="en-US" w:eastAsia="zh-CN"/>
        </w:rPr>
        <w:t>试行</w:t>
      </w:r>
      <w:r>
        <w:rPr>
          <w:rFonts w:hint="eastAsia"/>
          <w:color w:val="auto"/>
          <w:sz w:val="28"/>
          <w:szCs w:val="28"/>
          <w:lang w:eastAsia="zh-CN"/>
        </w:rPr>
        <w:t>）</w:t>
      </w:r>
      <w:r>
        <w:rPr>
          <w:color w:val="auto"/>
          <w:sz w:val="28"/>
          <w:szCs w:val="28"/>
        </w:rPr>
        <w:t>》（</w:t>
      </w:r>
      <w:r>
        <w:rPr>
          <w:rFonts w:hint="eastAsia"/>
          <w:color w:val="auto"/>
          <w:sz w:val="28"/>
          <w:szCs w:val="28"/>
          <w:lang w:val="en-US" w:eastAsia="zh-CN"/>
        </w:rPr>
        <w:t>2026版</w:t>
      </w:r>
      <w:r>
        <w:rPr>
          <w:color w:val="auto"/>
          <w:sz w:val="28"/>
          <w:szCs w:val="28"/>
        </w:rPr>
        <w:t>）；</w:t>
      </w:r>
    </w:p>
    <w:p w14:paraId="159ECC6C">
      <w:pPr>
        <w:spacing w:line="360" w:lineRule="auto"/>
        <w:ind w:firstLine="560" w:firstLineChars="200"/>
        <w:rPr>
          <w:color w:val="auto"/>
          <w:sz w:val="28"/>
          <w:szCs w:val="28"/>
        </w:rPr>
      </w:pPr>
      <w:r>
        <w:rPr>
          <w:color w:val="auto"/>
          <w:sz w:val="28"/>
          <w:szCs w:val="28"/>
        </w:rPr>
        <w:t>（1</w:t>
      </w:r>
      <w:r>
        <w:rPr>
          <w:rFonts w:hint="eastAsia"/>
          <w:color w:val="auto"/>
          <w:sz w:val="28"/>
          <w:szCs w:val="28"/>
          <w:lang w:val="en-US" w:eastAsia="zh-CN"/>
        </w:rPr>
        <w:t>0</w:t>
      </w:r>
      <w:r>
        <w:rPr>
          <w:color w:val="auto"/>
          <w:sz w:val="28"/>
          <w:szCs w:val="28"/>
        </w:rPr>
        <w:t>）《矿山地质环境保护与恢复治理方案编制规范》DZ/T 0223-2011；</w:t>
      </w:r>
    </w:p>
    <w:p w14:paraId="081517E4">
      <w:pPr>
        <w:spacing w:line="360" w:lineRule="auto"/>
        <w:ind w:firstLine="560" w:firstLineChars="200"/>
        <w:rPr>
          <w:color w:val="auto"/>
          <w:sz w:val="28"/>
          <w:szCs w:val="28"/>
        </w:rPr>
      </w:pPr>
      <w:r>
        <w:rPr>
          <w:color w:val="auto"/>
          <w:sz w:val="28"/>
          <w:szCs w:val="28"/>
        </w:rPr>
        <w:t>（</w:t>
      </w:r>
      <w:r>
        <w:rPr>
          <w:rFonts w:hint="eastAsia"/>
          <w:color w:val="auto"/>
          <w:sz w:val="28"/>
          <w:szCs w:val="28"/>
          <w:lang w:val="en-US" w:eastAsia="zh-CN"/>
        </w:rPr>
        <w:t>11</w:t>
      </w:r>
      <w:r>
        <w:rPr>
          <w:color w:val="auto"/>
          <w:sz w:val="28"/>
          <w:szCs w:val="28"/>
        </w:rPr>
        <w:t>）《矿区地下水含水层破坏危害程度评价规范》（GB/T 42362-2023）；</w:t>
      </w:r>
    </w:p>
    <w:p w14:paraId="2C423256">
      <w:pPr>
        <w:spacing w:line="360" w:lineRule="auto"/>
        <w:ind w:firstLine="560" w:firstLineChars="200"/>
        <w:rPr>
          <w:color w:val="auto"/>
          <w:sz w:val="28"/>
          <w:szCs w:val="28"/>
        </w:rPr>
      </w:pPr>
      <w:r>
        <w:rPr>
          <w:color w:val="auto"/>
          <w:sz w:val="28"/>
          <w:szCs w:val="28"/>
        </w:rPr>
        <w:t>（1</w:t>
      </w:r>
      <w:r>
        <w:rPr>
          <w:rFonts w:hint="eastAsia"/>
          <w:color w:val="auto"/>
          <w:sz w:val="28"/>
          <w:szCs w:val="28"/>
          <w:lang w:val="en-US" w:eastAsia="zh-CN"/>
        </w:rPr>
        <w:t>2</w:t>
      </w:r>
      <w:r>
        <w:rPr>
          <w:color w:val="auto"/>
          <w:sz w:val="28"/>
          <w:szCs w:val="28"/>
        </w:rPr>
        <w:t>）《矿山土地复垦与生态修复监测评价技术规范》（GB/T 43935-2024）；</w:t>
      </w:r>
    </w:p>
    <w:p w14:paraId="0291E30A">
      <w:pPr>
        <w:spacing w:line="360" w:lineRule="auto"/>
        <w:ind w:firstLine="560" w:firstLineChars="200"/>
        <w:rPr>
          <w:color w:val="auto"/>
          <w:sz w:val="28"/>
          <w:szCs w:val="28"/>
        </w:rPr>
      </w:pPr>
      <w:r>
        <w:rPr>
          <w:color w:val="auto"/>
          <w:sz w:val="28"/>
          <w:szCs w:val="28"/>
        </w:rPr>
        <w:t>（1</w:t>
      </w:r>
      <w:r>
        <w:rPr>
          <w:rFonts w:hint="eastAsia"/>
          <w:color w:val="auto"/>
          <w:sz w:val="28"/>
          <w:szCs w:val="28"/>
          <w:lang w:val="en-US" w:eastAsia="zh-CN"/>
        </w:rPr>
        <w:t>3</w:t>
      </w:r>
      <w:r>
        <w:rPr>
          <w:color w:val="auto"/>
          <w:sz w:val="28"/>
          <w:szCs w:val="28"/>
        </w:rPr>
        <w:t>）《土地复垦质量控制标准》（TD/ T 1036-2013）；</w:t>
      </w:r>
    </w:p>
    <w:p w14:paraId="31BFA949">
      <w:pPr>
        <w:spacing w:line="360" w:lineRule="auto"/>
        <w:ind w:firstLine="560" w:firstLineChars="200"/>
        <w:rPr>
          <w:color w:val="auto"/>
          <w:sz w:val="28"/>
          <w:szCs w:val="28"/>
        </w:rPr>
      </w:pPr>
      <w:r>
        <w:rPr>
          <w:color w:val="auto"/>
          <w:sz w:val="28"/>
          <w:szCs w:val="28"/>
        </w:rPr>
        <w:t>（</w:t>
      </w:r>
      <w:r>
        <w:rPr>
          <w:rFonts w:hint="eastAsia"/>
          <w:color w:val="auto"/>
          <w:sz w:val="28"/>
          <w:szCs w:val="28"/>
          <w:lang w:val="en-US" w:eastAsia="zh-CN"/>
        </w:rPr>
        <w:t>14</w:t>
      </w:r>
      <w:r>
        <w:rPr>
          <w:color w:val="auto"/>
          <w:sz w:val="28"/>
          <w:szCs w:val="28"/>
        </w:rPr>
        <w:t>）《矿山生态修复技术规范 第1部分：通则》（TD/T1070.1-2022）；</w:t>
      </w:r>
    </w:p>
    <w:p w14:paraId="20CE2745">
      <w:pPr>
        <w:spacing w:line="360" w:lineRule="auto"/>
        <w:ind w:firstLine="560" w:firstLineChars="200"/>
        <w:rPr>
          <w:color w:val="auto"/>
          <w:sz w:val="28"/>
          <w:szCs w:val="28"/>
        </w:rPr>
      </w:pPr>
      <w:r>
        <w:rPr>
          <w:color w:val="auto"/>
          <w:sz w:val="28"/>
          <w:szCs w:val="28"/>
        </w:rPr>
        <w:t>（</w:t>
      </w:r>
      <w:r>
        <w:rPr>
          <w:rFonts w:hint="eastAsia"/>
          <w:color w:val="auto"/>
          <w:sz w:val="28"/>
          <w:szCs w:val="28"/>
          <w:lang w:val="en-US" w:eastAsia="zh-CN"/>
        </w:rPr>
        <w:t>15</w:t>
      </w:r>
      <w:r>
        <w:rPr>
          <w:color w:val="auto"/>
          <w:sz w:val="28"/>
          <w:szCs w:val="28"/>
        </w:rPr>
        <w:t>）</w:t>
      </w:r>
      <w:r>
        <w:rPr>
          <w:rFonts w:hint="eastAsia"/>
          <w:color w:val="auto"/>
          <w:sz w:val="28"/>
          <w:szCs w:val="28"/>
          <w:lang w:eastAsia="zh-CN"/>
        </w:rPr>
        <w:t>《</w:t>
      </w:r>
      <w:r>
        <w:rPr>
          <w:color w:val="auto"/>
          <w:sz w:val="28"/>
          <w:szCs w:val="28"/>
        </w:rPr>
        <w:t>矿山生态修复技术规范 第</w:t>
      </w:r>
      <w:r>
        <w:rPr>
          <w:rFonts w:hint="eastAsia"/>
          <w:color w:val="auto"/>
          <w:sz w:val="28"/>
          <w:szCs w:val="28"/>
          <w:lang w:val="en-US" w:eastAsia="zh-CN"/>
        </w:rPr>
        <w:t>4</w:t>
      </w:r>
      <w:r>
        <w:rPr>
          <w:color w:val="auto"/>
          <w:sz w:val="28"/>
          <w:szCs w:val="28"/>
        </w:rPr>
        <w:t>部分：</w:t>
      </w:r>
      <w:r>
        <w:rPr>
          <w:rFonts w:hint="eastAsia"/>
          <w:color w:val="auto"/>
          <w:sz w:val="28"/>
          <w:szCs w:val="28"/>
          <w:lang w:val="en-US" w:eastAsia="zh-CN"/>
        </w:rPr>
        <w:t>建材</w:t>
      </w:r>
      <w:r>
        <w:rPr>
          <w:color w:val="auto"/>
          <w:sz w:val="28"/>
          <w:szCs w:val="28"/>
        </w:rPr>
        <w:t>矿山》（TD/T 1070.</w:t>
      </w:r>
      <w:r>
        <w:rPr>
          <w:rFonts w:hint="eastAsia"/>
          <w:color w:val="auto"/>
          <w:sz w:val="28"/>
          <w:szCs w:val="28"/>
          <w:lang w:val="en-US" w:eastAsia="zh-CN"/>
        </w:rPr>
        <w:t>4</w:t>
      </w:r>
      <w:r>
        <w:rPr>
          <w:color w:val="auto"/>
          <w:sz w:val="28"/>
          <w:szCs w:val="28"/>
        </w:rPr>
        <w:t>-202</w:t>
      </w:r>
      <w:r>
        <w:rPr>
          <w:rFonts w:hint="eastAsia"/>
          <w:color w:val="auto"/>
          <w:sz w:val="28"/>
          <w:szCs w:val="28"/>
          <w:lang w:val="en-US" w:eastAsia="zh-CN"/>
        </w:rPr>
        <w:t>2</w:t>
      </w:r>
      <w:r>
        <w:rPr>
          <w:color w:val="auto"/>
          <w:sz w:val="28"/>
          <w:szCs w:val="28"/>
        </w:rPr>
        <w:t>）；</w:t>
      </w:r>
    </w:p>
    <w:p w14:paraId="1FC55311">
      <w:pPr>
        <w:spacing w:line="360" w:lineRule="auto"/>
        <w:ind w:firstLine="560" w:firstLineChars="200"/>
        <w:rPr>
          <w:color w:val="auto"/>
          <w:sz w:val="28"/>
          <w:szCs w:val="28"/>
        </w:rPr>
      </w:pPr>
      <w:bookmarkStart w:id="14" w:name="OLE_LINK5"/>
      <w:r>
        <w:rPr>
          <w:color w:val="auto"/>
          <w:sz w:val="28"/>
          <w:szCs w:val="28"/>
        </w:rPr>
        <w:t>（</w:t>
      </w:r>
      <w:r>
        <w:rPr>
          <w:rFonts w:hint="eastAsia"/>
          <w:color w:val="auto"/>
          <w:sz w:val="28"/>
          <w:szCs w:val="28"/>
          <w:lang w:val="en-US" w:eastAsia="zh-CN"/>
        </w:rPr>
        <w:t>16</w:t>
      </w:r>
      <w:r>
        <w:rPr>
          <w:color w:val="auto"/>
          <w:sz w:val="28"/>
          <w:szCs w:val="28"/>
        </w:rPr>
        <w:t>）《建筑抗震设计标准（2024年版）》（GB/T 50011-2010）</w:t>
      </w:r>
      <w:bookmarkEnd w:id="14"/>
      <w:r>
        <w:rPr>
          <w:color w:val="auto"/>
          <w:sz w:val="28"/>
          <w:szCs w:val="28"/>
        </w:rPr>
        <w:t>；</w:t>
      </w:r>
    </w:p>
    <w:p w14:paraId="43C3C760">
      <w:pPr>
        <w:spacing w:line="360" w:lineRule="auto"/>
        <w:ind w:firstLine="560" w:firstLineChars="200"/>
        <w:rPr>
          <w:color w:val="auto"/>
          <w:sz w:val="28"/>
          <w:szCs w:val="28"/>
        </w:rPr>
      </w:pPr>
      <w:r>
        <w:rPr>
          <w:color w:val="auto"/>
          <w:sz w:val="28"/>
          <w:szCs w:val="28"/>
        </w:rPr>
        <w:t>（</w:t>
      </w:r>
      <w:r>
        <w:rPr>
          <w:rFonts w:hint="eastAsia"/>
          <w:color w:val="auto"/>
          <w:sz w:val="28"/>
          <w:szCs w:val="28"/>
          <w:lang w:val="en-US" w:eastAsia="zh-CN"/>
        </w:rPr>
        <w:t>17</w:t>
      </w:r>
      <w:r>
        <w:rPr>
          <w:color w:val="auto"/>
          <w:sz w:val="28"/>
          <w:szCs w:val="28"/>
        </w:rPr>
        <w:t>）</w:t>
      </w:r>
      <w:r>
        <w:rPr>
          <w:rFonts w:hint="eastAsia"/>
          <w:color w:val="auto"/>
          <w:sz w:val="28"/>
          <w:szCs w:val="28"/>
        </w:rPr>
        <w:t>《土壤环境质量建设用地土壤污染风险管控标准</w:t>
      </w:r>
      <w:r>
        <w:rPr>
          <w:rFonts w:hint="eastAsia"/>
          <w:color w:val="auto"/>
          <w:sz w:val="28"/>
          <w:szCs w:val="28"/>
          <w:lang w:eastAsia="zh-CN"/>
        </w:rPr>
        <w:t>（</w:t>
      </w:r>
      <w:r>
        <w:rPr>
          <w:rFonts w:hint="eastAsia"/>
          <w:color w:val="auto"/>
          <w:sz w:val="28"/>
          <w:szCs w:val="28"/>
        </w:rPr>
        <w:t>试行</w:t>
      </w:r>
      <w:r>
        <w:rPr>
          <w:rFonts w:hint="eastAsia"/>
          <w:color w:val="auto"/>
          <w:sz w:val="28"/>
          <w:szCs w:val="28"/>
          <w:lang w:eastAsia="zh-CN"/>
        </w:rPr>
        <w:t>）</w:t>
      </w:r>
      <w:r>
        <w:rPr>
          <w:rFonts w:hint="eastAsia"/>
          <w:color w:val="auto"/>
          <w:sz w:val="28"/>
          <w:szCs w:val="28"/>
        </w:rPr>
        <w:t>》</w:t>
      </w:r>
      <w:r>
        <w:rPr>
          <w:rFonts w:hint="eastAsia"/>
          <w:color w:val="auto"/>
          <w:sz w:val="28"/>
          <w:szCs w:val="28"/>
          <w:lang w:eastAsia="zh-CN"/>
        </w:rPr>
        <w:t>（</w:t>
      </w:r>
      <w:r>
        <w:rPr>
          <w:rFonts w:hint="eastAsia"/>
          <w:color w:val="auto"/>
          <w:sz w:val="28"/>
          <w:szCs w:val="28"/>
        </w:rPr>
        <w:t>GB</w:t>
      </w:r>
      <w:r>
        <w:rPr>
          <w:rFonts w:hint="eastAsia"/>
          <w:color w:val="auto"/>
          <w:sz w:val="28"/>
          <w:szCs w:val="28"/>
          <w:lang w:val="en-US" w:eastAsia="zh-CN"/>
        </w:rPr>
        <w:t>36600</w:t>
      </w:r>
      <w:r>
        <w:rPr>
          <w:rFonts w:hint="eastAsia"/>
          <w:color w:val="auto"/>
          <w:sz w:val="28"/>
          <w:szCs w:val="28"/>
        </w:rPr>
        <w:t>-2018</w:t>
      </w:r>
      <w:r>
        <w:rPr>
          <w:rFonts w:hint="eastAsia"/>
          <w:color w:val="auto"/>
          <w:sz w:val="28"/>
          <w:szCs w:val="28"/>
          <w:lang w:eastAsia="zh-CN"/>
        </w:rPr>
        <w:t>）</w:t>
      </w:r>
      <w:r>
        <w:rPr>
          <w:color w:val="auto"/>
          <w:sz w:val="28"/>
          <w:szCs w:val="28"/>
        </w:rPr>
        <w:t>；</w:t>
      </w:r>
    </w:p>
    <w:p w14:paraId="469E33B7">
      <w:pPr>
        <w:spacing w:line="360" w:lineRule="auto"/>
        <w:ind w:firstLine="560" w:firstLineChars="200"/>
        <w:rPr>
          <w:color w:val="auto"/>
          <w:sz w:val="28"/>
          <w:szCs w:val="28"/>
        </w:rPr>
      </w:pPr>
      <w:r>
        <w:rPr>
          <w:rFonts w:hint="eastAsia" w:ascii="Times New Roman" w:hAnsi="Times New Roman" w:eastAsia="宋体" w:cs="Times New Roman"/>
          <w:color w:val="auto"/>
          <w:sz w:val="28"/>
          <w:szCs w:val="28"/>
          <w:lang w:eastAsia="zh-CN"/>
        </w:rPr>
        <w:t>（</w:t>
      </w:r>
      <w:r>
        <w:rPr>
          <w:rFonts w:hint="eastAsia" w:cs="Times New Roman"/>
          <w:color w:val="auto"/>
          <w:sz w:val="28"/>
          <w:szCs w:val="28"/>
          <w:lang w:val="en-US" w:eastAsia="zh-CN"/>
        </w:rPr>
        <w:t>18</w:t>
      </w:r>
      <w:r>
        <w:rPr>
          <w:rFonts w:hint="eastAsia" w:ascii="Times New Roman" w:hAnsi="Times New Roman" w:eastAsia="宋体" w:cs="Times New Roman"/>
          <w:color w:val="auto"/>
          <w:sz w:val="28"/>
          <w:szCs w:val="28"/>
          <w:lang w:eastAsia="zh-CN"/>
        </w:rPr>
        <w:t>）</w:t>
      </w:r>
      <w:r>
        <w:rPr>
          <w:rFonts w:hint="eastAsia" w:ascii="Times New Roman" w:hAnsi="Times New Roman" w:eastAsia="宋体" w:cs="Times New Roman"/>
          <w:color w:val="auto"/>
          <w:sz w:val="28"/>
          <w:szCs w:val="28"/>
        </w:rPr>
        <w:t>《土壤环境质量农用地土壤污染风险管控标准（试行）》（GB15618-2018）</w:t>
      </w:r>
      <w:r>
        <w:rPr>
          <w:rFonts w:hint="eastAsia" w:ascii="Times New Roman" w:hAnsi="Times New Roman" w:eastAsia="宋体" w:cs="Times New Roman"/>
          <w:color w:val="auto"/>
          <w:sz w:val="28"/>
          <w:szCs w:val="28"/>
          <w:lang w:eastAsia="zh-CN"/>
        </w:rPr>
        <w:t>；</w:t>
      </w:r>
    </w:p>
    <w:p w14:paraId="70107436">
      <w:pPr>
        <w:spacing w:line="360" w:lineRule="auto"/>
        <w:ind w:firstLine="560" w:firstLineChars="200"/>
        <w:rPr>
          <w:color w:val="auto"/>
          <w:sz w:val="28"/>
          <w:szCs w:val="28"/>
        </w:rPr>
      </w:pPr>
      <w:r>
        <w:rPr>
          <w:color w:val="auto"/>
          <w:sz w:val="28"/>
          <w:szCs w:val="28"/>
        </w:rPr>
        <w:t>（</w:t>
      </w:r>
      <w:r>
        <w:rPr>
          <w:rFonts w:hint="eastAsia"/>
          <w:color w:val="auto"/>
          <w:sz w:val="28"/>
          <w:szCs w:val="28"/>
          <w:lang w:val="en-US" w:eastAsia="zh-CN"/>
        </w:rPr>
        <w:t>19</w:t>
      </w:r>
      <w:r>
        <w:rPr>
          <w:color w:val="auto"/>
          <w:sz w:val="28"/>
          <w:szCs w:val="28"/>
        </w:rPr>
        <w:t>）《生活饮用水卫生标准》（GB 5749-</w:t>
      </w:r>
      <w:r>
        <w:rPr>
          <w:rFonts w:hint="eastAsia"/>
          <w:color w:val="auto"/>
          <w:sz w:val="28"/>
          <w:szCs w:val="28"/>
        </w:rPr>
        <w:t>2022</w:t>
      </w:r>
      <w:r>
        <w:rPr>
          <w:color w:val="auto"/>
          <w:sz w:val="28"/>
          <w:szCs w:val="28"/>
        </w:rPr>
        <w:t>）；</w:t>
      </w:r>
    </w:p>
    <w:p w14:paraId="42472EEF">
      <w:pPr>
        <w:spacing w:line="360" w:lineRule="auto"/>
        <w:ind w:firstLine="560" w:firstLineChars="200"/>
        <w:rPr>
          <w:color w:val="auto"/>
          <w:sz w:val="28"/>
          <w:szCs w:val="28"/>
        </w:rPr>
      </w:pPr>
      <w:r>
        <w:rPr>
          <w:color w:val="auto"/>
          <w:sz w:val="28"/>
          <w:szCs w:val="28"/>
        </w:rPr>
        <w:t>（</w:t>
      </w:r>
      <w:r>
        <w:rPr>
          <w:rFonts w:hint="eastAsia"/>
          <w:color w:val="auto"/>
          <w:sz w:val="28"/>
          <w:szCs w:val="28"/>
          <w:lang w:val="en-US" w:eastAsia="zh-CN"/>
        </w:rPr>
        <w:t>20</w:t>
      </w:r>
      <w:r>
        <w:rPr>
          <w:color w:val="auto"/>
          <w:sz w:val="28"/>
          <w:szCs w:val="28"/>
        </w:rPr>
        <w:t>）《矿山土地复垦与生态修复监测评价技术规范》（GB/T 43935-2024）；</w:t>
      </w:r>
    </w:p>
    <w:bookmarkEnd w:id="8"/>
    <w:bookmarkEnd w:id="12"/>
    <w:p w14:paraId="3FE04F48">
      <w:pPr>
        <w:spacing w:line="360" w:lineRule="auto"/>
        <w:ind w:firstLine="560" w:firstLineChars="200"/>
        <w:rPr>
          <w:color w:val="auto"/>
          <w:sz w:val="28"/>
          <w:szCs w:val="28"/>
        </w:rPr>
      </w:pPr>
      <w:r>
        <w:rPr>
          <w:color w:val="auto"/>
          <w:sz w:val="28"/>
          <w:szCs w:val="28"/>
        </w:rPr>
        <w:t>（</w:t>
      </w:r>
      <w:r>
        <w:rPr>
          <w:rFonts w:hint="eastAsia"/>
          <w:color w:val="auto"/>
          <w:sz w:val="28"/>
          <w:szCs w:val="28"/>
          <w:lang w:val="en-US" w:eastAsia="zh-CN"/>
        </w:rPr>
        <w:t>21</w:t>
      </w:r>
      <w:r>
        <w:rPr>
          <w:color w:val="auto"/>
          <w:sz w:val="28"/>
          <w:szCs w:val="28"/>
        </w:rPr>
        <w:t>）《内蒙古自治区行业用水定额》（</w:t>
      </w:r>
      <w:r>
        <w:rPr>
          <w:rFonts w:hint="eastAsia"/>
          <w:color w:val="auto"/>
          <w:sz w:val="28"/>
          <w:szCs w:val="28"/>
        </w:rPr>
        <w:t>DB15/T 385-2025</w:t>
      </w:r>
      <w:r>
        <w:rPr>
          <w:color w:val="auto"/>
          <w:sz w:val="28"/>
          <w:szCs w:val="28"/>
        </w:rPr>
        <w:t>）。</w:t>
      </w:r>
    </w:p>
    <w:p w14:paraId="1B4E4970">
      <w:pPr>
        <w:spacing w:line="360" w:lineRule="auto"/>
        <w:ind w:firstLine="560" w:firstLineChars="200"/>
        <w:rPr>
          <w:color w:val="auto"/>
          <w:sz w:val="28"/>
          <w:szCs w:val="28"/>
        </w:rPr>
      </w:pPr>
      <w:r>
        <w:rPr>
          <w:color w:val="auto"/>
          <w:sz w:val="28"/>
          <w:szCs w:val="28"/>
        </w:rPr>
        <w:t>4、技术资料</w:t>
      </w:r>
    </w:p>
    <w:p w14:paraId="4BB22D0E">
      <w:pPr>
        <w:spacing w:line="360" w:lineRule="auto"/>
        <w:ind w:firstLine="560" w:firstLineChars="200"/>
        <w:jc w:val="left"/>
        <w:rPr>
          <w:rFonts w:hint="eastAsia" w:ascii="Times New Roman" w:hAnsi="Times New Roman" w:eastAsia="宋体" w:cs="Times New Roman"/>
          <w:color w:val="auto"/>
          <w:sz w:val="28"/>
          <w:szCs w:val="28"/>
          <w:lang w:val="zh-CN"/>
        </w:rPr>
      </w:pPr>
      <w:r>
        <w:rPr>
          <w:rFonts w:hint="eastAsia" w:ascii="Times New Roman" w:hAnsi="Times New Roman" w:eastAsia="宋体" w:cs="Times New Roman"/>
          <w:color w:val="auto"/>
          <w:sz w:val="28"/>
          <w:szCs w:val="28"/>
          <w:lang w:val="zh-CN"/>
        </w:rPr>
        <w:t>（</w:t>
      </w:r>
      <w:r>
        <w:rPr>
          <w:rFonts w:hint="eastAsia" w:ascii="Times New Roman" w:hAnsi="Times New Roman" w:cs="Times New Roman"/>
          <w:color w:val="auto"/>
          <w:sz w:val="28"/>
          <w:szCs w:val="28"/>
          <w:lang w:val="en-US" w:eastAsia="zh-CN"/>
        </w:rPr>
        <w:t>1</w:t>
      </w:r>
      <w:r>
        <w:rPr>
          <w:rFonts w:hint="eastAsia" w:ascii="Times New Roman" w:hAnsi="Times New Roman" w:eastAsia="宋体" w:cs="Times New Roman"/>
          <w:color w:val="auto"/>
          <w:sz w:val="28"/>
          <w:szCs w:val="28"/>
          <w:lang w:val="zh-CN"/>
        </w:rPr>
        <w:t>）2013年3月，赤峰隆源矿产咨询服务有限公司编制了《内蒙古自治区赤峰市松山区初头朗镇窑沟门碎石矿地质普查报告》（备案文号：赤国土资储评字[2013]第12号）（以下简称《普查报告》）；</w:t>
      </w:r>
    </w:p>
    <w:p w14:paraId="04D6BA96">
      <w:pPr>
        <w:spacing w:line="360" w:lineRule="auto"/>
        <w:ind w:firstLine="560" w:firstLineChars="200"/>
        <w:jc w:val="left"/>
        <w:rPr>
          <w:rFonts w:hint="eastAsia" w:ascii="Times New Roman" w:hAnsi="Times New Roman" w:eastAsia="宋体" w:cs="Times New Roman"/>
          <w:color w:val="auto"/>
          <w:sz w:val="28"/>
          <w:szCs w:val="28"/>
          <w:lang w:val="zh-CN"/>
        </w:rPr>
      </w:pPr>
      <w:r>
        <w:rPr>
          <w:rFonts w:hint="eastAsia" w:ascii="Times New Roman" w:hAnsi="Times New Roman" w:eastAsia="宋体" w:cs="Times New Roman"/>
          <w:color w:val="auto"/>
          <w:sz w:val="28"/>
          <w:szCs w:val="28"/>
          <w:lang w:val="zh-CN"/>
        </w:rPr>
        <w:t>（</w:t>
      </w:r>
      <w:r>
        <w:rPr>
          <w:rFonts w:hint="eastAsia" w:ascii="Times New Roman" w:hAnsi="Times New Roman" w:cs="Times New Roman"/>
          <w:color w:val="auto"/>
          <w:sz w:val="28"/>
          <w:szCs w:val="28"/>
          <w:lang w:val="en-US" w:eastAsia="zh-CN"/>
        </w:rPr>
        <w:t>2</w:t>
      </w:r>
      <w:r>
        <w:rPr>
          <w:rFonts w:hint="eastAsia" w:ascii="Times New Roman" w:hAnsi="Times New Roman" w:eastAsia="宋体" w:cs="Times New Roman"/>
          <w:color w:val="auto"/>
          <w:sz w:val="28"/>
          <w:szCs w:val="28"/>
          <w:lang w:val="zh-CN"/>
        </w:rPr>
        <w:t>）2013年4月，赤峰</w:t>
      </w:r>
      <w:r>
        <w:rPr>
          <w:rFonts w:hint="eastAsia" w:ascii="Times New Roman" w:hAnsi="Times New Roman" w:eastAsia="宋体" w:cs="Times New Roman"/>
          <w:color w:val="auto"/>
          <w:sz w:val="28"/>
          <w:szCs w:val="28"/>
          <w:lang w:val="zh-CN" w:eastAsia="zh-CN"/>
        </w:rPr>
        <w:t>金岳矿山工程设计</w:t>
      </w:r>
      <w:r>
        <w:rPr>
          <w:rFonts w:hint="eastAsia" w:ascii="Times New Roman" w:hAnsi="Times New Roman" w:eastAsia="宋体" w:cs="Times New Roman"/>
          <w:color w:val="auto"/>
          <w:sz w:val="28"/>
          <w:szCs w:val="28"/>
          <w:lang w:val="zh-CN"/>
        </w:rPr>
        <w:t>有限公司编制了《内蒙古自治区赤峰市松山区初头朗镇窑沟门碎石矿矿产资源开发利用方案》（赤国土资评审字[2013]第12号）（以下简称《开发利用方案》）；</w:t>
      </w:r>
    </w:p>
    <w:p w14:paraId="330D8D6A">
      <w:pPr>
        <w:spacing w:line="360" w:lineRule="auto"/>
        <w:ind w:firstLine="560" w:firstLineChars="200"/>
        <w:jc w:val="left"/>
        <w:rPr>
          <w:rFonts w:hint="eastAsia" w:ascii="Times New Roman" w:hAnsi="Times New Roman" w:eastAsia="宋体" w:cs="Times New Roman"/>
          <w:color w:val="auto"/>
          <w:sz w:val="28"/>
          <w:szCs w:val="28"/>
          <w:lang w:val="zh-CN"/>
        </w:rPr>
      </w:pPr>
      <w:r>
        <w:rPr>
          <w:rFonts w:hint="eastAsia" w:ascii="Times New Roman" w:hAnsi="Times New Roman" w:eastAsia="宋体" w:cs="Times New Roman"/>
          <w:color w:val="auto"/>
          <w:sz w:val="28"/>
          <w:szCs w:val="28"/>
          <w:lang w:val="zh-CN"/>
        </w:rPr>
        <w:t>（</w:t>
      </w:r>
      <w:r>
        <w:rPr>
          <w:rFonts w:hint="eastAsia" w:ascii="Times New Roman" w:hAnsi="Times New Roman" w:cs="Times New Roman"/>
          <w:color w:val="auto"/>
          <w:sz w:val="28"/>
          <w:szCs w:val="28"/>
          <w:lang w:val="en-US" w:eastAsia="zh-CN"/>
        </w:rPr>
        <w:t>3</w:t>
      </w:r>
      <w:r>
        <w:rPr>
          <w:rFonts w:hint="eastAsia" w:ascii="Times New Roman" w:hAnsi="Times New Roman" w:eastAsia="宋体" w:cs="Times New Roman"/>
          <w:color w:val="auto"/>
          <w:sz w:val="28"/>
          <w:szCs w:val="28"/>
          <w:lang w:val="zh-CN"/>
        </w:rPr>
        <w:t>）20</w:t>
      </w:r>
      <w:r>
        <w:rPr>
          <w:rFonts w:hint="eastAsia" w:cs="Times New Roman"/>
          <w:color w:val="auto"/>
          <w:sz w:val="28"/>
          <w:szCs w:val="28"/>
          <w:lang w:val="en-US" w:eastAsia="zh-CN"/>
        </w:rPr>
        <w:t>21</w:t>
      </w:r>
      <w:r>
        <w:rPr>
          <w:rFonts w:hint="eastAsia" w:ascii="Times New Roman" w:hAnsi="Times New Roman" w:eastAsia="宋体" w:cs="Times New Roman"/>
          <w:color w:val="auto"/>
          <w:sz w:val="28"/>
          <w:szCs w:val="28"/>
          <w:lang w:val="zh-CN"/>
        </w:rPr>
        <w:t>年</w:t>
      </w:r>
      <w:r>
        <w:rPr>
          <w:rFonts w:hint="eastAsia" w:cs="Times New Roman"/>
          <w:color w:val="auto"/>
          <w:sz w:val="28"/>
          <w:szCs w:val="28"/>
          <w:lang w:val="en-US" w:eastAsia="zh-CN"/>
        </w:rPr>
        <w:t>3</w:t>
      </w:r>
      <w:r>
        <w:rPr>
          <w:rFonts w:hint="eastAsia" w:ascii="Times New Roman" w:hAnsi="Times New Roman" w:eastAsia="宋体" w:cs="Times New Roman"/>
          <w:color w:val="auto"/>
          <w:sz w:val="28"/>
          <w:szCs w:val="28"/>
          <w:lang w:val="zh-CN"/>
        </w:rPr>
        <w:t>月，江西核工业工程地质勘察院编制了《</w:t>
      </w:r>
      <w:r>
        <w:rPr>
          <w:rFonts w:hint="eastAsia" w:ascii="Times New Roman" w:hAnsi="Times New Roman" w:eastAsia="宋体" w:cs="Times New Roman"/>
          <w:color w:val="auto"/>
          <w:sz w:val="28"/>
          <w:szCs w:val="28"/>
          <w:lang w:val="zh-CN" w:eastAsia="zh-CN"/>
        </w:rPr>
        <w:t>赤峰鑫鑫矿业有限公司松山区</w:t>
      </w:r>
      <w:r>
        <w:rPr>
          <w:rFonts w:hint="eastAsia" w:ascii="Times New Roman" w:hAnsi="Times New Roman" w:eastAsia="宋体" w:cs="Times New Roman"/>
          <w:color w:val="auto"/>
          <w:sz w:val="28"/>
          <w:szCs w:val="28"/>
          <w:lang w:val="zh-CN"/>
        </w:rPr>
        <w:t>初头朗镇窑沟门碎石矿矿山地质环境</w:t>
      </w:r>
      <w:r>
        <w:rPr>
          <w:rFonts w:hint="eastAsia" w:ascii="Times New Roman" w:hAnsi="Times New Roman" w:eastAsia="宋体" w:cs="Times New Roman"/>
          <w:color w:val="auto"/>
          <w:sz w:val="28"/>
          <w:szCs w:val="28"/>
          <w:lang w:val="zh-CN" w:eastAsia="zh-CN"/>
        </w:rPr>
        <w:t>保护与土地复垦</w:t>
      </w:r>
      <w:r>
        <w:rPr>
          <w:rFonts w:hint="eastAsia" w:ascii="Times New Roman" w:hAnsi="Times New Roman" w:eastAsia="宋体" w:cs="Times New Roman"/>
          <w:color w:val="auto"/>
          <w:sz w:val="28"/>
          <w:szCs w:val="28"/>
          <w:lang w:val="zh-CN"/>
        </w:rPr>
        <w:t>方案》（</w:t>
      </w:r>
      <w:r>
        <w:rPr>
          <w:rFonts w:hint="eastAsia" w:cs="Times New Roman"/>
          <w:color w:val="auto"/>
          <w:sz w:val="28"/>
          <w:szCs w:val="28"/>
          <w:lang w:val="en-US" w:eastAsia="zh-CN"/>
        </w:rPr>
        <w:t>赤矿治字</w:t>
      </w:r>
      <w:r>
        <w:rPr>
          <w:rFonts w:hint="eastAsia" w:ascii="Times New Roman" w:hAnsi="Times New Roman" w:eastAsia="宋体" w:cs="Times New Roman"/>
          <w:color w:val="auto"/>
          <w:sz w:val="28"/>
          <w:szCs w:val="28"/>
          <w:lang w:val="zh-CN"/>
        </w:rPr>
        <w:t>[</w:t>
      </w:r>
      <w:r>
        <w:rPr>
          <w:rFonts w:hint="eastAsia" w:cs="Times New Roman"/>
          <w:color w:val="auto"/>
          <w:sz w:val="28"/>
          <w:szCs w:val="28"/>
          <w:lang w:val="en-US" w:eastAsia="zh-CN"/>
        </w:rPr>
        <w:t>2021</w:t>
      </w:r>
      <w:r>
        <w:rPr>
          <w:rFonts w:hint="eastAsia" w:ascii="Times New Roman" w:hAnsi="Times New Roman" w:eastAsia="宋体" w:cs="Times New Roman"/>
          <w:color w:val="auto"/>
          <w:sz w:val="28"/>
          <w:szCs w:val="28"/>
          <w:lang w:val="zh-CN"/>
        </w:rPr>
        <w:t>]</w:t>
      </w:r>
      <w:r>
        <w:rPr>
          <w:rFonts w:hint="eastAsia" w:cs="Times New Roman"/>
          <w:color w:val="auto"/>
          <w:sz w:val="28"/>
          <w:szCs w:val="28"/>
          <w:lang w:val="en-US" w:eastAsia="zh-CN"/>
        </w:rPr>
        <w:t>090号</w:t>
      </w:r>
      <w:r>
        <w:rPr>
          <w:rFonts w:hint="eastAsia" w:ascii="Times New Roman" w:hAnsi="Times New Roman" w:eastAsia="宋体" w:cs="Times New Roman"/>
          <w:color w:val="auto"/>
          <w:sz w:val="28"/>
          <w:szCs w:val="28"/>
          <w:lang w:val="zh-CN"/>
        </w:rPr>
        <w:t>）（以下简称《原综合治理方案》）；</w:t>
      </w:r>
    </w:p>
    <w:p w14:paraId="34BF2F2F">
      <w:pPr>
        <w:spacing w:line="360" w:lineRule="auto"/>
        <w:ind w:firstLine="560" w:firstLineChars="200"/>
        <w:jc w:val="left"/>
        <w:rPr>
          <w:rFonts w:hint="eastAsia" w:ascii="Times New Roman" w:hAnsi="Times New Roman" w:eastAsia="宋体" w:cs="Times New Roman"/>
          <w:color w:val="auto"/>
          <w:sz w:val="28"/>
          <w:szCs w:val="28"/>
          <w:lang w:val="zh-CN"/>
        </w:rPr>
      </w:pPr>
      <w:r>
        <w:rPr>
          <w:rFonts w:hint="eastAsia" w:ascii="Times New Roman" w:hAnsi="Times New Roman" w:eastAsia="宋体" w:cs="Times New Roman"/>
          <w:color w:val="auto"/>
          <w:sz w:val="28"/>
          <w:szCs w:val="28"/>
          <w:lang w:val="zh-CN"/>
        </w:rPr>
        <w:t>（</w:t>
      </w:r>
      <w:r>
        <w:rPr>
          <w:rFonts w:hint="eastAsia" w:ascii="Times New Roman" w:hAnsi="Times New Roman" w:cs="Times New Roman"/>
          <w:color w:val="auto"/>
          <w:sz w:val="28"/>
          <w:szCs w:val="28"/>
          <w:lang w:val="en-US" w:eastAsia="zh-CN"/>
        </w:rPr>
        <w:t>4</w:t>
      </w:r>
      <w:r>
        <w:rPr>
          <w:rFonts w:hint="eastAsia" w:ascii="Times New Roman" w:hAnsi="Times New Roman" w:eastAsia="宋体" w:cs="Times New Roman"/>
          <w:color w:val="auto"/>
          <w:sz w:val="28"/>
          <w:szCs w:val="28"/>
          <w:lang w:val="zh-CN"/>
        </w:rPr>
        <w:t>）202</w:t>
      </w:r>
      <w:r>
        <w:rPr>
          <w:rFonts w:hint="eastAsia" w:cs="Times New Roman"/>
          <w:color w:val="auto"/>
          <w:sz w:val="28"/>
          <w:szCs w:val="28"/>
          <w:lang w:val="en-US" w:eastAsia="zh-CN"/>
        </w:rPr>
        <w:t>6</w:t>
      </w:r>
      <w:r>
        <w:rPr>
          <w:rFonts w:hint="eastAsia" w:ascii="Times New Roman" w:hAnsi="Times New Roman" w:eastAsia="宋体" w:cs="Times New Roman"/>
          <w:color w:val="auto"/>
          <w:sz w:val="28"/>
          <w:szCs w:val="28"/>
          <w:lang w:val="zh-CN"/>
        </w:rPr>
        <w:t>年1月，</w:t>
      </w:r>
      <w:r>
        <w:rPr>
          <w:rFonts w:hint="eastAsia" w:cs="Times New Roman"/>
          <w:color w:val="auto"/>
          <w:sz w:val="28"/>
          <w:szCs w:val="28"/>
          <w:lang w:val="en-US" w:eastAsia="zh-CN"/>
        </w:rPr>
        <w:t>内蒙古兴程技术有限</w:t>
      </w:r>
      <w:r>
        <w:rPr>
          <w:rFonts w:hint="eastAsia" w:ascii="Times New Roman" w:hAnsi="Times New Roman" w:eastAsia="宋体" w:cs="Times New Roman"/>
          <w:color w:val="auto"/>
          <w:sz w:val="28"/>
          <w:szCs w:val="28"/>
          <w:lang w:val="zh-CN"/>
        </w:rPr>
        <w:t>公司编制了《内蒙古自治区赤峰市松山区初头郎镇窑沟门碎石矿2025年资源储量年度变化表》（赤松年报审字[2025]D 007号）；</w:t>
      </w:r>
    </w:p>
    <w:p w14:paraId="04F330F4">
      <w:pPr>
        <w:spacing w:line="360" w:lineRule="auto"/>
        <w:ind w:firstLine="560" w:firstLineChars="200"/>
        <w:jc w:val="left"/>
        <w:rPr>
          <w:rFonts w:hint="default"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zh-CN"/>
        </w:rPr>
        <w:t>（</w:t>
      </w:r>
      <w:r>
        <w:rPr>
          <w:rFonts w:hint="eastAsia" w:cs="Times New Roman"/>
          <w:color w:val="auto"/>
          <w:sz w:val="28"/>
          <w:szCs w:val="28"/>
          <w:lang w:val="en-US" w:eastAsia="zh-CN"/>
        </w:rPr>
        <w:t>5</w:t>
      </w:r>
      <w:r>
        <w:rPr>
          <w:rFonts w:hint="eastAsia" w:ascii="Times New Roman" w:hAnsi="Times New Roman" w:eastAsia="宋体" w:cs="Times New Roman"/>
          <w:color w:val="auto"/>
          <w:sz w:val="28"/>
          <w:szCs w:val="28"/>
          <w:lang w:val="zh-CN"/>
        </w:rPr>
        <w:t>）《内蒙古自治区矿山地质环境分期治理工程验收意见书（2014.1.1～2016.12.31）》(编号181047)；</w:t>
      </w:r>
    </w:p>
    <w:p w14:paraId="4B78A4C8">
      <w:pPr>
        <w:spacing w:line="360" w:lineRule="auto"/>
        <w:ind w:firstLine="560" w:firstLineChars="200"/>
        <w:jc w:val="left"/>
        <w:rPr>
          <w:rFonts w:ascii="Times New Roman" w:hAnsi="Times New Roman" w:eastAsia="宋体" w:cs="Times New Roman"/>
          <w:color w:val="auto"/>
          <w:sz w:val="28"/>
          <w:szCs w:val="28"/>
          <w:lang w:val="zh-CN"/>
        </w:rPr>
      </w:pPr>
      <w:r>
        <w:rPr>
          <w:rFonts w:ascii="Times New Roman" w:hAnsi="Times New Roman" w:eastAsia="宋体" w:cs="Times New Roman"/>
          <w:color w:val="auto"/>
          <w:sz w:val="28"/>
          <w:szCs w:val="28"/>
          <w:lang w:val="zh-CN"/>
        </w:rPr>
        <w:t>（</w:t>
      </w:r>
      <w:r>
        <w:rPr>
          <w:rFonts w:hint="eastAsia" w:cs="Times New Roman"/>
          <w:color w:val="auto"/>
          <w:sz w:val="28"/>
          <w:szCs w:val="28"/>
          <w:lang w:val="en-US" w:eastAsia="zh-CN"/>
        </w:rPr>
        <w:t>6</w:t>
      </w:r>
      <w:r>
        <w:rPr>
          <w:rFonts w:ascii="Times New Roman" w:hAnsi="Times New Roman" w:eastAsia="宋体" w:cs="Times New Roman"/>
          <w:color w:val="auto"/>
          <w:sz w:val="28"/>
          <w:szCs w:val="28"/>
          <w:lang w:val="zh-CN"/>
        </w:rPr>
        <w:t>）</w:t>
      </w:r>
      <w:r>
        <w:rPr>
          <w:rFonts w:hint="eastAsia" w:ascii="Times New Roman" w:hAnsi="Times New Roman" w:eastAsia="宋体" w:cs="Times New Roman"/>
          <w:color w:val="auto"/>
          <w:sz w:val="28"/>
          <w:szCs w:val="28"/>
          <w:lang w:val="zh-CN" w:eastAsia="zh-CN"/>
        </w:rPr>
        <w:t>K50G038073</w:t>
      </w:r>
      <w:r>
        <w:rPr>
          <w:rFonts w:hint="eastAsia" w:ascii="Times New Roman" w:hAnsi="Times New Roman" w:eastAsia="宋体" w:cs="Times New Roman"/>
          <w:color w:val="auto"/>
          <w:sz w:val="28"/>
          <w:szCs w:val="28"/>
          <w:lang w:val="en-US" w:eastAsia="zh-CN"/>
        </w:rPr>
        <w:t>幅</w:t>
      </w:r>
      <w:r>
        <w:rPr>
          <w:rFonts w:hint="eastAsia" w:ascii="Times New Roman" w:hAnsi="Times New Roman" w:eastAsia="宋体" w:cs="Times New Roman"/>
          <w:color w:val="auto"/>
          <w:sz w:val="28"/>
          <w:szCs w:val="28"/>
          <w:lang w:val="zh-CN" w:eastAsia="zh-CN"/>
        </w:rPr>
        <w:t>、K50G038074</w:t>
      </w:r>
      <w:r>
        <w:rPr>
          <w:rFonts w:hint="eastAsia" w:ascii="Times New Roman" w:hAnsi="Times New Roman" w:eastAsia="宋体" w:cs="Times New Roman"/>
          <w:color w:val="auto"/>
          <w:sz w:val="28"/>
          <w:szCs w:val="28"/>
          <w:lang w:val="en-US" w:eastAsia="zh-CN"/>
        </w:rPr>
        <w:t>幅</w:t>
      </w:r>
      <w:r>
        <w:rPr>
          <w:rFonts w:ascii="Times New Roman" w:hAnsi="Times New Roman" w:eastAsia="宋体" w:cs="Times New Roman"/>
          <w:color w:val="auto"/>
          <w:sz w:val="28"/>
          <w:szCs w:val="28"/>
          <w:lang w:val="zh-CN"/>
        </w:rPr>
        <w:t>全国第三次土地利用现状调查</w:t>
      </w:r>
      <w:r>
        <w:rPr>
          <w:rFonts w:hint="eastAsia" w:ascii="Times New Roman" w:hAnsi="Times New Roman" w:eastAsia="宋体" w:cs="Times New Roman"/>
          <w:color w:val="auto"/>
          <w:sz w:val="28"/>
          <w:szCs w:val="28"/>
          <w:lang w:val="zh-CN"/>
        </w:rPr>
        <w:t>松</w:t>
      </w:r>
      <w:r>
        <w:rPr>
          <w:rFonts w:ascii="Times New Roman" w:hAnsi="Times New Roman" w:eastAsia="宋体" w:cs="Times New Roman"/>
          <w:color w:val="auto"/>
          <w:sz w:val="28"/>
          <w:szCs w:val="28"/>
          <w:lang w:val="zh-CN"/>
        </w:rPr>
        <w:t>山区数据</w:t>
      </w:r>
      <w:r>
        <w:rPr>
          <w:rFonts w:hint="eastAsia" w:ascii="Times New Roman" w:hAnsi="Times New Roman" w:eastAsia="宋体" w:cs="Times New Roman"/>
          <w:color w:val="auto"/>
          <w:sz w:val="28"/>
          <w:szCs w:val="28"/>
          <w:lang w:val="en-US" w:eastAsia="zh-CN"/>
        </w:rPr>
        <w:t>及</w:t>
      </w:r>
      <w:r>
        <w:rPr>
          <w:rFonts w:ascii="Times New Roman" w:hAnsi="Times New Roman" w:eastAsia="宋体" w:cs="Times New Roman"/>
          <w:color w:val="auto"/>
          <w:sz w:val="28"/>
          <w:szCs w:val="28"/>
          <w:lang w:val="zh-CN"/>
        </w:rPr>
        <w:t>松山区2024年国土变更调查数据；</w:t>
      </w:r>
    </w:p>
    <w:p w14:paraId="6E565FD3">
      <w:pPr>
        <w:spacing w:line="360" w:lineRule="auto"/>
        <w:ind w:firstLine="560" w:firstLineChars="200"/>
        <w:jc w:val="left"/>
        <w:rPr>
          <w:color w:val="auto"/>
          <w:sz w:val="28"/>
          <w:szCs w:val="28"/>
          <w:lang w:val="zh-CN"/>
        </w:rPr>
      </w:pPr>
      <w:r>
        <w:rPr>
          <w:color w:val="auto"/>
          <w:sz w:val="28"/>
          <w:szCs w:val="28"/>
          <w:lang w:val="zh-CN"/>
        </w:rPr>
        <w:t>（</w:t>
      </w:r>
      <w:r>
        <w:rPr>
          <w:rFonts w:hint="eastAsia"/>
          <w:color w:val="auto"/>
          <w:sz w:val="28"/>
          <w:szCs w:val="28"/>
          <w:lang w:val="en-US" w:eastAsia="zh-CN"/>
        </w:rPr>
        <w:t>7</w:t>
      </w:r>
      <w:r>
        <w:rPr>
          <w:color w:val="auto"/>
          <w:sz w:val="28"/>
          <w:szCs w:val="28"/>
          <w:lang w:val="zh-CN"/>
        </w:rPr>
        <w:t>）2015年11月环境保护部和中国科学院共同编制完成的《全国生态功能区划》；</w:t>
      </w:r>
    </w:p>
    <w:p w14:paraId="02A71353">
      <w:pPr>
        <w:spacing w:line="360" w:lineRule="auto"/>
        <w:ind w:firstLine="560" w:firstLineChars="200"/>
        <w:jc w:val="left"/>
        <w:rPr>
          <w:color w:val="auto"/>
          <w:sz w:val="28"/>
          <w:szCs w:val="28"/>
          <w:lang w:val="zh-CN"/>
        </w:rPr>
      </w:pPr>
      <w:bookmarkStart w:id="15" w:name="OLE_LINK6"/>
      <w:r>
        <w:rPr>
          <w:color w:val="auto"/>
          <w:sz w:val="28"/>
          <w:szCs w:val="28"/>
          <w:lang w:val="zh-CN"/>
        </w:rPr>
        <w:t>（</w:t>
      </w:r>
      <w:r>
        <w:rPr>
          <w:rFonts w:hint="eastAsia"/>
          <w:color w:val="auto"/>
          <w:sz w:val="28"/>
          <w:szCs w:val="28"/>
          <w:lang w:val="en-US" w:eastAsia="zh-CN"/>
        </w:rPr>
        <w:t>8</w:t>
      </w:r>
      <w:r>
        <w:rPr>
          <w:color w:val="auto"/>
          <w:sz w:val="28"/>
          <w:szCs w:val="28"/>
          <w:lang w:val="zh-CN"/>
        </w:rPr>
        <w:t>）《内蒙古自治区生态功能区划报告》；</w:t>
      </w:r>
    </w:p>
    <w:bookmarkEnd w:id="15"/>
    <w:p w14:paraId="5E9CF965">
      <w:pPr>
        <w:spacing w:line="360" w:lineRule="auto"/>
        <w:ind w:firstLine="560" w:firstLineChars="200"/>
        <w:jc w:val="left"/>
        <w:rPr>
          <w:color w:val="auto"/>
          <w:sz w:val="28"/>
          <w:szCs w:val="28"/>
          <w:lang w:val="zh-CN"/>
        </w:rPr>
      </w:pPr>
      <w:r>
        <w:rPr>
          <w:color w:val="auto"/>
          <w:sz w:val="28"/>
          <w:szCs w:val="28"/>
          <w:lang w:val="zh-CN"/>
        </w:rPr>
        <w:t>（</w:t>
      </w:r>
      <w:r>
        <w:rPr>
          <w:rFonts w:hint="eastAsia"/>
          <w:color w:val="auto"/>
          <w:sz w:val="28"/>
          <w:szCs w:val="28"/>
          <w:lang w:val="en-US" w:eastAsia="zh-CN"/>
        </w:rPr>
        <w:t>9</w:t>
      </w:r>
      <w:r>
        <w:rPr>
          <w:color w:val="auto"/>
          <w:sz w:val="28"/>
          <w:szCs w:val="28"/>
          <w:lang w:val="zh-CN"/>
        </w:rPr>
        <w:t>）《赤峰市生态环境功能区划报告》赤政字[2003]112号；</w:t>
      </w:r>
    </w:p>
    <w:p w14:paraId="471871E8">
      <w:pPr>
        <w:spacing w:line="360" w:lineRule="auto"/>
        <w:ind w:firstLine="560" w:firstLineChars="200"/>
        <w:jc w:val="left"/>
        <w:rPr>
          <w:color w:val="auto"/>
          <w:sz w:val="28"/>
          <w:szCs w:val="28"/>
          <w:lang w:val="zh-CN"/>
        </w:rPr>
      </w:pPr>
      <w:r>
        <w:rPr>
          <w:color w:val="auto"/>
          <w:sz w:val="28"/>
          <w:szCs w:val="28"/>
          <w:lang w:val="zh-CN"/>
        </w:rPr>
        <w:t>（</w:t>
      </w:r>
      <w:r>
        <w:rPr>
          <w:rFonts w:hint="eastAsia"/>
          <w:color w:val="auto"/>
          <w:sz w:val="28"/>
          <w:szCs w:val="28"/>
          <w:lang w:val="en-US" w:eastAsia="zh-CN"/>
        </w:rPr>
        <w:t>10</w:t>
      </w:r>
      <w:r>
        <w:rPr>
          <w:color w:val="auto"/>
          <w:sz w:val="28"/>
          <w:szCs w:val="28"/>
          <w:lang w:val="zh-CN"/>
        </w:rPr>
        <w:t>）《赤峰市国土空间生态修复规划（2021-2035）》；</w:t>
      </w:r>
    </w:p>
    <w:p w14:paraId="0FD6B670">
      <w:pPr>
        <w:spacing w:line="360" w:lineRule="auto"/>
        <w:ind w:firstLine="560" w:firstLineChars="200"/>
        <w:jc w:val="left"/>
        <w:rPr>
          <w:color w:val="auto"/>
          <w:sz w:val="28"/>
          <w:szCs w:val="28"/>
          <w:lang w:val="zh-CN"/>
        </w:rPr>
      </w:pPr>
      <w:r>
        <w:rPr>
          <w:color w:val="auto"/>
          <w:sz w:val="28"/>
          <w:szCs w:val="28"/>
          <w:lang w:val="zh-CN"/>
        </w:rPr>
        <w:t>（1</w:t>
      </w:r>
      <w:r>
        <w:rPr>
          <w:rFonts w:hint="eastAsia"/>
          <w:color w:val="auto"/>
          <w:sz w:val="28"/>
          <w:szCs w:val="28"/>
          <w:lang w:val="en-US" w:eastAsia="zh-CN"/>
        </w:rPr>
        <w:t>1</w:t>
      </w:r>
      <w:r>
        <w:rPr>
          <w:color w:val="auto"/>
          <w:sz w:val="28"/>
          <w:szCs w:val="28"/>
          <w:lang w:val="zh-CN"/>
        </w:rPr>
        <w:t>）《松山区国土空间总体规划（2021-2035年）》；</w:t>
      </w:r>
    </w:p>
    <w:p w14:paraId="3B21A268">
      <w:pPr>
        <w:spacing w:line="360" w:lineRule="auto"/>
        <w:ind w:firstLine="548" w:firstLineChars="200"/>
        <w:jc w:val="left"/>
        <w:rPr>
          <w:color w:val="auto"/>
          <w:spacing w:val="-3"/>
          <w:sz w:val="28"/>
          <w:szCs w:val="28"/>
        </w:rPr>
      </w:pPr>
      <w:r>
        <w:rPr>
          <w:color w:val="auto"/>
          <w:spacing w:val="-3"/>
          <w:sz w:val="28"/>
          <w:szCs w:val="28"/>
        </w:rPr>
        <w:t>（1</w:t>
      </w:r>
      <w:r>
        <w:rPr>
          <w:rFonts w:hint="eastAsia"/>
          <w:color w:val="auto"/>
          <w:spacing w:val="-3"/>
          <w:sz w:val="28"/>
          <w:szCs w:val="28"/>
          <w:lang w:val="en-US" w:eastAsia="zh-CN"/>
        </w:rPr>
        <w:t>2</w:t>
      </w:r>
      <w:r>
        <w:rPr>
          <w:color w:val="auto"/>
          <w:spacing w:val="-3"/>
          <w:sz w:val="28"/>
          <w:szCs w:val="28"/>
        </w:rPr>
        <w:t>）《赤峰市国土空间总体规划（2021-2035 年）》；</w:t>
      </w:r>
    </w:p>
    <w:p w14:paraId="146040B5">
      <w:pPr>
        <w:spacing w:line="360" w:lineRule="auto"/>
        <w:ind w:firstLine="548" w:firstLineChars="200"/>
        <w:jc w:val="left"/>
        <w:rPr>
          <w:color w:val="auto"/>
          <w:spacing w:val="-3"/>
          <w:sz w:val="28"/>
          <w:szCs w:val="28"/>
        </w:rPr>
      </w:pPr>
      <w:r>
        <w:rPr>
          <w:color w:val="auto"/>
          <w:spacing w:val="-3"/>
          <w:sz w:val="28"/>
          <w:szCs w:val="28"/>
        </w:rPr>
        <w:t>（</w:t>
      </w:r>
      <w:r>
        <w:rPr>
          <w:rFonts w:hint="eastAsia"/>
          <w:color w:val="auto"/>
          <w:spacing w:val="-3"/>
          <w:sz w:val="28"/>
          <w:szCs w:val="28"/>
          <w:lang w:val="en-US" w:eastAsia="zh-CN"/>
        </w:rPr>
        <w:t>13</w:t>
      </w:r>
      <w:r>
        <w:rPr>
          <w:color w:val="auto"/>
          <w:spacing w:val="-3"/>
          <w:sz w:val="28"/>
          <w:szCs w:val="28"/>
        </w:rPr>
        <w:t>）《赤峰市生态环境保护“十四五”规划》；</w:t>
      </w:r>
    </w:p>
    <w:p w14:paraId="4B9F19D3">
      <w:pPr>
        <w:spacing w:line="360" w:lineRule="auto"/>
        <w:ind w:firstLine="560" w:firstLineChars="200"/>
        <w:jc w:val="left"/>
        <w:rPr>
          <w:color w:val="auto"/>
          <w:sz w:val="28"/>
          <w:szCs w:val="28"/>
        </w:rPr>
      </w:pPr>
      <w:r>
        <w:rPr>
          <w:color w:val="auto"/>
          <w:sz w:val="28"/>
          <w:szCs w:val="28"/>
          <w:lang w:val="zh-CN"/>
        </w:rPr>
        <w:t>（</w:t>
      </w:r>
      <w:r>
        <w:rPr>
          <w:color w:val="auto"/>
          <w:sz w:val="28"/>
          <w:szCs w:val="28"/>
        </w:rPr>
        <w:t>1</w:t>
      </w:r>
      <w:r>
        <w:rPr>
          <w:rFonts w:hint="eastAsia"/>
          <w:color w:val="auto"/>
          <w:sz w:val="28"/>
          <w:szCs w:val="28"/>
          <w:lang w:val="en-US" w:eastAsia="zh-CN"/>
        </w:rPr>
        <w:t>4</w:t>
      </w:r>
      <w:r>
        <w:rPr>
          <w:color w:val="auto"/>
          <w:sz w:val="28"/>
          <w:szCs w:val="28"/>
          <w:lang w:val="zh-CN"/>
        </w:rPr>
        <w:t>）</w:t>
      </w:r>
      <w:r>
        <w:rPr>
          <w:color w:val="auto"/>
          <w:sz w:val="28"/>
          <w:szCs w:val="28"/>
        </w:rPr>
        <w:t>赤峰市松山区</w:t>
      </w:r>
      <w:r>
        <w:rPr>
          <w:rFonts w:hint="eastAsia"/>
          <w:color w:val="auto"/>
          <w:sz w:val="28"/>
          <w:szCs w:val="28"/>
          <w:lang w:val="en-US" w:eastAsia="zh-CN"/>
        </w:rPr>
        <w:t>2016-2025近十年</w:t>
      </w:r>
      <w:r>
        <w:rPr>
          <w:color w:val="auto"/>
          <w:sz w:val="28"/>
          <w:szCs w:val="28"/>
          <w:lang w:val="zh-CN"/>
        </w:rPr>
        <w:t>气象资料；</w:t>
      </w:r>
    </w:p>
    <w:p w14:paraId="31AE84BA">
      <w:pPr>
        <w:spacing w:line="360" w:lineRule="auto"/>
        <w:ind w:firstLine="560" w:firstLineChars="200"/>
        <w:jc w:val="left"/>
        <w:rPr>
          <w:color w:val="auto"/>
          <w:sz w:val="28"/>
          <w:szCs w:val="28"/>
          <w:lang w:val="zh-CN"/>
        </w:rPr>
      </w:pPr>
      <w:r>
        <w:rPr>
          <w:color w:val="auto"/>
          <w:sz w:val="28"/>
          <w:szCs w:val="28"/>
        </w:rPr>
        <w:t>（</w:t>
      </w:r>
      <w:r>
        <w:rPr>
          <w:rFonts w:hint="eastAsia"/>
          <w:color w:val="auto"/>
          <w:sz w:val="28"/>
          <w:szCs w:val="28"/>
          <w:lang w:val="en-US" w:eastAsia="zh-CN"/>
        </w:rPr>
        <w:t>15</w:t>
      </w:r>
      <w:r>
        <w:rPr>
          <w:color w:val="auto"/>
          <w:sz w:val="28"/>
          <w:szCs w:val="28"/>
        </w:rPr>
        <w:t>）</w:t>
      </w:r>
      <w:r>
        <w:rPr>
          <w:color w:val="auto"/>
          <w:sz w:val="28"/>
          <w:szCs w:val="28"/>
          <w:lang w:val="zh-CN"/>
        </w:rPr>
        <w:t>矿</w:t>
      </w:r>
      <w:r>
        <w:rPr>
          <w:color w:val="auto"/>
          <w:spacing w:val="-3"/>
          <w:sz w:val="28"/>
          <w:szCs w:val="28"/>
          <w:lang w:val="zh-CN"/>
        </w:rPr>
        <w:t>山提供的其他资料；</w:t>
      </w:r>
    </w:p>
    <w:bookmarkEnd w:id="9"/>
    <w:p w14:paraId="0F269B94">
      <w:pPr>
        <w:adjustRightInd w:val="0"/>
        <w:snapToGrid w:val="0"/>
        <w:spacing w:line="360" w:lineRule="auto"/>
        <w:ind w:firstLine="562" w:firstLineChars="200"/>
        <w:outlineLvl w:val="2"/>
        <w:rPr>
          <w:color w:val="auto"/>
        </w:rPr>
      </w:pPr>
      <w:r>
        <w:rPr>
          <w:b/>
          <w:bCs/>
          <w:color w:val="auto"/>
          <w:sz w:val="28"/>
          <w:szCs w:val="28"/>
        </w:rPr>
        <w:t>二、服务年限</w:t>
      </w:r>
    </w:p>
    <w:p w14:paraId="02CF677C">
      <w:pPr>
        <w:spacing w:line="360" w:lineRule="auto"/>
        <w:ind w:firstLine="560" w:firstLineChars="200"/>
        <w:rPr>
          <w:color w:val="auto"/>
          <w:sz w:val="28"/>
          <w:szCs w:val="28"/>
        </w:rPr>
      </w:pPr>
      <w:r>
        <w:rPr>
          <w:rFonts w:hint="eastAsia" w:ascii="Times New Roman" w:hAnsi="Times New Roman" w:eastAsia="宋体" w:cs="Times New Roman"/>
          <w:color w:val="auto"/>
          <w:sz w:val="28"/>
          <w:szCs w:val="28"/>
        </w:rPr>
        <w:t>矿山</w:t>
      </w:r>
      <w:r>
        <w:rPr>
          <w:rFonts w:hint="eastAsia" w:cs="Times New Roman"/>
          <w:color w:val="auto"/>
          <w:sz w:val="28"/>
          <w:szCs w:val="28"/>
          <w:lang w:val="en-US" w:eastAsia="zh-CN"/>
        </w:rPr>
        <w:t>不再继续开采，近期1年主要进行矿区生态修复工作</w:t>
      </w:r>
      <w:r>
        <w:rPr>
          <w:rFonts w:hint="eastAsia"/>
          <w:color w:val="auto"/>
          <w:sz w:val="28"/>
          <w:szCs w:val="28"/>
        </w:rPr>
        <w:t>，矿山后续管护期</w:t>
      </w:r>
      <w:r>
        <w:rPr>
          <w:rFonts w:hint="eastAsia"/>
          <w:color w:val="auto"/>
          <w:sz w:val="28"/>
          <w:szCs w:val="28"/>
          <w:lang w:val="en-US" w:eastAsia="zh-CN"/>
        </w:rPr>
        <w:t>3</w:t>
      </w:r>
      <w:r>
        <w:rPr>
          <w:rFonts w:hint="eastAsia"/>
          <w:color w:val="auto"/>
          <w:sz w:val="28"/>
          <w:szCs w:val="28"/>
        </w:rPr>
        <w:t>年</w:t>
      </w:r>
      <w:r>
        <w:rPr>
          <w:rFonts w:hint="eastAsia"/>
          <w:color w:val="auto"/>
          <w:sz w:val="28"/>
          <w:szCs w:val="28"/>
          <w:lang w:eastAsia="zh-CN"/>
        </w:rPr>
        <w:t>，</w:t>
      </w:r>
      <w:r>
        <w:rPr>
          <w:rFonts w:hint="eastAsia"/>
          <w:color w:val="auto"/>
          <w:sz w:val="28"/>
          <w:szCs w:val="28"/>
          <w:lang w:val="en-US" w:eastAsia="zh-CN"/>
        </w:rPr>
        <w:t>其中</w:t>
      </w:r>
      <w:r>
        <w:rPr>
          <w:rFonts w:hint="eastAsia"/>
          <w:color w:val="auto"/>
          <w:sz w:val="28"/>
          <w:szCs w:val="28"/>
          <w:lang w:eastAsia="zh-CN"/>
        </w:rPr>
        <w:t>赤峰鑫鑫矿业有限公司管护1年，剩余2年管护期由土地权属人窑沟门村进行管护，</w:t>
      </w:r>
      <w:r>
        <w:rPr>
          <w:color w:val="auto"/>
          <w:sz w:val="28"/>
          <w:szCs w:val="28"/>
        </w:rPr>
        <w:t>据此确定本方案服务年限为</w:t>
      </w:r>
      <w:r>
        <w:rPr>
          <w:rFonts w:hint="eastAsia"/>
          <w:color w:val="auto"/>
          <w:sz w:val="28"/>
          <w:szCs w:val="28"/>
          <w:lang w:val="en-US" w:eastAsia="zh-CN"/>
        </w:rPr>
        <w:t>4</w:t>
      </w:r>
      <w:r>
        <w:rPr>
          <w:color w:val="auto"/>
          <w:sz w:val="28"/>
          <w:szCs w:val="28"/>
        </w:rPr>
        <w:t>年，即2026年</w:t>
      </w:r>
      <w:r>
        <w:rPr>
          <w:rFonts w:hint="eastAsia"/>
          <w:color w:val="auto"/>
          <w:sz w:val="28"/>
          <w:szCs w:val="28"/>
          <w:lang w:val="en-US" w:eastAsia="zh-CN"/>
        </w:rPr>
        <w:t>10</w:t>
      </w:r>
      <w:r>
        <w:rPr>
          <w:color w:val="auto"/>
          <w:sz w:val="28"/>
          <w:szCs w:val="28"/>
        </w:rPr>
        <w:t>月至20</w:t>
      </w:r>
      <w:r>
        <w:rPr>
          <w:rFonts w:hint="eastAsia"/>
          <w:color w:val="auto"/>
          <w:sz w:val="28"/>
          <w:szCs w:val="28"/>
          <w:lang w:val="en-US" w:eastAsia="zh-CN"/>
        </w:rPr>
        <w:t>30</w:t>
      </w:r>
      <w:r>
        <w:rPr>
          <w:color w:val="auto"/>
          <w:sz w:val="28"/>
          <w:szCs w:val="28"/>
        </w:rPr>
        <w:t>年</w:t>
      </w:r>
      <w:r>
        <w:rPr>
          <w:rFonts w:hint="eastAsia"/>
          <w:color w:val="auto"/>
          <w:sz w:val="28"/>
          <w:szCs w:val="28"/>
          <w:lang w:val="en-US" w:eastAsia="zh-CN"/>
        </w:rPr>
        <w:t>9</w:t>
      </w:r>
      <w:r>
        <w:rPr>
          <w:color w:val="auto"/>
          <w:sz w:val="28"/>
          <w:szCs w:val="28"/>
        </w:rPr>
        <w:t>月。方案基准期以自然资源部门批准该方案之日算起（通过审查的公告日）。</w:t>
      </w:r>
    </w:p>
    <w:p w14:paraId="448D0A53">
      <w:pPr>
        <w:spacing w:line="360" w:lineRule="auto"/>
        <w:ind w:firstLine="560" w:firstLineChars="200"/>
        <w:rPr>
          <w:color w:val="auto"/>
          <w:sz w:val="28"/>
          <w:szCs w:val="28"/>
        </w:rPr>
      </w:pPr>
    </w:p>
    <w:bookmarkEnd w:id="6"/>
    <w:p w14:paraId="71D1DE94">
      <w:pPr>
        <w:pStyle w:val="2"/>
        <w:spacing w:line="360" w:lineRule="auto"/>
        <w:jc w:val="center"/>
        <w:rPr>
          <w:rFonts w:hint="eastAsia" w:ascii="黑体" w:hAnsi="黑体" w:eastAsia="黑体" w:cs="黑体"/>
          <w:bCs/>
          <w:color w:val="auto"/>
        </w:rPr>
      </w:pPr>
      <w:bookmarkStart w:id="16" w:name="_Toc1151"/>
      <w:r>
        <w:rPr>
          <w:rFonts w:hint="eastAsia" w:ascii="黑体" w:hAnsi="黑体" w:eastAsia="黑体" w:cs="黑体"/>
          <w:bCs/>
          <w:color w:val="auto"/>
        </w:rPr>
        <w:t>第一章  矿山基本情况</w:t>
      </w:r>
      <w:bookmarkEnd w:id="16"/>
    </w:p>
    <w:p w14:paraId="1B54B819">
      <w:pPr>
        <w:pStyle w:val="3"/>
        <w:spacing w:before="120" w:beforeLines="50"/>
        <w:rPr>
          <w:color w:val="auto"/>
        </w:rPr>
      </w:pPr>
      <w:bookmarkStart w:id="17" w:name="_Toc14475"/>
      <w:r>
        <w:rPr>
          <w:rFonts w:hint="eastAsia"/>
          <w:color w:val="auto"/>
        </w:rPr>
        <w:t>第一节  矿业权人基本情况</w:t>
      </w:r>
      <w:bookmarkEnd w:id="17"/>
    </w:p>
    <w:p w14:paraId="1C2752F4">
      <w:pPr>
        <w:adjustRightInd w:val="0"/>
        <w:snapToGrid w:val="0"/>
        <w:spacing w:line="360" w:lineRule="auto"/>
        <w:ind w:firstLine="562" w:firstLineChars="200"/>
        <w:outlineLvl w:val="2"/>
        <w:rPr>
          <w:b/>
          <w:bCs/>
          <w:color w:val="auto"/>
        </w:rPr>
      </w:pPr>
      <w:r>
        <w:rPr>
          <w:rFonts w:hint="eastAsia" w:ascii="宋体" w:hAnsi="宋体" w:cs="宋体"/>
          <w:b/>
          <w:bCs/>
          <w:color w:val="auto"/>
          <w:sz w:val="28"/>
          <w:szCs w:val="28"/>
        </w:rPr>
        <w:t>一、</w:t>
      </w:r>
      <w:bookmarkStart w:id="18" w:name="_Hlk221092138"/>
      <w:r>
        <w:rPr>
          <w:rFonts w:hint="eastAsia" w:ascii="宋体" w:hAnsi="宋体" w:cs="宋体"/>
          <w:b/>
          <w:bCs/>
          <w:color w:val="auto"/>
          <w:sz w:val="28"/>
          <w:szCs w:val="28"/>
        </w:rPr>
        <w:t>矿业权人</w:t>
      </w:r>
      <w:bookmarkEnd w:id="18"/>
      <w:r>
        <w:rPr>
          <w:rFonts w:hint="eastAsia" w:ascii="宋体" w:hAnsi="宋体" w:cs="宋体"/>
          <w:b/>
          <w:bCs/>
          <w:color w:val="auto"/>
          <w:sz w:val="28"/>
          <w:szCs w:val="28"/>
        </w:rPr>
        <w:t>基本情况</w:t>
      </w:r>
    </w:p>
    <w:p w14:paraId="1D38FDE8">
      <w:pPr>
        <w:spacing w:line="360" w:lineRule="auto"/>
        <w:ind w:firstLine="560" w:firstLineChars="200"/>
        <w:rPr>
          <w:color w:val="auto"/>
          <w:sz w:val="28"/>
          <w:szCs w:val="28"/>
        </w:rPr>
      </w:pPr>
      <w:r>
        <w:rPr>
          <w:rFonts w:hint="eastAsia" w:cs="Times New Roman"/>
          <w:color w:val="auto"/>
          <w:sz w:val="28"/>
          <w:szCs w:val="28"/>
          <w:lang w:eastAsia="zh-CN"/>
        </w:rPr>
        <w:t>赤峰鑫鑫矿业有限公司松山区初头朗镇窑沟门碎石矿</w:t>
      </w:r>
      <w:r>
        <w:rPr>
          <w:rFonts w:ascii="Times New Roman" w:hAnsi="Times New Roman" w:eastAsia="宋体" w:cs="Times New Roman"/>
          <w:color w:val="auto"/>
          <w:sz w:val="28"/>
          <w:szCs w:val="28"/>
        </w:rPr>
        <w:t>始建于20</w:t>
      </w:r>
      <w:r>
        <w:rPr>
          <w:rFonts w:hint="eastAsia" w:cs="Times New Roman"/>
          <w:color w:val="auto"/>
          <w:sz w:val="28"/>
          <w:szCs w:val="28"/>
          <w:lang w:val="en-US" w:eastAsia="zh-CN"/>
        </w:rPr>
        <w:t>13</w:t>
      </w:r>
      <w:r>
        <w:rPr>
          <w:rFonts w:ascii="Times New Roman" w:hAnsi="Times New Roman" w:eastAsia="宋体" w:cs="Times New Roman"/>
          <w:color w:val="auto"/>
          <w:sz w:val="28"/>
          <w:szCs w:val="28"/>
        </w:rPr>
        <w:t>年</w:t>
      </w:r>
      <w:r>
        <w:rPr>
          <w:rFonts w:hint="eastAsia" w:cs="Times New Roman"/>
          <w:color w:val="auto"/>
          <w:sz w:val="28"/>
          <w:szCs w:val="28"/>
          <w:lang w:val="en-US" w:eastAsia="zh-CN"/>
        </w:rPr>
        <w:t>3</w:t>
      </w:r>
      <w:r>
        <w:rPr>
          <w:rFonts w:ascii="Times New Roman" w:hAnsi="Times New Roman" w:eastAsia="宋体" w:cs="Times New Roman"/>
          <w:color w:val="auto"/>
          <w:sz w:val="28"/>
          <w:szCs w:val="28"/>
        </w:rPr>
        <w:t>月，首次取得采矿许可证时间为20</w:t>
      </w:r>
      <w:r>
        <w:rPr>
          <w:rFonts w:hint="eastAsia" w:cs="Times New Roman"/>
          <w:color w:val="auto"/>
          <w:sz w:val="28"/>
          <w:szCs w:val="28"/>
          <w:lang w:val="en-US" w:eastAsia="zh-CN"/>
        </w:rPr>
        <w:t>13</w:t>
      </w:r>
      <w:r>
        <w:rPr>
          <w:rFonts w:ascii="Times New Roman" w:hAnsi="Times New Roman" w:eastAsia="宋体" w:cs="Times New Roman"/>
          <w:color w:val="auto"/>
          <w:sz w:val="28"/>
          <w:szCs w:val="28"/>
        </w:rPr>
        <w:t>年</w:t>
      </w:r>
      <w:r>
        <w:rPr>
          <w:rFonts w:hint="eastAsia" w:cs="Times New Roman"/>
          <w:color w:val="auto"/>
          <w:sz w:val="28"/>
          <w:szCs w:val="28"/>
          <w:lang w:eastAsia="zh-CN"/>
        </w:rPr>
        <w:t>。</w:t>
      </w:r>
      <w:r>
        <w:rPr>
          <w:color w:val="auto"/>
          <w:sz w:val="28"/>
          <w:szCs w:val="28"/>
        </w:rPr>
        <w:t>矿业权人基本信息情况如下：</w:t>
      </w:r>
    </w:p>
    <w:p w14:paraId="2E717F1B">
      <w:pPr>
        <w:spacing w:line="360" w:lineRule="auto"/>
        <w:ind w:firstLine="560" w:firstLineChars="200"/>
        <w:rPr>
          <w:rFonts w:hint="eastAsia" w:eastAsia="宋体"/>
          <w:color w:val="auto"/>
          <w:sz w:val="28"/>
          <w:szCs w:val="28"/>
          <w:lang w:eastAsia="zh-CN"/>
        </w:rPr>
      </w:pPr>
      <w:r>
        <w:rPr>
          <w:color w:val="auto"/>
          <w:sz w:val="28"/>
          <w:szCs w:val="28"/>
        </w:rPr>
        <w:t>公司名称：</w:t>
      </w:r>
      <w:r>
        <w:rPr>
          <w:rFonts w:hint="eastAsia" w:cs="Times New Roman"/>
          <w:color w:val="auto"/>
          <w:sz w:val="28"/>
          <w:szCs w:val="28"/>
          <w:lang w:eastAsia="zh-CN"/>
        </w:rPr>
        <w:t>赤峰鑫鑫矿业有限公司</w:t>
      </w:r>
    </w:p>
    <w:p w14:paraId="5325EFC5">
      <w:pPr>
        <w:spacing w:line="360" w:lineRule="auto"/>
        <w:ind w:firstLine="560" w:firstLineChars="200"/>
        <w:rPr>
          <w:rFonts w:hint="eastAsia" w:eastAsia="宋体"/>
          <w:color w:val="auto"/>
          <w:sz w:val="28"/>
          <w:szCs w:val="28"/>
          <w:lang w:eastAsia="zh-CN"/>
        </w:rPr>
      </w:pPr>
      <w:r>
        <w:rPr>
          <w:color w:val="auto"/>
          <w:sz w:val="28"/>
          <w:szCs w:val="28"/>
        </w:rPr>
        <w:t>法定代表人</w:t>
      </w:r>
      <w:r>
        <w:rPr>
          <w:rFonts w:ascii="Times New Roman" w:hAnsi="Times New Roman" w:cs="Times New Roman"/>
          <w:color w:val="auto"/>
          <w:sz w:val="28"/>
          <w:szCs w:val="28"/>
        </w:rPr>
        <w:t>：</w:t>
      </w:r>
      <w:r>
        <w:rPr>
          <w:rFonts w:hint="eastAsia" w:ascii="Times New Roman" w:hAnsi="Times New Roman" w:cs="Times New Roman"/>
          <w:color w:val="auto"/>
          <w:sz w:val="28"/>
          <w:szCs w:val="28"/>
          <w:lang w:val="en-US" w:eastAsia="zh-CN"/>
        </w:rPr>
        <w:t>王立军</w:t>
      </w:r>
    </w:p>
    <w:p w14:paraId="716C44E9">
      <w:pPr>
        <w:spacing w:line="360" w:lineRule="auto"/>
        <w:ind w:firstLine="560" w:firstLineChars="200"/>
        <w:rPr>
          <w:color w:val="auto"/>
          <w:sz w:val="28"/>
          <w:szCs w:val="28"/>
        </w:rPr>
      </w:pPr>
      <w:r>
        <w:rPr>
          <w:color w:val="auto"/>
          <w:sz w:val="28"/>
          <w:szCs w:val="28"/>
        </w:rPr>
        <w:t>统一社会信用代码：</w:t>
      </w:r>
      <w:r>
        <w:rPr>
          <w:rFonts w:hint="eastAsia" w:ascii="Times New Roman" w:hAnsi="Times New Roman" w:cs="Times New Roman"/>
          <w:color w:val="auto"/>
          <w:sz w:val="28"/>
          <w:szCs w:val="28"/>
        </w:rPr>
        <w:t>91150404591995272Q</w:t>
      </w:r>
    </w:p>
    <w:p w14:paraId="619C9182">
      <w:pPr>
        <w:spacing w:line="360" w:lineRule="auto"/>
        <w:ind w:firstLine="560" w:firstLineChars="200"/>
        <w:rPr>
          <w:color w:val="auto"/>
          <w:sz w:val="28"/>
          <w:szCs w:val="28"/>
        </w:rPr>
      </w:pPr>
      <w:r>
        <w:rPr>
          <w:color w:val="auto"/>
          <w:sz w:val="28"/>
          <w:szCs w:val="28"/>
        </w:rPr>
        <w:t>公司类型：其他有限责任公司</w:t>
      </w:r>
    </w:p>
    <w:p w14:paraId="4E871399">
      <w:pPr>
        <w:spacing w:line="360" w:lineRule="auto"/>
        <w:ind w:firstLine="560" w:firstLineChars="200"/>
        <w:rPr>
          <w:color w:val="auto"/>
          <w:sz w:val="28"/>
          <w:szCs w:val="28"/>
        </w:rPr>
      </w:pPr>
      <w:r>
        <w:rPr>
          <w:color w:val="auto"/>
          <w:sz w:val="28"/>
          <w:szCs w:val="28"/>
        </w:rPr>
        <w:t>成立日期：20</w:t>
      </w:r>
      <w:r>
        <w:rPr>
          <w:rFonts w:hint="eastAsia"/>
          <w:color w:val="auto"/>
          <w:sz w:val="28"/>
          <w:szCs w:val="28"/>
          <w:lang w:val="en-US" w:eastAsia="zh-CN"/>
        </w:rPr>
        <w:t>12</w:t>
      </w:r>
      <w:r>
        <w:rPr>
          <w:color w:val="auto"/>
          <w:sz w:val="28"/>
          <w:szCs w:val="28"/>
        </w:rPr>
        <w:t>年</w:t>
      </w:r>
      <w:r>
        <w:rPr>
          <w:rFonts w:hint="eastAsia"/>
          <w:color w:val="auto"/>
          <w:sz w:val="28"/>
          <w:szCs w:val="28"/>
          <w:lang w:val="en-US" w:eastAsia="zh-CN"/>
        </w:rPr>
        <w:t>2</w:t>
      </w:r>
      <w:r>
        <w:rPr>
          <w:color w:val="auto"/>
          <w:sz w:val="28"/>
          <w:szCs w:val="28"/>
        </w:rPr>
        <w:t>月</w:t>
      </w:r>
      <w:r>
        <w:rPr>
          <w:rFonts w:hint="eastAsia"/>
          <w:color w:val="auto"/>
          <w:sz w:val="28"/>
          <w:szCs w:val="28"/>
          <w:lang w:val="en-US" w:eastAsia="zh-CN"/>
        </w:rPr>
        <w:t>23</w:t>
      </w:r>
      <w:r>
        <w:rPr>
          <w:color w:val="auto"/>
          <w:sz w:val="28"/>
          <w:szCs w:val="28"/>
        </w:rPr>
        <w:t>日</w:t>
      </w:r>
    </w:p>
    <w:p w14:paraId="2F07B996">
      <w:pPr>
        <w:spacing w:line="360" w:lineRule="auto"/>
        <w:ind w:firstLine="560" w:firstLineChars="200"/>
        <w:rPr>
          <w:color w:val="auto"/>
          <w:sz w:val="28"/>
          <w:szCs w:val="28"/>
        </w:rPr>
      </w:pPr>
      <w:r>
        <w:rPr>
          <w:color w:val="auto"/>
          <w:sz w:val="28"/>
          <w:szCs w:val="28"/>
        </w:rPr>
        <w:t>公司住所：</w:t>
      </w:r>
      <w:r>
        <w:rPr>
          <w:rFonts w:hint="eastAsia"/>
          <w:color w:val="auto"/>
          <w:sz w:val="28"/>
          <w:szCs w:val="28"/>
        </w:rPr>
        <w:t>内蒙古自治区赤峰市松山区英金路南段西侧正阳房地产7#楼</w:t>
      </w:r>
    </w:p>
    <w:p w14:paraId="566783A3">
      <w:pPr>
        <w:spacing w:line="360" w:lineRule="auto"/>
        <w:ind w:firstLine="560" w:firstLineChars="200"/>
        <w:rPr>
          <w:color w:val="auto"/>
          <w:sz w:val="28"/>
          <w:szCs w:val="28"/>
        </w:rPr>
      </w:pPr>
      <w:r>
        <w:rPr>
          <w:color w:val="auto"/>
          <w:sz w:val="28"/>
          <w:szCs w:val="28"/>
        </w:rPr>
        <w:t>注册资本：</w:t>
      </w:r>
      <w:r>
        <w:rPr>
          <w:rFonts w:hint="eastAsia"/>
          <w:color w:val="auto"/>
          <w:sz w:val="28"/>
          <w:szCs w:val="28"/>
          <w:lang w:val="en-US" w:eastAsia="zh-CN"/>
        </w:rPr>
        <w:t>200</w:t>
      </w:r>
      <w:r>
        <w:rPr>
          <w:color w:val="auto"/>
          <w:sz w:val="28"/>
          <w:szCs w:val="28"/>
        </w:rPr>
        <w:t>万元</w:t>
      </w:r>
    </w:p>
    <w:p w14:paraId="5C31DD61">
      <w:pPr>
        <w:spacing w:line="360" w:lineRule="auto"/>
        <w:ind w:firstLine="560" w:firstLineChars="200"/>
        <w:rPr>
          <w:rFonts w:ascii="Times New Roman" w:hAnsi="Times New Roman" w:cs="Times New Roman"/>
          <w:color w:val="auto"/>
          <w:sz w:val="28"/>
          <w:szCs w:val="28"/>
        </w:rPr>
      </w:pPr>
      <w:r>
        <w:rPr>
          <w:color w:val="auto"/>
          <w:sz w:val="28"/>
          <w:szCs w:val="28"/>
        </w:rPr>
        <w:t>经营范围</w:t>
      </w:r>
      <w:r>
        <w:rPr>
          <w:rFonts w:ascii="Times New Roman" w:hAnsi="Times New Roman" w:cs="Times New Roman"/>
          <w:color w:val="auto"/>
          <w:sz w:val="28"/>
          <w:szCs w:val="28"/>
        </w:rPr>
        <w:t>：非煤矿山矿产资源开采。（依法须经批准的项目，经相关部门批准后方可开展经营活动，具体经营项目以相关部门批准文件或许可证件为准）一般项目：非金属矿物制品制造；非金属矿及制品销售；贸易经纪。（除依法须经批准的项目外，凭营业执照依法自主开展经营活动）。</w:t>
      </w:r>
    </w:p>
    <w:p w14:paraId="0006B1ED">
      <w:pPr>
        <w:adjustRightInd w:val="0"/>
        <w:snapToGrid w:val="0"/>
        <w:spacing w:line="360" w:lineRule="auto"/>
        <w:ind w:firstLine="562" w:firstLineChars="200"/>
        <w:outlineLvl w:val="2"/>
        <w:rPr>
          <w:color w:val="auto"/>
          <w:sz w:val="28"/>
          <w:szCs w:val="28"/>
        </w:rPr>
      </w:pPr>
      <w:r>
        <w:rPr>
          <w:b/>
          <w:bCs/>
          <w:color w:val="auto"/>
          <w:sz w:val="28"/>
          <w:szCs w:val="28"/>
        </w:rPr>
        <w:t>二、探矿权</w:t>
      </w:r>
      <w:r>
        <w:rPr>
          <w:rFonts w:hint="eastAsia"/>
          <w:b/>
          <w:bCs/>
          <w:color w:val="auto"/>
          <w:sz w:val="28"/>
          <w:szCs w:val="28"/>
          <w:lang w:val="en-US" w:eastAsia="zh-CN"/>
        </w:rPr>
        <w:t>及采矿权</w:t>
      </w:r>
      <w:r>
        <w:rPr>
          <w:b/>
          <w:bCs/>
          <w:color w:val="auto"/>
          <w:sz w:val="28"/>
          <w:szCs w:val="28"/>
        </w:rPr>
        <w:t>变更历史</w:t>
      </w:r>
    </w:p>
    <w:p w14:paraId="7120D34B">
      <w:pPr>
        <w:spacing w:line="360" w:lineRule="auto"/>
        <w:ind w:firstLine="560" w:firstLineChars="200"/>
        <w:rPr>
          <w:rFonts w:hint="eastAsia" w:ascii="Times New Roman" w:hAnsi="Times New Roman" w:eastAsia="宋体" w:cs="Times New Roman"/>
          <w:color w:val="auto"/>
          <w:sz w:val="28"/>
          <w:szCs w:val="28"/>
          <w:lang w:eastAsia="zh-CN"/>
        </w:rPr>
      </w:pPr>
      <w:r>
        <w:rPr>
          <w:rFonts w:hint="default" w:ascii="Times New Roman" w:hAnsi="Times New Roman" w:cs="Times New Roman"/>
          <w:color w:val="auto"/>
          <w:sz w:val="28"/>
          <w:szCs w:val="28"/>
        </w:rPr>
        <w:t>赤峰市矿业权储备交易中心</w:t>
      </w:r>
      <w:r>
        <w:rPr>
          <w:rFonts w:hint="default" w:ascii="Times New Roman" w:hAnsi="Times New Roman" w:cs="Times New Roman"/>
          <w:color w:val="auto"/>
          <w:sz w:val="28"/>
          <w:szCs w:val="28"/>
          <w:lang w:val="en-US" w:eastAsia="zh-CN"/>
        </w:rPr>
        <w:t>2013年对</w:t>
      </w:r>
      <w:r>
        <w:rPr>
          <w:rFonts w:hint="default" w:ascii="Times New Roman" w:hAnsi="Times New Roman" w:cs="Times New Roman"/>
          <w:color w:val="auto"/>
          <w:sz w:val="28"/>
          <w:szCs w:val="28"/>
        </w:rPr>
        <w:t>松山区初头朗镇窑沟门碎石矿采矿权进行挂牌出让，赤峰鑫鑫矿业有限公司于2013年3月11日获得了该碎石矿采矿权。</w:t>
      </w:r>
    </w:p>
    <w:p w14:paraId="1BD23664">
      <w:pPr>
        <w:adjustRightInd w:val="0"/>
        <w:snapToGrid w:val="0"/>
        <w:spacing w:line="360" w:lineRule="auto"/>
        <w:ind w:firstLine="562" w:firstLineChars="200"/>
        <w:outlineLvl w:val="2"/>
        <w:rPr>
          <w:color w:val="auto"/>
        </w:rPr>
      </w:pPr>
      <w:r>
        <w:rPr>
          <w:b/>
          <w:bCs/>
          <w:color w:val="auto"/>
          <w:sz w:val="28"/>
          <w:szCs w:val="28"/>
        </w:rPr>
        <w:t>三、现持有采矿证情况</w:t>
      </w:r>
    </w:p>
    <w:p w14:paraId="661B729D">
      <w:pPr>
        <w:spacing w:line="360" w:lineRule="auto"/>
        <w:ind w:firstLine="560" w:firstLineChars="200"/>
        <w:rPr>
          <w:color w:val="auto"/>
          <w:sz w:val="28"/>
          <w:szCs w:val="28"/>
        </w:rPr>
      </w:pPr>
      <w:r>
        <w:rPr>
          <w:color w:val="auto"/>
          <w:sz w:val="28"/>
          <w:szCs w:val="28"/>
        </w:rPr>
        <w:t>矿山现有采矿许可证持有人为</w:t>
      </w:r>
      <w:r>
        <w:rPr>
          <w:rFonts w:hint="eastAsia" w:ascii="Times New Roman" w:hAnsi="Times New Roman" w:eastAsia="宋体" w:cs="Times New Roman"/>
          <w:color w:val="auto"/>
          <w:sz w:val="28"/>
          <w:szCs w:val="28"/>
        </w:rPr>
        <w:t>赤峰鑫鑫矿业有限公司</w:t>
      </w:r>
      <w:r>
        <w:rPr>
          <w:color w:val="auto"/>
          <w:sz w:val="28"/>
          <w:szCs w:val="28"/>
        </w:rPr>
        <w:t>，矿山名称为</w:t>
      </w:r>
      <w:r>
        <w:rPr>
          <w:rFonts w:hint="eastAsia"/>
          <w:color w:val="auto"/>
          <w:sz w:val="28"/>
          <w:szCs w:val="28"/>
          <w:lang w:eastAsia="zh-CN"/>
        </w:rPr>
        <w:t>松山区初头朗镇窑沟门碎石矿</w:t>
      </w:r>
      <w:r>
        <w:rPr>
          <w:color w:val="auto"/>
          <w:sz w:val="28"/>
          <w:szCs w:val="28"/>
        </w:rPr>
        <w:t>，矿区位于赤峰市松山区初头朗镇境内，当前采矿许可证为20</w:t>
      </w:r>
      <w:r>
        <w:rPr>
          <w:rFonts w:hint="eastAsia"/>
          <w:color w:val="auto"/>
          <w:sz w:val="28"/>
          <w:szCs w:val="28"/>
          <w:lang w:val="en-US" w:eastAsia="zh-CN"/>
        </w:rPr>
        <w:t>2</w:t>
      </w:r>
      <w:r>
        <w:rPr>
          <w:color w:val="auto"/>
          <w:sz w:val="28"/>
          <w:szCs w:val="28"/>
        </w:rPr>
        <w:t>5年</w:t>
      </w:r>
      <w:r>
        <w:rPr>
          <w:rFonts w:hint="eastAsia"/>
          <w:color w:val="auto"/>
          <w:sz w:val="28"/>
          <w:szCs w:val="28"/>
          <w:lang w:val="en-US" w:eastAsia="zh-CN"/>
        </w:rPr>
        <w:t>12</w:t>
      </w:r>
      <w:r>
        <w:rPr>
          <w:color w:val="auto"/>
          <w:sz w:val="28"/>
          <w:szCs w:val="28"/>
        </w:rPr>
        <w:t>月赤峰市</w:t>
      </w:r>
      <w:r>
        <w:rPr>
          <w:rFonts w:hint="eastAsia"/>
          <w:color w:val="auto"/>
          <w:sz w:val="28"/>
          <w:szCs w:val="28"/>
          <w:lang w:val="en-US" w:eastAsia="zh-CN"/>
        </w:rPr>
        <w:t>自然</w:t>
      </w:r>
      <w:r>
        <w:rPr>
          <w:color w:val="auto"/>
          <w:sz w:val="28"/>
          <w:szCs w:val="28"/>
        </w:rPr>
        <w:t>资源局颁发。目前持有采矿许可证内容叙述如下：</w:t>
      </w:r>
    </w:p>
    <w:p w14:paraId="4608F043">
      <w:pPr>
        <w:spacing w:line="360" w:lineRule="auto"/>
        <w:ind w:firstLine="560" w:firstLineChars="200"/>
        <w:rPr>
          <w:color w:val="auto"/>
          <w:sz w:val="28"/>
          <w:szCs w:val="28"/>
        </w:rPr>
      </w:pPr>
      <w:r>
        <w:rPr>
          <w:color w:val="auto"/>
          <w:sz w:val="28"/>
          <w:szCs w:val="28"/>
        </w:rPr>
        <w:t>采矿许可证号</w:t>
      </w:r>
      <w:r>
        <w:rPr>
          <w:rFonts w:ascii="Times New Roman" w:hAnsi="Times New Roman" w:cs="Times New Roman"/>
          <w:color w:val="auto"/>
          <w:sz w:val="28"/>
          <w:szCs w:val="28"/>
        </w:rPr>
        <w:t>：</w:t>
      </w:r>
      <w:r>
        <w:rPr>
          <w:rFonts w:hint="eastAsia" w:ascii="Times New Roman" w:hAnsi="Times New Roman" w:cs="Times New Roman"/>
          <w:color w:val="auto"/>
          <w:sz w:val="28"/>
          <w:szCs w:val="28"/>
        </w:rPr>
        <w:t>C1504002014127130136496</w:t>
      </w:r>
      <w:r>
        <w:rPr>
          <w:rFonts w:ascii="Times New Roman" w:hAnsi="Times New Roman" w:cs="Times New Roman"/>
          <w:color w:val="auto"/>
          <w:sz w:val="28"/>
          <w:szCs w:val="28"/>
        </w:rPr>
        <w:t>；</w:t>
      </w:r>
    </w:p>
    <w:p w14:paraId="5FF62483">
      <w:pPr>
        <w:spacing w:line="360" w:lineRule="auto"/>
        <w:ind w:firstLine="560" w:firstLineChars="200"/>
        <w:rPr>
          <w:color w:val="auto"/>
          <w:sz w:val="28"/>
          <w:szCs w:val="28"/>
        </w:rPr>
      </w:pPr>
      <w:r>
        <w:rPr>
          <w:color w:val="auto"/>
          <w:sz w:val="28"/>
          <w:szCs w:val="28"/>
        </w:rPr>
        <w:t>采矿权人：</w:t>
      </w:r>
      <w:r>
        <w:rPr>
          <w:rFonts w:hint="eastAsia" w:ascii="Times New Roman" w:hAnsi="Times New Roman" w:eastAsia="宋体" w:cs="Times New Roman"/>
          <w:color w:val="auto"/>
          <w:sz w:val="28"/>
          <w:szCs w:val="28"/>
        </w:rPr>
        <w:t>赤峰鑫鑫矿业有限公司</w:t>
      </w:r>
      <w:r>
        <w:rPr>
          <w:color w:val="auto"/>
          <w:sz w:val="28"/>
          <w:szCs w:val="28"/>
        </w:rPr>
        <w:t>；</w:t>
      </w:r>
    </w:p>
    <w:p w14:paraId="00E39E32">
      <w:pPr>
        <w:spacing w:line="360" w:lineRule="auto"/>
        <w:ind w:firstLine="560" w:firstLineChars="200"/>
        <w:rPr>
          <w:color w:val="auto"/>
          <w:sz w:val="28"/>
          <w:szCs w:val="28"/>
        </w:rPr>
      </w:pPr>
      <w:r>
        <w:rPr>
          <w:color w:val="auto"/>
          <w:sz w:val="28"/>
          <w:szCs w:val="28"/>
        </w:rPr>
        <w:t>矿山名称：</w:t>
      </w:r>
      <w:r>
        <w:rPr>
          <w:rFonts w:hint="eastAsia"/>
          <w:color w:val="auto"/>
          <w:sz w:val="28"/>
          <w:szCs w:val="28"/>
          <w:lang w:eastAsia="zh-CN"/>
        </w:rPr>
        <w:t>松山区初头朗镇窑沟门碎石矿</w:t>
      </w:r>
      <w:r>
        <w:rPr>
          <w:color w:val="auto"/>
          <w:sz w:val="28"/>
          <w:szCs w:val="28"/>
        </w:rPr>
        <w:t>；</w:t>
      </w:r>
    </w:p>
    <w:p w14:paraId="37388728">
      <w:pPr>
        <w:spacing w:line="360" w:lineRule="auto"/>
        <w:ind w:firstLine="560" w:firstLineChars="200"/>
        <w:rPr>
          <w:color w:val="auto"/>
          <w:sz w:val="28"/>
          <w:szCs w:val="28"/>
        </w:rPr>
      </w:pPr>
      <w:r>
        <w:rPr>
          <w:color w:val="auto"/>
          <w:sz w:val="28"/>
          <w:szCs w:val="28"/>
        </w:rPr>
        <w:t>地</w:t>
      </w:r>
      <w:r>
        <w:rPr>
          <w:rFonts w:hint="eastAsia"/>
          <w:color w:val="auto"/>
          <w:sz w:val="28"/>
          <w:szCs w:val="28"/>
        </w:rPr>
        <w:t xml:space="preserve">    </w:t>
      </w:r>
      <w:r>
        <w:rPr>
          <w:color w:val="auto"/>
          <w:sz w:val="28"/>
          <w:szCs w:val="28"/>
        </w:rPr>
        <w:t>址：松山区</w:t>
      </w:r>
      <w:r>
        <w:rPr>
          <w:rFonts w:hint="eastAsia"/>
          <w:color w:val="auto"/>
          <w:sz w:val="28"/>
          <w:szCs w:val="28"/>
          <w:lang w:val="en-US" w:eastAsia="zh-CN"/>
        </w:rPr>
        <w:t>初头朗镇窑沟门村</w:t>
      </w:r>
      <w:r>
        <w:rPr>
          <w:color w:val="auto"/>
          <w:sz w:val="28"/>
          <w:szCs w:val="28"/>
        </w:rPr>
        <w:t>；</w:t>
      </w:r>
    </w:p>
    <w:p w14:paraId="0EA5DCB5">
      <w:pPr>
        <w:spacing w:line="360" w:lineRule="auto"/>
        <w:ind w:firstLine="560" w:firstLineChars="200"/>
        <w:rPr>
          <w:color w:val="auto"/>
          <w:sz w:val="28"/>
          <w:szCs w:val="28"/>
        </w:rPr>
      </w:pPr>
      <w:r>
        <w:rPr>
          <w:color w:val="auto"/>
          <w:sz w:val="28"/>
          <w:szCs w:val="28"/>
        </w:rPr>
        <w:t>开采矿</w:t>
      </w:r>
      <w:r>
        <w:rPr>
          <w:rFonts w:ascii="Times New Roman" w:hAnsi="Times New Roman" w:cs="Times New Roman"/>
          <w:color w:val="auto"/>
          <w:sz w:val="28"/>
          <w:szCs w:val="28"/>
        </w:rPr>
        <w:t>种：</w:t>
      </w:r>
      <w:r>
        <w:rPr>
          <w:rFonts w:hint="eastAsia" w:ascii="Times New Roman" w:hAnsi="Times New Roman" w:cs="Times New Roman"/>
          <w:color w:val="auto"/>
          <w:sz w:val="28"/>
          <w:szCs w:val="28"/>
        </w:rPr>
        <w:t>建筑用石料（凝灰岩）</w:t>
      </w:r>
      <w:r>
        <w:rPr>
          <w:rFonts w:ascii="Times New Roman" w:hAnsi="Times New Roman" w:cs="Times New Roman"/>
          <w:color w:val="auto"/>
          <w:sz w:val="28"/>
          <w:szCs w:val="28"/>
        </w:rPr>
        <w:t>；</w:t>
      </w:r>
    </w:p>
    <w:p w14:paraId="0C10BC29">
      <w:pPr>
        <w:spacing w:line="360" w:lineRule="auto"/>
        <w:ind w:firstLine="560" w:firstLineChars="200"/>
        <w:rPr>
          <w:color w:val="auto"/>
          <w:sz w:val="28"/>
          <w:szCs w:val="28"/>
        </w:rPr>
      </w:pPr>
      <w:r>
        <w:rPr>
          <w:color w:val="auto"/>
          <w:sz w:val="28"/>
          <w:szCs w:val="28"/>
        </w:rPr>
        <w:t>开采方式：</w:t>
      </w:r>
      <w:r>
        <w:rPr>
          <w:rFonts w:hint="eastAsia"/>
          <w:color w:val="auto"/>
          <w:sz w:val="28"/>
          <w:szCs w:val="28"/>
          <w:lang w:val="en-US" w:eastAsia="zh-CN"/>
        </w:rPr>
        <w:t>露天</w:t>
      </w:r>
      <w:r>
        <w:rPr>
          <w:color w:val="auto"/>
          <w:sz w:val="28"/>
          <w:szCs w:val="28"/>
        </w:rPr>
        <w:t>开采；</w:t>
      </w:r>
    </w:p>
    <w:p w14:paraId="790F3168">
      <w:pPr>
        <w:spacing w:line="360" w:lineRule="auto"/>
        <w:ind w:firstLine="560" w:firstLineChars="200"/>
        <w:rPr>
          <w:color w:val="auto"/>
          <w:sz w:val="28"/>
          <w:szCs w:val="28"/>
        </w:rPr>
      </w:pPr>
      <w:r>
        <w:rPr>
          <w:color w:val="auto"/>
          <w:sz w:val="28"/>
          <w:szCs w:val="28"/>
        </w:rPr>
        <w:t>矿区面积：</w:t>
      </w:r>
      <w:r>
        <w:rPr>
          <w:rFonts w:hint="eastAsia"/>
          <w:color w:val="auto"/>
          <w:sz w:val="28"/>
          <w:szCs w:val="28"/>
          <w:lang w:val="en-US" w:eastAsia="zh-CN"/>
        </w:rPr>
        <w:t>0.044</w:t>
      </w:r>
      <w:r>
        <w:rPr>
          <w:color w:val="auto"/>
          <w:sz w:val="28"/>
          <w:szCs w:val="28"/>
        </w:rPr>
        <w:t>km</w:t>
      </w:r>
      <w:r>
        <w:rPr>
          <w:color w:val="auto"/>
          <w:sz w:val="28"/>
          <w:szCs w:val="28"/>
          <w:vertAlign w:val="superscript"/>
        </w:rPr>
        <w:t>2</w:t>
      </w:r>
      <w:r>
        <w:rPr>
          <w:color w:val="auto"/>
          <w:sz w:val="28"/>
          <w:szCs w:val="28"/>
        </w:rPr>
        <w:t>；</w:t>
      </w:r>
    </w:p>
    <w:p w14:paraId="56E74BAE">
      <w:pPr>
        <w:spacing w:line="360" w:lineRule="auto"/>
        <w:ind w:firstLine="560" w:firstLineChars="200"/>
        <w:rPr>
          <w:color w:val="auto"/>
          <w:sz w:val="28"/>
          <w:szCs w:val="28"/>
        </w:rPr>
      </w:pPr>
      <w:r>
        <w:rPr>
          <w:color w:val="auto"/>
          <w:sz w:val="28"/>
          <w:szCs w:val="28"/>
        </w:rPr>
        <w:t>生产规模：</w:t>
      </w:r>
      <w:r>
        <w:rPr>
          <w:rFonts w:hint="eastAsia"/>
          <w:color w:val="auto"/>
          <w:sz w:val="28"/>
          <w:szCs w:val="28"/>
          <w:lang w:val="en-US" w:eastAsia="zh-CN"/>
        </w:rPr>
        <w:t>2</w:t>
      </w:r>
      <w:r>
        <w:rPr>
          <w:color w:val="auto"/>
          <w:sz w:val="28"/>
          <w:szCs w:val="28"/>
        </w:rPr>
        <w:t>万吨/年；</w:t>
      </w:r>
    </w:p>
    <w:p w14:paraId="024F3771">
      <w:pPr>
        <w:spacing w:line="360" w:lineRule="auto"/>
        <w:ind w:firstLine="560" w:firstLineChars="200"/>
        <w:rPr>
          <w:color w:val="auto"/>
          <w:sz w:val="28"/>
          <w:szCs w:val="28"/>
        </w:rPr>
      </w:pPr>
      <w:r>
        <w:rPr>
          <w:color w:val="auto"/>
          <w:sz w:val="28"/>
          <w:szCs w:val="28"/>
        </w:rPr>
        <w:t>开采深度：1</w:t>
      </w:r>
      <w:r>
        <w:rPr>
          <w:rFonts w:hint="eastAsia"/>
          <w:color w:val="auto"/>
          <w:sz w:val="28"/>
          <w:szCs w:val="28"/>
          <w:lang w:val="en-US" w:eastAsia="zh-CN"/>
        </w:rPr>
        <w:t>050</w:t>
      </w:r>
      <w:r>
        <w:rPr>
          <w:color w:val="auto"/>
          <w:sz w:val="28"/>
          <w:szCs w:val="28"/>
        </w:rPr>
        <w:t>m～</w:t>
      </w:r>
      <w:r>
        <w:rPr>
          <w:rFonts w:hint="eastAsia"/>
          <w:color w:val="auto"/>
          <w:sz w:val="28"/>
          <w:szCs w:val="28"/>
          <w:lang w:val="en-US" w:eastAsia="zh-CN"/>
        </w:rPr>
        <w:t>984</w:t>
      </w:r>
      <w:r>
        <w:rPr>
          <w:color w:val="auto"/>
          <w:sz w:val="28"/>
          <w:szCs w:val="28"/>
        </w:rPr>
        <w:t>m标高；</w:t>
      </w:r>
    </w:p>
    <w:p w14:paraId="0127F63C">
      <w:pPr>
        <w:spacing w:line="360" w:lineRule="auto"/>
        <w:ind w:firstLine="560" w:firstLineChars="200"/>
        <w:rPr>
          <w:rFonts w:hint="eastAsia"/>
          <w:color w:val="auto"/>
          <w:sz w:val="28"/>
          <w:szCs w:val="28"/>
          <w:lang w:eastAsia="zh-CN"/>
        </w:rPr>
      </w:pPr>
      <w:r>
        <w:rPr>
          <w:color w:val="auto"/>
          <w:sz w:val="28"/>
          <w:szCs w:val="28"/>
        </w:rPr>
        <w:t>有效期：自20</w:t>
      </w:r>
      <w:r>
        <w:rPr>
          <w:rFonts w:hint="eastAsia"/>
          <w:color w:val="auto"/>
          <w:sz w:val="28"/>
          <w:szCs w:val="28"/>
          <w:lang w:val="en-US" w:eastAsia="zh-CN"/>
        </w:rPr>
        <w:t>24</w:t>
      </w:r>
      <w:r>
        <w:rPr>
          <w:color w:val="auto"/>
          <w:sz w:val="28"/>
          <w:szCs w:val="28"/>
        </w:rPr>
        <w:t>年</w:t>
      </w:r>
      <w:r>
        <w:rPr>
          <w:rFonts w:hint="eastAsia"/>
          <w:color w:val="auto"/>
          <w:sz w:val="28"/>
          <w:szCs w:val="28"/>
          <w:lang w:val="en-US" w:eastAsia="zh-CN"/>
        </w:rPr>
        <w:t>12</w:t>
      </w:r>
      <w:r>
        <w:rPr>
          <w:color w:val="auto"/>
          <w:sz w:val="28"/>
          <w:szCs w:val="28"/>
        </w:rPr>
        <w:t>月</w:t>
      </w:r>
      <w:r>
        <w:rPr>
          <w:rFonts w:hint="eastAsia"/>
          <w:color w:val="auto"/>
          <w:sz w:val="28"/>
          <w:szCs w:val="28"/>
          <w:lang w:val="en-US" w:eastAsia="zh-CN"/>
        </w:rPr>
        <w:t>10</w:t>
      </w:r>
      <w:r>
        <w:rPr>
          <w:color w:val="auto"/>
          <w:sz w:val="28"/>
          <w:szCs w:val="28"/>
        </w:rPr>
        <w:t>日至202</w:t>
      </w:r>
      <w:r>
        <w:rPr>
          <w:rFonts w:hint="eastAsia"/>
          <w:color w:val="auto"/>
          <w:sz w:val="28"/>
          <w:szCs w:val="28"/>
          <w:lang w:val="en-US" w:eastAsia="zh-CN"/>
        </w:rPr>
        <w:t>5</w:t>
      </w:r>
      <w:r>
        <w:rPr>
          <w:color w:val="auto"/>
          <w:sz w:val="28"/>
          <w:szCs w:val="28"/>
        </w:rPr>
        <w:t>年</w:t>
      </w:r>
      <w:r>
        <w:rPr>
          <w:rFonts w:hint="eastAsia"/>
          <w:color w:val="auto"/>
          <w:sz w:val="28"/>
          <w:szCs w:val="28"/>
          <w:lang w:val="en-US" w:eastAsia="zh-CN"/>
        </w:rPr>
        <w:t>12</w:t>
      </w:r>
      <w:r>
        <w:rPr>
          <w:color w:val="auto"/>
          <w:sz w:val="28"/>
          <w:szCs w:val="28"/>
        </w:rPr>
        <w:t>月</w:t>
      </w:r>
      <w:r>
        <w:rPr>
          <w:rFonts w:hint="eastAsia"/>
          <w:color w:val="auto"/>
          <w:sz w:val="28"/>
          <w:szCs w:val="28"/>
          <w:lang w:val="en-US" w:eastAsia="zh-CN"/>
        </w:rPr>
        <w:t>9</w:t>
      </w:r>
      <w:r>
        <w:rPr>
          <w:color w:val="auto"/>
          <w:sz w:val="28"/>
          <w:szCs w:val="28"/>
        </w:rPr>
        <w:t>日</w:t>
      </w:r>
      <w:r>
        <w:rPr>
          <w:rFonts w:hint="eastAsia"/>
          <w:color w:val="auto"/>
          <w:sz w:val="28"/>
          <w:szCs w:val="28"/>
          <w:lang w:eastAsia="zh-CN"/>
        </w:rPr>
        <w:t>。</w:t>
      </w:r>
    </w:p>
    <w:p w14:paraId="5BAE4925">
      <w:pPr>
        <w:spacing w:line="360" w:lineRule="auto"/>
        <w:ind w:firstLine="560" w:firstLineChars="200"/>
        <w:rPr>
          <w:rFonts w:hint="eastAsia"/>
          <w:color w:val="auto"/>
          <w:sz w:val="28"/>
          <w:szCs w:val="28"/>
          <w:lang w:eastAsia="zh-CN"/>
        </w:rPr>
      </w:pPr>
      <w:r>
        <w:rPr>
          <w:rFonts w:hint="eastAsia"/>
          <w:color w:val="auto"/>
          <w:sz w:val="28"/>
          <w:szCs w:val="28"/>
          <w:lang w:val="en-US" w:eastAsia="zh-CN"/>
        </w:rPr>
        <w:t>采矿证已过期，</w:t>
      </w:r>
      <w:r>
        <w:rPr>
          <w:rFonts w:hint="eastAsia" w:ascii="Times New Roman" w:hAnsi="Times New Roman" w:eastAsia="宋体" w:cs="Times New Roman"/>
          <w:color w:val="auto"/>
          <w:sz w:val="28"/>
          <w:szCs w:val="28"/>
          <w:lang w:val="en-US" w:eastAsia="zh-CN"/>
        </w:rPr>
        <w:t>矿权人承诺不再延续采矿许可证，按照相关规定进行闭坑治理</w:t>
      </w:r>
      <w:r>
        <w:rPr>
          <w:rFonts w:hint="eastAsia"/>
          <w:color w:val="auto"/>
          <w:sz w:val="28"/>
          <w:szCs w:val="28"/>
          <w:lang w:eastAsia="zh-CN"/>
        </w:rPr>
        <w:t>。</w:t>
      </w:r>
    </w:p>
    <w:p w14:paraId="32059B77">
      <w:pPr>
        <w:spacing w:line="360" w:lineRule="auto"/>
        <w:ind w:firstLine="560" w:firstLineChars="200"/>
        <w:rPr>
          <w:color w:val="auto"/>
          <w:sz w:val="28"/>
          <w:szCs w:val="28"/>
        </w:rPr>
      </w:pPr>
      <w:r>
        <w:rPr>
          <w:color w:val="auto"/>
          <w:sz w:val="28"/>
          <w:szCs w:val="28"/>
        </w:rPr>
        <w:t>矿区范围由</w:t>
      </w:r>
      <w:r>
        <w:rPr>
          <w:rFonts w:hint="eastAsia"/>
          <w:color w:val="auto"/>
          <w:sz w:val="28"/>
          <w:szCs w:val="28"/>
          <w:lang w:val="en-US" w:eastAsia="zh-CN"/>
        </w:rPr>
        <w:t>5</w:t>
      </w:r>
      <w:r>
        <w:rPr>
          <w:color w:val="auto"/>
          <w:sz w:val="28"/>
          <w:szCs w:val="28"/>
        </w:rPr>
        <w:t>个拐点圈定。矿区范围拐点坐标见表1-</w:t>
      </w:r>
      <w:r>
        <w:rPr>
          <w:rFonts w:hint="eastAsia"/>
          <w:color w:val="auto"/>
          <w:sz w:val="28"/>
          <w:szCs w:val="28"/>
          <w:lang w:val="en-US" w:eastAsia="zh-CN"/>
        </w:rPr>
        <w:t>1</w:t>
      </w:r>
      <w:r>
        <w:rPr>
          <w:color w:val="auto"/>
          <w:sz w:val="28"/>
          <w:szCs w:val="28"/>
        </w:rPr>
        <w:t>。</w:t>
      </w:r>
    </w:p>
    <w:p w14:paraId="10C2D8B3">
      <w:pPr>
        <w:jc w:val="center"/>
        <w:rPr>
          <w:rFonts w:ascii="Times New Roman" w:hAnsi="Times New Roman" w:eastAsia="黑体" w:cs="Times New Roman"/>
          <w:color w:val="auto"/>
          <w:sz w:val="24"/>
          <w:szCs w:val="24"/>
        </w:rPr>
      </w:pPr>
      <w:r>
        <w:rPr>
          <w:rFonts w:ascii="Times New Roman" w:hAnsi="Times New Roman" w:eastAsia="黑体" w:cs="Times New Roman"/>
          <w:color w:val="auto"/>
          <w:sz w:val="24"/>
          <w:szCs w:val="24"/>
        </w:rPr>
        <w:t>表1-</w:t>
      </w:r>
      <w:r>
        <w:rPr>
          <w:rFonts w:hint="eastAsia" w:eastAsia="黑体" w:cs="Times New Roman"/>
          <w:color w:val="auto"/>
          <w:sz w:val="24"/>
          <w:szCs w:val="24"/>
          <w:lang w:val="en-US" w:eastAsia="zh-CN"/>
        </w:rPr>
        <w:t>1</w:t>
      </w:r>
      <w:r>
        <w:rPr>
          <w:rFonts w:ascii="Times New Roman" w:hAnsi="Times New Roman" w:eastAsia="黑体" w:cs="Times New Roman"/>
          <w:color w:val="auto"/>
          <w:sz w:val="24"/>
          <w:szCs w:val="24"/>
        </w:rPr>
        <w:t xml:space="preserve">  矿区范围拐点坐标</w:t>
      </w: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25"/>
        <w:gridCol w:w="3061"/>
        <w:gridCol w:w="3275"/>
      </w:tblGrid>
      <w:tr w14:paraId="412C7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000" w:type="pct"/>
            <w:gridSpan w:val="3"/>
            <w:vAlign w:val="center"/>
          </w:tcPr>
          <w:p w14:paraId="2BC21B8C">
            <w:pPr>
              <w:widowControl/>
              <w:spacing w:line="30" w:lineRule="atLeast"/>
              <w:jc w:val="center"/>
              <w:rPr>
                <w:snapToGrid w:val="0"/>
                <w:color w:val="auto"/>
                <w:kern w:val="0"/>
                <w:szCs w:val="21"/>
              </w:rPr>
            </w:pPr>
            <w:r>
              <w:rPr>
                <w:snapToGrid w:val="0"/>
                <w:color w:val="auto"/>
                <w:kern w:val="0"/>
                <w:szCs w:val="21"/>
              </w:rPr>
              <w:t>2000国家大地坐标系</w:t>
            </w:r>
          </w:p>
        </w:tc>
      </w:tr>
      <w:tr w14:paraId="0BAA2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504" w:type="pct"/>
            <w:noWrap/>
            <w:vAlign w:val="center"/>
          </w:tcPr>
          <w:p w14:paraId="5C501E26">
            <w:pPr>
              <w:widowControl/>
              <w:spacing w:line="30" w:lineRule="atLeast"/>
              <w:jc w:val="center"/>
              <w:rPr>
                <w:snapToGrid w:val="0"/>
                <w:color w:val="auto"/>
                <w:kern w:val="0"/>
                <w:szCs w:val="21"/>
              </w:rPr>
            </w:pPr>
            <w:bookmarkStart w:id="19" w:name="_Hlk219066209"/>
            <w:r>
              <w:rPr>
                <w:snapToGrid w:val="0"/>
                <w:color w:val="auto"/>
                <w:kern w:val="0"/>
                <w:szCs w:val="21"/>
              </w:rPr>
              <w:t>拐点编号</w:t>
            </w:r>
          </w:p>
        </w:tc>
        <w:tc>
          <w:tcPr>
            <w:tcW w:w="1689" w:type="pct"/>
            <w:noWrap/>
            <w:vAlign w:val="center"/>
          </w:tcPr>
          <w:p w14:paraId="08A17236">
            <w:pPr>
              <w:widowControl/>
              <w:spacing w:line="30" w:lineRule="atLeast"/>
              <w:jc w:val="center"/>
              <w:rPr>
                <w:snapToGrid w:val="0"/>
                <w:color w:val="auto"/>
                <w:kern w:val="0"/>
                <w:szCs w:val="21"/>
              </w:rPr>
            </w:pPr>
            <w:r>
              <w:rPr>
                <w:snapToGrid w:val="0"/>
                <w:color w:val="auto"/>
                <w:kern w:val="0"/>
                <w:szCs w:val="21"/>
              </w:rPr>
              <w:t>X</w:t>
            </w:r>
          </w:p>
        </w:tc>
        <w:tc>
          <w:tcPr>
            <w:tcW w:w="1805" w:type="pct"/>
            <w:noWrap/>
            <w:vAlign w:val="center"/>
          </w:tcPr>
          <w:p w14:paraId="34A727AF">
            <w:pPr>
              <w:widowControl/>
              <w:spacing w:line="30" w:lineRule="atLeast"/>
              <w:jc w:val="center"/>
              <w:rPr>
                <w:snapToGrid w:val="0"/>
                <w:color w:val="auto"/>
                <w:kern w:val="0"/>
                <w:szCs w:val="21"/>
              </w:rPr>
            </w:pPr>
            <w:r>
              <w:rPr>
                <w:snapToGrid w:val="0"/>
                <w:color w:val="auto"/>
                <w:kern w:val="0"/>
                <w:szCs w:val="21"/>
              </w:rPr>
              <w:t>Y</w:t>
            </w:r>
          </w:p>
        </w:tc>
      </w:tr>
      <w:tr w14:paraId="51405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725" w:type="dxa"/>
            <w:noWrap/>
            <w:vAlign w:val="center"/>
          </w:tcPr>
          <w:p w14:paraId="1357F0C7">
            <w:pPr>
              <w:widowControl/>
              <w:spacing w:line="30" w:lineRule="atLeast"/>
              <w:jc w:val="center"/>
              <w:rPr>
                <w:rFonts w:ascii="Times New Roman" w:hAnsi="Times New Roman" w:cs="Times New Roman"/>
                <w:snapToGrid w:val="0"/>
                <w:color w:val="auto"/>
                <w:kern w:val="0"/>
                <w:szCs w:val="21"/>
              </w:rPr>
            </w:pPr>
            <w:r>
              <w:rPr>
                <w:rFonts w:hint="eastAsia" w:ascii="Times New Roman" w:hAnsi="Times New Roman" w:cs="Times New Roman"/>
                <w:snapToGrid w:val="0"/>
                <w:color w:val="auto"/>
                <w:kern w:val="0"/>
                <w:szCs w:val="21"/>
                <w:lang w:val="en-US" w:eastAsia="zh-CN"/>
              </w:rPr>
              <w:t>1</w:t>
            </w:r>
          </w:p>
        </w:tc>
        <w:tc>
          <w:tcPr>
            <w:tcW w:w="3061" w:type="dxa"/>
            <w:noWrap/>
            <w:vAlign w:val="center"/>
          </w:tcPr>
          <w:p w14:paraId="2FBCB83E">
            <w:pPr>
              <w:widowControl/>
              <w:spacing w:line="30" w:lineRule="atLeast"/>
              <w:jc w:val="center"/>
              <w:rPr>
                <w:rFonts w:ascii="Times New Roman" w:hAnsi="Times New Roman" w:cs="Times New Roman"/>
                <w:snapToGrid w:val="0"/>
                <w:color w:val="auto"/>
                <w:kern w:val="0"/>
                <w:szCs w:val="21"/>
              </w:rPr>
            </w:pPr>
            <w:r>
              <w:rPr>
                <w:rFonts w:hint="eastAsia" w:ascii="Times New Roman" w:hAnsi="Times New Roman" w:cs="Times New Roman"/>
                <w:snapToGrid w:val="0"/>
                <w:color w:val="auto"/>
                <w:kern w:val="0"/>
                <w:szCs w:val="21"/>
                <w:lang w:val="en-US" w:eastAsia="zh-CN"/>
              </w:rPr>
              <w:t xml:space="preserve">4701796.66 </w:t>
            </w:r>
          </w:p>
        </w:tc>
        <w:tc>
          <w:tcPr>
            <w:tcW w:w="3275" w:type="dxa"/>
            <w:noWrap/>
            <w:vAlign w:val="center"/>
          </w:tcPr>
          <w:p w14:paraId="75F4F3F8">
            <w:pPr>
              <w:widowControl/>
              <w:spacing w:line="30" w:lineRule="atLeast"/>
              <w:jc w:val="center"/>
              <w:rPr>
                <w:rFonts w:ascii="Times New Roman" w:hAnsi="Times New Roman" w:cs="Times New Roman"/>
                <w:snapToGrid w:val="0"/>
                <w:color w:val="auto"/>
                <w:kern w:val="0"/>
                <w:szCs w:val="21"/>
              </w:rPr>
            </w:pPr>
            <w:r>
              <w:rPr>
                <w:rFonts w:hint="eastAsia" w:ascii="Times New Roman" w:hAnsi="Times New Roman" w:cs="Times New Roman"/>
                <w:snapToGrid w:val="0"/>
                <w:color w:val="auto"/>
                <w:kern w:val="0"/>
                <w:szCs w:val="21"/>
                <w:lang w:val="en-US" w:eastAsia="zh-CN"/>
              </w:rPr>
              <w:t xml:space="preserve">40381761.48 </w:t>
            </w:r>
          </w:p>
        </w:tc>
      </w:tr>
      <w:tr w14:paraId="2A4CB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725" w:type="dxa"/>
            <w:noWrap/>
            <w:vAlign w:val="center"/>
          </w:tcPr>
          <w:p w14:paraId="74687A72">
            <w:pPr>
              <w:widowControl/>
              <w:spacing w:line="30" w:lineRule="atLeast"/>
              <w:jc w:val="center"/>
              <w:rPr>
                <w:rFonts w:ascii="Times New Roman" w:hAnsi="Times New Roman" w:cs="Times New Roman"/>
                <w:snapToGrid w:val="0"/>
                <w:color w:val="auto"/>
                <w:kern w:val="0"/>
                <w:szCs w:val="21"/>
              </w:rPr>
            </w:pPr>
            <w:r>
              <w:rPr>
                <w:rFonts w:hint="eastAsia" w:ascii="Times New Roman" w:hAnsi="Times New Roman" w:cs="Times New Roman"/>
                <w:snapToGrid w:val="0"/>
                <w:color w:val="auto"/>
                <w:kern w:val="0"/>
                <w:szCs w:val="21"/>
                <w:lang w:val="en-US" w:eastAsia="zh-CN"/>
              </w:rPr>
              <w:t>2</w:t>
            </w:r>
          </w:p>
        </w:tc>
        <w:tc>
          <w:tcPr>
            <w:tcW w:w="3061" w:type="dxa"/>
            <w:noWrap/>
            <w:vAlign w:val="center"/>
          </w:tcPr>
          <w:p w14:paraId="672E5C13">
            <w:pPr>
              <w:widowControl/>
              <w:spacing w:line="30" w:lineRule="atLeast"/>
              <w:jc w:val="center"/>
              <w:rPr>
                <w:rFonts w:ascii="Times New Roman" w:hAnsi="Times New Roman" w:cs="Times New Roman"/>
                <w:snapToGrid w:val="0"/>
                <w:color w:val="auto"/>
                <w:kern w:val="0"/>
                <w:szCs w:val="21"/>
              </w:rPr>
            </w:pPr>
            <w:r>
              <w:rPr>
                <w:rFonts w:hint="eastAsia" w:ascii="Times New Roman" w:hAnsi="Times New Roman" w:cs="Times New Roman"/>
                <w:snapToGrid w:val="0"/>
                <w:color w:val="auto"/>
                <w:kern w:val="0"/>
                <w:szCs w:val="21"/>
                <w:lang w:val="en-US" w:eastAsia="zh-CN"/>
              </w:rPr>
              <w:t xml:space="preserve">4701673.21 </w:t>
            </w:r>
          </w:p>
        </w:tc>
        <w:tc>
          <w:tcPr>
            <w:tcW w:w="3275" w:type="dxa"/>
            <w:noWrap/>
            <w:vAlign w:val="center"/>
          </w:tcPr>
          <w:p w14:paraId="788F3E0F">
            <w:pPr>
              <w:widowControl/>
              <w:spacing w:line="30" w:lineRule="atLeast"/>
              <w:jc w:val="center"/>
              <w:rPr>
                <w:rFonts w:ascii="Times New Roman" w:hAnsi="Times New Roman" w:cs="Times New Roman"/>
                <w:snapToGrid w:val="0"/>
                <w:color w:val="auto"/>
                <w:kern w:val="0"/>
                <w:szCs w:val="21"/>
              </w:rPr>
            </w:pPr>
            <w:r>
              <w:rPr>
                <w:rFonts w:hint="eastAsia" w:ascii="Times New Roman" w:hAnsi="Times New Roman" w:cs="Times New Roman"/>
                <w:snapToGrid w:val="0"/>
                <w:color w:val="auto"/>
                <w:kern w:val="0"/>
                <w:szCs w:val="21"/>
                <w:lang w:val="en-US" w:eastAsia="zh-CN"/>
              </w:rPr>
              <w:t xml:space="preserve">40381857.17 </w:t>
            </w:r>
          </w:p>
        </w:tc>
      </w:tr>
      <w:tr w14:paraId="135F2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725" w:type="dxa"/>
            <w:noWrap/>
            <w:vAlign w:val="center"/>
          </w:tcPr>
          <w:p w14:paraId="22323A12">
            <w:pPr>
              <w:widowControl/>
              <w:spacing w:line="30" w:lineRule="atLeast"/>
              <w:jc w:val="center"/>
              <w:rPr>
                <w:rFonts w:ascii="Times New Roman" w:hAnsi="Times New Roman" w:cs="Times New Roman"/>
                <w:snapToGrid w:val="0"/>
                <w:color w:val="auto"/>
                <w:kern w:val="0"/>
                <w:szCs w:val="21"/>
              </w:rPr>
            </w:pPr>
            <w:r>
              <w:rPr>
                <w:rFonts w:hint="eastAsia" w:ascii="Times New Roman" w:hAnsi="Times New Roman" w:cs="Times New Roman"/>
                <w:snapToGrid w:val="0"/>
                <w:color w:val="auto"/>
                <w:kern w:val="0"/>
                <w:szCs w:val="21"/>
                <w:lang w:val="en-US" w:eastAsia="zh-CN"/>
              </w:rPr>
              <w:t>3</w:t>
            </w:r>
          </w:p>
        </w:tc>
        <w:tc>
          <w:tcPr>
            <w:tcW w:w="3061" w:type="dxa"/>
            <w:noWrap/>
            <w:vAlign w:val="center"/>
          </w:tcPr>
          <w:p w14:paraId="7BEA820D">
            <w:pPr>
              <w:widowControl/>
              <w:spacing w:line="30" w:lineRule="atLeast"/>
              <w:jc w:val="center"/>
              <w:rPr>
                <w:rFonts w:ascii="Times New Roman" w:hAnsi="Times New Roman" w:cs="Times New Roman"/>
                <w:snapToGrid w:val="0"/>
                <w:color w:val="auto"/>
                <w:kern w:val="0"/>
                <w:szCs w:val="21"/>
              </w:rPr>
            </w:pPr>
            <w:r>
              <w:rPr>
                <w:rFonts w:hint="eastAsia" w:ascii="Times New Roman" w:hAnsi="Times New Roman" w:cs="Times New Roman"/>
                <w:snapToGrid w:val="0"/>
                <w:color w:val="auto"/>
                <w:kern w:val="0"/>
                <w:szCs w:val="21"/>
                <w:lang w:val="en-US" w:eastAsia="zh-CN"/>
              </w:rPr>
              <w:t xml:space="preserve">4701787.12 </w:t>
            </w:r>
          </w:p>
        </w:tc>
        <w:tc>
          <w:tcPr>
            <w:tcW w:w="3275" w:type="dxa"/>
            <w:noWrap/>
            <w:vAlign w:val="center"/>
          </w:tcPr>
          <w:p w14:paraId="6E8C31CB">
            <w:pPr>
              <w:widowControl/>
              <w:spacing w:line="30" w:lineRule="atLeast"/>
              <w:jc w:val="center"/>
              <w:rPr>
                <w:rFonts w:ascii="Times New Roman" w:hAnsi="Times New Roman" w:cs="Times New Roman"/>
                <w:snapToGrid w:val="0"/>
                <w:color w:val="auto"/>
                <w:kern w:val="0"/>
                <w:szCs w:val="21"/>
              </w:rPr>
            </w:pPr>
            <w:r>
              <w:rPr>
                <w:rFonts w:hint="eastAsia" w:ascii="Times New Roman" w:hAnsi="Times New Roman" w:cs="Times New Roman"/>
                <w:snapToGrid w:val="0"/>
                <w:color w:val="auto"/>
                <w:kern w:val="0"/>
                <w:szCs w:val="21"/>
                <w:lang w:val="en-US" w:eastAsia="zh-CN"/>
              </w:rPr>
              <w:t xml:space="preserve">40382031.30 </w:t>
            </w:r>
          </w:p>
        </w:tc>
      </w:tr>
      <w:tr w14:paraId="560D7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725" w:type="dxa"/>
            <w:noWrap/>
            <w:vAlign w:val="center"/>
          </w:tcPr>
          <w:p w14:paraId="7BBD8147">
            <w:pPr>
              <w:widowControl/>
              <w:spacing w:line="30" w:lineRule="atLeast"/>
              <w:jc w:val="center"/>
              <w:rPr>
                <w:rFonts w:ascii="Times New Roman" w:hAnsi="Times New Roman" w:cs="Times New Roman"/>
                <w:snapToGrid w:val="0"/>
                <w:color w:val="auto"/>
                <w:kern w:val="0"/>
                <w:szCs w:val="21"/>
              </w:rPr>
            </w:pPr>
            <w:r>
              <w:rPr>
                <w:rFonts w:hint="eastAsia" w:ascii="Times New Roman" w:hAnsi="Times New Roman" w:cs="Times New Roman"/>
                <w:snapToGrid w:val="0"/>
                <w:color w:val="auto"/>
                <w:kern w:val="0"/>
                <w:szCs w:val="21"/>
                <w:lang w:val="en-US" w:eastAsia="zh-CN"/>
              </w:rPr>
              <w:t>4</w:t>
            </w:r>
          </w:p>
        </w:tc>
        <w:tc>
          <w:tcPr>
            <w:tcW w:w="3061" w:type="dxa"/>
            <w:noWrap/>
            <w:vAlign w:val="center"/>
          </w:tcPr>
          <w:p w14:paraId="30157010">
            <w:pPr>
              <w:widowControl/>
              <w:spacing w:line="30" w:lineRule="atLeast"/>
              <w:jc w:val="center"/>
              <w:rPr>
                <w:rFonts w:ascii="Times New Roman" w:hAnsi="Times New Roman" w:cs="Times New Roman"/>
                <w:snapToGrid w:val="0"/>
                <w:color w:val="auto"/>
                <w:kern w:val="0"/>
                <w:szCs w:val="21"/>
              </w:rPr>
            </w:pPr>
            <w:r>
              <w:rPr>
                <w:rFonts w:hint="eastAsia" w:ascii="Times New Roman" w:hAnsi="Times New Roman" w:cs="Times New Roman"/>
                <w:snapToGrid w:val="0"/>
                <w:color w:val="auto"/>
                <w:kern w:val="0"/>
                <w:szCs w:val="21"/>
                <w:lang w:val="en-US" w:eastAsia="zh-CN"/>
              </w:rPr>
              <w:t xml:space="preserve">4701950.55 </w:t>
            </w:r>
          </w:p>
        </w:tc>
        <w:tc>
          <w:tcPr>
            <w:tcW w:w="3275" w:type="dxa"/>
            <w:noWrap/>
            <w:vAlign w:val="center"/>
          </w:tcPr>
          <w:p w14:paraId="4178E59D">
            <w:pPr>
              <w:widowControl/>
              <w:spacing w:line="30" w:lineRule="atLeast"/>
              <w:jc w:val="center"/>
              <w:rPr>
                <w:rFonts w:ascii="Times New Roman" w:hAnsi="Times New Roman" w:cs="Times New Roman"/>
                <w:snapToGrid w:val="0"/>
                <w:color w:val="auto"/>
                <w:kern w:val="0"/>
                <w:szCs w:val="21"/>
              </w:rPr>
            </w:pPr>
            <w:r>
              <w:rPr>
                <w:rFonts w:hint="eastAsia" w:ascii="Times New Roman" w:hAnsi="Times New Roman" w:cs="Times New Roman"/>
                <w:snapToGrid w:val="0"/>
                <w:color w:val="auto"/>
                <w:kern w:val="0"/>
                <w:szCs w:val="21"/>
                <w:lang w:val="en-US" w:eastAsia="zh-CN"/>
              </w:rPr>
              <w:t xml:space="preserve">40381937.02 </w:t>
            </w:r>
          </w:p>
        </w:tc>
      </w:tr>
      <w:tr w14:paraId="673A1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725" w:type="dxa"/>
            <w:noWrap/>
            <w:vAlign w:val="center"/>
          </w:tcPr>
          <w:p w14:paraId="51857EDB">
            <w:pPr>
              <w:widowControl/>
              <w:spacing w:line="30" w:lineRule="atLeast"/>
              <w:jc w:val="center"/>
              <w:rPr>
                <w:rFonts w:hint="default" w:ascii="Times New Roman" w:hAnsi="Times New Roman" w:cs="Times New Roman"/>
                <w:snapToGrid w:val="0"/>
                <w:color w:val="auto"/>
                <w:kern w:val="0"/>
                <w:szCs w:val="21"/>
                <w:lang w:val="en-US" w:eastAsia="zh-CN"/>
              </w:rPr>
            </w:pPr>
            <w:r>
              <w:rPr>
                <w:rFonts w:hint="eastAsia" w:ascii="Times New Roman" w:hAnsi="Times New Roman" w:cs="Times New Roman"/>
                <w:snapToGrid w:val="0"/>
                <w:color w:val="auto"/>
                <w:kern w:val="0"/>
                <w:szCs w:val="21"/>
                <w:lang w:val="en-US" w:eastAsia="zh-CN"/>
              </w:rPr>
              <w:t>5</w:t>
            </w:r>
          </w:p>
        </w:tc>
        <w:tc>
          <w:tcPr>
            <w:tcW w:w="3061" w:type="dxa"/>
            <w:noWrap/>
            <w:vAlign w:val="center"/>
          </w:tcPr>
          <w:p w14:paraId="59875E08">
            <w:pPr>
              <w:widowControl/>
              <w:spacing w:line="30" w:lineRule="atLeast"/>
              <w:jc w:val="center"/>
              <w:rPr>
                <w:rFonts w:hint="default" w:ascii="Times New Roman" w:hAnsi="Times New Roman" w:cs="Times New Roman"/>
                <w:snapToGrid w:val="0"/>
                <w:color w:val="auto"/>
                <w:kern w:val="0"/>
                <w:szCs w:val="21"/>
                <w:lang w:val="en-US" w:eastAsia="zh-CN"/>
              </w:rPr>
            </w:pPr>
            <w:r>
              <w:rPr>
                <w:rFonts w:hint="eastAsia" w:ascii="Times New Roman" w:hAnsi="Times New Roman" w:cs="Times New Roman"/>
                <w:snapToGrid w:val="0"/>
                <w:color w:val="auto"/>
                <w:kern w:val="0"/>
                <w:szCs w:val="21"/>
                <w:lang w:val="en-US" w:eastAsia="zh-CN"/>
              </w:rPr>
              <w:t xml:space="preserve">4701914.82 </w:t>
            </w:r>
          </w:p>
        </w:tc>
        <w:tc>
          <w:tcPr>
            <w:tcW w:w="3275" w:type="dxa"/>
            <w:noWrap/>
            <w:vAlign w:val="center"/>
          </w:tcPr>
          <w:p w14:paraId="339C73C0">
            <w:pPr>
              <w:widowControl/>
              <w:spacing w:line="30" w:lineRule="atLeast"/>
              <w:jc w:val="center"/>
              <w:rPr>
                <w:rFonts w:hint="default" w:ascii="Times New Roman" w:hAnsi="Times New Roman" w:cs="Times New Roman"/>
                <w:snapToGrid w:val="0"/>
                <w:color w:val="auto"/>
                <w:kern w:val="0"/>
                <w:szCs w:val="21"/>
                <w:lang w:val="en-US" w:eastAsia="zh-CN"/>
              </w:rPr>
            </w:pPr>
            <w:r>
              <w:rPr>
                <w:rFonts w:hint="eastAsia" w:ascii="Times New Roman" w:hAnsi="Times New Roman" w:cs="Times New Roman"/>
                <w:snapToGrid w:val="0"/>
                <w:color w:val="auto"/>
                <w:kern w:val="0"/>
                <w:szCs w:val="21"/>
                <w:lang w:val="en-US" w:eastAsia="zh-CN"/>
              </w:rPr>
              <w:t xml:space="preserve">40381815.69 </w:t>
            </w:r>
          </w:p>
        </w:tc>
      </w:tr>
      <w:tr w14:paraId="148C1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000" w:type="pct"/>
            <w:gridSpan w:val="3"/>
            <w:vAlign w:val="center"/>
          </w:tcPr>
          <w:p w14:paraId="776C65D8">
            <w:pPr>
              <w:spacing w:before="48" w:beforeLines="20" w:after="48" w:afterLines="20"/>
              <w:jc w:val="center"/>
              <w:rPr>
                <w:snapToGrid w:val="0"/>
                <w:color w:val="auto"/>
                <w:kern w:val="0"/>
                <w:szCs w:val="21"/>
              </w:rPr>
            </w:pPr>
            <w:r>
              <w:rPr>
                <w:color w:val="auto"/>
              </w:rPr>
              <w:t>面积：</w:t>
            </w:r>
            <w:r>
              <w:rPr>
                <w:rFonts w:hint="eastAsia"/>
                <w:color w:val="auto"/>
                <w:lang w:val="en-US" w:eastAsia="zh-CN"/>
              </w:rPr>
              <w:t>0.044</w:t>
            </w:r>
            <w:r>
              <w:rPr>
                <w:color w:val="auto"/>
              </w:rPr>
              <w:t>km</w:t>
            </w:r>
            <w:r>
              <w:rPr>
                <w:color w:val="auto"/>
                <w:vertAlign w:val="superscript"/>
              </w:rPr>
              <w:t>2</w:t>
            </w:r>
            <w:r>
              <w:rPr>
                <w:color w:val="auto"/>
              </w:rPr>
              <w:t>，标高：</w:t>
            </w:r>
            <w:r>
              <w:rPr>
                <w:rFonts w:hint="eastAsia"/>
                <w:color w:val="auto"/>
                <w:lang w:val="en-US" w:eastAsia="zh-CN"/>
              </w:rPr>
              <w:t>1050</w:t>
            </w:r>
            <w:r>
              <w:rPr>
                <w:color w:val="auto"/>
              </w:rPr>
              <w:t>～</w:t>
            </w:r>
            <w:r>
              <w:rPr>
                <w:rFonts w:hint="eastAsia"/>
                <w:color w:val="auto"/>
                <w:lang w:val="en-US" w:eastAsia="zh-CN"/>
              </w:rPr>
              <w:t>984</w:t>
            </w:r>
            <w:r>
              <w:rPr>
                <w:color w:val="auto"/>
              </w:rPr>
              <w:t>m</w:t>
            </w:r>
          </w:p>
        </w:tc>
      </w:tr>
      <w:bookmarkEnd w:id="19"/>
    </w:tbl>
    <w:p w14:paraId="5C72E8F5">
      <w:pPr>
        <w:jc w:val="center"/>
        <w:rPr>
          <w:color w:val="auto"/>
          <w:sz w:val="13"/>
          <w:szCs w:val="13"/>
        </w:rPr>
      </w:pPr>
    </w:p>
    <w:p w14:paraId="72F26230">
      <w:pPr>
        <w:rPr>
          <w:rFonts w:eastAsia="黑体"/>
          <w:color w:val="auto"/>
          <w:sz w:val="24"/>
          <w:szCs w:val="24"/>
        </w:rPr>
      </w:pPr>
    </w:p>
    <w:p w14:paraId="57ADAEA4">
      <w:pPr>
        <w:pStyle w:val="3"/>
        <w:spacing w:before="120" w:beforeLines="50"/>
        <w:ind w:firstLine="602" w:firstLineChars="200"/>
        <w:rPr>
          <w:rFonts w:ascii="Times New Roman" w:hAnsi="Times New Roman"/>
          <w:color w:val="auto"/>
        </w:rPr>
      </w:pPr>
      <w:bookmarkStart w:id="20" w:name="_Toc8419"/>
      <w:r>
        <w:rPr>
          <w:rFonts w:ascii="Times New Roman" w:hAnsi="Times New Roman"/>
          <w:color w:val="auto"/>
        </w:rPr>
        <w:t>第二节  地理位置与区域概况</w:t>
      </w:r>
      <w:bookmarkEnd w:id="20"/>
    </w:p>
    <w:p w14:paraId="3D11B64D">
      <w:pPr>
        <w:adjustRightInd w:val="0"/>
        <w:snapToGrid w:val="0"/>
        <w:spacing w:line="360" w:lineRule="auto"/>
        <w:ind w:firstLine="562" w:firstLineChars="200"/>
        <w:outlineLvl w:val="2"/>
        <w:rPr>
          <w:b/>
          <w:bCs/>
          <w:color w:val="auto"/>
          <w:sz w:val="28"/>
          <w:szCs w:val="28"/>
        </w:rPr>
      </w:pPr>
      <w:r>
        <w:rPr>
          <w:b/>
          <w:bCs/>
          <w:color w:val="auto"/>
          <w:sz w:val="28"/>
          <w:szCs w:val="28"/>
        </w:rPr>
        <w:t>一、地理位置</w:t>
      </w:r>
    </w:p>
    <w:p w14:paraId="6B8B70F3">
      <w:pPr>
        <w:pStyle w:val="14"/>
        <w:spacing w:line="360" w:lineRule="auto"/>
        <w:ind w:firstLine="560" w:firstLineChars="200"/>
        <w:rPr>
          <w:rFonts w:eastAsia="宋体"/>
          <w:color w:val="auto"/>
          <w:szCs w:val="28"/>
        </w:rPr>
      </w:pPr>
      <w:r>
        <w:rPr>
          <w:rFonts w:eastAsia="宋体"/>
          <w:color w:val="auto"/>
          <w:szCs w:val="28"/>
        </w:rPr>
        <w:t>1、位置</w:t>
      </w:r>
    </w:p>
    <w:p w14:paraId="05CC8F7E">
      <w:pPr>
        <w:pStyle w:val="14"/>
        <w:spacing w:line="360" w:lineRule="auto"/>
        <w:ind w:firstLine="560" w:firstLineChars="200"/>
        <w:rPr>
          <w:rFonts w:ascii="Times New Roman" w:hAnsi="Times New Roman" w:eastAsia="宋体" w:cs="Times New Roman"/>
          <w:color w:val="auto"/>
          <w:szCs w:val="28"/>
        </w:rPr>
      </w:pPr>
      <w:r>
        <w:rPr>
          <w:rFonts w:ascii="Times New Roman" w:hAnsi="Times New Roman" w:eastAsia="宋体" w:cs="Times New Roman"/>
          <w:color w:val="auto"/>
          <w:szCs w:val="28"/>
        </w:rPr>
        <w:t>松山区初头朗镇窑沟门碎石矿</w:t>
      </w:r>
      <w:r>
        <w:rPr>
          <w:rFonts w:hint="eastAsia" w:ascii="Times New Roman" w:hAnsi="Times New Roman" w:eastAsia="宋体" w:cs="Times New Roman"/>
          <w:color w:val="auto"/>
          <w:szCs w:val="28"/>
        </w:rPr>
        <w:t>位于内蒙古自治区赤峰市松山区初头朗镇</w:t>
      </w:r>
      <w:r>
        <w:rPr>
          <w:rFonts w:hint="eastAsia" w:eastAsia="宋体" w:cs="Times New Roman"/>
          <w:color w:val="auto"/>
          <w:szCs w:val="28"/>
          <w:lang w:val="en-US" w:eastAsia="zh-CN"/>
        </w:rPr>
        <w:t>窑沟门</w:t>
      </w:r>
      <w:r>
        <w:rPr>
          <w:rFonts w:hint="eastAsia" w:ascii="Times New Roman" w:hAnsi="Times New Roman" w:eastAsia="宋体" w:cs="Times New Roman"/>
          <w:color w:val="auto"/>
          <w:szCs w:val="28"/>
        </w:rPr>
        <w:t>村境内，行政区划隶属</w:t>
      </w:r>
      <w:r>
        <w:rPr>
          <w:rFonts w:ascii="Times New Roman" w:hAnsi="Times New Roman" w:eastAsia="宋体" w:cs="Times New Roman"/>
          <w:color w:val="auto"/>
          <w:szCs w:val="28"/>
        </w:rPr>
        <w:t>内蒙古自治区赤峰市</w:t>
      </w:r>
      <w:r>
        <w:rPr>
          <w:rFonts w:hint="eastAsia" w:ascii="Times New Roman" w:hAnsi="Times New Roman" w:eastAsia="宋体" w:cs="Times New Roman"/>
          <w:color w:val="auto"/>
          <w:szCs w:val="28"/>
        </w:rPr>
        <w:t>松山区初头朗镇管辖。</w:t>
      </w:r>
      <w:r>
        <w:rPr>
          <w:rFonts w:ascii="Times New Roman" w:hAnsi="Times New Roman" w:eastAsia="宋体" w:cs="Times New Roman"/>
          <w:color w:val="auto"/>
          <w:szCs w:val="28"/>
        </w:rPr>
        <w:t>矿山不在</w:t>
      </w:r>
      <w:r>
        <w:rPr>
          <w:rFonts w:hint="eastAsia" w:ascii="Times New Roman" w:hAnsi="Times New Roman" w:eastAsia="宋体" w:cs="Times New Roman"/>
          <w:color w:val="auto"/>
          <w:szCs w:val="28"/>
        </w:rPr>
        <w:t>“</w:t>
      </w:r>
      <w:r>
        <w:rPr>
          <w:rFonts w:ascii="Times New Roman" w:hAnsi="Times New Roman" w:eastAsia="宋体" w:cs="Times New Roman"/>
          <w:color w:val="auto"/>
          <w:szCs w:val="28"/>
        </w:rPr>
        <w:t>三区两线</w:t>
      </w:r>
      <w:r>
        <w:rPr>
          <w:rFonts w:hint="eastAsia" w:ascii="Times New Roman" w:hAnsi="Times New Roman" w:eastAsia="宋体" w:cs="Times New Roman"/>
          <w:color w:val="auto"/>
          <w:szCs w:val="28"/>
        </w:rPr>
        <w:t>”</w:t>
      </w:r>
      <w:r>
        <w:rPr>
          <w:rFonts w:ascii="Times New Roman" w:hAnsi="Times New Roman" w:eastAsia="宋体" w:cs="Times New Roman"/>
          <w:color w:val="auto"/>
          <w:szCs w:val="28"/>
        </w:rPr>
        <w:t>可视范围内。其地理极值坐标为：</w:t>
      </w:r>
    </w:p>
    <w:p w14:paraId="20313759">
      <w:pPr>
        <w:pStyle w:val="14"/>
        <w:spacing w:line="360" w:lineRule="auto"/>
        <w:ind w:firstLine="560" w:firstLineChars="200"/>
        <w:rPr>
          <w:rFonts w:hint="eastAsia" w:ascii="Times New Roman" w:hAnsi="Times New Roman" w:eastAsia="宋体" w:cs="Times New Roman"/>
          <w:color w:val="auto"/>
          <w:szCs w:val="28"/>
        </w:rPr>
      </w:pPr>
      <w:r>
        <w:rPr>
          <w:rFonts w:hint="eastAsia" w:ascii="Times New Roman" w:hAnsi="Times New Roman" w:eastAsia="宋体" w:cs="Times New Roman"/>
          <w:color w:val="auto"/>
          <w:szCs w:val="28"/>
        </w:rPr>
        <w:t>东经：118°33′46″～118°33′58″；</w:t>
      </w:r>
    </w:p>
    <w:p w14:paraId="32B7341A">
      <w:pPr>
        <w:pStyle w:val="14"/>
        <w:spacing w:line="360" w:lineRule="auto"/>
        <w:ind w:firstLine="560" w:firstLineChars="200"/>
        <w:rPr>
          <w:rFonts w:ascii="Times New Roman" w:hAnsi="Times New Roman" w:eastAsia="宋体" w:cs="Times New Roman"/>
          <w:color w:val="auto"/>
          <w:szCs w:val="28"/>
        </w:rPr>
      </w:pPr>
      <w:r>
        <w:rPr>
          <w:rFonts w:hint="eastAsia" w:ascii="Times New Roman" w:hAnsi="Times New Roman" w:eastAsia="宋体" w:cs="Times New Roman"/>
          <w:color w:val="auto"/>
          <w:szCs w:val="28"/>
        </w:rPr>
        <w:t>北纬：42°26′29″～42°26′38″。</w:t>
      </w:r>
    </w:p>
    <w:p w14:paraId="4B5D1960">
      <w:pPr>
        <w:snapToGrid w:val="0"/>
        <w:spacing w:line="360" w:lineRule="auto"/>
        <w:ind w:firstLine="560" w:firstLineChars="200"/>
        <w:rPr>
          <w:color w:val="auto"/>
          <w:sz w:val="28"/>
          <w:szCs w:val="28"/>
        </w:rPr>
      </w:pPr>
      <w:r>
        <w:rPr>
          <w:color w:val="auto"/>
          <w:sz w:val="28"/>
          <w:szCs w:val="28"/>
        </w:rPr>
        <w:t>2、交通</w:t>
      </w:r>
    </w:p>
    <w:p w14:paraId="4DA364D2">
      <w:pPr>
        <w:pStyle w:val="14"/>
        <w:spacing w:line="360" w:lineRule="auto"/>
        <w:ind w:firstLine="560" w:firstLineChars="200"/>
        <w:rPr>
          <w:rFonts w:ascii="Times New Roman" w:hAnsi="Times New Roman" w:eastAsia="宋体" w:cs="Times New Roman"/>
          <w:color w:val="auto"/>
          <w:szCs w:val="28"/>
        </w:rPr>
      </w:pPr>
      <w:r>
        <w:rPr>
          <w:rFonts w:ascii="Times New Roman" w:hAnsi="Times New Roman" w:eastAsia="宋体" w:cs="Times New Roman"/>
          <w:color w:val="auto"/>
          <w:szCs w:val="28"/>
        </w:rPr>
        <w:t>矿区位于松山区初头朗镇</w:t>
      </w:r>
      <w:r>
        <w:rPr>
          <w:rFonts w:hint="eastAsia" w:eastAsia="宋体" w:cs="Times New Roman"/>
          <w:color w:val="auto"/>
          <w:szCs w:val="28"/>
          <w:lang w:val="en-US" w:eastAsia="zh-CN"/>
        </w:rPr>
        <w:t>窑沟门</w:t>
      </w:r>
      <w:r>
        <w:rPr>
          <w:rFonts w:hint="eastAsia" w:ascii="Times New Roman" w:hAnsi="Times New Roman" w:eastAsia="宋体" w:cs="Times New Roman"/>
          <w:color w:val="auto"/>
          <w:szCs w:val="28"/>
        </w:rPr>
        <w:t>村</w:t>
      </w:r>
      <w:r>
        <w:rPr>
          <w:rFonts w:hint="eastAsia" w:ascii="Times New Roman" w:hAnsi="Times New Roman" w:eastAsia="宋体" w:cs="Times New Roman"/>
          <w:color w:val="auto"/>
          <w:szCs w:val="28"/>
          <w:lang w:val="en-US" w:eastAsia="zh-CN"/>
        </w:rPr>
        <w:t>北</w:t>
      </w:r>
      <w:r>
        <w:rPr>
          <w:rFonts w:ascii="Times New Roman" w:hAnsi="Times New Roman" w:eastAsia="宋体" w:cs="Times New Roman"/>
          <w:color w:val="auto"/>
          <w:szCs w:val="28"/>
        </w:rPr>
        <w:t>约</w:t>
      </w:r>
      <w:r>
        <w:rPr>
          <w:rFonts w:hint="eastAsia" w:ascii="Times New Roman" w:hAnsi="Times New Roman" w:eastAsia="宋体" w:cs="Times New Roman"/>
          <w:color w:val="auto"/>
          <w:szCs w:val="28"/>
          <w:lang w:val="en-US" w:eastAsia="zh-CN"/>
        </w:rPr>
        <w:t>4km</w:t>
      </w:r>
      <w:r>
        <w:rPr>
          <w:rFonts w:ascii="Times New Roman" w:hAnsi="Times New Roman" w:eastAsia="宋体" w:cs="Times New Roman"/>
          <w:color w:val="auto"/>
          <w:szCs w:val="28"/>
        </w:rPr>
        <w:t>处，东南距松山区初头朗镇约45km，东南距G306国道约48km，矿区至G306国道有简易公路相连，南距G111国道约53km，交通</w:t>
      </w:r>
      <w:r>
        <w:rPr>
          <w:rFonts w:hint="eastAsia" w:ascii="Times New Roman" w:hAnsi="Times New Roman" w:eastAsia="宋体" w:cs="Times New Roman"/>
          <w:color w:val="auto"/>
          <w:szCs w:val="28"/>
        </w:rPr>
        <w:t>较为</w:t>
      </w:r>
      <w:r>
        <w:rPr>
          <w:rFonts w:ascii="Times New Roman" w:hAnsi="Times New Roman" w:eastAsia="宋体" w:cs="Times New Roman"/>
          <w:color w:val="auto"/>
          <w:szCs w:val="28"/>
        </w:rPr>
        <w:t>便利</w:t>
      </w:r>
      <w:r>
        <w:rPr>
          <w:rFonts w:hint="eastAsia" w:ascii="Times New Roman" w:hAnsi="Times New Roman" w:eastAsia="宋体" w:cs="Times New Roman"/>
          <w:color w:val="auto"/>
          <w:szCs w:val="28"/>
        </w:rPr>
        <w:t>（见交通位置图1-</w:t>
      </w:r>
      <w:r>
        <w:rPr>
          <w:rFonts w:hint="eastAsia" w:ascii="Times New Roman" w:hAnsi="Times New Roman" w:eastAsia="宋体" w:cs="Times New Roman"/>
          <w:color w:val="auto"/>
          <w:szCs w:val="28"/>
          <w:lang w:val="en-US" w:eastAsia="zh-CN"/>
        </w:rPr>
        <w:t>1</w:t>
      </w:r>
      <w:r>
        <w:rPr>
          <w:rFonts w:hint="eastAsia" w:ascii="Times New Roman" w:hAnsi="Times New Roman" w:eastAsia="宋体" w:cs="Times New Roman"/>
          <w:color w:val="auto"/>
          <w:szCs w:val="28"/>
          <w:lang w:eastAsia="zh-CN"/>
        </w:rPr>
        <w:t>）</w:t>
      </w:r>
      <w:r>
        <w:rPr>
          <w:rFonts w:hint="eastAsia" w:ascii="Times New Roman" w:hAnsi="Times New Roman" w:eastAsia="宋体" w:cs="Times New Roman"/>
          <w:color w:val="auto"/>
          <w:szCs w:val="28"/>
        </w:rPr>
        <w:t>。</w:t>
      </w:r>
    </w:p>
    <w:p w14:paraId="105FAA2D">
      <w:pPr>
        <w:adjustRightInd w:val="0"/>
        <w:snapToGrid w:val="0"/>
        <w:spacing w:line="360" w:lineRule="auto"/>
        <w:ind w:firstLine="562" w:firstLineChars="200"/>
        <w:outlineLvl w:val="2"/>
        <w:rPr>
          <w:rFonts w:hint="eastAsia" w:ascii="宋体" w:hAnsi="宋体" w:cs="宋体"/>
          <w:color w:val="auto"/>
          <w:sz w:val="28"/>
          <w:szCs w:val="28"/>
        </w:rPr>
      </w:pPr>
      <w:r>
        <w:rPr>
          <w:rFonts w:hint="eastAsia" w:ascii="宋体" w:hAnsi="宋体" w:cs="宋体"/>
          <w:b/>
          <w:bCs/>
          <w:color w:val="auto"/>
          <w:sz w:val="28"/>
          <w:szCs w:val="28"/>
          <w:lang w:val="en-US" w:eastAsia="zh-CN"/>
        </w:rPr>
        <w:t>二</w:t>
      </w:r>
      <w:r>
        <w:rPr>
          <w:rFonts w:hint="eastAsia" w:ascii="宋体" w:hAnsi="宋体" w:cs="宋体"/>
          <w:b/>
          <w:bCs/>
          <w:color w:val="auto"/>
          <w:sz w:val="28"/>
          <w:szCs w:val="28"/>
        </w:rPr>
        <w:t>、矿区周边概况</w:t>
      </w:r>
    </w:p>
    <w:p w14:paraId="41104AAD">
      <w:pPr>
        <w:pStyle w:val="14"/>
        <w:spacing w:line="360" w:lineRule="auto"/>
        <w:ind w:firstLine="560" w:firstLineChars="200"/>
        <w:rPr>
          <w:rFonts w:eastAsia="宋体"/>
          <w:color w:val="auto"/>
          <w:szCs w:val="28"/>
        </w:rPr>
      </w:pPr>
      <w:r>
        <w:rPr>
          <w:rFonts w:eastAsia="宋体"/>
          <w:color w:val="auto"/>
          <w:szCs w:val="28"/>
        </w:rPr>
        <w:t>1、周边村庄</w:t>
      </w:r>
    </w:p>
    <w:p w14:paraId="290DAFE2">
      <w:pPr>
        <w:pStyle w:val="14"/>
        <w:spacing w:line="360" w:lineRule="auto"/>
        <w:ind w:firstLine="560" w:firstLineChars="200"/>
        <w:rPr>
          <w:rFonts w:ascii="Times New Roman" w:hAnsi="Times New Roman" w:eastAsia="宋体" w:cs="Times New Roman"/>
          <w:color w:val="auto"/>
          <w:szCs w:val="28"/>
        </w:rPr>
      </w:pPr>
      <w:bookmarkStart w:id="21" w:name="_Hlk221266628"/>
      <w:r>
        <w:rPr>
          <w:rFonts w:ascii="Times New Roman" w:hAnsi="Times New Roman" w:eastAsia="宋体" w:cs="Times New Roman"/>
          <w:color w:val="auto"/>
          <w:szCs w:val="28"/>
        </w:rPr>
        <w:t>矿区</w:t>
      </w:r>
      <w:r>
        <w:rPr>
          <w:rFonts w:hint="eastAsia" w:ascii="Times New Roman" w:hAnsi="Times New Roman" w:eastAsia="宋体" w:cs="Times New Roman"/>
          <w:color w:val="auto"/>
          <w:szCs w:val="28"/>
          <w:lang w:eastAsia="zh-CN"/>
        </w:rPr>
        <w:t>西</w:t>
      </w:r>
      <w:r>
        <w:rPr>
          <w:rFonts w:hint="eastAsia" w:ascii="Times New Roman" w:hAnsi="Times New Roman" w:eastAsia="宋体" w:cs="Times New Roman"/>
          <w:color w:val="auto"/>
          <w:szCs w:val="28"/>
        </w:rPr>
        <w:t>北侧</w:t>
      </w:r>
      <w:r>
        <w:rPr>
          <w:rFonts w:ascii="Times New Roman" w:hAnsi="Times New Roman" w:eastAsia="宋体" w:cs="Times New Roman"/>
          <w:color w:val="auto"/>
          <w:szCs w:val="28"/>
        </w:rPr>
        <w:t>约</w:t>
      </w:r>
      <w:r>
        <w:rPr>
          <w:rFonts w:hint="eastAsia" w:ascii="Times New Roman" w:hAnsi="Times New Roman" w:eastAsia="宋体" w:cs="Times New Roman"/>
          <w:color w:val="auto"/>
          <w:szCs w:val="28"/>
          <w:lang w:val="en-US" w:eastAsia="zh-CN"/>
        </w:rPr>
        <w:t>1k</w:t>
      </w:r>
      <w:r>
        <w:rPr>
          <w:rFonts w:hint="eastAsia" w:ascii="Times New Roman" w:hAnsi="Times New Roman" w:eastAsia="宋体" w:cs="Times New Roman"/>
          <w:color w:val="auto"/>
          <w:szCs w:val="28"/>
        </w:rPr>
        <w:t>m</w:t>
      </w:r>
      <w:r>
        <w:rPr>
          <w:rFonts w:hint="eastAsia" w:ascii="Times New Roman" w:hAnsi="Times New Roman" w:eastAsia="宋体" w:cs="Times New Roman"/>
          <w:color w:val="auto"/>
          <w:szCs w:val="28"/>
          <w:lang w:eastAsia="zh-CN"/>
        </w:rPr>
        <w:t>处</w:t>
      </w:r>
      <w:r>
        <w:rPr>
          <w:rFonts w:ascii="Times New Roman" w:hAnsi="Times New Roman" w:eastAsia="宋体" w:cs="Times New Roman"/>
          <w:color w:val="auto"/>
          <w:szCs w:val="28"/>
        </w:rPr>
        <w:t>为</w:t>
      </w:r>
      <w:r>
        <w:rPr>
          <w:rFonts w:hint="eastAsia" w:ascii="Times New Roman" w:hAnsi="Times New Roman" w:eastAsia="宋体" w:cs="Times New Roman"/>
          <w:color w:val="auto"/>
          <w:szCs w:val="28"/>
          <w:lang w:val="en-US" w:eastAsia="zh-CN"/>
        </w:rPr>
        <w:t>自然村</w:t>
      </w:r>
      <w:r>
        <w:rPr>
          <w:rFonts w:hint="eastAsia" w:ascii="Times New Roman" w:hAnsi="Times New Roman" w:eastAsia="宋体" w:cs="Times New Roman"/>
          <w:color w:val="auto"/>
          <w:szCs w:val="28"/>
          <w:lang w:eastAsia="zh-CN"/>
        </w:rPr>
        <w:t>蒙古塔布乌苏</w:t>
      </w:r>
      <w:r>
        <w:rPr>
          <w:rFonts w:ascii="Times New Roman" w:hAnsi="Times New Roman" w:eastAsia="宋体" w:cs="Times New Roman"/>
          <w:color w:val="auto"/>
          <w:szCs w:val="28"/>
        </w:rPr>
        <w:t>村，</w:t>
      </w:r>
      <w:r>
        <w:rPr>
          <w:rFonts w:hint="eastAsia" w:ascii="Times New Roman" w:hAnsi="Times New Roman" w:eastAsia="宋体" w:cs="Times New Roman"/>
          <w:color w:val="auto"/>
          <w:szCs w:val="28"/>
          <w:lang w:eastAsia="zh-CN"/>
        </w:rPr>
        <w:t>西南</w:t>
      </w:r>
      <w:r>
        <w:rPr>
          <w:rFonts w:ascii="Times New Roman" w:hAnsi="Times New Roman" w:eastAsia="宋体" w:cs="Times New Roman"/>
          <w:color w:val="auto"/>
          <w:szCs w:val="28"/>
        </w:rPr>
        <w:t>约</w:t>
      </w:r>
      <w:r>
        <w:rPr>
          <w:rFonts w:hint="eastAsia" w:ascii="Times New Roman" w:hAnsi="Times New Roman" w:eastAsia="宋体" w:cs="Times New Roman"/>
          <w:color w:val="auto"/>
          <w:szCs w:val="28"/>
          <w:lang w:val="en-US" w:eastAsia="zh-CN"/>
        </w:rPr>
        <w:t>3k</w:t>
      </w:r>
      <w:r>
        <w:rPr>
          <w:rFonts w:hint="eastAsia" w:ascii="Times New Roman" w:hAnsi="Times New Roman" w:eastAsia="宋体" w:cs="Times New Roman"/>
          <w:color w:val="auto"/>
          <w:szCs w:val="28"/>
        </w:rPr>
        <w:t>m</w:t>
      </w:r>
      <w:r>
        <w:rPr>
          <w:rFonts w:hint="eastAsia" w:ascii="Times New Roman" w:hAnsi="Times New Roman" w:eastAsia="宋体" w:cs="Times New Roman"/>
          <w:color w:val="auto"/>
          <w:szCs w:val="28"/>
          <w:lang w:eastAsia="zh-CN"/>
        </w:rPr>
        <w:t>处</w:t>
      </w:r>
      <w:r>
        <w:rPr>
          <w:rFonts w:ascii="Times New Roman" w:hAnsi="Times New Roman" w:eastAsia="宋体" w:cs="Times New Roman"/>
          <w:color w:val="auto"/>
          <w:szCs w:val="28"/>
        </w:rPr>
        <w:t>为</w:t>
      </w:r>
      <w:r>
        <w:rPr>
          <w:rFonts w:hint="eastAsia" w:ascii="Times New Roman" w:hAnsi="Times New Roman" w:eastAsia="宋体" w:cs="Times New Roman"/>
          <w:color w:val="auto"/>
          <w:szCs w:val="28"/>
          <w:lang w:val="en-US" w:eastAsia="zh-CN"/>
        </w:rPr>
        <w:t>自然村</w:t>
      </w:r>
      <w:r>
        <w:rPr>
          <w:rFonts w:hint="eastAsia" w:ascii="Times New Roman" w:hAnsi="Times New Roman" w:eastAsia="宋体" w:cs="Times New Roman"/>
          <w:color w:val="auto"/>
          <w:szCs w:val="28"/>
          <w:lang w:eastAsia="zh-CN"/>
        </w:rPr>
        <w:t>窑沟门</w:t>
      </w:r>
      <w:r>
        <w:rPr>
          <w:rFonts w:ascii="Times New Roman" w:hAnsi="Times New Roman" w:eastAsia="宋体" w:cs="Times New Roman"/>
          <w:color w:val="auto"/>
          <w:szCs w:val="28"/>
        </w:rPr>
        <w:t>村，</w:t>
      </w:r>
      <w:r>
        <w:rPr>
          <w:rFonts w:hint="eastAsia" w:ascii="Times New Roman" w:hAnsi="Times New Roman" w:eastAsia="宋体" w:cs="Times New Roman"/>
          <w:color w:val="auto"/>
          <w:szCs w:val="28"/>
          <w:lang w:val="en-US" w:eastAsia="zh-CN"/>
        </w:rPr>
        <w:t>南约4k</w:t>
      </w:r>
      <w:r>
        <w:rPr>
          <w:rFonts w:hint="eastAsia" w:eastAsia="宋体" w:cs="Times New Roman"/>
          <w:color w:val="auto"/>
          <w:szCs w:val="28"/>
          <w:lang w:val="en-US" w:eastAsia="zh-CN"/>
        </w:rPr>
        <w:t>m</w:t>
      </w:r>
      <w:r>
        <w:rPr>
          <w:rFonts w:hint="eastAsia" w:ascii="Times New Roman" w:hAnsi="Times New Roman" w:eastAsia="宋体" w:cs="Times New Roman"/>
          <w:color w:val="auto"/>
          <w:szCs w:val="28"/>
          <w:lang w:val="en-US" w:eastAsia="zh-CN"/>
        </w:rPr>
        <w:t>处为</w:t>
      </w:r>
      <w:r>
        <w:rPr>
          <w:rFonts w:hint="eastAsia" w:eastAsia="宋体" w:cs="Times New Roman"/>
          <w:color w:val="auto"/>
          <w:szCs w:val="28"/>
          <w:lang w:val="en-US" w:eastAsia="zh-CN"/>
        </w:rPr>
        <w:t>窑沟门</w:t>
      </w:r>
      <w:r>
        <w:rPr>
          <w:rFonts w:hint="eastAsia" w:ascii="Times New Roman" w:hAnsi="Times New Roman" w:eastAsia="宋体" w:cs="Times New Roman"/>
          <w:color w:val="auto"/>
          <w:szCs w:val="28"/>
        </w:rPr>
        <w:t>村</w:t>
      </w:r>
      <w:r>
        <w:rPr>
          <w:rFonts w:hint="eastAsia" w:ascii="Times New Roman" w:hAnsi="Times New Roman" w:eastAsia="宋体" w:cs="Times New Roman"/>
          <w:color w:val="auto"/>
          <w:szCs w:val="28"/>
          <w:lang w:eastAsia="zh-CN"/>
        </w:rPr>
        <w:t>，</w:t>
      </w:r>
      <w:r>
        <w:rPr>
          <w:rFonts w:ascii="Times New Roman" w:hAnsi="Times New Roman" w:eastAsia="宋体" w:cs="Times New Roman"/>
          <w:color w:val="auto"/>
          <w:szCs w:val="28"/>
        </w:rPr>
        <w:t>村民居住较集中，居民主要从事农业生产，</w:t>
      </w:r>
      <w:bookmarkEnd w:id="21"/>
      <w:r>
        <w:rPr>
          <w:rFonts w:hint="eastAsia" w:eastAsia="宋体" w:cs="Times New Roman"/>
          <w:color w:val="auto"/>
          <w:szCs w:val="28"/>
          <w:lang w:val="en-US" w:eastAsia="zh-CN"/>
        </w:rPr>
        <w:t>窑沟门</w:t>
      </w:r>
      <w:r>
        <w:rPr>
          <w:rFonts w:hint="eastAsia" w:ascii="Times New Roman" w:hAnsi="Times New Roman" w:eastAsia="宋体" w:cs="Times New Roman"/>
          <w:color w:val="auto"/>
          <w:szCs w:val="28"/>
          <w:lang w:val="en-US" w:eastAsia="zh-CN"/>
        </w:rPr>
        <w:t>村</w:t>
      </w:r>
      <w:r>
        <w:rPr>
          <w:rFonts w:ascii="Times New Roman" w:hAnsi="Times New Roman" w:eastAsia="宋体" w:cs="Times New Roman"/>
          <w:color w:val="auto"/>
          <w:szCs w:val="28"/>
        </w:rPr>
        <w:t>现有居民</w:t>
      </w:r>
      <w:r>
        <w:rPr>
          <w:rFonts w:hint="eastAsia" w:ascii="Times New Roman" w:hAnsi="Times New Roman" w:eastAsia="宋体" w:cs="Times New Roman"/>
          <w:color w:val="auto"/>
          <w:szCs w:val="28"/>
          <w:lang w:val="en-US" w:eastAsia="zh-CN"/>
        </w:rPr>
        <w:t>160</w:t>
      </w:r>
      <w:r>
        <w:rPr>
          <w:rFonts w:hint="eastAsia" w:eastAsia="宋体" w:cs="Times New Roman"/>
          <w:color w:val="auto"/>
          <w:szCs w:val="28"/>
          <w:lang w:val="en-US" w:eastAsia="zh-CN"/>
        </w:rPr>
        <w:t>余户</w:t>
      </w:r>
      <w:r>
        <w:rPr>
          <w:rFonts w:ascii="Times New Roman" w:hAnsi="Times New Roman" w:eastAsia="宋体" w:cs="Times New Roman"/>
          <w:color w:val="auto"/>
          <w:szCs w:val="28"/>
        </w:rPr>
        <w:t>，常住人口</w:t>
      </w:r>
      <w:r>
        <w:rPr>
          <w:rFonts w:hint="eastAsia" w:ascii="Times New Roman" w:hAnsi="Times New Roman" w:eastAsia="宋体" w:cs="Times New Roman"/>
          <w:color w:val="auto"/>
          <w:szCs w:val="28"/>
          <w:lang w:val="en-US" w:eastAsia="zh-CN"/>
        </w:rPr>
        <w:t>约400</w:t>
      </w:r>
      <w:r>
        <w:rPr>
          <w:rFonts w:ascii="Times New Roman" w:hAnsi="Times New Roman" w:eastAsia="宋体" w:cs="Times New Roman"/>
          <w:color w:val="auto"/>
          <w:szCs w:val="28"/>
        </w:rPr>
        <w:t>人。</w:t>
      </w:r>
    </w:p>
    <w:p w14:paraId="0D212D33">
      <w:pPr>
        <w:adjustRightInd w:val="0"/>
        <w:snapToGrid w:val="0"/>
        <w:spacing w:line="360" w:lineRule="auto"/>
        <w:ind w:firstLine="560" w:firstLineChars="200"/>
        <w:rPr>
          <w:color w:val="auto"/>
          <w:sz w:val="28"/>
          <w:szCs w:val="28"/>
        </w:rPr>
      </w:pPr>
      <w:r>
        <w:rPr>
          <w:color w:val="auto"/>
          <w:sz w:val="28"/>
          <w:szCs w:val="28"/>
        </w:rPr>
        <w:t>2、周边矿权关系</w:t>
      </w:r>
    </w:p>
    <w:p w14:paraId="4CCFA491">
      <w:pPr>
        <w:snapToGrid w:val="0"/>
        <w:spacing w:line="360" w:lineRule="auto"/>
        <w:ind w:firstLine="560" w:firstLineChars="200"/>
        <w:rPr>
          <w:color w:val="auto"/>
          <w:sz w:val="28"/>
          <w:szCs w:val="28"/>
        </w:rPr>
      </w:pPr>
      <w:r>
        <w:rPr>
          <w:color w:val="auto"/>
          <w:sz w:val="28"/>
          <w:szCs w:val="28"/>
        </w:rPr>
        <w:t>矿区周围</w:t>
      </w:r>
      <w:r>
        <w:rPr>
          <w:rFonts w:hint="eastAsia"/>
          <w:color w:val="auto"/>
          <w:sz w:val="28"/>
          <w:szCs w:val="28"/>
          <w:lang w:val="en-US" w:eastAsia="zh-CN"/>
        </w:rPr>
        <w:t>3</w:t>
      </w:r>
      <w:r>
        <w:rPr>
          <w:color w:val="auto"/>
          <w:sz w:val="28"/>
          <w:szCs w:val="28"/>
        </w:rPr>
        <w:t>km范围内无采矿活动。</w:t>
      </w:r>
    </w:p>
    <w:p w14:paraId="20E71D05">
      <w:pPr>
        <w:pStyle w:val="44"/>
        <w:rPr>
          <w:color w:val="auto"/>
          <w:sz w:val="28"/>
          <w:szCs w:val="28"/>
        </w:rPr>
      </w:pPr>
    </w:p>
    <w:p w14:paraId="28FDE504">
      <w:pPr>
        <w:pStyle w:val="44"/>
        <w:rPr>
          <w:color w:val="auto"/>
          <w:sz w:val="28"/>
          <w:szCs w:val="28"/>
        </w:rPr>
      </w:pPr>
    </w:p>
    <w:p w14:paraId="013C1FDA">
      <w:pPr>
        <w:pStyle w:val="44"/>
        <w:rPr>
          <w:color w:val="auto"/>
          <w:sz w:val="28"/>
          <w:szCs w:val="28"/>
        </w:rPr>
      </w:pPr>
    </w:p>
    <w:p w14:paraId="451B1683">
      <w:pPr>
        <w:pStyle w:val="44"/>
        <w:rPr>
          <w:color w:val="auto"/>
          <w:sz w:val="28"/>
          <w:szCs w:val="28"/>
        </w:rPr>
      </w:pPr>
    </w:p>
    <w:p w14:paraId="29C331DC">
      <w:pPr>
        <w:pStyle w:val="44"/>
        <w:rPr>
          <w:color w:val="auto"/>
          <w:sz w:val="28"/>
          <w:szCs w:val="28"/>
        </w:rPr>
      </w:pPr>
    </w:p>
    <w:p w14:paraId="69895467">
      <w:pPr>
        <w:pStyle w:val="44"/>
        <w:rPr>
          <w:color w:val="auto"/>
          <w:sz w:val="28"/>
          <w:szCs w:val="28"/>
        </w:rPr>
      </w:pPr>
    </w:p>
    <w:p w14:paraId="24CE33D9">
      <w:pPr>
        <w:pStyle w:val="44"/>
        <w:rPr>
          <w:color w:val="auto"/>
          <w:sz w:val="28"/>
          <w:szCs w:val="28"/>
        </w:rPr>
      </w:pPr>
    </w:p>
    <w:p w14:paraId="3D71FB4D">
      <w:pPr>
        <w:pStyle w:val="44"/>
        <w:rPr>
          <w:color w:val="auto"/>
          <w:sz w:val="28"/>
          <w:szCs w:val="28"/>
        </w:rPr>
      </w:pPr>
    </w:p>
    <w:p w14:paraId="09714E03">
      <w:pPr>
        <w:pStyle w:val="44"/>
        <w:rPr>
          <w:color w:val="auto"/>
          <w:sz w:val="28"/>
          <w:szCs w:val="28"/>
        </w:rPr>
      </w:pPr>
    </w:p>
    <w:p w14:paraId="4AA5B5FF">
      <w:pPr>
        <w:pStyle w:val="44"/>
        <w:rPr>
          <w:color w:val="auto"/>
          <w:sz w:val="28"/>
          <w:szCs w:val="28"/>
        </w:rPr>
      </w:pPr>
    </w:p>
    <w:p w14:paraId="79C7C1C0">
      <w:pPr>
        <w:pStyle w:val="44"/>
        <w:rPr>
          <w:color w:val="auto"/>
          <w:sz w:val="28"/>
          <w:szCs w:val="28"/>
        </w:rPr>
        <w:sectPr>
          <w:footerReference r:id="rId7" w:type="default"/>
          <w:pgSz w:w="11907" w:h="16840"/>
          <w:pgMar w:top="1418" w:right="1418" w:bottom="1418" w:left="1418" w:header="992" w:footer="992" w:gutter="0"/>
          <w:pgNumType w:fmt="decimal" w:start="1"/>
          <w:cols w:space="720" w:num="1"/>
          <w:docGrid w:linePitch="312" w:charSpace="0"/>
        </w:sectPr>
      </w:pPr>
    </w:p>
    <w:p w14:paraId="0DAA99D0">
      <w:pPr>
        <w:pStyle w:val="71"/>
        <w:ind w:left="-141" w:leftChars="-67"/>
        <w:rPr>
          <w:rFonts w:ascii="Times New Roman" w:hAnsi="Times New Roman" w:cs="Times New Roman"/>
          <w:color w:val="auto"/>
        </w:rPr>
      </w:pPr>
      <w:r>
        <w:rPr>
          <w:rFonts w:hint="eastAsia"/>
          <w:b/>
          <w:color w:val="auto"/>
          <w:sz w:val="24"/>
          <w:szCs w:val="24"/>
          <w:lang w:eastAsia="zh-CN"/>
        </w:rPr>
        <w:t xml:space="preserve">    </w:t>
      </w:r>
    </w:p>
    <w:p w14:paraId="526F9043">
      <w:pPr>
        <w:pStyle w:val="3"/>
        <w:spacing w:before="120" w:beforeLines="50"/>
        <w:rPr>
          <w:color w:val="auto"/>
        </w:rPr>
      </w:pPr>
      <w:bookmarkStart w:id="22" w:name="_Toc3670"/>
      <w:r>
        <w:rPr>
          <w:rFonts w:hint="eastAsia"/>
          <w:color w:val="auto"/>
        </w:rPr>
        <w:t>第三节  矿山开采历史及现状</w:t>
      </w:r>
      <w:bookmarkEnd w:id="22"/>
    </w:p>
    <w:p w14:paraId="66016A64">
      <w:pPr>
        <w:adjustRightInd w:val="0"/>
        <w:snapToGrid w:val="0"/>
        <w:spacing w:line="360" w:lineRule="auto"/>
        <w:ind w:firstLine="562" w:firstLineChars="200"/>
        <w:outlineLvl w:val="2"/>
        <w:rPr>
          <w:b/>
          <w:bCs/>
          <w:color w:val="auto"/>
          <w:szCs w:val="28"/>
        </w:rPr>
      </w:pPr>
      <w:r>
        <w:rPr>
          <w:rFonts w:hint="eastAsia"/>
          <w:b/>
          <w:bCs/>
          <w:color w:val="auto"/>
          <w:sz w:val="28"/>
          <w:szCs w:val="28"/>
          <w:lang w:val="en-US" w:eastAsia="zh-CN"/>
        </w:rPr>
        <w:t>一</w:t>
      </w:r>
      <w:r>
        <w:rPr>
          <w:b/>
          <w:bCs/>
          <w:color w:val="auto"/>
          <w:sz w:val="28"/>
          <w:szCs w:val="28"/>
        </w:rPr>
        <w:t>、矿山开采历史</w:t>
      </w:r>
    </w:p>
    <w:p w14:paraId="6A9A9AA3">
      <w:pPr>
        <w:pStyle w:val="14"/>
        <w:spacing w:line="360" w:lineRule="auto"/>
        <w:ind w:firstLine="560" w:firstLineChars="200"/>
        <w:rPr>
          <w:rFonts w:hint="eastAsia" w:ascii="Times New Roman" w:hAnsi="Times New Roman" w:eastAsia="宋体" w:cs="Times New Roman"/>
          <w:color w:val="auto"/>
          <w:szCs w:val="28"/>
          <w:lang w:val="en-US" w:eastAsia="zh-CN"/>
        </w:rPr>
      </w:pPr>
      <w:r>
        <w:rPr>
          <w:rFonts w:hint="default" w:ascii="Times New Roman" w:hAnsi="Times New Roman" w:eastAsia="宋体" w:cs="Times New Roman"/>
          <w:color w:val="auto"/>
          <w:szCs w:val="28"/>
        </w:rPr>
        <w:t>赤峰市矿业权储备交易中心</w:t>
      </w:r>
      <w:r>
        <w:rPr>
          <w:rFonts w:hint="default" w:ascii="Times New Roman" w:hAnsi="Times New Roman" w:eastAsia="宋体" w:cs="Times New Roman"/>
          <w:color w:val="auto"/>
          <w:szCs w:val="28"/>
          <w:lang w:val="en-US" w:eastAsia="zh-CN"/>
        </w:rPr>
        <w:t>2013年对</w:t>
      </w:r>
      <w:r>
        <w:rPr>
          <w:rFonts w:hint="default" w:ascii="Times New Roman" w:hAnsi="Times New Roman" w:eastAsia="宋体" w:cs="Times New Roman"/>
          <w:color w:val="auto"/>
          <w:szCs w:val="28"/>
        </w:rPr>
        <w:t>松山区初头朗镇窑沟门碎石矿采矿权进行挂牌出让，赤峰鑫鑫矿业有限公司于2013年3月11日获得了该碎石矿采矿权。</w:t>
      </w:r>
      <w:r>
        <w:rPr>
          <w:rFonts w:hint="eastAsia" w:ascii="Times New Roman" w:hAnsi="Times New Roman" w:eastAsia="宋体" w:cs="Times New Roman"/>
          <w:color w:val="auto"/>
          <w:szCs w:val="28"/>
          <w:lang w:val="en-US" w:eastAsia="zh-CN"/>
        </w:rPr>
        <w:t>取得采矿权后，经多年开采，现</w:t>
      </w:r>
      <w:r>
        <w:rPr>
          <w:rFonts w:hint="eastAsia" w:eastAsia="宋体" w:cs="Times New Roman"/>
          <w:color w:val="auto"/>
          <w:szCs w:val="28"/>
          <w:lang w:val="en-US" w:eastAsia="zh-CN"/>
        </w:rPr>
        <w:t>矿山决定不再继续开采，处于停产状态</w:t>
      </w:r>
      <w:r>
        <w:rPr>
          <w:rFonts w:hint="eastAsia" w:ascii="Times New Roman" w:hAnsi="Times New Roman" w:eastAsia="宋体" w:cs="Times New Roman"/>
          <w:color w:val="auto"/>
          <w:szCs w:val="28"/>
          <w:lang w:val="en-US" w:eastAsia="zh-CN"/>
        </w:rPr>
        <w:t>，矿山现状单元主要有：露天采场、</w:t>
      </w:r>
      <w:r>
        <w:rPr>
          <w:rFonts w:hint="eastAsia" w:eastAsia="宋体" w:cs="Times New Roman"/>
          <w:color w:val="auto"/>
          <w:szCs w:val="28"/>
          <w:lang w:val="en-US" w:eastAsia="zh-CN"/>
        </w:rPr>
        <w:t>1#</w:t>
      </w:r>
      <w:r>
        <w:rPr>
          <w:rFonts w:hint="eastAsia" w:ascii="Times New Roman" w:hAnsi="Times New Roman" w:eastAsia="宋体" w:cs="Times New Roman"/>
          <w:color w:val="auto"/>
          <w:szCs w:val="28"/>
          <w:lang w:val="en-US" w:eastAsia="zh-CN"/>
        </w:rPr>
        <w:t>废石场、</w:t>
      </w:r>
      <w:r>
        <w:rPr>
          <w:rFonts w:hint="eastAsia" w:eastAsia="宋体" w:cs="Times New Roman"/>
          <w:color w:val="auto"/>
          <w:szCs w:val="28"/>
          <w:lang w:val="en-US" w:eastAsia="zh-CN"/>
        </w:rPr>
        <w:t>2#废</w:t>
      </w:r>
      <w:r>
        <w:rPr>
          <w:rFonts w:hint="eastAsia" w:ascii="Times New Roman" w:hAnsi="Times New Roman" w:eastAsia="宋体" w:cs="Times New Roman"/>
          <w:color w:val="auto"/>
          <w:szCs w:val="28"/>
          <w:lang w:val="en-US" w:eastAsia="zh-CN"/>
        </w:rPr>
        <w:t>石场、1#废渣堆、2#废渣堆、3#废渣堆、</w:t>
      </w:r>
      <w:r>
        <w:rPr>
          <w:rFonts w:hint="eastAsia" w:eastAsia="宋体" w:cs="Times New Roman"/>
          <w:color w:val="auto"/>
          <w:szCs w:val="28"/>
          <w:lang w:val="en-US" w:eastAsia="zh-CN"/>
        </w:rPr>
        <w:t>工业场地</w:t>
      </w:r>
      <w:r>
        <w:rPr>
          <w:rFonts w:hint="eastAsia" w:ascii="Times New Roman" w:hAnsi="Times New Roman" w:eastAsia="宋体" w:cs="Times New Roman"/>
          <w:color w:val="auto"/>
          <w:szCs w:val="28"/>
          <w:lang w:val="en-US" w:eastAsia="zh-CN"/>
        </w:rPr>
        <w:t>、矿区道路</w:t>
      </w:r>
      <w:r>
        <w:rPr>
          <w:rFonts w:hint="eastAsia" w:eastAsia="宋体" w:cs="Times New Roman"/>
          <w:color w:val="auto"/>
          <w:szCs w:val="28"/>
          <w:lang w:val="en-US" w:eastAsia="zh-CN"/>
        </w:rPr>
        <w:t>、办公生活区、变压器</w:t>
      </w:r>
      <w:r>
        <w:rPr>
          <w:rFonts w:hint="eastAsia" w:ascii="Times New Roman" w:hAnsi="Times New Roman" w:eastAsia="宋体" w:cs="Times New Roman"/>
          <w:color w:val="auto"/>
          <w:szCs w:val="28"/>
          <w:lang w:val="en-US" w:eastAsia="zh-CN"/>
        </w:rPr>
        <w:t>。</w:t>
      </w:r>
    </w:p>
    <w:p w14:paraId="768DC22C">
      <w:pPr>
        <w:pStyle w:val="14"/>
        <w:spacing w:line="360" w:lineRule="auto"/>
        <w:ind w:firstLine="560" w:firstLineChars="200"/>
        <w:rPr>
          <w:rFonts w:hint="default" w:ascii="Times New Roman" w:hAnsi="Times New Roman" w:eastAsia="宋体" w:cs="Times New Roman"/>
          <w:color w:val="auto"/>
          <w:szCs w:val="28"/>
          <w:lang w:val="en-US" w:eastAsia="zh-CN"/>
        </w:rPr>
      </w:pPr>
      <w:r>
        <w:rPr>
          <w:rFonts w:hint="eastAsia" w:eastAsia="宋体" w:cs="Times New Roman"/>
          <w:color w:val="auto"/>
          <w:szCs w:val="28"/>
          <w:lang w:val="en-US" w:eastAsia="zh-CN"/>
        </w:rPr>
        <w:t>根据</w:t>
      </w:r>
      <w:r>
        <w:rPr>
          <w:rFonts w:hint="eastAsia" w:ascii="Times New Roman" w:hAnsi="Times New Roman" w:eastAsia="宋体" w:cs="Times New Roman"/>
          <w:color w:val="auto"/>
          <w:sz w:val="28"/>
          <w:szCs w:val="28"/>
          <w:lang w:val="zh-CN"/>
        </w:rPr>
        <w:t>202</w:t>
      </w:r>
      <w:r>
        <w:rPr>
          <w:rFonts w:hint="eastAsia" w:cs="Times New Roman"/>
          <w:color w:val="auto"/>
          <w:sz w:val="28"/>
          <w:szCs w:val="28"/>
          <w:lang w:val="en-US" w:eastAsia="zh-CN"/>
        </w:rPr>
        <w:t>6</w:t>
      </w:r>
      <w:r>
        <w:rPr>
          <w:rFonts w:hint="eastAsia" w:ascii="Times New Roman" w:hAnsi="Times New Roman" w:eastAsia="宋体" w:cs="Times New Roman"/>
          <w:color w:val="auto"/>
          <w:sz w:val="28"/>
          <w:szCs w:val="28"/>
          <w:lang w:val="zh-CN"/>
        </w:rPr>
        <w:t>年1月</w:t>
      </w:r>
      <w:r>
        <w:rPr>
          <w:rFonts w:hint="eastAsia" w:ascii="Times New Roman" w:hAnsi="Times New Roman" w:eastAsia="宋体" w:cs="Times New Roman"/>
          <w:color w:val="auto"/>
          <w:sz w:val="28"/>
          <w:szCs w:val="28"/>
          <w:lang w:val="en-US" w:eastAsia="zh-CN"/>
        </w:rPr>
        <w:t>内蒙古兴程技术有限</w:t>
      </w:r>
      <w:r>
        <w:rPr>
          <w:rFonts w:hint="eastAsia" w:ascii="Times New Roman" w:hAnsi="Times New Roman" w:eastAsia="宋体" w:cs="Times New Roman"/>
          <w:color w:val="auto"/>
          <w:sz w:val="28"/>
          <w:szCs w:val="28"/>
          <w:lang w:val="zh-CN"/>
        </w:rPr>
        <w:t>公司编制</w:t>
      </w:r>
      <w:r>
        <w:rPr>
          <w:rFonts w:hint="eastAsia" w:eastAsia="宋体" w:cs="Times New Roman"/>
          <w:color w:val="auto"/>
          <w:sz w:val="28"/>
          <w:szCs w:val="28"/>
          <w:lang w:val="en-US" w:eastAsia="zh-CN"/>
        </w:rPr>
        <w:t>的</w:t>
      </w:r>
      <w:r>
        <w:rPr>
          <w:rFonts w:hint="eastAsia" w:ascii="Times New Roman" w:hAnsi="Times New Roman" w:eastAsia="宋体" w:cs="Times New Roman"/>
          <w:color w:val="auto"/>
          <w:sz w:val="28"/>
          <w:szCs w:val="28"/>
          <w:lang w:val="zh-CN"/>
        </w:rPr>
        <w:t>《内蒙古自治区赤峰市松山区初头郎镇窑沟门碎石矿2025年资源储量年度变化表》（赤松年报审字[2025]D 007号）</w:t>
      </w:r>
      <w:r>
        <w:rPr>
          <w:rFonts w:hint="eastAsia" w:eastAsia="宋体" w:cs="Times New Roman"/>
          <w:color w:val="auto"/>
          <w:sz w:val="28"/>
          <w:szCs w:val="28"/>
          <w:lang w:val="zh-CN"/>
        </w:rPr>
        <w:t>，</w:t>
      </w:r>
      <w:r>
        <w:rPr>
          <w:rFonts w:hint="eastAsia" w:eastAsia="宋体" w:cs="Times New Roman"/>
          <w:color w:val="auto"/>
          <w:sz w:val="28"/>
          <w:szCs w:val="28"/>
          <w:lang w:val="en-US" w:eastAsia="zh-CN"/>
        </w:rPr>
        <w:t>矿山资源储量情况如下：</w:t>
      </w:r>
    </w:p>
    <w:p w14:paraId="4062673F">
      <w:pPr>
        <w:pStyle w:val="14"/>
        <w:spacing w:line="360" w:lineRule="auto"/>
        <w:ind w:firstLine="560" w:firstLineChars="200"/>
        <w:rPr>
          <w:rFonts w:hint="eastAsia" w:ascii="Times New Roman" w:hAnsi="Times New Roman" w:eastAsia="宋体" w:cs="Times New Roman"/>
          <w:color w:val="auto"/>
          <w:sz w:val="28"/>
          <w:szCs w:val="28"/>
          <w:lang w:val="en-US" w:eastAsia="zh-CN"/>
        </w:rPr>
      </w:pPr>
      <w:r>
        <w:rPr>
          <w:rFonts w:hint="eastAsia" w:eastAsia="宋体" w:cs="Times New Roman"/>
          <w:color w:val="auto"/>
          <w:sz w:val="28"/>
          <w:szCs w:val="28"/>
          <w:lang w:val="en-US" w:eastAsia="zh-CN"/>
        </w:rPr>
        <w:t>1、</w:t>
      </w:r>
      <w:r>
        <w:rPr>
          <w:rFonts w:hint="eastAsia" w:ascii="Times New Roman" w:hAnsi="Times New Roman" w:eastAsia="宋体" w:cs="Times New Roman"/>
          <w:color w:val="auto"/>
          <w:sz w:val="28"/>
          <w:szCs w:val="28"/>
          <w:lang w:val="en-US" w:eastAsia="zh-CN"/>
        </w:rPr>
        <w:t>累计</w:t>
      </w:r>
      <w:r>
        <w:rPr>
          <w:rFonts w:hint="eastAsia" w:ascii="Times New Roman" w:hAnsi="Times New Roman" w:eastAsia="宋体" w:cs="Times New Roman"/>
          <w:color w:val="auto"/>
          <w:szCs w:val="28"/>
          <w:lang w:val="en-US" w:eastAsia="zh-CN"/>
        </w:rPr>
        <w:t>查明</w:t>
      </w:r>
      <w:r>
        <w:rPr>
          <w:rFonts w:hint="eastAsia" w:ascii="Times New Roman" w:hAnsi="Times New Roman" w:eastAsia="宋体" w:cs="Times New Roman"/>
          <w:color w:val="auto"/>
          <w:sz w:val="28"/>
          <w:szCs w:val="28"/>
          <w:lang w:val="en-US" w:eastAsia="zh-CN"/>
        </w:rPr>
        <w:t>资源储量</w:t>
      </w:r>
    </w:p>
    <w:p w14:paraId="4A799BED">
      <w:pPr>
        <w:pStyle w:val="14"/>
        <w:spacing w:line="360" w:lineRule="auto"/>
        <w:ind w:firstLine="560" w:firstLineChars="200"/>
        <w:rPr>
          <w:rFonts w:hint="eastAsia" w:ascii="Times New Roman" w:hAnsi="Times New Roman" w:eastAsia="宋体" w:cs="Times New Roman"/>
          <w:color w:val="auto"/>
          <w:sz w:val="28"/>
          <w:szCs w:val="28"/>
          <w:lang w:val="en-US" w:eastAsia="zh-CN"/>
        </w:rPr>
      </w:pPr>
      <w:r>
        <w:rPr>
          <w:rFonts w:hint="eastAsia" w:eastAsia="宋体" w:cs="Times New Roman"/>
          <w:color w:val="auto"/>
          <w:sz w:val="28"/>
          <w:szCs w:val="28"/>
          <w:lang w:val="en-US" w:eastAsia="zh-CN"/>
        </w:rPr>
        <w:t>截至</w:t>
      </w:r>
      <w:r>
        <w:rPr>
          <w:rFonts w:hint="eastAsia" w:ascii="Times New Roman" w:hAnsi="Times New Roman" w:eastAsia="宋体" w:cs="Times New Roman"/>
          <w:color w:val="auto"/>
          <w:sz w:val="28"/>
          <w:szCs w:val="28"/>
          <w:lang w:val="en-US" w:eastAsia="zh-CN"/>
        </w:rPr>
        <w:t>2025年12月31日，累计查明资源量</w:t>
      </w:r>
      <w:r>
        <w:rPr>
          <w:rFonts w:hint="eastAsia" w:eastAsia="宋体" w:cs="Times New Roman"/>
          <w:color w:val="auto"/>
          <w:sz w:val="28"/>
          <w:szCs w:val="28"/>
          <w:lang w:val="en-US" w:eastAsia="zh-CN"/>
        </w:rPr>
        <w:t>（</w:t>
      </w:r>
      <w:r>
        <w:rPr>
          <w:rFonts w:hint="eastAsia" w:ascii="Times New Roman" w:hAnsi="Times New Roman" w:eastAsia="宋体" w:cs="Times New Roman"/>
          <w:color w:val="auto"/>
          <w:sz w:val="28"/>
          <w:szCs w:val="28"/>
          <w:lang w:val="en-US" w:eastAsia="zh-CN"/>
        </w:rPr>
        <w:t>TM+TD</w:t>
      </w:r>
      <w:r>
        <w:rPr>
          <w:rFonts w:hint="eastAsia" w:eastAsia="宋体" w:cs="Times New Roman"/>
          <w:color w:val="auto"/>
          <w:sz w:val="28"/>
          <w:szCs w:val="28"/>
          <w:lang w:val="en-US" w:eastAsia="zh-CN"/>
        </w:rPr>
        <w:t>）</w:t>
      </w:r>
      <w:r>
        <w:rPr>
          <w:rFonts w:hint="eastAsia" w:ascii="Times New Roman" w:hAnsi="Times New Roman" w:eastAsia="宋体" w:cs="Times New Roman"/>
          <w:color w:val="auto"/>
          <w:sz w:val="28"/>
          <w:szCs w:val="28"/>
          <w:lang w:val="en-US" w:eastAsia="zh-CN"/>
        </w:rPr>
        <w:t>38.64</w:t>
      </w:r>
      <w:r>
        <w:rPr>
          <w:rFonts w:hint="eastAsia" w:eastAsia="宋体" w:cs="Times New Roman"/>
          <w:color w:val="auto"/>
          <w:sz w:val="28"/>
          <w:szCs w:val="28"/>
          <w:lang w:val="en-US" w:eastAsia="zh-CN"/>
        </w:rPr>
        <w:t>×</w:t>
      </w:r>
      <w:r>
        <w:rPr>
          <w:rFonts w:hint="eastAsia" w:ascii="Times New Roman" w:hAnsi="Times New Roman" w:eastAsia="宋体" w:cs="Times New Roman"/>
          <w:color w:val="auto"/>
          <w:sz w:val="28"/>
          <w:szCs w:val="28"/>
          <w:lang w:val="en-US" w:eastAsia="zh-CN"/>
        </w:rPr>
        <w:t>10</w:t>
      </w:r>
      <w:r>
        <w:rPr>
          <w:rFonts w:hint="eastAsia" w:ascii="Times New Roman" w:hAnsi="Times New Roman" w:eastAsia="宋体" w:cs="Times New Roman"/>
          <w:color w:val="auto"/>
          <w:sz w:val="28"/>
          <w:szCs w:val="28"/>
          <w:vertAlign w:val="superscript"/>
          <w:lang w:val="en-US" w:eastAsia="zh-CN"/>
        </w:rPr>
        <w:t>4</w:t>
      </w:r>
      <w:r>
        <w:rPr>
          <w:rFonts w:hint="eastAsia" w:ascii="Times New Roman" w:hAnsi="Times New Roman" w:eastAsia="宋体" w:cs="Times New Roman"/>
          <w:color w:val="auto"/>
          <w:sz w:val="28"/>
          <w:szCs w:val="28"/>
          <w:lang w:val="en-US" w:eastAsia="zh-CN"/>
        </w:rPr>
        <w:t>m</w:t>
      </w:r>
      <w:r>
        <w:rPr>
          <w:rFonts w:hint="eastAsia" w:ascii="Times New Roman" w:hAnsi="Times New Roman" w:eastAsia="宋体" w:cs="Times New Roman"/>
          <w:color w:val="auto"/>
          <w:sz w:val="28"/>
          <w:szCs w:val="28"/>
          <w:vertAlign w:val="superscript"/>
          <w:lang w:val="en-US" w:eastAsia="zh-CN"/>
        </w:rPr>
        <w:t>3</w:t>
      </w:r>
      <w:r>
        <w:rPr>
          <w:rFonts w:hint="eastAsia" w:ascii="Times New Roman" w:hAnsi="Times New Roman" w:eastAsia="宋体" w:cs="Times New Roman"/>
          <w:color w:val="auto"/>
          <w:sz w:val="28"/>
          <w:szCs w:val="28"/>
          <w:lang w:val="en-US" w:eastAsia="zh-CN"/>
        </w:rPr>
        <w:t>。其中探明资源量</w:t>
      </w:r>
      <w:r>
        <w:rPr>
          <w:rFonts w:hint="eastAsia" w:eastAsia="宋体" w:cs="Times New Roman"/>
          <w:color w:val="auto"/>
          <w:sz w:val="28"/>
          <w:szCs w:val="28"/>
          <w:lang w:val="en-US" w:eastAsia="zh-CN"/>
        </w:rPr>
        <w:t>（</w:t>
      </w:r>
      <w:r>
        <w:rPr>
          <w:rFonts w:hint="eastAsia" w:ascii="Times New Roman" w:hAnsi="Times New Roman" w:eastAsia="宋体" w:cs="Times New Roman"/>
          <w:color w:val="auto"/>
          <w:sz w:val="28"/>
          <w:szCs w:val="28"/>
          <w:lang w:val="en-US" w:eastAsia="zh-CN"/>
        </w:rPr>
        <w:t>TM</w:t>
      </w:r>
      <w:r>
        <w:rPr>
          <w:rFonts w:hint="eastAsia" w:eastAsia="宋体" w:cs="Times New Roman"/>
          <w:color w:val="auto"/>
          <w:sz w:val="28"/>
          <w:szCs w:val="28"/>
          <w:lang w:val="en-US" w:eastAsia="zh-CN"/>
        </w:rPr>
        <w:t>）</w:t>
      </w:r>
      <w:r>
        <w:rPr>
          <w:rFonts w:hint="eastAsia" w:ascii="Times New Roman" w:hAnsi="Times New Roman" w:eastAsia="宋体" w:cs="Times New Roman"/>
          <w:color w:val="auto"/>
          <w:sz w:val="28"/>
          <w:szCs w:val="28"/>
          <w:lang w:val="en-US" w:eastAsia="zh-CN"/>
        </w:rPr>
        <w:t>5.3</w:t>
      </w:r>
      <w:r>
        <w:rPr>
          <w:rFonts w:hint="eastAsia" w:eastAsia="宋体" w:cs="Times New Roman"/>
          <w:color w:val="auto"/>
          <w:sz w:val="28"/>
          <w:szCs w:val="28"/>
          <w:lang w:val="en-US" w:eastAsia="zh-CN"/>
        </w:rPr>
        <w:t>×</w:t>
      </w:r>
      <w:r>
        <w:rPr>
          <w:rFonts w:hint="eastAsia" w:ascii="Times New Roman" w:hAnsi="Times New Roman" w:eastAsia="宋体" w:cs="Times New Roman"/>
          <w:color w:val="auto"/>
          <w:sz w:val="28"/>
          <w:szCs w:val="28"/>
          <w:lang w:val="en-US" w:eastAsia="zh-CN"/>
        </w:rPr>
        <w:t>10</w:t>
      </w:r>
      <w:r>
        <w:rPr>
          <w:rFonts w:hint="eastAsia" w:ascii="Times New Roman" w:hAnsi="Times New Roman" w:eastAsia="宋体" w:cs="Times New Roman"/>
          <w:color w:val="auto"/>
          <w:sz w:val="28"/>
          <w:szCs w:val="28"/>
          <w:vertAlign w:val="superscript"/>
          <w:lang w:val="en-US" w:eastAsia="zh-CN"/>
        </w:rPr>
        <w:t>4</w:t>
      </w:r>
      <w:r>
        <w:rPr>
          <w:rFonts w:hint="eastAsia" w:ascii="Times New Roman" w:hAnsi="Times New Roman" w:eastAsia="宋体" w:cs="Times New Roman"/>
          <w:color w:val="auto"/>
          <w:sz w:val="28"/>
          <w:szCs w:val="28"/>
          <w:lang w:val="en-US" w:eastAsia="zh-CN"/>
        </w:rPr>
        <w:t>m</w:t>
      </w:r>
      <w:r>
        <w:rPr>
          <w:rFonts w:hint="eastAsia" w:ascii="Times New Roman" w:hAnsi="Times New Roman" w:eastAsia="宋体" w:cs="Times New Roman"/>
          <w:color w:val="auto"/>
          <w:sz w:val="28"/>
          <w:szCs w:val="28"/>
          <w:vertAlign w:val="superscript"/>
          <w:lang w:val="en-US" w:eastAsia="zh-CN"/>
        </w:rPr>
        <w:t>3</w:t>
      </w:r>
      <w:r>
        <w:rPr>
          <w:rFonts w:hint="eastAsia" w:eastAsia="宋体" w:cs="Times New Roman"/>
          <w:color w:val="auto"/>
          <w:sz w:val="28"/>
          <w:szCs w:val="28"/>
          <w:lang w:val="en-US" w:eastAsia="zh-CN"/>
        </w:rPr>
        <w:t>，</w:t>
      </w:r>
      <w:r>
        <w:rPr>
          <w:rFonts w:hint="eastAsia" w:ascii="Times New Roman" w:hAnsi="Times New Roman" w:eastAsia="宋体" w:cs="Times New Roman"/>
          <w:color w:val="auto"/>
          <w:sz w:val="28"/>
          <w:szCs w:val="28"/>
          <w:lang w:val="en-US" w:eastAsia="zh-CN"/>
        </w:rPr>
        <w:t>含证实储量</w:t>
      </w:r>
      <w:r>
        <w:rPr>
          <w:rFonts w:hint="eastAsia" w:eastAsia="宋体" w:cs="Times New Roman"/>
          <w:color w:val="auto"/>
          <w:sz w:val="28"/>
          <w:szCs w:val="28"/>
          <w:lang w:val="en-US" w:eastAsia="zh-CN"/>
        </w:rPr>
        <w:t>（</w:t>
      </w:r>
      <w:r>
        <w:rPr>
          <w:rFonts w:hint="eastAsia" w:ascii="Times New Roman" w:hAnsi="Times New Roman" w:eastAsia="宋体" w:cs="Times New Roman"/>
          <w:color w:val="auto"/>
          <w:sz w:val="28"/>
          <w:szCs w:val="28"/>
          <w:lang w:val="en-US" w:eastAsia="zh-CN"/>
        </w:rPr>
        <w:t>ZS</w:t>
      </w:r>
      <w:r>
        <w:rPr>
          <w:rFonts w:hint="eastAsia" w:eastAsia="宋体" w:cs="Times New Roman"/>
          <w:color w:val="auto"/>
          <w:sz w:val="28"/>
          <w:szCs w:val="28"/>
          <w:lang w:val="en-US" w:eastAsia="zh-CN"/>
        </w:rPr>
        <w:t>）</w:t>
      </w:r>
      <w:r>
        <w:rPr>
          <w:rFonts w:hint="eastAsia" w:ascii="Times New Roman" w:hAnsi="Times New Roman" w:eastAsia="宋体" w:cs="Times New Roman"/>
          <w:color w:val="auto"/>
          <w:sz w:val="28"/>
          <w:szCs w:val="28"/>
          <w:lang w:val="en-US" w:eastAsia="zh-CN"/>
        </w:rPr>
        <w:t>4.84</w:t>
      </w:r>
      <w:r>
        <w:rPr>
          <w:rFonts w:hint="eastAsia" w:eastAsia="宋体" w:cs="Times New Roman"/>
          <w:color w:val="auto"/>
          <w:sz w:val="28"/>
          <w:szCs w:val="28"/>
          <w:lang w:val="en-US" w:eastAsia="zh-CN"/>
        </w:rPr>
        <w:t>×</w:t>
      </w:r>
      <w:r>
        <w:rPr>
          <w:rFonts w:hint="eastAsia" w:ascii="Times New Roman" w:hAnsi="Times New Roman" w:eastAsia="宋体" w:cs="Times New Roman"/>
          <w:color w:val="auto"/>
          <w:sz w:val="28"/>
          <w:szCs w:val="28"/>
          <w:lang w:val="en-US" w:eastAsia="zh-CN"/>
        </w:rPr>
        <w:t>10</w:t>
      </w:r>
      <w:r>
        <w:rPr>
          <w:rFonts w:hint="eastAsia" w:ascii="Times New Roman" w:hAnsi="Times New Roman" w:eastAsia="宋体" w:cs="Times New Roman"/>
          <w:color w:val="auto"/>
          <w:sz w:val="28"/>
          <w:szCs w:val="28"/>
          <w:vertAlign w:val="superscript"/>
          <w:lang w:val="en-US" w:eastAsia="zh-CN"/>
        </w:rPr>
        <w:t>4</w:t>
      </w:r>
      <w:r>
        <w:rPr>
          <w:rFonts w:hint="eastAsia" w:ascii="Times New Roman" w:hAnsi="Times New Roman" w:eastAsia="宋体" w:cs="Times New Roman"/>
          <w:color w:val="auto"/>
          <w:sz w:val="28"/>
          <w:szCs w:val="28"/>
          <w:lang w:val="en-US" w:eastAsia="zh-CN"/>
        </w:rPr>
        <w:t>m</w:t>
      </w:r>
      <w:r>
        <w:rPr>
          <w:rFonts w:hint="eastAsia" w:ascii="Times New Roman" w:hAnsi="Times New Roman" w:eastAsia="宋体" w:cs="Times New Roman"/>
          <w:color w:val="auto"/>
          <w:sz w:val="28"/>
          <w:szCs w:val="28"/>
          <w:vertAlign w:val="superscript"/>
          <w:lang w:val="en-US" w:eastAsia="zh-CN"/>
        </w:rPr>
        <w:t>3</w:t>
      </w:r>
      <w:r>
        <w:rPr>
          <w:rFonts w:hint="eastAsia" w:eastAsia="宋体" w:cs="Times New Roman"/>
          <w:color w:val="auto"/>
          <w:sz w:val="28"/>
          <w:szCs w:val="28"/>
          <w:lang w:val="en-US" w:eastAsia="zh-CN"/>
        </w:rPr>
        <w:t>，</w:t>
      </w:r>
      <w:r>
        <w:rPr>
          <w:rFonts w:hint="eastAsia" w:ascii="Times New Roman" w:hAnsi="Times New Roman" w:eastAsia="宋体" w:cs="Times New Roman"/>
          <w:color w:val="auto"/>
          <w:sz w:val="28"/>
          <w:szCs w:val="28"/>
          <w:lang w:val="en-US" w:eastAsia="zh-CN"/>
        </w:rPr>
        <w:t>推断资源量</w:t>
      </w:r>
      <w:r>
        <w:rPr>
          <w:rFonts w:hint="eastAsia" w:eastAsia="宋体" w:cs="Times New Roman"/>
          <w:color w:val="auto"/>
          <w:sz w:val="28"/>
          <w:szCs w:val="28"/>
          <w:lang w:val="en-US" w:eastAsia="zh-CN"/>
        </w:rPr>
        <w:t>（</w:t>
      </w:r>
      <w:r>
        <w:rPr>
          <w:rFonts w:hint="eastAsia" w:ascii="Times New Roman" w:hAnsi="Times New Roman" w:eastAsia="宋体" w:cs="Times New Roman"/>
          <w:color w:val="auto"/>
          <w:sz w:val="28"/>
          <w:szCs w:val="28"/>
          <w:lang w:val="en-US" w:eastAsia="zh-CN"/>
        </w:rPr>
        <w:t>TD</w:t>
      </w:r>
      <w:r>
        <w:rPr>
          <w:rFonts w:hint="eastAsia" w:eastAsia="宋体" w:cs="Times New Roman"/>
          <w:color w:val="auto"/>
          <w:sz w:val="28"/>
          <w:szCs w:val="28"/>
          <w:lang w:val="en-US" w:eastAsia="zh-CN"/>
        </w:rPr>
        <w:t>）</w:t>
      </w:r>
      <w:r>
        <w:rPr>
          <w:rFonts w:hint="eastAsia" w:ascii="Times New Roman" w:hAnsi="Times New Roman" w:eastAsia="宋体" w:cs="Times New Roman"/>
          <w:color w:val="auto"/>
          <w:sz w:val="28"/>
          <w:szCs w:val="28"/>
          <w:lang w:val="en-US" w:eastAsia="zh-CN"/>
        </w:rPr>
        <w:t>33.34</w:t>
      </w:r>
      <w:r>
        <w:rPr>
          <w:rFonts w:hint="eastAsia" w:eastAsia="宋体" w:cs="Times New Roman"/>
          <w:color w:val="auto"/>
          <w:sz w:val="28"/>
          <w:szCs w:val="28"/>
          <w:lang w:val="en-US" w:eastAsia="zh-CN"/>
        </w:rPr>
        <w:t>×</w:t>
      </w:r>
      <w:r>
        <w:rPr>
          <w:rFonts w:hint="eastAsia" w:ascii="Times New Roman" w:hAnsi="Times New Roman" w:eastAsia="宋体" w:cs="Times New Roman"/>
          <w:color w:val="auto"/>
          <w:sz w:val="28"/>
          <w:szCs w:val="28"/>
          <w:lang w:val="en-US" w:eastAsia="zh-CN"/>
        </w:rPr>
        <w:t>10</w:t>
      </w:r>
      <w:r>
        <w:rPr>
          <w:rFonts w:hint="eastAsia" w:ascii="Times New Roman" w:hAnsi="Times New Roman" w:eastAsia="宋体" w:cs="Times New Roman"/>
          <w:color w:val="auto"/>
          <w:sz w:val="28"/>
          <w:szCs w:val="28"/>
          <w:vertAlign w:val="superscript"/>
          <w:lang w:val="en-US" w:eastAsia="zh-CN"/>
        </w:rPr>
        <w:t>4</w:t>
      </w:r>
      <w:r>
        <w:rPr>
          <w:rFonts w:hint="eastAsia" w:ascii="Times New Roman" w:hAnsi="Times New Roman" w:eastAsia="宋体" w:cs="Times New Roman"/>
          <w:color w:val="auto"/>
          <w:sz w:val="28"/>
          <w:szCs w:val="28"/>
          <w:lang w:val="en-US" w:eastAsia="zh-CN"/>
        </w:rPr>
        <w:t>m</w:t>
      </w:r>
      <w:r>
        <w:rPr>
          <w:rFonts w:hint="eastAsia" w:ascii="Times New Roman" w:hAnsi="Times New Roman" w:eastAsia="宋体" w:cs="Times New Roman"/>
          <w:color w:val="auto"/>
          <w:sz w:val="28"/>
          <w:szCs w:val="28"/>
          <w:vertAlign w:val="superscript"/>
          <w:lang w:val="en-US" w:eastAsia="zh-CN"/>
        </w:rPr>
        <w:t>3</w:t>
      </w:r>
      <w:r>
        <w:rPr>
          <w:rFonts w:hint="eastAsia" w:ascii="Times New Roman" w:hAnsi="Times New Roman" w:eastAsia="宋体" w:cs="Times New Roman"/>
          <w:color w:val="auto"/>
          <w:sz w:val="28"/>
          <w:szCs w:val="28"/>
          <w:lang w:val="en-US" w:eastAsia="zh-CN"/>
        </w:rPr>
        <w:t>。</w:t>
      </w:r>
    </w:p>
    <w:p w14:paraId="0BAFD5CF">
      <w:pPr>
        <w:pStyle w:val="14"/>
        <w:spacing w:line="360" w:lineRule="auto"/>
        <w:ind w:firstLine="560" w:firstLineChars="200"/>
        <w:rPr>
          <w:rFonts w:hint="eastAsia"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2、动用资源储量</w:t>
      </w:r>
    </w:p>
    <w:p w14:paraId="22E0C46A">
      <w:pPr>
        <w:pStyle w:val="14"/>
        <w:spacing w:line="360" w:lineRule="auto"/>
        <w:ind w:firstLine="560" w:firstLineChars="200"/>
        <w:rPr>
          <w:rFonts w:hint="eastAsia" w:ascii="Times New Roman" w:hAnsi="Times New Roman" w:eastAsia="宋体" w:cs="Times New Roman"/>
          <w:color w:val="auto"/>
          <w:sz w:val="28"/>
          <w:szCs w:val="28"/>
          <w:vertAlign w:val="superscript"/>
          <w:lang w:val="en-US" w:eastAsia="zh-CN"/>
        </w:rPr>
      </w:pPr>
      <w:r>
        <w:rPr>
          <w:rFonts w:hint="eastAsia" w:eastAsia="宋体" w:cs="Times New Roman"/>
          <w:color w:val="auto"/>
          <w:sz w:val="28"/>
          <w:szCs w:val="28"/>
          <w:lang w:val="en-US" w:eastAsia="zh-CN"/>
        </w:rPr>
        <w:t>截至</w:t>
      </w:r>
      <w:r>
        <w:rPr>
          <w:rFonts w:hint="eastAsia" w:ascii="Times New Roman" w:hAnsi="Times New Roman" w:eastAsia="宋体" w:cs="Times New Roman"/>
          <w:color w:val="auto"/>
          <w:sz w:val="28"/>
          <w:szCs w:val="28"/>
          <w:lang w:val="en-US" w:eastAsia="zh-CN"/>
        </w:rPr>
        <w:t>2025年12月31日，累计动用资源量</w:t>
      </w:r>
      <w:r>
        <w:rPr>
          <w:rFonts w:hint="eastAsia" w:eastAsia="宋体" w:cs="Times New Roman"/>
          <w:color w:val="auto"/>
          <w:sz w:val="28"/>
          <w:szCs w:val="28"/>
          <w:lang w:val="en-US" w:eastAsia="zh-CN"/>
        </w:rPr>
        <w:t>（</w:t>
      </w:r>
      <w:r>
        <w:rPr>
          <w:rFonts w:hint="eastAsia" w:ascii="Times New Roman" w:hAnsi="Times New Roman" w:eastAsia="宋体" w:cs="Times New Roman"/>
          <w:color w:val="auto"/>
          <w:sz w:val="28"/>
          <w:szCs w:val="28"/>
          <w:lang w:val="en-US" w:eastAsia="zh-CN"/>
        </w:rPr>
        <w:t>TD</w:t>
      </w:r>
      <w:r>
        <w:rPr>
          <w:rFonts w:hint="eastAsia" w:eastAsia="宋体" w:cs="Times New Roman"/>
          <w:color w:val="auto"/>
          <w:sz w:val="28"/>
          <w:szCs w:val="28"/>
          <w:lang w:val="en-US" w:eastAsia="zh-CN"/>
        </w:rPr>
        <w:t>）</w:t>
      </w:r>
      <w:r>
        <w:rPr>
          <w:rFonts w:hint="eastAsia" w:ascii="Times New Roman" w:hAnsi="Times New Roman" w:eastAsia="宋体" w:cs="Times New Roman"/>
          <w:color w:val="auto"/>
          <w:sz w:val="28"/>
          <w:szCs w:val="28"/>
          <w:lang w:val="en-US" w:eastAsia="zh-CN"/>
        </w:rPr>
        <w:t>5.3</w:t>
      </w:r>
      <w:r>
        <w:rPr>
          <w:rFonts w:hint="eastAsia" w:eastAsia="宋体" w:cs="Times New Roman"/>
          <w:color w:val="auto"/>
          <w:sz w:val="28"/>
          <w:szCs w:val="28"/>
          <w:lang w:val="en-US" w:eastAsia="zh-CN"/>
        </w:rPr>
        <w:t>×</w:t>
      </w:r>
      <w:r>
        <w:rPr>
          <w:rFonts w:hint="eastAsia" w:ascii="Times New Roman" w:hAnsi="Times New Roman" w:eastAsia="宋体" w:cs="Times New Roman"/>
          <w:color w:val="auto"/>
          <w:sz w:val="28"/>
          <w:szCs w:val="28"/>
          <w:lang w:val="en-US" w:eastAsia="zh-CN"/>
        </w:rPr>
        <w:t>10</w:t>
      </w:r>
      <w:r>
        <w:rPr>
          <w:rFonts w:hint="eastAsia" w:ascii="Times New Roman" w:hAnsi="Times New Roman" w:eastAsia="宋体" w:cs="Times New Roman"/>
          <w:color w:val="auto"/>
          <w:sz w:val="28"/>
          <w:szCs w:val="28"/>
          <w:vertAlign w:val="superscript"/>
          <w:lang w:val="en-US" w:eastAsia="zh-CN"/>
        </w:rPr>
        <w:t>4</w:t>
      </w:r>
      <w:r>
        <w:rPr>
          <w:rFonts w:hint="eastAsia" w:ascii="Times New Roman" w:hAnsi="Times New Roman" w:eastAsia="宋体" w:cs="Times New Roman"/>
          <w:color w:val="auto"/>
          <w:sz w:val="28"/>
          <w:szCs w:val="28"/>
          <w:lang w:val="en-US" w:eastAsia="zh-CN"/>
        </w:rPr>
        <w:t>m</w:t>
      </w:r>
      <w:r>
        <w:rPr>
          <w:rFonts w:hint="eastAsia" w:ascii="Times New Roman" w:hAnsi="Times New Roman" w:eastAsia="宋体" w:cs="Times New Roman"/>
          <w:color w:val="auto"/>
          <w:sz w:val="28"/>
          <w:szCs w:val="28"/>
          <w:vertAlign w:val="superscript"/>
          <w:lang w:val="en-US" w:eastAsia="zh-CN"/>
        </w:rPr>
        <w:t>3</w:t>
      </w:r>
      <w:r>
        <w:rPr>
          <w:rFonts w:hint="eastAsia" w:ascii="Times New Roman" w:hAnsi="Times New Roman" w:eastAsia="宋体" w:cs="Times New Roman"/>
          <w:color w:val="auto"/>
          <w:sz w:val="28"/>
          <w:szCs w:val="28"/>
          <w:lang w:val="en-US" w:eastAsia="zh-CN"/>
        </w:rPr>
        <w:t>，升级为探明资源量</w:t>
      </w:r>
      <w:r>
        <w:rPr>
          <w:rFonts w:hint="eastAsia" w:eastAsia="宋体" w:cs="Times New Roman"/>
          <w:color w:val="auto"/>
          <w:sz w:val="28"/>
          <w:szCs w:val="28"/>
          <w:lang w:val="en-US" w:eastAsia="zh-CN"/>
        </w:rPr>
        <w:t>（</w:t>
      </w:r>
      <w:r>
        <w:rPr>
          <w:rFonts w:hint="eastAsia" w:ascii="Times New Roman" w:hAnsi="Times New Roman" w:eastAsia="宋体" w:cs="Times New Roman"/>
          <w:color w:val="auto"/>
          <w:sz w:val="28"/>
          <w:szCs w:val="28"/>
          <w:lang w:val="en-US" w:eastAsia="zh-CN"/>
        </w:rPr>
        <w:t>TM</w:t>
      </w:r>
      <w:r>
        <w:rPr>
          <w:rFonts w:hint="eastAsia" w:eastAsia="宋体" w:cs="Times New Roman"/>
          <w:color w:val="auto"/>
          <w:sz w:val="28"/>
          <w:szCs w:val="28"/>
          <w:lang w:val="en-US" w:eastAsia="zh-CN"/>
        </w:rPr>
        <w:t>）</w:t>
      </w:r>
      <w:r>
        <w:rPr>
          <w:rFonts w:hint="eastAsia" w:ascii="Times New Roman" w:hAnsi="Times New Roman" w:eastAsia="宋体" w:cs="Times New Roman"/>
          <w:color w:val="auto"/>
          <w:sz w:val="28"/>
          <w:szCs w:val="28"/>
          <w:lang w:val="en-US" w:eastAsia="zh-CN"/>
        </w:rPr>
        <w:t>5.3</w:t>
      </w:r>
      <w:r>
        <w:rPr>
          <w:rFonts w:hint="eastAsia" w:eastAsia="宋体" w:cs="Times New Roman"/>
          <w:color w:val="auto"/>
          <w:sz w:val="28"/>
          <w:szCs w:val="28"/>
          <w:lang w:val="en-US" w:eastAsia="zh-CN"/>
        </w:rPr>
        <w:t>×</w:t>
      </w:r>
      <w:r>
        <w:rPr>
          <w:rFonts w:hint="eastAsia" w:ascii="Times New Roman" w:hAnsi="Times New Roman" w:eastAsia="宋体" w:cs="Times New Roman"/>
          <w:color w:val="auto"/>
          <w:sz w:val="28"/>
          <w:szCs w:val="28"/>
          <w:lang w:val="en-US" w:eastAsia="zh-CN"/>
        </w:rPr>
        <w:t>10</w:t>
      </w:r>
      <w:r>
        <w:rPr>
          <w:rFonts w:hint="eastAsia" w:ascii="Times New Roman" w:hAnsi="Times New Roman" w:eastAsia="宋体" w:cs="Times New Roman"/>
          <w:color w:val="auto"/>
          <w:sz w:val="28"/>
          <w:szCs w:val="28"/>
          <w:vertAlign w:val="superscript"/>
          <w:lang w:val="en-US" w:eastAsia="zh-CN"/>
        </w:rPr>
        <w:t>4</w:t>
      </w:r>
      <w:r>
        <w:rPr>
          <w:rFonts w:hint="eastAsia" w:ascii="Times New Roman" w:hAnsi="Times New Roman" w:eastAsia="宋体" w:cs="Times New Roman"/>
          <w:color w:val="auto"/>
          <w:sz w:val="28"/>
          <w:szCs w:val="28"/>
          <w:lang w:val="en-US" w:eastAsia="zh-CN"/>
        </w:rPr>
        <w:t>m</w:t>
      </w:r>
      <w:r>
        <w:rPr>
          <w:rFonts w:hint="eastAsia" w:ascii="Times New Roman" w:hAnsi="Times New Roman" w:eastAsia="宋体" w:cs="Times New Roman"/>
          <w:color w:val="auto"/>
          <w:sz w:val="28"/>
          <w:szCs w:val="28"/>
          <w:vertAlign w:val="superscript"/>
          <w:lang w:val="en-US" w:eastAsia="zh-CN"/>
        </w:rPr>
        <w:t>3</w:t>
      </w:r>
      <w:r>
        <w:rPr>
          <w:rFonts w:hint="eastAsia" w:eastAsia="宋体" w:cs="Times New Roman"/>
          <w:color w:val="auto"/>
          <w:sz w:val="28"/>
          <w:szCs w:val="28"/>
          <w:vertAlign w:val="baseline"/>
          <w:lang w:val="en-US" w:eastAsia="zh-CN"/>
        </w:rPr>
        <w:t>。</w:t>
      </w:r>
    </w:p>
    <w:p w14:paraId="669C9F14">
      <w:pPr>
        <w:pStyle w:val="14"/>
        <w:spacing w:line="360" w:lineRule="auto"/>
        <w:ind w:firstLine="560" w:firstLineChars="200"/>
        <w:rPr>
          <w:rFonts w:hint="eastAsia"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3、保有资源量</w:t>
      </w:r>
    </w:p>
    <w:p w14:paraId="7BF06C51">
      <w:pPr>
        <w:pStyle w:val="14"/>
        <w:spacing w:line="360" w:lineRule="auto"/>
        <w:ind w:firstLine="560" w:firstLineChars="200"/>
        <w:rPr>
          <w:rFonts w:hint="eastAsia" w:ascii="Times New Roman" w:hAnsi="Times New Roman" w:eastAsia="宋体" w:cs="Times New Roman"/>
          <w:color w:val="auto"/>
          <w:szCs w:val="28"/>
          <w:lang w:val="en-US" w:eastAsia="zh-CN"/>
        </w:rPr>
      </w:pPr>
      <w:r>
        <w:rPr>
          <w:rFonts w:hint="eastAsia" w:eastAsia="宋体" w:cs="Times New Roman"/>
          <w:color w:val="auto"/>
          <w:sz w:val="28"/>
          <w:szCs w:val="28"/>
          <w:lang w:val="en-US" w:eastAsia="zh-CN"/>
        </w:rPr>
        <w:t>截至</w:t>
      </w:r>
      <w:r>
        <w:rPr>
          <w:rFonts w:hint="eastAsia" w:ascii="Times New Roman" w:hAnsi="Times New Roman" w:eastAsia="宋体" w:cs="Times New Roman"/>
          <w:color w:val="auto"/>
          <w:sz w:val="28"/>
          <w:szCs w:val="28"/>
          <w:lang w:val="en-US" w:eastAsia="zh-CN"/>
        </w:rPr>
        <w:t>2025年12月31日，保有推断资源量</w:t>
      </w:r>
      <w:r>
        <w:rPr>
          <w:rFonts w:hint="eastAsia" w:eastAsia="宋体" w:cs="Times New Roman"/>
          <w:color w:val="auto"/>
          <w:sz w:val="28"/>
          <w:szCs w:val="28"/>
          <w:lang w:val="en-US" w:eastAsia="zh-CN"/>
        </w:rPr>
        <w:t>（</w:t>
      </w:r>
      <w:r>
        <w:rPr>
          <w:rFonts w:hint="eastAsia" w:ascii="Times New Roman" w:hAnsi="Times New Roman" w:eastAsia="宋体" w:cs="Times New Roman"/>
          <w:color w:val="auto"/>
          <w:sz w:val="28"/>
          <w:szCs w:val="28"/>
          <w:lang w:val="en-US" w:eastAsia="zh-CN"/>
        </w:rPr>
        <w:t>TD</w:t>
      </w:r>
      <w:r>
        <w:rPr>
          <w:rFonts w:hint="eastAsia" w:eastAsia="宋体" w:cs="Times New Roman"/>
          <w:color w:val="auto"/>
          <w:sz w:val="28"/>
          <w:szCs w:val="28"/>
          <w:lang w:val="en-US" w:eastAsia="zh-CN"/>
        </w:rPr>
        <w:t>）</w:t>
      </w:r>
      <w:r>
        <w:rPr>
          <w:rFonts w:hint="eastAsia" w:ascii="Times New Roman" w:hAnsi="Times New Roman" w:eastAsia="宋体" w:cs="Times New Roman"/>
          <w:color w:val="auto"/>
          <w:sz w:val="28"/>
          <w:szCs w:val="28"/>
          <w:lang w:val="en-US" w:eastAsia="zh-CN"/>
        </w:rPr>
        <w:t>33.34</w:t>
      </w:r>
      <w:r>
        <w:rPr>
          <w:rFonts w:hint="eastAsia" w:eastAsia="宋体" w:cs="Times New Roman"/>
          <w:color w:val="auto"/>
          <w:sz w:val="28"/>
          <w:szCs w:val="28"/>
          <w:lang w:val="en-US" w:eastAsia="zh-CN"/>
        </w:rPr>
        <w:t>×</w:t>
      </w:r>
      <w:r>
        <w:rPr>
          <w:rFonts w:hint="eastAsia" w:ascii="Times New Roman" w:hAnsi="Times New Roman" w:eastAsia="宋体" w:cs="Times New Roman"/>
          <w:color w:val="auto"/>
          <w:sz w:val="28"/>
          <w:szCs w:val="28"/>
          <w:lang w:val="en-US" w:eastAsia="zh-CN"/>
        </w:rPr>
        <w:t>10</w:t>
      </w:r>
      <w:r>
        <w:rPr>
          <w:rFonts w:hint="eastAsia" w:ascii="Times New Roman" w:hAnsi="Times New Roman" w:eastAsia="宋体" w:cs="Times New Roman"/>
          <w:color w:val="auto"/>
          <w:sz w:val="28"/>
          <w:szCs w:val="28"/>
          <w:vertAlign w:val="superscript"/>
          <w:lang w:val="en-US" w:eastAsia="zh-CN"/>
        </w:rPr>
        <w:t>4</w:t>
      </w:r>
      <w:r>
        <w:rPr>
          <w:rFonts w:hint="eastAsia" w:ascii="Times New Roman" w:hAnsi="Times New Roman" w:eastAsia="宋体" w:cs="Times New Roman"/>
          <w:color w:val="auto"/>
          <w:sz w:val="28"/>
          <w:szCs w:val="28"/>
          <w:lang w:val="en-US" w:eastAsia="zh-CN"/>
        </w:rPr>
        <w:t>m</w:t>
      </w:r>
      <w:r>
        <w:rPr>
          <w:rFonts w:hint="eastAsia" w:ascii="Times New Roman" w:hAnsi="Times New Roman" w:eastAsia="宋体" w:cs="Times New Roman"/>
          <w:color w:val="auto"/>
          <w:sz w:val="28"/>
          <w:szCs w:val="28"/>
          <w:vertAlign w:val="superscript"/>
          <w:lang w:val="en-US" w:eastAsia="zh-CN"/>
        </w:rPr>
        <w:t>3</w:t>
      </w:r>
      <w:r>
        <w:rPr>
          <w:rFonts w:hint="eastAsia" w:ascii="Times New Roman" w:hAnsi="Times New Roman" w:eastAsia="宋体" w:cs="Times New Roman"/>
          <w:color w:val="auto"/>
          <w:sz w:val="28"/>
          <w:szCs w:val="28"/>
          <w:lang w:val="en-US" w:eastAsia="zh-CN"/>
        </w:rPr>
        <w:t>。</w:t>
      </w:r>
    </w:p>
    <w:p w14:paraId="499830D4">
      <w:pPr>
        <w:adjustRightInd w:val="0"/>
        <w:snapToGrid w:val="0"/>
        <w:spacing w:line="360" w:lineRule="auto"/>
        <w:ind w:firstLine="562" w:firstLineChars="200"/>
        <w:outlineLvl w:val="2"/>
        <w:rPr>
          <w:b/>
          <w:bCs/>
          <w:color w:val="auto"/>
          <w:szCs w:val="28"/>
        </w:rPr>
      </w:pPr>
      <w:r>
        <w:rPr>
          <w:b/>
          <w:bCs/>
          <w:color w:val="auto"/>
          <w:sz w:val="28"/>
          <w:szCs w:val="28"/>
        </w:rPr>
        <w:t>二、矿山开采现状</w:t>
      </w:r>
    </w:p>
    <w:p w14:paraId="6E961419">
      <w:pPr>
        <w:pStyle w:val="14"/>
        <w:spacing w:line="360" w:lineRule="auto"/>
        <w:ind w:firstLine="568" w:firstLineChars="202"/>
        <w:rPr>
          <w:rFonts w:eastAsiaTheme="minorEastAsia"/>
          <w:b/>
          <w:bCs/>
          <w:color w:val="auto"/>
          <w:szCs w:val="28"/>
        </w:rPr>
      </w:pPr>
      <w:r>
        <w:rPr>
          <w:rFonts w:eastAsiaTheme="minorEastAsia"/>
          <w:b/>
          <w:bCs/>
          <w:color w:val="auto"/>
          <w:szCs w:val="28"/>
        </w:rPr>
        <w:t>（一）《开采方案》设计情况</w:t>
      </w:r>
    </w:p>
    <w:p w14:paraId="7361A16C">
      <w:pPr>
        <w:spacing w:after="0" w:line="360" w:lineRule="auto"/>
        <w:ind w:firstLine="560" w:firstLineChars="200"/>
        <w:contextualSpacing/>
        <w:rPr>
          <w:color w:val="auto"/>
          <w:sz w:val="28"/>
          <w:szCs w:val="28"/>
        </w:rPr>
      </w:pPr>
      <w:r>
        <w:rPr>
          <w:rFonts w:hint="eastAsia"/>
          <w:color w:val="auto"/>
          <w:sz w:val="28"/>
          <w:szCs w:val="28"/>
          <w:lang w:val="en-US" w:eastAsia="zh-CN"/>
        </w:rPr>
        <w:t>1、</w:t>
      </w:r>
      <w:r>
        <w:rPr>
          <w:color w:val="auto"/>
          <w:sz w:val="28"/>
          <w:szCs w:val="28"/>
        </w:rPr>
        <w:t>矿产资源及储量</w:t>
      </w:r>
    </w:p>
    <w:p w14:paraId="2CD8C1A7">
      <w:pPr>
        <w:spacing w:after="0" w:line="360" w:lineRule="auto"/>
        <w:ind w:firstLine="560" w:firstLineChars="200"/>
        <w:contextualSpacing/>
        <w:rPr>
          <w:rFonts w:hint="default" w:ascii="Times New Roman" w:hAnsi="Times New Roman" w:cs="Times New Roman"/>
          <w:color w:val="auto"/>
          <w:sz w:val="28"/>
          <w:szCs w:val="28"/>
        </w:rPr>
      </w:pPr>
      <w:r>
        <w:rPr>
          <w:rFonts w:hint="eastAsia" w:ascii="Times New Roman" w:hAnsi="Times New Roman" w:cs="Times New Roman"/>
          <w:color w:val="auto"/>
          <w:sz w:val="28"/>
          <w:szCs w:val="28"/>
          <w:lang w:eastAsia="zh-CN"/>
        </w:rPr>
        <w:t>（</w:t>
      </w:r>
      <w:r>
        <w:rPr>
          <w:rFonts w:hint="eastAsia" w:ascii="Times New Roman" w:hAnsi="Times New Roman" w:cs="Times New Roman"/>
          <w:color w:val="auto"/>
          <w:sz w:val="28"/>
          <w:szCs w:val="28"/>
          <w:lang w:val="en-US" w:eastAsia="zh-CN"/>
        </w:rPr>
        <w:t>1</w:t>
      </w:r>
      <w:r>
        <w:rPr>
          <w:rFonts w:hint="eastAsia" w:ascii="Times New Roman" w:hAnsi="Times New Roman" w:cs="Times New Roman"/>
          <w:color w:val="auto"/>
          <w:sz w:val="28"/>
          <w:szCs w:val="28"/>
          <w:lang w:eastAsia="zh-CN"/>
        </w:rPr>
        <w:t>）</w:t>
      </w:r>
      <w:r>
        <w:rPr>
          <w:rFonts w:hint="default" w:ascii="Times New Roman" w:hAnsi="Times New Roman" w:cs="Times New Roman"/>
          <w:color w:val="auto"/>
          <w:sz w:val="28"/>
          <w:szCs w:val="28"/>
        </w:rPr>
        <w:t>资源储量</w:t>
      </w:r>
    </w:p>
    <w:p w14:paraId="1C084E07">
      <w:pPr>
        <w:spacing w:after="0" w:line="360" w:lineRule="auto"/>
        <w:ind w:firstLine="560" w:firstLineChars="200"/>
        <w:contextualSpacing/>
        <w:rPr>
          <w:rFonts w:hint="default" w:ascii="Times New Roman" w:hAnsi="Times New Roman" w:cs="Times New Roman"/>
          <w:color w:val="auto"/>
          <w:sz w:val="28"/>
          <w:szCs w:val="28"/>
          <w:highlight w:val="yellow"/>
        </w:rPr>
      </w:pPr>
      <w:r>
        <w:rPr>
          <w:rFonts w:hint="default" w:ascii="Times New Roman" w:hAnsi="Times New Roman" w:cs="Times New Roman"/>
          <w:color w:val="auto"/>
          <w:sz w:val="28"/>
          <w:szCs w:val="28"/>
        </w:rPr>
        <w:t>根据2013年3月，赤峰隆源矿产咨询服务有限公司编制的《内蒙古自治区赤峰市松山区初头朗镇窑沟门碎石矿地质普查报告》（备案文号：赤国土资储评字[2013]第12号），</w:t>
      </w:r>
      <w:r>
        <w:rPr>
          <w:rFonts w:hint="eastAsia" w:cs="Times New Roman"/>
          <w:color w:val="auto"/>
          <w:sz w:val="28"/>
          <w:szCs w:val="28"/>
          <w:lang w:eastAsia="zh-CN"/>
        </w:rPr>
        <w:t>截至</w:t>
      </w:r>
      <w:r>
        <w:rPr>
          <w:rFonts w:hint="default" w:ascii="Times New Roman" w:hAnsi="Times New Roman" w:cs="Times New Roman"/>
          <w:color w:val="auto"/>
          <w:sz w:val="28"/>
          <w:szCs w:val="28"/>
        </w:rPr>
        <w:t>2013年3月31日，松山区初头朗镇窑沟门碎石矿累计查明资源储量（333）386400m</w:t>
      </w:r>
      <w:r>
        <w:rPr>
          <w:rFonts w:hint="default" w:ascii="Times New Roman" w:hAnsi="Times New Roman" w:cs="Times New Roman"/>
          <w:color w:val="auto"/>
          <w:sz w:val="28"/>
          <w:szCs w:val="28"/>
          <w:vertAlign w:val="superscript"/>
        </w:rPr>
        <w:t>3</w:t>
      </w:r>
      <w:r>
        <w:rPr>
          <w:rFonts w:hint="default" w:ascii="Times New Roman" w:hAnsi="Times New Roman" w:cs="Times New Roman"/>
          <w:color w:val="auto"/>
          <w:sz w:val="28"/>
          <w:szCs w:val="28"/>
        </w:rPr>
        <w:t>。</w:t>
      </w:r>
    </w:p>
    <w:p w14:paraId="4F2765D3">
      <w:pPr>
        <w:snapToGrid w:val="0"/>
        <w:spacing w:after="0" w:line="360" w:lineRule="auto"/>
        <w:ind w:firstLine="560" w:firstLineChars="200"/>
        <w:contextualSpacing/>
        <w:textAlignment w:val="center"/>
        <w:rPr>
          <w:color w:val="auto"/>
          <w:sz w:val="28"/>
          <w:szCs w:val="28"/>
        </w:rPr>
      </w:pPr>
      <w:r>
        <w:rPr>
          <w:rFonts w:hint="eastAsia"/>
          <w:color w:val="auto"/>
          <w:sz w:val="28"/>
          <w:szCs w:val="28"/>
          <w:lang w:eastAsia="zh-CN"/>
        </w:rPr>
        <w:t>（</w:t>
      </w:r>
      <w:r>
        <w:rPr>
          <w:rFonts w:hint="eastAsia"/>
          <w:color w:val="auto"/>
          <w:sz w:val="28"/>
          <w:szCs w:val="28"/>
          <w:lang w:val="en-US" w:eastAsia="zh-CN"/>
        </w:rPr>
        <w:t>2</w:t>
      </w:r>
      <w:r>
        <w:rPr>
          <w:rFonts w:hint="eastAsia"/>
          <w:color w:val="auto"/>
          <w:sz w:val="28"/>
          <w:szCs w:val="28"/>
          <w:lang w:eastAsia="zh-CN"/>
        </w:rPr>
        <w:t>）</w:t>
      </w:r>
      <w:r>
        <w:rPr>
          <w:color w:val="auto"/>
          <w:sz w:val="28"/>
          <w:szCs w:val="28"/>
        </w:rPr>
        <w:t>可采资源量</w:t>
      </w:r>
    </w:p>
    <w:p w14:paraId="257F3749">
      <w:pPr>
        <w:spacing w:after="0" w:line="360" w:lineRule="auto"/>
        <w:ind w:firstLine="560" w:firstLineChars="200"/>
        <w:contextualSpacing/>
        <w:rPr>
          <w:color w:val="auto"/>
          <w:sz w:val="28"/>
          <w:szCs w:val="28"/>
        </w:rPr>
      </w:pPr>
      <w:r>
        <w:rPr>
          <w:color w:val="auto"/>
          <w:sz w:val="28"/>
          <w:szCs w:val="28"/>
        </w:rPr>
        <w:t>根据国土资源部门有关文件要求</w:t>
      </w:r>
      <w:r>
        <w:rPr>
          <w:rFonts w:hint="eastAsia"/>
          <w:color w:val="auto"/>
          <w:sz w:val="28"/>
          <w:szCs w:val="28"/>
          <w:lang w:eastAsia="zh-CN"/>
        </w:rPr>
        <w:t>，</w:t>
      </w:r>
      <w:r>
        <w:rPr>
          <w:color w:val="auto"/>
          <w:sz w:val="28"/>
          <w:szCs w:val="28"/>
        </w:rPr>
        <w:t>结合矿床勘探程度等因素，开发利用方案对于控制的内蕴经济资源量（332）采用100%，推断的内蕴经济资源量（333）采用80%。经估算，开发利用方案采用的资源储量</w:t>
      </w:r>
      <w:r>
        <w:rPr>
          <w:rFonts w:hint="eastAsia" w:ascii="宋体" w:hAnsi="宋体"/>
          <w:color w:val="auto"/>
          <w:sz w:val="28"/>
          <w:szCs w:val="28"/>
        </w:rPr>
        <w:t>309120</w:t>
      </w:r>
      <w:r>
        <w:rPr>
          <w:rFonts w:hint="eastAsia" w:ascii="宋体" w:hAnsi="宋体" w:cs="宋体"/>
          <w:color w:val="auto"/>
          <w:sz w:val="28"/>
          <w:szCs w:val="28"/>
        </w:rPr>
        <w:t>m</w:t>
      </w:r>
      <w:r>
        <w:rPr>
          <w:rFonts w:hint="eastAsia" w:ascii="宋体" w:hAnsi="宋体" w:cs="宋体"/>
          <w:color w:val="auto"/>
          <w:sz w:val="28"/>
          <w:szCs w:val="28"/>
          <w:vertAlign w:val="superscript"/>
        </w:rPr>
        <w:t>3</w:t>
      </w:r>
      <w:r>
        <w:rPr>
          <w:color w:val="auto"/>
          <w:sz w:val="28"/>
          <w:szCs w:val="28"/>
        </w:rPr>
        <w:t>。</w:t>
      </w:r>
    </w:p>
    <w:p w14:paraId="35EA6160">
      <w:pPr>
        <w:widowControl w:val="0"/>
        <w:snapToGrid w:val="0"/>
        <w:spacing w:after="0" w:line="360" w:lineRule="auto"/>
        <w:ind w:firstLine="560" w:firstLineChars="200"/>
        <w:contextualSpacing/>
        <w:rPr>
          <w:rFonts w:hint="eastAsia"/>
          <w:color w:val="auto"/>
          <w:sz w:val="28"/>
          <w:szCs w:val="28"/>
        </w:rPr>
      </w:pPr>
      <w:r>
        <w:rPr>
          <w:rFonts w:hint="eastAsia"/>
          <w:color w:val="auto"/>
          <w:sz w:val="28"/>
          <w:szCs w:val="28"/>
          <w:lang w:val="en-US" w:eastAsia="zh-CN"/>
        </w:rPr>
        <w:t>2、</w:t>
      </w:r>
      <w:r>
        <w:rPr>
          <w:color w:val="auto"/>
          <w:sz w:val="28"/>
          <w:szCs w:val="28"/>
        </w:rPr>
        <w:t>矿山设计年生产能力、服务年限</w:t>
      </w:r>
      <w:r>
        <w:rPr>
          <w:rFonts w:hint="eastAsia"/>
          <w:color w:val="auto"/>
          <w:sz w:val="28"/>
          <w:szCs w:val="28"/>
        </w:rPr>
        <w:t>、产品方案</w:t>
      </w:r>
    </w:p>
    <w:p w14:paraId="06071A9C">
      <w:pPr>
        <w:widowControl w:val="0"/>
        <w:snapToGrid w:val="0"/>
        <w:spacing w:after="0" w:line="360" w:lineRule="auto"/>
        <w:ind w:firstLine="560" w:firstLineChars="200"/>
        <w:contextualSpacing/>
        <w:rPr>
          <w:color w:val="auto"/>
          <w:sz w:val="28"/>
          <w:szCs w:val="28"/>
        </w:rPr>
      </w:pPr>
      <w:r>
        <w:rPr>
          <w:rFonts w:hint="eastAsia"/>
          <w:color w:val="auto"/>
          <w:sz w:val="28"/>
          <w:szCs w:val="28"/>
        </w:rPr>
        <w:t>根</w:t>
      </w:r>
      <w:r>
        <w:rPr>
          <w:color w:val="auto"/>
          <w:sz w:val="28"/>
          <w:szCs w:val="28"/>
        </w:rPr>
        <w:t>据《开发利用方案》，矿山建设规模为</w:t>
      </w:r>
      <w:r>
        <w:rPr>
          <w:rFonts w:hint="eastAsia"/>
          <w:color w:val="auto"/>
          <w:sz w:val="28"/>
          <w:szCs w:val="28"/>
        </w:rPr>
        <w:t>：</w:t>
      </w:r>
      <w:r>
        <w:rPr>
          <w:rFonts w:hint="eastAsia" w:ascii="宋体" w:hAnsi="宋体" w:cs="宋体"/>
          <w:color w:val="auto"/>
          <w:sz w:val="28"/>
          <w:szCs w:val="28"/>
        </w:rPr>
        <w:t>2万立方米/年</w:t>
      </w:r>
      <w:r>
        <w:rPr>
          <w:color w:val="auto"/>
          <w:sz w:val="28"/>
          <w:szCs w:val="28"/>
        </w:rPr>
        <w:t>。矿山采用间断工作制，年工作日</w:t>
      </w:r>
      <w:r>
        <w:rPr>
          <w:rFonts w:hint="eastAsia"/>
          <w:color w:val="auto"/>
          <w:sz w:val="28"/>
          <w:szCs w:val="28"/>
        </w:rPr>
        <w:t>2</w:t>
      </w:r>
      <w:r>
        <w:rPr>
          <w:color w:val="auto"/>
          <w:sz w:val="28"/>
          <w:szCs w:val="28"/>
        </w:rPr>
        <w:t>00天，每天</w:t>
      </w:r>
      <w:r>
        <w:rPr>
          <w:rFonts w:hint="eastAsia"/>
          <w:color w:val="auto"/>
          <w:sz w:val="28"/>
          <w:szCs w:val="28"/>
        </w:rPr>
        <w:t>1</w:t>
      </w:r>
      <w:r>
        <w:rPr>
          <w:color w:val="auto"/>
          <w:sz w:val="28"/>
          <w:szCs w:val="28"/>
        </w:rPr>
        <w:t>班，每班8小时。矿山服务年限为</w:t>
      </w:r>
      <w:r>
        <w:rPr>
          <w:rFonts w:hint="eastAsia"/>
          <w:color w:val="auto"/>
          <w:sz w:val="28"/>
          <w:szCs w:val="28"/>
        </w:rPr>
        <w:t>：12.1</w:t>
      </w:r>
      <w:r>
        <w:rPr>
          <w:color w:val="auto"/>
          <w:sz w:val="28"/>
          <w:szCs w:val="28"/>
        </w:rPr>
        <w:t>年。产品方案为</w:t>
      </w:r>
      <w:r>
        <w:rPr>
          <w:rFonts w:hint="eastAsia"/>
          <w:color w:val="auto"/>
          <w:sz w:val="28"/>
          <w:szCs w:val="28"/>
        </w:rPr>
        <w:t>：凝灰岩碎石</w:t>
      </w:r>
      <w:r>
        <w:rPr>
          <w:color w:val="auto"/>
          <w:sz w:val="28"/>
          <w:szCs w:val="28"/>
        </w:rPr>
        <w:t>。</w:t>
      </w:r>
    </w:p>
    <w:p w14:paraId="15BABAFA">
      <w:pPr>
        <w:spacing w:after="0" w:line="360" w:lineRule="auto"/>
        <w:ind w:firstLine="560" w:firstLineChars="200"/>
        <w:contextualSpacing/>
        <w:textAlignment w:val="center"/>
        <w:rPr>
          <w:rFonts w:hint="eastAsia" w:ascii="宋体" w:hAnsi="宋体" w:cs="宋体"/>
          <w:color w:val="auto"/>
          <w:sz w:val="28"/>
          <w:szCs w:val="28"/>
        </w:rPr>
      </w:pPr>
      <w:r>
        <w:rPr>
          <w:rFonts w:hint="eastAsia" w:ascii="宋体" w:hAnsi="宋体" w:cs="宋体"/>
          <w:color w:val="auto"/>
          <w:sz w:val="28"/>
          <w:szCs w:val="28"/>
          <w:lang w:val="en-US" w:eastAsia="zh-CN"/>
        </w:rPr>
        <w:t>3、</w:t>
      </w:r>
      <w:r>
        <w:rPr>
          <w:rFonts w:hint="eastAsia" w:ascii="宋体" w:hAnsi="宋体" w:cs="宋体"/>
          <w:color w:val="auto"/>
          <w:sz w:val="28"/>
          <w:szCs w:val="28"/>
        </w:rPr>
        <w:t>矿床开采</w:t>
      </w:r>
    </w:p>
    <w:p w14:paraId="067C9659">
      <w:pPr>
        <w:widowControl w:val="0"/>
        <w:snapToGrid w:val="0"/>
        <w:spacing w:after="0" w:line="360" w:lineRule="auto"/>
        <w:ind w:firstLine="560" w:firstLineChars="200"/>
        <w:contextualSpacing/>
        <w:jc w:val="both"/>
        <w:rPr>
          <w:bCs/>
          <w:color w:val="auto"/>
          <w:sz w:val="28"/>
          <w:szCs w:val="28"/>
        </w:rPr>
      </w:pPr>
      <w:r>
        <w:rPr>
          <w:rFonts w:hint="eastAsia"/>
          <w:bCs/>
          <w:color w:val="auto"/>
          <w:sz w:val="28"/>
          <w:szCs w:val="28"/>
          <w:lang w:eastAsia="zh-CN"/>
        </w:rPr>
        <w:t>（</w:t>
      </w:r>
      <w:r>
        <w:rPr>
          <w:rFonts w:hint="eastAsia"/>
          <w:bCs/>
          <w:color w:val="auto"/>
          <w:sz w:val="28"/>
          <w:szCs w:val="28"/>
          <w:lang w:val="en-US" w:eastAsia="zh-CN"/>
        </w:rPr>
        <w:t>1</w:t>
      </w:r>
      <w:r>
        <w:rPr>
          <w:rFonts w:hint="eastAsia"/>
          <w:bCs/>
          <w:color w:val="auto"/>
          <w:sz w:val="28"/>
          <w:szCs w:val="28"/>
          <w:lang w:eastAsia="zh-CN"/>
        </w:rPr>
        <w:t>）</w:t>
      </w:r>
      <w:r>
        <w:rPr>
          <w:bCs/>
          <w:color w:val="auto"/>
          <w:sz w:val="28"/>
          <w:szCs w:val="28"/>
        </w:rPr>
        <w:t>开采方式</w:t>
      </w:r>
    </w:p>
    <w:p w14:paraId="13D421C6">
      <w:pPr>
        <w:spacing w:after="0" w:line="360" w:lineRule="auto"/>
        <w:ind w:firstLine="560" w:firstLineChars="200"/>
        <w:rPr>
          <w:color w:val="auto"/>
          <w:sz w:val="28"/>
          <w:szCs w:val="28"/>
        </w:rPr>
      </w:pPr>
      <w:r>
        <w:rPr>
          <w:color w:val="auto"/>
          <w:sz w:val="28"/>
          <w:szCs w:val="28"/>
        </w:rPr>
        <w:t>矿山采用露天开采</w:t>
      </w:r>
      <w:r>
        <w:rPr>
          <w:rFonts w:hint="eastAsia"/>
          <w:color w:val="auto"/>
          <w:sz w:val="28"/>
          <w:szCs w:val="28"/>
        </w:rPr>
        <w:t>。</w:t>
      </w:r>
    </w:p>
    <w:p w14:paraId="2924CCEE">
      <w:pPr>
        <w:widowControl w:val="0"/>
        <w:snapToGrid w:val="0"/>
        <w:spacing w:after="0" w:line="360" w:lineRule="auto"/>
        <w:ind w:firstLine="560" w:firstLineChars="200"/>
        <w:contextualSpacing/>
        <w:jc w:val="both"/>
        <w:rPr>
          <w:bCs/>
          <w:color w:val="auto"/>
          <w:sz w:val="28"/>
          <w:szCs w:val="28"/>
        </w:rPr>
      </w:pPr>
      <w:r>
        <w:rPr>
          <w:rFonts w:hint="eastAsia"/>
          <w:bCs/>
          <w:color w:val="auto"/>
          <w:sz w:val="28"/>
          <w:szCs w:val="28"/>
          <w:lang w:eastAsia="zh-CN"/>
        </w:rPr>
        <w:t>（</w:t>
      </w:r>
      <w:r>
        <w:rPr>
          <w:rFonts w:hint="eastAsia"/>
          <w:bCs/>
          <w:color w:val="auto"/>
          <w:sz w:val="28"/>
          <w:szCs w:val="28"/>
          <w:lang w:val="en-US" w:eastAsia="zh-CN"/>
        </w:rPr>
        <w:t>2</w:t>
      </w:r>
      <w:r>
        <w:rPr>
          <w:rFonts w:hint="eastAsia"/>
          <w:bCs/>
          <w:color w:val="auto"/>
          <w:sz w:val="28"/>
          <w:szCs w:val="28"/>
          <w:lang w:eastAsia="zh-CN"/>
        </w:rPr>
        <w:t>）</w:t>
      </w:r>
      <w:r>
        <w:rPr>
          <w:bCs/>
          <w:color w:val="auto"/>
          <w:sz w:val="28"/>
          <w:szCs w:val="28"/>
        </w:rPr>
        <w:t>开采顺序</w:t>
      </w:r>
    </w:p>
    <w:p w14:paraId="4C576975">
      <w:pPr>
        <w:spacing w:after="0" w:line="360" w:lineRule="auto"/>
        <w:ind w:firstLine="560" w:firstLineChars="200"/>
        <w:contextualSpacing/>
        <w:textAlignment w:val="center"/>
        <w:rPr>
          <w:color w:val="auto"/>
          <w:sz w:val="28"/>
          <w:szCs w:val="28"/>
          <w:lang w:val="zh-CN"/>
        </w:rPr>
      </w:pPr>
      <w:r>
        <w:rPr>
          <w:color w:val="auto"/>
          <w:sz w:val="28"/>
          <w:szCs w:val="28"/>
          <w:lang w:val="zh-CN"/>
        </w:rPr>
        <w:t>矿床开采顺序为：矿体采用自上而下分层方式开采。采矿方法采用水平台阶分层采矿法。</w:t>
      </w:r>
    </w:p>
    <w:p w14:paraId="5843FD1D">
      <w:pPr>
        <w:widowControl w:val="0"/>
        <w:snapToGrid w:val="0"/>
        <w:spacing w:after="0" w:line="360" w:lineRule="auto"/>
        <w:ind w:firstLine="560" w:firstLineChars="200"/>
        <w:contextualSpacing/>
        <w:jc w:val="both"/>
        <w:rPr>
          <w:bCs/>
          <w:color w:val="auto"/>
          <w:sz w:val="28"/>
          <w:szCs w:val="28"/>
        </w:rPr>
      </w:pPr>
      <w:r>
        <w:rPr>
          <w:rFonts w:hint="eastAsia"/>
          <w:bCs/>
          <w:color w:val="auto"/>
          <w:sz w:val="28"/>
          <w:szCs w:val="28"/>
          <w:lang w:eastAsia="zh-CN"/>
        </w:rPr>
        <w:t>（</w:t>
      </w:r>
      <w:r>
        <w:rPr>
          <w:rFonts w:hint="eastAsia"/>
          <w:bCs/>
          <w:color w:val="auto"/>
          <w:sz w:val="28"/>
          <w:szCs w:val="28"/>
          <w:lang w:val="en-US" w:eastAsia="zh-CN"/>
        </w:rPr>
        <w:t>3</w:t>
      </w:r>
      <w:r>
        <w:rPr>
          <w:rFonts w:hint="eastAsia"/>
          <w:bCs/>
          <w:color w:val="auto"/>
          <w:sz w:val="28"/>
          <w:szCs w:val="28"/>
          <w:lang w:eastAsia="zh-CN"/>
        </w:rPr>
        <w:t>）</w:t>
      </w:r>
      <w:r>
        <w:rPr>
          <w:bCs/>
          <w:color w:val="auto"/>
          <w:sz w:val="28"/>
          <w:szCs w:val="28"/>
        </w:rPr>
        <w:t>露天开采境界的确定</w:t>
      </w:r>
    </w:p>
    <w:p w14:paraId="02C3D1C1">
      <w:pPr>
        <w:spacing w:after="0" w:line="360" w:lineRule="auto"/>
        <w:ind w:firstLine="560" w:firstLineChars="200"/>
        <w:rPr>
          <w:bCs/>
          <w:color w:val="auto"/>
          <w:sz w:val="28"/>
          <w:szCs w:val="28"/>
        </w:rPr>
      </w:pPr>
      <w:r>
        <w:rPr>
          <w:bCs/>
          <w:color w:val="auto"/>
          <w:sz w:val="28"/>
          <w:szCs w:val="28"/>
        </w:rPr>
        <w:t>①开采深度的确定</w:t>
      </w:r>
    </w:p>
    <w:p w14:paraId="6EADB15F">
      <w:pPr>
        <w:spacing w:after="0" w:line="360" w:lineRule="auto"/>
        <w:ind w:firstLine="560" w:firstLineChars="200"/>
        <w:rPr>
          <w:rFonts w:hint="eastAsia"/>
          <w:color w:val="auto"/>
          <w:sz w:val="28"/>
          <w:szCs w:val="28"/>
        </w:rPr>
      </w:pPr>
      <w:r>
        <w:rPr>
          <w:color w:val="auto"/>
          <w:sz w:val="28"/>
          <w:szCs w:val="28"/>
        </w:rPr>
        <w:t>开采标高由</w:t>
      </w:r>
      <w:r>
        <w:rPr>
          <w:rFonts w:hint="eastAsia"/>
          <w:color w:val="auto"/>
          <w:sz w:val="28"/>
          <w:szCs w:val="28"/>
        </w:rPr>
        <w:t>1050</w:t>
      </w:r>
      <w:r>
        <w:rPr>
          <w:color w:val="auto"/>
          <w:sz w:val="28"/>
          <w:szCs w:val="28"/>
        </w:rPr>
        <w:t>m至</w:t>
      </w:r>
      <w:r>
        <w:rPr>
          <w:rFonts w:hint="eastAsia"/>
          <w:color w:val="auto"/>
          <w:sz w:val="28"/>
          <w:szCs w:val="28"/>
        </w:rPr>
        <w:t>984</w:t>
      </w:r>
      <w:r>
        <w:rPr>
          <w:color w:val="auto"/>
          <w:sz w:val="28"/>
          <w:szCs w:val="28"/>
        </w:rPr>
        <w:t>m标高。</w:t>
      </w:r>
    </w:p>
    <w:p w14:paraId="4DC9384A">
      <w:pPr>
        <w:spacing w:after="0" w:line="360" w:lineRule="auto"/>
        <w:ind w:firstLine="560" w:firstLineChars="200"/>
        <w:rPr>
          <w:bCs/>
          <w:color w:val="auto"/>
          <w:sz w:val="28"/>
          <w:szCs w:val="28"/>
        </w:rPr>
      </w:pPr>
      <w:r>
        <w:rPr>
          <w:bCs/>
          <w:color w:val="auto"/>
          <w:sz w:val="28"/>
          <w:szCs w:val="28"/>
        </w:rPr>
        <w:t>②阶段高度及坡面角的确定</w:t>
      </w:r>
    </w:p>
    <w:p w14:paraId="49C8FCC3">
      <w:pPr>
        <w:spacing w:after="0" w:line="360" w:lineRule="auto"/>
        <w:ind w:firstLine="560" w:firstLineChars="200"/>
        <w:contextualSpacing/>
        <w:textAlignment w:val="center"/>
        <w:rPr>
          <w:color w:val="auto"/>
          <w:sz w:val="28"/>
          <w:szCs w:val="28"/>
          <w:lang w:val="zh-CN"/>
        </w:rPr>
      </w:pPr>
      <w:r>
        <w:rPr>
          <w:color w:val="auto"/>
          <w:sz w:val="28"/>
          <w:szCs w:val="28"/>
          <w:lang w:val="zh-CN"/>
        </w:rPr>
        <w:t>根据矿体</w:t>
      </w:r>
      <w:r>
        <w:rPr>
          <w:rFonts w:hint="eastAsia"/>
          <w:color w:val="auto"/>
          <w:sz w:val="28"/>
          <w:szCs w:val="28"/>
          <w:lang w:val="zh-CN"/>
        </w:rPr>
        <w:t>赋存</w:t>
      </w:r>
      <w:r>
        <w:rPr>
          <w:color w:val="auto"/>
          <w:sz w:val="28"/>
          <w:szCs w:val="28"/>
          <w:lang w:val="zh-CN"/>
        </w:rPr>
        <w:t>条件，</w:t>
      </w:r>
      <w:r>
        <w:rPr>
          <w:rFonts w:hint="eastAsia"/>
          <w:color w:val="auto"/>
          <w:sz w:val="28"/>
          <w:szCs w:val="28"/>
        </w:rPr>
        <w:t>1004m标高以上采用山坡露天开采，</w:t>
      </w:r>
      <w:r>
        <w:rPr>
          <w:color w:val="auto"/>
          <w:sz w:val="28"/>
          <w:szCs w:val="28"/>
          <w:lang w:val="zh-CN"/>
        </w:rPr>
        <w:t>推荐分层台阶高度为</w:t>
      </w:r>
      <w:r>
        <w:rPr>
          <w:rFonts w:hint="eastAsia"/>
          <w:color w:val="auto"/>
          <w:sz w:val="28"/>
          <w:szCs w:val="28"/>
          <w:lang w:val="zh-CN"/>
        </w:rPr>
        <w:t>5</w:t>
      </w:r>
      <w:r>
        <w:rPr>
          <w:color w:val="auto"/>
          <w:sz w:val="28"/>
          <w:szCs w:val="28"/>
          <w:lang w:val="zh-CN"/>
        </w:rPr>
        <w:t>m，安全平台宽</w:t>
      </w:r>
      <w:r>
        <w:rPr>
          <w:rFonts w:hint="eastAsia"/>
          <w:color w:val="auto"/>
          <w:sz w:val="28"/>
          <w:szCs w:val="28"/>
          <w:lang w:val="zh-CN"/>
        </w:rPr>
        <w:t>3</w:t>
      </w:r>
      <w:r>
        <w:rPr>
          <w:color w:val="auto"/>
          <w:sz w:val="28"/>
          <w:szCs w:val="28"/>
          <w:lang w:val="zh-CN"/>
        </w:rPr>
        <w:t>m，</w:t>
      </w:r>
      <w:r>
        <w:rPr>
          <w:rFonts w:hint="eastAsia"/>
          <w:bCs/>
          <w:color w:val="auto"/>
          <w:kern w:val="2"/>
          <w:sz w:val="28"/>
          <w:szCs w:val="28"/>
        </w:rPr>
        <w:t>台阶高度分别为</w:t>
      </w:r>
      <w:r>
        <w:rPr>
          <w:rFonts w:hint="eastAsia"/>
          <w:color w:val="auto"/>
          <w:spacing w:val="6"/>
          <w:sz w:val="28"/>
          <w:szCs w:val="28"/>
        </w:rPr>
        <w:t>1044m、1039m、1034m、1029m、1024m、1019m、1014m、1009m、1004m水平</w:t>
      </w:r>
      <w:r>
        <w:rPr>
          <w:rFonts w:hint="eastAsia"/>
          <w:bCs/>
          <w:color w:val="auto"/>
          <w:kern w:val="2"/>
          <w:sz w:val="28"/>
          <w:szCs w:val="28"/>
        </w:rPr>
        <w:t>，</w:t>
      </w:r>
      <w:r>
        <w:rPr>
          <w:rFonts w:hint="eastAsia"/>
          <w:color w:val="auto"/>
          <w:sz w:val="28"/>
          <w:szCs w:val="28"/>
          <w:lang w:val="zh-CN"/>
        </w:rPr>
        <w:t>推荐最终边坡采用两个阶段进行并段，最终台阶高度</w:t>
      </w:r>
      <w:r>
        <w:rPr>
          <w:rFonts w:hint="eastAsia"/>
          <w:color w:val="auto"/>
          <w:sz w:val="28"/>
          <w:szCs w:val="28"/>
        </w:rPr>
        <w:t>10m，</w:t>
      </w:r>
      <w:r>
        <w:rPr>
          <w:rFonts w:hint="eastAsia"/>
          <w:color w:val="auto"/>
          <w:sz w:val="28"/>
          <w:szCs w:val="28"/>
          <w:lang w:val="zh-CN"/>
        </w:rPr>
        <w:t>安全平台宽度6m，最终分层台阶高度为</w:t>
      </w:r>
      <w:r>
        <w:rPr>
          <w:rFonts w:hint="eastAsia"/>
          <w:color w:val="auto"/>
          <w:sz w:val="28"/>
          <w:szCs w:val="28"/>
        </w:rPr>
        <w:t>1044m、1034m、1024m、10</w:t>
      </w:r>
      <w:r>
        <w:rPr>
          <w:rFonts w:hint="eastAsia"/>
          <w:color w:val="auto"/>
          <w:sz w:val="28"/>
          <w:szCs w:val="28"/>
          <w:lang w:val="en-US" w:eastAsia="zh-CN"/>
        </w:rPr>
        <w:t>1</w:t>
      </w:r>
      <w:r>
        <w:rPr>
          <w:rFonts w:hint="eastAsia"/>
          <w:color w:val="auto"/>
          <w:sz w:val="28"/>
          <w:szCs w:val="28"/>
        </w:rPr>
        <w:t>4m</w:t>
      </w:r>
      <w:r>
        <w:rPr>
          <w:rFonts w:hint="eastAsia"/>
          <w:color w:val="auto"/>
          <w:sz w:val="28"/>
          <w:szCs w:val="28"/>
          <w:lang w:eastAsia="zh-CN"/>
        </w:rPr>
        <w:t>、</w:t>
      </w:r>
      <w:r>
        <w:rPr>
          <w:rFonts w:hint="eastAsia"/>
          <w:color w:val="auto"/>
          <w:sz w:val="28"/>
          <w:szCs w:val="28"/>
        </w:rPr>
        <w:t>1004m水平。</w:t>
      </w:r>
      <w:r>
        <w:rPr>
          <w:color w:val="auto"/>
          <w:sz w:val="28"/>
          <w:szCs w:val="28"/>
          <w:lang w:val="zh-CN"/>
        </w:rPr>
        <w:t>最终台阶坡面角</w:t>
      </w:r>
      <w:r>
        <w:rPr>
          <w:rFonts w:hint="eastAsia"/>
          <w:color w:val="auto"/>
          <w:sz w:val="28"/>
          <w:szCs w:val="28"/>
          <w:lang w:val="zh-CN"/>
        </w:rPr>
        <w:t>60</w:t>
      </w:r>
      <w:r>
        <w:rPr>
          <w:color w:val="auto"/>
          <w:sz w:val="28"/>
          <w:szCs w:val="28"/>
          <w:lang w:val="zh-CN"/>
        </w:rPr>
        <w:t>°，最终采场</w:t>
      </w:r>
      <w:r>
        <w:rPr>
          <w:rFonts w:hint="eastAsia"/>
          <w:color w:val="auto"/>
          <w:sz w:val="28"/>
          <w:szCs w:val="28"/>
          <w:lang w:val="zh-CN"/>
        </w:rPr>
        <w:t>边</w:t>
      </w:r>
      <w:r>
        <w:rPr>
          <w:color w:val="auto"/>
          <w:sz w:val="28"/>
          <w:szCs w:val="28"/>
          <w:lang w:val="zh-CN"/>
        </w:rPr>
        <w:t>坡角</w:t>
      </w:r>
      <w:r>
        <w:rPr>
          <w:rFonts w:hint="eastAsia"/>
          <w:color w:val="auto"/>
          <w:sz w:val="28"/>
          <w:szCs w:val="28"/>
          <w:lang w:val="zh-CN"/>
        </w:rPr>
        <w:t>45</w:t>
      </w:r>
      <w:r>
        <w:rPr>
          <w:color w:val="auto"/>
          <w:sz w:val="28"/>
          <w:szCs w:val="28"/>
          <w:lang w:val="zh-CN"/>
        </w:rPr>
        <w:t>°，最小工作平台宽</w:t>
      </w:r>
      <w:r>
        <w:rPr>
          <w:rFonts w:hint="eastAsia"/>
          <w:color w:val="auto"/>
          <w:sz w:val="28"/>
          <w:szCs w:val="28"/>
          <w:lang w:val="zh-CN"/>
        </w:rPr>
        <w:t>16m。公路</w:t>
      </w:r>
      <w:r>
        <w:rPr>
          <w:color w:val="auto"/>
          <w:sz w:val="28"/>
          <w:szCs w:val="28"/>
          <w:lang w:val="zh-CN"/>
        </w:rPr>
        <w:t>平台宽</w:t>
      </w:r>
      <w:r>
        <w:rPr>
          <w:rFonts w:hint="eastAsia"/>
          <w:color w:val="auto"/>
          <w:sz w:val="28"/>
          <w:szCs w:val="28"/>
          <w:lang w:val="zh-CN"/>
        </w:rPr>
        <w:t>8</w:t>
      </w:r>
      <w:r>
        <w:rPr>
          <w:color w:val="auto"/>
          <w:sz w:val="28"/>
          <w:szCs w:val="28"/>
          <w:lang w:val="zh-CN"/>
        </w:rPr>
        <w:t>m</w:t>
      </w:r>
      <w:r>
        <w:rPr>
          <w:rFonts w:hint="eastAsia"/>
          <w:color w:val="auto"/>
          <w:sz w:val="28"/>
          <w:szCs w:val="28"/>
          <w:lang w:val="zh-CN"/>
        </w:rPr>
        <w:t>。</w:t>
      </w:r>
    </w:p>
    <w:p w14:paraId="7285A9BA">
      <w:pPr>
        <w:jc w:val="center"/>
        <w:rPr>
          <w:rFonts w:hint="eastAsia" w:ascii="黑体" w:hAnsi="黑体" w:eastAsia="黑体" w:cs="黑体"/>
          <w:color w:val="auto"/>
          <w:sz w:val="24"/>
          <w:szCs w:val="24"/>
        </w:rPr>
      </w:pPr>
      <w:bookmarkStart w:id="23" w:name="_Toc426725075"/>
      <w:r>
        <w:rPr>
          <w:rFonts w:hint="eastAsia" w:ascii="黑体" w:hAnsi="黑体" w:eastAsia="黑体" w:cs="黑体"/>
          <w:color w:val="auto"/>
          <w:sz w:val="24"/>
          <w:szCs w:val="24"/>
        </w:rPr>
        <w:t>表1-2  最终开采境界主要特征表</w:t>
      </w:r>
    </w:p>
    <w:tbl>
      <w:tblPr>
        <w:tblStyle w:val="34"/>
        <w:tblW w:w="487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5"/>
        <w:gridCol w:w="1614"/>
        <w:gridCol w:w="2764"/>
      </w:tblGrid>
      <w:tr w14:paraId="79670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2354" w:type="pct"/>
            <w:noWrap w:val="0"/>
            <w:vAlign w:val="center"/>
          </w:tcPr>
          <w:p w14:paraId="51A45DF0">
            <w:pPr>
              <w:widowControl w:val="0"/>
              <w:spacing w:after="0" w:line="240" w:lineRule="auto"/>
              <w:jc w:val="center"/>
              <w:rPr>
                <w:color w:val="auto"/>
                <w:sz w:val="21"/>
                <w:szCs w:val="21"/>
              </w:rPr>
            </w:pPr>
            <w:r>
              <w:rPr>
                <w:color w:val="auto"/>
                <w:sz w:val="21"/>
                <w:szCs w:val="21"/>
              </w:rPr>
              <w:t>指标名称</w:t>
            </w:r>
          </w:p>
        </w:tc>
        <w:tc>
          <w:tcPr>
            <w:tcW w:w="975" w:type="pct"/>
            <w:noWrap w:val="0"/>
            <w:vAlign w:val="center"/>
          </w:tcPr>
          <w:p w14:paraId="55CD307C">
            <w:pPr>
              <w:widowControl w:val="0"/>
              <w:spacing w:after="0" w:line="240" w:lineRule="auto"/>
              <w:jc w:val="center"/>
              <w:rPr>
                <w:color w:val="auto"/>
                <w:sz w:val="21"/>
                <w:szCs w:val="21"/>
              </w:rPr>
            </w:pPr>
            <w:r>
              <w:rPr>
                <w:color w:val="auto"/>
                <w:sz w:val="21"/>
                <w:szCs w:val="21"/>
              </w:rPr>
              <w:t>单位</w:t>
            </w:r>
          </w:p>
        </w:tc>
        <w:tc>
          <w:tcPr>
            <w:tcW w:w="1670" w:type="pct"/>
            <w:noWrap w:val="0"/>
            <w:vAlign w:val="center"/>
          </w:tcPr>
          <w:p w14:paraId="2F1ADF96">
            <w:pPr>
              <w:widowControl w:val="0"/>
              <w:spacing w:after="0" w:line="240" w:lineRule="auto"/>
              <w:jc w:val="center"/>
              <w:rPr>
                <w:color w:val="auto"/>
                <w:sz w:val="21"/>
                <w:szCs w:val="21"/>
              </w:rPr>
            </w:pPr>
            <w:r>
              <w:rPr>
                <w:color w:val="auto"/>
                <w:sz w:val="21"/>
                <w:szCs w:val="21"/>
              </w:rPr>
              <w:t>露天采场</w:t>
            </w:r>
          </w:p>
        </w:tc>
      </w:tr>
      <w:tr w14:paraId="55149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354" w:type="pct"/>
            <w:noWrap w:val="0"/>
            <w:vAlign w:val="center"/>
          </w:tcPr>
          <w:p w14:paraId="62E644D7">
            <w:pPr>
              <w:widowControl w:val="0"/>
              <w:spacing w:after="0" w:line="240" w:lineRule="auto"/>
              <w:jc w:val="center"/>
              <w:rPr>
                <w:color w:val="auto"/>
                <w:sz w:val="21"/>
                <w:szCs w:val="21"/>
              </w:rPr>
            </w:pPr>
            <w:r>
              <w:rPr>
                <w:color w:val="auto"/>
                <w:sz w:val="21"/>
                <w:szCs w:val="21"/>
              </w:rPr>
              <w:t>赋矿顶标高</w:t>
            </w:r>
          </w:p>
        </w:tc>
        <w:tc>
          <w:tcPr>
            <w:tcW w:w="975" w:type="pct"/>
            <w:noWrap w:val="0"/>
            <w:vAlign w:val="center"/>
          </w:tcPr>
          <w:p w14:paraId="2C74326D">
            <w:pPr>
              <w:widowControl w:val="0"/>
              <w:spacing w:after="0" w:line="240" w:lineRule="auto"/>
              <w:jc w:val="center"/>
              <w:rPr>
                <w:color w:val="auto"/>
                <w:sz w:val="21"/>
                <w:szCs w:val="21"/>
              </w:rPr>
            </w:pPr>
            <w:r>
              <w:rPr>
                <w:color w:val="auto"/>
                <w:sz w:val="21"/>
                <w:szCs w:val="21"/>
              </w:rPr>
              <w:t>m</w:t>
            </w:r>
          </w:p>
        </w:tc>
        <w:tc>
          <w:tcPr>
            <w:tcW w:w="1670" w:type="pct"/>
            <w:noWrap w:val="0"/>
            <w:vAlign w:val="center"/>
          </w:tcPr>
          <w:p w14:paraId="0FC59769">
            <w:pPr>
              <w:widowControl w:val="0"/>
              <w:spacing w:after="0" w:line="240" w:lineRule="auto"/>
              <w:jc w:val="center"/>
              <w:rPr>
                <w:color w:val="auto"/>
                <w:sz w:val="21"/>
                <w:szCs w:val="21"/>
              </w:rPr>
            </w:pPr>
            <w:r>
              <w:rPr>
                <w:rFonts w:hint="eastAsia"/>
                <w:color w:val="auto"/>
                <w:sz w:val="21"/>
                <w:szCs w:val="21"/>
              </w:rPr>
              <w:t>1050</w:t>
            </w:r>
          </w:p>
        </w:tc>
      </w:tr>
      <w:tr w14:paraId="5238A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354" w:type="pct"/>
            <w:noWrap w:val="0"/>
            <w:vAlign w:val="center"/>
          </w:tcPr>
          <w:p w14:paraId="706B8FFE">
            <w:pPr>
              <w:widowControl w:val="0"/>
              <w:spacing w:after="0" w:line="240" w:lineRule="auto"/>
              <w:jc w:val="center"/>
              <w:rPr>
                <w:color w:val="auto"/>
                <w:sz w:val="21"/>
                <w:szCs w:val="21"/>
              </w:rPr>
            </w:pPr>
            <w:r>
              <w:rPr>
                <w:color w:val="auto"/>
                <w:sz w:val="21"/>
                <w:szCs w:val="21"/>
              </w:rPr>
              <w:t>赋矿最低标高</w:t>
            </w:r>
          </w:p>
        </w:tc>
        <w:tc>
          <w:tcPr>
            <w:tcW w:w="975" w:type="pct"/>
            <w:noWrap w:val="0"/>
            <w:vAlign w:val="center"/>
          </w:tcPr>
          <w:p w14:paraId="76D4C8A4">
            <w:pPr>
              <w:widowControl w:val="0"/>
              <w:spacing w:after="0" w:line="240" w:lineRule="auto"/>
              <w:jc w:val="center"/>
              <w:rPr>
                <w:color w:val="auto"/>
                <w:sz w:val="21"/>
                <w:szCs w:val="21"/>
              </w:rPr>
            </w:pPr>
            <w:r>
              <w:rPr>
                <w:color w:val="auto"/>
                <w:sz w:val="21"/>
                <w:szCs w:val="21"/>
              </w:rPr>
              <w:t>m</w:t>
            </w:r>
          </w:p>
        </w:tc>
        <w:tc>
          <w:tcPr>
            <w:tcW w:w="1670" w:type="pct"/>
            <w:noWrap w:val="0"/>
            <w:vAlign w:val="center"/>
          </w:tcPr>
          <w:p w14:paraId="4C4A42FB">
            <w:pPr>
              <w:widowControl w:val="0"/>
              <w:spacing w:after="0" w:line="240" w:lineRule="auto"/>
              <w:jc w:val="center"/>
              <w:rPr>
                <w:color w:val="auto"/>
                <w:sz w:val="21"/>
                <w:szCs w:val="21"/>
              </w:rPr>
            </w:pPr>
            <w:r>
              <w:rPr>
                <w:rFonts w:hint="eastAsia"/>
                <w:color w:val="auto"/>
                <w:sz w:val="21"/>
                <w:szCs w:val="21"/>
              </w:rPr>
              <w:t>1004</w:t>
            </w:r>
          </w:p>
        </w:tc>
      </w:tr>
      <w:tr w14:paraId="2394D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354" w:type="pct"/>
            <w:noWrap w:val="0"/>
            <w:vAlign w:val="center"/>
          </w:tcPr>
          <w:p w14:paraId="78BD26D2">
            <w:pPr>
              <w:widowControl w:val="0"/>
              <w:spacing w:after="0" w:line="240" w:lineRule="auto"/>
              <w:jc w:val="center"/>
              <w:rPr>
                <w:color w:val="auto"/>
                <w:sz w:val="21"/>
                <w:szCs w:val="21"/>
              </w:rPr>
            </w:pPr>
            <w:r>
              <w:rPr>
                <w:color w:val="auto"/>
                <w:sz w:val="21"/>
                <w:szCs w:val="21"/>
              </w:rPr>
              <w:t>地表尺寸（长×宽）</w:t>
            </w:r>
          </w:p>
        </w:tc>
        <w:tc>
          <w:tcPr>
            <w:tcW w:w="975" w:type="pct"/>
            <w:noWrap w:val="0"/>
            <w:vAlign w:val="center"/>
          </w:tcPr>
          <w:p w14:paraId="746E80D9">
            <w:pPr>
              <w:widowControl w:val="0"/>
              <w:spacing w:after="0" w:line="240" w:lineRule="auto"/>
              <w:jc w:val="center"/>
              <w:rPr>
                <w:color w:val="auto"/>
                <w:sz w:val="21"/>
                <w:szCs w:val="21"/>
              </w:rPr>
            </w:pPr>
            <w:r>
              <w:rPr>
                <w:color w:val="auto"/>
                <w:sz w:val="21"/>
                <w:szCs w:val="21"/>
              </w:rPr>
              <w:t>m</w:t>
            </w:r>
          </w:p>
        </w:tc>
        <w:tc>
          <w:tcPr>
            <w:tcW w:w="1670" w:type="pct"/>
            <w:noWrap w:val="0"/>
            <w:vAlign w:val="center"/>
          </w:tcPr>
          <w:p w14:paraId="1860533C">
            <w:pPr>
              <w:widowControl w:val="0"/>
              <w:spacing w:after="0" w:line="240" w:lineRule="auto"/>
              <w:jc w:val="center"/>
              <w:rPr>
                <w:color w:val="auto"/>
                <w:sz w:val="21"/>
                <w:szCs w:val="21"/>
              </w:rPr>
            </w:pPr>
            <w:r>
              <w:rPr>
                <w:rFonts w:hint="eastAsia"/>
                <w:color w:val="auto"/>
                <w:sz w:val="21"/>
                <w:szCs w:val="21"/>
              </w:rPr>
              <w:t>160</w:t>
            </w:r>
            <w:r>
              <w:rPr>
                <w:color w:val="auto"/>
                <w:sz w:val="21"/>
                <w:szCs w:val="21"/>
              </w:rPr>
              <w:t>×</w:t>
            </w:r>
            <w:r>
              <w:rPr>
                <w:rFonts w:hint="eastAsia"/>
                <w:color w:val="auto"/>
                <w:sz w:val="21"/>
                <w:szCs w:val="21"/>
              </w:rPr>
              <w:t>98（最大</w:t>
            </w:r>
            <w:r>
              <w:rPr>
                <w:color w:val="auto"/>
                <w:sz w:val="21"/>
                <w:szCs w:val="21"/>
              </w:rPr>
              <w:t>×最大</w:t>
            </w:r>
            <w:r>
              <w:rPr>
                <w:rFonts w:hint="eastAsia"/>
                <w:color w:val="auto"/>
                <w:sz w:val="21"/>
                <w:szCs w:val="21"/>
              </w:rPr>
              <w:t>）</w:t>
            </w:r>
          </w:p>
        </w:tc>
      </w:tr>
      <w:tr w14:paraId="273F4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354" w:type="pct"/>
            <w:noWrap w:val="0"/>
            <w:vAlign w:val="center"/>
          </w:tcPr>
          <w:p w14:paraId="24396EF2">
            <w:pPr>
              <w:widowControl w:val="0"/>
              <w:spacing w:after="0" w:line="240" w:lineRule="auto"/>
              <w:jc w:val="center"/>
              <w:rPr>
                <w:color w:val="auto"/>
                <w:sz w:val="21"/>
                <w:szCs w:val="21"/>
              </w:rPr>
            </w:pPr>
            <w:r>
              <w:rPr>
                <w:color w:val="auto"/>
                <w:sz w:val="21"/>
                <w:szCs w:val="21"/>
              </w:rPr>
              <w:t>露天底尺寸（长×宽）</w:t>
            </w:r>
          </w:p>
        </w:tc>
        <w:tc>
          <w:tcPr>
            <w:tcW w:w="975" w:type="pct"/>
            <w:noWrap w:val="0"/>
            <w:vAlign w:val="center"/>
          </w:tcPr>
          <w:p w14:paraId="1EA386A3">
            <w:pPr>
              <w:widowControl w:val="0"/>
              <w:spacing w:after="0" w:line="240" w:lineRule="auto"/>
              <w:jc w:val="center"/>
              <w:rPr>
                <w:color w:val="auto"/>
                <w:sz w:val="21"/>
                <w:szCs w:val="21"/>
              </w:rPr>
            </w:pPr>
            <w:r>
              <w:rPr>
                <w:color w:val="auto"/>
                <w:sz w:val="21"/>
                <w:szCs w:val="21"/>
              </w:rPr>
              <w:t>m</w:t>
            </w:r>
          </w:p>
        </w:tc>
        <w:tc>
          <w:tcPr>
            <w:tcW w:w="1670" w:type="pct"/>
            <w:noWrap w:val="0"/>
            <w:vAlign w:val="center"/>
          </w:tcPr>
          <w:p w14:paraId="7FAC79E6">
            <w:pPr>
              <w:widowControl w:val="0"/>
              <w:spacing w:after="0" w:line="240" w:lineRule="auto"/>
              <w:jc w:val="center"/>
              <w:rPr>
                <w:color w:val="auto"/>
                <w:sz w:val="21"/>
                <w:szCs w:val="21"/>
              </w:rPr>
            </w:pPr>
            <w:r>
              <w:rPr>
                <w:rFonts w:hint="eastAsia"/>
                <w:color w:val="auto"/>
                <w:sz w:val="21"/>
                <w:szCs w:val="21"/>
              </w:rPr>
              <w:t>94</w:t>
            </w:r>
            <w:r>
              <w:rPr>
                <w:color w:val="auto"/>
                <w:sz w:val="21"/>
                <w:szCs w:val="21"/>
              </w:rPr>
              <w:t>×</w:t>
            </w:r>
            <w:r>
              <w:rPr>
                <w:rFonts w:hint="eastAsia"/>
                <w:color w:val="auto"/>
                <w:sz w:val="21"/>
                <w:szCs w:val="21"/>
              </w:rPr>
              <w:t>48</w:t>
            </w:r>
          </w:p>
        </w:tc>
      </w:tr>
      <w:tr w14:paraId="6FEA9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354" w:type="pct"/>
            <w:noWrap w:val="0"/>
            <w:vAlign w:val="center"/>
          </w:tcPr>
          <w:p w14:paraId="234614C3">
            <w:pPr>
              <w:widowControl w:val="0"/>
              <w:spacing w:after="0" w:line="240" w:lineRule="auto"/>
              <w:jc w:val="center"/>
              <w:rPr>
                <w:color w:val="auto"/>
                <w:sz w:val="21"/>
                <w:szCs w:val="21"/>
              </w:rPr>
            </w:pPr>
            <w:r>
              <w:rPr>
                <w:color w:val="auto"/>
                <w:sz w:val="21"/>
                <w:szCs w:val="21"/>
              </w:rPr>
              <w:t>境界内</w:t>
            </w:r>
            <w:r>
              <w:rPr>
                <w:rFonts w:hint="eastAsia"/>
                <w:color w:val="auto"/>
                <w:sz w:val="21"/>
                <w:szCs w:val="21"/>
              </w:rPr>
              <w:t>矿石量</w:t>
            </w:r>
          </w:p>
        </w:tc>
        <w:tc>
          <w:tcPr>
            <w:tcW w:w="975" w:type="pct"/>
            <w:noWrap w:val="0"/>
            <w:vAlign w:val="center"/>
          </w:tcPr>
          <w:p w14:paraId="66711417">
            <w:pPr>
              <w:widowControl w:val="0"/>
              <w:spacing w:after="0" w:line="240" w:lineRule="auto"/>
              <w:jc w:val="center"/>
              <w:rPr>
                <w:color w:val="auto"/>
                <w:sz w:val="21"/>
                <w:szCs w:val="21"/>
              </w:rPr>
            </w:pPr>
            <w:r>
              <w:rPr>
                <w:color w:val="auto"/>
                <w:sz w:val="21"/>
                <w:szCs w:val="21"/>
              </w:rPr>
              <w:t>×</w:t>
            </w:r>
            <w:r>
              <w:rPr>
                <w:rFonts w:hint="eastAsia"/>
                <w:color w:val="auto"/>
                <w:sz w:val="21"/>
                <w:szCs w:val="21"/>
              </w:rPr>
              <w:t>10</w:t>
            </w:r>
            <w:r>
              <w:rPr>
                <w:rFonts w:hint="eastAsia"/>
                <w:color w:val="auto"/>
                <w:sz w:val="21"/>
                <w:szCs w:val="21"/>
                <w:vertAlign w:val="superscript"/>
              </w:rPr>
              <w:t>4</w:t>
            </w:r>
            <w:r>
              <w:rPr>
                <w:color w:val="auto"/>
                <w:sz w:val="21"/>
                <w:szCs w:val="21"/>
              </w:rPr>
              <w:t>m</w:t>
            </w:r>
            <w:r>
              <w:rPr>
                <w:color w:val="auto"/>
                <w:sz w:val="21"/>
                <w:szCs w:val="21"/>
                <w:vertAlign w:val="superscript"/>
              </w:rPr>
              <w:t>3</w:t>
            </w:r>
          </w:p>
        </w:tc>
        <w:tc>
          <w:tcPr>
            <w:tcW w:w="1670" w:type="pct"/>
            <w:noWrap w:val="0"/>
            <w:vAlign w:val="center"/>
          </w:tcPr>
          <w:p w14:paraId="28B5847D">
            <w:pPr>
              <w:widowControl w:val="0"/>
              <w:spacing w:after="0" w:line="240" w:lineRule="auto"/>
              <w:jc w:val="center"/>
              <w:rPr>
                <w:color w:val="auto"/>
                <w:sz w:val="21"/>
                <w:szCs w:val="21"/>
              </w:rPr>
            </w:pPr>
            <w:r>
              <w:rPr>
                <w:rFonts w:hint="eastAsia"/>
                <w:color w:val="auto"/>
                <w:sz w:val="21"/>
                <w:szCs w:val="21"/>
              </w:rPr>
              <w:t>24.11</w:t>
            </w:r>
          </w:p>
        </w:tc>
      </w:tr>
      <w:tr w14:paraId="12CC4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354" w:type="pct"/>
            <w:noWrap w:val="0"/>
            <w:vAlign w:val="center"/>
          </w:tcPr>
          <w:p w14:paraId="1DEDEF58">
            <w:pPr>
              <w:widowControl w:val="0"/>
              <w:spacing w:after="0" w:line="240" w:lineRule="auto"/>
              <w:jc w:val="center"/>
              <w:rPr>
                <w:color w:val="auto"/>
                <w:sz w:val="21"/>
                <w:szCs w:val="21"/>
              </w:rPr>
            </w:pPr>
            <w:r>
              <w:rPr>
                <w:color w:val="auto"/>
                <w:sz w:val="21"/>
                <w:szCs w:val="21"/>
              </w:rPr>
              <w:t>境界内</w:t>
            </w:r>
            <w:r>
              <w:rPr>
                <w:rFonts w:hint="eastAsia"/>
                <w:color w:val="auto"/>
                <w:sz w:val="21"/>
                <w:szCs w:val="21"/>
              </w:rPr>
              <w:t>岩土量</w:t>
            </w:r>
          </w:p>
        </w:tc>
        <w:tc>
          <w:tcPr>
            <w:tcW w:w="975" w:type="pct"/>
            <w:noWrap w:val="0"/>
            <w:vAlign w:val="center"/>
          </w:tcPr>
          <w:p w14:paraId="600E750C">
            <w:pPr>
              <w:widowControl w:val="0"/>
              <w:spacing w:after="0" w:line="240" w:lineRule="auto"/>
              <w:jc w:val="center"/>
              <w:rPr>
                <w:color w:val="auto"/>
                <w:sz w:val="21"/>
                <w:szCs w:val="21"/>
              </w:rPr>
            </w:pPr>
            <w:r>
              <w:rPr>
                <w:color w:val="auto"/>
                <w:sz w:val="21"/>
                <w:szCs w:val="21"/>
              </w:rPr>
              <w:t>×</w:t>
            </w:r>
            <w:r>
              <w:rPr>
                <w:rFonts w:hint="eastAsia"/>
                <w:color w:val="auto"/>
                <w:sz w:val="21"/>
                <w:szCs w:val="21"/>
              </w:rPr>
              <w:t>10</w:t>
            </w:r>
            <w:r>
              <w:rPr>
                <w:rFonts w:hint="eastAsia"/>
                <w:color w:val="auto"/>
                <w:sz w:val="21"/>
                <w:szCs w:val="21"/>
                <w:vertAlign w:val="superscript"/>
              </w:rPr>
              <w:t>4</w:t>
            </w:r>
            <w:r>
              <w:rPr>
                <w:color w:val="auto"/>
                <w:sz w:val="21"/>
                <w:szCs w:val="21"/>
              </w:rPr>
              <w:t>m</w:t>
            </w:r>
            <w:r>
              <w:rPr>
                <w:color w:val="auto"/>
                <w:sz w:val="21"/>
                <w:szCs w:val="21"/>
                <w:vertAlign w:val="superscript"/>
              </w:rPr>
              <w:t>3</w:t>
            </w:r>
          </w:p>
        </w:tc>
        <w:tc>
          <w:tcPr>
            <w:tcW w:w="1670" w:type="pct"/>
            <w:noWrap w:val="0"/>
            <w:vAlign w:val="center"/>
          </w:tcPr>
          <w:p w14:paraId="7F17E154">
            <w:pPr>
              <w:widowControl w:val="0"/>
              <w:spacing w:after="0" w:line="240" w:lineRule="auto"/>
              <w:jc w:val="center"/>
              <w:rPr>
                <w:color w:val="auto"/>
                <w:sz w:val="21"/>
                <w:szCs w:val="21"/>
              </w:rPr>
            </w:pPr>
            <w:r>
              <w:rPr>
                <w:rFonts w:hint="eastAsia"/>
                <w:color w:val="auto"/>
                <w:sz w:val="21"/>
                <w:szCs w:val="21"/>
              </w:rPr>
              <w:t>1.8</w:t>
            </w:r>
          </w:p>
        </w:tc>
      </w:tr>
      <w:tr w14:paraId="5E4D2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354" w:type="pct"/>
            <w:noWrap w:val="0"/>
            <w:vAlign w:val="center"/>
          </w:tcPr>
          <w:p w14:paraId="01D9BF00">
            <w:pPr>
              <w:widowControl w:val="0"/>
              <w:spacing w:after="0" w:line="240" w:lineRule="auto"/>
              <w:jc w:val="center"/>
              <w:rPr>
                <w:color w:val="auto"/>
                <w:sz w:val="21"/>
                <w:szCs w:val="21"/>
              </w:rPr>
            </w:pPr>
            <w:r>
              <w:rPr>
                <w:color w:val="auto"/>
                <w:sz w:val="21"/>
                <w:szCs w:val="21"/>
              </w:rPr>
              <w:t>境界内矿、岩、土合计</w:t>
            </w:r>
          </w:p>
        </w:tc>
        <w:tc>
          <w:tcPr>
            <w:tcW w:w="975" w:type="pct"/>
            <w:noWrap w:val="0"/>
            <w:vAlign w:val="center"/>
          </w:tcPr>
          <w:p w14:paraId="177FF510">
            <w:pPr>
              <w:widowControl w:val="0"/>
              <w:spacing w:after="0" w:line="240" w:lineRule="auto"/>
              <w:jc w:val="center"/>
              <w:rPr>
                <w:color w:val="auto"/>
                <w:sz w:val="21"/>
                <w:szCs w:val="21"/>
              </w:rPr>
            </w:pPr>
            <w:r>
              <w:rPr>
                <w:color w:val="auto"/>
                <w:sz w:val="21"/>
                <w:szCs w:val="21"/>
              </w:rPr>
              <w:t>×</w:t>
            </w:r>
            <w:r>
              <w:rPr>
                <w:rFonts w:hint="eastAsia"/>
                <w:color w:val="auto"/>
                <w:sz w:val="21"/>
                <w:szCs w:val="21"/>
              </w:rPr>
              <w:t>10</w:t>
            </w:r>
            <w:r>
              <w:rPr>
                <w:rFonts w:hint="eastAsia"/>
                <w:color w:val="auto"/>
                <w:sz w:val="21"/>
                <w:szCs w:val="21"/>
                <w:vertAlign w:val="superscript"/>
              </w:rPr>
              <w:t>4</w:t>
            </w:r>
            <w:r>
              <w:rPr>
                <w:color w:val="auto"/>
                <w:sz w:val="21"/>
                <w:szCs w:val="21"/>
              </w:rPr>
              <w:t>m</w:t>
            </w:r>
            <w:r>
              <w:rPr>
                <w:color w:val="auto"/>
                <w:sz w:val="21"/>
                <w:szCs w:val="21"/>
                <w:vertAlign w:val="superscript"/>
              </w:rPr>
              <w:t>3</w:t>
            </w:r>
          </w:p>
        </w:tc>
        <w:tc>
          <w:tcPr>
            <w:tcW w:w="1670" w:type="pct"/>
            <w:noWrap w:val="0"/>
            <w:vAlign w:val="center"/>
          </w:tcPr>
          <w:p w14:paraId="51DCFA70">
            <w:pPr>
              <w:widowControl w:val="0"/>
              <w:spacing w:after="0" w:line="240" w:lineRule="auto"/>
              <w:jc w:val="center"/>
              <w:rPr>
                <w:color w:val="auto"/>
                <w:sz w:val="21"/>
                <w:szCs w:val="21"/>
              </w:rPr>
            </w:pPr>
            <w:r>
              <w:rPr>
                <w:rFonts w:hint="eastAsia"/>
                <w:color w:val="auto"/>
                <w:sz w:val="21"/>
                <w:szCs w:val="21"/>
              </w:rPr>
              <w:t>25.91</w:t>
            </w:r>
          </w:p>
        </w:tc>
      </w:tr>
      <w:tr w14:paraId="7CE05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354" w:type="pct"/>
            <w:noWrap w:val="0"/>
            <w:vAlign w:val="center"/>
          </w:tcPr>
          <w:p w14:paraId="6C0DAFB2">
            <w:pPr>
              <w:widowControl w:val="0"/>
              <w:spacing w:after="0" w:line="240" w:lineRule="auto"/>
              <w:jc w:val="center"/>
              <w:rPr>
                <w:color w:val="auto"/>
                <w:sz w:val="21"/>
                <w:szCs w:val="21"/>
              </w:rPr>
            </w:pPr>
            <w:r>
              <w:rPr>
                <w:color w:val="auto"/>
                <w:sz w:val="21"/>
                <w:szCs w:val="21"/>
              </w:rPr>
              <w:t>平均剥采比</w:t>
            </w:r>
          </w:p>
        </w:tc>
        <w:tc>
          <w:tcPr>
            <w:tcW w:w="975" w:type="pct"/>
            <w:noWrap w:val="0"/>
            <w:vAlign w:val="center"/>
          </w:tcPr>
          <w:p w14:paraId="38CD6BDC">
            <w:pPr>
              <w:widowControl w:val="0"/>
              <w:spacing w:after="0" w:line="240" w:lineRule="auto"/>
              <w:jc w:val="center"/>
              <w:rPr>
                <w:color w:val="auto"/>
                <w:sz w:val="21"/>
                <w:szCs w:val="21"/>
              </w:rPr>
            </w:pPr>
            <w:r>
              <w:rPr>
                <w:color w:val="auto"/>
                <w:sz w:val="21"/>
                <w:szCs w:val="21"/>
              </w:rPr>
              <w:t>m</w:t>
            </w:r>
            <w:r>
              <w:rPr>
                <w:color w:val="auto"/>
                <w:sz w:val="21"/>
                <w:szCs w:val="21"/>
                <w:vertAlign w:val="superscript"/>
              </w:rPr>
              <w:t>3</w:t>
            </w:r>
            <w:r>
              <w:rPr>
                <w:color w:val="auto"/>
                <w:sz w:val="21"/>
                <w:szCs w:val="21"/>
              </w:rPr>
              <w:t>/m</w:t>
            </w:r>
            <w:r>
              <w:rPr>
                <w:color w:val="auto"/>
                <w:sz w:val="21"/>
                <w:szCs w:val="21"/>
                <w:vertAlign w:val="superscript"/>
              </w:rPr>
              <w:t>3</w:t>
            </w:r>
          </w:p>
        </w:tc>
        <w:tc>
          <w:tcPr>
            <w:tcW w:w="1670" w:type="pct"/>
            <w:noWrap w:val="0"/>
            <w:vAlign w:val="center"/>
          </w:tcPr>
          <w:p w14:paraId="7E0511F3">
            <w:pPr>
              <w:widowControl w:val="0"/>
              <w:spacing w:after="0" w:line="240" w:lineRule="auto"/>
              <w:jc w:val="center"/>
              <w:rPr>
                <w:color w:val="auto"/>
                <w:sz w:val="21"/>
                <w:szCs w:val="21"/>
              </w:rPr>
            </w:pPr>
            <w:r>
              <w:rPr>
                <w:rFonts w:hint="eastAsia"/>
                <w:color w:val="auto"/>
                <w:sz w:val="21"/>
                <w:szCs w:val="21"/>
              </w:rPr>
              <w:t>0.07</w:t>
            </w:r>
          </w:p>
        </w:tc>
      </w:tr>
    </w:tbl>
    <w:p w14:paraId="359E7269">
      <w:pPr>
        <w:widowControl w:val="0"/>
        <w:snapToGrid w:val="0"/>
        <w:spacing w:before="120" w:beforeLines="50" w:after="0" w:line="360" w:lineRule="auto"/>
        <w:ind w:firstLine="560" w:firstLineChars="200"/>
        <w:jc w:val="both"/>
        <w:rPr>
          <w:bCs/>
          <w:color w:val="auto"/>
          <w:sz w:val="28"/>
          <w:szCs w:val="28"/>
        </w:rPr>
      </w:pPr>
      <w:r>
        <w:rPr>
          <w:rFonts w:hint="eastAsia"/>
          <w:bCs/>
          <w:color w:val="auto"/>
          <w:sz w:val="28"/>
          <w:szCs w:val="28"/>
          <w:lang w:val="en-US" w:eastAsia="zh-CN"/>
        </w:rPr>
        <w:t>（4）</w:t>
      </w:r>
      <w:r>
        <w:rPr>
          <w:bCs/>
          <w:color w:val="auto"/>
          <w:sz w:val="28"/>
          <w:szCs w:val="28"/>
        </w:rPr>
        <w:t>采剥工艺</w:t>
      </w:r>
      <w:bookmarkEnd w:id="23"/>
    </w:p>
    <w:p w14:paraId="54E829B4">
      <w:pPr>
        <w:spacing w:after="0" w:line="360" w:lineRule="auto"/>
        <w:ind w:firstLine="560" w:firstLineChars="200"/>
        <w:rPr>
          <w:rFonts w:hint="eastAsia"/>
          <w:color w:val="auto"/>
          <w:sz w:val="28"/>
          <w:szCs w:val="28"/>
        </w:rPr>
      </w:pPr>
      <w:r>
        <w:rPr>
          <w:rFonts w:hint="eastAsia"/>
          <w:color w:val="auto"/>
          <w:sz w:val="28"/>
          <w:szCs w:val="28"/>
        </w:rPr>
        <w:t>①采剥方法</w:t>
      </w:r>
    </w:p>
    <w:p w14:paraId="690E35FC">
      <w:pPr>
        <w:spacing w:after="0" w:line="360" w:lineRule="auto"/>
        <w:ind w:firstLine="560" w:firstLineChars="200"/>
        <w:rPr>
          <w:rFonts w:hint="eastAsia"/>
          <w:color w:val="auto"/>
          <w:sz w:val="28"/>
          <w:szCs w:val="28"/>
        </w:rPr>
      </w:pPr>
      <w:r>
        <w:rPr>
          <w:color w:val="auto"/>
          <w:sz w:val="28"/>
          <w:szCs w:val="28"/>
        </w:rPr>
        <w:t>该矿</w:t>
      </w:r>
      <w:r>
        <w:rPr>
          <w:rFonts w:hint="eastAsia"/>
          <w:color w:val="auto"/>
          <w:sz w:val="28"/>
          <w:szCs w:val="28"/>
        </w:rPr>
        <w:t>采用</w:t>
      </w:r>
      <w:r>
        <w:rPr>
          <w:color w:val="auto"/>
          <w:sz w:val="28"/>
          <w:szCs w:val="28"/>
        </w:rPr>
        <w:t>划分水平台阶由上向下逐层开采</w:t>
      </w:r>
      <w:r>
        <w:rPr>
          <w:rFonts w:hint="eastAsia"/>
          <w:color w:val="auto"/>
          <w:sz w:val="28"/>
          <w:szCs w:val="28"/>
        </w:rPr>
        <w:t>，工作线沿矿体走向布置，</w:t>
      </w:r>
      <w:r>
        <w:rPr>
          <w:color w:val="auto"/>
          <w:sz w:val="28"/>
          <w:szCs w:val="28"/>
        </w:rPr>
        <w:t>采用横向采剥</w:t>
      </w:r>
      <w:r>
        <w:rPr>
          <w:rFonts w:hint="eastAsia"/>
          <w:color w:val="auto"/>
          <w:sz w:val="28"/>
          <w:szCs w:val="28"/>
        </w:rPr>
        <w:t>。</w:t>
      </w:r>
    </w:p>
    <w:p w14:paraId="33202B8C">
      <w:pPr>
        <w:spacing w:after="0" w:line="360" w:lineRule="auto"/>
        <w:ind w:firstLine="560" w:firstLineChars="200"/>
        <w:rPr>
          <w:color w:val="auto"/>
          <w:sz w:val="28"/>
          <w:szCs w:val="28"/>
        </w:rPr>
      </w:pPr>
      <w:r>
        <w:rPr>
          <w:rFonts w:hint="eastAsia"/>
          <w:color w:val="auto"/>
          <w:sz w:val="28"/>
          <w:szCs w:val="28"/>
        </w:rPr>
        <w:t>考虑该矿区凝灰岩的赋存条件，本设计采用KQ-80潜孔钻</w:t>
      </w:r>
      <w:r>
        <w:rPr>
          <w:color w:val="auto"/>
          <w:sz w:val="28"/>
          <w:szCs w:val="28"/>
        </w:rPr>
        <w:t>穿中深孔</w:t>
      </w:r>
      <w:r>
        <w:rPr>
          <w:rFonts w:hint="eastAsia"/>
          <w:color w:val="auto"/>
          <w:sz w:val="28"/>
          <w:szCs w:val="28"/>
        </w:rPr>
        <w:t>、炸药爆破崩落矿岩</w:t>
      </w:r>
      <w:r>
        <w:rPr>
          <w:color w:val="auto"/>
          <w:sz w:val="28"/>
          <w:szCs w:val="28"/>
        </w:rPr>
        <w:t>，采用</w:t>
      </w:r>
      <w:r>
        <w:rPr>
          <w:rFonts w:hint="eastAsia"/>
          <w:color w:val="auto"/>
          <w:sz w:val="28"/>
          <w:szCs w:val="28"/>
        </w:rPr>
        <w:t>ZL50装载机进行装载，</w:t>
      </w:r>
      <w:r>
        <w:rPr>
          <w:color w:val="auto"/>
          <w:sz w:val="28"/>
          <w:szCs w:val="28"/>
        </w:rPr>
        <w:t>自卸汽车运输</w:t>
      </w:r>
      <w:r>
        <w:rPr>
          <w:rFonts w:hint="eastAsia"/>
          <w:color w:val="auto"/>
          <w:sz w:val="28"/>
          <w:szCs w:val="28"/>
        </w:rPr>
        <w:t>，装载机</w:t>
      </w:r>
      <w:r>
        <w:rPr>
          <w:color w:val="auto"/>
          <w:sz w:val="28"/>
          <w:szCs w:val="28"/>
        </w:rPr>
        <w:t>兼平场</w:t>
      </w:r>
      <w:r>
        <w:rPr>
          <w:rFonts w:hint="eastAsia"/>
          <w:color w:val="auto"/>
          <w:sz w:val="28"/>
          <w:szCs w:val="28"/>
        </w:rPr>
        <w:t>等</w:t>
      </w:r>
      <w:r>
        <w:rPr>
          <w:color w:val="auto"/>
          <w:sz w:val="28"/>
          <w:szCs w:val="28"/>
        </w:rPr>
        <w:t>辅助作业。</w:t>
      </w:r>
    </w:p>
    <w:p w14:paraId="794B6AAF">
      <w:pPr>
        <w:spacing w:after="0" w:line="360" w:lineRule="auto"/>
        <w:ind w:firstLine="560" w:firstLineChars="200"/>
        <w:rPr>
          <w:rFonts w:hint="eastAsia"/>
          <w:color w:val="auto"/>
          <w:sz w:val="28"/>
          <w:szCs w:val="28"/>
        </w:rPr>
      </w:pPr>
      <w:r>
        <w:rPr>
          <w:rFonts w:hint="eastAsia"/>
          <w:color w:val="auto"/>
          <w:sz w:val="28"/>
          <w:szCs w:val="28"/>
        </w:rPr>
        <w:t>②穿孔工作</w:t>
      </w:r>
    </w:p>
    <w:p w14:paraId="7A24C736">
      <w:pPr>
        <w:spacing w:after="0" w:line="360" w:lineRule="auto"/>
        <w:ind w:firstLine="560" w:firstLineChars="200"/>
        <w:rPr>
          <w:rFonts w:hint="eastAsia"/>
          <w:bCs/>
          <w:color w:val="auto"/>
          <w:sz w:val="28"/>
          <w:szCs w:val="28"/>
        </w:rPr>
      </w:pPr>
      <w:r>
        <w:rPr>
          <w:rFonts w:hint="eastAsia"/>
          <w:bCs/>
          <w:color w:val="auto"/>
          <w:sz w:val="28"/>
          <w:szCs w:val="28"/>
        </w:rPr>
        <w:t>根据开采规模，矿岩性质和其他同类矿山生产实践，中深孔穿孔作业选用国产KQ</w:t>
      </w:r>
      <w:r>
        <w:rPr>
          <w:rFonts w:hint="eastAsia"/>
          <w:color w:val="auto"/>
          <w:sz w:val="28"/>
          <w:szCs w:val="28"/>
        </w:rPr>
        <w:t>-80型潜孔钻机。设计确定</w:t>
      </w:r>
      <w:r>
        <w:rPr>
          <w:rFonts w:hint="eastAsia"/>
          <w:bCs/>
          <w:color w:val="auto"/>
          <w:sz w:val="28"/>
          <w:szCs w:val="28"/>
        </w:rPr>
        <w:t>KQ</w:t>
      </w:r>
      <w:r>
        <w:rPr>
          <w:rFonts w:hint="eastAsia"/>
          <w:color w:val="auto"/>
          <w:sz w:val="28"/>
          <w:szCs w:val="28"/>
        </w:rPr>
        <w:t>-80型潜孔钻机台年综合矿岩平均效率10000m，延米爆破量12t/m，经计算，共需</w:t>
      </w:r>
      <w:r>
        <w:rPr>
          <w:rFonts w:hint="eastAsia"/>
          <w:bCs/>
          <w:color w:val="auto"/>
          <w:sz w:val="28"/>
          <w:szCs w:val="28"/>
        </w:rPr>
        <w:t>KQ</w:t>
      </w:r>
      <w:r>
        <w:rPr>
          <w:rFonts w:hint="eastAsia"/>
          <w:color w:val="auto"/>
          <w:sz w:val="28"/>
          <w:szCs w:val="28"/>
        </w:rPr>
        <w:t>-80型潜孔钻机2台（1开1备）。</w:t>
      </w:r>
    </w:p>
    <w:p w14:paraId="49AD911E">
      <w:pPr>
        <w:spacing w:after="0" w:line="360" w:lineRule="auto"/>
        <w:ind w:firstLine="560" w:firstLineChars="200"/>
        <w:rPr>
          <w:rFonts w:hint="eastAsia"/>
          <w:bCs/>
          <w:color w:val="auto"/>
          <w:sz w:val="28"/>
          <w:szCs w:val="28"/>
        </w:rPr>
      </w:pPr>
      <w:r>
        <w:rPr>
          <w:rFonts w:hint="eastAsia"/>
          <w:bCs/>
          <w:color w:val="auto"/>
          <w:sz w:val="28"/>
          <w:szCs w:val="28"/>
        </w:rPr>
        <w:t>③爆破工作</w:t>
      </w:r>
    </w:p>
    <w:p w14:paraId="3E4A6D30">
      <w:pPr>
        <w:pStyle w:val="44"/>
        <w:spacing w:line="360" w:lineRule="auto"/>
        <w:ind w:firstLine="560" w:firstLineChars="200"/>
        <w:rPr>
          <w:rFonts w:hint="eastAsia" w:ascii="Times New Roman" w:cs="Times New Roman"/>
          <w:bCs/>
          <w:color w:val="auto"/>
          <w:sz w:val="28"/>
          <w:szCs w:val="28"/>
        </w:rPr>
      </w:pPr>
      <w:r>
        <w:rPr>
          <w:rFonts w:hint="eastAsia" w:ascii="Times New Roman" w:cs="Times New Roman"/>
          <w:bCs/>
          <w:color w:val="auto"/>
          <w:sz w:val="28"/>
          <w:szCs w:val="28"/>
        </w:rPr>
        <w:t>采用多排孔微差挤压爆破方法进行中深孔爆破，炮孔呈</w:t>
      </w:r>
      <w:r>
        <w:rPr>
          <w:rFonts w:hint="eastAsia" w:ascii="Times New Roman" w:cs="Times New Roman"/>
          <w:bCs/>
          <w:color w:val="auto"/>
          <w:sz w:val="28"/>
          <w:szCs w:val="28"/>
          <w:lang w:eastAsia="zh-CN"/>
        </w:rPr>
        <w:t>三角形</w:t>
      </w:r>
      <w:r>
        <w:rPr>
          <w:rFonts w:hint="eastAsia" w:ascii="Times New Roman" w:cs="Times New Roman"/>
          <w:bCs/>
          <w:color w:val="auto"/>
          <w:sz w:val="28"/>
          <w:szCs w:val="28"/>
        </w:rPr>
        <w:t>布置。靠近采场最终境界线时，采用预裂爆破，以减少爆破对最终边坡的破坏和边坡清理工作。爆破安全警戒范围为露天采场境界线外300m。</w:t>
      </w:r>
    </w:p>
    <w:p w14:paraId="7612B969">
      <w:pPr>
        <w:spacing w:after="0" w:line="360" w:lineRule="auto"/>
        <w:ind w:firstLine="560" w:firstLineChars="200"/>
        <w:rPr>
          <w:bCs/>
          <w:color w:val="auto"/>
          <w:sz w:val="28"/>
          <w:szCs w:val="28"/>
        </w:rPr>
      </w:pPr>
      <w:r>
        <w:rPr>
          <w:rFonts w:hint="eastAsia"/>
          <w:bCs/>
          <w:color w:val="auto"/>
          <w:sz w:val="28"/>
          <w:szCs w:val="28"/>
          <w:lang w:eastAsia="zh-CN"/>
        </w:rPr>
        <w:t>（</w:t>
      </w:r>
      <w:r>
        <w:rPr>
          <w:rFonts w:hint="eastAsia"/>
          <w:bCs/>
          <w:color w:val="auto"/>
          <w:sz w:val="28"/>
          <w:szCs w:val="28"/>
          <w:lang w:val="en-US" w:eastAsia="zh-CN"/>
        </w:rPr>
        <w:t>5</w:t>
      </w:r>
      <w:r>
        <w:rPr>
          <w:rFonts w:hint="eastAsia"/>
          <w:bCs/>
          <w:color w:val="auto"/>
          <w:sz w:val="28"/>
          <w:szCs w:val="28"/>
          <w:lang w:eastAsia="zh-CN"/>
        </w:rPr>
        <w:t>）</w:t>
      </w:r>
      <w:r>
        <w:rPr>
          <w:bCs/>
          <w:color w:val="auto"/>
          <w:sz w:val="28"/>
          <w:szCs w:val="28"/>
        </w:rPr>
        <w:t>采矿回采率及贫化率</w:t>
      </w:r>
    </w:p>
    <w:p w14:paraId="01A7FE4A">
      <w:pPr>
        <w:spacing w:after="0" w:line="360" w:lineRule="auto"/>
        <w:ind w:firstLine="560" w:firstLineChars="200"/>
        <w:rPr>
          <w:color w:val="auto"/>
          <w:sz w:val="28"/>
          <w:szCs w:val="28"/>
        </w:rPr>
      </w:pPr>
      <w:r>
        <w:rPr>
          <w:color w:val="auto"/>
          <w:sz w:val="28"/>
          <w:szCs w:val="28"/>
        </w:rPr>
        <w:t>根据矿体赋存状态、开采技术条件、采用的采矿方法，沿用本矿山生产实际</w:t>
      </w:r>
    </w:p>
    <w:p w14:paraId="701F9EC1">
      <w:pPr>
        <w:spacing w:after="0" w:line="360" w:lineRule="auto"/>
        <w:rPr>
          <w:rFonts w:hint="eastAsia"/>
          <w:color w:val="auto"/>
          <w:sz w:val="28"/>
          <w:szCs w:val="28"/>
        </w:rPr>
      </w:pPr>
      <w:r>
        <w:rPr>
          <w:color w:val="auto"/>
          <w:sz w:val="28"/>
          <w:szCs w:val="28"/>
        </w:rPr>
        <w:t>指标，本方案所确定的采矿指标为：矿石</w:t>
      </w:r>
      <w:r>
        <w:rPr>
          <w:rFonts w:hint="eastAsia"/>
          <w:color w:val="auto"/>
          <w:sz w:val="28"/>
          <w:szCs w:val="28"/>
        </w:rPr>
        <w:t>开采</w:t>
      </w:r>
      <w:r>
        <w:rPr>
          <w:color w:val="auto"/>
          <w:sz w:val="28"/>
          <w:szCs w:val="28"/>
        </w:rPr>
        <w:t>回采率</w:t>
      </w:r>
      <w:r>
        <w:rPr>
          <w:rFonts w:hint="eastAsia"/>
          <w:color w:val="auto"/>
          <w:sz w:val="28"/>
          <w:szCs w:val="28"/>
        </w:rPr>
        <w:t>78</w:t>
      </w:r>
      <w:r>
        <w:rPr>
          <w:color w:val="auto"/>
          <w:sz w:val="28"/>
          <w:szCs w:val="28"/>
        </w:rPr>
        <w:t>%，矿石综合贫化率</w:t>
      </w:r>
      <w:r>
        <w:rPr>
          <w:rFonts w:hint="eastAsia"/>
          <w:color w:val="auto"/>
          <w:sz w:val="28"/>
          <w:szCs w:val="28"/>
        </w:rPr>
        <w:t>0</w:t>
      </w:r>
      <w:r>
        <w:rPr>
          <w:color w:val="auto"/>
          <w:sz w:val="28"/>
          <w:szCs w:val="28"/>
        </w:rPr>
        <w:t>%</w:t>
      </w:r>
      <w:r>
        <w:rPr>
          <w:rFonts w:hint="eastAsia"/>
          <w:color w:val="auto"/>
          <w:sz w:val="28"/>
          <w:szCs w:val="28"/>
        </w:rPr>
        <w:t>。</w:t>
      </w:r>
    </w:p>
    <w:p w14:paraId="6EC1BC75">
      <w:pPr>
        <w:spacing w:after="0" w:line="360" w:lineRule="auto"/>
        <w:ind w:firstLine="560" w:firstLineChars="200"/>
        <w:rPr>
          <w:color w:val="auto"/>
          <w:sz w:val="28"/>
          <w:szCs w:val="28"/>
        </w:rPr>
      </w:pPr>
      <w:r>
        <w:rPr>
          <w:rFonts w:hint="eastAsia"/>
          <w:color w:val="auto"/>
          <w:sz w:val="28"/>
          <w:szCs w:val="28"/>
          <w:lang w:val="en-US" w:eastAsia="zh-CN"/>
        </w:rPr>
        <w:t>4、</w:t>
      </w:r>
      <w:r>
        <w:rPr>
          <w:color w:val="auto"/>
          <w:sz w:val="28"/>
          <w:szCs w:val="28"/>
        </w:rPr>
        <w:t>露天采场运输方式</w:t>
      </w:r>
    </w:p>
    <w:p w14:paraId="5E3FC2F5">
      <w:pPr>
        <w:widowControl w:val="0"/>
        <w:spacing w:after="0" w:line="360" w:lineRule="auto"/>
        <w:ind w:firstLine="560" w:firstLineChars="200"/>
        <w:rPr>
          <w:color w:val="auto"/>
          <w:sz w:val="28"/>
          <w:szCs w:val="28"/>
        </w:rPr>
      </w:pPr>
      <w:r>
        <w:rPr>
          <w:color w:val="auto"/>
          <w:sz w:val="28"/>
          <w:szCs w:val="28"/>
        </w:rPr>
        <w:t>采场采用</w:t>
      </w:r>
      <w:r>
        <w:rPr>
          <w:color w:val="auto"/>
          <w:sz w:val="28"/>
          <w:szCs w:val="28"/>
          <w:lang w:eastAsia="en-US"/>
        </w:rPr>
        <w:t>ZL50</w:t>
      </w:r>
      <w:r>
        <w:rPr>
          <w:color w:val="auto"/>
          <w:sz w:val="28"/>
          <w:szCs w:val="28"/>
        </w:rPr>
        <w:t>装载机装车，</w:t>
      </w:r>
      <w:r>
        <w:rPr>
          <w:rFonts w:hint="eastAsia"/>
          <w:color w:val="auto"/>
          <w:sz w:val="28"/>
          <w:szCs w:val="28"/>
        </w:rPr>
        <w:t>7.5</w:t>
      </w:r>
      <w:r>
        <w:rPr>
          <w:color w:val="auto"/>
          <w:sz w:val="28"/>
          <w:szCs w:val="28"/>
          <w:lang w:eastAsia="en-US"/>
        </w:rPr>
        <w:t>t</w:t>
      </w:r>
      <w:r>
        <w:rPr>
          <w:color w:val="auto"/>
          <w:sz w:val="28"/>
          <w:szCs w:val="28"/>
        </w:rPr>
        <w:t>自卸式汽车运输。</w:t>
      </w:r>
    </w:p>
    <w:p w14:paraId="5349D1F8">
      <w:pPr>
        <w:widowControl w:val="0"/>
        <w:spacing w:after="0" w:line="360" w:lineRule="auto"/>
        <w:ind w:firstLine="560" w:firstLineChars="200"/>
        <w:contextualSpacing/>
        <w:rPr>
          <w:color w:val="auto"/>
          <w:sz w:val="28"/>
          <w:szCs w:val="28"/>
        </w:rPr>
      </w:pPr>
      <w:r>
        <w:rPr>
          <w:rFonts w:hint="eastAsia"/>
          <w:color w:val="auto"/>
          <w:sz w:val="28"/>
          <w:szCs w:val="28"/>
          <w:lang w:val="en-US" w:eastAsia="zh-CN"/>
        </w:rPr>
        <w:t>5、</w:t>
      </w:r>
      <w:r>
        <w:rPr>
          <w:color w:val="auto"/>
          <w:sz w:val="28"/>
          <w:szCs w:val="28"/>
        </w:rPr>
        <w:t>矿山固体废弃物和废水的排放量及处置情况</w:t>
      </w:r>
    </w:p>
    <w:p w14:paraId="396A81D1">
      <w:pPr>
        <w:widowControl w:val="0"/>
        <w:spacing w:after="0" w:line="360" w:lineRule="auto"/>
        <w:ind w:firstLine="560" w:firstLineChars="200"/>
        <w:contextualSpacing/>
        <w:rPr>
          <w:color w:val="auto"/>
          <w:sz w:val="28"/>
          <w:szCs w:val="28"/>
        </w:rPr>
      </w:pPr>
      <w:r>
        <w:rPr>
          <w:rFonts w:hint="eastAsia"/>
          <w:color w:val="auto"/>
          <w:sz w:val="28"/>
          <w:szCs w:val="28"/>
          <w:lang w:eastAsia="zh-CN"/>
        </w:rPr>
        <w:t>（</w:t>
      </w:r>
      <w:r>
        <w:rPr>
          <w:rFonts w:hint="eastAsia"/>
          <w:color w:val="auto"/>
          <w:sz w:val="28"/>
          <w:szCs w:val="28"/>
          <w:lang w:val="en-US" w:eastAsia="zh-CN"/>
        </w:rPr>
        <w:t>1</w:t>
      </w:r>
      <w:r>
        <w:rPr>
          <w:rFonts w:hint="eastAsia"/>
          <w:color w:val="auto"/>
          <w:sz w:val="28"/>
          <w:szCs w:val="28"/>
          <w:lang w:eastAsia="zh-CN"/>
        </w:rPr>
        <w:t>）</w:t>
      </w:r>
      <w:r>
        <w:rPr>
          <w:color w:val="auto"/>
          <w:sz w:val="28"/>
          <w:szCs w:val="28"/>
        </w:rPr>
        <w:t>固体废弃物</w:t>
      </w:r>
    </w:p>
    <w:p w14:paraId="1D627695">
      <w:pPr>
        <w:widowControl w:val="0"/>
        <w:spacing w:after="0" w:line="360" w:lineRule="auto"/>
        <w:ind w:firstLine="544" w:firstLineChars="200"/>
        <w:contextualSpacing/>
        <w:rPr>
          <w:color w:val="auto"/>
          <w:sz w:val="28"/>
          <w:szCs w:val="28"/>
        </w:rPr>
      </w:pPr>
      <w:r>
        <w:rPr>
          <w:color w:val="auto"/>
          <w:spacing w:val="-4"/>
          <w:sz w:val="28"/>
          <w:szCs w:val="28"/>
        </w:rPr>
        <w:t>根据《开发利用方案》，</w:t>
      </w:r>
      <w:r>
        <w:rPr>
          <w:color w:val="auto"/>
          <w:sz w:val="28"/>
          <w:szCs w:val="28"/>
        </w:rPr>
        <w:t>该矿山为露天开采，开采矿种为建筑用凝灰岩碎石，因开采区域地表需要剥离物较少，</w:t>
      </w:r>
      <w:r>
        <w:rPr>
          <w:color w:val="auto"/>
          <w:spacing w:val="-4"/>
          <w:sz w:val="28"/>
          <w:szCs w:val="28"/>
        </w:rPr>
        <w:t>矿山主要废弃物为</w:t>
      </w:r>
      <w:r>
        <w:rPr>
          <w:color w:val="auto"/>
          <w:sz w:val="28"/>
          <w:szCs w:val="28"/>
        </w:rPr>
        <w:t>露天采场剥离废弃土石及生活垃圾。矿山产生的废石存放于废石场内</w:t>
      </w:r>
      <w:r>
        <w:rPr>
          <w:rFonts w:hint="eastAsia"/>
          <w:color w:val="auto"/>
          <w:sz w:val="28"/>
          <w:szCs w:val="28"/>
          <w:lang w:eastAsia="zh-CN"/>
        </w:rPr>
        <w:t>，现状废石场内废石量</w:t>
      </w:r>
      <w:r>
        <w:rPr>
          <w:rFonts w:hint="eastAsia"/>
          <w:color w:val="auto"/>
          <w:sz w:val="28"/>
          <w:szCs w:val="28"/>
          <w:lang w:val="en-US" w:eastAsia="zh-CN"/>
        </w:rPr>
        <w:t>70848m</w:t>
      </w:r>
      <w:r>
        <w:rPr>
          <w:rFonts w:hint="eastAsia"/>
          <w:color w:val="auto"/>
          <w:sz w:val="28"/>
          <w:szCs w:val="28"/>
          <w:vertAlign w:val="superscript"/>
          <w:lang w:val="en-US" w:eastAsia="zh-CN"/>
        </w:rPr>
        <w:t>3</w:t>
      </w:r>
      <w:r>
        <w:rPr>
          <w:color w:val="auto"/>
          <w:sz w:val="28"/>
          <w:szCs w:val="28"/>
        </w:rPr>
        <w:t>。</w:t>
      </w:r>
    </w:p>
    <w:p w14:paraId="1EA3AA24">
      <w:pPr>
        <w:spacing w:after="0" w:line="360" w:lineRule="auto"/>
        <w:ind w:firstLine="560" w:firstLineChars="200"/>
        <w:contextualSpacing/>
        <w:rPr>
          <w:rFonts w:hint="eastAsia"/>
          <w:color w:val="auto"/>
          <w:sz w:val="28"/>
          <w:szCs w:val="28"/>
        </w:rPr>
      </w:pPr>
      <w:r>
        <w:rPr>
          <w:rFonts w:hint="eastAsia"/>
          <w:color w:val="auto"/>
          <w:sz w:val="28"/>
          <w:szCs w:val="28"/>
        </w:rPr>
        <w:t>矿山生产剥采比为0.07，1004m水平以上露天境界内矿岩总量约为25.91×10</w:t>
      </w:r>
      <w:r>
        <w:rPr>
          <w:rFonts w:hint="eastAsia"/>
          <w:color w:val="auto"/>
          <w:sz w:val="28"/>
          <w:szCs w:val="28"/>
          <w:vertAlign w:val="superscript"/>
        </w:rPr>
        <w:t>4</w:t>
      </w:r>
      <w:r>
        <w:rPr>
          <w:rFonts w:hint="eastAsia"/>
          <w:color w:val="auto"/>
          <w:sz w:val="28"/>
          <w:szCs w:val="28"/>
        </w:rPr>
        <w:t xml:space="preserve"> m</w:t>
      </w:r>
      <w:r>
        <w:rPr>
          <w:rFonts w:hint="eastAsia"/>
          <w:color w:val="auto"/>
          <w:sz w:val="28"/>
          <w:szCs w:val="28"/>
          <w:vertAlign w:val="superscript"/>
        </w:rPr>
        <w:t>3</w:t>
      </w:r>
      <w:r>
        <w:rPr>
          <w:rFonts w:hint="eastAsia"/>
          <w:color w:val="auto"/>
          <w:sz w:val="28"/>
          <w:szCs w:val="28"/>
        </w:rPr>
        <w:t>，其中矿石量约24.11×10</w:t>
      </w:r>
      <w:r>
        <w:rPr>
          <w:rFonts w:hint="eastAsia"/>
          <w:color w:val="auto"/>
          <w:sz w:val="28"/>
          <w:szCs w:val="28"/>
          <w:vertAlign w:val="superscript"/>
        </w:rPr>
        <w:t>4</w:t>
      </w:r>
      <w:r>
        <w:rPr>
          <w:rFonts w:hint="eastAsia"/>
          <w:color w:val="auto"/>
          <w:sz w:val="28"/>
          <w:szCs w:val="28"/>
        </w:rPr>
        <w:t>m</w:t>
      </w:r>
      <w:r>
        <w:rPr>
          <w:rFonts w:hint="eastAsia"/>
          <w:color w:val="auto"/>
          <w:sz w:val="28"/>
          <w:szCs w:val="28"/>
          <w:vertAlign w:val="superscript"/>
        </w:rPr>
        <w:t>3</w:t>
      </w:r>
      <w:r>
        <w:rPr>
          <w:rFonts w:hint="eastAsia"/>
          <w:color w:val="auto"/>
          <w:sz w:val="28"/>
          <w:szCs w:val="28"/>
        </w:rPr>
        <w:t>，岩土量1.8×10</w:t>
      </w:r>
      <w:r>
        <w:rPr>
          <w:rFonts w:hint="eastAsia"/>
          <w:color w:val="auto"/>
          <w:sz w:val="28"/>
          <w:szCs w:val="28"/>
          <w:vertAlign w:val="superscript"/>
        </w:rPr>
        <w:t>4</w:t>
      </w:r>
      <w:r>
        <w:rPr>
          <w:rFonts w:hint="eastAsia"/>
          <w:color w:val="auto"/>
          <w:sz w:val="28"/>
          <w:szCs w:val="28"/>
        </w:rPr>
        <w:t>m</w:t>
      </w:r>
      <w:r>
        <w:rPr>
          <w:rFonts w:hint="eastAsia"/>
          <w:color w:val="auto"/>
          <w:sz w:val="28"/>
          <w:szCs w:val="28"/>
          <w:vertAlign w:val="superscript"/>
        </w:rPr>
        <w:t>3</w:t>
      </w:r>
      <w:r>
        <w:rPr>
          <w:rFonts w:hint="eastAsia"/>
          <w:color w:val="auto"/>
          <w:sz w:val="28"/>
          <w:szCs w:val="28"/>
        </w:rPr>
        <w:t>，除去露天采场剥离的表土6764m</w:t>
      </w:r>
      <w:r>
        <w:rPr>
          <w:rFonts w:hint="eastAsia"/>
          <w:color w:val="auto"/>
          <w:sz w:val="28"/>
          <w:szCs w:val="28"/>
          <w:vertAlign w:val="superscript"/>
        </w:rPr>
        <w:t>3</w:t>
      </w:r>
      <w:r>
        <w:rPr>
          <w:rFonts w:hint="eastAsia"/>
          <w:color w:val="auto"/>
          <w:sz w:val="28"/>
          <w:szCs w:val="28"/>
        </w:rPr>
        <w:t>，废弃土石量11236m</w:t>
      </w:r>
      <w:r>
        <w:rPr>
          <w:rFonts w:hint="eastAsia"/>
          <w:color w:val="auto"/>
          <w:sz w:val="28"/>
          <w:szCs w:val="28"/>
          <w:vertAlign w:val="superscript"/>
        </w:rPr>
        <w:t>3</w:t>
      </w:r>
      <w:r>
        <w:rPr>
          <w:rFonts w:hint="eastAsia"/>
          <w:color w:val="auto"/>
          <w:sz w:val="28"/>
          <w:szCs w:val="28"/>
        </w:rPr>
        <w:t>。</w:t>
      </w:r>
    </w:p>
    <w:p w14:paraId="44DC64D6">
      <w:pPr>
        <w:autoSpaceDE w:val="0"/>
        <w:autoSpaceDN w:val="0"/>
        <w:spacing w:after="0" w:line="360" w:lineRule="auto"/>
        <w:ind w:firstLine="560" w:firstLineChars="200"/>
        <w:rPr>
          <w:color w:val="auto"/>
          <w:sz w:val="28"/>
          <w:szCs w:val="28"/>
        </w:rPr>
      </w:pPr>
      <w:r>
        <w:rPr>
          <w:rFonts w:hint="eastAsia"/>
          <w:color w:val="auto"/>
          <w:sz w:val="28"/>
          <w:szCs w:val="28"/>
          <w:lang w:eastAsia="zh-CN"/>
        </w:rPr>
        <w:t>（</w:t>
      </w:r>
      <w:r>
        <w:rPr>
          <w:rFonts w:hint="eastAsia"/>
          <w:color w:val="auto"/>
          <w:sz w:val="28"/>
          <w:szCs w:val="28"/>
          <w:lang w:val="en-US" w:eastAsia="zh-CN"/>
        </w:rPr>
        <w:t>2</w:t>
      </w:r>
      <w:r>
        <w:rPr>
          <w:rFonts w:hint="eastAsia"/>
          <w:color w:val="auto"/>
          <w:sz w:val="28"/>
          <w:szCs w:val="28"/>
          <w:lang w:eastAsia="zh-CN"/>
        </w:rPr>
        <w:t>）</w:t>
      </w:r>
      <w:r>
        <w:rPr>
          <w:color w:val="auto"/>
          <w:sz w:val="28"/>
          <w:szCs w:val="28"/>
        </w:rPr>
        <w:t>生活垃圾</w:t>
      </w:r>
    </w:p>
    <w:p w14:paraId="069A767F">
      <w:pPr>
        <w:autoSpaceDE w:val="0"/>
        <w:autoSpaceDN w:val="0"/>
        <w:spacing w:after="0" w:line="360" w:lineRule="auto"/>
        <w:ind w:firstLine="560" w:firstLineChars="200"/>
        <w:rPr>
          <w:color w:val="auto"/>
          <w:sz w:val="28"/>
          <w:szCs w:val="28"/>
        </w:rPr>
      </w:pPr>
      <w:r>
        <w:rPr>
          <w:color w:val="auto"/>
          <w:sz w:val="28"/>
          <w:szCs w:val="28"/>
        </w:rPr>
        <w:t>矿山生产期间，生活垃圾集中堆放，后深埋处理。粪便集中收集后，附近村民可作肥料使用。</w:t>
      </w:r>
    </w:p>
    <w:p w14:paraId="48A5DB17">
      <w:pPr>
        <w:autoSpaceDE w:val="0"/>
        <w:autoSpaceDN w:val="0"/>
        <w:spacing w:after="0" w:line="360" w:lineRule="auto"/>
        <w:ind w:firstLine="560" w:firstLineChars="200"/>
        <w:rPr>
          <w:color w:val="auto"/>
          <w:sz w:val="28"/>
          <w:szCs w:val="28"/>
        </w:rPr>
      </w:pPr>
      <w:r>
        <w:rPr>
          <w:rFonts w:hint="eastAsia"/>
          <w:color w:val="auto"/>
          <w:sz w:val="28"/>
          <w:szCs w:val="28"/>
          <w:lang w:eastAsia="zh-CN"/>
        </w:rPr>
        <w:t>（</w:t>
      </w:r>
      <w:r>
        <w:rPr>
          <w:rFonts w:hint="eastAsia"/>
          <w:color w:val="auto"/>
          <w:sz w:val="28"/>
          <w:szCs w:val="28"/>
          <w:lang w:val="en-US" w:eastAsia="zh-CN"/>
        </w:rPr>
        <w:t>3</w:t>
      </w:r>
      <w:r>
        <w:rPr>
          <w:rFonts w:hint="eastAsia"/>
          <w:color w:val="auto"/>
          <w:sz w:val="28"/>
          <w:szCs w:val="28"/>
          <w:lang w:eastAsia="zh-CN"/>
        </w:rPr>
        <w:t>）</w:t>
      </w:r>
      <w:r>
        <w:rPr>
          <w:color w:val="auto"/>
          <w:sz w:val="28"/>
          <w:szCs w:val="28"/>
        </w:rPr>
        <w:t>废水</w:t>
      </w:r>
    </w:p>
    <w:p w14:paraId="5A386302">
      <w:pPr>
        <w:spacing w:after="0" w:line="360" w:lineRule="auto"/>
        <w:ind w:firstLine="560" w:firstLineChars="200"/>
        <w:rPr>
          <w:color w:val="auto"/>
          <w:sz w:val="28"/>
          <w:szCs w:val="28"/>
          <w:lang w:val="zh-CN"/>
        </w:rPr>
      </w:pPr>
      <w:r>
        <w:rPr>
          <w:color w:val="auto"/>
          <w:sz w:val="28"/>
          <w:szCs w:val="28"/>
          <w:lang w:val="zh-CN"/>
        </w:rPr>
        <w:t>露天采坑和废石场内的淋滤水不含有毒有害成分</w:t>
      </w:r>
      <w:r>
        <w:rPr>
          <w:rFonts w:hint="eastAsia"/>
          <w:color w:val="auto"/>
          <w:sz w:val="28"/>
          <w:szCs w:val="28"/>
          <w:lang w:val="zh-CN"/>
        </w:rPr>
        <w:t>，</w:t>
      </w:r>
      <w:r>
        <w:rPr>
          <w:color w:val="auto"/>
          <w:sz w:val="28"/>
          <w:szCs w:val="28"/>
          <w:lang w:val="zh-CN"/>
        </w:rPr>
        <w:t>可</w:t>
      </w:r>
      <w:r>
        <w:rPr>
          <w:rFonts w:hint="eastAsia"/>
          <w:color w:val="auto"/>
          <w:sz w:val="28"/>
          <w:szCs w:val="28"/>
          <w:lang w:val="zh-CN"/>
        </w:rPr>
        <w:t>供</w:t>
      </w:r>
      <w:r>
        <w:rPr>
          <w:color w:val="auto"/>
          <w:sz w:val="28"/>
          <w:szCs w:val="28"/>
          <w:lang w:val="zh-CN"/>
        </w:rPr>
        <w:t>绿化、道路降尘等使用，不会对周围环境造成危害。</w:t>
      </w:r>
    </w:p>
    <w:p w14:paraId="0EDDF4DB">
      <w:pPr>
        <w:spacing w:after="0" w:line="360" w:lineRule="auto"/>
        <w:ind w:firstLine="560" w:firstLineChars="200"/>
        <w:rPr>
          <w:color w:val="auto"/>
          <w:sz w:val="28"/>
          <w:szCs w:val="28"/>
          <w:lang w:val="zh-CN"/>
        </w:rPr>
      </w:pPr>
      <w:r>
        <w:rPr>
          <w:color w:val="auto"/>
          <w:sz w:val="28"/>
          <w:szCs w:val="28"/>
          <w:lang w:val="zh-CN"/>
        </w:rPr>
        <w:t>生活污水主要由生活废料及排泄物所组成，矿山地处山区，人烟稀少，生活污水一般不会对环境构成威胁。</w:t>
      </w:r>
    </w:p>
    <w:p w14:paraId="7855ED4E">
      <w:pPr>
        <w:widowControl w:val="0"/>
        <w:spacing w:after="0" w:line="360" w:lineRule="auto"/>
        <w:ind w:firstLine="560" w:firstLineChars="200"/>
        <w:contextualSpacing/>
        <w:rPr>
          <w:color w:val="auto"/>
          <w:sz w:val="28"/>
          <w:szCs w:val="28"/>
        </w:rPr>
      </w:pPr>
      <w:r>
        <w:rPr>
          <w:rFonts w:hint="eastAsia"/>
          <w:color w:val="auto"/>
          <w:sz w:val="28"/>
          <w:szCs w:val="28"/>
          <w:lang w:val="en-US" w:eastAsia="zh-CN"/>
        </w:rPr>
        <w:t>6、</w:t>
      </w:r>
      <w:r>
        <w:rPr>
          <w:color w:val="auto"/>
          <w:sz w:val="28"/>
          <w:szCs w:val="28"/>
        </w:rPr>
        <w:t>矿山工程布局</w:t>
      </w:r>
    </w:p>
    <w:p w14:paraId="15E9B347">
      <w:pPr>
        <w:widowControl w:val="0"/>
        <w:spacing w:after="0" w:line="360" w:lineRule="auto"/>
        <w:ind w:firstLine="560" w:firstLineChars="200"/>
        <w:contextualSpacing/>
        <w:rPr>
          <w:rFonts w:hint="eastAsia" w:ascii="宋体" w:hAnsi="宋体" w:cs="宋体"/>
          <w:bCs/>
          <w:color w:val="auto"/>
          <w:sz w:val="24"/>
        </w:rPr>
        <w:sectPr>
          <w:footerReference r:id="rId8" w:type="default"/>
          <w:pgSz w:w="11906" w:h="16838"/>
          <w:pgMar w:top="1701" w:right="1701" w:bottom="1701" w:left="1701" w:header="851" w:footer="567" w:gutter="0"/>
          <w:pgNumType w:fmt="decimal"/>
          <w:cols w:space="720" w:num="1"/>
          <w:docGrid w:linePitch="286" w:charSpace="0"/>
        </w:sectPr>
      </w:pPr>
      <w:r>
        <w:rPr>
          <w:bCs/>
          <w:color w:val="auto"/>
          <w:sz w:val="28"/>
          <w:szCs w:val="28"/>
        </w:rPr>
        <w:t>根据《开发利用方案》，矿山设计工程场地主要由</w:t>
      </w:r>
      <w:r>
        <w:rPr>
          <w:color w:val="auto"/>
          <w:sz w:val="28"/>
          <w:szCs w:val="28"/>
        </w:rPr>
        <w:t>露天采场、</w:t>
      </w:r>
      <w:r>
        <w:rPr>
          <w:rFonts w:hint="eastAsia"/>
          <w:color w:val="auto"/>
          <w:sz w:val="28"/>
          <w:szCs w:val="28"/>
        </w:rPr>
        <w:t>采矿工业场地</w:t>
      </w:r>
      <w:r>
        <w:rPr>
          <w:color w:val="auto"/>
          <w:sz w:val="28"/>
          <w:szCs w:val="28"/>
        </w:rPr>
        <w:t>、</w:t>
      </w:r>
      <w:r>
        <w:rPr>
          <w:rFonts w:hint="eastAsia"/>
          <w:color w:val="auto"/>
          <w:sz w:val="28"/>
          <w:szCs w:val="28"/>
        </w:rPr>
        <w:t>废石场</w:t>
      </w:r>
      <w:r>
        <w:rPr>
          <w:bCs/>
          <w:color w:val="auto"/>
          <w:sz w:val="28"/>
          <w:szCs w:val="28"/>
        </w:rPr>
        <w:t>组成。具体</w:t>
      </w:r>
      <w:r>
        <w:rPr>
          <w:color w:val="auto"/>
          <w:sz w:val="28"/>
          <w:szCs w:val="28"/>
        </w:rPr>
        <w:t>工程平面布局</w:t>
      </w:r>
      <w:r>
        <w:rPr>
          <w:bCs/>
          <w:color w:val="auto"/>
          <w:sz w:val="28"/>
          <w:szCs w:val="28"/>
        </w:rPr>
        <w:t>见图1-</w:t>
      </w:r>
      <w:r>
        <w:rPr>
          <w:rFonts w:hint="eastAsia"/>
          <w:bCs/>
          <w:color w:val="auto"/>
          <w:sz w:val="28"/>
          <w:szCs w:val="28"/>
        </w:rPr>
        <w:t>3</w:t>
      </w:r>
      <w:r>
        <w:rPr>
          <w:bCs/>
          <w:color w:val="auto"/>
          <w:sz w:val="28"/>
          <w:szCs w:val="28"/>
        </w:rPr>
        <w:t>所示。</w:t>
      </w:r>
    </w:p>
    <w:p w14:paraId="5C23E216">
      <w:pPr>
        <w:spacing w:line="240" w:lineRule="auto"/>
        <w:jc w:val="center"/>
        <w:rPr>
          <w:rFonts w:hint="eastAsia" w:ascii="宋体" w:hAnsi="宋体" w:eastAsia="宋体" w:cs="宋体"/>
          <w:b/>
          <w:color w:val="auto"/>
          <w:sz w:val="21"/>
          <w:szCs w:val="21"/>
          <w:lang w:eastAsia="zh-CN"/>
        </w:rPr>
      </w:pPr>
      <w:r>
        <w:rPr>
          <w:rFonts w:hint="eastAsia" w:ascii="宋体" w:hAnsi="宋体" w:cs="宋体"/>
          <w:b/>
          <w:color w:val="auto"/>
          <w:sz w:val="21"/>
          <w:szCs w:val="21"/>
          <w:lang w:eastAsia="zh-CN"/>
        </w:rPr>
        <w:t xml:space="preserve">    </w:t>
      </w:r>
    </w:p>
    <w:p w14:paraId="10317DD0">
      <w:pPr>
        <w:pStyle w:val="18"/>
        <w:spacing w:line="560" w:lineRule="exact"/>
        <w:ind w:firstLine="480" w:firstLineChars="200"/>
        <w:jc w:val="center"/>
        <w:rPr>
          <w:rFonts w:hint="eastAsia" w:ascii="Times New Roman" w:hAnsi="Times New Roman" w:cs="Times New Roman" w:eastAsiaTheme="minorEastAsia"/>
          <w:color w:val="auto"/>
          <w:szCs w:val="28"/>
        </w:rPr>
      </w:pPr>
      <w:r>
        <w:rPr>
          <w:rFonts w:hint="eastAsia" w:ascii="黑体" w:hAnsi="黑体" w:eastAsia="黑体" w:cs="黑体"/>
          <w:bCs/>
          <w:color w:val="auto"/>
          <w:sz w:val="24"/>
        </w:rPr>
        <w:t>图1-</w:t>
      </w:r>
      <w:r>
        <w:rPr>
          <w:rFonts w:hint="eastAsia" w:ascii="黑体" w:hAnsi="黑体" w:eastAsia="黑体" w:cs="黑体"/>
          <w:bCs/>
          <w:color w:val="auto"/>
          <w:sz w:val="24"/>
          <w:lang w:val="en-US" w:eastAsia="zh-CN"/>
        </w:rPr>
        <w:t>2</w:t>
      </w:r>
      <w:r>
        <w:rPr>
          <w:rFonts w:hint="eastAsia" w:ascii="黑体" w:hAnsi="黑体" w:eastAsia="黑体" w:cs="黑体"/>
          <w:bCs/>
          <w:color w:val="auto"/>
          <w:sz w:val="24"/>
        </w:rPr>
        <w:t xml:space="preserve">  开发利用方案</w:t>
      </w:r>
      <w:r>
        <w:rPr>
          <w:rFonts w:hint="eastAsia" w:ascii="黑体" w:hAnsi="黑体" w:eastAsia="黑体" w:cs="黑体"/>
          <w:color w:val="auto"/>
          <w:sz w:val="24"/>
        </w:rPr>
        <w:t>平面工程布局</w:t>
      </w:r>
      <w:r>
        <w:rPr>
          <w:rFonts w:hint="eastAsia" w:ascii="黑体" w:hAnsi="黑体" w:eastAsia="黑体" w:cs="黑体"/>
          <w:bCs/>
          <w:color w:val="auto"/>
          <w:sz w:val="24"/>
        </w:rPr>
        <w:t>图</w:t>
      </w:r>
    </w:p>
    <w:p w14:paraId="26129D00">
      <w:pPr>
        <w:pStyle w:val="14"/>
        <w:spacing w:line="360" w:lineRule="auto"/>
        <w:ind w:firstLine="568" w:firstLineChars="202"/>
        <w:rPr>
          <w:rFonts w:eastAsiaTheme="minorEastAsia"/>
          <w:color w:val="auto"/>
          <w:szCs w:val="28"/>
        </w:rPr>
      </w:pPr>
      <w:r>
        <w:rPr>
          <w:rFonts w:eastAsiaTheme="minorEastAsia"/>
          <w:b/>
          <w:bCs/>
          <w:color w:val="auto"/>
          <w:szCs w:val="28"/>
        </w:rPr>
        <w:t>（二）现状工程单元布局</w:t>
      </w:r>
    </w:p>
    <w:p w14:paraId="20275D7A">
      <w:pPr>
        <w:pStyle w:val="14"/>
        <w:spacing w:line="360" w:lineRule="auto"/>
        <w:ind w:firstLine="565" w:firstLineChars="202"/>
        <w:rPr>
          <w:rFonts w:hint="eastAsia" w:ascii="Times New Roman" w:hAnsi="Times New Roman" w:cs="Times New Roman" w:eastAsiaTheme="minorEastAsia"/>
          <w:color w:val="auto"/>
          <w:szCs w:val="28"/>
        </w:rPr>
      </w:pPr>
      <w:r>
        <w:rPr>
          <w:rFonts w:hint="eastAsia" w:ascii="Times New Roman" w:hAnsi="Times New Roman" w:cs="Times New Roman" w:eastAsiaTheme="minorEastAsia"/>
          <w:color w:val="auto"/>
          <w:szCs w:val="28"/>
        </w:rPr>
        <w:t>本次现状调查实测，矿山</w:t>
      </w:r>
      <w:r>
        <w:rPr>
          <w:rFonts w:hint="eastAsia" w:cs="Times New Roman" w:eastAsiaTheme="minorEastAsia"/>
          <w:color w:val="auto"/>
          <w:szCs w:val="28"/>
          <w:lang w:val="en-US" w:eastAsia="zh-CN"/>
        </w:rPr>
        <w:t>已不再继续开采</w:t>
      </w:r>
      <w:r>
        <w:rPr>
          <w:rFonts w:hint="eastAsia" w:ascii="Times New Roman" w:hAnsi="Times New Roman" w:cs="Times New Roman" w:eastAsiaTheme="minorEastAsia"/>
          <w:color w:val="auto"/>
          <w:szCs w:val="28"/>
        </w:rPr>
        <w:t>，</w:t>
      </w:r>
      <w:bookmarkStart w:id="24" w:name="_Hlk221463300"/>
      <w:r>
        <w:rPr>
          <w:rFonts w:hint="eastAsia" w:cs="Times New Roman" w:eastAsiaTheme="minorEastAsia"/>
          <w:color w:val="auto"/>
          <w:szCs w:val="28"/>
          <w:lang w:val="en-US" w:eastAsia="zh-CN"/>
        </w:rPr>
        <w:t>现状</w:t>
      </w:r>
      <w:r>
        <w:rPr>
          <w:rFonts w:hint="eastAsia" w:ascii="Times New Roman" w:hAnsi="Times New Roman" w:cs="Times New Roman" w:eastAsiaTheme="minorEastAsia"/>
          <w:color w:val="auto"/>
          <w:szCs w:val="28"/>
        </w:rPr>
        <w:t>主要为</w:t>
      </w:r>
      <w:r>
        <w:rPr>
          <w:rFonts w:hint="eastAsia" w:ascii="Times New Roman" w:hAnsi="Times New Roman" w:eastAsia="宋体" w:cs="Times New Roman"/>
          <w:color w:val="auto"/>
          <w:szCs w:val="28"/>
          <w:lang w:val="en-US" w:eastAsia="zh-CN"/>
        </w:rPr>
        <w:t>露天采场、</w:t>
      </w:r>
      <w:r>
        <w:rPr>
          <w:rFonts w:hint="eastAsia" w:eastAsia="宋体" w:cs="Times New Roman"/>
          <w:color w:val="auto"/>
          <w:szCs w:val="28"/>
          <w:lang w:val="en-US" w:eastAsia="zh-CN"/>
        </w:rPr>
        <w:t>1#</w:t>
      </w:r>
      <w:r>
        <w:rPr>
          <w:rFonts w:hint="eastAsia" w:ascii="Times New Roman" w:hAnsi="Times New Roman" w:eastAsia="宋体" w:cs="Times New Roman"/>
          <w:color w:val="auto"/>
          <w:szCs w:val="28"/>
          <w:lang w:val="en-US" w:eastAsia="zh-CN"/>
        </w:rPr>
        <w:t>废石场、</w:t>
      </w:r>
      <w:r>
        <w:rPr>
          <w:rFonts w:hint="eastAsia" w:eastAsia="宋体" w:cs="Times New Roman"/>
          <w:color w:val="auto"/>
          <w:szCs w:val="28"/>
          <w:lang w:val="en-US" w:eastAsia="zh-CN"/>
        </w:rPr>
        <w:t>2#废</w:t>
      </w:r>
      <w:r>
        <w:rPr>
          <w:rFonts w:hint="eastAsia" w:ascii="Times New Roman" w:hAnsi="Times New Roman" w:eastAsia="宋体" w:cs="Times New Roman"/>
          <w:color w:val="auto"/>
          <w:szCs w:val="28"/>
          <w:lang w:val="en-US" w:eastAsia="zh-CN"/>
        </w:rPr>
        <w:t>石场、1#废渣堆、2#废渣堆、3#废渣堆、</w:t>
      </w:r>
      <w:r>
        <w:rPr>
          <w:rFonts w:hint="eastAsia" w:eastAsia="宋体" w:cs="Times New Roman"/>
          <w:color w:val="auto"/>
          <w:szCs w:val="28"/>
          <w:lang w:val="en-US" w:eastAsia="zh-CN"/>
        </w:rPr>
        <w:t>工业场地</w:t>
      </w:r>
      <w:r>
        <w:rPr>
          <w:rFonts w:hint="eastAsia" w:ascii="Times New Roman" w:hAnsi="Times New Roman" w:eastAsia="宋体" w:cs="Times New Roman"/>
          <w:color w:val="auto"/>
          <w:szCs w:val="28"/>
          <w:lang w:val="en-US" w:eastAsia="zh-CN"/>
        </w:rPr>
        <w:t>、矿区道路</w:t>
      </w:r>
      <w:r>
        <w:rPr>
          <w:rFonts w:hint="eastAsia" w:eastAsia="宋体" w:cs="Times New Roman"/>
          <w:color w:val="auto"/>
          <w:szCs w:val="28"/>
          <w:lang w:val="en-US" w:eastAsia="zh-CN"/>
        </w:rPr>
        <w:t>、办公生活区、变压器</w:t>
      </w:r>
      <w:r>
        <w:rPr>
          <w:rFonts w:hint="eastAsia" w:ascii="Times New Roman" w:hAnsi="Times New Roman" w:cs="Times New Roman" w:eastAsiaTheme="minorEastAsia"/>
          <w:color w:val="auto"/>
          <w:szCs w:val="28"/>
        </w:rPr>
        <w:t>。</w:t>
      </w:r>
      <w:bookmarkEnd w:id="24"/>
      <w:r>
        <w:rPr>
          <w:rFonts w:hint="eastAsia" w:ascii="Times New Roman" w:hAnsi="Times New Roman" w:cs="Times New Roman" w:eastAsiaTheme="minorEastAsia"/>
          <w:color w:val="auto"/>
          <w:szCs w:val="28"/>
        </w:rPr>
        <w:t>现状工程场地分布见下图（图1-</w:t>
      </w:r>
      <w:r>
        <w:rPr>
          <w:rFonts w:hint="eastAsia" w:ascii="Times New Roman" w:hAnsi="Times New Roman" w:cs="Times New Roman" w:eastAsiaTheme="minorEastAsia"/>
          <w:color w:val="auto"/>
          <w:szCs w:val="28"/>
          <w:lang w:val="en-US" w:eastAsia="zh-CN"/>
        </w:rPr>
        <w:t>3</w:t>
      </w:r>
      <w:r>
        <w:rPr>
          <w:rFonts w:hint="eastAsia" w:ascii="Times New Roman" w:hAnsi="Times New Roman" w:cs="Times New Roman" w:eastAsiaTheme="minorEastAsia"/>
          <w:color w:val="auto"/>
          <w:szCs w:val="28"/>
        </w:rPr>
        <w:t>）。</w:t>
      </w:r>
      <w:bookmarkStart w:id="25" w:name="_Toc32453"/>
    </w:p>
    <w:p w14:paraId="2FC7519F">
      <w:pPr>
        <w:pStyle w:val="14"/>
        <w:spacing w:line="360" w:lineRule="auto"/>
        <w:ind w:firstLine="565" w:firstLineChars="202"/>
        <w:rPr>
          <w:color w:val="auto"/>
        </w:rPr>
      </w:pPr>
      <w:r>
        <w:rPr>
          <w:rFonts w:hint="eastAsia"/>
          <w:color w:val="auto"/>
        </w:rPr>
        <w:t>一节  矿区自然条件</w:t>
      </w:r>
      <w:bookmarkEnd w:id="25"/>
    </w:p>
    <w:p w14:paraId="0C931F1A">
      <w:pPr>
        <w:spacing w:line="360" w:lineRule="auto"/>
        <w:ind w:firstLine="562" w:firstLineChars="200"/>
        <w:outlineLvl w:val="2"/>
        <w:rPr>
          <w:rFonts w:hint="eastAsia" w:ascii="宋体" w:hAnsi="宋体" w:eastAsia="宋体" w:cs="宋体"/>
          <w:b/>
          <w:bCs/>
          <w:color w:val="auto"/>
          <w:sz w:val="28"/>
          <w:szCs w:val="28"/>
        </w:rPr>
      </w:pPr>
      <w:r>
        <w:rPr>
          <w:rFonts w:hint="eastAsia" w:ascii="宋体" w:hAnsi="宋体" w:eastAsia="宋体" w:cs="宋体"/>
          <w:b/>
          <w:bCs/>
          <w:color w:val="auto"/>
          <w:sz w:val="28"/>
          <w:szCs w:val="28"/>
        </w:rPr>
        <w:t>一、地形</w:t>
      </w:r>
    </w:p>
    <w:p w14:paraId="04B56522">
      <w:pPr>
        <w:spacing w:line="360" w:lineRule="auto"/>
        <w:ind w:firstLine="560" w:firstLineChars="200"/>
        <w:rPr>
          <w:rFonts w:hint="eastAsia"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矿区属低山区，矿区地形西南低东北高，区内最高海拔1072m，最低海拔标高993m，最大高差79m。地势</w:t>
      </w:r>
      <w:r>
        <w:rPr>
          <w:rFonts w:hint="eastAsia" w:ascii="Times New Roman" w:hAnsi="Times New Roman" w:eastAsia="宋体" w:cs="Times New Roman"/>
          <w:color w:val="auto"/>
          <w:sz w:val="28"/>
          <w:szCs w:val="28"/>
          <w:lang w:eastAsia="zh-CN"/>
        </w:rPr>
        <w:t>局部</w:t>
      </w:r>
      <w:r>
        <w:rPr>
          <w:rFonts w:hint="eastAsia" w:ascii="Times New Roman" w:hAnsi="Times New Roman" w:eastAsia="宋体" w:cs="Times New Roman"/>
          <w:color w:val="auto"/>
          <w:sz w:val="28"/>
          <w:szCs w:val="28"/>
        </w:rPr>
        <w:t>较陡，地形坡度20°-35°，沟谷</w:t>
      </w:r>
      <w:r>
        <w:rPr>
          <w:rFonts w:hint="eastAsia" w:ascii="Times New Roman" w:hAnsi="Times New Roman" w:eastAsia="宋体" w:cs="Times New Roman"/>
          <w:color w:val="auto"/>
          <w:sz w:val="28"/>
          <w:szCs w:val="28"/>
          <w:lang w:eastAsia="zh-CN"/>
        </w:rPr>
        <w:t>较</w:t>
      </w:r>
      <w:r>
        <w:rPr>
          <w:rFonts w:hint="eastAsia" w:ascii="Times New Roman" w:hAnsi="Times New Roman" w:eastAsia="宋体" w:cs="Times New Roman"/>
          <w:color w:val="auto"/>
          <w:sz w:val="28"/>
          <w:szCs w:val="28"/>
        </w:rPr>
        <w:t>发育。断面呈“V”字型，沟宽50-120m。</w:t>
      </w:r>
    </w:p>
    <w:p w14:paraId="235E1C55">
      <w:pPr>
        <w:spacing w:line="360" w:lineRule="auto"/>
        <w:ind w:firstLine="562" w:firstLineChars="200"/>
        <w:outlineLvl w:val="2"/>
        <w:rPr>
          <w:rFonts w:hint="eastAsia" w:ascii="宋体" w:hAnsi="宋体" w:eastAsia="宋体" w:cs="宋体"/>
          <w:b/>
          <w:bCs/>
          <w:color w:val="auto"/>
          <w:sz w:val="28"/>
          <w:szCs w:val="28"/>
        </w:rPr>
      </w:pPr>
      <w:r>
        <w:rPr>
          <w:rFonts w:hint="eastAsia" w:ascii="宋体" w:hAnsi="宋体" w:eastAsia="宋体" w:cs="宋体"/>
          <w:b/>
          <w:bCs/>
          <w:color w:val="auto"/>
          <w:sz w:val="28"/>
          <w:szCs w:val="28"/>
        </w:rPr>
        <w:t>二、地貌</w:t>
      </w:r>
    </w:p>
    <w:p w14:paraId="23620AE2">
      <w:pPr>
        <w:spacing w:line="360" w:lineRule="auto"/>
        <w:ind w:firstLine="560" w:firstLineChars="200"/>
        <w:rPr>
          <w:rFonts w:hint="eastAsia"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根据矿区地貌形态特征，将矿区地貌形态类型划分为低山地貌，低山地貌形态中包含微型地貌沟谷。</w:t>
      </w:r>
    </w:p>
    <w:p w14:paraId="07648473">
      <w:pPr>
        <w:spacing w:line="360" w:lineRule="auto"/>
        <w:ind w:firstLine="560" w:firstLineChars="200"/>
        <w:rPr>
          <w:rFonts w:hint="eastAsia"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1、低山区（Ⅰ）</w:t>
      </w:r>
    </w:p>
    <w:p w14:paraId="71C9DE17">
      <w:pPr>
        <w:spacing w:line="360" w:lineRule="auto"/>
        <w:ind w:firstLine="560" w:firstLineChars="200"/>
        <w:rPr>
          <w:rFonts w:hint="eastAsia"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矿区属低山区，其山体呈北西-南东走向，山体部分基岩裸露，山脉呈长梁状，山顶多呈浑圆状，地形坡度20°-35°，植被发育一般。矿区所在低山地貌见照片2-1。</w:t>
      </w:r>
    </w:p>
    <w:p w14:paraId="1BFB1141">
      <w:pPr>
        <w:widowControl w:val="0"/>
        <w:spacing w:after="0" w:line="240" w:lineRule="auto"/>
        <w:contextualSpacing/>
        <w:jc w:val="center"/>
        <w:rPr>
          <w:rFonts w:hint="eastAsia" w:ascii="宋体" w:hAnsi="宋体" w:eastAsia="宋体" w:cs="宋体"/>
          <w:color w:val="auto"/>
          <w:sz w:val="24"/>
          <w:lang w:eastAsia="zh-CN"/>
        </w:rPr>
      </w:pPr>
      <w:r>
        <w:rPr>
          <w:rFonts w:hint="eastAsia"/>
          <w:color w:val="auto"/>
          <w:lang w:eastAsia="zh-CN"/>
        </w:rPr>
        <w:t xml:space="preserve">    </w:t>
      </w:r>
    </w:p>
    <w:p w14:paraId="62146B42">
      <w:pPr>
        <w:widowControl w:val="0"/>
        <w:spacing w:after="0" w:line="360" w:lineRule="auto"/>
        <w:jc w:val="center"/>
        <w:rPr>
          <w:rFonts w:hint="eastAsia" w:ascii="黑体" w:hAnsi="黑体" w:eastAsia="黑体" w:cs="黑体"/>
          <w:color w:val="auto"/>
          <w:sz w:val="24"/>
        </w:rPr>
      </w:pPr>
      <w:r>
        <w:rPr>
          <w:rFonts w:hint="eastAsia" w:ascii="黑体" w:hAnsi="黑体" w:eastAsia="黑体" w:cs="黑体"/>
          <w:color w:val="auto"/>
          <w:sz w:val="24"/>
        </w:rPr>
        <w:t>照片2-1  低山地貌</w:t>
      </w:r>
    </w:p>
    <w:p w14:paraId="3A5A06F7">
      <w:pPr>
        <w:spacing w:line="360" w:lineRule="auto"/>
        <w:ind w:firstLine="560" w:firstLineChars="200"/>
        <w:rPr>
          <w:rFonts w:hint="eastAsia"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2、沟谷（Ⅱ）</w:t>
      </w:r>
    </w:p>
    <w:p w14:paraId="5874E892">
      <w:pPr>
        <w:spacing w:line="360" w:lineRule="auto"/>
        <w:ind w:firstLine="560" w:firstLineChars="200"/>
        <w:rPr>
          <w:rFonts w:hint="eastAsia"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分布在矿区西南部，走向近东西，断面呈“V”字型，沟谷长1.2km，沟宽50－120m，纵坡6-12°。沟谷两侧山体局部基岩裸露，岩体坚硬、稳固，沟谷上游松散堆积物不发育（见照片2-2）。</w:t>
      </w:r>
    </w:p>
    <w:p w14:paraId="2AE183EB">
      <w:pPr>
        <w:spacing w:after="0" w:line="240" w:lineRule="auto"/>
        <w:jc w:val="center"/>
        <w:rPr>
          <w:rFonts w:hint="eastAsia" w:eastAsia="宋体"/>
          <w:color w:val="auto"/>
          <w:lang w:eastAsia="zh-CN"/>
        </w:rPr>
      </w:pPr>
      <w:r>
        <w:rPr>
          <w:rFonts w:hint="eastAsia"/>
          <w:color w:val="auto"/>
          <w:lang w:eastAsia="zh-CN"/>
        </w:rPr>
        <w:t xml:space="preserve">    </w:t>
      </w:r>
    </w:p>
    <w:p w14:paraId="547671EA">
      <w:pPr>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eastAsia" w:ascii="黑体" w:hAnsi="黑体" w:eastAsia="黑体" w:cs="黑体"/>
          <w:color w:val="auto"/>
          <w:sz w:val="24"/>
        </w:rPr>
      </w:pPr>
      <w:r>
        <w:rPr>
          <w:rFonts w:hint="eastAsia" w:ascii="黑体" w:hAnsi="黑体" w:eastAsia="黑体" w:cs="黑体"/>
          <w:color w:val="auto"/>
          <w:sz w:val="24"/>
        </w:rPr>
        <w:t>照片2-2  沟谷地貌</w:t>
      </w:r>
    </w:p>
    <w:p w14:paraId="546BED03">
      <w:pPr>
        <w:spacing w:line="360" w:lineRule="auto"/>
        <w:ind w:firstLine="562" w:firstLineChars="200"/>
        <w:outlineLvl w:val="2"/>
        <w:rPr>
          <w:rFonts w:hint="eastAsia" w:ascii="宋体" w:hAnsi="宋体" w:cs="宋体"/>
          <w:b/>
          <w:bCs/>
          <w:color w:val="auto"/>
          <w:sz w:val="28"/>
          <w:szCs w:val="28"/>
        </w:rPr>
      </w:pPr>
      <w:r>
        <w:rPr>
          <w:rFonts w:hint="eastAsia" w:ascii="宋体" w:hAnsi="宋体" w:cs="宋体"/>
          <w:b/>
          <w:bCs/>
          <w:color w:val="auto"/>
          <w:sz w:val="28"/>
          <w:szCs w:val="28"/>
        </w:rPr>
        <w:t>二、气象</w:t>
      </w:r>
    </w:p>
    <w:p w14:paraId="4B707237">
      <w:pPr>
        <w:spacing w:line="360" w:lineRule="auto"/>
        <w:ind w:firstLine="560" w:firstLineChars="200"/>
        <w:rPr>
          <w:color w:val="auto"/>
          <w:sz w:val="28"/>
          <w:szCs w:val="28"/>
        </w:rPr>
      </w:pPr>
      <w:bookmarkStart w:id="26" w:name="_Toc142294646"/>
      <w:bookmarkStart w:id="27" w:name="_Toc144082148"/>
      <w:bookmarkStart w:id="28" w:name="_Toc167507414"/>
      <w:bookmarkStart w:id="29" w:name="_Toc183166144"/>
      <w:r>
        <w:rPr>
          <w:color w:val="auto"/>
          <w:sz w:val="28"/>
          <w:szCs w:val="28"/>
        </w:rPr>
        <w:t>本区属中温带内陆季风气候，冬季寒冷，夏季燥热，春秋多风沙，6-10月为丰水期，5月、11月为平水期，1-4月与12月为枯水期。根据国家气象站（赤峰站）多年统计资料，2016-2025年降水量242.70～719.80mm，年平均降水量427.71mm。年平均气温8℃，一月份气温最低为-28℃，七月份最高气温为+37℃，一般每年十月下旬，至翌年四月中旬为冰冻期，最大冻土层深度1.7m，五月初至九月末为无霜期，年日照2740小时，春秋两季多5～6级西北风，平均风速3.2m/s，最大风速达20m/s，降水量统计表见表2-1，示意图见图2-1。</w:t>
      </w:r>
    </w:p>
    <w:p w14:paraId="33DA97ED">
      <w:pPr>
        <w:jc w:val="center"/>
        <w:rPr>
          <w:rFonts w:eastAsia="黑体"/>
          <w:bCs/>
          <w:color w:val="auto"/>
          <w:sz w:val="24"/>
          <w:szCs w:val="24"/>
        </w:rPr>
      </w:pPr>
      <w:r>
        <w:rPr>
          <w:rFonts w:eastAsia="黑体"/>
          <w:bCs/>
          <w:color w:val="auto"/>
          <w:sz w:val="24"/>
          <w:szCs w:val="24"/>
        </w:rPr>
        <w:t>表2-1  近十年年降水量统计表(2016年～2025年)</w:t>
      </w:r>
    </w:p>
    <w:tbl>
      <w:tblPr>
        <w:tblStyle w:val="34"/>
        <w:tblW w:w="93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
        <w:gridCol w:w="849"/>
        <w:gridCol w:w="850"/>
        <w:gridCol w:w="849"/>
        <w:gridCol w:w="849"/>
        <w:gridCol w:w="849"/>
        <w:gridCol w:w="849"/>
        <w:gridCol w:w="849"/>
        <w:gridCol w:w="849"/>
        <w:gridCol w:w="849"/>
        <w:gridCol w:w="849"/>
      </w:tblGrid>
      <w:tr w14:paraId="61702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80" w:type="dxa"/>
            <w:tcBorders>
              <w:top w:val="single" w:color="auto" w:sz="4" w:space="0"/>
              <w:left w:val="single" w:color="auto" w:sz="4" w:space="0"/>
              <w:bottom w:val="single" w:color="auto" w:sz="4" w:space="0"/>
              <w:right w:val="single" w:color="auto" w:sz="4" w:space="0"/>
              <w:tl2br w:val="single" w:color="auto" w:sz="4" w:space="0"/>
            </w:tcBorders>
            <w:tcMar>
              <w:top w:w="0" w:type="dxa"/>
              <w:left w:w="0" w:type="dxa"/>
              <w:bottom w:w="0" w:type="dxa"/>
              <w:right w:w="0" w:type="dxa"/>
            </w:tcMar>
            <w:vAlign w:val="center"/>
          </w:tcPr>
          <w:p w14:paraId="640320CF">
            <w:pPr>
              <w:spacing w:line="240" w:lineRule="atLeast"/>
              <w:jc w:val="center"/>
              <w:rPr>
                <w:color w:val="auto"/>
                <w:szCs w:val="21"/>
              </w:rPr>
            </w:pPr>
            <w:r>
              <w:rPr>
                <w:color w:val="auto"/>
                <w:szCs w:val="21"/>
              </w:rPr>
              <w:t xml:space="preserve">   年份</w:t>
            </w:r>
          </w:p>
          <w:p w14:paraId="670E8A80">
            <w:pPr>
              <w:spacing w:line="240" w:lineRule="atLeast"/>
              <w:rPr>
                <w:color w:val="auto"/>
                <w:szCs w:val="21"/>
              </w:rPr>
            </w:pPr>
            <w:r>
              <w:rPr>
                <w:color w:val="auto"/>
                <w:szCs w:val="21"/>
              </w:rPr>
              <w:t>mm</w:t>
            </w:r>
          </w:p>
        </w:tc>
        <w:tc>
          <w:tcPr>
            <w:tcW w:w="84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3E44085">
            <w:pPr>
              <w:spacing w:line="240" w:lineRule="atLeast"/>
              <w:jc w:val="center"/>
              <w:rPr>
                <w:color w:val="auto"/>
                <w:szCs w:val="21"/>
              </w:rPr>
            </w:pPr>
            <w:r>
              <w:rPr>
                <w:color w:val="auto"/>
                <w:szCs w:val="21"/>
              </w:rPr>
              <w:t>2016</w:t>
            </w:r>
          </w:p>
        </w:tc>
        <w:tc>
          <w:tcPr>
            <w:tcW w:w="85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68BF6FF">
            <w:pPr>
              <w:spacing w:line="240" w:lineRule="atLeast"/>
              <w:jc w:val="center"/>
              <w:rPr>
                <w:color w:val="auto"/>
                <w:szCs w:val="21"/>
              </w:rPr>
            </w:pPr>
            <w:r>
              <w:rPr>
                <w:color w:val="auto"/>
                <w:szCs w:val="21"/>
              </w:rPr>
              <w:t>2017</w:t>
            </w:r>
          </w:p>
        </w:tc>
        <w:tc>
          <w:tcPr>
            <w:tcW w:w="84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28F75D1">
            <w:pPr>
              <w:spacing w:line="240" w:lineRule="atLeast"/>
              <w:jc w:val="center"/>
              <w:rPr>
                <w:color w:val="auto"/>
                <w:szCs w:val="21"/>
              </w:rPr>
            </w:pPr>
            <w:r>
              <w:rPr>
                <w:color w:val="auto"/>
                <w:szCs w:val="21"/>
              </w:rPr>
              <w:t>2018</w:t>
            </w:r>
          </w:p>
        </w:tc>
        <w:tc>
          <w:tcPr>
            <w:tcW w:w="84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4A7C351">
            <w:pPr>
              <w:spacing w:line="240" w:lineRule="atLeast"/>
              <w:jc w:val="center"/>
              <w:rPr>
                <w:color w:val="auto"/>
                <w:szCs w:val="21"/>
              </w:rPr>
            </w:pPr>
            <w:r>
              <w:rPr>
                <w:color w:val="auto"/>
                <w:szCs w:val="21"/>
              </w:rPr>
              <w:t>2019</w:t>
            </w:r>
          </w:p>
        </w:tc>
        <w:tc>
          <w:tcPr>
            <w:tcW w:w="84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2FCE5F3">
            <w:pPr>
              <w:spacing w:line="240" w:lineRule="atLeast"/>
              <w:jc w:val="center"/>
              <w:rPr>
                <w:color w:val="auto"/>
                <w:szCs w:val="21"/>
              </w:rPr>
            </w:pPr>
            <w:r>
              <w:rPr>
                <w:color w:val="auto"/>
                <w:szCs w:val="21"/>
              </w:rPr>
              <w:t>2020</w:t>
            </w:r>
          </w:p>
        </w:tc>
        <w:tc>
          <w:tcPr>
            <w:tcW w:w="84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B0E67DC">
            <w:pPr>
              <w:spacing w:line="240" w:lineRule="atLeast"/>
              <w:jc w:val="center"/>
              <w:rPr>
                <w:color w:val="auto"/>
                <w:szCs w:val="21"/>
              </w:rPr>
            </w:pPr>
            <w:r>
              <w:rPr>
                <w:color w:val="auto"/>
                <w:szCs w:val="21"/>
              </w:rPr>
              <w:t>2021</w:t>
            </w:r>
          </w:p>
        </w:tc>
        <w:tc>
          <w:tcPr>
            <w:tcW w:w="84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2B30876">
            <w:pPr>
              <w:spacing w:line="240" w:lineRule="atLeast"/>
              <w:jc w:val="center"/>
              <w:rPr>
                <w:color w:val="auto"/>
                <w:szCs w:val="21"/>
              </w:rPr>
            </w:pPr>
            <w:r>
              <w:rPr>
                <w:color w:val="auto"/>
                <w:szCs w:val="21"/>
              </w:rPr>
              <w:t>2022</w:t>
            </w:r>
          </w:p>
        </w:tc>
        <w:tc>
          <w:tcPr>
            <w:tcW w:w="84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95870C7">
            <w:pPr>
              <w:spacing w:line="240" w:lineRule="atLeast"/>
              <w:jc w:val="center"/>
              <w:rPr>
                <w:color w:val="auto"/>
                <w:szCs w:val="21"/>
              </w:rPr>
            </w:pPr>
            <w:r>
              <w:rPr>
                <w:color w:val="auto"/>
                <w:szCs w:val="21"/>
              </w:rPr>
              <w:t>2023</w:t>
            </w:r>
          </w:p>
        </w:tc>
        <w:tc>
          <w:tcPr>
            <w:tcW w:w="84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0EB814D">
            <w:pPr>
              <w:spacing w:line="240" w:lineRule="atLeast"/>
              <w:jc w:val="center"/>
              <w:rPr>
                <w:color w:val="auto"/>
                <w:szCs w:val="21"/>
              </w:rPr>
            </w:pPr>
            <w:r>
              <w:rPr>
                <w:color w:val="auto"/>
                <w:szCs w:val="21"/>
              </w:rPr>
              <w:t>2024</w:t>
            </w:r>
          </w:p>
        </w:tc>
        <w:tc>
          <w:tcPr>
            <w:tcW w:w="84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5CC15E0">
            <w:pPr>
              <w:spacing w:line="240" w:lineRule="atLeast"/>
              <w:jc w:val="center"/>
              <w:rPr>
                <w:color w:val="auto"/>
                <w:szCs w:val="21"/>
              </w:rPr>
            </w:pPr>
            <w:r>
              <w:rPr>
                <w:color w:val="auto"/>
                <w:szCs w:val="21"/>
              </w:rPr>
              <w:t>2025</w:t>
            </w:r>
          </w:p>
        </w:tc>
      </w:tr>
      <w:tr w14:paraId="488FF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8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6A2084D">
            <w:pPr>
              <w:spacing w:line="240" w:lineRule="atLeast"/>
              <w:jc w:val="center"/>
              <w:rPr>
                <w:color w:val="auto"/>
                <w:szCs w:val="21"/>
              </w:rPr>
            </w:pPr>
            <w:r>
              <w:rPr>
                <w:color w:val="auto"/>
                <w:szCs w:val="21"/>
              </w:rPr>
              <w:t>降水量</w:t>
            </w:r>
          </w:p>
        </w:tc>
        <w:tc>
          <w:tcPr>
            <w:tcW w:w="84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12547B1">
            <w:pPr>
              <w:spacing w:line="240" w:lineRule="atLeast"/>
              <w:jc w:val="center"/>
              <w:rPr>
                <w:color w:val="auto"/>
                <w:szCs w:val="21"/>
              </w:rPr>
            </w:pPr>
            <w:r>
              <w:rPr>
                <w:color w:val="auto"/>
                <w:szCs w:val="21"/>
              </w:rPr>
              <w:t>558.4</w:t>
            </w:r>
          </w:p>
        </w:tc>
        <w:tc>
          <w:tcPr>
            <w:tcW w:w="85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E3C2358">
            <w:pPr>
              <w:spacing w:line="240" w:lineRule="atLeast"/>
              <w:jc w:val="center"/>
              <w:rPr>
                <w:color w:val="auto"/>
                <w:szCs w:val="21"/>
              </w:rPr>
            </w:pPr>
            <w:r>
              <w:rPr>
                <w:color w:val="auto"/>
                <w:szCs w:val="21"/>
              </w:rPr>
              <w:t>370.9</w:t>
            </w:r>
          </w:p>
        </w:tc>
        <w:tc>
          <w:tcPr>
            <w:tcW w:w="84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424E333">
            <w:pPr>
              <w:spacing w:line="240" w:lineRule="atLeast"/>
              <w:jc w:val="center"/>
              <w:rPr>
                <w:color w:val="auto"/>
                <w:szCs w:val="21"/>
              </w:rPr>
            </w:pPr>
            <w:r>
              <w:rPr>
                <w:color w:val="auto"/>
                <w:szCs w:val="21"/>
              </w:rPr>
              <w:t>382.4</w:t>
            </w:r>
          </w:p>
        </w:tc>
        <w:tc>
          <w:tcPr>
            <w:tcW w:w="84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62CFBA8">
            <w:pPr>
              <w:spacing w:line="240" w:lineRule="atLeast"/>
              <w:jc w:val="center"/>
              <w:rPr>
                <w:color w:val="auto"/>
                <w:szCs w:val="21"/>
              </w:rPr>
            </w:pPr>
            <w:r>
              <w:rPr>
                <w:color w:val="auto"/>
                <w:szCs w:val="21"/>
              </w:rPr>
              <w:t>338.5</w:t>
            </w:r>
          </w:p>
        </w:tc>
        <w:tc>
          <w:tcPr>
            <w:tcW w:w="84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6BF5DF5">
            <w:pPr>
              <w:spacing w:line="240" w:lineRule="atLeast"/>
              <w:jc w:val="center"/>
              <w:rPr>
                <w:color w:val="auto"/>
                <w:szCs w:val="21"/>
              </w:rPr>
            </w:pPr>
            <w:r>
              <w:rPr>
                <w:color w:val="auto"/>
                <w:szCs w:val="21"/>
              </w:rPr>
              <w:t>492.1</w:t>
            </w:r>
          </w:p>
        </w:tc>
        <w:tc>
          <w:tcPr>
            <w:tcW w:w="84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68458A4">
            <w:pPr>
              <w:spacing w:line="240" w:lineRule="atLeast"/>
              <w:jc w:val="center"/>
              <w:rPr>
                <w:color w:val="auto"/>
                <w:szCs w:val="21"/>
              </w:rPr>
            </w:pPr>
            <w:r>
              <w:rPr>
                <w:color w:val="auto"/>
                <w:szCs w:val="21"/>
              </w:rPr>
              <w:t>370.8</w:t>
            </w:r>
          </w:p>
        </w:tc>
        <w:tc>
          <w:tcPr>
            <w:tcW w:w="84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E498735">
            <w:pPr>
              <w:spacing w:line="240" w:lineRule="atLeast"/>
              <w:jc w:val="center"/>
              <w:rPr>
                <w:color w:val="auto"/>
                <w:szCs w:val="21"/>
              </w:rPr>
            </w:pPr>
            <w:r>
              <w:rPr>
                <w:color w:val="auto"/>
                <w:szCs w:val="21"/>
              </w:rPr>
              <w:t>342.2</w:t>
            </w:r>
          </w:p>
        </w:tc>
        <w:tc>
          <w:tcPr>
            <w:tcW w:w="84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5D4F137">
            <w:pPr>
              <w:spacing w:line="240" w:lineRule="atLeast"/>
              <w:jc w:val="center"/>
              <w:rPr>
                <w:color w:val="auto"/>
                <w:szCs w:val="21"/>
              </w:rPr>
            </w:pPr>
            <w:r>
              <w:rPr>
                <w:color w:val="auto"/>
                <w:szCs w:val="21"/>
              </w:rPr>
              <w:t>242.7</w:t>
            </w:r>
          </w:p>
        </w:tc>
        <w:tc>
          <w:tcPr>
            <w:tcW w:w="84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536B9A7">
            <w:pPr>
              <w:spacing w:line="240" w:lineRule="atLeast"/>
              <w:jc w:val="center"/>
              <w:rPr>
                <w:color w:val="auto"/>
                <w:szCs w:val="21"/>
              </w:rPr>
            </w:pPr>
            <w:r>
              <w:rPr>
                <w:color w:val="auto"/>
                <w:szCs w:val="21"/>
              </w:rPr>
              <w:t>719.8</w:t>
            </w:r>
          </w:p>
        </w:tc>
        <w:tc>
          <w:tcPr>
            <w:tcW w:w="84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F7CFA03">
            <w:pPr>
              <w:spacing w:line="240" w:lineRule="atLeast"/>
              <w:jc w:val="center"/>
              <w:rPr>
                <w:color w:val="auto"/>
                <w:szCs w:val="21"/>
              </w:rPr>
            </w:pPr>
            <w:r>
              <w:rPr>
                <w:color w:val="auto"/>
                <w:szCs w:val="21"/>
              </w:rPr>
              <w:t>459.3</w:t>
            </w:r>
          </w:p>
        </w:tc>
      </w:tr>
      <w:tr w14:paraId="742B3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9371" w:type="dxa"/>
            <w:gridSpan w:val="11"/>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6F79C12">
            <w:pPr>
              <w:widowControl/>
              <w:jc w:val="left"/>
              <w:rPr>
                <w:color w:val="auto"/>
                <w:szCs w:val="21"/>
              </w:rPr>
            </w:pPr>
            <w:r>
              <w:rPr>
                <w:color w:val="auto"/>
                <w:kern w:val="0"/>
                <w:szCs w:val="21"/>
              </w:rPr>
              <w:t>备注：2014年之后气象局不再监测蒸发量</w:t>
            </w:r>
          </w:p>
        </w:tc>
      </w:tr>
    </w:tbl>
    <w:p w14:paraId="39C56B69">
      <w:pPr>
        <w:tabs>
          <w:tab w:val="left" w:pos="720"/>
        </w:tabs>
        <w:autoSpaceDE w:val="0"/>
        <w:autoSpaceDN w:val="0"/>
        <w:adjustRightInd w:val="0"/>
        <w:jc w:val="center"/>
        <w:rPr>
          <w:color w:val="auto"/>
        </w:rPr>
      </w:pPr>
    </w:p>
    <w:p w14:paraId="65B66BB1">
      <w:pPr>
        <w:tabs>
          <w:tab w:val="left" w:pos="720"/>
        </w:tabs>
        <w:autoSpaceDE w:val="0"/>
        <w:autoSpaceDN w:val="0"/>
        <w:adjustRightInd w:val="0"/>
        <w:jc w:val="center"/>
        <w:rPr>
          <w:rFonts w:hint="eastAsia" w:eastAsia="宋体"/>
          <w:color w:val="auto"/>
          <w:lang w:eastAsia="zh-CN"/>
        </w:rPr>
      </w:pPr>
      <w:r>
        <w:rPr>
          <w:rFonts w:hint="eastAsia"/>
          <w:color w:val="auto"/>
          <w:lang w:eastAsia="zh-CN"/>
        </w:rPr>
        <w:t xml:space="preserve">    </w:t>
      </w:r>
    </w:p>
    <w:p w14:paraId="224E4942">
      <w:pPr>
        <w:pStyle w:val="14"/>
        <w:jc w:val="center"/>
        <w:rPr>
          <w:rFonts w:eastAsia="黑体"/>
          <w:bCs/>
          <w:color w:val="auto"/>
          <w:szCs w:val="28"/>
        </w:rPr>
      </w:pPr>
      <w:r>
        <w:rPr>
          <w:rFonts w:eastAsia="黑体"/>
          <w:bCs/>
          <w:color w:val="auto"/>
          <w:sz w:val="24"/>
          <w:szCs w:val="24"/>
        </w:rPr>
        <w:t>图2-1  近十年降</w:t>
      </w:r>
      <w:r>
        <w:rPr>
          <w:rFonts w:hint="eastAsia" w:eastAsia="黑体"/>
          <w:bCs/>
          <w:color w:val="auto"/>
          <w:sz w:val="24"/>
          <w:szCs w:val="24"/>
          <w:lang w:val="en-US" w:eastAsia="zh-CN"/>
        </w:rPr>
        <w:t>水</w:t>
      </w:r>
      <w:r>
        <w:rPr>
          <w:rFonts w:eastAsia="黑体"/>
          <w:bCs/>
          <w:color w:val="auto"/>
          <w:sz w:val="24"/>
          <w:szCs w:val="24"/>
        </w:rPr>
        <w:t>量统计柱状图</w:t>
      </w:r>
    </w:p>
    <w:p w14:paraId="305D284B">
      <w:pPr>
        <w:spacing w:line="360" w:lineRule="auto"/>
        <w:ind w:firstLine="562" w:firstLineChars="200"/>
        <w:outlineLvl w:val="2"/>
        <w:rPr>
          <w:b/>
          <w:bCs/>
          <w:color w:val="auto"/>
          <w:sz w:val="28"/>
          <w:szCs w:val="28"/>
        </w:rPr>
      </w:pPr>
      <w:r>
        <w:rPr>
          <w:b/>
          <w:bCs/>
          <w:color w:val="auto"/>
          <w:sz w:val="28"/>
          <w:szCs w:val="28"/>
        </w:rPr>
        <w:t>三、水文</w:t>
      </w:r>
    </w:p>
    <w:p w14:paraId="00DF8B62">
      <w:pPr>
        <w:snapToGrid w:val="0"/>
        <w:spacing w:line="360" w:lineRule="auto"/>
        <w:ind w:firstLine="560" w:firstLineChars="200"/>
        <w:rPr>
          <w:color w:val="auto"/>
          <w:sz w:val="28"/>
          <w:szCs w:val="28"/>
        </w:rPr>
      </w:pPr>
      <w:r>
        <w:rPr>
          <w:rFonts w:hint="eastAsia"/>
          <w:color w:val="auto"/>
          <w:sz w:val="28"/>
          <w:szCs w:val="28"/>
          <w:lang w:val="en-US" w:eastAsia="zh-CN"/>
        </w:rPr>
        <w:t>矿区</w:t>
      </w:r>
      <w:r>
        <w:rPr>
          <w:color w:val="auto"/>
          <w:sz w:val="28"/>
          <w:szCs w:val="28"/>
        </w:rPr>
        <w:t>属西辽河流域老哈河水系。</w:t>
      </w:r>
    </w:p>
    <w:p w14:paraId="1AF2E2AE">
      <w:pPr>
        <w:snapToGrid w:val="0"/>
        <w:spacing w:line="360" w:lineRule="auto"/>
        <w:ind w:firstLine="560" w:firstLineChars="200"/>
        <w:rPr>
          <w:color w:val="auto"/>
          <w:sz w:val="28"/>
          <w:szCs w:val="28"/>
        </w:rPr>
      </w:pPr>
      <w:r>
        <w:rPr>
          <w:rFonts w:hint="eastAsia"/>
          <w:color w:val="auto"/>
          <w:sz w:val="28"/>
          <w:szCs w:val="28"/>
          <w:lang w:val="en-US" w:eastAsia="zh-CN"/>
        </w:rPr>
        <w:t>矿区</w:t>
      </w:r>
      <w:r>
        <w:rPr>
          <w:color w:val="auto"/>
          <w:sz w:val="28"/>
          <w:szCs w:val="28"/>
        </w:rPr>
        <w:t>南部直线距离约</w:t>
      </w:r>
      <w:r>
        <w:rPr>
          <w:rFonts w:hint="eastAsia"/>
          <w:color w:val="auto"/>
          <w:sz w:val="28"/>
          <w:szCs w:val="28"/>
          <w:lang w:val="en-US" w:eastAsia="zh-CN"/>
        </w:rPr>
        <w:t>7.5</w:t>
      </w:r>
      <w:r>
        <w:rPr>
          <w:color w:val="auto"/>
          <w:sz w:val="28"/>
          <w:szCs w:val="28"/>
        </w:rPr>
        <w:t>km处为东西走向的阴河河段，阴河属英金河一级支流、老哈河二级支流，常水河。发源于河北省围场县三义号赛罕达坝，发源地地理坐标为东经117°28′、北纬42°27′，高程1815m。总流域面积5681.48km</w:t>
      </w:r>
      <w:r>
        <w:rPr>
          <w:color w:val="auto"/>
          <w:sz w:val="28"/>
          <w:szCs w:val="28"/>
          <w:vertAlign w:val="superscript"/>
        </w:rPr>
        <w:t>2</w:t>
      </w:r>
      <w:r>
        <w:rPr>
          <w:color w:val="auto"/>
          <w:sz w:val="28"/>
          <w:szCs w:val="28"/>
        </w:rPr>
        <w:t>，在赤峰市境内2884.11km</w:t>
      </w:r>
      <w:r>
        <w:rPr>
          <w:color w:val="auto"/>
          <w:sz w:val="28"/>
          <w:szCs w:val="28"/>
          <w:vertAlign w:val="superscript"/>
        </w:rPr>
        <w:t>2</w:t>
      </w:r>
      <w:r>
        <w:rPr>
          <w:color w:val="auto"/>
          <w:sz w:val="28"/>
          <w:szCs w:val="28"/>
        </w:rPr>
        <w:t>；全长154.0km，赤峰市境内河长96km。阴河在赤峰市境内段于赤峰市水文站北侧汇入英金河。总落差1253m，平均比降为8.0‰，多年平均天然径流量为1.847亿m</w:t>
      </w:r>
      <w:r>
        <w:rPr>
          <w:color w:val="auto"/>
          <w:sz w:val="28"/>
          <w:szCs w:val="28"/>
          <w:vertAlign w:val="superscript"/>
        </w:rPr>
        <w:t>3</w:t>
      </w:r>
      <w:r>
        <w:rPr>
          <w:color w:val="auto"/>
          <w:sz w:val="28"/>
          <w:szCs w:val="28"/>
        </w:rPr>
        <w:t>，多年平均含沙量为37.0kg/m</w:t>
      </w:r>
      <w:r>
        <w:rPr>
          <w:color w:val="auto"/>
          <w:sz w:val="28"/>
          <w:szCs w:val="28"/>
          <w:vertAlign w:val="superscript"/>
        </w:rPr>
        <w:t>3</w:t>
      </w:r>
      <w:r>
        <w:rPr>
          <w:color w:val="auto"/>
          <w:sz w:val="28"/>
          <w:szCs w:val="28"/>
        </w:rPr>
        <w:t>。</w:t>
      </w:r>
    </w:p>
    <w:p w14:paraId="72EEE9E7">
      <w:pPr>
        <w:snapToGrid w:val="0"/>
        <w:spacing w:line="360" w:lineRule="auto"/>
        <w:ind w:firstLine="560" w:firstLineChars="200"/>
        <w:rPr>
          <w:color w:val="auto"/>
          <w:sz w:val="28"/>
          <w:szCs w:val="28"/>
        </w:rPr>
      </w:pPr>
      <w:r>
        <w:rPr>
          <w:color w:val="auto"/>
          <w:sz w:val="28"/>
          <w:szCs w:val="28"/>
        </w:rPr>
        <w:t>南约</w:t>
      </w:r>
      <w:r>
        <w:rPr>
          <w:rFonts w:hint="eastAsia"/>
          <w:color w:val="auto"/>
          <w:sz w:val="28"/>
          <w:szCs w:val="28"/>
          <w:lang w:val="en-US" w:eastAsia="zh-CN"/>
        </w:rPr>
        <w:t>7.5</w:t>
      </w:r>
      <w:r>
        <w:rPr>
          <w:color w:val="auto"/>
          <w:sz w:val="28"/>
          <w:szCs w:val="28"/>
        </w:rPr>
        <w:t>km为三座店水库，水库位于阴河下游，设计库容30520×10</w:t>
      </w:r>
      <w:r>
        <w:rPr>
          <w:color w:val="auto"/>
          <w:sz w:val="28"/>
          <w:szCs w:val="28"/>
          <w:vertAlign w:val="superscript"/>
        </w:rPr>
        <w:t>4</w:t>
      </w:r>
      <w:r>
        <w:rPr>
          <w:color w:val="auto"/>
          <w:sz w:val="28"/>
          <w:szCs w:val="28"/>
        </w:rPr>
        <w:t>m</w:t>
      </w:r>
      <w:r>
        <w:rPr>
          <w:color w:val="auto"/>
          <w:sz w:val="28"/>
          <w:szCs w:val="28"/>
          <w:vertAlign w:val="superscript"/>
        </w:rPr>
        <w:t>3</w:t>
      </w:r>
      <w:r>
        <w:rPr>
          <w:color w:val="auto"/>
          <w:sz w:val="28"/>
          <w:szCs w:val="28"/>
        </w:rPr>
        <w:t>。</w:t>
      </w:r>
    </w:p>
    <w:p w14:paraId="52902D34">
      <w:pPr>
        <w:snapToGrid w:val="0"/>
        <w:spacing w:line="360" w:lineRule="auto"/>
        <w:ind w:firstLine="560" w:firstLineChars="200"/>
        <w:rPr>
          <w:color w:val="auto"/>
          <w:sz w:val="28"/>
          <w:szCs w:val="28"/>
        </w:rPr>
      </w:pPr>
      <w:r>
        <w:rPr>
          <w:color w:val="auto"/>
          <w:sz w:val="28"/>
          <w:szCs w:val="28"/>
        </w:rPr>
        <w:t>矿区内水系不发育，无常年性地表径流和水体，多冲沟，干旱季节无水。雨季形成的地表水一部分通过矿区沟谷排泄至区域主沟，一部分通过基岩风化裂隙入渗补给地下水；第四系覆盖区，降水通过孔隙入渗补给地下水。地下水总的径流流向和地形基本一致，具有径流途径短、水交替积极的特点。地下水的排泄方式以地下径流排泄为主。</w:t>
      </w:r>
    </w:p>
    <w:p w14:paraId="39FBCD0D">
      <w:pPr>
        <w:snapToGrid w:val="0"/>
        <w:spacing w:line="360" w:lineRule="auto"/>
        <w:jc w:val="center"/>
        <w:rPr>
          <w:rFonts w:hint="eastAsia" w:ascii="黑体" w:hAnsi="黑体" w:eastAsia="黑体" w:cs="宋体"/>
          <w:color w:val="auto"/>
          <w:sz w:val="24"/>
          <w:szCs w:val="24"/>
          <w:lang w:eastAsia="zh-CN"/>
        </w:rPr>
      </w:pPr>
      <w:r>
        <w:rPr>
          <w:rFonts w:hint="eastAsia" w:ascii="黑体" w:hAnsi="黑体" w:eastAsia="黑体" w:cs="宋体"/>
          <w:color w:val="auto"/>
          <w:sz w:val="24"/>
          <w:szCs w:val="24"/>
          <w:lang w:eastAsia="zh-CN"/>
        </w:rPr>
        <w:t xml:space="preserve">    </w:t>
      </w:r>
    </w:p>
    <w:p w14:paraId="5A587600">
      <w:pPr>
        <w:snapToGrid w:val="0"/>
        <w:spacing w:line="360" w:lineRule="auto"/>
        <w:jc w:val="center"/>
        <w:rPr>
          <w:rFonts w:hint="eastAsia" w:ascii="宋体" w:hAnsi="宋体" w:cs="宋体"/>
          <w:color w:val="auto"/>
          <w:sz w:val="28"/>
          <w:szCs w:val="28"/>
        </w:rPr>
      </w:pPr>
      <w:r>
        <w:rPr>
          <w:rFonts w:hint="eastAsia" w:ascii="黑体" w:hAnsi="黑体" w:eastAsia="黑体" w:cs="宋体"/>
          <w:color w:val="auto"/>
          <w:sz w:val="24"/>
          <w:szCs w:val="24"/>
        </w:rPr>
        <w:t>图2-2  区域地表水系图</w:t>
      </w:r>
    </w:p>
    <w:p w14:paraId="0EB3BEBD">
      <w:pPr>
        <w:spacing w:line="360" w:lineRule="auto"/>
        <w:ind w:firstLine="562" w:firstLineChars="200"/>
        <w:outlineLvl w:val="2"/>
        <w:rPr>
          <w:rFonts w:hint="eastAsia" w:ascii="宋体" w:hAnsi="宋体" w:cs="宋体"/>
          <w:b/>
          <w:bCs/>
          <w:color w:val="auto"/>
          <w:sz w:val="28"/>
          <w:szCs w:val="28"/>
        </w:rPr>
      </w:pPr>
      <w:bookmarkStart w:id="30" w:name="_Toc195060759"/>
      <w:bookmarkStart w:id="31" w:name="_Toc201382306"/>
      <w:r>
        <w:rPr>
          <w:rFonts w:hint="eastAsia" w:ascii="宋体" w:hAnsi="宋体" w:cs="宋体"/>
          <w:b/>
          <w:bCs/>
          <w:color w:val="auto"/>
          <w:sz w:val="28"/>
          <w:szCs w:val="28"/>
        </w:rPr>
        <w:t>四、植被</w:t>
      </w:r>
    </w:p>
    <w:p w14:paraId="20A90745">
      <w:pPr>
        <w:adjustRightInd w:val="0"/>
        <w:snapToGrid w:val="0"/>
        <w:spacing w:line="360" w:lineRule="auto"/>
        <w:ind w:firstLine="544" w:firstLineChars="200"/>
        <w:rPr>
          <w:color w:val="auto"/>
          <w:sz w:val="28"/>
          <w:szCs w:val="28"/>
        </w:rPr>
      </w:pPr>
      <w:r>
        <w:rPr>
          <w:color w:val="auto"/>
          <w:spacing w:val="-4"/>
          <w:sz w:val="28"/>
          <w:szCs w:val="28"/>
        </w:rPr>
        <w:t>矿区内山体为低矮植被所覆盖，矿区植被类型属中温干旱气候森林草原植被类型。主要有</w:t>
      </w:r>
      <w:r>
        <w:rPr>
          <w:rFonts w:hint="eastAsia"/>
          <w:color w:val="auto"/>
          <w:sz w:val="28"/>
          <w:szCs w:val="28"/>
        </w:rPr>
        <w:t>山杨</w:t>
      </w:r>
      <w:r>
        <w:rPr>
          <w:rFonts w:hint="eastAsia"/>
          <w:color w:val="auto"/>
          <w:sz w:val="28"/>
          <w:szCs w:val="28"/>
          <w:lang w:eastAsia="zh-CN"/>
        </w:rPr>
        <w:t>、</w:t>
      </w:r>
      <w:r>
        <w:rPr>
          <w:rFonts w:hint="eastAsia"/>
          <w:color w:val="auto"/>
          <w:sz w:val="28"/>
          <w:szCs w:val="28"/>
        </w:rPr>
        <w:t>黄柳</w:t>
      </w:r>
      <w:r>
        <w:rPr>
          <w:rFonts w:hint="eastAsia"/>
          <w:color w:val="auto"/>
          <w:sz w:val="28"/>
          <w:szCs w:val="28"/>
          <w:lang w:eastAsia="zh-CN"/>
        </w:rPr>
        <w:t>、</w:t>
      </w:r>
      <w:r>
        <w:rPr>
          <w:rFonts w:hint="eastAsia"/>
          <w:color w:val="auto"/>
          <w:sz w:val="28"/>
          <w:szCs w:val="28"/>
        </w:rPr>
        <w:t>山杏</w:t>
      </w:r>
      <w:r>
        <w:rPr>
          <w:rFonts w:hint="eastAsia"/>
          <w:color w:val="auto"/>
          <w:sz w:val="28"/>
          <w:szCs w:val="28"/>
          <w:lang w:eastAsia="zh-CN"/>
        </w:rPr>
        <w:t>、</w:t>
      </w:r>
      <w:r>
        <w:rPr>
          <w:rFonts w:hint="eastAsia"/>
          <w:color w:val="auto"/>
          <w:sz w:val="28"/>
          <w:szCs w:val="28"/>
        </w:rPr>
        <w:t>胡枝子</w:t>
      </w:r>
      <w:r>
        <w:rPr>
          <w:rFonts w:hint="eastAsia"/>
          <w:color w:val="auto"/>
          <w:sz w:val="28"/>
          <w:szCs w:val="28"/>
          <w:lang w:eastAsia="zh-CN"/>
        </w:rPr>
        <w:t>、</w:t>
      </w:r>
      <w:r>
        <w:rPr>
          <w:rFonts w:hint="eastAsia"/>
          <w:color w:val="auto"/>
          <w:sz w:val="28"/>
          <w:szCs w:val="28"/>
        </w:rPr>
        <w:t>大针茅</w:t>
      </w:r>
      <w:r>
        <w:rPr>
          <w:rFonts w:hint="eastAsia"/>
          <w:color w:val="auto"/>
          <w:sz w:val="28"/>
          <w:szCs w:val="28"/>
          <w:lang w:eastAsia="zh-CN"/>
        </w:rPr>
        <w:t>、</w:t>
      </w:r>
      <w:r>
        <w:rPr>
          <w:rFonts w:hint="eastAsia"/>
          <w:color w:val="auto"/>
          <w:sz w:val="28"/>
          <w:szCs w:val="28"/>
        </w:rPr>
        <w:t>糙隐子草</w:t>
      </w:r>
      <w:r>
        <w:rPr>
          <w:rFonts w:hint="eastAsia"/>
          <w:color w:val="auto"/>
          <w:sz w:val="28"/>
          <w:szCs w:val="28"/>
          <w:lang w:eastAsia="zh-CN"/>
        </w:rPr>
        <w:t>、</w:t>
      </w:r>
      <w:r>
        <w:rPr>
          <w:rFonts w:hint="eastAsia"/>
          <w:color w:val="auto"/>
          <w:sz w:val="28"/>
          <w:szCs w:val="28"/>
        </w:rPr>
        <w:t>虎尾草</w:t>
      </w:r>
      <w:r>
        <w:rPr>
          <w:rFonts w:hint="eastAsia"/>
          <w:color w:val="auto"/>
          <w:sz w:val="28"/>
          <w:szCs w:val="28"/>
          <w:lang w:eastAsia="zh-CN"/>
        </w:rPr>
        <w:t>、</w:t>
      </w:r>
      <w:r>
        <w:rPr>
          <w:rFonts w:hint="eastAsia"/>
          <w:color w:val="auto"/>
          <w:sz w:val="28"/>
          <w:szCs w:val="28"/>
        </w:rPr>
        <w:t>赖草</w:t>
      </w:r>
      <w:r>
        <w:rPr>
          <w:rFonts w:hint="eastAsia"/>
          <w:color w:val="auto"/>
          <w:sz w:val="28"/>
          <w:szCs w:val="28"/>
          <w:lang w:eastAsia="zh-CN"/>
        </w:rPr>
        <w:t>、</w:t>
      </w:r>
      <w:r>
        <w:rPr>
          <w:rFonts w:hint="eastAsia"/>
          <w:color w:val="auto"/>
          <w:sz w:val="28"/>
          <w:szCs w:val="28"/>
        </w:rPr>
        <w:t>狗尾草</w:t>
      </w:r>
      <w:r>
        <w:rPr>
          <w:rFonts w:hint="eastAsia"/>
          <w:color w:val="auto"/>
          <w:sz w:val="28"/>
          <w:szCs w:val="28"/>
          <w:lang w:eastAsia="zh-CN"/>
        </w:rPr>
        <w:t>、</w:t>
      </w:r>
      <w:r>
        <w:rPr>
          <w:rFonts w:hint="eastAsia"/>
          <w:color w:val="auto"/>
          <w:sz w:val="28"/>
          <w:szCs w:val="28"/>
        </w:rPr>
        <w:t>虎尾草</w:t>
      </w:r>
      <w:r>
        <w:rPr>
          <w:rFonts w:hint="eastAsia"/>
          <w:color w:val="auto"/>
          <w:sz w:val="28"/>
          <w:szCs w:val="28"/>
          <w:lang w:eastAsia="zh-CN"/>
        </w:rPr>
        <w:t>、</w:t>
      </w:r>
      <w:r>
        <w:rPr>
          <w:rFonts w:hint="eastAsia"/>
          <w:color w:val="auto"/>
          <w:sz w:val="28"/>
          <w:szCs w:val="28"/>
        </w:rPr>
        <w:t>冠芒草</w:t>
      </w:r>
      <w:r>
        <w:rPr>
          <w:rFonts w:hint="eastAsia"/>
          <w:color w:val="auto"/>
          <w:sz w:val="28"/>
          <w:szCs w:val="28"/>
          <w:lang w:eastAsia="zh-CN"/>
        </w:rPr>
        <w:t>、</w:t>
      </w:r>
      <w:r>
        <w:rPr>
          <w:rFonts w:hint="eastAsia"/>
          <w:color w:val="auto"/>
          <w:sz w:val="28"/>
          <w:szCs w:val="28"/>
        </w:rPr>
        <w:t>麻黄</w:t>
      </w:r>
      <w:r>
        <w:rPr>
          <w:rFonts w:hint="eastAsia"/>
          <w:color w:val="auto"/>
          <w:sz w:val="28"/>
          <w:szCs w:val="28"/>
          <w:lang w:eastAsia="zh-CN"/>
        </w:rPr>
        <w:t>、</w:t>
      </w:r>
      <w:r>
        <w:rPr>
          <w:rFonts w:hint="eastAsia"/>
          <w:color w:val="auto"/>
          <w:sz w:val="28"/>
          <w:szCs w:val="28"/>
        </w:rPr>
        <w:t>猪毛菜</w:t>
      </w:r>
      <w:r>
        <w:rPr>
          <w:rFonts w:hint="eastAsia"/>
          <w:color w:val="auto"/>
          <w:sz w:val="28"/>
          <w:szCs w:val="28"/>
          <w:lang w:eastAsia="zh-CN"/>
        </w:rPr>
        <w:t>、</w:t>
      </w:r>
      <w:r>
        <w:rPr>
          <w:rFonts w:hint="eastAsia"/>
          <w:color w:val="auto"/>
          <w:sz w:val="28"/>
          <w:szCs w:val="28"/>
        </w:rPr>
        <w:t>叉分蓼</w:t>
      </w:r>
      <w:r>
        <w:rPr>
          <w:color w:val="auto"/>
          <w:spacing w:val="-4"/>
          <w:sz w:val="28"/>
          <w:szCs w:val="28"/>
        </w:rPr>
        <w:t>等，草本高度5-40cm，灌丛高40-50cm，矿区植被发育较好，</w:t>
      </w:r>
      <w:r>
        <w:rPr>
          <w:color w:val="auto"/>
          <w:sz w:val="28"/>
          <w:szCs w:val="28"/>
        </w:rPr>
        <w:t>根据</w:t>
      </w:r>
      <w:r>
        <w:rPr>
          <w:color w:val="auto"/>
          <w:sz w:val="28"/>
          <w:szCs w:val="28"/>
          <w:lang w:bidi="en-US"/>
        </w:rPr>
        <w:t>遥感影像提取归一化植被覆盖度统计（见表2-16、图2-9），</w:t>
      </w:r>
      <w:r>
        <w:rPr>
          <w:rFonts w:hint="eastAsia"/>
          <w:color w:val="auto"/>
          <w:sz w:val="28"/>
          <w:szCs w:val="28"/>
          <w:lang w:bidi="en-US"/>
        </w:rPr>
        <w:t>矿区现状已破坏场地整体植被覆盖度为</w:t>
      </w:r>
      <w:r>
        <w:rPr>
          <w:rFonts w:hint="eastAsia"/>
          <w:color w:val="auto"/>
          <w:sz w:val="28"/>
          <w:szCs w:val="28"/>
          <w:lang w:val="en-US" w:eastAsia="zh-CN" w:bidi="en-US"/>
        </w:rPr>
        <w:t>0</w:t>
      </w:r>
      <w:r>
        <w:rPr>
          <w:rFonts w:hint="eastAsia"/>
          <w:color w:val="auto"/>
          <w:sz w:val="28"/>
          <w:szCs w:val="28"/>
          <w:lang w:bidi="en-US"/>
        </w:rPr>
        <w:t>-</w:t>
      </w:r>
      <w:r>
        <w:rPr>
          <w:rFonts w:hint="eastAsia"/>
          <w:color w:val="auto"/>
          <w:sz w:val="28"/>
          <w:szCs w:val="28"/>
          <w:lang w:val="en-US" w:eastAsia="zh-CN" w:bidi="en-US"/>
        </w:rPr>
        <w:t>10</w:t>
      </w:r>
      <w:r>
        <w:rPr>
          <w:rFonts w:hint="eastAsia"/>
          <w:color w:val="auto"/>
          <w:sz w:val="28"/>
          <w:szCs w:val="28"/>
          <w:lang w:bidi="en-US"/>
        </w:rPr>
        <w:t>%，整体植被覆盖度30-40%，其他未破坏场地整体植被覆盖度为40-50%。</w:t>
      </w:r>
      <w:r>
        <w:rPr>
          <w:color w:val="auto"/>
          <w:spacing w:val="-4"/>
          <w:sz w:val="28"/>
          <w:szCs w:val="28"/>
        </w:rPr>
        <w:t>（照片2-</w:t>
      </w:r>
      <w:r>
        <w:rPr>
          <w:rFonts w:hint="eastAsia"/>
          <w:color w:val="auto"/>
          <w:spacing w:val="-4"/>
          <w:sz w:val="28"/>
          <w:szCs w:val="28"/>
          <w:lang w:val="en-US" w:eastAsia="zh-CN"/>
        </w:rPr>
        <w:t>3</w:t>
      </w:r>
      <w:r>
        <w:rPr>
          <w:color w:val="auto"/>
          <w:spacing w:val="-4"/>
          <w:sz w:val="28"/>
          <w:szCs w:val="28"/>
        </w:rPr>
        <w:t>、2-</w:t>
      </w:r>
      <w:r>
        <w:rPr>
          <w:rFonts w:hint="eastAsia"/>
          <w:color w:val="auto"/>
          <w:spacing w:val="-4"/>
          <w:sz w:val="28"/>
          <w:szCs w:val="28"/>
          <w:lang w:val="en-US" w:eastAsia="zh-CN"/>
        </w:rPr>
        <w:t>4</w:t>
      </w:r>
      <w:r>
        <w:rPr>
          <w:color w:val="auto"/>
          <w:spacing w:val="-4"/>
          <w:sz w:val="28"/>
          <w:szCs w:val="28"/>
        </w:rPr>
        <w:t>）。</w:t>
      </w:r>
    </w:p>
    <w:bookmarkEnd w:id="26"/>
    <w:bookmarkEnd w:id="27"/>
    <w:bookmarkEnd w:id="28"/>
    <w:bookmarkEnd w:id="29"/>
    <w:bookmarkEnd w:id="30"/>
    <w:bookmarkEnd w:id="31"/>
    <w:p w14:paraId="0F8894CC">
      <w:pPr>
        <w:pStyle w:val="71"/>
        <w:rPr>
          <w:rFonts w:hint="eastAsia" w:ascii="Times New Roman" w:hAnsi="Times New Roman" w:eastAsia="宋体" w:cs="Times New Roman"/>
          <w:color w:val="auto"/>
          <w:sz w:val="28"/>
          <w:szCs w:val="28"/>
          <w:lang w:eastAsia="zh-CN"/>
        </w:rPr>
      </w:pPr>
      <w:r>
        <w:rPr>
          <w:rFonts w:hint="eastAsia" w:ascii="Times New Roman" w:hAnsi="Times New Roman" w:cs="Times New Roman"/>
          <w:color w:val="auto"/>
          <w:sz w:val="28"/>
          <w:szCs w:val="28"/>
          <w:lang w:eastAsia="zh-CN"/>
        </w:rPr>
        <w:t xml:space="preserve">    </w:t>
      </w:r>
    </w:p>
    <w:p w14:paraId="05C10877">
      <w:pPr>
        <w:ind w:firstLine="480" w:firstLineChars="200"/>
        <w:jc w:val="center"/>
        <w:rPr>
          <w:rFonts w:hint="eastAsia" w:ascii="黑体" w:hAnsi="黑体" w:eastAsia="黑体" w:cs="宋体"/>
          <w:color w:val="auto"/>
          <w:sz w:val="24"/>
          <w:szCs w:val="24"/>
        </w:rPr>
      </w:pPr>
      <w:r>
        <w:rPr>
          <w:rFonts w:ascii="黑体" w:hAnsi="黑体" w:eastAsia="黑体" w:cs="宋体"/>
          <w:color w:val="auto"/>
          <w:sz w:val="24"/>
          <w:szCs w:val="24"/>
        </w:rPr>
        <w:t>照片2-</w:t>
      </w:r>
      <w:r>
        <w:rPr>
          <w:rFonts w:hint="eastAsia" w:ascii="黑体" w:hAnsi="黑体" w:eastAsia="黑体" w:cs="宋体"/>
          <w:color w:val="auto"/>
          <w:sz w:val="24"/>
          <w:szCs w:val="24"/>
          <w:lang w:val="en-US" w:eastAsia="zh-CN"/>
        </w:rPr>
        <w:t>3</w:t>
      </w:r>
      <w:r>
        <w:rPr>
          <w:rFonts w:ascii="黑体" w:hAnsi="黑体" w:eastAsia="黑体" w:cs="宋体"/>
          <w:color w:val="auto"/>
          <w:sz w:val="24"/>
          <w:szCs w:val="24"/>
        </w:rPr>
        <w:t xml:space="preserve">  矿区植被（</w:t>
      </w:r>
      <w:r>
        <w:rPr>
          <w:rFonts w:hint="eastAsia" w:ascii="黑体" w:hAnsi="黑体" w:eastAsia="黑体" w:cs="宋体"/>
          <w:color w:val="auto"/>
          <w:sz w:val="24"/>
          <w:szCs w:val="24"/>
        </w:rPr>
        <w:t>灌木</w:t>
      </w:r>
      <w:r>
        <w:rPr>
          <w:rFonts w:ascii="黑体" w:hAnsi="黑体" w:eastAsia="黑体" w:cs="宋体"/>
          <w:color w:val="auto"/>
          <w:sz w:val="24"/>
          <w:szCs w:val="24"/>
        </w:rPr>
        <w:t>）</w:t>
      </w:r>
    </w:p>
    <w:p w14:paraId="596E731A">
      <w:pPr>
        <w:pStyle w:val="71"/>
        <w:rPr>
          <w:rFonts w:hint="eastAsia" w:ascii="Times New Roman" w:hAnsi="Times New Roman" w:eastAsia="宋体" w:cs="Times New Roman"/>
          <w:color w:val="auto"/>
          <w:sz w:val="28"/>
          <w:szCs w:val="28"/>
          <w:lang w:eastAsia="zh-CN"/>
        </w:rPr>
      </w:pPr>
      <w:r>
        <w:rPr>
          <w:rFonts w:hint="eastAsia" w:ascii="Times New Roman" w:hAnsi="Times New Roman" w:cs="Times New Roman"/>
          <w:color w:val="auto"/>
          <w:sz w:val="28"/>
          <w:szCs w:val="28"/>
          <w:lang w:eastAsia="zh-CN"/>
        </w:rPr>
        <w:t xml:space="preserve">    </w:t>
      </w:r>
    </w:p>
    <w:p w14:paraId="7D429D49">
      <w:pPr>
        <w:ind w:firstLine="480" w:firstLineChars="200"/>
        <w:jc w:val="center"/>
        <w:rPr>
          <w:rFonts w:hint="eastAsia" w:ascii="黑体" w:hAnsi="黑体" w:eastAsia="黑体" w:cs="宋体"/>
          <w:color w:val="auto"/>
          <w:sz w:val="24"/>
          <w:szCs w:val="24"/>
        </w:rPr>
      </w:pPr>
      <w:r>
        <w:rPr>
          <w:rFonts w:ascii="黑体" w:hAnsi="黑体" w:eastAsia="黑体" w:cs="宋体"/>
          <w:color w:val="auto"/>
          <w:sz w:val="24"/>
          <w:szCs w:val="24"/>
        </w:rPr>
        <w:t>照片2-</w:t>
      </w:r>
      <w:r>
        <w:rPr>
          <w:rFonts w:hint="eastAsia" w:ascii="黑体" w:hAnsi="黑体" w:eastAsia="黑体" w:cs="宋体"/>
          <w:color w:val="auto"/>
          <w:sz w:val="24"/>
          <w:szCs w:val="24"/>
          <w:lang w:val="en-US" w:eastAsia="zh-CN"/>
        </w:rPr>
        <w:t>4</w:t>
      </w:r>
      <w:r>
        <w:rPr>
          <w:rFonts w:ascii="黑体" w:hAnsi="黑体" w:eastAsia="黑体" w:cs="宋体"/>
          <w:color w:val="auto"/>
          <w:sz w:val="24"/>
          <w:szCs w:val="24"/>
        </w:rPr>
        <w:t xml:space="preserve">  矿区植被（</w:t>
      </w:r>
      <w:r>
        <w:rPr>
          <w:rFonts w:hint="eastAsia" w:ascii="黑体" w:hAnsi="黑体" w:eastAsia="黑体" w:cs="宋体"/>
          <w:color w:val="auto"/>
          <w:sz w:val="24"/>
          <w:szCs w:val="24"/>
        </w:rPr>
        <w:t>乔木</w:t>
      </w:r>
      <w:r>
        <w:rPr>
          <w:rFonts w:hint="eastAsia" w:ascii="黑体" w:hAnsi="黑体" w:eastAsia="黑体" w:cs="宋体"/>
          <w:color w:val="auto"/>
          <w:sz w:val="24"/>
          <w:szCs w:val="24"/>
          <w:lang w:eastAsia="zh-CN"/>
        </w:rPr>
        <w:t>、</w:t>
      </w:r>
      <w:r>
        <w:rPr>
          <w:rFonts w:hint="eastAsia" w:ascii="黑体" w:hAnsi="黑体" w:eastAsia="黑体" w:cs="宋体"/>
          <w:color w:val="auto"/>
          <w:sz w:val="24"/>
          <w:szCs w:val="24"/>
          <w:lang w:val="en-US" w:eastAsia="zh-CN"/>
        </w:rPr>
        <w:t>草地</w:t>
      </w:r>
      <w:r>
        <w:rPr>
          <w:rFonts w:ascii="黑体" w:hAnsi="黑体" w:eastAsia="黑体" w:cs="宋体"/>
          <w:color w:val="auto"/>
          <w:sz w:val="24"/>
          <w:szCs w:val="24"/>
        </w:rPr>
        <w:t>）</w:t>
      </w:r>
    </w:p>
    <w:p w14:paraId="7F98E87C">
      <w:pPr>
        <w:pStyle w:val="71"/>
        <w:rPr>
          <w:rFonts w:ascii="Times New Roman" w:hAnsi="Times New Roman" w:cs="Times New Roman"/>
          <w:color w:val="auto"/>
        </w:rPr>
      </w:pPr>
    </w:p>
    <w:p w14:paraId="5014F138">
      <w:pPr>
        <w:spacing w:line="360" w:lineRule="auto"/>
        <w:ind w:firstLine="562" w:firstLineChars="200"/>
        <w:outlineLvl w:val="2"/>
        <w:rPr>
          <w:rFonts w:hint="eastAsia" w:ascii="宋体" w:hAnsi="宋体" w:cs="宋体"/>
          <w:b/>
          <w:bCs/>
          <w:color w:val="auto"/>
          <w:sz w:val="28"/>
          <w:szCs w:val="28"/>
        </w:rPr>
      </w:pPr>
      <w:r>
        <w:rPr>
          <w:rFonts w:hint="eastAsia" w:ascii="宋体" w:hAnsi="宋体" w:cs="宋体"/>
          <w:b/>
          <w:bCs/>
          <w:color w:val="auto"/>
          <w:sz w:val="28"/>
          <w:szCs w:val="28"/>
        </w:rPr>
        <w:t>五、土壤</w:t>
      </w:r>
    </w:p>
    <w:p w14:paraId="6539B49C">
      <w:pPr>
        <w:spacing w:line="360" w:lineRule="auto"/>
        <w:ind w:firstLine="560" w:firstLineChars="200"/>
        <w:rPr>
          <w:rFonts w:hint="eastAsia"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矿区土壤主要为棕壤土，土层厚0.1-</w:t>
      </w:r>
      <w:r>
        <w:rPr>
          <w:rFonts w:hint="eastAsia" w:ascii="Times New Roman" w:hAnsi="Times New Roman" w:eastAsia="宋体" w:cs="Times New Roman"/>
          <w:color w:val="auto"/>
          <w:sz w:val="28"/>
          <w:szCs w:val="28"/>
          <w:lang w:val="en-US" w:eastAsia="zh-CN"/>
        </w:rPr>
        <w:t>1.0</w:t>
      </w:r>
      <w:r>
        <w:rPr>
          <w:rFonts w:hint="eastAsia" w:ascii="Times New Roman" w:hAnsi="Times New Roman" w:eastAsia="宋体" w:cs="Times New Roman"/>
          <w:color w:val="auto"/>
          <w:sz w:val="28"/>
          <w:szCs w:val="28"/>
        </w:rPr>
        <w:t>m，土壤质地为轻壤，土质较为疏松，多孔，粘粒成分含量较低，土壤的抗蚀性和抗冲性较弱。有机质含量2.0%—3.0%，</w:t>
      </w:r>
      <w:r>
        <w:rPr>
          <w:rFonts w:hint="eastAsia" w:cs="Times New Roman"/>
          <w:color w:val="auto"/>
          <w:sz w:val="28"/>
          <w:szCs w:val="28"/>
          <w:lang w:eastAsia="zh-CN"/>
        </w:rPr>
        <w:t>pH值</w:t>
      </w:r>
      <w:r>
        <w:rPr>
          <w:rFonts w:hint="eastAsia" w:ascii="Times New Roman" w:hAnsi="Times New Roman" w:eastAsia="宋体" w:cs="Times New Roman"/>
          <w:color w:val="auto"/>
          <w:sz w:val="28"/>
          <w:szCs w:val="28"/>
        </w:rPr>
        <w:t>为7～8.5之间。土壤容重约1.25g/cm</w:t>
      </w:r>
      <w:r>
        <w:rPr>
          <w:rFonts w:hint="eastAsia" w:ascii="Times New Roman" w:hAnsi="Times New Roman" w:eastAsia="宋体" w:cs="Times New Roman"/>
          <w:color w:val="auto"/>
          <w:sz w:val="28"/>
          <w:szCs w:val="28"/>
          <w:vertAlign w:val="superscript"/>
        </w:rPr>
        <w:t>3</w:t>
      </w:r>
      <w:r>
        <w:rPr>
          <w:rFonts w:hint="eastAsia" w:ascii="Times New Roman" w:hAnsi="Times New Roman" w:eastAsia="宋体" w:cs="Times New Roman"/>
          <w:color w:val="auto"/>
          <w:sz w:val="28"/>
          <w:szCs w:val="28"/>
        </w:rPr>
        <w:t>。</w:t>
      </w:r>
      <w:r>
        <w:rPr>
          <w:rFonts w:hint="eastAsia" w:ascii="Times New Roman" w:hAnsi="Times New Roman" w:eastAsia="宋体" w:cs="Times New Roman"/>
          <w:color w:val="auto"/>
          <w:sz w:val="28"/>
          <w:szCs w:val="28"/>
          <w:lang w:val="en-US" w:eastAsia="zh-CN"/>
        </w:rPr>
        <w:t>见</w:t>
      </w:r>
      <w:r>
        <w:rPr>
          <w:rFonts w:hint="eastAsia" w:ascii="Times New Roman" w:hAnsi="Times New Roman" w:eastAsia="宋体" w:cs="Times New Roman"/>
          <w:color w:val="auto"/>
          <w:sz w:val="28"/>
          <w:szCs w:val="28"/>
        </w:rPr>
        <w:t>照片</w:t>
      </w:r>
      <w:r>
        <w:rPr>
          <w:rFonts w:hint="eastAsia" w:ascii="Times New Roman" w:hAnsi="Times New Roman" w:eastAsia="宋体" w:cs="Times New Roman"/>
          <w:color w:val="auto"/>
          <w:sz w:val="28"/>
          <w:szCs w:val="28"/>
          <w:lang w:val="en-US" w:eastAsia="zh-CN"/>
        </w:rPr>
        <w:t>2-</w:t>
      </w:r>
      <w:r>
        <w:rPr>
          <w:rFonts w:hint="eastAsia" w:cs="Times New Roman"/>
          <w:color w:val="auto"/>
          <w:sz w:val="28"/>
          <w:szCs w:val="28"/>
          <w:lang w:val="en-US" w:eastAsia="zh-CN"/>
        </w:rPr>
        <w:t>5</w:t>
      </w:r>
      <w:r>
        <w:rPr>
          <w:rFonts w:hint="eastAsia" w:ascii="Times New Roman" w:hAnsi="Times New Roman" w:eastAsia="宋体" w:cs="Times New Roman"/>
          <w:color w:val="auto"/>
          <w:sz w:val="28"/>
          <w:szCs w:val="28"/>
        </w:rPr>
        <w:t>。</w:t>
      </w:r>
    </w:p>
    <w:p w14:paraId="77403B0A">
      <w:pPr>
        <w:jc w:val="center"/>
        <w:rPr>
          <w:rFonts w:hint="eastAsia" w:ascii="黑体" w:hAnsi="黑体" w:eastAsia="黑体" w:cs="宋体"/>
          <w:color w:val="auto"/>
          <w:sz w:val="24"/>
          <w:szCs w:val="24"/>
          <w:lang w:eastAsia="zh-CN"/>
        </w:rPr>
      </w:pPr>
      <w:r>
        <w:rPr>
          <w:rFonts w:hint="eastAsia" w:ascii="黑体" w:hAnsi="黑体" w:eastAsia="黑体" w:cs="宋体"/>
          <w:color w:val="auto"/>
          <w:sz w:val="24"/>
          <w:szCs w:val="24"/>
          <w:lang w:eastAsia="zh-CN"/>
        </w:rPr>
        <w:t xml:space="preserve">    </w:t>
      </w:r>
    </w:p>
    <w:p w14:paraId="44FD1E29">
      <w:pPr>
        <w:jc w:val="center"/>
        <w:rPr>
          <w:rFonts w:hint="default" w:ascii="黑体" w:hAnsi="黑体" w:eastAsia="黑体" w:cs="宋体"/>
          <w:color w:val="auto"/>
          <w:sz w:val="24"/>
          <w:szCs w:val="24"/>
          <w:lang w:val="en-US" w:eastAsia="zh-CN"/>
        </w:rPr>
      </w:pPr>
      <w:r>
        <w:rPr>
          <w:rFonts w:ascii="黑体" w:hAnsi="黑体" w:eastAsia="黑体" w:cs="宋体"/>
          <w:color w:val="auto"/>
          <w:sz w:val="24"/>
          <w:szCs w:val="24"/>
        </w:rPr>
        <w:t>照片2-</w:t>
      </w:r>
      <w:r>
        <w:rPr>
          <w:rFonts w:hint="eastAsia" w:ascii="黑体" w:hAnsi="黑体" w:eastAsia="黑体" w:cs="宋体"/>
          <w:color w:val="auto"/>
          <w:sz w:val="24"/>
          <w:szCs w:val="24"/>
          <w:lang w:val="en-US" w:eastAsia="zh-CN"/>
        </w:rPr>
        <w:t>5</w:t>
      </w:r>
      <w:r>
        <w:rPr>
          <w:rFonts w:ascii="黑体" w:hAnsi="黑体" w:eastAsia="黑体" w:cs="宋体"/>
          <w:color w:val="auto"/>
          <w:sz w:val="24"/>
          <w:szCs w:val="24"/>
        </w:rPr>
        <w:t xml:space="preserve">  </w:t>
      </w:r>
      <w:r>
        <w:rPr>
          <w:rFonts w:hint="eastAsia" w:ascii="黑体" w:hAnsi="黑体" w:eastAsia="黑体" w:cs="宋体"/>
          <w:color w:val="auto"/>
          <w:sz w:val="24"/>
          <w:szCs w:val="24"/>
          <w:lang w:val="en-US" w:eastAsia="zh-CN"/>
        </w:rPr>
        <w:t>矿区土壤</w:t>
      </w:r>
    </w:p>
    <w:p w14:paraId="210B2D5D">
      <w:pPr>
        <w:ind w:firstLine="480" w:firstLineChars="200"/>
        <w:jc w:val="both"/>
        <w:rPr>
          <w:rFonts w:hint="default" w:ascii="黑体" w:hAnsi="黑体" w:eastAsia="黑体" w:cs="宋体"/>
          <w:color w:val="auto"/>
          <w:sz w:val="24"/>
          <w:szCs w:val="24"/>
          <w:lang w:val="en-US" w:eastAsia="zh-CN"/>
        </w:rPr>
      </w:pPr>
    </w:p>
    <w:p w14:paraId="71D2A0AE">
      <w:pPr>
        <w:pStyle w:val="3"/>
        <w:spacing w:before="120" w:beforeLines="50"/>
        <w:rPr>
          <w:color w:val="auto"/>
        </w:rPr>
      </w:pPr>
      <w:bookmarkStart w:id="32" w:name="_Toc26803"/>
      <w:r>
        <w:rPr>
          <w:rFonts w:hint="eastAsia"/>
          <w:color w:val="auto"/>
        </w:rPr>
        <w:t>第二节  社会经济概况</w:t>
      </w:r>
      <w:bookmarkEnd w:id="32"/>
    </w:p>
    <w:p w14:paraId="75B8129B">
      <w:pPr>
        <w:spacing w:line="360" w:lineRule="auto"/>
        <w:ind w:firstLine="562" w:firstLineChars="200"/>
        <w:outlineLvl w:val="2"/>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一、经济概况</w:t>
      </w:r>
    </w:p>
    <w:p w14:paraId="386B3583">
      <w:pPr>
        <w:spacing w:line="360" w:lineRule="auto"/>
        <w:ind w:firstLine="560" w:firstLineChars="200"/>
        <w:rPr>
          <w:color w:val="auto"/>
          <w:sz w:val="28"/>
          <w:szCs w:val="28"/>
        </w:rPr>
      </w:pPr>
      <w:r>
        <w:rPr>
          <w:color w:val="auto"/>
          <w:sz w:val="28"/>
          <w:szCs w:val="28"/>
        </w:rPr>
        <w:t>矿区位于赤峰市松山区，2025年，全区地区生产总值完成344.6亿元，按不变价格计算，比上年增长5.1%。2025年，全区全体居民人均可支配收入完成36517元，比上年增长4.9%。按常住地分，城镇居民人均可支配收入47922元，比上年增长4.6%；农村牧区居民人均可支配收入25717元，比上年增长5.4%。城乡居民人均收入比值为1.86。</w:t>
      </w:r>
    </w:p>
    <w:p w14:paraId="6CF8065B">
      <w:pPr>
        <w:adjustRightInd w:val="0"/>
        <w:snapToGrid w:val="0"/>
        <w:spacing w:line="360" w:lineRule="auto"/>
        <w:ind w:firstLine="560" w:firstLineChars="200"/>
        <w:rPr>
          <w:rFonts w:hint="eastAsia"/>
          <w:color w:val="auto"/>
          <w:sz w:val="28"/>
          <w:szCs w:val="28"/>
          <w:lang w:eastAsia="zh-CN"/>
        </w:rPr>
      </w:pPr>
      <w:r>
        <w:rPr>
          <w:color w:val="auto"/>
          <w:sz w:val="28"/>
          <w:szCs w:val="28"/>
        </w:rPr>
        <w:t>矿区所在地为松山区初头朗镇</w:t>
      </w:r>
      <w:r>
        <w:rPr>
          <w:rFonts w:hint="eastAsia"/>
          <w:color w:val="auto"/>
          <w:sz w:val="28"/>
          <w:szCs w:val="28"/>
          <w:lang w:eastAsia="zh-CN"/>
        </w:rPr>
        <w:t>，</w:t>
      </w:r>
      <w:r>
        <w:rPr>
          <w:color w:val="auto"/>
          <w:sz w:val="28"/>
          <w:szCs w:val="28"/>
        </w:rPr>
        <w:t>初头朗镇是松山区西部的重要乡镇，经济以农业为绝对主导，工业基础相对薄弱</w:t>
      </w:r>
      <w:r>
        <w:rPr>
          <w:rFonts w:hint="default"/>
          <w:color w:val="auto"/>
          <w:sz w:val="28"/>
          <w:szCs w:val="28"/>
        </w:rPr>
        <w:t>。近年来，该镇被定位为“阴河上游乡村振兴绿色转型示范区”的核心区域，获得了政策与项目的重点支持</w:t>
      </w:r>
      <w:r>
        <w:rPr>
          <w:rFonts w:hint="eastAsia"/>
          <w:color w:val="auto"/>
          <w:sz w:val="28"/>
          <w:szCs w:val="28"/>
          <w:lang w:eastAsia="zh-CN"/>
        </w:rPr>
        <w:t>。</w:t>
      </w:r>
      <w:r>
        <w:rPr>
          <w:rFonts w:hint="eastAsia"/>
          <w:color w:val="auto"/>
          <w:sz w:val="28"/>
          <w:szCs w:val="28"/>
          <w:lang w:val="en-US" w:eastAsia="zh-CN"/>
        </w:rPr>
        <w:t>该镇</w:t>
      </w:r>
      <w:r>
        <w:rPr>
          <w:rFonts w:hint="default"/>
          <w:color w:val="auto"/>
          <w:sz w:val="28"/>
          <w:szCs w:val="28"/>
        </w:rPr>
        <w:t>以设施农业为引擎，以特色种植为亮点，通过科技和集体经济模式，显著提升了土地产出效益和农民收入。</w:t>
      </w:r>
    </w:p>
    <w:p w14:paraId="4B156C39">
      <w:pPr>
        <w:adjustRightInd w:val="0"/>
        <w:snapToGrid w:val="0"/>
        <w:spacing w:line="360" w:lineRule="auto"/>
        <w:ind w:firstLine="560" w:firstLineChars="200"/>
        <w:rPr>
          <w:rFonts w:ascii="黑体" w:hAnsi="黑体" w:eastAsia="黑体" w:cs="宋体"/>
          <w:color w:val="auto"/>
          <w:sz w:val="24"/>
          <w:szCs w:val="24"/>
        </w:rPr>
      </w:pPr>
      <w:r>
        <w:rPr>
          <w:color w:val="auto"/>
          <w:sz w:val="28"/>
          <w:szCs w:val="28"/>
        </w:rPr>
        <w:t>矿区</w:t>
      </w:r>
      <w:r>
        <w:rPr>
          <w:rFonts w:hint="eastAsia"/>
          <w:color w:val="auto"/>
          <w:sz w:val="28"/>
          <w:szCs w:val="28"/>
          <w:lang w:val="en-US" w:eastAsia="zh-CN"/>
        </w:rPr>
        <w:t>所在的窑沟门村</w:t>
      </w:r>
      <w:r>
        <w:rPr>
          <w:rFonts w:hint="eastAsia" w:asciiTheme="minorEastAsia" w:hAnsiTheme="minorEastAsia" w:eastAsiaTheme="minorEastAsia"/>
          <w:color w:val="auto"/>
          <w:sz w:val="28"/>
          <w:szCs w:val="28"/>
        </w:rPr>
        <w:t>多从事农业，兼营牧业</w:t>
      </w:r>
      <w:r>
        <w:rPr>
          <w:color w:val="auto"/>
          <w:sz w:val="28"/>
          <w:szCs w:val="28"/>
        </w:rPr>
        <w:t>。</w:t>
      </w:r>
    </w:p>
    <w:p w14:paraId="20ACCCC6">
      <w:pPr>
        <w:ind w:firstLine="480" w:firstLineChars="200"/>
        <w:jc w:val="center"/>
        <w:rPr>
          <w:rFonts w:hint="eastAsia" w:ascii="黑体" w:hAnsi="黑体" w:eastAsia="黑体" w:cs="宋体"/>
          <w:color w:val="auto"/>
          <w:sz w:val="24"/>
          <w:szCs w:val="24"/>
        </w:rPr>
      </w:pPr>
      <w:r>
        <w:rPr>
          <w:rFonts w:ascii="黑体" w:hAnsi="黑体" w:eastAsia="黑体" w:cs="宋体"/>
          <w:color w:val="auto"/>
          <w:sz w:val="24"/>
          <w:szCs w:val="24"/>
        </w:rPr>
        <w:t>表</w:t>
      </w:r>
      <w:r>
        <w:rPr>
          <w:rFonts w:hint="eastAsia" w:ascii="黑体" w:hAnsi="黑体" w:eastAsia="黑体" w:cs="宋体"/>
          <w:color w:val="auto"/>
          <w:sz w:val="24"/>
          <w:szCs w:val="24"/>
        </w:rPr>
        <w:t>2-</w:t>
      </w:r>
      <w:r>
        <w:rPr>
          <w:rFonts w:ascii="黑体" w:hAnsi="黑体" w:eastAsia="黑体" w:cs="宋体"/>
          <w:color w:val="auto"/>
          <w:sz w:val="24"/>
          <w:szCs w:val="24"/>
        </w:rPr>
        <w:t xml:space="preserve">2  </w:t>
      </w:r>
      <w:r>
        <w:rPr>
          <w:rFonts w:hint="eastAsia" w:ascii="黑体" w:hAnsi="黑体" w:eastAsia="黑体" w:cs="宋体"/>
          <w:color w:val="auto"/>
          <w:sz w:val="24"/>
          <w:szCs w:val="24"/>
          <w:lang w:val="en-US" w:eastAsia="zh-CN"/>
        </w:rPr>
        <w:t>松山区</w:t>
      </w:r>
      <w:r>
        <w:rPr>
          <w:rFonts w:hint="eastAsia" w:ascii="黑体" w:hAnsi="黑体" w:eastAsia="黑体" w:cs="宋体"/>
          <w:color w:val="auto"/>
          <w:sz w:val="24"/>
          <w:szCs w:val="24"/>
        </w:rPr>
        <w:t>2025年</w:t>
      </w:r>
      <w:r>
        <w:rPr>
          <w:rFonts w:ascii="黑体" w:hAnsi="黑体" w:eastAsia="黑体" w:cs="宋体"/>
          <w:color w:val="auto"/>
          <w:sz w:val="24"/>
          <w:szCs w:val="24"/>
        </w:rPr>
        <w:t>社会经济</w:t>
      </w:r>
      <w:r>
        <w:rPr>
          <w:rFonts w:hint="eastAsia" w:ascii="黑体" w:hAnsi="黑体" w:eastAsia="黑体" w:cs="宋体"/>
          <w:color w:val="auto"/>
          <w:sz w:val="24"/>
          <w:szCs w:val="24"/>
        </w:rPr>
        <w:t>数据</w:t>
      </w:r>
      <w:r>
        <w:rPr>
          <w:rFonts w:ascii="黑体" w:hAnsi="黑体" w:eastAsia="黑体" w:cs="宋体"/>
          <w:color w:val="auto"/>
          <w:sz w:val="24"/>
          <w:szCs w:val="24"/>
        </w:rPr>
        <w:t>统计</w:t>
      </w:r>
      <w:r>
        <w:rPr>
          <w:rFonts w:hint="eastAsia" w:ascii="黑体" w:hAnsi="黑体" w:eastAsia="黑体" w:cs="宋体"/>
          <w:color w:val="auto"/>
          <w:sz w:val="24"/>
          <w:szCs w:val="24"/>
        </w:rPr>
        <w:t>表</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5"/>
        <w:gridCol w:w="1341"/>
        <w:gridCol w:w="1275"/>
        <w:gridCol w:w="1706"/>
        <w:gridCol w:w="951"/>
        <w:gridCol w:w="2583"/>
      </w:tblGrid>
      <w:tr w14:paraId="4FF26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vAlign w:val="center"/>
          </w:tcPr>
          <w:p w14:paraId="6F64C51A">
            <w:pPr>
              <w:jc w:val="center"/>
              <w:rPr>
                <w:color w:val="auto"/>
                <w:szCs w:val="21"/>
              </w:rPr>
            </w:pPr>
            <w:r>
              <w:rPr>
                <w:color w:val="auto"/>
                <w:szCs w:val="21"/>
              </w:rPr>
              <w:t>总面积(</w:t>
            </w:r>
            <w:r>
              <w:rPr>
                <w:rFonts w:hint="eastAsia"/>
                <w:color w:val="auto"/>
                <w:szCs w:val="21"/>
                <w:lang w:val="en-US" w:eastAsia="zh-CN"/>
              </w:rPr>
              <w:t>k</w:t>
            </w:r>
            <w:r>
              <w:rPr>
                <w:color w:val="auto"/>
                <w:szCs w:val="21"/>
              </w:rPr>
              <w:t>m</w:t>
            </w:r>
            <w:r>
              <w:rPr>
                <w:color w:val="auto"/>
                <w:szCs w:val="21"/>
                <w:vertAlign w:val="superscript"/>
              </w:rPr>
              <w:t>2</w:t>
            </w:r>
            <w:r>
              <w:rPr>
                <w:color w:val="auto"/>
                <w:szCs w:val="21"/>
              </w:rPr>
              <w:t>)</w:t>
            </w:r>
          </w:p>
        </w:tc>
        <w:tc>
          <w:tcPr>
            <w:tcW w:w="0" w:type="auto"/>
            <w:vAlign w:val="center"/>
          </w:tcPr>
          <w:p w14:paraId="07EA595B">
            <w:pPr>
              <w:jc w:val="center"/>
              <w:rPr>
                <w:color w:val="auto"/>
                <w:szCs w:val="21"/>
              </w:rPr>
            </w:pPr>
            <w:r>
              <w:rPr>
                <w:color w:val="auto"/>
                <w:szCs w:val="21"/>
              </w:rPr>
              <w:t>耕地面积(hm</w:t>
            </w:r>
            <w:r>
              <w:rPr>
                <w:color w:val="auto"/>
                <w:szCs w:val="21"/>
                <w:vertAlign w:val="superscript"/>
              </w:rPr>
              <w:t>2</w:t>
            </w:r>
            <w:r>
              <w:rPr>
                <w:color w:val="auto"/>
                <w:szCs w:val="21"/>
              </w:rPr>
              <w:t>)</w:t>
            </w:r>
          </w:p>
        </w:tc>
        <w:tc>
          <w:tcPr>
            <w:tcW w:w="0" w:type="auto"/>
            <w:vAlign w:val="center"/>
          </w:tcPr>
          <w:p w14:paraId="4472A28B">
            <w:pPr>
              <w:jc w:val="center"/>
              <w:rPr>
                <w:color w:val="auto"/>
                <w:szCs w:val="21"/>
              </w:rPr>
            </w:pPr>
            <w:r>
              <w:rPr>
                <w:color w:val="auto"/>
                <w:szCs w:val="21"/>
              </w:rPr>
              <w:t>户籍人口(人)</w:t>
            </w:r>
          </w:p>
        </w:tc>
        <w:tc>
          <w:tcPr>
            <w:tcW w:w="1707" w:type="dxa"/>
            <w:vAlign w:val="center"/>
          </w:tcPr>
          <w:p w14:paraId="7CD287F5">
            <w:pPr>
              <w:jc w:val="center"/>
              <w:rPr>
                <w:color w:val="auto"/>
                <w:szCs w:val="21"/>
              </w:rPr>
            </w:pPr>
            <w:r>
              <w:rPr>
                <w:color w:val="auto"/>
                <w:szCs w:val="21"/>
              </w:rPr>
              <w:t>农民人均耕地(hm</w:t>
            </w:r>
            <w:r>
              <w:rPr>
                <w:color w:val="auto"/>
                <w:szCs w:val="21"/>
                <w:vertAlign w:val="superscript"/>
              </w:rPr>
              <w:t>2</w:t>
            </w:r>
            <w:r>
              <w:rPr>
                <w:color w:val="auto"/>
                <w:szCs w:val="21"/>
              </w:rPr>
              <w:t>)</w:t>
            </w:r>
          </w:p>
        </w:tc>
        <w:tc>
          <w:tcPr>
            <w:tcW w:w="951" w:type="dxa"/>
            <w:vAlign w:val="center"/>
          </w:tcPr>
          <w:p w14:paraId="33B6BD90">
            <w:pPr>
              <w:jc w:val="center"/>
              <w:rPr>
                <w:color w:val="auto"/>
                <w:szCs w:val="21"/>
              </w:rPr>
            </w:pPr>
            <w:r>
              <w:rPr>
                <w:color w:val="auto"/>
                <w:szCs w:val="21"/>
              </w:rPr>
              <w:t>GDP</w:t>
            </w:r>
          </w:p>
          <w:p w14:paraId="04930506">
            <w:pPr>
              <w:jc w:val="center"/>
              <w:rPr>
                <w:color w:val="auto"/>
                <w:szCs w:val="21"/>
              </w:rPr>
            </w:pPr>
            <w:r>
              <w:rPr>
                <w:color w:val="auto"/>
                <w:szCs w:val="21"/>
              </w:rPr>
              <w:t>(万元)</w:t>
            </w:r>
          </w:p>
        </w:tc>
        <w:tc>
          <w:tcPr>
            <w:tcW w:w="0" w:type="auto"/>
            <w:vAlign w:val="center"/>
          </w:tcPr>
          <w:p w14:paraId="17346424">
            <w:pPr>
              <w:jc w:val="center"/>
              <w:rPr>
                <w:color w:val="auto"/>
                <w:szCs w:val="21"/>
              </w:rPr>
            </w:pPr>
            <w:r>
              <w:rPr>
                <w:color w:val="auto"/>
                <w:szCs w:val="21"/>
              </w:rPr>
              <w:t>农村牧区居民人均可支配收入(元)</w:t>
            </w:r>
          </w:p>
        </w:tc>
      </w:tr>
      <w:tr w14:paraId="6D928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vAlign w:val="center"/>
          </w:tcPr>
          <w:p w14:paraId="670F4F3D">
            <w:pPr>
              <w:jc w:val="center"/>
              <w:rPr>
                <w:rFonts w:hint="eastAsia"/>
                <w:color w:val="auto"/>
                <w:szCs w:val="21"/>
                <w:lang w:val="en-US" w:eastAsia="zh-CN"/>
              </w:rPr>
            </w:pPr>
            <w:r>
              <w:rPr>
                <w:rFonts w:hint="eastAsia"/>
                <w:color w:val="auto"/>
                <w:szCs w:val="21"/>
                <w:lang w:val="en-US" w:eastAsia="zh-CN"/>
              </w:rPr>
              <w:t xml:space="preserve">5628.76 </w:t>
            </w:r>
          </w:p>
        </w:tc>
        <w:tc>
          <w:tcPr>
            <w:tcW w:w="0" w:type="auto"/>
            <w:vAlign w:val="center"/>
          </w:tcPr>
          <w:p w14:paraId="515FC8C0">
            <w:pPr>
              <w:jc w:val="center"/>
              <w:rPr>
                <w:rFonts w:hint="eastAsia"/>
                <w:color w:val="auto"/>
                <w:szCs w:val="21"/>
                <w:lang w:val="en-US" w:eastAsia="zh-CN"/>
              </w:rPr>
            </w:pPr>
            <w:r>
              <w:rPr>
                <w:rFonts w:hint="eastAsia"/>
                <w:color w:val="auto"/>
                <w:szCs w:val="21"/>
                <w:lang w:val="en-US" w:eastAsia="zh-CN"/>
              </w:rPr>
              <w:t>152048</w:t>
            </w:r>
          </w:p>
        </w:tc>
        <w:tc>
          <w:tcPr>
            <w:tcW w:w="0" w:type="auto"/>
            <w:vAlign w:val="center"/>
          </w:tcPr>
          <w:p w14:paraId="62A555AC">
            <w:pPr>
              <w:jc w:val="center"/>
              <w:rPr>
                <w:color w:val="auto"/>
                <w:szCs w:val="21"/>
              </w:rPr>
            </w:pPr>
            <w:r>
              <w:rPr>
                <w:rFonts w:ascii="宋体" w:hAnsi="宋体" w:eastAsia="宋体" w:cs="宋体"/>
                <w:color w:val="auto"/>
                <w:sz w:val="24"/>
                <w:szCs w:val="24"/>
              </w:rPr>
              <w:t>631371</w:t>
            </w:r>
          </w:p>
        </w:tc>
        <w:tc>
          <w:tcPr>
            <w:tcW w:w="1707" w:type="dxa"/>
            <w:vAlign w:val="center"/>
          </w:tcPr>
          <w:p w14:paraId="7BD4A536">
            <w:pPr>
              <w:jc w:val="center"/>
              <w:rPr>
                <w:rFonts w:hint="default" w:eastAsia="宋体"/>
                <w:color w:val="auto"/>
                <w:szCs w:val="21"/>
                <w:lang w:val="en-US" w:eastAsia="zh-CN"/>
              </w:rPr>
            </w:pPr>
            <w:r>
              <w:rPr>
                <w:rFonts w:hint="eastAsia"/>
                <w:color w:val="auto"/>
                <w:szCs w:val="21"/>
                <w:lang w:val="en-US" w:eastAsia="zh-CN"/>
              </w:rPr>
              <w:t>0.2408</w:t>
            </w:r>
          </w:p>
        </w:tc>
        <w:tc>
          <w:tcPr>
            <w:tcW w:w="951" w:type="dxa"/>
            <w:vAlign w:val="center"/>
          </w:tcPr>
          <w:p w14:paraId="27D300E1">
            <w:pPr>
              <w:jc w:val="center"/>
              <w:rPr>
                <w:rFonts w:hint="default" w:eastAsia="宋体"/>
                <w:color w:val="auto"/>
                <w:szCs w:val="21"/>
                <w:lang w:val="en-US" w:eastAsia="zh-CN"/>
              </w:rPr>
            </w:pPr>
            <w:r>
              <w:rPr>
                <w:rFonts w:hint="eastAsia"/>
                <w:color w:val="auto"/>
                <w:szCs w:val="21"/>
                <w:lang w:val="en-US" w:eastAsia="zh-CN"/>
              </w:rPr>
              <w:t>3446000</w:t>
            </w:r>
          </w:p>
        </w:tc>
        <w:tc>
          <w:tcPr>
            <w:tcW w:w="0" w:type="auto"/>
            <w:vAlign w:val="center"/>
          </w:tcPr>
          <w:p w14:paraId="64D57FBE">
            <w:pPr>
              <w:jc w:val="center"/>
              <w:rPr>
                <w:rFonts w:hint="default" w:eastAsia="宋体"/>
                <w:color w:val="auto"/>
                <w:szCs w:val="21"/>
                <w:lang w:val="en-US" w:eastAsia="zh-CN"/>
              </w:rPr>
            </w:pPr>
            <w:r>
              <w:rPr>
                <w:rFonts w:hint="eastAsia"/>
                <w:color w:val="auto"/>
                <w:szCs w:val="21"/>
                <w:lang w:val="en-US" w:eastAsia="zh-CN"/>
              </w:rPr>
              <w:t>25717</w:t>
            </w:r>
          </w:p>
        </w:tc>
      </w:tr>
    </w:tbl>
    <w:p w14:paraId="461D23EE">
      <w:pPr>
        <w:spacing w:line="360" w:lineRule="auto"/>
        <w:ind w:firstLine="562" w:firstLineChars="200"/>
        <w:outlineLvl w:val="2"/>
        <w:rPr>
          <w:color w:val="auto"/>
        </w:rPr>
      </w:pPr>
      <w:r>
        <w:rPr>
          <w:rFonts w:hint="eastAsia" w:ascii="宋体" w:hAnsi="宋体" w:eastAsia="宋体" w:cs="宋体"/>
          <w:b/>
          <w:bCs/>
          <w:color w:val="auto"/>
          <w:kern w:val="0"/>
          <w:sz w:val="28"/>
          <w:szCs w:val="28"/>
          <w:lang w:val="en-US" w:eastAsia="zh-CN" w:bidi="ar"/>
        </w:rPr>
        <w:t>二、</w:t>
      </w:r>
      <w:r>
        <w:rPr>
          <w:rFonts w:hint="eastAsia" w:ascii="宋体" w:hAnsi="宋体" w:eastAsia="宋体" w:cs="宋体"/>
          <w:b/>
          <w:bCs/>
          <w:color w:val="auto"/>
          <w:sz w:val="28"/>
          <w:szCs w:val="28"/>
          <w:lang w:val="en-US" w:eastAsia="zh-CN"/>
        </w:rPr>
        <w:t>人文</w:t>
      </w:r>
      <w:r>
        <w:rPr>
          <w:rFonts w:hint="eastAsia" w:ascii="宋体" w:hAnsi="宋体" w:eastAsia="宋体" w:cs="宋体"/>
          <w:b/>
          <w:bCs/>
          <w:color w:val="auto"/>
          <w:kern w:val="0"/>
          <w:sz w:val="28"/>
          <w:szCs w:val="28"/>
          <w:lang w:val="en-US" w:eastAsia="zh-CN" w:bidi="ar"/>
        </w:rPr>
        <w:t>环境</w:t>
      </w:r>
    </w:p>
    <w:p w14:paraId="0A01708E">
      <w:pPr>
        <w:adjustRightInd w:val="0"/>
        <w:snapToGrid w:val="0"/>
        <w:spacing w:line="360" w:lineRule="auto"/>
        <w:ind w:firstLine="560" w:firstLineChars="200"/>
        <w:rPr>
          <w:rFonts w:hint="eastAsia" w:cs="Times New Roman" w:asciiTheme="minorEastAsia" w:hAnsiTheme="minorEastAsia" w:eastAsiaTheme="minorEastAsia"/>
          <w:color w:val="auto"/>
          <w:sz w:val="28"/>
          <w:szCs w:val="28"/>
        </w:rPr>
      </w:pPr>
      <w:r>
        <w:rPr>
          <w:rFonts w:hint="eastAsia" w:cs="Times New Roman"/>
          <w:color w:val="auto"/>
          <w:sz w:val="28"/>
          <w:szCs w:val="28"/>
          <w:lang w:eastAsia="zh-CN"/>
        </w:rPr>
        <w:t>松山区初头朗镇窑沟门碎石矿</w:t>
      </w:r>
      <w:r>
        <w:rPr>
          <w:rFonts w:hint="eastAsia" w:cs="Times New Roman" w:asciiTheme="minorEastAsia" w:hAnsiTheme="minorEastAsia" w:eastAsiaTheme="minorEastAsia"/>
          <w:color w:val="auto"/>
          <w:sz w:val="28"/>
          <w:szCs w:val="28"/>
        </w:rPr>
        <w:t>开采区域与生态保护红线、I级和Ⅱ级保护林地、天然林保护重点区域、国际重要湿地、国家重要湿地、世界自然（自然与文化）遗产地、沙化土地封禁保护区、饮用水水源保护区不重叠。</w:t>
      </w:r>
      <w:r>
        <w:rPr>
          <w:rFonts w:hint="default" w:cs="Times New Roman" w:asciiTheme="minorEastAsia" w:hAnsiTheme="minorEastAsia" w:eastAsiaTheme="minorEastAsia"/>
          <w:color w:val="auto"/>
          <w:sz w:val="28"/>
          <w:szCs w:val="28"/>
          <w:lang w:val="en-US" w:eastAsia="zh-CN"/>
        </w:rPr>
        <w:t>矿区</w:t>
      </w:r>
      <w:r>
        <w:rPr>
          <w:rFonts w:hint="eastAsia" w:cs="Times New Roman" w:asciiTheme="minorEastAsia" w:hAnsiTheme="minorEastAsia" w:eastAsiaTheme="minorEastAsia"/>
          <w:color w:val="auto"/>
          <w:sz w:val="28"/>
          <w:szCs w:val="28"/>
          <w:lang w:val="en-US" w:eastAsia="zh-CN"/>
        </w:rPr>
        <w:t>及</w:t>
      </w:r>
      <w:r>
        <w:rPr>
          <w:rFonts w:hint="default" w:cs="Times New Roman" w:asciiTheme="minorEastAsia" w:hAnsiTheme="minorEastAsia" w:eastAsiaTheme="minorEastAsia"/>
          <w:color w:val="auto"/>
          <w:sz w:val="28"/>
          <w:szCs w:val="28"/>
          <w:lang w:val="en-US" w:eastAsia="zh-CN"/>
        </w:rPr>
        <w:t>附近</w:t>
      </w:r>
      <w:r>
        <w:rPr>
          <w:rFonts w:hint="eastAsia" w:cs="Times New Roman" w:asciiTheme="minorEastAsia" w:hAnsiTheme="minorEastAsia" w:eastAsiaTheme="minorEastAsia"/>
          <w:color w:val="auto"/>
          <w:sz w:val="28"/>
          <w:szCs w:val="28"/>
        </w:rPr>
        <w:t>无风景名胜区、水源保护区、地质遗迹、地质公园。</w:t>
      </w:r>
      <w:r>
        <w:rPr>
          <w:rFonts w:hint="default" w:cs="Times New Roman" w:asciiTheme="minorEastAsia" w:hAnsiTheme="minorEastAsia" w:eastAsiaTheme="minorEastAsia"/>
          <w:color w:val="auto"/>
          <w:sz w:val="28"/>
          <w:szCs w:val="28"/>
          <w:lang w:val="en-US" w:eastAsia="zh-CN"/>
        </w:rPr>
        <w:t>无自然保护区，无生态敏感区</w:t>
      </w:r>
      <w:r>
        <w:rPr>
          <w:rFonts w:hint="eastAsia" w:cs="Times New Roman" w:asciiTheme="minorEastAsia" w:hAnsiTheme="minorEastAsia" w:eastAsiaTheme="minorEastAsia"/>
          <w:color w:val="auto"/>
          <w:sz w:val="28"/>
          <w:szCs w:val="28"/>
          <w:lang w:val="en-US" w:eastAsia="zh-CN"/>
        </w:rPr>
        <w:t>，</w:t>
      </w:r>
      <w:r>
        <w:rPr>
          <w:rFonts w:hint="default" w:cs="Times New Roman" w:asciiTheme="minorEastAsia" w:hAnsiTheme="minorEastAsia" w:eastAsiaTheme="minorEastAsia"/>
          <w:color w:val="auto"/>
          <w:sz w:val="28"/>
          <w:szCs w:val="28"/>
        </w:rPr>
        <w:t>也无重点保护生态品种及濒危生物物种。</w:t>
      </w:r>
      <w:r>
        <w:rPr>
          <w:rFonts w:hint="eastAsia" w:cs="Times New Roman" w:asciiTheme="minorEastAsia" w:hAnsiTheme="minorEastAsia" w:eastAsiaTheme="minorEastAsia"/>
          <w:color w:val="auto"/>
          <w:sz w:val="28"/>
          <w:szCs w:val="28"/>
        </w:rPr>
        <w:t xml:space="preserve"> </w:t>
      </w:r>
    </w:p>
    <w:p w14:paraId="2516D17A">
      <w:pPr>
        <w:spacing w:line="360" w:lineRule="auto"/>
        <w:ind w:firstLine="562" w:firstLineChars="200"/>
        <w:outlineLvl w:val="2"/>
        <w:rPr>
          <w:rFonts w:hint="eastAsia" w:ascii="宋体" w:hAnsi="宋体" w:eastAsia="宋体" w:cs="宋体"/>
          <w:b/>
          <w:bCs/>
          <w:color w:val="auto"/>
          <w:kern w:val="0"/>
          <w:sz w:val="28"/>
          <w:szCs w:val="28"/>
          <w:lang w:val="en-US" w:eastAsia="zh-CN" w:bidi="ar"/>
        </w:rPr>
      </w:pPr>
      <w:r>
        <w:rPr>
          <w:rFonts w:hint="eastAsia" w:ascii="宋体" w:hAnsi="宋体" w:cs="宋体"/>
          <w:b/>
          <w:bCs/>
          <w:color w:val="auto"/>
          <w:kern w:val="0"/>
          <w:sz w:val="28"/>
          <w:szCs w:val="28"/>
          <w:lang w:val="en-US" w:eastAsia="zh-CN" w:bidi="ar"/>
        </w:rPr>
        <w:t>三、</w:t>
      </w:r>
      <w:r>
        <w:rPr>
          <w:rFonts w:hint="eastAsia" w:ascii="宋体" w:hAnsi="宋体" w:eastAsia="宋体" w:cs="宋体"/>
          <w:b/>
          <w:bCs/>
          <w:color w:val="auto"/>
          <w:kern w:val="0"/>
          <w:sz w:val="28"/>
          <w:szCs w:val="28"/>
          <w:lang w:val="en-US" w:eastAsia="zh-CN" w:bidi="ar"/>
        </w:rPr>
        <w:t>地表</w:t>
      </w:r>
      <w:r>
        <w:rPr>
          <w:rFonts w:hint="eastAsia" w:ascii="宋体" w:hAnsi="宋体" w:eastAsia="宋体" w:cs="宋体"/>
          <w:b/>
          <w:bCs/>
          <w:color w:val="auto"/>
          <w:sz w:val="28"/>
          <w:szCs w:val="28"/>
          <w:lang w:val="en-US" w:eastAsia="zh-CN"/>
        </w:rPr>
        <w:t>工程</w:t>
      </w:r>
      <w:r>
        <w:rPr>
          <w:rFonts w:hint="eastAsia" w:ascii="宋体" w:hAnsi="宋体" w:eastAsia="宋体" w:cs="宋体"/>
          <w:b/>
          <w:bCs/>
          <w:color w:val="auto"/>
          <w:kern w:val="0"/>
          <w:sz w:val="28"/>
          <w:szCs w:val="28"/>
          <w:lang w:val="en-US" w:eastAsia="zh-CN" w:bidi="ar"/>
        </w:rPr>
        <w:t>设施</w:t>
      </w:r>
    </w:p>
    <w:p w14:paraId="6971F41A">
      <w:pPr>
        <w:adjustRightInd w:val="0"/>
        <w:snapToGrid w:val="0"/>
        <w:spacing w:line="360" w:lineRule="auto"/>
        <w:ind w:firstLine="560" w:firstLineChars="200"/>
        <w:rPr>
          <w:rFonts w:hint="default" w:cs="Times New Roman" w:asciiTheme="minorEastAsia" w:hAnsiTheme="minorEastAsia" w:eastAsiaTheme="minorEastAsia"/>
          <w:color w:val="auto"/>
          <w:sz w:val="28"/>
          <w:szCs w:val="28"/>
        </w:rPr>
      </w:pPr>
      <w:r>
        <w:rPr>
          <w:rFonts w:hint="eastAsia" w:cs="Times New Roman" w:asciiTheme="minorEastAsia" w:hAnsiTheme="minorEastAsia" w:eastAsiaTheme="minorEastAsia"/>
          <w:color w:val="auto"/>
          <w:sz w:val="28"/>
          <w:szCs w:val="28"/>
        </w:rPr>
        <w:t>矿区</w:t>
      </w:r>
      <w:r>
        <w:rPr>
          <w:rFonts w:hint="eastAsia" w:cs="Times New Roman" w:asciiTheme="minorEastAsia" w:hAnsiTheme="minorEastAsia" w:eastAsiaTheme="minorEastAsia"/>
          <w:color w:val="auto"/>
          <w:sz w:val="28"/>
          <w:szCs w:val="28"/>
          <w:lang w:val="en-US" w:eastAsia="zh-CN"/>
        </w:rPr>
        <w:t>及</w:t>
      </w:r>
      <w:r>
        <w:rPr>
          <w:rFonts w:hint="eastAsia" w:cs="Times New Roman" w:asciiTheme="minorEastAsia" w:hAnsiTheme="minorEastAsia" w:eastAsiaTheme="minorEastAsia"/>
          <w:color w:val="auto"/>
          <w:sz w:val="28"/>
          <w:szCs w:val="28"/>
        </w:rPr>
        <w:t>附近没有大型电力、水利等重要国民经济建筑物、构筑物及军事设施。</w:t>
      </w:r>
      <w:r>
        <w:rPr>
          <w:rFonts w:hint="default" w:cs="Times New Roman" w:asciiTheme="minorEastAsia" w:hAnsiTheme="minorEastAsia" w:eastAsiaTheme="minorEastAsia"/>
          <w:color w:val="auto"/>
          <w:sz w:val="28"/>
          <w:szCs w:val="28"/>
          <w:lang w:val="en-US" w:eastAsia="zh-CN"/>
        </w:rPr>
        <w:t>矿区及其附近无较重要水源地、人文景观、风景旅游区、大型电力、水利、重要国民经济建筑物、构筑物及军事设施。</w:t>
      </w:r>
    </w:p>
    <w:p w14:paraId="1297EE40">
      <w:pPr>
        <w:adjustRightInd w:val="0"/>
        <w:snapToGrid w:val="0"/>
        <w:spacing w:line="360" w:lineRule="auto"/>
        <w:ind w:firstLine="560" w:firstLineChars="200"/>
        <w:rPr>
          <w:rFonts w:hint="eastAsia" w:cs="Times New Roman" w:asciiTheme="minorEastAsia" w:hAnsiTheme="minorEastAsia" w:eastAsiaTheme="minorEastAsia"/>
          <w:color w:val="auto"/>
          <w:sz w:val="28"/>
          <w:szCs w:val="28"/>
        </w:rPr>
      </w:pPr>
      <w:r>
        <w:rPr>
          <w:rFonts w:hint="eastAsia" w:cs="Times New Roman" w:asciiTheme="minorEastAsia" w:hAnsiTheme="minorEastAsia" w:eastAsiaTheme="minorEastAsia"/>
          <w:color w:val="auto"/>
          <w:sz w:val="28"/>
          <w:szCs w:val="28"/>
          <w:lang w:val="en-US" w:eastAsia="zh-CN"/>
        </w:rPr>
        <w:t>矿区南约7.5km有三座店水库，矿区不在其可视范围内。</w:t>
      </w:r>
    </w:p>
    <w:p w14:paraId="3EAE9311">
      <w:pPr>
        <w:spacing w:line="360" w:lineRule="auto"/>
        <w:ind w:firstLine="562" w:firstLineChars="200"/>
        <w:outlineLvl w:val="2"/>
        <w:rPr>
          <w:rFonts w:hint="eastAsia"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四、村镇</w:t>
      </w:r>
      <w:r>
        <w:rPr>
          <w:rFonts w:hint="eastAsia" w:ascii="宋体" w:hAnsi="宋体" w:eastAsia="宋体" w:cs="宋体"/>
          <w:b/>
          <w:bCs/>
          <w:color w:val="auto"/>
          <w:sz w:val="28"/>
          <w:szCs w:val="28"/>
          <w:lang w:val="en-US" w:eastAsia="zh-CN"/>
        </w:rPr>
        <w:t>分布</w:t>
      </w:r>
      <w:r>
        <w:rPr>
          <w:rFonts w:hint="eastAsia" w:ascii="宋体" w:hAnsi="宋体" w:eastAsia="宋体" w:cs="宋体"/>
          <w:b/>
          <w:bCs/>
          <w:color w:val="auto"/>
          <w:kern w:val="0"/>
          <w:sz w:val="28"/>
          <w:szCs w:val="28"/>
          <w:lang w:val="en-US" w:eastAsia="zh-CN" w:bidi="ar"/>
        </w:rPr>
        <w:t>情况</w:t>
      </w:r>
    </w:p>
    <w:p w14:paraId="2E6F16C4">
      <w:pPr>
        <w:adjustRightInd w:val="0"/>
        <w:snapToGrid w:val="0"/>
        <w:spacing w:line="360" w:lineRule="auto"/>
        <w:ind w:firstLine="560" w:firstLineChars="200"/>
        <w:rPr>
          <w:rFonts w:hint="eastAsia" w:cs="Times New Roman" w:asciiTheme="minorEastAsia" w:hAnsiTheme="minorEastAsia" w:eastAsiaTheme="minorEastAsia"/>
          <w:color w:val="auto"/>
          <w:sz w:val="28"/>
          <w:szCs w:val="28"/>
        </w:rPr>
      </w:pPr>
      <w:r>
        <w:rPr>
          <w:rFonts w:hint="eastAsia" w:cs="Times New Roman" w:asciiTheme="minorEastAsia" w:hAnsiTheme="minorEastAsia" w:eastAsiaTheme="minorEastAsia"/>
          <w:color w:val="auto"/>
          <w:sz w:val="28"/>
          <w:szCs w:val="28"/>
        </w:rPr>
        <w:t>矿区</w:t>
      </w:r>
      <w:r>
        <w:rPr>
          <w:rFonts w:hint="eastAsia" w:cs="Times New Roman" w:asciiTheme="minorEastAsia" w:hAnsiTheme="minorEastAsia" w:eastAsiaTheme="minorEastAsia"/>
          <w:color w:val="auto"/>
          <w:sz w:val="28"/>
          <w:szCs w:val="28"/>
          <w:lang w:val="en-US" w:eastAsia="zh-CN"/>
        </w:rPr>
        <w:t>距离最近的自然村落为西北侧约1km处蒙古塔布乌苏村，</w:t>
      </w:r>
      <w:r>
        <w:rPr>
          <w:rFonts w:hint="eastAsia" w:cs="Times New Roman" w:asciiTheme="minorEastAsia" w:hAnsiTheme="minorEastAsia" w:eastAsiaTheme="minorEastAsia"/>
          <w:color w:val="auto"/>
          <w:sz w:val="28"/>
          <w:szCs w:val="28"/>
        </w:rPr>
        <w:t>全</w:t>
      </w:r>
      <w:r>
        <w:rPr>
          <w:rFonts w:hint="eastAsia" w:cs="Times New Roman" w:asciiTheme="minorEastAsia" w:hAnsiTheme="minorEastAsia" w:eastAsiaTheme="minorEastAsia"/>
          <w:color w:val="auto"/>
          <w:sz w:val="28"/>
          <w:szCs w:val="28"/>
          <w:lang w:val="en-US" w:eastAsia="zh-CN"/>
        </w:rPr>
        <w:t>村</w:t>
      </w:r>
      <w:r>
        <w:rPr>
          <w:rFonts w:hint="eastAsia" w:cs="Times New Roman" w:asciiTheme="minorEastAsia" w:hAnsiTheme="minorEastAsia" w:eastAsiaTheme="minorEastAsia"/>
          <w:color w:val="auto"/>
          <w:sz w:val="28"/>
          <w:szCs w:val="28"/>
        </w:rPr>
        <w:t>总人口约</w:t>
      </w:r>
      <w:r>
        <w:rPr>
          <w:rFonts w:hint="eastAsia" w:cs="Times New Roman" w:asciiTheme="minorEastAsia" w:hAnsiTheme="minorEastAsia" w:eastAsiaTheme="minorEastAsia"/>
          <w:color w:val="auto"/>
          <w:sz w:val="28"/>
          <w:szCs w:val="28"/>
          <w:lang w:val="en-US" w:eastAsia="zh-CN"/>
        </w:rPr>
        <w:t>100余</w:t>
      </w:r>
      <w:r>
        <w:rPr>
          <w:rFonts w:hint="eastAsia" w:cs="Times New Roman" w:asciiTheme="minorEastAsia" w:hAnsiTheme="minorEastAsia" w:eastAsiaTheme="minorEastAsia"/>
          <w:color w:val="auto"/>
          <w:sz w:val="28"/>
          <w:szCs w:val="28"/>
        </w:rPr>
        <w:t>人，</w:t>
      </w:r>
      <w:r>
        <w:rPr>
          <w:rFonts w:hint="eastAsia" w:cs="Times New Roman" w:asciiTheme="minorEastAsia" w:hAnsiTheme="minorEastAsia" w:eastAsiaTheme="minorEastAsia"/>
          <w:color w:val="auto"/>
          <w:sz w:val="28"/>
          <w:szCs w:val="28"/>
          <w:lang w:val="en-US" w:eastAsia="zh-CN"/>
        </w:rPr>
        <w:t>居民</w:t>
      </w:r>
      <w:r>
        <w:rPr>
          <w:rFonts w:hint="eastAsia" w:cs="Times New Roman" w:asciiTheme="minorEastAsia" w:hAnsiTheme="minorEastAsia" w:eastAsiaTheme="minorEastAsia"/>
          <w:color w:val="auto"/>
          <w:sz w:val="28"/>
          <w:szCs w:val="28"/>
        </w:rPr>
        <w:t>分布较集中，无</w:t>
      </w:r>
      <w:r>
        <w:rPr>
          <w:rFonts w:hint="eastAsia" w:cs="Times New Roman" w:asciiTheme="minorEastAsia" w:hAnsiTheme="minorEastAsia" w:eastAsiaTheme="minorEastAsia"/>
          <w:color w:val="auto"/>
          <w:sz w:val="28"/>
          <w:szCs w:val="28"/>
          <w:lang w:eastAsia="zh-CN"/>
        </w:rPr>
        <w:t>其他重要</w:t>
      </w:r>
      <w:r>
        <w:rPr>
          <w:rFonts w:hint="eastAsia" w:cs="Times New Roman" w:asciiTheme="minorEastAsia" w:hAnsiTheme="minorEastAsia" w:eastAsiaTheme="minorEastAsia"/>
          <w:color w:val="auto"/>
          <w:sz w:val="28"/>
          <w:szCs w:val="28"/>
        </w:rPr>
        <w:t>工程设施，无重要居民建筑，对地质环境影响小。</w:t>
      </w:r>
    </w:p>
    <w:p w14:paraId="03C97ED6">
      <w:pPr>
        <w:spacing w:line="360" w:lineRule="auto"/>
        <w:ind w:firstLine="562" w:firstLineChars="200"/>
        <w:outlineLvl w:val="2"/>
        <w:rPr>
          <w:rFonts w:hint="eastAsia"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五、矿区附近</w:t>
      </w:r>
      <w:r>
        <w:rPr>
          <w:rFonts w:hint="eastAsia" w:ascii="宋体" w:hAnsi="宋体" w:eastAsia="宋体" w:cs="宋体"/>
          <w:b/>
          <w:bCs/>
          <w:color w:val="auto"/>
          <w:sz w:val="28"/>
          <w:szCs w:val="28"/>
          <w:lang w:val="en-US" w:eastAsia="zh-CN"/>
        </w:rPr>
        <w:t>采矿</w:t>
      </w:r>
      <w:r>
        <w:rPr>
          <w:rFonts w:hint="eastAsia" w:ascii="宋体" w:hAnsi="宋体" w:eastAsia="宋体" w:cs="宋体"/>
          <w:b/>
          <w:bCs/>
          <w:color w:val="auto"/>
          <w:kern w:val="0"/>
          <w:sz w:val="28"/>
          <w:szCs w:val="28"/>
          <w:lang w:val="en-US" w:eastAsia="zh-CN" w:bidi="ar"/>
        </w:rPr>
        <w:t>活动</w:t>
      </w:r>
    </w:p>
    <w:p w14:paraId="4478D674">
      <w:pPr>
        <w:adjustRightInd w:val="0"/>
        <w:snapToGrid w:val="0"/>
        <w:spacing w:line="360" w:lineRule="auto"/>
        <w:ind w:firstLine="560" w:firstLineChars="200"/>
        <w:rPr>
          <w:rFonts w:hint="eastAsia" w:cs="Times New Roman" w:asciiTheme="minorEastAsia" w:hAnsiTheme="minorEastAsia" w:eastAsiaTheme="minorEastAsia"/>
          <w:color w:val="auto"/>
          <w:sz w:val="28"/>
          <w:szCs w:val="28"/>
          <w:lang w:val="en-US" w:eastAsia="zh-CN"/>
        </w:rPr>
      </w:pPr>
      <w:r>
        <w:rPr>
          <w:rFonts w:hint="eastAsia" w:cs="Times New Roman" w:asciiTheme="minorEastAsia" w:hAnsiTheme="minorEastAsia" w:eastAsiaTheme="minorEastAsia"/>
          <w:color w:val="auto"/>
          <w:sz w:val="28"/>
          <w:szCs w:val="28"/>
          <w:lang w:val="en-US" w:eastAsia="zh-CN"/>
        </w:rPr>
        <w:t>根据现场调查及向当地自然资源局收集资料，矿区周边3km范围内无其他矿业权设置。</w:t>
      </w:r>
    </w:p>
    <w:p w14:paraId="33957563">
      <w:pPr>
        <w:pStyle w:val="3"/>
        <w:spacing w:before="120" w:beforeLines="50"/>
        <w:rPr>
          <w:color w:val="auto"/>
        </w:rPr>
      </w:pPr>
      <w:bookmarkStart w:id="33" w:name="_Toc5035"/>
      <w:r>
        <w:rPr>
          <w:rFonts w:hint="eastAsia"/>
          <w:color w:val="auto"/>
        </w:rPr>
        <w:t>第三节  矿区地质环境背景</w:t>
      </w:r>
      <w:bookmarkEnd w:id="33"/>
    </w:p>
    <w:p w14:paraId="07C533BB">
      <w:pPr>
        <w:spacing w:line="360" w:lineRule="auto"/>
        <w:ind w:firstLine="562" w:firstLineChars="200"/>
        <w:outlineLvl w:val="2"/>
        <w:rPr>
          <w:rFonts w:hint="eastAsia" w:ascii="宋体" w:hAnsi="宋体" w:cs="宋体"/>
          <w:b/>
          <w:bCs/>
          <w:color w:val="auto"/>
          <w:sz w:val="28"/>
          <w:szCs w:val="28"/>
        </w:rPr>
      </w:pPr>
      <w:r>
        <w:rPr>
          <w:rFonts w:hint="eastAsia" w:ascii="宋体" w:hAnsi="宋体" w:cs="宋体"/>
          <w:b/>
          <w:bCs/>
          <w:color w:val="auto"/>
          <w:sz w:val="28"/>
          <w:szCs w:val="28"/>
        </w:rPr>
        <w:t>一、区域地质概况</w:t>
      </w:r>
    </w:p>
    <w:p w14:paraId="411C165A">
      <w:pPr>
        <w:topLinePunct/>
        <w:spacing w:line="360" w:lineRule="auto"/>
        <w:ind w:firstLine="560" w:firstLineChars="200"/>
        <w:rPr>
          <w:b/>
          <w:bCs/>
          <w:color w:val="auto"/>
          <w:sz w:val="28"/>
          <w:szCs w:val="28"/>
        </w:rPr>
      </w:pPr>
      <w:r>
        <w:rPr>
          <w:rFonts w:hint="eastAsia" w:ascii="宋体" w:hAnsi="宋体"/>
          <w:color w:val="auto"/>
          <w:sz w:val="28"/>
        </w:rPr>
        <w:t>本区位于华北地台</w:t>
      </w:r>
      <w:r>
        <w:rPr>
          <w:rFonts w:ascii="宋体" w:hAnsi="宋体"/>
          <w:color w:val="auto"/>
          <w:sz w:val="28"/>
        </w:rPr>
        <w:t>(I</w:t>
      </w:r>
      <w:r>
        <w:rPr>
          <w:rFonts w:hint="eastAsia" w:ascii="宋体" w:hAnsi="宋体"/>
          <w:color w:val="auto"/>
          <w:sz w:val="28"/>
        </w:rPr>
        <w:t>级</w:t>
      </w:r>
      <w:r>
        <w:rPr>
          <w:rFonts w:ascii="宋体" w:hAnsi="宋体"/>
          <w:color w:val="auto"/>
          <w:sz w:val="28"/>
        </w:rPr>
        <w:t>)</w:t>
      </w:r>
      <w:r>
        <w:rPr>
          <w:rFonts w:hint="eastAsia" w:ascii="宋体" w:hAnsi="宋体"/>
          <w:color w:val="auto"/>
          <w:sz w:val="28"/>
        </w:rPr>
        <w:t>内蒙台隆</w:t>
      </w:r>
      <w:r>
        <w:rPr>
          <w:rFonts w:ascii="宋体" w:hAnsi="宋体"/>
          <w:color w:val="auto"/>
          <w:sz w:val="28"/>
        </w:rPr>
        <w:t>(</w:t>
      </w:r>
      <w:r>
        <w:rPr>
          <w:rFonts w:hint="eastAsia" w:ascii="宋体" w:hAnsi="宋体"/>
          <w:color w:val="auto"/>
          <w:sz w:val="28"/>
        </w:rPr>
        <w:t>Ⅱ级</w:t>
      </w:r>
      <w:r>
        <w:rPr>
          <w:rFonts w:ascii="宋体" w:hAnsi="宋体"/>
          <w:color w:val="auto"/>
          <w:sz w:val="28"/>
        </w:rPr>
        <w:t>)</w:t>
      </w:r>
      <w:r>
        <w:rPr>
          <w:rFonts w:hint="eastAsia" w:ascii="宋体" w:hAnsi="宋体"/>
          <w:color w:val="auto"/>
          <w:sz w:val="28"/>
        </w:rPr>
        <w:t>云雾山隆起</w:t>
      </w:r>
      <w:r>
        <w:rPr>
          <w:rFonts w:ascii="宋体" w:hAnsi="宋体"/>
          <w:color w:val="auto"/>
          <w:sz w:val="28"/>
        </w:rPr>
        <w:t>(</w:t>
      </w:r>
      <w:r>
        <w:rPr>
          <w:rFonts w:hint="eastAsia" w:ascii="宋体" w:hAnsi="宋体"/>
          <w:color w:val="auto"/>
          <w:sz w:val="28"/>
        </w:rPr>
        <w:t>Ⅲ级</w:t>
      </w:r>
      <w:r>
        <w:rPr>
          <w:rFonts w:ascii="宋体" w:hAnsi="宋体"/>
          <w:color w:val="auto"/>
          <w:sz w:val="28"/>
        </w:rPr>
        <w:t>)</w:t>
      </w:r>
      <w:r>
        <w:rPr>
          <w:rFonts w:hint="eastAsia" w:ascii="宋体" w:hAnsi="宋体"/>
          <w:color w:val="auto"/>
          <w:sz w:val="28"/>
        </w:rPr>
        <w:t>的北东端，化德～多伦～赤峰深断裂通过本区。中生代</w:t>
      </w:r>
      <w:r>
        <w:rPr>
          <w:rFonts w:ascii="宋体" w:hAnsi="宋体"/>
          <w:color w:val="auto"/>
          <w:sz w:val="28"/>
        </w:rPr>
        <w:t>(</w:t>
      </w:r>
      <w:r>
        <w:rPr>
          <w:rFonts w:hint="eastAsia" w:ascii="宋体" w:hAnsi="宋体"/>
          <w:color w:val="auto"/>
          <w:sz w:val="28"/>
        </w:rPr>
        <w:t>特别是燕山早期</w:t>
      </w:r>
      <w:r>
        <w:rPr>
          <w:rFonts w:ascii="宋体" w:hAnsi="宋体"/>
          <w:color w:val="auto"/>
          <w:sz w:val="28"/>
        </w:rPr>
        <w:t>)</w:t>
      </w:r>
      <w:r>
        <w:rPr>
          <w:rFonts w:hint="eastAsia" w:ascii="宋体" w:hAnsi="宋体"/>
          <w:color w:val="auto"/>
          <w:sz w:val="28"/>
        </w:rPr>
        <w:t>台隆活化，形成钙碱性火山岩带</w:t>
      </w:r>
      <w:r>
        <w:rPr>
          <w:rFonts w:ascii="宋体" w:hAnsi="宋体"/>
          <w:color w:val="auto"/>
          <w:sz w:val="28"/>
        </w:rPr>
        <w:t>(</w:t>
      </w:r>
      <w:r>
        <w:rPr>
          <w:rFonts w:hint="eastAsia" w:ascii="宋体" w:hAnsi="宋体"/>
          <w:color w:val="auto"/>
          <w:sz w:val="28"/>
        </w:rPr>
        <w:t>即大兴安岭～燕山火山岩带</w:t>
      </w:r>
      <w:r>
        <w:rPr>
          <w:rFonts w:ascii="宋体" w:hAnsi="宋体"/>
          <w:color w:val="auto"/>
          <w:sz w:val="28"/>
        </w:rPr>
        <w:t>)</w:t>
      </w:r>
      <w:r>
        <w:rPr>
          <w:rFonts w:hint="eastAsia" w:ascii="宋体" w:hAnsi="宋体"/>
          <w:color w:val="auto"/>
          <w:sz w:val="28"/>
        </w:rPr>
        <w:t>，此带迭加在太古界～元古界结晶基底之上。受大陆边缘构造～岩浆活动影响，本区东西向、北东向及北西向断裂发育，并发育有云雾山隆起、锡伯河断陷、喀喇沁隆起等北东向隆起与凹陷相间排列的构造格局。云雾山隆起内发育着太古界变质岩和燕山期中～酸性侵入岩，凹陷内广泛沉积有上侏罗统中酸性火山岩。隆起的北侧为内蒙古中部地槽褶皱系内的翁牛特隆起，内有古生界地层分布。区内燕山早期构造～岩浆活动频繁，为本区金属矿床的形成，提供了良好的成矿条件。</w:t>
      </w:r>
    </w:p>
    <w:p w14:paraId="6D925787">
      <w:pPr>
        <w:spacing w:line="360" w:lineRule="auto"/>
        <w:ind w:firstLine="562" w:firstLineChars="200"/>
        <w:outlineLvl w:val="2"/>
        <w:rPr>
          <w:rFonts w:hint="eastAsia" w:ascii="宋体" w:hAnsi="宋体"/>
          <w:color w:val="auto"/>
          <w:sz w:val="28"/>
        </w:rPr>
      </w:pPr>
      <w:r>
        <w:rPr>
          <w:b/>
          <w:bCs/>
          <w:color w:val="auto"/>
          <w:sz w:val="28"/>
          <w:szCs w:val="28"/>
        </w:rPr>
        <w:t>二、矿区地层</w:t>
      </w:r>
    </w:p>
    <w:p w14:paraId="76B0B3AF">
      <w:pPr>
        <w:spacing w:after="0"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矿区内出露的地层为上侏罗统玛尼吐组（J</w:t>
      </w:r>
      <w:r>
        <w:rPr>
          <w:rFonts w:hint="eastAsia" w:ascii="宋体" w:hAnsi="宋体" w:eastAsia="宋体" w:cs="宋体"/>
          <w:color w:val="auto"/>
          <w:sz w:val="28"/>
          <w:szCs w:val="28"/>
          <w:vertAlign w:val="subscript"/>
        </w:rPr>
        <w:t>3</w:t>
      </w:r>
      <w:r>
        <w:rPr>
          <w:rFonts w:hint="eastAsia" w:ascii="宋体" w:hAnsi="宋体" w:eastAsia="宋体" w:cs="宋体"/>
          <w:i/>
          <w:color w:val="auto"/>
          <w:sz w:val="28"/>
          <w:szCs w:val="28"/>
        </w:rPr>
        <w:t>mn</w:t>
      </w:r>
      <w:r>
        <w:rPr>
          <w:rFonts w:hint="eastAsia" w:ascii="宋体" w:hAnsi="宋体" w:eastAsia="宋体" w:cs="宋体"/>
          <w:color w:val="auto"/>
          <w:sz w:val="28"/>
          <w:szCs w:val="28"/>
        </w:rPr>
        <w:t>）。</w:t>
      </w:r>
    </w:p>
    <w:p w14:paraId="74F2E18B">
      <w:pPr>
        <w:spacing w:after="0"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上侏罗统玛尼吐组（J</w:t>
      </w:r>
      <w:r>
        <w:rPr>
          <w:rFonts w:hint="eastAsia" w:ascii="宋体" w:hAnsi="宋体" w:eastAsia="宋体" w:cs="宋体"/>
          <w:color w:val="auto"/>
          <w:sz w:val="28"/>
          <w:szCs w:val="28"/>
          <w:vertAlign w:val="subscript"/>
        </w:rPr>
        <w:t>3</w:t>
      </w:r>
      <w:r>
        <w:rPr>
          <w:rFonts w:hint="eastAsia" w:ascii="宋体" w:hAnsi="宋体" w:eastAsia="宋体" w:cs="宋体"/>
          <w:i/>
          <w:color w:val="auto"/>
          <w:sz w:val="28"/>
          <w:szCs w:val="28"/>
        </w:rPr>
        <w:t>mn</w:t>
      </w:r>
      <w:r>
        <w:rPr>
          <w:rFonts w:hint="eastAsia" w:ascii="宋体" w:hAnsi="宋体" w:eastAsia="宋体" w:cs="宋体"/>
          <w:color w:val="auto"/>
          <w:sz w:val="28"/>
          <w:szCs w:val="28"/>
        </w:rPr>
        <w:t>）</w:t>
      </w:r>
    </w:p>
    <w:p w14:paraId="156D4080">
      <w:pPr>
        <w:pStyle w:val="15"/>
        <w:widowControl w:val="0"/>
        <w:spacing w:after="0" w:line="360" w:lineRule="auto"/>
        <w:ind w:left="0" w:leftChars="0" w:firstLine="560" w:firstLineChars="200"/>
        <w:contextualSpacing/>
        <w:jc w:val="both"/>
        <w:rPr>
          <w:rFonts w:hint="eastAsia" w:ascii="宋体" w:hAnsi="宋体" w:eastAsia="宋体" w:cs="宋体"/>
          <w:color w:val="auto"/>
          <w:sz w:val="28"/>
          <w:szCs w:val="28"/>
        </w:rPr>
      </w:pPr>
      <w:r>
        <w:rPr>
          <w:rFonts w:hint="eastAsia" w:ascii="宋体" w:hAnsi="宋体" w:eastAsia="宋体" w:cs="宋体"/>
          <w:color w:val="auto"/>
          <w:sz w:val="28"/>
          <w:szCs w:val="28"/>
        </w:rPr>
        <w:t>灰黑色英安质岩屑晶屑凝灰岩。岩屑晶屑凝灰结构，厚层状构造。岩屑多为英安岩，含量15%；晶屑多为石英、长石，含少量黑色矿物，含量25％；玻屑含量3％，火山灰含量57％。地层走向151°，倾向241°，倾角10°。厚度大于175</w:t>
      </w:r>
      <w:r>
        <w:rPr>
          <w:rFonts w:hint="eastAsia" w:ascii="宋体" w:hAnsi="宋体" w:eastAsia="宋体" w:cs="宋体"/>
          <w:color w:val="auto"/>
          <w:sz w:val="28"/>
          <w:szCs w:val="28"/>
          <w:lang w:val="en-US" w:eastAsia="zh-CN"/>
        </w:rPr>
        <w:t>m</w:t>
      </w:r>
      <w:r>
        <w:rPr>
          <w:rFonts w:hint="eastAsia" w:ascii="宋体" w:hAnsi="宋体" w:eastAsia="宋体" w:cs="宋体"/>
          <w:color w:val="auto"/>
          <w:sz w:val="28"/>
          <w:szCs w:val="28"/>
        </w:rPr>
        <w:t>，连续稳定。北西角与细中粒黑云母二长花岗岩呈侵入接触关系。该地层为建筑用石料（凝灰岩）矿矿体。</w:t>
      </w:r>
    </w:p>
    <w:p w14:paraId="68772E2B">
      <w:pPr>
        <w:spacing w:line="360" w:lineRule="auto"/>
        <w:ind w:firstLine="562" w:firstLineChars="200"/>
        <w:outlineLvl w:val="2"/>
        <w:rPr>
          <w:rFonts w:hint="eastAsia" w:ascii="Times New Roman" w:hAnsi="Times New Roman" w:cs="Times New Roman"/>
          <w:b/>
          <w:bCs/>
          <w:color w:val="auto"/>
          <w:sz w:val="28"/>
          <w:szCs w:val="28"/>
        </w:rPr>
      </w:pPr>
      <w:r>
        <w:rPr>
          <w:rFonts w:hint="eastAsia" w:ascii="Times New Roman" w:hAnsi="Times New Roman" w:cs="Times New Roman"/>
          <w:b/>
          <w:bCs/>
          <w:color w:val="auto"/>
          <w:sz w:val="28"/>
          <w:szCs w:val="28"/>
        </w:rPr>
        <w:t>二、岩浆岩</w:t>
      </w:r>
    </w:p>
    <w:p w14:paraId="2F1760E7">
      <w:pPr>
        <w:pStyle w:val="15"/>
        <w:widowControl w:val="0"/>
        <w:spacing w:after="0" w:line="360" w:lineRule="auto"/>
        <w:ind w:left="0" w:leftChars="0" w:firstLine="560" w:firstLineChars="200"/>
        <w:contextualSpacing/>
        <w:jc w:val="both"/>
        <w:rPr>
          <w:rFonts w:hint="eastAsia" w:ascii="宋体" w:hAnsi="宋体" w:eastAsia="宋体" w:cs="宋体"/>
          <w:color w:val="auto"/>
          <w:sz w:val="28"/>
          <w:szCs w:val="28"/>
        </w:rPr>
      </w:pPr>
      <w:r>
        <w:rPr>
          <w:rFonts w:hint="eastAsia" w:ascii="宋体" w:hAnsi="宋体" w:eastAsia="宋体" w:cs="宋体"/>
          <w:color w:val="auto"/>
          <w:sz w:val="28"/>
          <w:szCs w:val="28"/>
        </w:rPr>
        <w:t>矿区内未见侵入岩及脉岩出露。</w:t>
      </w:r>
    </w:p>
    <w:p w14:paraId="6E5BF04B">
      <w:pPr>
        <w:spacing w:line="360" w:lineRule="auto"/>
        <w:ind w:firstLine="562" w:firstLineChars="200"/>
        <w:outlineLvl w:val="2"/>
        <w:rPr>
          <w:b/>
          <w:bCs/>
          <w:color w:val="auto"/>
          <w:sz w:val="28"/>
          <w:szCs w:val="28"/>
        </w:rPr>
      </w:pPr>
      <w:r>
        <w:rPr>
          <w:b/>
          <w:bCs/>
          <w:color w:val="auto"/>
          <w:sz w:val="28"/>
          <w:szCs w:val="28"/>
        </w:rPr>
        <w:t>三、矿区构造</w:t>
      </w:r>
    </w:p>
    <w:p w14:paraId="2F5DDA2E">
      <w:pPr>
        <w:pStyle w:val="15"/>
        <w:widowControl w:val="0"/>
        <w:spacing w:after="0" w:line="360" w:lineRule="auto"/>
        <w:ind w:left="0" w:leftChars="0" w:firstLine="560" w:firstLineChars="200"/>
        <w:contextualSpacing/>
        <w:jc w:val="both"/>
        <w:rPr>
          <w:b w:val="0"/>
          <w:bCs/>
          <w:color w:val="auto"/>
          <w:sz w:val="28"/>
          <w:szCs w:val="28"/>
        </w:rPr>
      </w:pPr>
      <w:r>
        <w:rPr>
          <w:rFonts w:hint="eastAsia" w:ascii="宋体" w:hAnsi="宋体" w:eastAsia="宋体" w:cs="宋体"/>
          <w:color w:val="auto"/>
          <w:sz w:val="28"/>
          <w:szCs w:val="28"/>
        </w:rPr>
        <w:t>矿区由于地层岩性简单，矿区面积较小，没有明显断裂构造，只有稀疏的节理裂隙，未见有明显位移的断层。</w:t>
      </w:r>
    </w:p>
    <w:p w14:paraId="35F25A7F">
      <w:pPr>
        <w:spacing w:line="360" w:lineRule="auto"/>
        <w:ind w:firstLine="562" w:firstLineChars="200"/>
        <w:outlineLvl w:val="2"/>
        <w:rPr>
          <w:b/>
          <w:bCs/>
          <w:color w:val="auto"/>
          <w:sz w:val="28"/>
          <w:szCs w:val="28"/>
        </w:rPr>
      </w:pPr>
      <w:r>
        <w:rPr>
          <w:rFonts w:hint="eastAsia"/>
          <w:b/>
          <w:bCs/>
          <w:color w:val="auto"/>
          <w:sz w:val="28"/>
          <w:szCs w:val="28"/>
          <w:lang w:val="en-US" w:eastAsia="zh-CN"/>
        </w:rPr>
        <w:t>四</w:t>
      </w:r>
      <w:r>
        <w:rPr>
          <w:b/>
          <w:bCs/>
          <w:color w:val="auto"/>
          <w:sz w:val="28"/>
          <w:szCs w:val="28"/>
        </w:rPr>
        <w:t>、区域地壳稳定性</w:t>
      </w:r>
    </w:p>
    <w:p w14:paraId="2D867C73">
      <w:pPr>
        <w:spacing w:line="360" w:lineRule="auto"/>
        <w:ind w:firstLine="560" w:firstLineChars="200"/>
        <w:rPr>
          <w:color w:val="auto"/>
          <w:sz w:val="28"/>
          <w:szCs w:val="28"/>
        </w:rPr>
      </w:pPr>
      <w:r>
        <w:rPr>
          <w:color w:val="auto"/>
          <w:sz w:val="28"/>
          <w:szCs w:val="28"/>
        </w:rPr>
        <w:t>矿区位于赤峰市松山区境内，根据《建筑抗震设计规范</w:t>
      </w:r>
      <w:r>
        <w:rPr>
          <w:rFonts w:hint="eastAsia"/>
          <w:color w:val="auto"/>
          <w:sz w:val="28"/>
          <w:szCs w:val="28"/>
        </w:rPr>
        <w:t>（2024年版）</w:t>
      </w:r>
      <w:r>
        <w:rPr>
          <w:color w:val="auto"/>
          <w:sz w:val="28"/>
          <w:szCs w:val="28"/>
        </w:rPr>
        <w:t>》(GB</w:t>
      </w:r>
      <w:r>
        <w:rPr>
          <w:rFonts w:hint="eastAsia"/>
          <w:color w:val="auto"/>
          <w:sz w:val="28"/>
          <w:szCs w:val="28"/>
        </w:rPr>
        <w:t xml:space="preserve"> </w:t>
      </w:r>
      <w:r>
        <w:rPr>
          <w:color w:val="auto"/>
          <w:sz w:val="28"/>
          <w:szCs w:val="28"/>
        </w:rPr>
        <w:t>50011</w:t>
      </w:r>
      <w:r>
        <w:rPr>
          <w:rFonts w:hint="eastAsia"/>
          <w:color w:val="auto"/>
          <w:sz w:val="28"/>
          <w:szCs w:val="28"/>
        </w:rPr>
        <w:t>-</w:t>
      </w:r>
      <w:r>
        <w:rPr>
          <w:color w:val="auto"/>
          <w:sz w:val="28"/>
          <w:szCs w:val="28"/>
        </w:rPr>
        <w:t>2010)及《中国地震动参数区划图》（GB</w:t>
      </w:r>
      <w:r>
        <w:rPr>
          <w:rFonts w:hint="eastAsia"/>
          <w:color w:val="auto"/>
          <w:sz w:val="28"/>
          <w:szCs w:val="28"/>
        </w:rPr>
        <w:t xml:space="preserve"> </w:t>
      </w:r>
      <w:r>
        <w:rPr>
          <w:color w:val="auto"/>
          <w:sz w:val="28"/>
          <w:szCs w:val="28"/>
        </w:rPr>
        <w:t>18306-2015）提供的抗震设计参数可知，</w:t>
      </w:r>
      <w:r>
        <w:rPr>
          <w:rFonts w:hint="eastAsia"/>
          <w:color w:val="auto"/>
          <w:sz w:val="28"/>
          <w:szCs w:val="28"/>
        </w:rPr>
        <w:t>Ⅱ类场地地震动</w:t>
      </w:r>
      <w:r>
        <w:rPr>
          <w:color w:val="auto"/>
          <w:sz w:val="28"/>
          <w:szCs w:val="28"/>
        </w:rPr>
        <w:t>动峰值加速度为0.05g，反应谱特征周期为0.35s，对照地震设防烈度为Ⅵ度，区域地壳稳定性属于</w:t>
      </w:r>
      <w:bookmarkStart w:id="34" w:name="_Toc210478047"/>
      <w:r>
        <w:rPr>
          <w:color w:val="auto"/>
          <w:sz w:val="28"/>
          <w:szCs w:val="28"/>
        </w:rPr>
        <w:t>稳定区。</w:t>
      </w:r>
    </w:p>
    <w:p w14:paraId="1B61181A">
      <w:pPr>
        <w:spacing w:line="360" w:lineRule="auto"/>
        <w:ind w:firstLine="562" w:firstLineChars="200"/>
        <w:outlineLvl w:val="2"/>
        <w:rPr>
          <w:rFonts w:hint="eastAsia" w:ascii="宋体" w:hAnsi="宋体" w:cs="宋体"/>
          <w:b/>
          <w:bCs/>
          <w:color w:val="auto"/>
          <w:sz w:val="28"/>
          <w:szCs w:val="28"/>
        </w:rPr>
      </w:pPr>
      <w:r>
        <w:rPr>
          <w:rFonts w:hint="eastAsia" w:ascii="宋体" w:hAnsi="宋体" w:cs="宋体"/>
          <w:b/>
          <w:bCs/>
          <w:color w:val="auto"/>
          <w:sz w:val="28"/>
          <w:szCs w:val="28"/>
          <w:lang w:val="en-US" w:eastAsia="zh-CN"/>
        </w:rPr>
        <w:t>五</w:t>
      </w:r>
      <w:r>
        <w:rPr>
          <w:rFonts w:hint="eastAsia" w:ascii="宋体" w:hAnsi="宋体" w:cs="宋体"/>
          <w:b/>
          <w:bCs/>
          <w:color w:val="auto"/>
          <w:sz w:val="28"/>
          <w:szCs w:val="28"/>
        </w:rPr>
        <w:t>、水文地质</w:t>
      </w:r>
    </w:p>
    <w:p w14:paraId="6041F50C">
      <w:pPr>
        <w:pStyle w:val="15"/>
        <w:widowControl w:val="0"/>
        <w:spacing w:after="0" w:line="360" w:lineRule="auto"/>
        <w:ind w:left="0" w:leftChars="0" w:firstLine="560" w:firstLineChars="200"/>
        <w:contextualSpacing/>
        <w:jc w:val="both"/>
        <w:rPr>
          <w:rFonts w:hint="eastAsia" w:ascii="宋体" w:hAnsi="宋体" w:eastAsia="宋体" w:cs="宋体"/>
          <w:color w:val="auto"/>
          <w:sz w:val="28"/>
          <w:szCs w:val="28"/>
        </w:rPr>
      </w:pP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一</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地下水类型</w:t>
      </w:r>
    </w:p>
    <w:p w14:paraId="7A7DE6C5">
      <w:pPr>
        <w:pStyle w:val="15"/>
        <w:widowControl w:val="0"/>
        <w:spacing w:after="0" w:line="360" w:lineRule="auto"/>
        <w:ind w:left="0" w:leftChars="0" w:firstLine="560" w:firstLineChars="200"/>
        <w:contextualSpacing/>
        <w:jc w:val="both"/>
        <w:rPr>
          <w:rFonts w:hint="eastAsia" w:ascii="宋体" w:hAnsi="宋体" w:eastAsia="宋体" w:cs="宋体"/>
          <w:color w:val="auto"/>
          <w:sz w:val="28"/>
          <w:szCs w:val="28"/>
        </w:rPr>
      </w:pPr>
      <w:r>
        <w:rPr>
          <w:rFonts w:hint="eastAsia" w:ascii="宋体" w:hAnsi="宋体" w:eastAsia="宋体" w:cs="宋体"/>
          <w:color w:val="auto"/>
          <w:sz w:val="28"/>
          <w:szCs w:val="28"/>
        </w:rPr>
        <w:t>根据矿区含水层岩性，地下水赋存条件和水力特征，矿区地下水为基岩裂隙水。</w:t>
      </w:r>
    </w:p>
    <w:p w14:paraId="1D81226F">
      <w:pPr>
        <w:pStyle w:val="15"/>
        <w:widowControl w:val="0"/>
        <w:spacing w:after="0" w:line="360" w:lineRule="auto"/>
        <w:ind w:left="0" w:leftChars="0" w:firstLine="560" w:firstLineChars="200"/>
        <w:contextualSpacing/>
        <w:jc w:val="both"/>
        <w:rPr>
          <w:rFonts w:hint="eastAsia" w:ascii="宋体" w:hAnsi="宋体" w:eastAsia="宋体" w:cs="宋体"/>
          <w:color w:val="auto"/>
          <w:sz w:val="28"/>
          <w:szCs w:val="28"/>
        </w:rPr>
      </w:pP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二</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含水层（组）分布规律</w:t>
      </w:r>
    </w:p>
    <w:p w14:paraId="1EC70C00">
      <w:pPr>
        <w:spacing w:after="0"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1、基岩裂隙水</w:t>
      </w:r>
    </w:p>
    <w:p w14:paraId="61A19675">
      <w:pPr>
        <w:spacing w:after="0"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基岩裂隙水分布于整个矿区，含水岩性为上侏罗统玛尼吐组（J</w:t>
      </w:r>
      <w:r>
        <w:rPr>
          <w:rFonts w:hint="eastAsia" w:ascii="宋体" w:hAnsi="宋体" w:eastAsia="宋体" w:cs="宋体"/>
          <w:color w:val="auto"/>
          <w:sz w:val="28"/>
          <w:szCs w:val="28"/>
          <w:vertAlign w:val="subscript"/>
        </w:rPr>
        <w:t>3</w:t>
      </w:r>
      <w:r>
        <w:rPr>
          <w:rFonts w:hint="eastAsia" w:ascii="宋体" w:hAnsi="宋体" w:eastAsia="宋体" w:cs="宋体"/>
          <w:i/>
          <w:color w:val="auto"/>
          <w:sz w:val="28"/>
          <w:szCs w:val="28"/>
        </w:rPr>
        <w:t>mn</w:t>
      </w:r>
      <w:r>
        <w:rPr>
          <w:rFonts w:hint="eastAsia" w:ascii="宋体" w:hAnsi="宋体" w:eastAsia="宋体" w:cs="宋体"/>
          <w:color w:val="auto"/>
          <w:sz w:val="28"/>
          <w:szCs w:val="28"/>
        </w:rPr>
        <w:t>）灰黑色英安质岩屑晶屑凝灰岩。含水层厚度一般小于10m，</w:t>
      </w:r>
      <w:r>
        <w:rPr>
          <w:rFonts w:hint="eastAsia" w:ascii="宋体" w:hAnsi="宋体" w:eastAsia="宋体" w:cs="宋体"/>
          <w:color w:val="auto"/>
          <w:sz w:val="28"/>
          <w:szCs w:val="28"/>
          <w:highlight w:val="none"/>
        </w:rPr>
        <w:t>水位埋深大于</w:t>
      </w:r>
      <w:r>
        <w:rPr>
          <w:rFonts w:hint="eastAsia" w:ascii="宋体" w:hAnsi="宋体" w:eastAsia="宋体" w:cs="宋体"/>
          <w:color w:val="auto"/>
          <w:sz w:val="28"/>
          <w:szCs w:val="28"/>
          <w:highlight w:val="none"/>
          <w:lang w:val="en-US" w:eastAsia="zh-CN"/>
        </w:rPr>
        <w:t>6</w:t>
      </w:r>
      <w:r>
        <w:rPr>
          <w:rFonts w:hint="eastAsia" w:ascii="宋体" w:hAnsi="宋体" w:eastAsia="宋体" w:cs="宋体"/>
          <w:color w:val="auto"/>
          <w:sz w:val="28"/>
          <w:szCs w:val="28"/>
          <w:highlight w:val="none"/>
        </w:rPr>
        <w:t>0m，当地最低侵蚀基准面标高</w:t>
      </w:r>
      <w:r>
        <w:rPr>
          <w:rFonts w:hint="eastAsia" w:ascii="宋体" w:hAnsi="宋体" w:eastAsia="宋体" w:cs="宋体"/>
          <w:color w:val="auto"/>
          <w:sz w:val="28"/>
          <w:szCs w:val="28"/>
          <w:highlight w:val="none"/>
          <w:lang w:val="en-US" w:eastAsia="zh-CN"/>
        </w:rPr>
        <w:t>818</w:t>
      </w:r>
      <w:r>
        <w:rPr>
          <w:rFonts w:hint="eastAsia" w:ascii="宋体" w:hAnsi="宋体" w:eastAsia="宋体" w:cs="宋体"/>
          <w:color w:val="auto"/>
          <w:sz w:val="28"/>
          <w:szCs w:val="28"/>
          <w:highlight w:val="none"/>
        </w:rPr>
        <w:t>m，地下水水位标高</w:t>
      </w:r>
      <w:r>
        <w:rPr>
          <w:rFonts w:hint="eastAsia" w:ascii="宋体" w:hAnsi="宋体" w:eastAsia="宋体" w:cs="宋体"/>
          <w:color w:val="auto"/>
          <w:sz w:val="28"/>
          <w:szCs w:val="28"/>
          <w:highlight w:val="none"/>
          <w:lang w:val="en-US" w:eastAsia="zh-CN"/>
        </w:rPr>
        <w:t>840</w:t>
      </w:r>
      <w:r>
        <w:rPr>
          <w:rFonts w:hint="eastAsia" w:ascii="宋体" w:hAnsi="宋体" w:eastAsia="宋体" w:cs="宋体"/>
          <w:color w:val="auto"/>
          <w:sz w:val="28"/>
          <w:szCs w:val="28"/>
          <w:highlight w:val="none"/>
        </w:rPr>
        <w:t>m，该层</w:t>
      </w:r>
      <w:r>
        <w:rPr>
          <w:rFonts w:hint="eastAsia" w:ascii="宋体" w:hAnsi="宋体" w:eastAsia="宋体" w:cs="宋体"/>
          <w:color w:val="auto"/>
          <w:sz w:val="28"/>
          <w:szCs w:val="28"/>
        </w:rPr>
        <w:t>含水层赋水条件差，富水性弱，富水极不均匀。地下水化学类型为HCO</w:t>
      </w:r>
      <w:r>
        <w:rPr>
          <w:rFonts w:hint="eastAsia" w:ascii="宋体" w:hAnsi="宋体" w:eastAsia="宋体" w:cs="宋体"/>
          <w:color w:val="auto"/>
          <w:sz w:val="28"/>
          <w:szCs w:val="28"/>
          <w:vertAlign w:val="subscript"/>
        </w:rPr>
        <w:t>3</w:t>
      </w:r>
      <w:r>
        <w:rPr>
          <w:rFonts w:hint="eastAsia" w:ascii="宋体" w:hAnsi="宋体" w:eastAsia="宋体" w:cs="宋体"/>
          <w:color w:val="auto"/>
          <w:sz w:val="28"/>
          <w:szCs w:val="28"/>
        </w:rPr>
        <w:t>-Ca•Na型，矿化度小于1g/L。矿区内无区域性主要含水层。</w:t>
      </w:r>
    </w:p>
    <w:p w14:paraId="2459ED95">
      <w:pPr>
        <w:pStyle w:val="15"/>
        <w:widowControl w:val="0"/>
        <w:spacing w:after="0" w:line="360" w:lineRule="auto"/>
        <w:ind w:left="0" w:leftChars="0" w:firstLine="560" w:firstLineChars="200"/>
        <w:contextualSpacing/>
        <w:jc w:val="both"/>
        <w:rPr>
          <w:rFonts w:hint="eastAsia" w:ascii="宋体" w:hAnsi="宋体" w:eastAsia="宋体" w:cs="宋体"/>
          <w:color w:val="auto"/>
          <w:sz w:val="28"/>
          <w:szCs w:val="28"/>
        </w:rPr>
      </w:pP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三</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地下水补给、径流、排泄条件</w:t>
      </w:r>
    </w:p>
    <w:p w14:paraId="67A10DA7">
      <w:pPr>
        <w:spacing w:after="0"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大气降水是该区地下水的主要补给来源，矿区内地下水主要受大气降水渗入补给。矿区基岩风化较强烈，残坡积物较发育且为透水不含水层，有利于大气降水渗入。矿区位于山坡部位，为补给区。地形坡度较大，有</w:t>
      </w:r>
      <w:r>
        <w:rPr>
          <w:rFonts w:hint="eastAsia" w:ascii="宋体" w:hAnsi="宋体" w:cs="宋体"/>
          <w:color w:val="auto"/>
          <w:sz w:val="28"/>
          <w:szCs w:val="28"/>
          <w:lang w:eastAsia="zh-CN"/>
        </w:rPr>
        <w:t>利于</w:t>
      </w:r>
      <w:r>
        <w:rPr>
          <w:rFonts w:hint="eastAsia" w:ascii="宋体" w:hAnsi="宋体" w:eastAsia="宋体" w:cs="宋体"/>
          <w:color w:val="auto"/>
          <w:sz w:val="28"/>
          <w:szCs w:val="28"/>
        </w:rPr>
        <w:t>地表水运动，地下水</w:t>
      </w:r>
      <w:r>
        <w:rPr>
          <w:rFonts w:hint="eastAsia" w:ascii="宋体" w:hAnsi="宋体" w:cs="宋体"/>
          <w:color w:val="auto"/>
          <w:sz w:val="28"/>
          <w:szCs w:val="28"/>
          <w:lang w:eastAsia="zh-CN"/>
        </w:rPr>
        <w:t>径流</w:t>
      </w:r>
      <w:r>
        <w:rPr>
          <w:rFonts w:hint="eastAsia" w:ascii="宋体" w:hAnsi="宋体" w:eastAsia="宋体" w:cs="宋体"/>
          <w:color w:val="auto"/>
          <w:sz w:val="28"/>
          <w:szCs w:val="28"/>
        </w:rPr>
        <w:t>条件良好。</w:t>
      </w:r>
    </w:p>
    <w:p w14:paraId="40531C85">
      <w:pPr>
        <w:spacing w:after="0"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区内地下水在地形控制下，沿着岩石节理裂隙，岩层层面分别运向低洼地带，再以潜流形式排入河流。</w:t>
      </w:r>
    </w:p>
    <w:p w14:paraId="6805BE20">
      <w:pPr>
        <w:pStyle w:val="15"/>
        <w:widowControl w:val="0"/>
        <w:spacing w:after="0" w:line="360" w:lineRule="auto"/>
        <w:ind w:left="0" w:leftChars="0" w:firstLine="560" w:firstLineChars="200"/>
        <w:contextualSpacing/>
        <w:jc w:val="both"/>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四</w:t>
      </w:r>
      <w:r>
        <w:rPr>
          <w:rFonts w:hint="eastAsia" w:ascii="宋体" w:hAnsi="宋体" w:eastAsia="宋体" w:cs="宋体"/>
          <w:color w:val="auto"/>
          <w:sz w:val="28"/>
          <w:szCs w:val="28"/>
          <w:lang w:eastAsia="zh-CN"/>
        </w:rPr>
        <w:t>）矿区水文地质勘探类型</w:t>
      </w:r>
    </w:p>
    <w:p w14:paraId="424B94DC">
      <w:pPr>
        <w:spacing w:after="0"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根据矿区地下水赋存条件及特征，按照《矿区水文地质工程地质勘</w:t>
      </w:r>
      <w:r>
        <w:rPr>
          <w:rFonts w:hint="eastAsia" w:ascii="宋体" w:hAnsi="宋体" w:eastAsia="宋体" w:cs="宋体"/>
          <w:color w:val="auto"/>
          <w:sz w:val="28"/>
          <w:szCs w:val="28"/>
          <w:lang w:val="en-US" w:eastAsia="zh-CN"/>
        </w:rPr>
        <w:t>查</w:t>
      </w:r>
      <w:r>
        <w:rPr>
          <w:rFonts w:hint="eastAsia" w:ascii="宋体" w:hAnsi="宋体" w:eastAsia="宋体" w:cs="宋体"/>
          <w:color w:val="auto"/>
          <w:sz w:val="28"/>
          <w:szCs w:val="28"/>
        </w:rPr>
        <w:t>规范》（GB12719-</w:t>
      </w:r>
      <w:r>
        <w:rPr>
          <w:rFonts w:hint="eastAsia" w:ascii="宋体" w:hAnsi="宋体" w:eastAsia="宋体" w:cs="宋体"/>
          <w:color w:val="auto"/>
          <w:sz w:val="28"/>
          <w:szCs w:val="28"/>
          <w:lang w:val="en-US" w:eastAsia="zh-CN"/>
        </w:rPr>
        <w:t>2021</w:t>
      </w:r>
      <w:r>
        <w:rPr>
          <w:rFonts w:hint="eastAsia" w:ascii="宋体" w:hAnsi="宋体" w:eastAsia="宋体" w:cs="宋体"/>
          <w:color w:val="auto"/>
          <w:sz w:val="28"/>
          <w:szCs w:val="28"/>
        </w:rPr>
        <w:t>），矿床水文地质勘探类型为第二类第一型，即以基岩裂隙</w:t>
      </w:r>
      <w:r>
        <w:rPr>
          <w:rFonts w:hint="eastAsia" w:ascii="宋体" w:hAnsi="宋体" w:cs="宋体"/>
          <w:color w:val="auto"/>
          <w:sz w:val="28"/>
          <w:szCs w:val="28"/>
          <w:lang w:eastAsia="zh-CN"/>
        </w:rPr>
        <w:t>水</w:t>
      </w:r>
      <w:r>
        <w:rPr>
          <w:rFonts w:hint="eastAsia" w:ascii="宋体" w:hAnsi="宋体" w:eastAsia="宋体" w:cs="宋体"/>
          <w:color w:val="auto"/>
          <w:sz w:val="28"/>
          <w:szCs w:val="28"/>
        </w:rPr>
        <w:t>为主的水文地质条件简单的矿床。</w:t>
      </w:r>
    </w:p>
    <w:p w14:paraId="1CBAEA3D">
      <w:pPr>
        <w:pStyle w:val="15"/>
        <w:widowControl w:val="0"/>
        <w:spacing w:after="0" w:line="360" w:lineRule="auto"/>
        <w:ind w:left="0" w:leftChars="0" w:firstLine="560" w:firstLineChars="200"/>
        <w:contextualSpacing/>
        <w:jc w:val="both"/>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五</w:t>
      </w:r>
      <w:r>
        <w:rPr>
          <w:rFonts w:hint="eastAsia" w:ascii="宋体" w:hAnsi="宋体" w:eastAsia="宋体" w:cs="宋体"/>
          <w:color w:val="auto"/>
          <w:sz w:val="28"/>
          <w:szCs w:val="28"/>
          <w:lang w:eastAsia="zh-CN"/>
        </w:rPr>
        <w:t>）地下水开采利用状况</w:t>
      </w:r>
    </w:p>
    <w:p w14:paraId="6FB9BEDD">
      <w:pPr>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矿区所在行政</w:t>
      </w:r>
      <w:r>
        <w:rPr>
          <w:rFonts w:hint="eastAsia" w:ascii="宋体" w:hAnsi="宋体" w:eastAsia="宋体" w:cs="宋体"/>
          <w:color w:val="auto"/>
          <w:sz w:val="28"/>
          <w:szCs w:val="28"/>
        </w:rPr>
        <w:t>村</w:t>
      </w:r>
      <w:r>
        <w:rPr>
          <w:rFonts w:hint="eastAsia" w:ascii="宋体" w:hAnsi="宋体" w:cs="宋体"/>
          <w:color w:val="auto"/>
          <w:sz w:val="28"/>
          <w:szCs w:val="28"/>
          <w:lang w:eastAsia="zh-CN"/>
        </w:rPr>
        <w:t>以农业为主</w:t>
      </w:r>
      <w:r>
        <w:rPr>
          <w:rFonts w:hint="eastAsia" w:ascii="宋体" w:hAnsi="宋体" w:eastAsia="宋体" w:cs="宋体"/>
          <w:color w:val="auto"/>
          <w:sz w:val="28"/>
          <w:szCs w:val="28"/>
        </w:rPr>
        <w:t>，无较大工业设施，矿区附近没有其他开采地下水的人类工程。</w:t>
      </w:r>
    </w:p>
    <w:p w14:paraId="3E17D74C">
      <w:pPr>
        <w:spacing w:line="360" w:lineRule="auto"/>
        <w:ind w:firstLine="562" w:firstLineChars="200"/>
        <w:outlineLvl w:val="2"/>
        <w:rPr>
          <w:b/>
          <w:bCs/>
          <w:color w:val="auto"/>
          <w:sz w:val="28"/>
          <w:szCs w:val="28"/>
        </w:rPr>
      </w:pPr>
      <w:r>
        <w:rPr>
          <w:rFonts w:hint="eastAsia"/>
          <w:b/>
          <w:bCs/>
          <w:color w:val="auto"/>
          <w:sz w:val="28"/>
          <w:szCs w:val="28"/>
          <w:lang w:val="en-US" w:eastAsia="zh-CN"/>
        </w:rPr>
        <w:t>六</w:t>
      </w:r>
      <w:r>
        <w:rPr>
          <w:b/>
          <w:bCs/>
          <w:color w:val="auto"/>
          <w:sz w:val="28"/>
          <w:szCs w:val="28"/>
        </w:rPr>
        <w:t>、工程地质特征</w:t>
      </w:r>
    </w:p>
    <w:p w14:paraId="4A3D5C97">
      <w:pPr>
        <w:spacing w:after="0" w:line="360" w:lineRule="auto"/>
        <w:ind w:firstLine="560" w:firstLineChars="200"/>
        <w:rPr>
          <w:rFonts w:hint="eastAsia" w:ascii="宋体" w:hAnsi="宋体" w:eastAsia="宋体" w:cs="宋体"/>
          <w:b w:val="0"/>
          <w:bCs/>
          <w:color w:val="auto"/>
          <w:sz w:val="28"/>
          <w:szCs w:val="28"/>
          <w:lang w:eastAsia="zh-CN"/>
        </w:rPr>
      </w:pPr>
      <w:r>
        <w:rPr>
          <w:rFonts w:hint="eastAsia" w:ascii="宋体" w:hAnsi="宋体" w:eastAsia="宋体" w:cs="宋体"/>
          <w:b w:val="0"/>
          <w:bCs/>
          <w:color w:val="auto"/>
          <w:sz w:val="28"/>
          <w:szCs w:val="28"/>
          <w:lang w:eastAsia="zh-CN"/>
        </w:rPr>
        <w:t>（</w:t>
      </w:r>
      <w:r>
        <w:rPr>
          <w:rFonts w:hint="eastAsia" w:ascii="宋体" w:hAnsi="宋体" w:eastAsia="宋体" w:cs="宋体"/>
          <w:b w:val="0"/>
          <w:bCs/>
          <w:color w:val="auto"/>
          <w:sz w:val="28"/>
          <w:szCs w:val="28"/>
          <w:lang w:val="en-US" w:eastAsia="zh-CN"/>
        </w:rPr>
        <w:t>一</w:t>
      </w:r>
      <w:r>
        <w:rPr>
          <w:rFonts w:hint="eastAsia" w:ascii="宋体" w:hAnsi="宋体" w:eastAsia="宋体" w:cs="宋体"/>
          <w:b w:val="0"/>
          <w:bCs/>
          <w:color w:val="auto"/>
          <w:sz w:val="28"/>
          <w:szCs w:val="28"/>
          <w:lang w:eastAsia="zh-CN"/>
        </w:rPr>
        <w:t>）</w:t>
      </w:r>
      <w:r>
        <w:rPr>
          <w:rFonts w:hint="eastAsia" w:ascii="宋体" w:hAnsi="宋体" w:eastAsia="宋体" w:cs="宋体"/>
          <w:b w:val="0"/>
          <w:bCs/>
          <w:color w:val="auto"/>
          <w:sz w:val="28"/>
          <w:szCs w:val="28"/>
        </w:rPr>
        <w:t>工程地质类型</w:t>
      </w:r>
    </w:p>
    <w:p w14:paraId="5AC178C3">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rPr>
        <w:t>根据矿区内构造特点，岩性特征及</w:t>
      </w:r>
      <w:r>
        <w:rPr>
          <w:rFonts w:hint="eastAsia" w:ascii="宋体" w:hAnsi="宋体" w:eastAsia="宋体" w:cs="宋体"/>
          <w:color w:val="auto"/>
          <w:sz w:val="28"/>
          <w:szCs w:val="28"/>
          <w:lang w:eastAsia="zh-CN"/>
        </w:rPr>
        <w:t>风</w:t>
      </w:r>
      <w:r>
        <w:rPr>
          <w:rFonts w:hint="eastAsia" w:ascii="宋体" w:hAnsi="宋体" w:eastAsia="宋体" w:cs="宋体"/>
          <w:color w:val="auto"/>
          <w:sz w:val="28"/>
          <w:szCs w:val="28"/>
        </w:rPr>
        <w:t>化程度等工程地质特征，将区内工程地质类型划分为</w:t>
      </w:r>
      <w:r>
        <w:rPr>
          <w:rFonts w:hint="eastAsia" w:ascii="宋体" w:hAnsi="宋体" w:eastAsia="宋体" w:cs="宋体"/>
          <w:color w:val="auto"/>
          <w:sz w:val="28"/>
          <w:szCs w:val="28"/>
          <w:lang w:eastAsia="zh-CN"/>
        </w:rPr>
        <w:t>以下</w:t>
      </w:r>
      <w:r>
        <w:rPr>
          <w:rFonts w:hint="eastAsia" w:ascii="宋体" w:hAnsi="宋体" w:eastAsia="宋体" w:cs="宋体"/>
          <w:color w:val="auto"/>
          <w:sz w:val="28"/>
          <w:szCs w:val="28"/>
        </w:rPr>
        <w:t>两种</w:t>
      </w:r>
      <w:r>
        <w:rPr>
          <w:rFonts w:hint="eastAsia" w:ascii="宋体" w:hAnsi="宋体" w:eastAsia="宋体" w:cs="宋体"/>
          <w:color w:val="auto"/>
          <w:sz w:val="28"/>
          <w:szCs w:val="28"/>
          <w:lang w:eastAsia="zh-CN"/>
        </w:rPr>
        <w:t>：</w:t>
      </w:r>
    </w:p>
    <w:p w14:paraId="6F4A793C">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rPr>
        <w:t>松散岩组类型</w:t>
      </w:r>
    </w:p>
    <w:p w14:paraId="7136E29D">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矿区内凝灰岩部分裸露，经风化剥蚀节理裂隙较发育，地表岩石风化破碎。风化破碎主要表现为地表残坡积物松散堆积</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在矿区范围内大面积分布，形成了厚度0.3-2.0m的风化壳。</w:t>
      </w:r>
    </w:p>
    <w:p w14:paraId="7568E814">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块状岩类</w:t>
      </w:r>
    </w:p>
    <w:p w14:paraId="3E96AF7A">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位于矿区内高坡部位和风化壳以下新鲜岩石，其岩性为凝灰岩</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岩石呈黑灰色，凝灰结构，块状构造，普氏硬度f</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10</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破碎后适合建筑用石。实验资料，凝灰岩抗压强度</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81.35MPa</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压碎指标</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9.27%为坚硬岩石。</w:t>
      </w:r>
    </w:p>
    <w:p w14:paraId="3890A1CA">
      <w:pPr>
        <w:spacing w:after="0" w:line="360" w:lineRule="auto"/>
        <w:ind w:firstLine="560" w:firstLineChars="200"/>
        <w:rPr>
          <w:rFonts w:hint="eastAsia" w:ascii="宋体" w:hAnsi="宋体" w:eastAsia="宋体" w:cs="宋体"/>
          <w:b w:val="0"/>
          <w:bCs/>
          <w:color w:val="auto"/>
          <w:sz w:val="28"/>
          <w:szCs w:val="28"/>
          <w:lang w:eastAsia="zh-CN"/>
        </w:rPr>
      </w:pPr>
      <w:r>
        <w:rPr>
          <w:rFonts w:hint="eastAsia" w:ascii="宋体" w:hAnsi="宋体" w:eastAsia="宋体" w:cs="宋体"/>
          <w:b w:val="0"/>
          <w:bCs/>
          <w:color w:val="auto"/>
          <w:sz w:val="28"/>
          <w:szCs w:val="28"/>
          <w:lang w:eastAsia="zh-CN"/>
        </w:rPr>
        <w:t>（</w:t>
      </w:r>
      <w:r>
        <w:rPr>
          <w:rFonts w:hint="eastAsia" w:ascii="宋体" w:hAnsi="宋体" w:eastAsia="宋体" w:cs="宋体"/>
          <w:b w:val="0"/>
          <w:bCs/>
          <w:color w:val="auto"/>
          <w:sz w:val="28"/>
          <w:szCs w:val="28"/>
          <w:lang w:val="en-US" w:eastAsia="zh-CN"/>
        </w:rPr>
        <w:t>二</w:t>
      </w:r>
      <w:r>
        <w:rPr>
          <w:rFonts w:hint="eastAsia" w:ascii="宋体" w:hAnsi="宋体" w:eastAsia="宋体" w:cs="宋体"/>
          <w:b w:val="0"/>
          <w:bCs/>
          <w:color w:val="auto"/>
          <w:sz w:val="28"/>
          <w:szCs w:val="28"/>
          <w:lang w:eastAsia="zh-CN"/>
        </w:rPr>
        <w:t>）矿区工程地质条件及评价</w:t>
      </w:r>
    </w:p>
    <w:p w14:paraId="08FE7040">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矿区内地质构造简单，矿体完整、坚硬稳固。矿体上部为风化带，其下为坚硬岩石，矿区内没有明显的断裂构造，仅局部地段岩石节理发育。根据矿区内凝灰岩矿体的分布特征，适合露天开采，岩体坚硬稳定但局部会有节理及小断裂存在，可能出现岩体沿构造面下滑，造成塌方等现象。根据露天采矿经验并结合矿区岩石特征，确定采场边坡角</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风化岩层50°，块状岩层60°。一般不会出现不良工程地质问题。</w:t>
      </w:r>
    </w:p>
    <w:p w14:paraId="5896975D">
      <w:pPr>
        <w:pStyle w:val="15"/>
        <w:widowControl w:val="0"/>
        <w:spacing w:after="0" w:line="360" w:lineRule="auto"/>
        <w:ind w:left="0" w:leftChars="0" w:firstLine="560" w:firstLineChars="200"/>
        <w:contextualSpacing/>
        <w:jc w:val="both"/>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lang w:eastAsia="zh-CN"/>
        </w:rPr>
        <w:t>（</w:t>
      </w:r>
      <w:r>
        <w:rPr>
          <w:rFonts w:hint="eastAsia" w:ascii="宋体" w:hAnsi="宋体" w:eastAsia="宋体" w:cs="宋体"/>
          <w:b w:val="0"/>
          <w:bCs/>
          <w:color w:val="auto"/>
          <w:sz w:val="28"/>
          <w:szCs w:val="28"/>
          <w:lang w:val="en-US" w:eastAsia="zh-CN"/>
        </w:rPr>
        <w:t>三</w:t>
      </w:r>
      <w:r>
        <w:rPr>
          <w:rFonts w:hint="eastAsia" w:ascii="宋体" w:hAnsi="宋体" w:eastAsia="宋体" w:cs="宋体"/>
          <w:b w:val="0"/>
          <w:bCs/>
          <w:color w:val="auto"/>
          <w:sz w:val="28"/>
          <w:szCs w:val="28"/>
          <w:lang w:eastAsia="zh-CN"/>
        </w:rPr>
        <w:t>）</w:t>
      </w:r>
      <w:r>
        <w:rPr>
          <w:rFonts w:hint="eastAsia" w:ascii="宋体" w:hAnsi="宋体" w:eastAsia="宋体" w:cs="宋体"/>
          <w:b w:val="0"/>
          <w:bCs/>
          <w:color w:val="auto"/>
          <w:sz w:val="28"/>
          <w:szCs w:val="28"/>
        </w:rPr>
        <w:t>矿区工程地质勘探类型</w:t>
      </w:r>
    </w:p>
    <w:p w14:paraId="11FBF60B">
      <w:pPr>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根据矿区岩土体类型及特征，依据《矿区水文地质工程地质勘</w:t>
      </w:r>
      <w:r>
        <w:rPr>
          <w:rFonts w:hint="eastAsia" w:ascii="宋体" w:hAnsi="宋体" w:eastAsia="宋体" w:cs="宋体"/>
          <w:color w:val="auto"/>
          <w:sz w:val="28"/>
          <w:szCs w:val="28"/>
          <w:lang w:val="en-US" w:eastAsia="zh-CN"/>
        </w:rPr>
        <w:t>查</w:t>
      </w:r>
      <w:r>
        <w:rPr>
          <w:rFonts w:hint="eastAsia" w:ascii="宋体" w:hAnsi="宋体" w:eastAsia="宋体" w:cs="宋体"/>
          <w:color w:val="auto"/>
          <w:sz w:val="28"/>
          <w:szCs w:val="28"/>
        </w:rPr>
        <w:t>规范》（GB12719-</w:t>
      </w:r>
      <w:r>
        <w:rPr>
          <w:rFonts w:hint="eastAsia" w:ascii="宋体" w:hAnsi="宋体" w:eastAsia="宋体" w:cs="宋体"/>
          <w:color w:val="auto"/>
          <w:sz w:val="28"/>
          <w:szCs w:val="28"/>
          <w:lang w:val="en-US" w:eastAsia="zh-CN"/>
        </w:rPr>
        <w:t>2021</w:t>
      </w:r>
      <w:r>
        <w:rPr>
          <w:rFonts w:hint="eastAsia" w:ascii="宋体" w:hAnsi="宋体" w:eastAsia="宋体" w:cs="宋体"/>
          <w:color w:val="auto"/>
          <w:sz w:val="28"/>
          <w:szCs w:val="28"/>
        </w:rPr>
        <w:t>），将本矿区工程地质勘探类型划分为</w:t>
      </w:r>
      <w:r>
        <w:rPr>
          <w:rFonts w:hint="eastAsia" w:ascii="宋体" w:hAnsi="宋体" w:eastAsia="宋体" w:cs="宋体"/>
          <w:color w:val="auto"/>
          <w:sz w:val="28"/>
          <w:szCs w:val="28"/>
          <w:highlight w:val="none"/>
        </w:rPr>
        <w:t>第二类</w:t>
      </w:r>
      <w:r>
        <w:rPr>
          <w:rFonts w:hint="eastAsia" w:ascii="宋体" w:hAnsi="宋体" w:eastAsia="宋体" w:cs="宋体"/>
          <w:color w:val="auto"/>
          <w:sz w:val="28"/>
          <w:szCs w:val="28"/>
          <w:highlight w:val="none"/>
          <w:lang w:eastAsia="zh-CN"/>
        </w:rPr>
        <w:t>第Ⅰ</w:t>
      </w:r>
      <w:r>
        <w:rPr>
          <w:rFonts w:hint="eastAsia" w:ascii="宋体" w:hAnsi="宋体" w:eastAsia="宋体" w:cs="宋体"/>
          <w:color w:val="auto"/>
          <w:sz w:val="28"/>
          <w:szCs w:val="28"/>
          <w:highlight w:val="none"/>
        </w:rPr>
        <w:t>型，</w:t>
      </w:r>
      <w:r>
        <w:rPr>
          <w:rFonts w:hint="eastAsia" w:ascii="宋体" w:hAnsi="宋体" w:eastAsia="宋体" w:cs="宋体"/>
          <w:bCs/>
          <w:color w:val="auto"/>
          <w:sz w:val="28"/>
          <w:szCs w:val="28"/>
          <w:highlight w:val="none"/>
        </w:rPr>
        <w:t>即以</w:t>
      </w:r>
      <w:r>
        <w:rPr>
          <w:rFonts w:hint="eastAsia" w:ascii="宋体" w:hAnsi="宋体" w:eastAsia="宋体" w:cs="宋体"/>
          <w:bCs/>
          <w:color w:val="auto"/>
          <w:sz w:val="28"/>
          <w:szCs w:val="28"/>
        </w:rPr>
        <w:t>块状岩类为主的工程地质条件简单的矿床。</w:t>
      </w:r>
    </w:p>
    <w:p w14:paraId="6EC33803">
      <w:pPr>
        <w:spacing w:line="360" w:lineRule="auto"/>
        <w:ind w:firstLine="562" w:firstLineChars="200"/>
        <w:outlineLvl w:val="2"/>
        <w:rPr>
          <w:b/>
          <w:bCs/>
          <w:color w:val="auto"/>
          <w:sz w:val="28"/>
          <w:szCs w:val="28"/>
        </w:rPr>
      </w:pPr>
      <w:r>
        <w:rPr>
          <w:rFonts w:hint="eastAsia"/>
          <w:b/>
          <w:bCs/>
          <w:color w:val="auto"/>
          <w:sz w:val="28"/>
          <w:szCs w:val="28"/>
          <w:lang w:val="en-US" w:eastAsia="zh-CN"/>
        </w:rPr>
        <w:t>七</w:t>
      </w:r>
      <w:r>
        <w:rPr>
          <w:b/>
          <w:bCs/>
          <w:color w:val="auto"/>
          <w:sz w:val="28"/>
          <w:szCs w:val="28"/>
        </w:rPr>
        <w:t>、矿体地质特征</w:t>
      </w:r>
    </w:p>
    <w:p w14:paraId="5521AAC9">
      <w:pPr>
        <w:spacing w:after="0" w:line="360" w:lineRule="auto"/>
        <w:ind w:firstLine="560" w:firstLineChars="200"/>
        <w:contextualSpacing/>
        <w:jc w:val="both"/>
        <w:rPr>
          <w:rFonts w:hint="eastAsia"/>
          <w:b w:val="0"/>
          <w:bCs w:val="0"/>
          <w:color w:val="auto"/>
          <w:sz w:val="28"/>
          <w:szCs w:val="28"/>
        </w:rPr>
      </w:pPr>
      <w:r>
        <w:rPr>
          <w:rFonts w:hint="eastAsia"/>
          <w:b w:val="0"/>
          <w:bCs w:val="0"/>
          <w:color w:val="auto"/>
          <w:sz w:val="28"/>
          <w:szCs w:val="28"/>
          <w:lang w:eastAsia="zh-CN"/>
        </w:rPr>
        <w:t>（</w:t>
      </w:r>
      <w:r>
        <w:rPr>
          <w:rFonts w:hint="eastAsia"/>
          <w:b w:val="0"/>
          <w:bCs w:val="0"/>
          <w:color w:val="auto"/>
          <w:sz w:val="28"/>
          <w:szCs w:val="28"/>
          <w:lang w:val="en-US" w:eastAsia="zh-CN"/>
        </w:rPr>
        <w:t>一</w:t>
      </w:r>
      <w:r>
        <w:rPr>
          <w:rFonts w:hint="eastAsia"/>
          <w:b w:val="0"/>
          <w:bCs w:val="0"/>
          <w:color w:val="auto"/>
          <w:sz w:val="28"/>
          <w:szCs w:val="28"/>
          <w:lang w:eastAsia="zh-CN"/>
        </w:rPr>
        <w:t>）</w:t>
      </w:r>
      <w:r>
        <w:rPr>
          <w:rFonts w:hint="eastAsia"/>
          <w:b w:val="0"/>
          <w:bCs w:val="0"/>
          <w:color w:val="auto"/>
          <w:sz w:val="28"/>
          <w:szCs w:val="28"/>
        </w:rPr>
        <w:t>矿体特征</w:t>
      </w:r>
    </w:p>
    <w:p w14:paraId="10ADA73B">
      <w:pPr>
        <w:snapToGrid w:val="0"/>
        <w:spacing w:after="0" w:line="360" w:lineRule="auto"/>
        <w:ind w:firstLine="482"/>
        <w:rPr>
          <w:rFonts w:hint="default" w:ascii="Times New Roman" w:hAnsi="Times New Roman" w:cs="Times New Roman"/>
          <w:color w:val="auto"/>
          <w:sz w:val="28"/>
          <w:szCs w:val="28"/>
        </w:rPr>
      </w:pPr>
      <w:bookmarkStart w:id="35" w:name="_Toc164485628"/>
      <w:bookmarkStart w:id="36" w:name="_Toc164485303"/>
      <w:bookmarkStart w:id="37" w:name="_Toc164478554"/>
      <w:bookmarkStart w:id="38" w:name="_Toc164676592"/>
      <w:bookmarkStart w:id="39" w:name="_Toc164485240"/>
      <w:bookmarkStart w:id="40" w:name="_Toc164483858"/>
      <w:r>
        <w:rPr>
          <w:rFonts w:hint="default" w:ascii="Times New Roman" w:hAnsi="Times New Roman" w:cs="Times New Roman"/>
          <w:color w:val="auto"/>
          <w:sz w:val="28"/>
          <w:szCs w:val="28"/>
        </w:rPr>
        <w:t>本矿为小型建筑用石料（凝灰岩）碎石矿床。为上侏罗统玛尼吐组（J</w:t>
      </w:r>
      <w:r>
        <w:rPr>
          <w:rFonts w:hint="default" w:ascii="Times New Roman" w:hAnsi="Times New Roman" w:cs="Times New Roman"/>
          <w:color w:val="auto"/>
          <w:sz w:val="28"/>
          <w:szCs w:val="28"/>
          <w:vertAlign w:val="subscript"/>
        </w:rPr>
        <w:t>3</w:t>
      </w:r>
      <w:r>
        <w:rPr>
          <w:rFonts w:hint="default" w:ascii="Times New Roman" w:hAnsi="Times New Roman" w:cs="Times New Roman"/>
          <w:i/>
          <w:color w:val="auto"/>
          <w:sz w:val="28"/>
          <w:szCs w:val="28"/>
        </w:rPr>
        <w:t>mn</w:t>
      </w:r>
      <w:r>
        <w:rPr>
          <w:rFonts w:hint="default" w:ascii="Times New Roman" w:hAnsi="Times New Roman" w:cs="Times New Roman"/>
          <w:color w:val="auto"/>
          <w:sz w:val="28"/>
          <w:szCs w:val="28"/>
        </w:rPr>
        <w:t>）地层，岩性为灰黑色英安质岩屑晶屑凝灰岩。赋矿标高1050m-984m。矿体厚度大于175m。矿体覆盖整个勘查区并延伸到矿权范围外。矿体形态为厚层状、较规则、连续稳定。矿体走向151°，倾向241°，倾角</w:t>
      </w:r>
      <w:bookmarkStart w:id="41" w:name="OLE_LINK8"/>
      <w:r>
        <w:rPr>
          <w:rFonts w:hint="default" w:ascii="Times New Roman" w:hAnsi="Times New Roman" w:cs="Times New Roman"/>
          <w:color w:val="auto"/>
          <w:sz w:val="28"/>
          <w:szCs w:val="28"/>
        </w:rPr>
        <w:t>10°</w:t>
      </w:r>
      <w:bookmarkEnd w:id="41"/>
      <w:r>
        <w:rPr>
          <w:rFonts w:hint="default" w:ascii="Times New Roman" w:hAnsi="Times New Roman" w:cs="Times New Roman"/>
          <w:color w:val="auto"/>
          <w:sz w:val="28"/>
          <w:szCs w:val="28"/>
        </w:rPr>
        <w:t>。矿体地表风化、剥蚀较弱，近地表处有明显的风化裂隙，风化层厚度0.3-2.0m。矿体大部分裸露，适合露天开采。</w:t>
      </w:r>
    </w:p>
    <w:p w14:paraId="63785E98">
      <w:pPr>
        <w:snapToGrid w:val="0"/>
        <w:spacing w:after="0" w:line="360" w:lineRule="auto"/>
        <w:ind w:firstLine="482"/>
        <w:rPr>
          <w:rFonts w:ascii="宋体" w:hAnsi="宋体"/>
          <w:color w:val="auto"/>
          <w:sz w:val="28"/>
          <w:szCs w:val="28"/>
        </w:rPr>
      </w:pPr>
      <w:r>
        <w:rPr>
          <w:rFonts w:ascii="宋体" w:hAnsi="宋体"/>
          <w:color w:val="auto"/>
          <w:sz w:val="28"/>
          <w:szCs w:val="28"/>
        </w:rPr>
        <w:t>矿体特征如下：</w:t>
      </w:r>
    </w:p>
    <w:p w14:paraId="58341FA6">
      <w:pPr>
        <w:snapToGrid w:val="0"/>
        <w:spacing w:after="0" w:line="360" w:lineRule="auto"/>
        <w:ind w:firstLine="482"/>
        <w:rPr>
          <w:rFonts w:hint="default" w:ascii="Times New Roman" w:hAnsi="Times New Roman" w:cs="Times New Roman"/>
          <w:color w:val="auto"/>
          <w:sz w:val="28"/>
          <w:szCs w:val="28"/>
        </w:rPr>
      </w:pPr>
      <w:r>
        <w:rPr>
          <w:rFonts w:hint="default" w:ascii="Times New Roman" w:hAnsi="Times New Roman" w:cs="Times New Roman"/>
          <w:color w:val="auto"/>
          <w:sz w:val="28"/>
          <w:szCs w:val="28"/>
        </w:rPr>
        <w:t>1、矿体形态：为厚层状、较规则。地表出露稳定，工程控制长度160m，宽100m。</w:t>
      </w:r>
    </w:p>
    <w:p w14:paraId="08B2BCA9">
      <w:pPr>
        <w:snapToGrid w:val="0"/>
        <w:spacing w:after="0" w:line="360" w:lineRule="auto"/>
        <w:ind w:firstLine="482"/>
        <w:rPr>
          <w:rFonts w:hint="default" w:ascii="Times New Roman" w:hAnsi="Times New Roman" w:cs="Times New Roman"/>
          <w:color w:val="auto"/>
          <w:sz w:val="28"/>
          <w:szCs w:val="28"/>
        </w:rPr>
      </w:pPr>
      <w:r>
        <w:rPr>
          <w:rFonts w:hint="default" w:ascii="Times New Roman" w:hAnsi="Times New Roman" w:cs="Times New Roman"/>
          <w:color w:val="auto"/>
          <w:sz w:val="28"/>
          <w:szCs w:val="28"/>
        </w:rPr>
        <w:t>2、矿体颜色及结构构造：风化面灰色，新鲜面为灰黑色，岩屑晶屑凝灰结构，厚层状构造。</w:t>
      </w:r>
    </w:p>
    <w:p w14:paraId="2BD8F9C4">
      <w:pPr>
        <w:snapToGrid w:val="0"/>
        <w:spacing w:after="0" w:line="360" w:lineRule="auto"/>
        <w:ind w:firstLine="482"/>
        <w:rPr>
          <w:rFonts w:hint="default" w:ascii="Times New Roman" w:hAnsi="Times New Roman" w:cs="Times New Roman"/>
          <w:color w:val="auto"/>
          <w:sz w:val="28"/>
          <w:szCs w:val="28"/>
        </w:rPr>
      </w:pPr>
      <w:r>
        <w:rPr>
          <w:rFonts w:hint="default" w:ascii="Times New Roman" w:hAnsi="Times New Roman" w:cs="Times New Roman"/>
          <w:color w:val="auto"/>
          <w:sz w:val="28"/>
          <w:szCs w:val="28"/>
        </w:rPr>
        <w:t>3、物质成分：主要为岩屑、晶屑、玻屑及火山灰组成。</w:t>
      </w:r>
    </w:p>
    <w:p w14:paraId="6CDC0656">
      <w:pPr>
        <w:snapToGrid w:val="0"/>
        <w:spacing w:after="0" w:line="360" w:lineRule="auto"/>
        <w:ind w:firstLine="482"/>
        <w:rPr>
          <w:rFonts w:hint="default" w:ascii="Times New Roman" w:hAnsi="Times New Roman" w:cs="Times New Roman"/>
          <w:color w:val="auto"/>
          <w:sz w:val="28"/>
          <w:szCs w:val="28"/>
        </w:rPr>
      </w:pPr>
      <w:r>
        <w:rPr>
          <w:rFonts w:hint="default" w:ascii="Times New Roman" w:hAnsi="Times New Roman" w:cs="Times New Roman"/>
          <w:color w:val="auto"/>
          <w:sz w:val="28"/>
          <w:szCs w:val="28"/>
        </w:rPr>
        <w:t>岩屑主要为英安岩，部分粉砂岩、泥岩，多呈棱角状、次棱角状，含量15%。</w:t>
      </w:r>
    </w:p>
    <w:p w14:paraId="404DA087">
      <w:pPr>
        <w:snapToGrid w:val="0"/>
        <w:spacing w:after="0" w:line="360" w:lineRule="auto"/>
        <w:ind w:firstLine="482"/>
        <w:rPr>
          <w:rFonts w:hint="default" w:ascii="Times New Roman" w:hAnsi="Times New Roman" w:cs="Times New Roman"/>
          <w:color w:val="auto"/>
          <w:sz w:val="28"/>
          <w:szCs w:val="28"/>
        </w:rPr>
      </w:pPr>
      <w:r>
        <w:rPr>
          <w:rFonts w:hint="default" w:ascii="Times New Roman" w:hAnsi="Times New Roman" w:cs="Times New Roman"/>
          <w:color w:val="auto"/>
          <w:sz w:val="28"/>
          <w:szCs w:val="28"/>
        </w:rPr>
        <w:t>晶屑主要为石英、长石，含少量黑色矿物，晶体大多呈尖角状及阶梯状。含量25%，石英晶屑多于长石晶屑。玻屑少量，玻屑含量3％。</w:t>
      </w:r>
    </w:p>
    <w:p w14:paraId="3FD52045">
      <w:pPr>
        <w:snapToGrid w:val="0"/>
        <w:spacing w:after="0" w:line="360" w:lineRule="auto"/>
        <w:ind w:firstLine="482"/>
        <w:rPr>
          <w:rFonts w:hint="default" w:ascii="Times New Roman" w:hAnsi="Times New Roman" w:cs="Times New Roman"/>
          <w:color w:val="auto"/>
          <w:sz w:val="28"/>
          <w:szCs w:val="28"/>
        </w:rPr>
      </w:pPr>
      <w:r>
        <w:rPr>
          <w:rFonts w:hint="default" w:ascii="Times New Roman" w:hAnsi="Times New Roman" w:cs="Times New Roman"/>
          <w:color w:val="auto"/>
          <w:sz w:val="28"/>
          <w:szCs w:val="28"/>
        </w:rPr>
        <w:t>胶结物为火山尘，含量﹤57%。</w:t>
      </w:r>
    </w:p>
    <w:p w14:paraId="25E72D04">
      <w:pPr>
        <w:snapToGrid w:val="0"/>
        <w:spacing w:after="0" w:line="360" w:lineRule="auto"/>
        <w:ind w:firstLine="482"/>
        <w:rPr>
          <w:rFonts w:hint="default" w:ascii="Times New Roman" w:hAnsi="Times New Roman" w:cs="Times New Roman"/>
          <w:color w:val="auto"/>
          <w:sz w:val="28"/>
          <w:szCs w:val="28"/>
        </w:rPr>
      </w:pPr>
      <w:r>
        <w:rPr>
          <w:rFonts w:hint="default" w:ascii="Times New Roman" w:hAnsi="Times New Roman" w:cs="Times New Roman"/>
          <w:color w:val="auto"/>
          <w:sz w:val="28"/>
          <w:szCs w:val="28"/>
        </w:rPr>
        <w:t>4、矿体走向151°，倾向241°，倾角10°。与地层产状一致。</w:t>
      </w:r>
    </w:p>
    <w:bookmarkEnd w:id="35"/>
    <w:bookmarkEnd w:id="36"/>
    <w:bookmarkEnd w:id="37"/>
    <w:bookmarkEnd w:id="38"/>
    <w:bookmarkEnd w:id="39"/>
    <w:bookmarkEnd w:id="40"/>
    <w:p w14:paraId="64FE2EF3">
      <w:pPr>
        <w:spacing w:after="0" w:line="360" w:lineRule="auto"/>
        <w:ind w:firstLine="560" w:firstLineChars="200"/>
        <w:contextualSpacing/>
        <w:jc w:val="both"/>
        <w:rPr>
          <w:rFonts w:hint="eastAsia"/>
          <w:b w:val="0"/>
          <w:bCs w:val="0"/>
          <w:color w:val="auto"/>
          <w:sz w:val="28"/>
          <w:szCs w:val="28"/>
          <w:lang w:val="zh-CN"/>
        </w:rPr>
      </w:pPr>
      <w:r>
        <w:rPr>
          <w:rFonts w:hint="eastAsia"/>
          <w:b w:val="0"/>
          <w:bCs w:val="0"/>
          <w:color w:val="auto"/>
          <w:sz w:val="28"/>
          <w:szCs w:val="28"/>
          <w:lang w:val="zh-CN"/>
        </w:rPr>
        <w:t>（</w:t>
      </w:r>
      <w:r>
        <w:rPr>
          <w:rFonts w:hint="eastAsia"/>
          <w:b w:val="0"/>
          <w:bCs w:val="0"/>
          <w:color w:val="auto"/>
          <w:sz w:val="28"/>
          <w:szCs w:val="28"/>
          <w:lang w:val="en-US" w:eastAsia="zh-CN"/>
        </w:rPr>
        <w:t>二</w:t>
      </w:r>
      <w:r>
        <w:rPr>
          <w:rFonts w:hint="eastAsia"/>
          <w:b w:val="0"/>
          <w:bCs w:val="0"/>
          <w:color w:val="auto"/>
          <w:sz w:val="28"/>
          <w:szCs w:val="28"/>
          <w:lang w:val="zh-CN"/>
        </w:rPr>
        <w:t>）矿石质量</w:t>
      </w:r>
    </w:p>
    <w:p w14:paraId="2BF78F6C">
      <w:pPr>
        <w:spacing w:after="0" w:line="360" w:lineRule="auto"/>
        <w:ind w:firstLine="482"/>
        <w:rPr>
          <w:color w:val="auto"/>
          <w:sz w:val="28"/>
          <w:szCs w:val="28"/>
        </w:rPr>
      </w:pPr>
      <w:r>
        <w:rPr>
          <w:color w:val="auto"/>
          <w:sz w:val="28"/>
          <w:szCs w:val="28"/>
        </w:rPr>
        <w:t>凝灰岩矿体除微弱风化外没有蚀变现象</w:t>
      </w:r>
      <w:r>
        <w:rPr>
          <w:rFonts w:hint="eastAsia"/>
          <w:color w:val="auto"/>
          <w:sz w:val="28"/>
          <w:szCs w:val="28"/>
        </w:rPr>
        <w:t>。</w:t>
      </w:r>
      <w:r>
        <w:rPr>
          <w:color w:val="auto"/>
          <w:sz w:val="28"/>
          <w:szCs w:val="28"/>
        </w:rPr>
        <w:t>根据</w:t>
      </w:r>
      <w:r>
        <w:rPr>
          <w:rFonts w:hint="eastAsia"/>
          <w:color w:val="auto"/>
          <w:sz w:val="28"/>
          <w:szCs w:val="28"/>
        </w:rPr>
        <w:t>《</w:t>
      </w:r>
      <w:r>
        <w:rPr>
          <w:rFonts w:hint="eastAsia"/>
          <w:color w:val="auto"/>
          <w:sz w:val="28"/>
          <w:szCs w:val="28"/>
          <w:lang w:val="en-US" w:eastAsia="zh-CN"/>
        </w:rPr>
        <w:t>普查报告</w:t>
      </w:r>
      <w:r>
        <w:rPr>
          <w:rFonts w:hint="eastAsia"/>
          <w:color w:val="auto"/>
          <w:sz w:val="28"/>
          <w:szCs w:val="28"/>
        </w:rPr>
        <w:t>》，</w:t>
      </w:r>
      <w:r>
        <w:rPr>
          <w:color w:val="auto"/>
          <w:sz w:val="28"/>
          <w:szCs w:val="28"/>
        </w:rPr>
        <w:t>经采样进行各项测试，均达到了建筑用</w:t>
      </w:r>
      <w:r>
        <w:rPr>
          <w:rFonts w:hint="eastAsia"/>
          <w:color w:val="auto"/>
          <w:sz w:val="28"/>
          <w:szCs w:val="28"/>
        </w:rPr>
        <w:t>石料（凝灰岩）</w:t>
      </w:r>
      <w:r>
        <w:rPr>
          <w:color w:val="auto"/>
          <w:sz w:val="28"/>
          <w:szCs w:val="28"/>
        </w:rPr>
        <w:t>碎石</w:t>
      </w:r>
      <w:r>
        <w:rPr>
          <w:rFonts w:hint="eastAsia"/>
          <w:color w:val="auto"/>
          <w:sz w:val="28"/>
          <w:szCs w:val="28"/>
        </w:rPr>
        <w:t>矿</w:t>
      </w:r>
      <w:r>
        <w:rPr>
          <w:color w:val="auto"/>
          <w:sz w:val="28"/>
          <w:szCs w:val="28"/>
        </w:rPr>
        <w:t>技术指标要求。</w:t>
      </w:r>
    </w:p>
    <w:p w14:paraId="0DB1EB3D">
      <w:pPr>
        <w:spacing w:after="0" w:line="360" w:lineRule="auto"/>
        <w:ind w:firstLine="482"/>
        <w:rPr>
          <w:rFonts w:hint="default" w:eastAsia="宋体"/>
          <w:color w:val="auto"/>
          <w:sz w:val="28"/>
          <w:szCs w:val="28"/>
          <w:lang w:val="en-US" w:eastAsia="zh-CN"/>
        </w:rPr>
      </w:pPr>
      <w:r>
        <w:rPr>
          <w:color w:val="auto"/>
          <w:sz w:val="28"/>
          <w:szCs w:val="28"/>
        </w:rPr>
        <w:t>1、粒级级配：经过筛分析，粒级级配见表</w:t>
      </w:r>
      <w:r>
        <w:rPr>
          <w:rFonts w:hint="eastAsia"/>
          <w:color w:val="auto"/>
          <w:sz w:val="28"/>
          <w:szCs w:val="28"/>
          <w:lang w:val="en-US" w:eastAsia="zh-CN"/>
        </w:rPr>
        <w:t>2</w:t>
      </w:r>
      <w:r>
        <w:rPr>
          <w:color w:val="auto"/>
          <w:sz w:val="28"/>
          <w:szCs w:val="28"/>
        </w:rPr>
        <w:t>-</w:t>
      </w:r>
      <w:r>
        <w:rPr>
          <w:rFonts w:hint="eastAsia"/>
          <w:color w:val="auto"/>
          <w:sz w:val="28"/>
          <w:szCs w:val="28"/>
          <w:lang w:val="en-US" w:eastAsia="zh-CN"/>
        </w:rPr>
        <w:t>3。</w:t>
      </w:r>
    </w:p>
    <w:p w14:paraId="4A341F6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表</w:t>
      </w:r>
      <w:r>
        <w:rPr>
          <w:rFonts w:hint="eastAsia" w:ascii="黑体" w:hAnsi="黑体" w:eastAsia="黑体" w:cs="黑体"/>
          <w:color w:val="auto"/>
          <w:sz w:val="24"/>
          <w:szCs w:val="24"/>
          <w:lang w:val="en-US" w:eastAsia="zh-CN"/>
        </w:rPr>
        <w:t>2</w:t>
      </w:r>
      <w:r>
        <w:rPr>
          <w:rFonts w:hint="eastAsia" w:ascii="黑体" w:hAnsi="黑体" w:eastAsia="黑体" w:cs="黑体"/>
          <w:color w:val="auto"/>
          <w:sz w:val="24"/>
          <w:szCs w:val="24"/>
        </w:rPr>
        <w:t>-</w:t>
      </w:r>
      <w:r>
        <w:rPr>
          <w:rFonts w:hint="eastAsia" w:ascii="黑体" w:hAnsi="黑体" w:eastAsia="黑体" w:cs="黑体"/>
          <w:color w:val="auto"/>
          <w:sz w:val="24"/>
          <w:szCs w:val="24"/>
          <w:lang w:val="en-US" w:eastAsia="zh-CN"/>
        </w:rPr>
        <w:t>3</w:t>
      </w:r>
      <w:r>
        <w:rPr>
          <w:rFonts w:hint="eastAsia" w:ascii="黑体" w:hAnsi="黑体" w:eastAsia="黑体" w:cs="黑体"/>
          <w:color w:val="auto"/>
          <w:sz w:val="24"/>
          <w:szCs w:val="24"/>
        </w:rPr>
        <w:t xml:space="preserve">  分粒级级配表</w:t>
      </w:r>
    </w:p>
    <w:p w14:paraId="3169BD17">
      <w:pPr>
        <w:snapToGrid w:val="0"/>
        <w:spacing w:before="120" w:beforeLines="50" w:after="0" w:line="360" w:lineRule="auto"/>
        <w:ind w:firstLine="560" w:firstLineChars="200"/>
        <w:rPr>
          <w:color w:val="auto"/>
          <w:sz w:val="28"/>
          <w:szCs w:val="28"/>
        </w:rPr>
      </w:pPr>
      <w:r>
        <w:rPr>
          <w:rFonts w:hint="eastAsia"/>
          <w:color w:val="auto"/>
          <w:sz w:val="28"/>
          <w:szCs w:val="28"/>
        </w:rPr>
        <w:t>根据表</w:t>
      </w:r>
      <w:r>
        <w:rPr>
          <w:rFonts w:hint="eastAsia"/>
          <w:color w:val="auto"/>
          <w:sz w:val="28"/>
          <w:szCs w:val="28"/>
          <w:lang w:val="en-US" w:eastAsia="zh-CN"/>
        </w:rPr>
        <w:t>2</w:t>
      </w:r>
      <w:r>
        <w:rPr>
          <w:rFonts w:hint="eastAsia"/>
          <w:color w:val="auto"/>
          <w:sz w:val="28"/>
          <w:szCs w:val="28"/>
        </w:rPr>
        <w:t>-</w:t>
      </w:r>
      <w:r>
        <w:rPr>
          <w:rFonts w:hint="eastAsia"/>
          <w:color w:val="auto"/>
          <w:sz w:val="28"/>
          <w:szCs w:val="28"/>
          <w:lang w:val="en-US" w:eastAsia="zh-CN"/>
        </w:rPr>
        <w:t>3</w:t>
      </w:r>
      <w:r>
        <w:rPr>
          <w:rFonts w:hint="eastAsia"/>
          <w:color w:val="auto"/>
          <w:sz w:val="28"/>
          <w:szCs w:val="28"/>
        </w:rPr>
        <w:t>可知，</w:t>
      </w:r>
      <w:r>
        <w:rPr>
          <w:color w:val="auto"/>
          <w:sz w:val="28"/>
          <w:szCs w:val="28"/>
        </w:rPr>
        <w:t>该矿石破碎后的粒度多集中在4.75-16.0mm范围</w:t>
      </w:r>
      <w:r>
        <w:rPr>
          <w:rFonts w:hint="eastAsia"/>
          <w:color w:val="auto"/>
          <w:sz w:val="28"/>
          <w:szCs w:val="28"/>
          <w:lang w:eastAsia="zh-CN"/>
        </w:rPr>
        <w:t>，</w:t>
      </w:r>
      <w:r>
        <w:rPr>
          <w:color w:val="auto"/>
          <w:sz w:val="28"/>
          <w:szCs w:val="28"/>
        </w:rPr>
        <w:t>粒度比较集中</w:t>
      </w:r>
      <w:r>
        <w:rPr>
          <w:rFonts w:hint="eastAsia"/>
          <w:color w:val="auto"/>
          <w:sz w:val="28"/>
          <w:szCs w:val="28"/>
          <w:lang w:eastAsia="zh-CN"/>
        </w:rPr>
        <w:t>，</w:t>
      </w:r>
      <w:r>
        <w:rPr>
          <w:color w:val="auto"/>
          <w:sz w:val="28"/>
          <w:szCs w:val="28"/>
        </w:rPr>
        <w:t>适合做混凝土的粗骨料。针片状颗粒含量为4%，绝大部分为砾状，适合做建筑用碎石。</w:t>
      </w:r>
    </w:p>
    <w:p w14:paraId="3D4FD988">
      <w:pPr>
        <w:spacing w:after="0" w:line="360" w:lineRule="auto"/>
        <w:ind w:firstLine="560" w:firstLineChars="200"/>
        <w:rPr>
          <w:color w:val="auto"/>
          <w:sz w:val="28"/>
          <w:szCs w:val="28"/>
        </w:rPr>
      </w:pPr>
      <w:r>
        <w:rPr>
          <w:color w:val="auto"/>
          <w:sz w:val="28"/>
          <w:szCs w:val="28"/>
        </w:rPr>
        <w:t>2、物理测试：在探槽中取新鲜未风化的凝灰岩送到实验室进行物理测试，结果见表</w:t>
      </w:r>
      <w:r>
        <w:rPr>
          <w:rFonts w:hint="eastAsia"/>
          <w:color w:val="auto"/>
          <w:sz w:val="28"/>
          <w:szCs w:val="28"/>
          <w:lang w:val="en-US" w:eastAsia="zh-CN"/>
        </w:rPr>
        <w:t>2</w:t>
      </w:r>
      <w:r>
        <w:rPr>
          <w:color w:val="auto"/>
          <w:sz w:val="28"/>
          <w:szCs w:val="28"/>
        </w:rPr>
        <w:t>-</w:t>
      </w:r>
      <w:r>
        <w:rPr>
          <w:rFonts w:hint="eastAsia"/>
          <w:color w:val="auto"/>
          <w:sz w:val="28"/>
          <w:szCs w:val="28"/>
          <w:lang w:val="en-US" w:eastAsia="zh-CN"/>
        </w:rPr>
        <w:t>4</w:t>
      </w:r>
      <w:r>
        <w:rPr>
          <w:color w:val="auto"/>
          <w:sz w:val="28"/>
          <w:szCs w:val="28"/>
        </w:rPr>
        <w:t>、表</w:t>
      </w:r>
      <w:r>
        <w:rPr>
          <w:rFonts w:hint="eastAsia"/>
          <w:color w:val="auto"/>
          <w:sz w:val="28"/>
          <w:szCs w:val="28"/>
          <w:lang w:val="en-US" w:eastAsia="zh-CN"/>
        </w:rPr>
        <w:t>2</w:t>
      </w:r>
      <w:r>
        <w:rPr>
          <w:color w:val="auto"/>
          <w:sz w:val="28"/>
          <w:szCs w:val="28"/>
        </w:rPr>
        <w:t>-</w:t>
      </w:r>
      <w:r>
        <w:rPr>
          <w:rFonts w:hint="eastAsia"/>
          <w:color w:val="auto"/>
          <w:sz w:val="28"/>
          <w:szCs w:val="28"/>
          <w:lang w:val="en-US" w:eastAsia="zh-CN"/>
        </w:rPr>
        <w:t>5</w:t>
      </w:r>
      <w:r>
        <w:rPr>
          <w:color w:val="auto"/>
          <w:sz w:val="28"/>
          <w:szCs w:val="28"/>
        </w:rPr>
        <w:t>。</w:t>
      </w:r>
    </w:p>
    <w:p w14:paraId="5CFBDC0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表</w:t>
      </w:r>
      <w:r>
        <w:rPr>
          <w:rFonts w:hint="eastAsia" w:ascii="黑体" w:hAnsi="黑体" w:eastAsia="黑体" w:cs="黑体"/>
          <w:color w:val="auto"/>
          <w:sz w:val="24"/>
          <w:szCs w:val="24"/>
          <w:lang w:val="en-US" w:eastAsia="zh-CN"/>
        </w:rPr>
        <w:t>2</w:t>
      </w:r>
      <w:r>
        <w:rPr>
          <w:rFonts w:hint="eastAsia" w:ascii="黑体" w:hAnsi="黑体" w:eastAsia="黑体" w:cs="黑体"/>
          <w:color w:val="auto"/>
          <w:sz w:val="24"/>
          <w:szCs w:val="24"/>
        </w:rPr>
        <w:t>-</w:t>
      </w:r>
      <w:r>
        <w:rPr>
          <w:rFonts w:hint="eastAsia" w:ascii="黑体" w:hAnsi="黑体" w:eastAsia="黑体" w:cs="黑体"/>
          <w:color w:val="auto"/>
          <w:sz w:val="24"/>
          <w:szCs w:val="24"/>
          <w:lang w:val="en-US" w:eastAsia="zh-CN"/>
        </w:rPr>
        <w:t>4</w:t>
      </w:r>
      <w:r>
        <w:rPr>
          <w:rFonts w:hint="eastAsia" w:ascii="黑体" w:hAnsi="黑体" w:eastAsia="黑体" w:cs="黑体"/>
          <w:color w:val="auto"/>
          <w:sz w:val="24"/>
          <w:szCs w:val="24"/>
        </w:rPr>
        <w:t xml:space="preserve">  压碎指标测试结果表</w:t>
      </w: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7"/>
        <w:gridCol w:w="1298"/>
        <w:gridCol w:w="1618"/>
        <w:gridCol w:w="2425"/>
        <w:gridCol w:w="2423"/>
      </w:tblGrid>
      <w:tr w14:paraId="6F76E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16" w:type="pct"/>
            <w:vMerge w:val="restart"/>
            <w:noWrap w:val="0"/>
            <w:vAlign w:val="center"/>
          </w:tcPr>
          <w:p w14:paraId="7CAFEAC1">
            <w:pPr>
              <w:widowControl w:val="0"/>
              <w:spacing w:after="0" w:line="240" w:lineRule="auto"/>
              <w:jc w:val="center"/>
              <w:rPr>
                <w:color w:val="auto"/>
                <w:sz w:val="21"/>
                <w:szCs w:val="21"/>
              </w:rPr>
            </w:pPr>
            <w:r>
              <w:rPr>
                <w:color w:val="auto"/>
                <w:sz w:val="21"/>
                <w:szCs w:val="21"/>
              </w:rPr>
              <w:t>岩 性</w:t>
            </w:r>
          </w:p>
        </w:tc>
        <w:tc>
          <w:tcPr>
            <w:tcW w:w="716" w:type="pct"/>
            <w:vMerge w:val="restart"/>
            <w:noWrap w:val="0"/>
            <w:vAlign w:val="center"/>
          </w:tcPr>
          <w:p w14:paraId="016A0C09">
            <w:pPr>
              <w:widowControl w:val="0"/>
              <w:spacing w:after="0" w:line="240" w:lineRule="auto"/>
              <w:jc w:val="center"/>
              <w:rPr>
                <w:color w:val="auto"/>
                <w:sz w:val="21"/>
                <w:szCs w:val="21"/>
              </w:rPr>
            </w:pPr>
            <w:r>
              <w:rPr>
                <w:color w:val="auto"/>
                <w:sz w:val="21"/>
                <w:szCs w:val="21"/>
              </w:rPr>
              <w:t>样品号</w:t>
            </w:r>
          </w:p>
        </w:tc>
        <w:tc>
          <w:tcPr>
            <w:tcW w:w="893" w:type="pct"/>
            <w:vMerge w:val="restart"/>
            <w:noWrap w:val="0"/>
            <w:vAlign w:val="center"/>
          </w:tcPr>
          <w:p w14:paraId="3B0E5A4E">
            <w:pPr>
              <w:widowControl w:val="0"/>
              <w:spacing w:after="0" w:line="240" w:lineRule="auto"/>
              <w:jc w:val="center"/>
              <w:rPr>
                <w:color w:val="auto"/>
                <w:sz w:val="21"/>
                <w:szCs w:val="21"/>
              </w:rPr>
            </w:pPr>
            <w:r>
              <w:rPr>
                <w:color w:val="auto"/>
                <w:sz w:val="21"/>
                <w:szCs w:val="21"/>
              </w:rPr>
              <w:t>采样位置</w:t>
            </w:r>
          </w:p>
        </w:tc>
        <w:tc>
          <w:tcPr>
            <w:tcW w:w="1338" w:type="pct"/>
            <w:noWrap w:val="0"/>
            <w:vAlign w:val="center"/>
          </w:tcPr>
          <w:p w14:paraId="14DCD4BE">
            <w:pPr>
              <w:widowControl w:val="0"/>
              <w:spacing w:after="0" w:line="240" w:lineRule="auto"/>
              <w:jc w:val="center"/>
              <w:rPr>
                <w:color w:val="auto"/>
                <w:sz w:val="21"/>
                <w:szCs w:val="21"/>
              </w:rPr>
            </w:pPr>
            <w:r>
              <w:rPr>
                <w:color w:val="auto"/>
                <w:sz w:val="21"/>
                <w:szCs w:val="21"/>
              </w:rPr>
              <w:t>测试结果</w:t>
            </w:r>
          </w:p>
        </w:tc>
        <w:tc>
          <w:tcPr>
            <w:tcW w:w="1338" w:type="pct"/>
            <w:noWrap w:val="0"/>
            <w:vAlign w:val="center"/>
          </w:tcPr>
          <w:p w14:paraId="08F107E9">
            <w:pPr>
              <w:widowControl w:val="0"/>
              <w:spacing w:after="0" w:line="240" w:lineRule="auto"/>
              <w:jc w:val="center"/>
              <w:rPr>
                <w:color w:val="auto"/>
                <w:sz w:val="21"/>
                <w:szCs w:val="21"/>
              </w:rPr>
            </w:pPr>
            <w:r>
              <w:rPr>
                <w:color w:val="auto"/>
                <w:sz w:val="21"/>
                <w:szCs w:val="21"/>
              </w:rPr>
              <w:t>国家标准</w:t>
            </w:r>
          </w:p>
        </w:tc>
      </w:tr>
      <w:tr w14:paraId="792C0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trPr>
        <w:tc>
          <w:tcPr>
            <w:tcW w:w="716" w:type="pct"/>
            <w:vMerge w:val="continue"/>
            <w:noWrap w:val="0"/>
            <w:vAlign w:val="center"/>
          </w:tcPr>
          <w:p w14:paraId="45CB4B22">
            <w:pPr>
              <w:widowControl w:val="0"/>
              <w:spacing w:after="0" w:line="240" w:lineRule="auto"/>
              <w:jc w:val="center"/>
              <w:rPr>
                <w:color w:val="auto"/>
                <w:sz w:val="21"/>
                <w:szCs w:val="21"/>
              </w:rPr>
            </w:pPr>
          </w:p>
        </w:tc>
        <w:tc>
          <w:tcPr>
            <w:tcW w:w="716" w:type="pct"/>
            <w:vMerge w:val="continue"/>
            <w:noWrap w:val="0"/>
            <w:vAlign w:val="center"/>
          </w:tcPr>
          <w:p w14:paraId="48955302">
            <w:pPr>
              <w:widowControl w:val="0"/>
              <w:spacing w:after="0" w:line="240" w:lineRule="auto"/>
              <w:jc w:val="center"/>
              <w:rPr>
                <w:color w:val="auto"/>
                <w:sz w:val="21"/>
                <w:szCs w:val="21"/>
              </w:rPr>
            </w:pPr>
          </w:p>
        </w:tc>
        <w:tc>
          <w:tcPr>
            <w:tcW w:w="893" w:type="pct"/>
            <w:vMerge w:val="continue"/>
            <w:noWrap w:val="0"/>
            <w:vAlign w:val="center"/>
          </w:tcPr>
          <w:p w14:paraId="06084964">
            <w:pPr>
              <w:widowControl w:val="0"/>
              <w:spacing w:after="0" w:line="240" w:lineRule="auto"/>
              <w:jc w:val="center"/>
              <w:rPr>
                <w:color w:val="auto"/>
                <w:sz w:val="21"/>
                <w:szCs w:val="21"/>
              </w:rPr>
            </w:pPr>
          </w:p>
        </w:tc>
        <w:tc>
          <w:tcPr>
            <w:tcW w:w="1338" w:type="pct"/>
            <w:noWrap w:val="0"/>
            <w:vAlign w:val="center"/>
          </w:tcPr>
          <w:p w14:paraId="778FA64B">
            <w:pPr>
              <w:widowControl w:val="0"/>
              <w:spacing w:after="0" w:line="240" w:lineRule="auto"/>
              <w:jc w:val="center"/>
              <w:rPr>
                <w:color w:val="auto"/>
                <w:sz w:val="21"/>
                <w:szCs w:val="21"/>
              </w:rPr>
            </w:pPr>
            <w:r>
              <w:rPr>
                <w:color w:val="auto"/>
                <w:sz w:val="21"/>
                <w:szCs w:val="21"/>
              </w:rPr>
              <w:t>压碎指标（%）</w:t>
            </w:r>
          </w:p>
        </w:tc>
        <w:tc>
          <w:tcPr>
            <w:tcW w:w="1338" w:type="pct"/>
            <w:noWrap w:val="0"/>
            <w:vAlign w:val="center"/>
          </w:tcPr>
          <w:p w14:paraId="16595BF4">
            <w:pPr>
              <w:widowControl w:val="0"/>
              <w:spacing w:after="0" w:line="240" w:lineRule="auto"/>
              <w:jc w:val="center"/>
              <w:rPr>
                <w:color w:val="auto"/>
                <w:sz w:val="21"/>
                <w:szCs w:val="21"/>
              </w:rPr>
            </w:pPr>
            <w:r>
              <w:rPr>
                <w:color w:val="auto"/>
                <w:sz w:val="21"/>
                <w:szCs w:val="21"/>
              </w:rPr>
              <w:t>压碎指标（%）</w:t>
            </w:r>
          </w:p>
        </w:tc>
      </w:tr>
      <w:tr w14:paraId="4F9D6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6" w:type="pct"/>
            <w:noWrap w:val="0"/>
            <w:vAlign w:val="center"/>
          </w:tcPr>
          <w:p w14:paraId="328C61E5">
            <w:pPr>
              <w:widowControl w:val="0"/>
              <w:spacing w:after="0" w:line="240" w:lineRule="auto"/>
              <w:jc w:val="center"/>
              <w:rPr>
                <w:color w:val="auto"/>
                <w:sz w:val="21"/>
                <w:szCs w:val="21"/>
              </w:rPr>
            </w:pPr>
            <w:r>
              <w:rPr>
                <w:color w:val="auto"/>
                <w:sz w:val="21"/>
                <w:szCs w:val="21"/>
              </w:rPr>
              <w:t>凝灰岩</w:t>
            </w:r>
          </w:p>
        </w:tc>
        <w:tc>
          <w:tcPr>
            <w:tcW w:w="716" w:type="pct"/>
            <w:noWrap w:val="0"/>
            <w:vAlign w:val="center"/>
          </w:tcPr>
          <w:p w14:paraId="1241BE77">
            <w:pPr>
              <w:widowControl w:val="0"/>
              <w:spacing w:after="0" w:line="240" w:lineRule="auto"/>
              <w:jc w:val="center"/>
              <w:rPr>
                <w:color w:val="auto"/>
                <w:sz w:val="21"/>
                <w:szCs w:val="21"/>
              </w:rPr>
            </w:pPr>
            <w:r>
              <w:rPr>
                <w:color w:val="auto"/>
                <w:sz w:val="21"/>
                <w:szCs w:val="21"/>
              </w:rPr>
              <w:t>YL1-1</w:t>
            </w:r>
          </w:p>
        </w:tc>
        <w:tc>
          <w:tcPr>
            <w:tcW w:w="893" w:type="pct"/>
            <w:noWrap w:val="0"/>
            <w:vAlign w:val="center"/>
          </w:tcPr>
          <w:p w14:paraId="6271DCD2">
            <w:pPr>
              <w:widowControl w:val="0"/>
              <w:spacing w:after="0" w:line="240" w:lineRule="auto"/>
              <w:jc w:val="center"/>
              <w:rPr>
                <w:color w:val="auto"/>
                <w:sz w:val="21"/>
                <w:szCs w:val="21"/>
              </w:rPr>
            </w:pPr>
            <w:r>
              <w:rPr>
                <w:color w:val="auto"/>
                <w:sz w:val="21"/>
                <w:szCs w:val="21"/>
              </w:rPr>
              <w:t>TC0</w:t>
            </w:r>
          </w:p>
        </w:tc>
        <w:tc>
          <w:tcPr>
            <w:tcW w:w="1338" w:type="pct"/>
            <w:noWrap w:val="0"/>
            <w:vAlign w:val="center"/>
          </w:tcPr>
          <w:p w14:paraId="5A3DB48F">
            <w:pPr>
              <w:widowControl w:val="0"/>
              <w:spacing w:after="0" w:line="240" w:lineRule="auto"/>
              <w:jc w:val="center"/>
              <w:rPr>
                <w:color w:val="auto"/>
                <w:sz w:val="21"/>
                <w:szCs w:val="21"/>
              </w:rPr>
            </w:pPr>
            <w:r>
              <w:rPr>
                <w:color w:val="auto"/>
                <w:sz w:val="21"/>
                <w:szCs w:val="21"/>
              </w:rPr>
              <w:t>9.15</w:t>
            </w:r>
          </w:p>
        </w:tc>
        <w:tc>
          <w:tcPr>
            <w:tcW w:w="1338" w:type="pct"/>
            <w:vMerge w:val="restart"/>
            <w:noWrap w:val="0"/>
            <w:vAlign w:val="center"/>
          </w:tcPr>
          <w:p w14:paraId="38D8995A">
            <w:pPr>
              <w:widowControl w:val="0"/>
              <w:spacing w:after="0" w:line="240" w:lineRule="auto"/>
              <w:jc w:val="center"/>
              <w:rPr>
                <w:color w:val="auto"/>
                <w:sz w:val="21"/>
                <w:szCs w:val="21"/>
              </w:rPr>
            </w:pPr>
            <w:r>
              <w:rPr>
                <w:color w:val="auto"/>
                <w:sz w:val="21"/>
                <w:szCs w:val="21"/>
              </w:rPr>
              <w:t>＜10%</w:t>
            </w:r>
          </w:p>
        </w:tc>
      </w:tr>
      <w:tr w14:paraId="7AF17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6" w:type="pct"/>
            <w:noWrap w:val="0"/>
            <w:vAlign w:val="center"/>
          </w:tcPr>
          <w:p w14:paraId="3E9CD67A">
            <w:pPr>
              <w:widowControl w:val="0"/>
              <w:spacing w:after="0" w:line="240" w:lineRule="auto"/>
              <w:jc w:val="center"/>
              <w:rPr>
                <w:color w:val="auto"/>
                <w:sz w:val="21"/>
                <w:szCs w:val="21"/>
              </w:rPr>
            </w:pPr>
            <w:r>
              <w:rPr>
                <w:color w:val="auto"/>
                <w:sz w:val="21"/>
                <w:szCs w:val="21"/>
              </w:rPr>
              <w:t>凝灰岩</w:t>
            </w:r>
          </w:p>
        </w:tc>
        <w:tc>
          <w:tcPr>
            <w:tcW w:w="716" w:type="pct"/>
            <w:noWrap w:val="0"/>
            <w:vAlign w:val="center"/>
          </w:tcPr>
          <w:p w14:paraId="4D84D1A9">
            <w:pPr>
              <w:widowControl w:val="0"/>
              <w:spacing w:after="0" w:line="240" w:lineRule="auto"/>
              <w:jc w:val="center"/>
              <w:rPr>
                <w:color w:val="auto"/>
                <w:sz w:val="21"/>
                <w:szCs w:val="21"/>
              </w:rPr>
            </w:pPr>
            <w:r>
              <w:rPr>
                <w:color w:val="auto"/>
                <w:sz w:val="21"/>
                <w:szCs w:val="21"/>
              </w:rPr>
              <w:t>YL2-2</w:t>
            </w:r>
          </w:p>
        </w:tc>
        <w:tc>
          <w:tcPr>
            <w:tcW w:w="893" w:type="pct"/>
            <w:noWrap w:val="0"/>
            <w:vAlign w:val="center"/>
          </w:tcPr>
          <w:p w14:paraId="1F35C31D">
            <w:pPr>
              <w:widowControl w:val="0"/>
              <w:spacing w:after="0" w:line="240" w:lineRule="auto"/>
              <w:jc w:val="center"/>
              <w:rPr>
                <w:color w:val="auto"/>
                <w:sz w:val="21"/>
                <w:szCs w:val="21"/>
              </w:rPr>
            </w:pPr>
            <w:r>
              <w:rPr>
                <w:color w:val="auto"/>
                <w:sz w:val="21"/>
                <w:szCs w:val="21"/>
              </w:rPr>
              <w:t>TC1</w:t>
            </w:r>
          </w:p>
        </w:tc>
        <w:tc>
          <w:tcPr>
            <w:tcW w:w="1338" w:type="pct"/>
            <w:noWrap w:val="0"/>
            <w:vAlign w:val="center"/>
          </w:tcPr>
          <w:p w14:paraId="50E189BC">
            <w:pPr>
              <w:widowControl w:val="0"/>
              <w:spacing w:after="0" w:line="240" w:lineRule="auto"/>
              <w:jc w:val="center"/>
              <w:rPr>
                <w:color w:val="auto"/>
                <w:sz w:val="21"/>
                <w:szCs w:val="21"/>
              </w:rPr>
            </w:pPr>
            <w:r>
              <w:rPr>
                <w:color w:val="auto"/>
                <w:sz w:val="21"/>
                <w:szCs w:val="21"/>
              </w:rPr>
              <w:t>9.29</w:t>
            </w:r>
          </w:p>
        </w:tc>
        <w:tc>
          <w:tcPr>
            <w:tcW w:w="1338" w:type="pct"/>
            <w:vMerge w:val="continue"/>
            <w:noWrap w:val="0"/>
            <w:vAlign w:val="center"/>
          </w:tcPr>
          <w:p w14:paraId="1E0DEEFF">
            <w:pPr>
              <w:widowControl w:val="0"/>
              <w:spacing w:after="0" w:line="240" w:lineRule="auto"/>
              <w:jc w:val="center"/>
              <w:rPr>
                <w:color w:val="auto"/>
                <w:sz w:val="21"/>
                <w:szCs w:val="21"/>
              </w:rPr>
            </w:pPr>
          </w:p>
        </w:tc>
      </w:tr>
      <w:tr w14:paraId="65071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6" w:type="pct"/>
            <w:noWrap w:val="0"/>
            <w:vAlign w:val="center"/>
          </w:tcPr>
          <w:p w14:paraId="6AE14513">
            <w:pPr>
              <w:widowControl w:val="0"/>
              <w:spacing w:after="0" w:line="240" w:lineRule="auto"/>
              <w:jc w:val="center"/>
              <w:rPr>
                <w:color w:val="auto"/>
                <w:sz w:val="21"/>
                <w:szCs w:val="21"/>
              </w:rPr>
            </w:pPr>
            <w:r>
              <w:rPr>
                <w:color w:val="auto"/>
                <w:sz w:val="21"/>
                <w:szCs w:val="21"/>
              </w:rPr>
              <w:t>凝灰岩</w:t>
            </w:r>
          </w:p>
        </w:tc>
        <w:tc>
          <w:tcPr>
            <w:tcW w:w="716" w:type="pct"/>
            <w:noWrap w:val="0"/>
            <w:vAlign w:val="center"/>
          </w:tcPr>
          <w:p w14:paraId="7196F8BD">
            <w:pPr>
              <w:widowControl w:val="0"/>
              <w:spacing w:after="0" w:line="240" w:lineRule="auto"/>
              <w:jc w:val="center"/>
              <w:rPr>
                <w:color w:val="auto"/>
                <w:sz w:val="21"/>
                <w:szCs w:val="21"/>
              </w:rPr>
            </w:pPr>
            <w:r>
              <w:rPr>
                <w:color w:val="auto"/>
                <w:sz w:val="21"/>
                <w:szCs w:val="21"/>
              </w:rPr>
              <w:t>YL3-3</w:t>
            </w:r>
          </w:p>
        </w:tc>
        <w:tc>
          <w:tcPr>
            <w:tcW w:w="893" w:type="pct"/>
            <w:noWrap w:val="0"/>
            <w:vAlign w:val="center"/>
          </w:tcPr>
          <w:p w14:paraId="3EB5D8E8">
            <w:pPr>
              <w:widowControl w:val="0"/>
              <w:spacing w:after="0" w:line="240" w:lineRule="auto"/>
              <w:jc w:val="center"/>
              <w:rPr>
                <w:color w:val="auto"/>
                <w:sz w:val="21"/>
                <w:szCs w:val="21"/>
              </w:rPr>
            </w:pPr>
            <w:r>
              <w:rPr>
                <w:color w:val="auto"/>
                <w:sz w:val="21"/>
                <w:szCs w:val="21"/>
              </w:rPr>
              <w:t>TC2</w:t>
            </w:r>
          </w:p>
        </w:tc>
        <w:tc>
          <w:tcPr>
            <w:tcW w:w="1338" w:type="pct"/>
            <w:noWrap w:val="0"/>
            <w:vAlign w:val="center"/>
          </w:tcPr>
          <w:p w14:paraId="5FA0CFE2">
            <w:pPr>
              <w:widowControl w:val="0"/>
              <w:spacing w:after="0" w:line="240" w:lineRule="auto"/>
              <w:jc w:val="center"/>
              <w:rPr>
                <w:color w:val="auto"/>
                <w:sz w:val="21"/>
                <w:szCs w:val="21"/>
              </w:rPr>
            </w:pPr>
            <w:r>
              <w:rPr>
                <w:color w:val="auto"/>
                <w:sz w:val="21"/>
                <w:szCs w:val="21"/>
              </w:rPr>
              <w:t>9.37</w:t>
            </w:r>
          </w:p>
        </w:tc>
        <w:tc>
          <w:tcPr>
            <w:tcW w:w="1338" w:type="pct"/>
            <w:vMerge w:val="continue"/>
            <w:noWrap w:val="0"/>
            <w:vAlign w:val="center"/>
          </w:tcPr>
          <w:p w14:paraId="4DDEE9C7">
            <w:pPr>
              <w:widowControl w:val="0"/>
              <w:spacing w:after="0" w:line="240" w:lineRule="auto"/>
              <w:jc w:val="center"/>
              <w:rPr>
                <w:color w:val="auto"/>
                <w:sz w:val="21"/>
                <w:szCs w:val="21"/>
              </w:rPr>
            </w:pPr>
          </w:p>
        </w:tc>
      </w:tr>
      <w:tr w14:paraId="6D34A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25" w:type="pct"/>
            <w:gridSpan w:val="3"/>
            <w:noWrap w:val="0"/>
            <w:vAlign w:val="center"/>
          </w:tcPr>
          <w:p w14:paraId="37707F65">
            <w:pPr>
              <w:widowControl w:val="0"/>
              <w:spacing w:after="0" w:line="240" w:lineRule="auto"/>
              <w:jc w:val="center"/>
              <w:rPr>
                <w:color w:val="auto"/>
                <w:sz w:val="21"/>
                <w:szCs w:val="21"/>
              </w:rPr>
            </w:pPr>
            <w:r>
              <w:rPr>
                <w:color w:val="auto"/>
                <w:sz w:val="21"/>
                <w:szCs w:val="21"/>
              </w:rPr>
              <w:t>平均压碎指标（%）</w:t>
            </w:r>
          </w:p>
        </w:tc>
        <w:tc>
          <w:tcPr>
            <w:tcW w:w="1338" w:type="pct"/>
            <w:noWrap w:val="0"/>
            <w:vAlign w:val="center"/>
          </w:tcPr>
          <w:p w14:paraId="23ABFA9D">
            <w:pPr>
              <w:widowControl w:val="0"/>
              <w:spacing w:after="0" w:line="240" w:lineRule="auto"/>
              <w:jc w:val="center"/>
              <w:rPr>
                <w:color w:val="auto"/>
                <w:sz w:val="21"/>
                <w:szCs w:val="21"/>
              </w:rPr>
            </w:pPr>
            <w:r>
              <w:rPr>
                <w:color w:val="auto"/>
                <w:sz w:val="21"/>
                <w:szCs w:val="21"/>
              </w:rPr>
              <w:t>9.27</w:t>
            </w:r>
          </w:p>
        </w:tc>
        <w:tc>
          <w:tcPr>
            <w:tcW w:w="1338" w:type="pct"/>
            <w:noWrap w:val="0"/>
            <w:vAlign w:val="center"/>
          </w:tcPr>
          <w:p w14:paraId="14CAFAEA">
            <w:pPr>
              <w:widowControl w:val="0"/>
              <w:spacing w:after="0" w:line="240" w:lineRule="auto"/>
              <w:jc w:val="center"/>
              <w:rPr>
                <w:color w:val="auto"/>
                <w:sz w:val="21"/>
                <w:szCs w:val="21"/>
              </w:rPr>
            </w:pPr>
          </w:p>
        </w:tc>
      </w:tr>
    </w:tbl>
    <w:p w14:paraId="51875E6B">
      <w:pPr>
        <w:keepNext w:val="0"/>
        <w:keepLines w:val="0"/>
        <w:pageBreakBefore w:val="0"/>
        <w:widowControl/>
        <w:kinsoku/>
        <w:wordWrap/>
        <w:overflowPunct/>
        <w:topLinePunct w:val="0"/>
        <w:autoSpaceDE/>
        <w:autoSpaceDN/>
        <w:bidi w:val="0"/>
        <w:adjustRightInd/>
        <w:snapToGrid/>
        <w:spacing w:before="144" w:beforeLines="50" w:after="0" w:line="240" w:lineRule="auto"/>
        <w:jc w:val="center"/>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表</w:t>
      </w:r>
      <w:r>
        <w:rPr>
          <w:rFonts w:hint="eastAsia" w:ascii="黑体" w:hAnsi="黑体" w:eastAsia="黑体" w:cs="黑体"/>
          <w:color w:val="auto"/>
          <w:sz w:val="24"/>
          <w:szCs w:val="24"/>
          <w:lang w:val="en-US" w:eastAsia="zh-CN"/>
        </w:rPr>
        <w:t>2</w:t>
      </w:r>
      <w:r>
        <w:rPr>
          <w:rFonts w:hint="eastAsia" w:ascii="黑体" w:hAnsi="黑体" w:eastAsia="黑体" w:cs="黑体"/>
          <w:color w:val="auto"/>
          <w:sz w:val="24"/>
          <w:szCs w:val="24"/>
        </w:rPr>
        <w:t>-</w:t>
      </w:r>
      <w:r>
        <w:rPr>
          <w:rFonts w:hint="eastAsia" w:ascii="黑体" w:hAnsi="黑体" w:eastAsia="黑体" w:cs="黑体"/>
          <w:color w:val="auto"/>
          <w:sz w:val="24"/>
          <w:szCs w:val="24"/>
          <w:lang w:val="en-US" w:eastAsia="zh-CN"/>
        </w:rPr>
        <w:t>5</w:t>
      </w:r>
      <w:r>
        <w:rPr>
          <w:rFonts w:hint="eastAsia" w:ascii="黑体" w:hAnsi="黑体" w:eastAsia="黑体" w:cs="黑体"/>
          <w:color w:val="auto"/>
          <w:sz w:val="24"/>
          <w:szCs w:val="24"/>
        </w:rPr>
        <w:t xml:space="preserve">  岩石抗压强度测试结果表</w:t>
      </w: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0"/>
        <w:gridCol w:w="1238"/>
        <w:gridCol w:w="2671"/>
        <w:gridCol w:w="2051"/>
        <w:gridCol w:w="1961"/>
      </w:tblGrid>
      <w:tr w14:paraId="22474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 w:hRule="atLeast"/>
        </w:trPr>
        <w:tc>
          <w:tcPr>
            <w:tcW w:w="629" w:type="pct"/>
            <w:vMerge w:val="restart"/>
            <w:noWrap w:val="0"/>
            <w:vAlign w:val="center"/>
          </w:tcPr>
          <w:p w14:paraId="566907BB">
            <w:pPr>
              <w:widowControl w:val="0"/>
              <w:spacing w:after="0" w:line="240" w:lineRule="auto"/>
              <w:jc w:val="center"/>
              <w:rPr>
                <w:color w:val="auto"/>
                <w:sz w:val="21"/>
                <w:szCs w:val="21"/>
              </w:rPr>
            </w:pPr>
            <w:r>
              <w:rPr>
                <w:color w:val="auto"/>
                <w:sz w:val="21"/>
                <w:szCs w:val="21"/>
              </w:rPr>
              <w:t>岩 性</w:t>
            </w:r>
          </w:p>
        </w:tc>
        <w:tc>
          <w:tcPr>
            <w:tcW w:w="683" w:type="pct"/>
            <w:vMerge w:val="restart"/>
            <w:noWrap w:val="0"/>
            <w:vAlign w:val="center"/>
          </w:tcPr>
          <w:p w14:paraId="57B962DD">
            <w:pPr>
              <w:widowControl w:val="0"/>
              <w:spacing w:after="0" w:line="240" w:lineRule="auto"/>
              <w:jc w:val="center"/>
              <w:rPr>
                <w:color w:val="auto"/>
                <w:sz w:val="21"/>
                <w:szCs w:val="21"/>
              </w:rPr>
            </w:pPr>
            <w:r>
              <w:rPr>
                <w:color w:val="auto"/>
                <w:sz w:val="21"/>
                <w:szCs w:val="21"/>
              </w:rPr>
              <w:t>样品号</w:t>
            </w:r>
          </w:p>
        </w:tc>
        <w:tc>
          <w:tcPr>
            <w:tcW w:w="1474" w:type="pct"/>
            <w:vMerge w:val="restart"/>
            <w:noWrap w:val="0"/>
            <w:vAlign w:val="center"/>
          </w:tcPr>
          <w:p w14:paraId="3AB67F92">
            <w:pPr>
              <w:widowControl w:val="0"/>
              <w:spacing w:after="0" w:line="240" w:lineRule="auto"/>
              <w:jc w:val="center"/>
              <w:rPr>
                <w:color w:val="auto"/>
                <w:sz w:val="21"/>
                <w:szCs w:val="21"/>
              </w:rPr>
            </w:pPr>
            <w:r>
              <w:rPr>
                <w:color w:val="auto"/>
                <w:sz w:val="21"/>
                <w:szCs w:val="21"/>
              </w:rPr>
              <w:t>采样位置</w:t>
            </w:r>
          </w:p>
        </w:tc>
        <w:tc>
          <w:tcPr>
            <w:tcW w:w="1132" w:type="pct"/>
            <w:noWrap w:val="0"/>
            <w:vAlign w:val="center"/>
          </w:tcPr>
          <w:p w14:paraId="0DD263B9">
            <w:pPr>
              <w:widowControl w:val="0"/>
              <w:spacing w:after="0" w:line="240" w:lineRule="auto"/>
              <w:jc w:val="center"/>
              <w:rPr>
                <w:color w:val="auto"/>
                <w:sz w:val="21"/>
                <w:szCs w:val="21"/>
              </w:rPr>
            </w:pPr>
            <w:r>
              <w:rPr>
                <w:color w:val="auto"/>
                <w:sz w:val="21"/>
                <w:szCs w:val="21"/>
              </w:rPr>
              <w:t>测试结果</w:t>
            </w:r>
          </w:p>
        </w:tc>
        <w:tc>
          <w:tcPr>
            <w:tcW w:w="1082" w:type="pct"/>
            <w:noWrap w:val="0"/>
            <w:vAlign w:val="center"/>
          </w:tcPr>
          <w:p w14:paraId="03E04D8D">
            <w:pPr>
              <w:widowControl w:val="0"/>
              <w:spacing w:after="0" w:line="240" w:lineRule="auto"/>
              <w:jc w:val="center"/>
              <w:rPr>
                <w:color w:val="auto"/>
                <w:sz w:val="21"/>
                <w:szCs w:val="21"/>
              </w:rPr>
            </w:pPr>
            <w:r>
              <w:rPr>
                <w:color w:val="auto"/>
                <w:sz w:val="21"/>
                <w:szCs w:val="21"/>
              </w:rPr>
              <w:t>国家标准</w:t>
            </w:r>
          </w:p>
        </w:tc>
      </w:tr>
      <w:tr w14:paraId="70440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 w:hRule="atLeast"/>
        </w:trPr>
        <w:tc>
          <w:tcPr>
            <w:tcW w:w="629" w:type="pct"/>
            <w:vMerge w:val="continue"/>
            <w:noWrap w:val="0"/>
            <w:vAlign w:val="center"/>
          </w:tcPr>
          <w:p w14:paraId="7B2ABA39">
            <w:pPr>
              <w:widowControl w:val="0"/>
              <w:spacing w:after="0" w:line="240" w:lineRule="auto"/>
              <w:jc w:val="center"/>
              <w:rPr>
                <w:color w:val="auto"/>
                <w:sz w:val="21"/>
                <w:szCs w:val="21"/>
              </w:rPr>
            </w:pPr>
          </w:p>
        </w:tc>
        <w:tc>
          <w:tcPr>
            <w:tcW w:w="683" w:type="pct"/>
            <w:vMerge w:val="continue"/>
            <w:noWrap w:val="0"/>
            <w:vAlign w:val="center"/>
          </w:tcPr>
          <w:p w14:paraId="6AACB919">
            <w:pPr>
              <w:widowControl w:val="0"/>
              <w:spacing w:after="0" w:line="240" w:lineRule="auto"/>
              <w:jc w:val="center"/>
              <w:rPr>
                <w:color w:val="auto"/>
                <w:sz w:val="21"/>
                <w:szCs w:val="21"/>
              </w:rPr>
            </w:pPr>
          </w:p>
        </w:tc>
        <w:tc>
          <w:tcPr>
            <w:tcW w:w="1474" w:type="pct"/>
            <w:vMerge w:val="continue"/>
            <w:noWrap w:val="0"/>
            <w:vAlign w:val="center"/>
          </w:tcPr>
          <w:p w14:paraId="3216EA9B">
            <w:pPr>
              <w:widowControl w:val="0"/>
              <w:spacing w:after="0" w:line="240" w:lineRule="auto"/>
              <w:jc w:val="center"/>
              <w:rPr>
                <w:color w:val="auto"/>
                <w:sz w:val="21"/>
                <w:szCs w:val="21"/>
              </w:rPr>
            </w:pPr>
          </w:p>
        </w:tc>
        <w:tc>
          <w:tcPr>
            <w:tcW w:w="1132" w:type="pct"/>
            <w:noWrap w:val="0"/>
            <w:vAlign w:val="center"/>
          </w:tcPr>
          <w:p w14:paraId="499E25E4">
            <w:pPr>
              <w:widowControl w:val="0"/>
              <w:spacing w:after="0" w:line="240" w:lineRule="auto"/>
              <w:jc w:val="center"/>
              <w:rPr>
                <w:color w:val="auto"/>
                <w:sz w:val="21"/>
                <w:szCs w:val="21"/>
              </w:rPr>
            </w:pPr>
            <w:r>
              <w:rPr>
                <w:color w:val="auto"/>
                <w:sz w:val="21"/>
                <w:szCs w:val="21"/>
              </w:rPr>
              <w:t>抗压强度(MPa)</w:t>
            </w:r>
          </w:p>
        </w:tc>
        <w:tc>
          <w:tcPr>
            <w:tcW w:w="1082" w:type="pct"/>
            <w:noWrap w:val="0"/>
            <w:vAlign w:val="center"/>
          </w:tcPr>
          <w:p w14:paraId="7CD9CBB2">
            <w:pPr>
              <w:widowControl w:val="0"/>
              <w:spacing w:after="0" w:line="240" w:lineRule="auto"/>
              <w:jc w:val="center"/>
              <w:rPr>
                <w:color w:val="auto"/>
                <w:sz w:val="21"/>
                <w:szCs w:val="21"/>
              </w:rPr>
            </w:pPr>
            <w:r>
              <w:rPr>
                <w:color w:val="auto"/>
                <w:sz w:val="21"/>
                <w:szCs w:val="21"/>
              </w:rPr>
              <w:t>抗压强度(MPa)</w:t>
            </w:r>
          </w:p>
        </w:tc>
      </w:tr>
      <w:tr w14:paraId="10D79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9" w:type="pct"/>
            <w:noWrap w:val="0"/>
            <w:vAlign w:val="center"/>
          </w:tcPr>
          <w:p w14:paraId="5AD1DBBE">
            <w:pPr>
              <w:widowControl w:val="0"/>
              <w:spacing w:after="0" w:line="240" w:lineRule="auto"/>
              <w:jc w:val="center"/>
              <w:rPr>
                <w:color w:val="auto"/>
                <w:sz w:val="21"/>
                <w:szCs w:val="21"/>
              </w:rPr>
            </w:pPr>
            <w:r>
              <w:rPr>
                <w:color w:val="auto"/>
                <w:sz w:val="21"/>
                <w:szCs w:val="21"/>
              </w:rPr>
              <w:t>凝灰岩</w:t>
            </w:r>
          </w:p>
        </w:tc>
        <w:tc>
          <w:tcPr>
            <w:tcW w:w="683" w:type="pct"/>
            <w:noWrap w:val="0"/>
            <w:vAlign w:val="center"/>
          </w:tcPr>
          <w:p w14:paraId="2823AB0E">
            <w:pPr>
              <w:widowControl w:val="0"/>
              <w:spacing w:after="0" w:line="240" w:lineRule="auto"/>
              <w:jc w:val="center"/>
              <w:rPr>
                <w:color w:val="auto"/>
                <w:sz w:val="21"/>
                <w:szCs w:val="21"/>
              </w:rPr>
            </w:pPr>
            <w:r>
              <w:rPr>
                <w:color w:val="auto"/>
                <w:sz w:val="21"/>
                <w:szCs w:val="21"/>
              </w:rPr>
              <w:t>YL1</w:t>
            </w:r>
          </w:p>
        </w:tc>
        <w:tc>
          <w:tcPr>
            <w:tcW w:w="1474" w:type="pct"/>
            <w:noWrap w:val="0"/>
            <w:vAlign w:val="center"/>
          </w:tcPr>
          <w:p w14:paraId="31F3892A">
            <w:pPr>
              <w:widowControl w:val="0"/>
              <w:spacing w:after="0" w:line="240" w:lineRule="auto"/>
              <w:jc w:val="center"/>
              <w:rPr>
                <w:color w:val="auto"/>
                <w:sz w:val="21"/>
                <w:szCs w:val="21"/>
              </w:rPr>
            </w:pPr>
            <w:r>
              <w:rPr>
                <w:color w:val="auto"/>
                <w:sz w:val="21"/>
                <w:szCs w:val="21"/>
              </w:rPr>
              <w:t>TC0</w:t>
            </w:r>
          </w:p>
        </w:tc>
        <w:tc>
          <w:tcPr>
            <w:tcW w:w="1132" w:type="pct"/>
            <w:noWrap w:val="0"/>
            <w:vAlign w:val="center"/>
          </w:tcPr>
          <w:p w14:paraId="082A9C40">
            <w:pPr>
              <w:widowControl w:val="0"/>
              <w:spacing w:after="0" w:line="240" w:lineRule="auto"/>
              <w:jc w:val="center"/>
              <w:rPr>
                <w:color w:val="auto"/>
                <w:sz w:val="21"/>
                <w:szCs w:val="21"/>
              </w:rPr>
            </w:pPr>
            <w:r>
              <w:rPr>
                <w:color w:val="auto"/>
                <w:sz w:val="21"/>
                <w:szCs w:val="21"/>
              </w:rPr>
              <w:t>80.13</w:t>
            </w:r>
          </w:p>
        </w:tc>
        <w:tc>
          <w:tcPr>
            <w:tcW w:w="1082" w:type="pct"/>
            <w:vMerge w:val="restart"/>
            <w:noWrap w:val="0"/>
            <w:vAlign w:val="center"/>
          </w:tcPr>
          <w:p w14:paraId="14EC2E02">
            <w:pPr>
              <w:widowControl w:val="0"/>
              <w:spacing w:after="0" w:line="240" w:lineRule="auto"/>
              <w:jc w:val="center"/>
              <w:rPr>
                <w:color w:val="auto"/>
                <w:sz w:val="21"/>
                <w:szCs w:val="21"/>
              </w:rPr>
            </w:pPr>
            <w:r>
              <w:rPr>
                <w:color w:val="auto"/>
                <w:sz w:val="21"/>
                <w:szCs w:val="21"/>
              </w:rPr>
              <w:t>≥80 MPa</w:t>
            </w:r>
          </w:p>
        </w:tc>
      </w:tr>
      <w:tr w14:paraId="2E5A4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9" w:type="pct"/>
            <w:noWrap w:val="0"/>
            <w:vAlign w:val="center"/>
          </w:tcPr>
          <w:p w14:paraId="51A1290F">
            <w:pPr>
              <w:widowControl w:val="0"/>
              <w:spacing w:after="0" w:line="240" w:lineRule="auto"/>
              <w:jc w:val="center"/>
              <w:rPr>
                <w:color w:val="auto"/>
                <w:sz w:val="21"/>
                <w:szCs w:val="21"/>
              </w:rPr>
            </w:pPr>
            <w:r>
              <w:rPr>
                <w:color w:val="auto"/>
                <w:sz w:val="21"/>
                <w:szCs w:val="21"/>
              </w:rPr>
              <w:t>凝灰岩</w:t>
            </w:r>
          </w:p>
        </w:tc>
        <w:tc>
          <w:tcPr>
            <w:tcW w:w="683" w:type="pct"/>
            <w:noWrap w:val="0"/>
            <w:vAlign w:val="center"/>
          </w:tcPr>
          <w:p w14:paraId="7D13C03E">
            <w:pPr>
              <w:widowControl w:val="0"/>
              <w:spacing w:after="0" w:line="240" w:lineRule="auto"/>
              <w:jc w:val="center"/>
              <w:rPr>
                <w:color w:val="auto"/>
                <w:sz w:val="21"/>
                <w:szCs w:val="21"/>
              </w:rPr>
            </w:pPr>
            <w:r>
              <w:rPr>
                <w:color w:val="auto"/>
                <w:sz w:val="21"/>
                <w:szCs w:val="21"/>
              </w:rPr>
              <w:t>YL2</w:t>
            </w:r>
          </w:p>
        </w:tc>
        <w:tc>
          <w:tcPr>
            <w:tcW w:w="1474" w:type="pct"/>
            <w:noWrap w:val="0"/>
            <w:vAlign w:val="center"/>
          </w:tcPr>
          <w:p w14:paraId="22865B78">
            <w:pPr>
              <w:widowControl w:val="0"/>
              <w:spacing w:after="0" w:line="240" w:lineRule="auto"/>
              <w:jc w:val="center"/>
              <w:rPr>
                <w:color w:val="auto"/>
                <w:sz w:val="21"/>
                <w:szCs w:val="21"/>
              </w:rPr>
            </w:pPr>
            <w:r>
              <w:rPr>
                <w:color w:val="auto"/>
                <w:sz w:val="21"/>
                <w:szCs w:val="21"/>
              </w:rPr>
              <w:t>TC1</w:t>
            </w:r>
          </w:p>
        </w:tc>
        <w:tc>
          <w:tcPr>
            <w:tcW w:w="1132" w:type="pct"/>
            <w:noWrap w:val="0"/>
            <w:vAlign w:val="center"/>
          </w:tcPr>
          <w:p w14:paraId="102C0A40">
            <w:pPr>
              <w:widowControl w:val="0"/>
              <w:spacing w:after="0" w:line="240" w:lineRule="auto"/>
              <w:jc w:val="center"/>
              <w:rPr>
                <w:color w:val="auto"/>
                <w:sz w:val="21"/>
                <w:szCs w:val="21"/>
              </w:rPr>
            </w:pPr>
            <w:r>
              <w:rPr>
                <w:color w:val="auto"/>
                <w:sz w:val="21"/>
                <w:szCs w:val="21"/>
              </w:rPr>
              <w:t>80.98</w:t>
            </w:r>
          </w:p>
        </w:tc>
        <w:tc>
          <w:tcPr>
            <w:tcW w:w="1082" w:type="pct"/>
            <w:vMerge w:val="continue"/>
            <w:noWrap w:val="0"/>
            <w:vAlign w:val="center"/>
          </w:tcPr>
          <w:p w14:paraId="42EF5728">
            <w:pPr>
              <w:widowControl w:val="0"/>
              <w:spacing w:after="0" w:line="240" w:lineRule="auto"/>
              <w:jc w:val="center"/>
              <w:rPr>
                <w:color w:val="auto"/>
                <w:sz w:val="21"/>
                <w:szCs w:val="21"/>
              </w:rPr>
            </w:pPr>
          </w:p>
        </w:tc>
      </w:tr>
      <w:tr w14:paraId="60862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9" w:type="pct"/>
            <w:noWrap w:val="0"/>
            <w:vAlign w:val="center"/>
          </w:tcPr>
          <w:p w14:paraId="07922AF3">
            <w:pPr>
              <w:widowControl w:val="0"/>
              <w:spacing w:after="0" w:line="240" w:lineRule="auto"/>
              <w:jc w:val="center"/>
              <w:rPr>
                <w:color w:val="auto"/>
                <w:sz w:val="21"/>
                <w:szCs w:val="21"/>
              </w:rPr>
            </w:pPr>
            <w:r>
              <w:rPr>
                <w:color w:val="auto"/>
                <w:sz w:val="21"/>
                <w:szCs w:val="21"/>
              </w:rPr>
              <w:t>凝灰岩</w:t>
            </w:r>
          </w:p>
        </w:tc>
        <w:tc>
          <w:tcPr>
            <w:tcW w:w="683" w:type="pct"/>
            <w:noWrap w:val="0"/>
            <w:vAlign w:val="center"/>
          </w:tcPr>
          <w:p w14:paraId="72203816">
            <w:pPr>
              <w:widowControl w:val="0"/>
              <w:spacing w:after="0" w:line="240" w:lineRule="auto"/>
              <w:jc w:val="center"/>
              <w:rPr>
                <w:color w:val="auto"/>
                <w:sz w:val="21"/>
                <w:szCs w:val="21"/>
              </w:rPr>
            </w:pPr>
            <w:r>
              <w:rPr>
                <w:color w:val="auto"/>
                <w:sz w:val="21"/>
                <w:szCs w:val="21"/>
              </w:rPr>
              <w:t>YL3</w:t>
            </w:r>
          </w:p>
        </w:tc>
        <w:tc>
          <w:tcPr>
            <w:tcW w:w="1474" w:type="pct"/>
            <w:noWrap w:val="0"/>
            <w:vAlign w:val="center"/>
          </w:tcPr>
          <w:p w14:paraId="38DE034E">
            <w:pPr>
              <w:widowControl w:val="0"/>
              <w:spacing w:after="0" w:line="240" w:lineRule="auto"/>
              <w:jc w:val="center"/>
              <w:rPr>
                <w:color w:val="auto"/>
                <w:sz w:val="21"/>
                <w:szCs w:val="21"/>
              </w:rPr>
            </w:pPr>
            <w:r>
              <w:rPr>
                <w:color w:val="auto"/>
                <w:sz w:val="21"/>
                <w:szCs w:val="21"/>
              </w:rPr>
              <w:t>TC2</w:t>
            </w:r>
          </w:p>
        </w:tc>
        <w:tc>
          <w:tcPr>
            <w:tcW w:w="1132" w:type="pct"/>
            <w:noWrap w:val="0"/>
            <w:vAlign w:val="center"/>
          </w:tcPr>
          <w:p w14:paraId="2407B682">
            <w:pPr>
              <w:widowControl w:val="0"/>
              <w:spacing w:after="0" w:line="240" w:lineRule="auto"/>
              <w:jc w:val="center"/>
              <w:rPr>
                <w:color w:val="auto"/>
                <w:sz w:val="21"/>
                <w:szCs w:val="21"/>
              </w:rPr>
            </w:pPr>
            <w:r>
              <w:rPr>
                <w:color w:val="auto"/>
                <w:sz w:val="21"/>
                <w:szCs w:val="21"/>
              </w:rPr>
              <w:t>82.94</w:t>
            </w:r>
          </w:p>
        </w:tc>
        <w:tc>
          <w:tcPr>
            <w:tcW w:w="1082" w:type="pct"/>
            <w:vMerge w:val="continue"/>
            <w:noWrap w:val="0"/>
            <w:vAlign w:val="center"/>
          </w:tcPr>
          <w:p w14:paraId="048170AB">
            <w:pPr>
              <w:widowControl w:val="0"/>
              <w:spacing w:after="0" w:line="240" w:lineRule="auto"/>
              <w:jc w:val="center"/>
              <w:rPr>
                <w:color w:val="auto"/>
                <w:sz w:val="21"/>
                <w:szCs w:val="21"/>
              </w:rPr>
            </w:pPr>
          </w:p>
        </w:tc>
      </w:tr>
      <w:tr w14:paraId="22367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86" w:type="pct"/>
            <w:gridSpan w:val="3"/>
            <w:noWrap w:val="0"/>
            <w:vAlign w:val="center"/>
          </w:tcPr>
          <w:p w14:paraId="02301683">
            <w:pPr>
              <w:widowControl w:val="0"/>
              <w:spacing w:after="0" w:line="240" w:lineRule="auto"/>
              <w:jc w:val="center"/>
              <w:rPr>
                <w:color w:val="auto"/>
                <w:sz w:val="21"/>
                <w:szCs w:val="21"/>
              </w:rPr>
            </w:pPr>
            <w:r>
              <w:rPr>
                <w:color w:val="auto"/>
                <w:sz w:val="21"/>
                <w:szCs w:val="21"/>
              </w:rPr>
              <w:t>平均抗压强度(MPa)</w:t>
            </w:r>
          </w:p>
        </w:tc>
        <w:tc>
          <w:tcPr>
            <w:tcW w:w="1132" w:type="pct"/>
            <w:noWrap w:val="0"/>
            <w:vAlign w:val="center"/>
          </w:tcPr>
          <w:p w14:paraId="544B151B">
            <w:pPr>
              <w:widowControl w:val="0"/>
              <w:spacing w:after="0" w:line="240" w:lineRule="auto"/>
              <w:jc w:val="center"/>
              <w:rPr>
                <w:color w:val="auto"/>
                <w:sz w:val="21"/>
                <w:szCs w:val="21"/>
              </w:rPr>
            </w:pPr>
            <w:r>
              <w:rPr>
                <w:color w:val="auto"/>
                <w:sz w:val="21"/>
                <w:szCs w:val="21"/>
              </w:rPr>
              <w:t>81.35</w:t>
            </w:r>
          </w:p>
        </w:tc>
        <w:tc>
          <w:tcPr>
            <w:tcW w:w="1082" w:type="pct"/>
            <w:noWrap w:val="0"/>
            <w:vAlign w:val="center"/>
          </w:tcPr>
          <w:p w14:paraId="1E62561B">
            <w:pPr>
              <w:widowControl w:val="0"/>
              <w:spacing w:after="0" w:line="240" w:lineRule="auto"/>
              <w:jc w:val="center"/>
              <w:rPr>
                <w:color w:val="auto"/>
                <w:sz w:val="21"/>
                <w:szCs w:val="21"/>
              </w:rPr>
            </w:pPr>
          </w:p>
        </w:tc>
      </w:tr>
    </w:tbl>
    <w:p w14:paraId="6E2E8F04">
      <w:pPr>
        <w:snapToGrid w:val="0"/>
        <w:spacing w:before="120" w:beforeLines="50" w:after="0" w:line="360" w:lineRule="auto"/>
        <w:ind w:firstLine="560" w:firstLineChars="200"/>
        <w:rPr>
          <w:color w:val="auto"/>
          <w:sz w:val="28"/>
          <w:szCs w:val="28"/>
        </w:rPr>
      </w:pPr>
      <w:r>
        <w:rPr>
          <w:color w:val="auto"/>
          <w:sz w:val="28"/>
          <w:szCs w:val="28"/>
        </w:rPr>
        <w:t>根据表</w:t>
      </w:r>
      <w:r>
        <w:rPr>
          <w:rFonts w:hint="eastAsia"/>
          <w:color w:val="auto"/>
          <w:sz w:val="28"/>
          <w:szCs w:val="28"/>
          <w:lang w:val="en-US" w:eastAsia="zh-CN"/>
        </w:rPr>
        <w:t>2</w:t>
      </w:r>
      <w:r>
        <w:rPr>
          <w:rFonts w:hint="eastAsia"/>
          <w:color w:val="auto"/>
          <w:sz w:val="28"/>
          <w:szCs w:val="28"/>
        </w:rPr>
        <w:t>-</w:t>
      </w:r>
      <w:r>
        <w:rPr>
          <w:rFonts w:hint="eastAsia"/>
          <w:color w:val="auto"/>
          <w:sz w:val="28"/>
          <w:szCs w:val="28"/>
          <w:lang w:val="en-US" w:eastAsia="zh-CN"/>
        </w:rPr>
        <w:t>4</w:t>
      </w:r>
      <w:r>
        <w:rPr>
          <w:rFonts w:hint="eastAsia"/>
          <w:color w:val="auto"/>
          <w:sz w:val="28"/>
          <w:szCs w:val="28"/>
        </w:rPr>
        <w:t>、</w:t>
      </w:r>
      <w:r>
        <w:rPr>
          <w:rFonts w:hint="eastAsia"/>
          <w:color w:val="auto"/>
          <w:sz w:val="28"/>
          <w:szCs w:val="28"/>
          <w:lang w:val="en-US" w:eastAsia="zh-CN"/>
        </w:rPr>
        <w:t>2</w:t>
      </w:r>
      <w:r>
        <w:rPr>
          <w:rFonts w:hint="eastAsia"/>
          <w:color w:val="auto"/>
          <w:sz w:val="28"/>
          <w:szCs w:val="28"/>
        </w:rPr>
        <w:t>-</w:t>
      </w:r>
      <w:r>
        <w:rPr>
          <w:rFonts w:hint="eastAsia"/>
          <w:color w:val="auto"/>
          <w:sz w:val="28"/>
          <w:szCs w:val="28"/>
          <w:lang w:val="en-US" w:eastAsia="zh-CN"/>
        </w:rPr>
        <w:t>5</w:t>
      </w:r>
      <w:r>
        <w:rPr>
          <w:rFonts w:hint="eastAsia"/>
          <w:color w:val="auto"/>
          <w:sz w:val="28"/>
          <w:szCs w:val="28"/>
        </w:rPr>
        <w:t>可知，</w:t>
      </w:r>
      <w:r>
        <w:rPr>
          <w:color w:val="auto"/>
          <w:sz w:val="28"/>
          <w:szCs w:val="28"/>
        </w:rPr>
        <w:t>平均抗压强度81.35（MPa）；压碎指标；9.27（%）。</w:t>
      </w:r>
    </w:p>
    <w:p w14:paraId="5BA8394F">
      <w:pPr>
        <w:snapToGrid w:val="0"/>
        <w:spacing w:after="0" w:line="360" w:lineRule="auto"/>
        <w:ind w:firstLine="560" w:firstLineChars="200"/>
        <w:rPr>
          <w:color w:val="auto"/>
          <w:sz w:val="28"/>
          <w:szCs w:val="28"/>
        </w:rPr>
      </w:pPr>
      <w:r>
        <w:rPr>
          <w:color w:val="auto"/>
          <w:sz w:val="28"/>
          <w:szCs w:val="28"/>
        </w:rPr>
        <w:t>坚固性：4.7（%）。通过实验证明该矿石达到</w:t>
      </w:r>
      <w:r>
        <w:rPr>
          <w:rFonts w:hint="eastAsia" w:ascii="宋体" w:hAnsi="宋体"/>
          <w:color w:val="auto"/>
          <w:sz w:val="28"/>
          <w:szCs w:val="28"/>
        </w:rPr>
        <w:t>（GB/T14685-2011）</w:t>
      </w:r>
      <w:r>
        <w:rPr>
          <w:color w:val="auto"/>
          <w:sz w:val="28"/>
          <w:szCs w:val="28"/>
        </w:rPr>
        <w:t>《建筑用卵石、碎石》中规定的物理指标。</w:t>
      </w:r>
    </w:p>
    <w:p w14:paraId="0E93C6AB">
      <w:pPr>
        <w:keepNext w:val="0"/>
        <w:keepLines w:val="0"/>
        <w:pageBreakBefore w:val="0"/>
        <w:widowControl/>
        <w:kinsoku/>
        <w:wordWrap/>
        <w:overflowPunct/>
        <w:topLinePunct w:val="0"/>
        <w:autoSpaceDE/>
        <w:autoSpaceDN/>
        <w:bidi w:val="0"/>
        <w:adjustRightInd/>
        <w:snapToGrid w:val="0"/>
        <w:spacing w:after="0" w:line="360" w:lineRule="auto"/>
        <w:ind w:firstLine="560" w:firstLineChars="200"/>
        <w:textAlignment w:val="auto"/>
        <w:rPr>
          <w:color w:val="auto"/>
          <w:spacing w:val="-10"/>
          <w:sz w:val="28"/>
          <w:szCs w:val="28"/>
        </w:rPr>
      </w:pPr>
      <w:r>
        <w:rPr>
          <w:color w:val="auto"/>
          <w:sz w:val="28"/>
          <w:szCs w:val="28"/>
        </w:rPr>
        <w:t>3、化验测试：</w:t>
      </w:r>
      <w:r>
        <w:rPr>
          <w:color w:val="auto"/>
          <w:spacing w:val="-10"/>
          <w:sz w:val="28"/>
          <w:szCs w:val="28"/>
        </w:rPr>
        <w:t>凝灰岩矿的有害物质；硫化物及硫酸盐中的SO</w:t>
      </w:r>
      <w:r>
        <w:rPr>
          <w:color w:val="auto"/>
          <w:spacing w:val="-10"/>
          <w:sz w:val="28"/>
          <w:szCs w:val="28"/>
          <w:vertAlign w:val="subscript"/>
        </w:rPr>
        <w:t>3</w:t>
      </w:r>
      <w:r>
        <w:rPr>
          <w:color w:val="auto"/>
          <w:spacing w:val="-10"/>
          <w:sz w:val="28"/>
          <w:szCs w:val="28"/>
        </w:rPr>
        <w:t>（按SO</w:t>
      </w:r>
      <w:r>
        <w:rPr>
          <w:color w:val="auto"/>
          <w:spacing w:val="-10"/>
          <w:sz w:val="28"/>
          <w:szCs w:val="28"/>
          <w:vertAlign w:val="subscript"/>
        </w:rPr>
        <w:t>3</w:t>
      </w:r>
      <w:r>
        <w:rPr>
          <w:color w:val="auto"/>
          <w:spacing w:val="-10"/>
          <w:sz w:val="28"/>
          <w:szCs w:val="28"/>
        </w:rPr>
        <w:t>质量计）含量为0.08</w:t>
      </w:r>
      <w:r>
        <w:rPr>
          <w:color w:val="auto"/>
          <w:sz w:val="28"/>
          <w:szCs w:val="28"/>
        </w:rPr>
        <w:t>%</w:t>
      </w:r>
      <w:r>
        <w:rPr>
          <w:color w:val="auto"/>
          <w:spacing w:val="-10"/>
          <w:sz w:val="28"/>
          <w:szCs w:val="28"/>
        </w:rPr>
        <w:t>。</w:t>
      </w:r>
    </w:p>
    <w:p w14:paraId="31C1D19F">
      <w:pPr>
        <w:keepNext w:val="0"/>
        <w:keepLines w:val="0"/>
        <w:pageBreakBefore w:val="0"/>
        <w:widowControl/>
        <w:kinsoku/>
        <w:wordWrap/>
        <w:overflowPunct/>
        <w:topLinePunct w:val="0"/>
        <w:autoSpaceDE/>
        <w:autoSpaceDN/>
        <w:bidi w:val="0"/>
        <w:adjustRightInd/>
        <w:snapToGrid w:val="0"/>
        <w:spacing w:after="0" w:line="240" w:lineRule="auto"/>
        <w:ind w:firstLine="480" w:firstLineChars="200"/>
        <w:jc w:val="center"/>
        <w:textAlignment w:val="auto"/>
        <w:rPr>
          <w:rFonts w:hint="eastAsia" w:ascii="黑体" w:hAnsi="黑体" w:eastAsia="黑体" w:cs="黑体"/>
          <w:b w:val="0"/>
          <w:bCs w:val="0"/>
          <w:color w:val="auto"/>
          <w:sz w:val="24"/>
          <w:szCs w:val="24"/>
        </w:rPr>
      </w:pPr>
      <w:r>
        <w:rPr>
          <w:rFonts w:hint="eastAsia" w:ascii="黑体" w:hAnsi="黑体" w:eastAsia="黑体" w:cs="黑体"/>
          <w:b w:val="0"/>
          <w:bCs w:val="0"/>
          <w:color w:val="auto"/>
          <w:sz w:val="24"/>
          <w:szCs w:val="24"/>
        </w:rPr>
        <w:t>表</w:t>
      </w:r>
      <w:r>
        <w:rPr>
          <w:rFonts w:hint="eastAsia" w:ascii="黑体" w:hAnsi="黑体" w:eastAsia="黑体" w:cs="黑体"/>
          <w:b w:val="0"/>
          <w:bCs w:val="0"/>
          <w:color w:val="auto"/>
          <w:sz w:val="24"/>
          <w:szCs w:val="24"/>
          <w:lang w:val="en-US" w:eastAsia="zh-CN"/>
        </w:rPr>
        <w:t>2</w:t>
      </w:r>
      <w:r>
        <w:rPr>
          <w:rFonts w:hint="eastAsia" w:ascii="黑体" w:hAnsi="黑体" w:eastAsia="黑体" w:cs="黑体"/>
          <w:b w:val="0"/>
          <w:bCs w:val="0"/>
          <w:color w:val="auto"/>
          <w:sz w:val="24"/>
          <w:szCs w:val="24"/>
        </w:rPr>
        <w:t>-</w:t>
      </w:r>
      <w:r>
        <w:rPr>
          <w:rFonts w:hint="eastAsia" w:ascii="黑体" w:hAnsi="黑体" w:eastAsia="黑体" w:cs="黑体"/>
          <w:b w:val="0"/>
          <w:bCs w:val="0"/>
          <w:color w:val="auto"/>
          <w:sz w:val="24"/>
          <w:szCs w:val="24"/>
          <w:lang w:val="en-US" w:eastAsia="zh-CN"/>
        </w:rPr>
        <w:t>6</w:t>
      </w:r>
      <w:r>
        <w:rPr>
          <w:rFonts w:hint="eastAsia" w:ascii="黑体" w:hAnsi="黑体" w:eastAsia="黑体" w:cs="黑体"/>
          <w:b w:val="0"/>
          <w:bCs w:val="0"/>
          <w:color w:val="auto"/>
          <w:sz w:val="24"/>
          <w:szCs w:val="24"/>
        </w:rPr>
        <w:t xml:space="preserve">  硫化物分析结果表</w:t>
      </w: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0"/>
        <w:gridCol w:w="1238"/>
        <w:gridCol w:w="2671"/>
        <w:gridCol w:w="2051"/>
        <w:gridCol w:w="1961"/>
      </w:tblGrid>
      <w:tr w14:paraId="43341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629" w:type="pct"/>
            <w:vMerge w:val="restart"/>
            <w:noWrap w:val="0"/>
            <w:vAlign w:val="center"/>
          </w:tcPr>
          <w:p w14:paraId="46D4D347">
            <w:pPr>
              <w:widowControl w:val="0"/>
              <w:spacing w:after="0" w:line="240" w:lineRule="auto"/>
              <w:jc w:val="center"/>
              <w:rPr>
                <w:color w:val="auto"/>
                <w:sz w:val="21"/>
                <w:szCs w:val="21"/>
              </w:rPr>
            </w:pPr>
            <w:r>
              <w:rPr>
                <w:color w:val="auto"/>
                <w:sz w:val="21"/>
                <w:szCs w:val="21"/>
              </w:rPr>
              <w:t>岩 性</w:t>
            </w:r>
          </w:p>
        </w:tc>
        <w:tc>
          <w:tcPr>
            <w:tcW w:w="683" w:type="pct"/>
            <w:vMerge w:val="restart"/>
            <w:noWrap w:val="0"/>
            <w:vAlign w:val="center"/>
          </w:tcPr>
          <w:p w14:paraId="79BBE664">
            <w:pPr>
              <w:widowControl w:val="0"/>
              <w:spacing w:after="0" w:line="240" w:lineRule="auto"/>
              <w:jc w:val="center"/>
              <w:rPr>
                <w:color w:val="auto"/>
                <w:sz w:val="21"/>
                <w:szCs w:val="21"/>
              </w:rPr>
            </w:pPr>
            <w:r>
              <w:rPr>
                <w:color w:val="auto"/>
                <w:sz w:val="21"/>
                <w:szCs w:val="21"/>
              </w:rPr>
              <w:t>样品号</w:t>
            </w:r>
          </w:p>
        </w:tc>
        <w:tc>
          <w:tcPr>
            <w:tcW w:w="1474" w:type="pct"/>
            <w:vMerge w:val="restart"/>
            <w:noWrap w:val="0"/>
            <w:vAlign w:val="center"/>
          </w:tcPr>
          <w:p w14:paraId="7C6B0DFC">
            <w:pPr>
              <w:widowControl w:val="0"/>
              <w:spacing w:after="0" w:line="240" w:lineRule="auto"/>
              <w:jc w:val="center"/>
              <w:rPr>
                <w:color w:val="auto"/>
                <w:sz w:val="21"/>
                <w:szCs w:val="21"/>
              </w:rPr>
            </w:pPr>
            <w:r>
              <w:rPr>
                <w:color w:val="auto"/>
                <w:sz w:val="21"/>
                <w:szCs w:val="21"/>
              </w:rPr>
              <w:t>采样位置</w:t>
            </w:r>
          </w:p>
        </w:tc>
        <w:tc>
          <w:tcPr>
            <w:tcW w:w="1132" w:type="pct"/>
            <w:noWrap w:val="0"/>
            <w:vAlign w:val="center"/>
          </w:tcPr>
          <w:p w14:paraId="65AA30BD">
            <w:pPr>
              <w:widowControl w:val="0"/>
              <w:spacing w:after="0" w:line="240" w:lineRule="auto"/>
              <w:jc w:val="center"/>
              <w:rPr>
                <w:color w:val="auto"/>
                <w:sz w:val="21"/>
                <w:szCs w:val="21"/>
              </w:rPr>
            </w:pPr>
            <w:r>
              <w:rPr>
                <w:color w:val="auto"/>
                <w:sz w:val="21"/>
                <w:szCs w:val="21"/>
              </w:rPr>
              <w:t>测试结果</w:t>
            </w:r>
          </w:p>
        </w:tc>
        <w:tc>
          <w:tcPr>
            <w:tcW w:w="1083" w:type="pct"/>
            <w:noWrap w:val="0"/>
            <w:vAlign w:val="center"/>
          </w:tcPr>
          <w:p w14:paraId="604B6C13">
            <w:pPr>
              <w:widowControl w:val="0"/>
              <w:spacing w:after="0" w:line="240" w:lineRule="auto"/>
              <w:jc w:val="center"/>
              <w:rPr>
                <w:color w:val="auto"/>
                <w:sz w:val="21"/>
                <w:szCs w:val="21"/>
              </w:rPr>
            </w:pPr>
            <w:r>
              <w:rPr>
                <w:color w:val="auto"/>
                <w:sz w:val="21"/>
                <w:szCs w:val="21"/>
              </w:rPr>
              <w:t>国家标准</w:t>
            </w:r>
          </w:p>
        </w:tc>
      </w:tr>
      <w:tr w14:paraId="62B2D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 w:hRule="atLeast"/>
        </w:trPr>
        <w:tc>
          <w:tcPr>
            <w:tcW w:w="629" w:type="pct"/>
            <w:vMerge w:val="continue"/>
            <w:noWrap w:val="0"/>
            <w:vAlign w:val="center"/>
          </w:tcPr>
          <w:p w14:paraId="20950DB2">
            <w:pPr>
              <w:widowControl w:val="0"/>
              <w:spacing w:after="0" w:line="240" w:lineRule="auto"/>
              <w:jc w:val="center"/>
              <w:rPr>
                <w:color w:val="auto"/>
                <w:sz w:val="21"/>
                <w:szCs w:val="21"/>
              </w:rPr>
            </w:pPr>
          </w:p>
        </w:tc>
        <w:tc>
          <w:tcPr>
            <w:tcW w:w="683" w:type="pct"/>
            <w:vMerge w:val="continue"/>
            <w:noWrap w:val="0"/>
            <w:vAlign w:val="center"/>
          </w:tcPr>
          <w:p w14:paraId="46EE743A">
            <w:pPr>
              <w:widowControl w:val="0"/>
              <w:spacing w:after="0" w:line="240" w:lineRule="auto"/>
              <w:jc w:val="center"/>
              <w:rPr>
                <w:color w:val="auto"/>
                <w:sz w:val="21"/>
                <w:szCs w:val="21"/>
              </w:rPr>
            </w:pPr>
          </w:p>
        </w:tc>
        <w:tc>
          <w:tcPr>
            <w:tcW w:w="1474" w:type="pct"/>
            <w:vMerge w:val="continue"/>
            <w:noWrap w:val="0"/>
            <w:vAlign w:val="center"/>
          </w:tcPr>
          <w:p w14:paraId="7739078C">
            <w:pPr>
              <w:widowControl w:val="0"/>
              <w:spacing w:after="0" w:line="240" w:lineRule="auto"/>
              <w:jc w:val="center"/>
              <w:rPr>
                <w:color w:val="auto"/>
                <w:sz w:val="21"/>
                <w:szCs w:val="21"/>
              </w:rPr>
            </w:pPr>
          </w:p>
        </w:tc>
        <w:tc>
          <w:tcPr>
            <w:tcW w:w="1132" w:type="pct"/>
            <w:noWrap w:val="0"/>
            <w:vAlign w:val="center"/>
          </w:tcPr>
          <w:p w14:paraId="0AD86602">
            <w:pPr>
              <w:widowControl w:val="0"/>
              <w:spacing w:after="0" w:line="240" w:lineRule="auto"/>
              <w:jc w:val="center"/>
              <w:rPr>
                <w:color w:val="auto"/>
                <w:sz w:val="21"/>
                <w:szCs w:val="21"/>
              </w:rPr>
            </w:pPr>
            <w:r>
              <w:rPr>
                <w:color w:val="auto"/>
                <w:sz w:val="21"/>
                <w:szCs w:val="21"/>
              </w:rPr>
              <w:t>SO</w:t>
            </w:r>
            <w:r>
              <w:rPr>
                <w:color w:val="auto"/>
                <w:sz w:val="21"/>
                <w:szCs w:val="21"/>
                <w:vertAlign w:val="subscript"/>
              </w:rPr>
              <w:t>3</w:t>
            </w:r>
            <w:r>
              <w:rPr>
                <w:color w:val="auto"/>
                <w:sz w:val="21"/>
                <w:szCs w:val="21"/>
              </w:rPr>
              <w:t>含量（%）</w:t>
            </w:r>
          </w:p>
        </w:tc>
        <w:tc>
          <w:tcPr>
            <w:tcW w:w="1083" w:type="pct"/>
            <w:noWrap w:val="0"/>
            <w:vAlign w:val="center"/>
          </w:tcPr>
          <w:p w14:paraId="44D25AAA">
            <w:pPr>
              <w:widowControl w:val="0"/>
              <w:spacing w:after="0" w:line="240" w:lineRule="auto"/>
              <w:jc w:val="center"/>
              <w:rPr>
                <w:color w:val="auto"/>
                <w:sz w:val="21"/>
                <w:szCs w:val="21"/>
              </w:rPr>
            </w:pPr>
            <w:r>
              <w:rPr>
                <w:color w:val="auto"/>
                <w:sz w:val="21"/>
                <w:szCs w:val="21"/>
              </w:rPr>
              <w:t>SO</w:t>
            </w:r>
            <w:r>
              <w:rPr>
                <w:color w:val="auto"/>
                <w:sz w:val="21"/>
                <w:szCs w:val="21"/>
                <w:vertAlign w:val="subscript"/>
              </w:rPr>
              <w:t>3</w:t>
            </w:r>
            <w:r>
              <w:rPr>
                <w:color w:val="auto"/>
                <w:sz w:val="21"/>
                <w:szCs w:val="21"/>
              </w:rPr>
              <w:t>含量（%）</w:t>
            </w:r>
          </w:p>
        </w:tc>
      </w:tr>
      <w:tr w14:paraId="08A56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9" w:type="pct"/>
            <w:noWrap w:val="0"/>
            <w:vAlign w:val="center"/>
          </w:tcPr>
          <w:p w14:paraId="371BBC5D">
            <w:pPr>
              <w:widowControl w:val="0"/>
              <w:spacing w:after="0" w:line="240" w:lineRule="auto"/>
              <w:jc w:val="center"/>
              <w:rPr>
                <w:color w:val="auto"/>
                <w:sz w:val="21"/>
                <w:szCs w:val="21"/>
              </w:rPr>
            </w:pPr>
            <w:r>
              <w:rPr>
                <w:color w:val="auto"/>
                <w:sz w:val="21"/>
                <w:szCs w:val="21"/>
              </w:rPr>
              <w:t>凝灰岩</w:t>
            </w:r>
          </w:p>
        </w:tc>
        <w:tc>
          <w:tcPr>
            <w:tcW w:w="683" w:type="pct"/>
            <w:noWrap w:val="0"/>
            <w:vAlign w:val="center"/>
          </w:tcPr>
          <w:p w14:paraId="3B1A95AE">
            <w:pPr>
              <w:widowControl w:val="0"/>
              <w:spacing w:after="0" w:line="240" w:lineRule="auto"/>
              <w:jc w:val="center"/>
              <w:rPr>
                <w:color w:val="auto"/>
                <w:sz w:val="21"/>
                <w:szCs w:val="21"/>
              </w:rPr>
            </w:pPr>
            <w:r>
              <w:rPr>
                <w:color w:val="auto"/>
                <w:sz w:val="21"/>
                <w:szCs w:val="21"/>
              </w:rPr>
              <w:t>H1</w:t>
            </w:r>
          </w:p>
        </w:tc>
        <w:tc>
          <w:tcPr>
            <w:tcW w:w="1474" w:type="pct"/>
            <w:noWrap w:val="0"/>
            <w:vAlign w:val="center"/>
          </w:tcPr>
          <w:p w14:paraId="1CE33527">
            <w:pPr>
              <w:widowControl w:val="0"/>
              <w:spacing w:after="0" w:line="240" w:lineRule="auto"/>
              <w:jc w:val="center"/>
              <w:rPr>
                <w:color w:val="auto"/>
                <w:sz w:val="21"/>
                <w:szCs w:val="21"/>
              </w:rPr>
            </w:pPr>
            <w:r>
              <w:rPr>
                <w:color w:val="auto"/>
                <w:sz w:val="21"/>
                <w:szCs w:val="21"/>
              </w:rPr>
              <w:t>TCO</w:t>
            </w:r>
          </w:p>
        </w:tc>
        <w:tc>
          <w:tcPr>
            <w:tcW w:w="1132" w:type="pct"/>
            <w:noWrap w:val="0"/>
            <w:vAlign w:val="center"/>
          </w:tcPr>
          <w:p w14:paraId="5126B5C8">
            <w:pPr>
              <w:widowControl w:val="0"/>
              <w:spacing w:after="0" w:line="240" w:lineRule="auto"/>
              <w:jc w:val="center"/>
              <w:rPr>
                <w:color w:val="auto"/>
                <w:sz w:val="21"/>
                <w:szCs w:val="21"/>
              </w:rPr>
            </w:pPr>
            <w:r>
              <w:rPr>
                <w:color w:val="auto"/>
                <w:sz w:val="21"/>
                <w:szCs w:val="21"/>
              </w:rPr>
              <w:t>0.09</w:t>
            </w:r>
          </w:p>
        </w:tc>
        <w:tc>
          <w:tcPr>
            <w:tcW w:w="1083" w:type="pct"/>
            <w:vMerge w:val="restart"/>
            <w:noWrap w:val="0"/>
            <w:vAlign w:val="center"/>
          </w:tcPr>
          <w:p w14:paraId="1CC7C0A4">
            <w:pPr>
              <w:widowControl w:val="0"/>
              <w:spacing w:after="0" w:line="240" w:lineRule="auto"/>
              <w:jc w:val="center"/>
              <w:rPr>
                <w:color w:val="auto"/>
                <w:sz w:val="21"/>
                <w:szCs w:val="21"/>
              </w:rPr>
            </w:pPr>
            <w:r>
              <w:rPr>
                <w:color w:val="auto"/>
                <w:sz w:val="21"/>
                <w:szCs w:val="21"/>
              </w:rPr>
              <w:t>＜0.5%</w:t>
            </w:r>
          </w:p>
        </w:tc>
      </w:tr>
      <w:tr w14:paraId="0FA2A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9" w:type="pct"/>
            <w:noWrap w:val="0"/>
            <w:vAlign w:val="center"/>
          </w:tcPr>
          <w:p w14:paraId="3AB99403">
            <w:pPr>
              <w:widowControl w:val="0"/>
              <w:spacing w:after="0" w:line="240" w:lineRule="auto"/>
              <w:jc w:val="center"/>
              <w:rPr>
                <w:color w:val="auto"/>
                <w:sz w:val="21"/>
                <w:szCs w:val="21"/>
              </w:rPr>
            </w:pPr>
            <w:r>
              <w:rPr>
                <w:color w:val="auto"/>
                <w:sz w:val="21"/>
                <w:szCs w:val="21"/>
              </w:rPr>
              <w:t>凝灰岩</w:t>
            </w:r>
          </w:p>
        </w:tc>
        <w:tc>
          <w:tcPr>
            <w:tcW w:w="683" w:type="pct"/>
            <w:noWrap w:val="0"/>
            <w:vAlign w:val="center"/>
          </w:tcPr>
          <w:p w14:paraId="64B81C56">
            <w:pPr>
              <w:widowControl w:val="0"/>
              <w:spacing w:after="0" w:line="240" w:lineRule="auto"/>
              <w:jc w:val="center"/>
              <w:rPr>
                <w:color w:val="auto"/>
                <w:sz w:val="21"/>
                <w:szCs w:val="21"/>
              </w:rPr>
            </w:pPr>
            <w:r>
              <w:rPr>
                <w:color w:val="auto"/>
                <w:sz w:val="21"/>
                <w:szCs w:val="21"/>
              </w:rPr>
              <w:t>H2</w:t>
            </w:r>
          </w:p>
        </w:tc>
        <w:tc>
          <w:tcPr>
            <w:tcW w:w="1474" w:type="pct"/>
            <w:noWrap w:val="0"/>
            <w:vAlign w:val="center"/>
          </w:tcPr>
          <w:p w14:paraId="7F58E80C">
            <w:pPr>
              <w:widowControl w:val="0"/>
              <w:spacing w:after="0" w:line="240" w:lineRule="auto"/>
              <w:jc w:val="center"/>
              <w:rPr>
                <w:color w:val="auto"/>
                <w:sz w:val="21"/>
                <w:szCs w:val="21"/>
              </w:rPr>
            </w:pPr>
            <w:r>
              <w:rPr>
                <w:color w:val="auto"/>
                <w:sz w:val="21"/>
                <w:szCs w:val="21"/>
              </w:rPr>
              <w:t>TC1</w:t>
            </w:r>
          </w:p>
        </w:tc>
        <w:tc>
          <w:tcPr>
            <w:tcW w:w="1132" w:type="pct"/>
            <w:noWrap w:val="0"/>
            <w:vAlign w:val="center"/>
          </w:tcPr>
          <w:p w14:paraId="1F2932EA">
            <w:pPr>
              <w:widowControl w:val="0"/>
              <w:spacing w:after="0" w:line="240" w:lineRule="auto"/>
              <w:jc w:val="center"/>
              <w:rPr>
                <w:color w:val="auto"/>
                <w:sz w:val="21"/>
                <w:szCs w:val="21"/>
              </w:rPr>
            </w:pPr>
            <w:r>
              <w:rPr>
                <w:color w:val="auto"/>
                <w:sz w:val="21"/>
                <w:szCs w:val="21"/>
              </w:rPr>
              <w:t>0.07</w:t>
            </w:r>
          </w:p>
        </w:tc>
        <w:tc>
          <w:tcPr>
            <w:tcW w:w="1083" w:type="pct"/>
            <w:vMerge w:val="continue"/>
            <w:noWrap w:val="0"/>
            <w:vAlign w:val="center"/>
          </w:tcPr>
          <w:p w14:paraId="66CC30B4">
            <w:pPr>
              <w:widowControl w:val="0"/>
              <w:spacing w:after="0" w:line="240" w:lineRule="auto"/>
              <w:jc w:val="center"/>
              <w:rPr>
                <w:color w:val="auto"/>
                <w:sz w:val="21"/>
                <w:szCs w:val="21"/>
              </w:rPr>
            </w:pPr>
          </w:p>
        </w:tc>
      </w:tr>
      <w:tr w14:paraId="61A52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9" w:type="pct"/>
            <w:noWrap w:val="0"/>
            <w:vAlign w:val="center"/>
          </w:tcPr>
          <w:p w14:paraId="45CDBDF6">
            <w:pPr>
              <w:widowControl w:val="0"/>
              <w:spacing w:after="0" w:line="240" w:lineRule="auto"/>
              <w:jc w:val="center"/>
              <w:rPr>
                <w:color w:val="auto"/>
                <w:sz w:val="21"/>
                <w:szCs w:val="21"/>
              </w:rPr>
            </w:pPr>
            <w:r>
              <w:rPr>
                <w:color w:val="auto"/>
                <w:sz w:val="21"/>
                <w:szCs w:val="21"/>
              </w:rPr>
              <w:t>凝灰岩</w:t>
            </w:r>
          </w:p>
        </w:tc>
        <w:tc>
          <w:tcPr>
            <w:tcW w:w="683" w:type="pct"/>
            <w:noWrap w:val="0"/>
            <w:vAlign w:val="center"/>
          </w:tcPr>
          <w:p w14:paraId="3F1DEBB0">
            <w:pPr>
              <w:widowControl w:val="0"/>
              <w:spacing w:after="0" w:line="240" w:lineRule="auto"/>
              <w:jc w:val="center"/>
              <w:rPr>
                <w:color w:val="auto"/>
                <w:sz w:val="21"/>
                <w:szCs w:val="21"/>
              </w:rPr>
            </w:pPr>
            <w:r>
              <w:rPr>
                <w:color w:val="auto"/>
                <w:sz w:val="21"/>
                <w:szCs w:val="21"/>
              </w:rPr>
              <w:t>H3</w:t>
            </w:r>
          </w:p>
        </w:tc>
        <w:tc>
          <w:tcPr>
            <w:tcW w:w="1474" w:type="pct"/>
            <w:noWrap w:val="0"/>
            <w:vAlign w:val="center"/>
          </w:tcPr>
          <w:p w14:paraId="414825F3">
            <w:pPr>
              <w:widowControl w:val="0"/>
              <w:spacing w:after="0" w:line="240" w:lineRule="auto"/>
              <w:jc w:val="center"/>
              <w:rPr>
                <w:color w:val="auto"/>
                <w:sz w:val="21"/>
                <w:szCs w:val="21"/>
              </w:rPr>
            </w:pPr>
            <w:r>
              <w:rPr>
                <w:color w:val="auto"/>
                <w:sz w:val="21"/>
                <w:szCs w:val="21"/>
              </w:rPr>
              <w:t>TC2</w:t>
            </w:r>
          </w:p>
        </w:tc>
        <w:tc>
          <w:tcPr>
            <w:tcW w:w="1132" w:type="pct"/>
            <w:noWrap w:val="0"/>
            <w:vAlign w:val="center"/>
          </w:tcPr>
          <w:p w14:paraId="772D8CEC">
            <w:pPr>
              <w:widowControl w:val="0"/>
              <w:spacing w:after="0" w:line="240" w:lineRule="auto"/>
              <w:jc w:val="center"/>
              <w:rPr>
                <w:color w:val="auto"/>
                <w:sz w:val="21"/>
                <w:szCs w:val="21"/>
              </w:rPr>
            </w:pPr>
            <w:r>
              <w:rPr>
                <w:color w:val="auto"/>
                <w:sz w:val="21"/>
                <w:szCs w:val="21"/>
              </w:rPr>
              <w:t>0.08</w:t>
            </w:r>
          </w:p>
        </w:tc>
        <w:tc>
          <w:tcPr>
            <w:tcW w:w="1083" w:type="pct"/>
            <w:vMerge w:val="continue"/>
            <w:noWrap w:val="0"/>
            <w:vAlign w:val="center"/>
          </w:tcPr>
          <w:p w14:paraId="2404A582">
            <w:pPr>
              <w:widowControl w:val="0"/>
              <w:spacing w:after="0" w:line="240" w:lineRule="auto"/>
              <w:jc w:val="center"/>
              <w:rPr>
                <w:color w:val="auto"/>
                <w:sz w:val="21"/>
                <w:szCs w:val="21"/>
              </w:rPr>
            </w:pPr>
          </w:p>
        </w:tc>
      </w:tr>
      <w:tr w14:paraId="02079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5" w:type="pct"/>
            <w:gridSpan w:val="3"/>
            <w:noWrap w:val="0"/>
            <w:vAlign w:val="center"/>
          </w:tcPr>
          <w:p w14:paraId="7A23E327">
            <w:pPr>
              <w:widowControl w:val="0"/>
              <w:spacing w:after="0" w:line="240" w:lineRule="auto"/>
              <w:jc w:val="center"/>
              <w:rPr>
                <w:color w:val="auto"/>
                <w:sz w:val="21"/>
                <w:szCs w:val="21"/>
              </w:rPr>
            </w:pPr>
            <w:r>
              <w:rPr>
                <w:color w:val="auto"/>
                <w:sz w:val="21"/>
                <w:szCs w:val="21"/>
              </w:rPr>
              <w:t>平均SO</w:t>
            </w:r>
            <w:r>
              <w:rPr>
                <w:color w:val="auto"/>
                <w:sz w:val="21"/>
                <w:szCs w:val="21"/>
                <w:vertAlign w:val="subscript"/>
              </w:rPr>
              <w:t>3</w:t>
            </w:r>
            <w:r>
              <w:rPr>
                <w:color w:val="auto"/>
                <w:sz w:val="21"/>
                <w:szCs w:val="21"/>
              </w:rPr>
              <w:t>含量（%）</w:t>
            </w:r>
          </w:p>
        </w:tc>
        <w:tc>
          <w:tcPr>
            <w:tcW w:w="1132" w:type="pct"/>
            <w:noWrap w:val="0"/>
            <w:vAlign w:val="center"/>
          </w:tcPr>
          <w:p w14:paraId="5BB9066C">
            <w:pPr>
              <w:widowControl w:val="0"/>
              <w:spacing w:after="0" w:line="240" w:lineRule="auto"/>
              <w:jc w:val="center"/>
              <w:rPr>
                <w:color w:val="auto"/>
                <w:sz w:val="21"/>
                <w:szCs w:val="21"/>
              </w:rPr>
            </w:pPr>
            <w:r>
              <w:rPr>
                <w:color w:val="auto"/>
                <w:sz w:val="21"/>
                <w:szCs w:val="21"/>
              </w:rPr>
              <w:t>0.08</w:t>
            </w:r>
          </w:p>
        </w:tc>
        <w:tc>
          <w:tcPr>
            <w:tcW w:w="1083" w:type="pct"/>
            <w:noWrap w:val="0"/>
            <w:vAlign w:val="center"/>
          </w:tcPr>
          <w:p w14:paraId="58F34DD6">
            <w:pPr>
              <w:widowControl w:val="0"/>
              <w:spacing w:after="0" w:line="240" w:lineRule="auto"/>
              <w:jc w:val="center"/>
              <w:rPr>
                <w:color w:val="auto"/>
                <w:sz w:val="21"/>
                <w:szCs w:val="21"/>
              </w:rPr>
            </w:pPr>
          </w:p>
        </w:tc>
      </w:tr>
    </w:tbl>
    <w:p w14:paraId="2C8CFA47">
      <w:pPr>
        <w:keepNext w:val="0"/>
        <w:keepLines w:val="0"/>
        <w:pageBreakBefore w:val="0"/>
        <w:widowControl/>
        <w:kinsoku/>
        <w:wordWrap/>
        <w:overflowPunct/>
        <w:topLinePunct w:val="0"/>
        <w:autoSpaceDE/>
        <w:autoSpaceDN/>
        <w:bidi w:val="0"/>
        <w:adjustRightInd/>
        <w:snapToGrid w:val="0"/>
        <w:spacing w:before="144" w:beforeLines="50" w:after="0" w:line="360" w:lineRule="auto"/>
        <w:ind w:firstLine="560" w:firstLineChars="200"/>
        <w:textAlignment w:val="auto"/>
        <w:rPr>
          <w:color w:val="auto"/>
          <w:sz w:val="28"/>
          <w:szCs w:val="28"/>
        </w:rPr>
      </w:pPr>
      <w:r>
        <w:rPr>
          <w:color w:val="auto"/>
          <w:sz w:val="28"/>
          <w:szCs w:val="28"/>
        </w:rPr>
        <w:t>4、碱集料反应：经取样试验，碱集料反应的膨胀率为0.083%。</w:t>
      </w:r>
    </w:p>
    <w:p w14:paraId="0CC87DD9">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auto"/>
        <w:rPr>
          <w:color w:val="auto"/>
          <w:sz w:val="28"/>
          <w:szCs w:val="28"/>
        </w:rPr>
      </w:pPr>
      <w:r>
        <w:rPr>
          <w:color w:val="auto"/>
          <w:sz w:val="28"/>
          <w:szCs w:val="28"/>
        </w:rPr>
        <w:t>5、经检测放射性核素限量为：</w:t>
      </w:r>
    </w:p>
    <w:p w14:paraId="5CE40262">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auto"/>
        <w:rPr>
          <w:color w:val="auto"/>
          <w:sz w:val="28"/>
          <w:szCs w:val="28"/>
        </w:rPr>
      </w:pPr>
      <w:r>
        <w:rPr>
          <w:color w:val="auto"/>
          <w:sz w:val="28"/>
          <w:szCs w:val="28"/>
        </w:rPr>
        <w:t>①226Ra活度浓度小于200Bq/Kg；</w:t>
      </w:r>
    </w:p>
    <w:p w14:paraId="6A69FEC8">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auto"/>
        <w:rPr>
          <w:color w:val="auto"/>
          <w:sz w:val="28"/>
          <w:szCs w:val="28"/>
        </w:rPr>
      </w:pPr>
      <w:r>
        <w:rPr>
          <w:color w:val="auto"/>
          <w:sz w:val="28"/>
          <w:szCs w:val="28"/>
        </w:rPr>
        <w:t>②226Ra活度浓度/370、232Th活度浓度/260与40K活度浓度/4200的和小于1。</w:t>
      </w:r>
    </w:p>
    <w:p w14:paraId="271643E8">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auto"/>
        <w:rPr>
          <w:rFonts w:hint="eastAsia"/>
          <w:color w:val="auto"/>
          <w:sz w:val="28"/>
          <w:szCs w:val="28"/>
          <w:lang w:val="zh-CN"/>
        </w:rPr>
      </w:pPr>
      <w:r>
        <w:rPr>
          <w:color w:val="auto"/>
          <w:sz w:val="28"/>
          <w:szCs w:val="28"/>
        </w:rPr>
        <w:t>通过以上的分析测试，可以看出该矿区凝灰岩矿的各项技术指标均达到中华人民共和国国家标准（ＧＢ/Ｔ14685-20</w:t>
      </w:r>
      <w:r>
        <w:rPr>
          <w:rFonts w:hint="eastAsia"/>
          <w:color w:val="auto"/>
          <w:sz w:val="28"/>
          <w:szCs w:val="28"/>
        </w:rPr>
        <w:t>11</w:t>
      </w:r>
      <w:r>
        <w:rPr>
          <w:color w:val="auto"/>
          <w:sz w:val="28"/>
          <w:szCs w:val="28"/>
        </w:rPr>
        <w:t>）《建筑用卵石、碎石》的技术标准，可广泛用于建筑行业。</w:t>
      </w:r>
    </w:p>
    <w:p w14:paraId="7A1C4C83">
      <w:pPr>
        <w:pStyle w:val="74"/>
        <w:ind w:firstLine="480"/>
        <w:rPr>
          <w:color w:val="auto"/>
          <w:sz w:val="28"/>
          <w:szCs w:val="28"/>
        </w:rPr>
      </w:pPr>
      <w:r>
        <w:rPr>
          <w:rFonts w:hint="eastAsia"/>
          <w:color w:val="auto"/>
          <w:sz w:val="28"/>
          <w:szCs w:val="28"/>
          <w:lang w:val="en-US" w:eastAsia="zh-CN"/>
        </w:rPr>
        <w:t>6</w:t>
      </w:r>
      <w:r>
        <w:rPr>
          <w:rFonts w:hint="eastAsia"/>
          <w:color w:val="auto"/>
          <w:sz w:val="28"/>
          <w:szCs w:val="28"/>
          <w:lang w:val="zh-CN"/>
        </w:rPr>
        <w:t>、矿体围岩及夹石</w:t>
      </w:r>
    </w:p>
    <w:p w14:paraId="6DEDE9A1">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auto"/>
        <w:rPr>
          <w:rFonts w:hint="default"/>
          <w:color w:val="auto"/>
          <w:sz w:val="28"/>
          <w:szCs w:val="28"/>
          <w:lang w:val="en-US" w:eastAsia="zh-CN"/>
        </w:rPr>
      </w:pPr>
      <w:r>
        <w:rPr>
          <w:rFonts w:hint="eastAsia"/>
          <w:color w:val="auto"/>
          <w:sz w:val="28"/>
          <w:szCs w:val="28"/>
          <w:lang w:val="en-US" w:eastAsia="zh-CN"/>
        </w:rPr>
        <w:t>矿区内矿体为层控的凝灰岩，凝灰岩地层即为矿体，破碎后均可作为建筑用碎石，因此在矿区范围内，未有围岩及夹石。</w:t>
      </w:r>
    </w:p>
    <w:p w14:paraId="51BF5CD8">
      <w:pPr>
        <w:spacing w:after="0" w:line="360" w:lineRule="auto"/>
        <w:ind w:firstLine="560" w:firstLineChars="200"/>
        <w:contextualSpacing/>
        <w:jc w:val="both"/>
        <w:rPr>
          <w:rFonts w:hint="default" w:eastAsia="宋体"/>
          <w:color w:val="auto"/>
          <w:sz w:val="28"/>
          <w:szCs w:val="28"/>
          <w:lang w:val="en-US" w:eastAsia="zh-CN"/>
        </w:rPr>
      </w:pPr>
      <w:r>
        <w:rPr>
          <w:rFonts w:hint="eastAsia"/>
          <w:color w:val="auto"/>
          <w:sz w:val="28"/>
          <w:szCs w:val="28"/>
          <w:lang w:val="en-US" w:eastAsia="zh-CN"/>
        </w:rPr>
        <w:t>7</w:t>
      </w:r>
      <w:r>
        <w:rPr>
          <w:rFonts w:hint="eastAsia"/>
          <w:color w:val="auto"/>
          <w:sz w:val="28"/>
          <w:szCs w:val="28"/>
          <w:lang w:val="zh-CN"/>
        </w:rPr>
        <w:t>、矿石</w:t>
      </w:r>
      <w:r>
        <w:rPr>
          <w:rFonts w:hint="eastAsia"/>
          <w:color w:val="auto"/>
          <w:sz w:val="28"/>
          <w:szCs w:val="28"/>
          <w:lang w:val="en-US" w:eastAsia="zh-CN"/>
        </w:rPr>
        <w:t>类型及品级</w:t>
      </w:r>
    </w:p>
    <w:p w14:paraId="30FA12FC">
      <w:pPr>
        <w:spacing w:after="0" w:line="360" w:lineRule="auto"/>
        <w:ind w:firstLine="560" w:firstLineChars="200"/>
        <w:contextualSpacing/>
        <w:jc w:val="both"/>
        <w:rPr>
          <w:rFonts w:hint="eastAsia"/>
          <w:color w:val="auto"/>
          <w:sz w:val="28"/>
          <w:szCs w:val="28"/>
          <w:lang w:val="zh-CN"/>
        </w:rPr>
      </w:pPr>
      <w:r>
        <w:rPr>
          <w:rFonts w:hint="eastAsia"/>
          <w:color w:val="auto"/>
          <w:sz w:val="28"/>
          <w:szCs w:val="28"/>
          <w:lang w:val="en-US" w:eastAsia="zh-CN"/>
        </w:rPr>
        <w:t>矿石自然类型为：火山碎屑岩型凝灰岩</w:t>
      </w:r>
      <w:r>
        <w:rPr>
          <w:rFonts w:hint="eastAsia"/>
          <w:color w:val="auto"/>
          <w:sz w:val="28"/>
          <w:szCs w:val="28"/>
          <w:lang w:val="zh-CN"/>
        </w:rPr>
        <w:t>。</w:t>
      </w:r>
    </w:p>
    <w:p w14:paraId="27AEECA0">
      <w:pPr>
        <w:spacing w:after="0" w:line="360" w:lineRule="auto"/>
        <w:ind w:firstLine="560" w:firstLineChars="200"/>
        <w:contextualSpacing/>
        <w:jc w:val="both"/>
        <w:rPr>
          <w:rFonts w:hint="eastAsia"/>
          <w:color w:val="auto"/>
          <w:sz w:val="28"/>
          <w:szCs w:val="28"/>
          <w:lang w:val="en-US" w:eastAsia="zh-CN"/>
        </w:rPr>
      </w:pPr>
      <w:r>
        <w:rPr>
          <w:rFonts w:hint="eastAsia"/>
          <w:color w:val="auto"/>
          <w:sz w:val="28"/>
          <w:szCs w:val="28"/>
          <w:lang w:val="zh-CN"/>
        </w:rPr>
        <w:t>工业类型：</w:t>
      </w:r>
      <w:r>
        <w:rPr>
          <w:rFonts w:hint="eastAsia"/>
          <w:color w:val="auto"/>
          <w:sz w:val="28"/>
          <w:szCs w:val="28"/>
          <w:lang w:val="en-US" w:eastAsia="zh-CN"/>
        </w:rPr>
        <w:t>建筑用凝灰岩碎石矿</w:t>
      </w:r>
    </w:p>
    <w:p w14:paraId="02712623">
      <w:pPr>
        <w:spacing w:after="0" w:line="360" w:lineRule="auto"/>
        <w:ind w:firstLine="560" w:firstLineChars="200"/>
        <w:contextualSpacing/>
        <w:jc w:val="both"/>
        <w:rPr>
          <w:rFonts w:hint="eastAsia"/>
          <w:color w:val="auto"/>
          <w:sz w:val="28"/>
          <w:szCs w:val="28"/>
          <w:lang w:val="en-US" w:eastAsia="zh-CN"/>
        </w:rPr>
      </w:pPr>
      <w:r>
        <w:rPr>
          <w:rFonts w:hint="eastAsia"/>
          <w:color w:val="auto"/>
          <w:sz w:val="28"/>
          <w:szCs w:val="28"/>
          <w:lang w:val="en-US" w:eastAsia="zh-CN"/>
        </w:rPr>
        <w:t>品级：本矿区内碎石矿的各项一般工业指标均达到国家标准，等级为Ⅰ类型。</w:t>
      </w:r>
    </w:p>
    <w:p w14:paraId="65161FAD">
      <w:pPr>
        <w:pStyle w:val="44"/>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rPr>
          <w:rFonts w:hint="eastAsia"/>
          <w:color w:val="auto"/>
          <w:sz w:val="28"/>
          <w:szCs w:val="28"/>
          <w:lang w:val="en-US" w:eastAsia="zh-CN"/>
        </w:rPr>
      </w:pPr>
      <w:r>
        <w:rPr>
          <w:rFonts w:hint="eastAsia"/>
          <w:color w:val="auto"/>
          <w:sz w:val="28"/>
          <w:szCs w:val="28"/>
          <w:lang w:val="en-US" w:eastAsia="zh-CN"/>
        </w:rPr>
        <w:t>8、矿石的加工性能</w:t>
      </w:r>
    </w:p>
    <w:p w14:paraId="066596AA">
      <w:pPr>
        <w:spacing w:line="360" w:lineRule="auto"/>
        <w:ind w:firstLine="560" w:firstLineChars="200"/>
        <w:rPr>
          <w:rFonts w:hint="eastAsia"/>
          <w:color w:val="auto"/>
          <w:sz w:val="28"/>
          <w:szCs w:val="28"/>
          <w:lang w:val="en-US" w:eastAsia="zh-CN"/>
        </w:rPr>
      </w:pPr>
      <w:r>
        <w:rPr>
          <w:rFonts w:hint="eastAsia"/>
          <w:color w:val="auto"/>
          <w:sz w:val="28"/>
          <w:szCs w:val="28"/>
          <w:lang w:val="en-US" w:eastAsia="zh-CN"/>
        </w:rPr>
        <w:t>凝灰岩矿露天采出，经破碎，筛选后即可销售。</w:t>
      </w:r>
    </w:p>
    <w:bookmarkEnd w:id="34"/>
    <w:p w14:paraId="547D3190">
      <w:pPr>
        <w:pStyle w:val="3"/>
        <w:spacing w:before="120" w:beforeLines="50"/>
        <w:ind w:firstLine="602" w:firstLineChars="200"/>
        <w:rPr>
          <w:rFonts w:ascii="Times New Roman" w:hAnsi="Times New Roman"/>
          <w:color w:val="auto"/>
        </w:rPr>
      </w:pPr>
      <w:bookmarkStart w:id="42" w:name="_Toc19370"/>
      <w:r>
        <w:rPr>
          <w:rFonts w:ascii="Times New Roman" w:hAnsi="Times New Roman"/>
          <w:color w:val="auto"/>
        </w:rPr>
        <w:t>第四节  矿区土地利用现状及采矿用地审批情况</w:t>
      </w:r>
      <w:bookmarkEnd w:id="42"/>
    </w:p>
    <w:p w14:paraId="61E3438B">
      <w:pPr>
        <w:pStyle w:val="14"/>
        <w:spacing w:line="360" w:lineRule="auto"/>
        <w:ind w:firstLine="562" w:firstLineChars="200"/>
        <w:outlineLvl w:val="2"/>
        <w:rPr>
          <w:rFonts w:eastAsia="宋体"/>
          <w:b/>
          <w:bCs/>
          <w:color w:val="auto"/>
          <w:szCs w:val="28"/>
        </w:rPr>
      </w:pPr>
      <w:r>
        <w:rPr>
          <w:rFonts w:eastAsia="宋体"/>
          <w:b/>
          <w:bCs/>
          <w:color w:val="auto"/>
          <w:szCs w:val="28"/>
        </w:rPr>
        <w:t>一、矿区土地利用现状</w:t>
      </w:r>
    </w:p>
    <w:p w14:paraId="29A57540">
      <w:pPr>
        <w:pStyle w:val="14"/>
        <w:spacing w:line="360" w:lineRule="auto"/>
        <w:ind w:firstLine="560" w:firstLineChars="200"/>
        <w:rPr>
          <w:rFonts w:hint="eastAsia" w:eastAsia="宋体"/>
          <w:color w:val="auto"/>
          <w:szCs w:val="28"/>
          <w:lang w:val="en-US" w:eastAsia="zh-CN"/>
        </w:rPr>
      </w:pPr>
      <w:r>
        <w:rPr>
          <w:rFonts w:hint="eastAsia" w:eastAsia="宋体"/>
          <w:color w:val="auto"/>
          <w:szCs w:val="28"/>
          <w:lang w:val="en-US" w:eastAsia="zh-CN"/>
        </w:rPr>
        <w:t>1、</w:t>
      </w:r>
      <w:r>
        <w:rPr>
          <w:rFonts w:eastAsia="宋体"/>
          <w:color w:val="auto"/>
          <w:szCs w:val="28"/>
        </w:rPr>
        <w:t>矿区土地利用情况</w:t>
      </w:r>
    </w:p>
    <w:p w14:paraId="2469A1A2">
      <w:pPr>
        <w:pStyle w:val="14"/>
        <w:spacing w:line="360" w:lineRule="auto"/>
        <w:ind w:firstLine="560" w:firstLineChars="200"/>
        <w:rPr>
          <w:rFonts w:eastAsia="宋体"/>
          <w:color w:val="auto"/>
          <w:szCs w:val="28"/>
        </w:rPr>
      </w:pPr>
      <w:r>
        <w:rPr>
          <w:rFonts w:eastAsia="宋体"/>
          <w:color w:val="auto"/>
          <w:szCs w:val="28"/>
        </w:rPr>
        <w:t>根据</w:t>
      </w:r>
      <w:bookmarkStart w:id="43" w:name="OLE_LINK2"/>
      <w:r>
        <w:rPr>
          <w:rFonts w:eastAsia="宋体"/>
          <w:color w:val="auto"/>
          <w:szCs w:val="28"/>
        </w:rPr>
        <w:t>赤峰市自然资源局松山区分局提供的松山区</w:t>
      </w:r>
      <w:bookmarkStart w:id="44" w:name="_Hlk220592221"/>
      <w:r>
        <w:rPr>
          <w:rFonts w:eastAsia="宋体"/>
          <w:color w:val="auto"/>
          <w:szCs w:val="28"/>
        </w:rPr>
        <w:t>2024年国土变更调查数据</w:t>
      </w:r>
      <w:bookmarkEnd w:id="43"/>
      <w:bookmarkEnd w:id="44"/>
      <w:r>
        <w:rPr>
          <w:rFonts w:eastAsia="宋体"/>
          <w:color w:val="auto"/>
          <w:szCs w:val="28"/>
        </w:rPr>
        <w:t>及全国第三次土地利用现状调查数据和《土地利用现状分类》（GB/T</w:t>
      </w:r>
      <w:r>
        <w:rPr>
          <w:rFonts w:hint="eastAsia" w:eastAsia="宋体"/>
          <w:color w:val="auto"/>
          <w:szCs w:val="28"/>
        </w:rPr>
        <w:t xml:space="preserve"> </w:t>
      </w:r>
      <w:r>
        <w:rPr>
          <w:rFonts w:eastAsia="宋体"/>
          <w:color w:val="auto"/>
          <w:szCs w:val="28"/>
        </w:rPr>
        <w:t>21010-2017），利用mapgis软件对项目区涉及地类面积及权属状况进行统计。</w:t>
      </w:r>
      <w:r>
        <w:rPr>
          <w:rFonts w:hint="eastAsia" w:eastAsia="宋体"/>
          <w:color w:val="auto"/>
          <w:szCs w:val="28"/>
          <w:lang w:val="en-US" w:eastAsia="zh-CN"/>
        </w:rPr>
        <w:t>矿区</w:t>
      </w:r>
      <w:r>
        <w:rPr>
          <w:rFonts w:eastAsia="宋体"/>
          <w:color w:val="auto"/>
          <w:szCs w:val="28"/>
        </w:rPr>
        <w:t>面积</w:t>
      </w:r>
      <w:r>
        <w:rPr>
          <w:rFonts w:hint="eastAsia" w:eastAsia="宋体"/>
          <w:color w:val="auto"/>
          <w:szCs w:val="28"/>
          <w:lang w:val="en-US" w:eastAsia="zh-CN"/>
        </w:rPr>
        <w:t>0.044</w:t>
      </w:r>
      <w:r>
        <w:rPr>
          <w:rFonts w:eastAsia="宋体"/>
          <w:color w:val="auto"/>
          <w:szCs w:val="28"/>
        </w:rPr>
        <w:t>km</w:t>
      </w:r>
      <w:r>
        <w:rPr>
          <w:rFonts w:eastAsia="宋体"/>
          <w:color w:val="auto"/>
          <w:szCs w:val="28"/>
          <w:vertAlign w:val="superscript"/>
        </w:rPr>
        <w:t>2</w:t>
      </w:r>
      <w:r>
        <w:rPr>
          <w:rFonts w:eastAsia="宋体"/>
          <w:color w:val="auto"/>
          <w:szCs w:val="28"/>
        </w:rPr>
        <w:t>，矿区土地利用类型一级地类包括林地、草地、工矿仓储用地，具体地类面积见表2-</w:t>
      </w:r>
      <w:r>
        <w:rPr>
          <w:rFonts w:hint="eastAsia" w:eastAsia="宋体"/>
          <w:color w:val="auto"/>
          <w:szCs w:val="28"/>
          <w:lang w:val="en-US" w:eastAsia="zh-CN"/>
        </w:rPr>
        <w:t>7</w:t>
      </w:r>
      <w:r>
        <w:rPr>
          <w:rFonts w:eastAsia="宋体"/>
          <w:color w:val="auto"/>
          <w:szCs w:val="28"/>
        </w:rPr>
        <w:t>。</w:t>
      </w:r>
    </w:p>
    <w:p w14:paraId="14968AB0">
      <w:pPr>
        <w:ind w:firstLine="480" w:firstLineChars="200"/>
        <w:jc w:val="center"/>
        <w:rPr>
          <w:rFonts w:eastAsia="黑体"/>
          <w:color w:val="auto"/>
          <w:sz w:val="24"/>
          <w:szCs w:val="24"/>
        </w:rPr>
      </w:pPr>
    </w:p>
    <w:p w14:paraId="35D2E9C4">
      <w:pPr>
        <w:pStyle w:val="33"/>
        <w:rPr>
          <w:rFonts w:eastAsia="黑体"/>
          <w:color w:val="auto"/>
          <w:sz w:val="24"/>
          <w:szCs w:val="24"/>
        </w:rPr>
      </w:pPr>
    </w:p>
    <w:p w14:paraId="6503848F">
      <w:pPr>
        <w:pStyle w:val="33"/>
        <w:rPr>
          <w:rFonts w:eastAsia="黑体"/>
          <w:color w:val="auto"/>
          <w:sz w:val="24"/>
          <w:szCs w:val="24"/>
        </w:rPr>
      </w:pPr>
    </w:p>
    <w:p w14:paraId="036A9082">
      <w:pPr>
        <w:ind w:firstLine="480" w:firstLineChars="200"/>
        <w:jc w:val="center"/>
        <w:rPr>
          <w:rFonts w:eastAsia="黑体"/>
          <w:color w:val="auto"/>
          <w:sz w:val="24"/>
          <w:szCs w:val="24"/>
        </w:rPr>
      </w:pPr>
      <w:r>
        <w:rPr>
          <w:rFonts w:eastAsia="黑体"/>
          <w:color w:val="auto"/>
          <w:sz w:val="24"/>
          <w:szCs w:val="24"/>
        </w:rPr>
        <w:t>表2-</w:t>
      </w:r>
      <w:r>
        <w:rPr>
          <w:rFonts w:hint="eastAsia" w:eastAsia="黑体"/>
          <w:color w:val="auto"/>
          <w:sz w:val="24"/>
          <w:szCs w:val="24"/>
          <w:lang w:val="en-US" w:eastAsia="zh-CN"/>
        </w:rPr>
        <w:t>7</w:t>
      </w:r>
      <w:r>
        <w:rPr>
          <w:rFonts w:eastAsia="黑体"/>
          <w:color w:val="auto"/>
          <w:sz w:val="24"/>
          <w:szCs w:val="24"/>
        </w:rPr>
        <w:t xml:space="preserve">  </w:t>
      </w:r>
      <w:r>
        <w:rPr>
          <w:rFonts w:hint="eastAsia" w:eastAsia="黑体"/>
          <w:color w:val="auto"/>
          <w:sz w:val="24"/>
          <w:szCs w:val="24"/>
          <w:lang w:val="en-US" w:eastAsia="zh-CN"/>
        </w:rPr>
        <w:t>矿</w:t>
      </w:r>
      <w:r>
        <w:rPr>
          <w:rFonts w:eastAsia="黑体"/>
          <w:color w:val="auto"/>
          <w:sz w:val="24"/>
          <w:szCs w:val="24"/>
        </w:rPr>
        <w:t>区土地利用现状表</w:t>
      </w:r>
    </w:p>
    <w:tbl>
      <w:tblPr>
        <w:tblStyle w:val="34"/>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97"/>
        <w:gridCol w:w="2082"/>
        <w:gridCol w:w="897"/>
        <w:gridCol w:w="1490"/>
        <w:gridCol w:w="1965"/>
        <w:gridCol w:w="1736"/>
      </w:tblGrid>
      <w:tr w14:paraId="62F06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trPr>
        <w:tc>
          <w:tcPr>
            <w:tcW w:w="0" w:type="auto"/>
            <w:gridSpan w:val="2"/>
            <w:shd w:val="clear" w:color="auto" w:fill="auto"/>
            <w:noWrap/>
            <w:vAlign w:val="center"/>
          </w:tcPr>
          <w:p w14:paraId="5C8437D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一级地类</w:t>
            </w:r>
          </w:p>
        </w:tc>
        <w:tc>
          <w:tcPr>
            <w:tcW w:w="0" w:type="auto"/>
            <w:gridSpan w:val="2"/>
            <w:shd w:val="clear" w:color="auto" w:fill="auto"/>
            <w:noWrap/>
            <w:vAlign w:val="center"/>
          </w:tcPr>
          <w:p w14:paraId="4659D59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二级地类</w:t>
            </w:r>
          </w:p>
        </w:tc>
        <w:tc>
          <w:tcPr>
            <w:tcW w:w="0" w:type="auto"/>
            <w:vMerge w:val="restart"/>
            <w:shd w:val="clear" w:color="auto" w:fill="auto"/>
            <w:noWrap/>
            <w:vAlign w:val="center"/>
          </w:tcPr>
          <w:p w14:paraId="35FBFFC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面积（</w:t>
            </w:r>
            <w:r>
              <w:rPr>
                <w:rFonts w:hint="default" w:ascii="Times New Roman" w:hAnsi="Times New Roman" w:eastAsia="宋体" w:cs="Times New Roman"/>
                <w:i w:val="0"/>
                <w:iCs w:val="0"/>
                <w:color w:val="auto"/>
                <w:kern w:val="0"/>
                <w:sz w:val="21"/>
                <w:szCs w:val="21"/>
                <w:u w:val="none"/>
                <w:lang w:val="en-US" w:eastAsia="zh-CN" w:bidi="ar"/>
              </w:rPr>
              <w:t>hm</w:t>
            </w:r>
            <w:r>
              <w:rPr>
                <w:rFonts w:hint="default" w:ascii="Times New Roman" w:hAnsi="Times New Roman" w:eastAsia="宋体" w:cs="Times New Roman"/>
                <w:i w:val="0"/>
                <w:iCs w:val="0"/>
                <w:color w:val="auto"/>
                <w:kern w:val="0"/>
                <w:sz w:val="21"/>
                <w:szCs w:val="21"/>
                <w:u w:val="none"/>
                <w:vertAlign w:val="superscript"/>
                <w:lang w:val="en-US" w:eastAsia="zh-CN" w:bidi="ar"/>
              </w:rPr>
              <w:t>2</w:t>
            </w:r>
            <w:r>
              <w:rPr>
                <w:rFonts w:hint="eastAsia" w:ascii="宋体" w:hAnsi="宋体" w:eastAsia="宋体" w:cs="宋体"/>
                <w:i w:val="0"/>
                <w:iCs w:val="0"/>
                <w:color w:val="auto"/>
                <w:kern w:val="0"/>
                <w:sz w:val="21"/>
                <w:szCs w:val="21"/>
                <w:u w:val="none"/>
                <w:lang w:val="en-US" w:eastAsia="zh-CN" w:bidi="ar"/>
              </w:rPr>
              <w:t>）</w:t>
            </w:r>
          </w:p>
        </w:tc>
        <w:tc>
          <w:tcPr>
            <w:tcW w:w="1736" w:type="dxa"/>
            <w:vMerge w:val="restart"/>
            <w:shd w:val="clear" w:color="auto" w:fill="auto"/>
            <w:noWrap/>
            <w:vAlign w:val="center"/>
          </w:tcPr>
          <w:p w14:paraId="1032F43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占比（</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w:t>
            </w:r>
          </w:p>
        </w:tc>
      </w:tr>
      <w:tr w14:paraId="65E06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0" w:type="auto"/>
            <w:shd w:val="clear" w:color="auto" w:fill="auto"/>
            <w:noWrap/>
            <w:vAlign w:val="center"/>
          </w:tcPr>
          <w:p w14:paraId="55972C8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代码</w:t>
            </w:r>
          </w:p>
        </w:tc>
        <w:tc>
          <w:tcPr>
            <w:tcW w:w="0" w:type="auto"/>
            <w:shd w:val="clear" w:color="auto" w:fill="auto"/>
            <w:noWrap/>
            <w:vAlign w:val="center"/>
          </w:tcPr>
          <w:p w14:paraId="5BBC983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地类</w:t>
            </w:r>
          </w:p>
        </w:tc>
        <w:tc>
          <w:tcPr>
            <w:tcW w:w="0" w:type="auto"/>
            <w:shd w:val="clear" w:color="auto" w:fill="auto"/>
            <w:noWrap/>
            <w:vAlign w:val="center"/>
          </w:tcPr>
          <w:p w14:paraId="0C596C4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代码</w:t>
            </w:r>
          </w:p>
        </w:tc>
        <w:tc>
          <w:tcPr>
            <w:tcW w:w="0" w:type="auto"/>
            <w:shd w:val="clear" w:color="auto" w:fill="auto"/>
            <w:noWrap/>
            <w:vAlign w:val="center"/>
          </w:tcPr>
          <w:p w14:paraId="7C4DD25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地类</w:t>
            </w:r>
          </w:p>
        </w:tc>
        <w:tc>
          <w:tcPr>
            <w:tcW w:w="0" w:type="auto"/>
            <w:vMerge w:val="continue"/>
            <w:shd w:val="clear" w:color="auto" w:fill="auto"/>
            <w:noWrap/>
            <w:vAlign w:val="center"/>
          </w:tcPr>
          <w:p w14:paraId="3CA001E8">
            <w:pPr>
              <w:ind w:left="0" w:leftChars="0" w:right="0" w:rightChars="0" w:firstLine="0" w:firstLineChars="0"/>
              <w:jc w:val="center"/>
              <w:rPr>
                <w:rFonts w:hint="eastAsia" w:ascii="宋体" w:hAnsi="宋体" w:eastAsia="宋体" w:cs="宋体"/>
                <w:i w:val="0"/>
                <w:iCs w:val="0"/>
                <w:color w:val="auto"/>
                <w:sz w:val="21"/>
                <w:szCs w:val="21"/>
                <w:u w:val="none"/>
              </w:rPr>
            </w:pPr>
          </w:p>
        </w:tc>
        <w:tc>
          <w:tcPr>
            <w:tcW w:w="1736" w:type="dxa"/>
            <w:vMerge w:val="continue"/>
            <w:shd w:val="clear" w:color="auto" w:fill="auto"/>
            <w:noWrap/>
            <w:vAlign w:val="center"/>
          </w:tcPr>
          <w:p w14:paraId="061F7D60">
            <w:pPr>
              <w:ind w:left="0" w:leftChars="0" w:right="0" w:rightChars="0" w:firstLine="0" w:firstLineChars="0"/>
              <w:jc w:val="center"/>
              <w:rPr>
                <w:rFonts w:hint="eastAsia" w:ascii="宋体" w:hAnsi="宋体" w:eastAsia="宋体" w:cs="宋体"/>
                <w:i w:val="0"/>
                <w:iCs w:val="0"/>
                <w:color w:val="auto"/>
                <w:sz w:val="21"/>
                <w:szCs w:val="21"/>
                <w:u w:val="none"/>
              </w:rPr>
            </w:pPr>
          </w:p>
        </w:tc>
      </w:tr>
      <w:tr w14:paraId="7190C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0" w:type="auto"/>
            <w:shd w:val="clear" w:color="auto" w:fill="auto"/>
            <w:noWrap/>
            <w:vAlign w:val="center"/>
          </w:tcPr>
          <w:p w14:paraId="0C0AE935">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w:t>
            </w:r>
          </w:p>
        </w:tc>
        <w:tc>
          <w:tcPr>
            <w:tcW w:w="0" w:type="auto"/>
            <w:shd w:val="clear" w:color="auto" w:fill="auto"/>
            <w:noWrap/>
            <w:vAlign w:val="center"/>
          </w:tcPr>
          <w:p w14:paraId="3FD0B1A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林地</w:t>
            </w:r>
          </w:p>
        </w:tc>
        <w:tc>
          <w:tcPr>
            <w:tcW w:w="0" w:type="auto"/>
            <w:shd w:val="clear" w:color="auto" w:fill="auto"/>
            <w:noWrap/>
            <w:vAlign w:val="center"/>
          </w:tcPr>
          <w:p w14:paraId="0B5C08FE">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0305</w:t>
            </w:r>
          </w:p>
        </w:tc>
        <w:tc>
          <w:tcPr>
            <w:tcW w:w="0" w:type="auto"/>
            <w:shd w:val="clear" w:color="auto" w:fill="auto"/>
            <w:noWrap/>
            <w:vAlign w:val="center"/>
          </w:tcPr>
          <w:p w14:paraId="612AD95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灌木林地</w:t>
            </w:r>
          </w:p>
        </w:tc>
        <w:tc>
          <w:tcPr>
            <w:tcW w:w="0" w:type="auto"/>
            <w:shd w:val="clear" w:color="auto" w:fill="auto"/>
            <w:noWrap/>
            <w:vAlign w:val="center"/>
          </w:tcPr>
          <w:p w14:paraId="201EBC1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0.534</w:t>
            </w:r>
          </w:p>
        </w:tc>
        <w:tc>
          <w:tcPr>
            <w:tcW w:w="1736" w:type="dxa"/>
            <w:shd w:val="clear" w:color="auto" w:fill="auto"/>
            <w:noWrap/>
            <w:vAlign w:val="center"/>
          </w:tcPr>
          <w:p w14:paraId="6C52608E">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12.14 </w:t>
            </w:r>
          </w:p>
        </w:tc>
      </w:tr>
      <w:tr w14:paraId="691DE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0" w:type="auto"/>
            <w:shd w:val="clear" w:color="auto" w:fill="auto"/>
            <w:noWrap/>
            <w:vAlign w:val="center"/>
          </w:tcPr>
          <w:p w14:paraId="2388B50F">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w:t>
            </w:r>
          </w:p>
        </w:tc>
        <w:tc>
          <w:tcPr>
            <w:tcW w:w="0" w:type="auto"/>
            <w:shd w:val="clear" w:color="auto" w:fill="auto"/>
            <w:noWrap/>
            <w:vAlign w:val="center"/>
          </w:tcPr>
          <w:p w14:paraId="0A98E16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草地</w:t>
            </w:r>
          </w:p>
        </w:tc>
        <w:tc>
          <w:tcPr>
            <w:tcW w:w="0" w:type="auto"/>
            <w:shd w:val="clear" w:color="auto" w:fill="auto"/>
            <w:noWrap/>
            <w:vAlign w:val="center"/>
          </w:tcPr>
          <w:p w14:paraId="12179D73">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0404</w:t>
            </w:r>
          </w:p>
        </w:tc>
        <w:tc>
          <w:tcPr>
            <w:tcW w:w="0" w:type="auto"/>
            <w:shd w:val="clear" w:color="auto" w:fill="auto"/>
            <w:noWrap/>
            <w:vAlign w:val="center"/>
          </w:tcPr>
          <w:p w14:paraId="24FA0A8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其他草地</w:t>
            </w:r>
          </w:p>
        </w:tc>
        <w:tc>
          <w:tcPr>
            <w:tcW w:w="0" w:type="auto"/>
            <w:shd w:val="clear" w:color="auto" w:fill="auto"/>
            <w:noWrap/>
            <w:vAlign w:val="center"/>
          </w:tcPr>
          <w:p w14:paraId="0DC090C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0.8562</w:t>
            </w:r>
          </w:p>
        </w:tc>
        <w:tc>
          <w:tcPr>
            <w:tcW w:w="1736" w:type="dxa"/>
            <w:shd w:val="clear" w:color="auto" w:fill="auto"/>
            <w:noWrap/>
            <w:vAlign w:val="center"/>
          </w:tcPr>
          <w:p w14:paraId="7E59967C">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19.46 </w:t>
            </w:r>
          </w:p>
        </w:tc>
      </w:tr>
      <w:tr w14:paraId="58AE9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0" w:type="auto"/>
            <w:shd w:val="clear" w:color="auto" w:fill="auto"/>
            <w:noWrap/>
            <w:vAlign w:val="center"/>
          </w:tcPr>
          <w:p w14:paraId="7937CFDF">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06</w:t>
            </w:r>
          </w:p>
        </w:tc>
        <w:tc>
          <w:tcPr>
            <w:tcW w:w="0" w:type="auto"/>
            <w:shd w:val="clear" w:color="auto" w:fill="auto"/>
            <w:noWrap/>
            <w:vAlign w:val="center"/>
          </w:tcPr>
          <w:p w14:paraId="20C538A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工矿仓储用地</w:t>
            </w:r>
          </w:p>
        </w:tc>
        <w:tc>
          <w:tcPr>
            <w:tcW w:w="0" w:type="auto"/>
            <w:shd w:val="clear" w:color="auto" w:fill="auto"/>
            <w:noWrap/>
            <w:vAlign w:val="center"/>
          </w:tcPr>
          <w:p w14:paraId="2413561E">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0602</w:t>
            </w:r>
          </w:p>
        </w:tc>
        <w:tc>
          <w:tcPr>
            <w:tcW w:w="0" w:type="auto"/>
            <w:shd w:val="clear" w:color="auto" w:fill="auto"/>
            <w:noWrap/>
            <w:vAlign w:val="center"/>
          </w:tcPr>
          <w:p w14:paraId="3BBB3D6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采矿用地</w:t>
            </w:r>
          </w:p>
        </w:tc>
        <w:tc>
          <w:tcPr>
            <w:tcW w:w="0" w:type="auto"/>
            <w:shd w:val="clear" w:color="auto" w:fill="auto"/>
            <w:noWrap/>
            <w:vAlign w:val="center"/>
          </w:tcPr>
          <w:p w14:paraId="3FB5CFB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3.0098</w:t>
            </w:r>
          </w:p>
        </w:tc>
        <w:tc>
          <w:tcPr>
            <w:tcW w:w="1736" w:type="dxa"/>
            <w:shd w:val="clear" w:color="auto" w:fill="auto"/>
            <w:noWrap/>
            <w:vAlign w:val="center"/>
          </w:tcPr>
          <w:p w14:paraId="3E9ACD12">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68.40 </w:t>
            </w:r>
          </w:p>
        </w:tc>
      </w:tr>
      <w:tr w14:paraId="14BCA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366" w:type="dxa"/>
            <w:gridSpan w:val="4"/>
            <w:shd w:val="clear" w:color="auto" w:fill="auto"/>
            <w:noWrap/>
            <w:vAlign w:val="center"/>
          </w:tcPr>
          <w:p w14:paraId="3E31C0C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合计</w:t>
            </w:r>
          </w:p>
        </w:tc>
        <w:tc>
          <w:tcPr>
            <w:tcW w:w="1965" w:type="dxa"/>
            <w:shd w:val="clear" w:color="auto" w:fill="auto"/>
            <w:noWrap/>
            <w:vAlign w:val="center"/>
          </w:tcPr>
          <w:p w14:paraId="343D276C">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4.4</w:t>
            </w:r>
            <w:r>
              <w:rPr>
                <w:rFonts w:hint="eastAsia" w:cs="Times New Roman"/>
                <w:i w:val="0"/>
                <w:iCs w:val="0"/>
                <w:color w:val="auto"/>
                <w:kern w:val="0"/>
                <w:sz w:val="21"/>
                <w:szCs w:val="21"/>
                <w:u w:val="none"/>
                <w:lang w:val="en-US" w:eastAsia="zh-CN" w:bidi="ar"/>
              </w:rPr>
              <w:t>000</w:t>
            </w:r>
          </w:p>
        </w:tc>
        <w:tc>
          <w:tcPr>
            <w:tcW w:w="1736" w:type="dxa"/>
            <w:shd w:val="clear" w:color="auto" w:fill="auto"/>
            <w:noWrap/>
            <w:vAlign w:val="center"/>
          </w:tcPr>
          <w:p w14:paraId="1D48C1E6">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r>
    </w:tbl>
    <w:p w14:paraId="3B0CD18F">
      <w:pPr>
        <w:spacing w:line="360" w:lineRule="auto"/>
        <w:ind w:firstLine="560" w:firstLineChars="200"/>
        <w:rPr>
          <w:color w:val="auto"/>
          <w:sz w:val="28"/>
          <w:szCs w:val="28"/>
        </w:rPr>
      </w:pPr>
      <w:r>
        <w:rPr>
          <w:color w:val="auto"/>
          <w:sz w:val="28"/>
          <w:szCs w:val="28"/>
        </w:rPr>
        <w:t>2、矿区土地利用权属情况</w:t>
      </w:r>
    </w:p>
    <w:p w14:paraId="7AF4A229">
      <w:pPr>
        <w:spacing w:line="360" w:lineRule="auto"/>
        <w:ind w:firstLine="560" w:firstLineChars="200"/>
        <w:rPr>
          <w:color w:val="auto"/>
          <w:sz w:val="28"/>
          <w:szCs w:val="28"/>
        </w:rPr>
      </w:pPr>
      <w:r>
        <w:rPr>
          <w:color w:val="auto"/>
          <w:sz w:val="28"/>
          <w:szCs w:val="28"/>
        </w:rPr>
        <w:t>根据</w:t>
      </w:r>
      <w:bookmarkStart w:id="45" w:name="_Hlk220147671"/>
      <w:r>
        <w:rPr>
          <w:color w:val="auto"/>
          <w:sz w:val="28"/>
          <w:szCs w:val="28"/>
        </w:rPr>
        <w:t>赤峰市自然资源局松山区分局提供的</w:t>
      </w:r>
      <w:bookmarkEnd w:id="45"/>
      <w:r>
        <w:rPr>
          <w:color w:val="auto"/>
          <w:sz w:val="28"/>
          <w:szCs w:val="28"/>
        </w:rPr>
        <w:t>松山区2024年国土变更调查数据及全国第三次土地利用现状调查资料及调查走访，土地权属为赤峰市松山区初头朗镇</w:t>
      </w:r>
      <w:r>
        <w:rPr>
          <w:rFonts w:hint="eastAsia"/>
          <w:color w:val="auto"/>
          <w:sz w:val="28"/>
          <w:szCs w:val="28"/>
          <w:lang w:val="en-US" w:eastAsia="zh-CN"/>
        </w:rPr>
        <w:t>窑沟门</w:t>
      </w:r>
      <w:r>
        <w:rPr>
          <w:color w:val="auto"/>
          <w:sz w:val="28"/>
          <w:szCs w:val="28"/>
        </w:rPr>
        <w:t>村</w:t>
      </w:r>
      <w:r>
        <w:rPr>
          <w:rFonts w:hint="eastAsia"/>
          <w:color w:val="auto"/>
          <w:sz w:val="28"/>
          <w:szCs w:val="28"/>
          <w:lang w:val="en-US" w:eastAsia="zh-CN"/>
        </w:rPr>
        <w:t>村民集体</w:t>
      </w:r>
      <w:r>
        <w:rPr>
          <w:color w:val="auto"/>
          <w:sz w:val="28"/>
          <w:szCs w:val="28"/>
        </w:rPr>
        <w:t>所有</w:t>
      </w:r>
      <w:r>
        <w:rPr>
          <w:rFonts w:hint="eastAsia"/>
          <w:color w:val="auto"/>
          <w:sz w:val="28"/>
          <w:szCs w:val="28"/>
          <w:lang w:eastAsia="zh-CN"/>
        </w:rPr>
        <w:t>，</w:t>
      </w:r>
      <w:r>
        <w:rPr>
          <w:color w:val="auto"/>
          <w:sz w:val="28"/>
          <w:szCs w:val="28"/>
        </w:rPr>
        <w:t>权属明确，界线明显，不存在争议。矿区土地利用权属见表2-</w:t>
      </w:r>
      <w:r>
        <w:rPr>
          <w:rFonts w:hint="eastAsia"/>
          <w:color w:val="auto"/>
          <w:sz w:val="28"/>
          <w:szCs w:val="28"/>
          <w:lang w:val="en-US" w:eastAsia="zh-CN"/>
        </w:rPr>
        <w:t>8</w:t>
      </w:r>
      <w:r>
        <w:rPr>
          <w:color w:val="auto"/>
          <w:sz w:val="28"/>
          <w:szCs w:val="28"/>
        </w:rPr>
        <w:t>。</w:t>
      </w:r>
    </w:p>
    <w:p w14:paraId="5001957E">
      <w:pPr>
        <w:spacing w:line="240" w:lineRule="auto"/>
        <w:ind w:firstLine="480" w:firstLineChars="200"/>
        <w:jc w:val="center"/>
        <w:rPr>
          <w:rFonts w:eastAsia="黑体"/>
          <w:color w:val="auto"/>
          <w:sz w:val="24"/>
          <w:szCs w:val="24"/>
        </w:rPr>
      </w:pPr>
      <w:r>
        <w:rPr>
          <w:rFonts w:eastAsia="黑体"/>
          <w:color w:val="auto"/>
          <w:sz w:val="24"/>
          <w:szCs w:val="24"/>
        </w:rPr>
        <w:t>表2-</w:t>
      </w:r>
      <w:r>
        <w:rPr>
          <w:rFonts w:hint="eastAsia" w:eastAsia="黑体"/>
          <w:color w:val="auto"/>
          <w:sz w:val="24"/>
          <w:szCs w:val="24"/>
          <w:lang w:val="en-US" w:eastAsia="zh-CN"/>
        </w:rPr>
        <w:t>8</w:t>
      </w:r>
      <w:r>
        <w:rPr>
          <w:rFonts w:eastAsia="黑体"/>
          <w:color w:val="auto"/>
          <w:sz w:val="24"/>
          <w:szCs w:val="24"/>
        </w:rPr>
        <w:t xml:space="preserve">  矿区土地利用权属表</w:t>
      </w:r>
    </w:p>
    <w:tbl>
      <w:tblPr>
        <w:tblStyle w:val="34"/>
        <w:tblW w:w="4852"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720"/>
        <w:gridCol w:w="1754"/>
        <w:gridCol w:w="1310"/>
        <w:gridCol w:w="1789"/>
        <w:gridCol w:w="1193"/>
        <w:gridCol w:w="4"/>
        <w:gridCol w:w="23"/>
      </w:tblGrid>
      <w:tr w14:paraId="244850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1547" w:type="pct"/>
            <w:shd w:val="clear" w:color="auto" w:fill="auto"/>
            <w:vAlign w:val="center"/>
          </w:tcPr>
          <w:p w14:paraId="44B843E4">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权</w:t>
            </w:r>
            <w:r>
              <w:rPr>
                <w:rFonts w:hint="default" w:ascii="Times New Roman" w:hAnsi="Times New Roman" w:eastAsia="宋体" w:cs="Times New Roman"/>
                <w:b w:val="0"/>
                <w:bCs w:val="0"/>
                <w:i w:val="0"/>
                <w:iCs w:val="0"/>
                <w:color w:val="auto"/>
                <w:kern w:val="0"/>
                <w:sz w:val="21"/>
                <w:szCs w:val="21"/>
                <w:u w:val="none"/>
                <w:lang w:val="en-US" w:eastAsia="zh-CN" w:bidi="ar"/>
              </w:rPr>
              <w:t xml:space="preserve">  </w:t>
            </w:r>
            <w:r>
              <w:rPr>
                <w:rFonts w:hint="eastAsia" w:ascii="宋体" w:hAnsi="宋体" w:eastAsia="宋体" w:cs="宋体"/>
                <w:b w:val="0"/>
                <w:bCs w:val="0"/>
                <w:i w:val="0"/>
                <w:iCs w:val="0"/>
                <w:color w:val="auto"/>
                <w:kern w:val="0"/>
                <w:sz w:val="21"/>
                <w:szCs w:val="21"/>
                <w:u w:val="none"/>
                <w:lang w:val="en-US" w:eastAsia="zh-CN" w:bidi="ar"/>
              </w:rPr>
              <w:t>属</w:t>
            </w:r>
          </w:p>
        </w:tc>
        <w:tc>
          <w:tcPr>
            <w:tcW w:w="2759" w:type="pct"/>
            <w:gridSpan w:val="3"/>
            <w:tcBorders>
              <w:left w:val="single" w:color="auto" w:sz="4" w:space="0"/>
              <w:right w:val="single" w:color="auto" w:sz="4" w:space="0"/>
            </w:tcBorders>
            <w:shd w:val="clear" w:color="auto" w:fill="auto"/>
            <w:vAlign w:val="center"/>
          </w:tcPr>
          <w:p w14:paraId="18249ADD">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地类（</w:t>
            </w:r>
            <w:r>
              <w:rPr>
                <w:rFonts w:hint="default" w:ascii="Times New Roman" w:hAnsi="Times New Roman" w:eastAsia="宋体" w:cs="Times New Roman"/>
                <w:b w:val="0"/>
                <w:bCs w:val="0"/>
                <w:i w:val="0"/>
                <w:iCs w:val="0"/>
                <w:color w:val="auto"/>
                <w:kern w:val="0"/>
                <w:sz w:val="21"/>
                <w:szCs w:val="21"/>
                <w:u w:val="none"/>
                <w:lang w:val="en-US" w:eastAsia="zh-CN" w:bidi="ar"/>
              </w:rPr>
              <w:t>m</w:t>
            </w:r>
            <w:r>
              <w:rPr>
                <w:rFonts w:hint="default" w:ascii="Times New Roman" w:hAnsi="Times New Roman" w:eastAsia="宋体" w:cs="Times New Roman"/>
                <w:b w:val="0"/>
                <w:bCs w:val="0"/>
                <w:i w:val="0"/>
                <w:iCs w:val="0"/>
                <w:color w:val="auto"/>
                <w:kern w:val="0"/>
                <w:sz w:val="21"/>
                <w:szCs w:val="21"/>
                <w:u w:val="none"/>
                <w:vertAlign w:val="superscript"/>
                <w:lang w:val="en-US" w:eastAsia="zh-CN" w:bidi="ar"/>
              </w:rPr>
              <w:t>2</w:t>
            </w:r>
            <w:r>
              <w:rPr>
                <w:rFonts w:hint="eastAsia" w:ascii="宋体" w:hAnsi="宋体" w:eastAsia="宋体" w:cs="宋体"/>
                <w:b w:val="0"/>
                <w:bCs w:val="0"/>
                <w:i w:val="0"/>
                <w:iCs w:val="0"/>
                <w:color w:val="auto"/>
                <w:kern w:val="0"/>
                <w:sz w:val="21"/>
                <w:szCs w:val="21"/>
                <w:u w:val="none"/>
                <w:lang w:val="en-US" w:eastAsia="zh-CN" w:bidi="ar"/>
              </w:rPr>
              <w:t>）</w:t>
            </w:r>
          </w:p>
        </w:tc>
        <w:tc>
          <w:tcPr>
            <w:tcW w:w="693" w:type="pct"/>
            <w:gridSpan w:val="3"/>
            <w:shd w:val="clear" w:color="auto" w:fill="auto"/>
            <w:vAlign w:val="center"/>
          </w:tcPr>
          <w:p w14:paraId="2D399D19">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合计</w:t>
            </w:r>
          </w:p>
        </w:tc>
      </w:tr>
      <w:tr w14:paraId="4C3198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15" w:type="pct"/>
          <w:trHeight w:val="340" w:hRule="atLeast"/>
        </w:trPr>
        <w:tc>
          <w:tcPr>
            <w:tcW w:w="1547" w:type="pct"/>
            <w:vMerge w:val="restart"/>
            <w:shd w:val="clear" w:color="auto" w:fill="auto"/>
            <w:vAlign w:val="center"/>
          </w:tcPr>
          <w:p w14:paraId="2AB43CBD">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所占地类</w:t>
            </w:r>
          </w:p>
        </w:tc>
        <w:tc>
          <w:tcPr>
            <w:tcW w:w="997" w:type="pct"/>
            <w:tcBorders>
              <w:left w:val="single" w:color="auto" w:sz="4" w:space="0"/>
              <w:right w:val="single" w:color="auto" w:sz="4" w:space="0"/>
            </w:tcBorders>
            <w:shd w:val="clear" w:color="auto" w:fill="auto"/>
            <w:vAlign w:val="center"/>
          </w:tcPr>
          <w:p w14:paraId="6BF0F036">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eastAsia" w:cs="Times New Roman"/>
                <w:b w:val="0"/>
                <w:bCs w:val="0"/>
                <w:i w:val="0"/>
                <w:iCs w:val="0"/>
                <w:color w:val="auto"/>
                <w:kern w:val="0"/>
                <w:sz w:val="21"/>
                <w:szCs w:val="21"/>
                <w:u w:val="none"/>
                <w:lang w:val="en-US" w:eastAsia="zh-CN" w:bidi="ar"/>
              </w:rPr>
              <w:t>03</w:t>
            </w:r>
          </w:p>
        </w:tc>
        <w:tc>
          <w:tcPr>
            <w:tcW w:w="745" w:type="pct"/>
            <w:shd w:val="clear" w:color="auto" w:fill="auto"/>
            <w:vAlign w:val="center"/>
          </w:tcPr>
          <w:p w14:paraId="2A8E24FA">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04</w:t>
            </w:r>
          </w:p>
        </w:tc>
        <w:tc>
          <w:tcPr>
            <w:tcW w:w="1016" w:type="pct"/>
            <w:shd w:val="clear" w:color="auto" w:fill="auto"/>
            <w:vAlign w:val="center"/>
          </w:tcPr>
          <w:p w14:paraId="22901303">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06</w:t>
            </w:r>
          </w:p>
        </w:tc>
        <w:tc>
          <w:tcPr>
            <w:tcW w:w="678" w:type="pct"/>
            <w:shd w:val="clear" w:color="auto" w:fill="auto"/>
            <w:vAlign w:val="center"/>
          </w:tcPr>
          <w:p w14:paraId="6108A4EA">
            <w:pPr>
              <w:jc w:val="center"/>
              <w:rPr>
                <w:rFonts w:hint="eastAsia" w:ascii="宋体" w:hAnsi="宋体" w:eastAsia="宋体" w:cs="宋体"/>
                <w:b w:val="0"/>
                <w:bCs w:val="0"/>
                <w:i w:val="0"/>
                <w:iCs w:val="0"/>
                <w:color w:val="auto"/>
                <w:sz w:val="21"/>
                <w:szCs w:val="21"/>
                <w:u w:val="none"/>
              </w:rPr>
            </w:pPr>
          </w:p>
        </w:tc>
      </w:tr>
      <w:tr w14:paraId="6FB7CD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2" w:type="pct"/>
          <w:trHeight w:val="340" w:hRule="atLeast"/>
        </w:trPr>
        <w:tc>
          <w:tcPr>
            <w:tcW w:w="1547" w:type="pct"/>
            <w:vMerge w:val="continue"/>
            <w:shd w:val="clear" w:color="auto" w:fill="auto"/>
            <w:vAlign w:val="center"/>
          </w:tcPr>
          <w:p w14:paraId="180C8613">
            <w:pPr>
              <w:jc w:val="center"/>
              <w:rPr>
                <w:rFonts w:hint="eastAsia" w:ascii="宋体" w:hAnsi="宋体" w:eastAsia="宋体" w:cs="宋体"/>
                <w:b w:val="0"/>
                <w:bCs w:val="0"/>
                <w:i w:val="0"/>
                <w:iCs w:val="0"/>
                <w:color w:val="auto"/>
                <w:sz w:val="21"/>
                <w:szCs w:val="21"/>
                <w:u w:val="none"/>
              </w:rPr>
            </w:pPr>
          </w:p>
        </w:tc>
        <w:tc>
          <w:tcPr>
            <w:tcW w:w="997" w:type="pct"/>
            <w:tcBorders>
              <w:left w:val="single" w:color="auto" w:sz="4" w:space="0"/>
            </w:tcBorders>
            <w:shd w:val="clear" w:color="auto" w:fill="auto"/>
            <w:noWrap/>
            <w:vAlign w:val="center"/>
          </w:tcPr>
          <w:p w14:paraId="6220B000">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0305</w:t>
            </w:r>
          </w:p>
        </w:tc>
        <w:tc>
          <w:tcPr>
            <w:tcW w:w="745" w:type="pct"/>
            <w:shd w:val="clear" w:color="auto" w:fill="auto"/>
            <w:noWrap/>
            <w:vAlign w:val="center"/>
          </w:tcPr>
          <w:p w14:paraId="4D59917E">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0404</w:t>
            </w:r>
          </w:p>
        </w:tc>
        <w:tc>
          <w:tcPr>
            <w:tcW w:w="1016" w:type="pct"/>
            <w:shd w:val="clear" w:color="auto" w:fill="auto"/>
            <w:noWrap/>
            <w:vAlign w:val="center"/>
          </w:tcPr>
          <w:p w14:paraId="0D008607">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0602</w:t>
            </w:r>
          </w:p>
        </w:tc>
        <w:tc>
          <w:tcPr>
            <w:tcW w:w="680" w:type="pct"/>
            <w:gridSpan w:val="2"/>
            <w:vMerge w:val="restart"/>
            <w:shd w:val="clear" w:color="auto" w:fill="auto"/>
            <w:vAlign w:val="center"/>
          </w:tcPr>
          <w:p w14:paraId="14D8466A">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r>
              <w:rPr>
                <w:rFonts w:hint="eastAsia" w:ascii="宋体" w:hAnsi="宋体" w:cs="宋体"/>
                <w:b w:val="0"/>
                <w:bCs w:val="0"/>
                <w:i w:val="0"/>
                <w:iCs w:val="0"/>
                <w:color w:val="auto"/>
                <w:kern w:val="0"/>
                <w:sz w:val="21"/>
                <w:szCs w:val="21"/>
                <w:u w:val="none"/>
                <w:lang w:val="en-US" w:eastAsia="zh-CN" w:bidi="ar"/>
              </w:rPr>
              <w:t>h</w:t>
            </w:r>
            <w:r>
              <w:rPr>
                <w:rFonts w:hint="default" w:ascii="Times New Roman" w:hAnsi="Times New Roman" w:eastAsia="宋体" w:cs="Times New Roman"/>
                <w:b w:val="0"/>
                <w:bCs w:val="0"/>
                <w:i w:val="0"/>
                <w:iCs w:val="0"/>
                <w:color w:val="auto"/>
                <w:kern w:val="0"/>
                <w:sz w:val="21"/>
                <w:szCs w:val="21"/>
                <w:u w:val="none"/>
                <w:lang w:val="en-US" w:eastAsia="zh-CN" w:bidi="ar"/>
              </w:rPr>
              <w:t>m</w:t>
            </w:r>
            <w:r>
              <w:rPr>
                <w:rFonts w:hint="default" w:ascii="Times New Roman" w:hAnsi="Times New Roman" w:eastAsia="宋体" w:cs="Times New Roman"/>
                <w:b w:val="0"/>
                <w:bCs w:val="0"/>
                <w:i w:val="0"/>
                <w:iCs w:val="0"/>
                <w:color w:val="auto"/>
                <w:kern w:val="0"/>
                <w:sz w:val="21"/>
                <w:szCs w:val="21"/>
                <w:u w:val="none"/>
                <w:vertAlign w:val="superscript"/>
                <w:lang w:val="en-US" w:eastAsia="zh-CN" w:bidi="ar"/>
              </w:rPr>
              <w:t>2</w:t>
            </w:r>
            <w:r>
              <w:rPr>
                <w:rFonts w:hint="eastAsia" w:ascii="宋体" w:hAnsi="宋体" w:eastAsia="宋体" w:cs="宋体"/>
                <w:b w:val="0"/>
                <w:bCs w:val="0"/>
                <w:i w:val="0"/>
                <w:iCs w:val="0"/>
                <w:color w:val="auto"/>
                <w:kern w:val="0"/>
                <w:sz w:val="21"/>
                <w:szCs w:val="21"/>
                <w:u w:val="none"/>
                <w:lang w:val="en-US" w:eastAsia="zh-CN" w:bidi="ar"/>
              </w:rPr>
              <w:t>）</w:t>
            </w:r>
          </w:p>
        </w:tc>
      </w:tr>
      <w:tr w14:paraId="44BEC6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2" w:type="pct"/>
          <w:trHeight w:val="340" w:hRule="atLeast"/>
        </w:trPr>
        <w:tc>
          <w:tcPr>
            <w:tcW w:w="1547" w:type="pct"/>
            <w:vMerge w:val="continue"/>
            <w:shd w:val="clear" w:color="auto" w:fill="auto"/>
            <w:vAlign w:val="center"/>
          </w:tcPr>
          <w:p w14:paraId="4D375905">
            <w:pPr>
              <w:jc w:val="center"/>
              <w:rPr>
                <w:rFonts w:hint="eastAsia" w:ascii="宋体" w:hAnsi="宋体" w:eastAsia="宋体" w:cs="宋体"/>
                <w:b w:val="0"/>
                <w:bCs w:val="0"/>
                <w:i w:val="0"/>
                <w:iCs w:val="0"/>
                <w:color w:val="auto"/>
                <w:sz w:val="21"/>
                <w:szCs w:val="21"/>
                <w:u w:val="none"/>
              </w:rPr>
            </w:pPr>
          </w:p>
        </w:tc>
        <w:tc>
          <w:tcPr>
            <w:tcW w:w="997" w:type="pct"/>
            <w:shd w:val="clear" w:color="auto" w:fill="auto"/>
            <w:vAlign w:val="center"/>
          </w:tcPr>
          <w:p w14:paraId="15B84C30">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灌木林地</w:t>
            </w:r>
          </w:p>
        </w:tc>
        <w:tc>
          <w:tcPr>
            <w:tcW w:w="745" w:type="pct"/>
            <w:shd w:val="clear" w:color="auto" w:fill="auto"/>
            <w:noWrap/>
            <w:vAlign w:val="center"/>
          </w:tcPr>
          <w:p w14:paraId="2D435EB6">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其他草地</w:t>
            </w:r>
          </w:p>
        </w:tc>
        <w:tc>
          <w:tcPr>
            <w:tcW w:w="1016" w:type="pct"/>
            <w:shd w:val="clear" w:color="auto" w:fill="auto"/>
            <w:vAlign w:val="center"/>
          </w:tcPr>
          <w:p w14:paraId="36CA88E8">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采矿用地</w:t>
            </w:r>
          </w:p>
        </w:tc>
        <w:tc>
          <w:tcPr>
            <w:tcW w:w="680" w:type="pct"/>
            <w:gridSpan w:val="2"/>
            <w:vMerge w:val="continue"/>
            <w:shd w:val="clear" w:color="auto" w:fill="auto"/>
            <w:vAlign w:val="center"/>
          </w:tcPr>
          <w:p w14:paraId="3BF88F86">
            <w:pPr>
              <w:jc w:val="center"/>
              <w:rPr>
                <w:rFonts w:hint="eastAsia" w:ascii="宋体" w:hAnsi="宋体" w:eastAsia="宋体" w:cs="宋体"/>
                <w:b w:val="0"/>
                <w:bCs w:val="0"/>
                <w:i w:val="0"/>
                <w:iCs w:val="0"/>
                <w:color w:val="auto"/>
                <w:sz w:val="21"/>
                <w:szCs w:val="21"/>
                <w:u w:val="none"/>
              </w:rPr>
            </w:pPr>
          </w:p>
        </w:tc>
      </w:tr>
      <w:tr w14:paraId="0A73C6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2" w:type="pct"/>
          <w:trHeight w:val="340" w:hRule="atLeast"/>
        </w:trPr>
        <w:tc>
          <w:tcPr>
            <w:tcW w:w="1547" w:type="pct"/>
            <w:shd w:val="clear" w:color="auto" w:fill="auto"/>
            <w:vAlign w:val="center"/>
          </w:tcPr>
          <w:p w14:paraId="3F8EAAEF">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松山区初头朗镇</w:t>
            </w:r>
            <w:r>
              <w:rPr>
                <w:rFonts w:hint="eastAsia" w:ascii="宋体" w:hAnsi="宋体" w:cs="宋体"/>
                <w:b w:val="0"/>
                <w:bCs w:val="0"/>
                <w:i w:val="0"/>
                <w:iCs w:val="0"/>
                <w:color w:val="auto"/>
                <w:kern w:val="0"/>
                <w:sz w:val="21"/>
                <w:szCs w:val="21"/>
                <w:u w:val="none"/>
                <w:lang w:val="en-US" w:eastAsia="zh-CN" w:bidi="ar"/>
              </w:rPr>
              <w:t>窑沟门</w:t>
            </w:r>
            <w:r>
              <w:rPr>
                <w:rFonts w:hint="eastAsia" w:ascii="宋体" w:hAnsi="宋体" w:eastAsia="宋体" w:cs="宋体"/>
                <w:b w:val="0"/>
                <w:bCs w:val="0"/>
                <w:i w:val="0"/>
                <w:iCs w:val="0"/>
                <w:color w:val="auto"/>
                <w:kern w:val="0"/>
                <w:sz w:val="21"/>
                <w:szCs w:val="21"/>
                <w:u w:val="none"/>
                <w:lang w:val="en-US" w:eastAsia="zh-CN" w:bidi="ar"/>
              </w:rPr>
              <w:t>村</w:t>
            </w:r>
          </w:p>
        </w:tc>
        <w:tc>
          <w:tcPr>
            <w:tcW w:w="997" w:type="pct"/>
            <w:shd w:val="clear" w:color="auto" w:fill="auto"/>
            <w:vAlign w:val="center"/>
          </w:tcPr>
          <w:p w14:paraId="70F4343D">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lang w:val="en-US"/>
              </w:rPr>
            </w:pPr>
            <w:r>
              <w:rPr>
                <w:rFonts w:hint="eastAsia" w:cs="Times New Roman"/>
                <w:b w:val="0"/>
                <w:bCs w:val="0"/>
                <w:i w:val="0"/>
                <w:iCs w:val="0"/>
                <w:color w:val="auto"/>
                <w:kern w:val="0"/>
                <w:sz w:val="21"/>
                <w:szCs w:val="21"/>
                <w:u w:val="none"/>
                <w:lang w:val="en-US" w:eastAsia="zh-CN" w:bidi="ar"/>
              </w:rPr>
              <w:t>0.5340</w:t>
            </w:r>
          </w:p>
        </w:tc>
        <w:tc>
          <w:tcPr>
            <w:tcW w:w="745" w:type="pct"/>
            <w:shd w:val="clear" w:color="auto" w:fill="auto"/>
            <w:vAlign w:val="center"/>
          </w:tcPr>
          <w:p w14:paraId="0AF95C76">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lang w:val="en-US"/>
              </w:rPr>
            </w:pPr>
            <w:r>
              <w:rPr>
                <w:rFonts w:hint="eastAsia" w:cs="Times New Roman"/>
                <w:b w:val="0"/>
                <w:bCs w:val="0"/>
                <w:i w:val="0"/>
                <w:iCs w:val="0"/>
                <w:color w:val="auto"/>
                <w:kern w:val="0"/>
                <w:sz w:val="21"/>
                <w:szCs w:val="21"/>
                <w:u w:val="none"/>
                <w:lang w:val="en-US" w:eastAsia="zh-CN" w:bidi="ar"/>
              </w:rPr>
              <w:t>0.8562</w:t>
            </w:r>
          </w:p>
        </w:tc>
        <w:tc>
          <w:tcPr>
            <w:tcW w:w="1016" w:type="pct"/>
            <w:shd w:val="clear" w:color="auto" w:fill="auto"/>
            <w:vAlign w:val="center"/>
          </w:tcPr>
          <w:p w14:paraId="1D53C136">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lang w:val="en-US"/>
              </w:rPr>
            </w:pPr>
            <w:r>
              <w:rPr>
                <w:rFonts w:hint="eastAsia" w:cs="Times New Roman"/>
                <w:b w:val="0"/>
                <w:bCs w:val="0"/>
                <w:i w:val="0"/>
                <w:iCs w:val="0"/>
                <w:color w:val="auto"/>
                <w:kern w:val="0"/>
                <w:sz w:val="21"/>
                <w:szCs w:val="21"/>
                <w:u w:val="none"/>
                <w:lang w:val="en-US" w:eastAsia="zh-CN" w:bidi="ar"/>
              </w:rPr>
              <w:t>3.0098</w:t>
            </w:r>
          </w:p>
        </w:tc>
        <w:tc>
          <w:tcPr>
            <w:tcW w:w="680" w:type="pct"/>
            <w:gridSpan w:val="2"/>
            <w:shd w:val="clear" w:color="auto" w:fill="auto"/>
            <w:noWrap/>
            <w:vAlign w:val="center"/>
          </w:tcPr>
          <w:p w14:paraId="0887F5D4">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lang w:val="en-US"/>
              </w:rPr>
            </w:pPr>
            <w:r>
              <w:rPr>
                <w:rFonts w:hint="eastAsia" w:cs="Times New Roman"/>
                <w:b w:val="0"/>
                <w:bCs w:val="0"/>
                <w:i w:val="0"/>
                <w:iCs w:val="0"/>
                <w:color w:val="auto"/>
                <w:kern w:val="0"/>
                <w:sz w:val="21"/>
                <w:szCs w:val="21"/>
                <w:u w:val="none"/>
                <w:lang w:val="en-US" w:eastAsia="zh-CN" w:bidi="ar"/>
              </w:rPr>
              <w:t>4.4000</w:t>
            </w:r>
          </w:p>
        </w:tc>
      </w:tr>
      <w:tr w14:paraId="693EAE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2" w:type="pct"/>
          <w:trHeight w:val="340" w:hRule="atLeast"/>
        </w:trPr>
        <w:tc>
          <w:tcPr>
            <w:tcW w:w="1547" w:type="pct"/>
            <w:shd w:val="clear" w:color="auto" w:fill="auto"/>
            <w:vAlign w:val="center"/>
          </w:tcPr>
          <w:p w14:paraId="3A55B65E">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合计（</w:t>
            </w:r>
            <w:r>
              <w:rPr>
                <w:rFonts w:hint="default" w:ascii="Times New Roman" w:hAnsi="Times New Roman" w:eastAsia="宋体" w:cs="Times New Roman"/>
                <w:b w:val="0"/>
                <w:bCs w:val="0"/>
                <w:i w:val="0"/>
                <w:iCs w:val="0"/>
                <w:color w:val="auto"/>
                <w:kern w:val="0"/>
                <w:sz w:val="21"/>
                <w:szCs w:val="21"/>
                <w:u w:val="none"/>
                <w:lang w:val="en-US" w:eastAsia="zh-CN" w:bidi="ar"/>
              </w:rPr>
              <w:t>m</w:t>
            </w:r>
            <w:r>
              <w:rPr>
                <w:rFonts w:hint="default" w:ascii="Times New Roman" w:hAnsi="Times New Roman" w:eastAsia="宋体" w:cs="Times New Roman"/>
                <w:b w:val="0"/>
                <w:bCs w:val="0"/>
                <w:i w:val="0"/>
                <w:iCs w:val="0"/>
                <w:color w:val="auto"/>
                <w:kern w:val="0"/>
                <w:sz w:val="21"/>
                <w:szCs w:val="21"/>
                <w:u w:val="none"/>
                <w:vertAlign w:val="superscript"/>
                <w:lang w:val="en-US" w:eastAsia="zh-CN" w:bidi="ar"/>
              </w:rPr>
              <w:t>2</w:t>
            </w:r>
            <w:r>
              <w:rPr>
                <w:rFonts w:hint="eastAsia" w:ascii="宋体" w:hAnsi="宋体" w:eastAsia="宋体" w:cs="宋体"/>
                <w:b w:val="0"/>
                <w:bCs w:val="0"/>
                <w:i w:val="0"/>
                <w:iCs w:val="0"/>
                <w:color w:val="auto"/>
                <w:kern w:val="0"/>
                <w:sz w:val="21"/>
                <w:szCs w:val="21"/>
                <w:u w:val="none"/>
                <w:lang w:val="en-US" w:eastAsia="zh-CN" w:bidi="ar"/>
              </w:rPr>
              <w:t>）</w:t>
            </w:r>
          </w:p>
        </w:tc>
        <w:tc>
          <w:tcPr>
            <w:tcW w:w="1745" w:type="dxa"/>
            <w:shd w:val="clear" w:color="auto" w:fill="auto"/>
            <w:noWrap/>
            <w:vAlign w:val="center"/>
          </w:tcPr>
          <w:p w14:paraId="496E550A">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rPr>
            </w:pPr>
            <w:r>
              <w:rPr>
                <w:rFonts w:hint="eastAsia" w:cs="Times New Roman"/>
                <w:b w:val="0"/>
                <w:bCs w:val="0"/>
                <w:i w:val="0"/>
                <w:iCs w:val="0"/>
                <w:color w:val="auto"/>
                <w:kern w:val="0"/>
                <w:sz w:val="21"/>
                <w:szCs w:val="21"/>
                <w:u w:val="none"/>
                <w:lang w:val="en-US" w:eastAsia="zh-CN" w:bidi="ar"/>
              </w:rPr>
              <w:t>0.5340</w:t>
            </w:r>
          </w:p>
        </w:tc>
        <w:tc>
          <w:tcPr>
            <w:tcW w:w="1304" w:type="dxa"/>
            <w:shd w:val="clear" w:color="auto" w:fill="auto"/>
            <w:noWrap/>
            <w:vAlign w:val="center"/>
          </w:tcPr>
          <w:p w14:paraId="2DC6C476">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rPr>
            </w:pPr>
            <w:r>
              <w:rPr>
                <w:rFonts w:hint="eastAsia" w:cs="Times New Roman"/>
                <w:b w:val="0"/>
                <w:bCs w:val="0"/>
                <w:i w:val="0"/>
                <w:iCs w:val="0"/>
                <w:color w:val="auto"/>
                <w:kern w:val="0"/>
                <w:sz w:val="21"/>
                <w:szCs w:val="21"/>
                <w:u w:val="none"/>
                <w:lang w:val="en-US" w:eastAsia="zh-CN" w:bidi="ar"/>
              </w:rPr>
              <w:t>0.8562</w:t>
            </w:r>
          </w:p>
        </w:tc>
        <w:tc>
          <w:tcPr>
            <w:tcW w:w="1780" w:type="dxa"/>
            <w:shd w:val="clear" w:color="auto" w:fill="auto"/>
            <w:noWrap/>
            <w:vAlign w:val="center"/>
          </w:tcPr>
          <w:p w14:paraId="4377FF7D">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rPr>
            </w:pPr>
            <w:r>
              <w:rPr>
                <w:rFonts w:hint="eastAsia" w:cs="Times New Roman"/>
                <w:b w:val="0"/>
                <w:bCs w:val="0"/>
                <w:i w:val="0"/>
                <w:iCs w:val="0"/>
                <w:color w:val="auto"/>
                <w:kern w:val="0"/>
                <w:sz w:val="21"/>
                <w:szCs w:val="21"/>
                <w:u w:val="none"/>
                <w:lang w:val="en-US" w:eastAsia="zh-CN" w:bidi="ar"/>
              </w:rPr>
              <w:t>3.0098</w:t>
            </w:r>
          </w:p>
        </w:tc>
        <w:tc>
          <w:tcPr>
            <w:tcW w:w="680" w:type="pct"/>
            <w:gridSpan w:val="2"/>
            <w:shd w:val="clear" w:color="auto" w:fill="auto"/>
            <w:noWrap/>
            <w:vAlign w:val="center"/>
          </w:tcPr>
          <w:p w14:paraId="67C900CB">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lang w:val="en-US"/>
              </w:rPr>
            </w:pPr>
            <w:r>
              <w:rPr>
                <w:rFonts w:hint="eastAsia" w:cs="Times New Roman"/>
                <w:b w:val="0"/>
                <w:bCs w:val="0"/>
                <w:i w:val="0"/>
                <w:iCs w:val="0"/>
                <w:color w:val="auto"/>
                <w:kern w:val="0"/>
                <w:sz w:val="21"/>
                <w:szCs w:val="21"/>
                <w:u w:val="none"/>
                <w:lang w:val="en-US" w:eastAsia="zh-CN" w:bidi="ar"/>
              </w:rPr>
              <w:t>4.4000</w:t>
            </w:r>
          </w:p>
        </w:tc>
      </w:tr>
    </w:tbl>
    <w:p w14:paraId="4947B6CC">
      <w:pPr>
        <w:spacing w:line="360" w:lineRule="auto"/>
        <w:ind w:firstLine="560" w:firstLineChars="200"/>
        <w:rPr>
          <w:color w:val="auto"/>
          <w:sz w:val="28"/>
          <w:szCs w:val="28"/>
        </w:rPr>
      </w:pPr>
      <w:r>
        <w:rPr>
          <w:rFonts w:hint="eastAsia"/>
          <w:color w:val="auto"/>
          <w:sz w:val="28"/>
          <w:szCs w:val="28"/>
          <w:lang w:val="en-US" w:eastAsia="zh-CN"/>
        </w:rPr>
        <w:t>3</w:t>
      </w:r>
      <w:r>
        <w:rPr>
          <w:color w:val="auto"/>
          <w:sz w:val="28"/>
          <w:szCs w:val="28"/>
        </w:rPr>
        <w:t>、已损毁土地利用情况</w:t>
      </w:r>
    </w:p>
    <w:p w14:paraId="5F3C981C">
      <w:pPr>
        <w:spacing w:line="360" w:lineRule="auto"/>
        <w:ind w:firstLine="560" w:firstLineChars="200"/>
        <w:rPr>
          <w:snapToGrid w:val="0"/>
          <w:color w:val="auto"/>
          <w:sz w:val="28"/>
          <w:szCs w:val="28"/>
        </w:rPr>
      </w:pPr>
      <w:r>
        <w:rPr>
          <w:color w:val="auto"/>
          <w:sz w:val="28"/>
          <w:szCs w:val="28"/>
        </w:rPr>
        <w:t>矿区已</w:t>
      </w:r>
      <w:r>
        <w:rPr>
          <w:rFonts w:hint="eastAsia"/>
          <w:color w:val="auto"/>
          <w:sz w:val="28"/>
          <w:szCs w:val="28"/>
          <w:lang w:val="en-US" w:eastAsia="zh-CN"/>
        </w:rPr>
        <w:t>损毁土地单元主要为露天采场、1#废石场、2#废石场、1#废渣堆、2#废渣堆、3#废渣堆、工业场地、矿区道路、办公生活区、变压器。</w:t>
      </w:r>
      <w:r>
        <w:rPr>
          <w:color w:val="auto"/>
          <w:sz w:val="28"/>
          <w:szCs w:val="28"/>
        </w:rPr>
        <w:t>已损毁</w:t>
      </w:r>
      <w:r>
        <w:rPr>
          <w:snapToGrid w:val="0"/>
          <w:color w:val="auto"/>
          <w:sz w:val="28"/>
          <w:szCs w:val="28"/>
        </w:rPr>
        <w:t>土地利用类型一级地类包括林地、草地、工矿仓储用地、其他土地，具体地类面积见表2-</w:t>
      </w:r>
      <w:r>
        <w:rPr>
          <w:rFonts w:hint="eastAsia"/>
          <w:snapToGrid w:val="0"/>
          <w:color w:val="auto"/>
          <w:sz w:val="28"/>
          <w:szCs w:val="28"/>
          <w:lang w:val="en-US" w:eastAsia="zh-CN"/>
        </w:rPr>
        <w:t>9</w:t>
      </w:r>
      <w:r>
        <w:rPr>
          <w:snapToGrid w:val="0"/>
          <w:color w:val="auto"/>
          <w:sz w:val="28"/>
          <w:szCs w:val="28"/>
        </w:rPr>
        <w:t>。</w:t>
      </w:r>
    </w:p>
    <w:p w14:paraId="637E7100">
      <w:pPr>
        <w:jc w:val="center"/>
        <w:rPr>
          <w:rFonts w:eastAsia="黑体"/>
          <w:color w:val="auto"/>
          <w:sz w:val="24"/>
          <w:szCs w:val="24"/>
        </w:rPr>
      </w:pPr>
      <w:r>
        <w:rPr>
          <w:rFonts w:eastAsia="黑体"/>
          <w:color w:val="auto"/>
          <w:sz w:val="24"/>
          <w:szCs w:val="24"/>
        </w:rPr>
        <w:t>表2-</w:t>
      </w:r>
      <w:r>
        <w:rPr>
          <w:rFonts w:hint="eastAsia" w:eastAsia="黑体"/>
          <w:color w:val="auto"/>
          <w:sz w:val="24"/>
          <w:szCs w:val="24"/>
          <w:lang w:val="en-US" w:eastAsia="zh-CN"/>
        </w:rPr>
        <w:t>9</w:t>
      </w:r>
      <w:r>
        <w:rPr>
          <w:rFonts w:eastAsia="黑体"/>
          <w:color w:val="auto"/>
          <w:sz w:val="24"/>
          <w:szCs w:val="24"/>
        </w:rPr>
        <w:t xml:space="preserve">  已损毁土地利用现状表</w:t>
      </w:r>
    </w:p>
    <w:tbl>
      <w:tblPr>
        <w:tblStyle w:val="34"/>
        <w:tblW w:w="87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69"/>
        <w:gridCol w:w="2018"/>
        <w:gridCol w:w="869"/>
        <w:gridCol w:w="1444"/>
        <w:gridCol w:w="1900"/>
        <w:gridCol w:w="1679"/>
      </w:tblGrid>
      <w:tr w14:paraId="156B3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trPr>
        <w:tc>
          <w:tcPr>
            <w:tcW w:w="0" w:type="auto"/>
            <w:gridSpan w:val="2"/>
            <w:shd w:val="clear" w:color="auto" w:fill="auto"/>
            <w:noWrap/>
            <w:vAlign w:val="center"/>
          </w:tcPr>
          <w:p w14:paraId="368E3FF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一级地类</w:t>
            </w:r>
          </w:p>
        </w:tc>
        <w:tc>
          <w:tcPr>
            <w:tcW w:w="0" w:type="auto"/>
            <w:gridSpan w:val="2"/>
            <w:shd w:val="clear" w:color="auto" w:fill="auto"/>
            <w:noWrap/>
            <w:vAlign w:val="center"/>
          </w:tcPr>
          <w:p w14:paraId="35C5135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二级地类</w:t>
            </w:r>
          </w:p>
        </w:tc>
        <w:tc>
          <w:tcPr>
            <w:tcW w:w="0" w:type="auto"/>
            <w:vMerge w:val="restart"/>
            <w:shd w:val="clear" w:color="auto" w:fill="auto"/>
            <w:noWrap/>
            <w:vAlign w:val="center"/>
          </w:tcPr>
          <w:p w14:paraId="6CA8CB3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面积（</w:t>
            </w:r>
            <w:r>
              <w:rPr>
                <w:rFonts w:hint="default" w:ascii="Times New Roman" w:hAnsi="Times New Roman" w:eastAsia="宋体" w:cs="Times New Roman"/>
                <w:i w:val="0"/>
                <w:iCs w:val="0"/>
                <w:color w:val="auto"/>
                <w:kern w:val="0"/>
                <w:sz w:val="21"/>
                <w:szCs w:val="21"/>
                <w:u w:val="none"/>
                <w:lang w:val="en-US" w:eastAsia="zh-CN" w:bidi="ar"/>
              </w:rPr>
              <w:t>hm</w:t>
            </w:r>
            <w:r>
              <w:rPr>
                <w:rFonts w:hint="default" w:ascii="Times New Roman" w:hAnsi="Times New Roman" w:eastAsia="宋体" w:cs="Times New Roman"/>
                <w:i w:val="0"/>
                <w:iCs w:val="0"/>
                <w:color w:val="auto"/>
                <w:kern w:val="0"/>
                <w:sz w:val="21"/>
                <w:szCs w:val="21"/>
                <w:u w:val="none"/>
                <w:vertAlign w:val="superscript"/>
                <w:lang w:val="en-US" w:eastAsia="zh-CN" w:bidi="ar"/>
              </w:rPr>
              <w:t>2</w:t>
            </w:r>
            <w:r>
              <w:rPr>
                <w:rFonts w:hint="eastAsia" w:ascii="宋体" w:hAnsi="宋体" w:eastAsia="宋体" w:cs="宋体"/>
                <w:i w:val="0"/>
                <w:iCs w:val="0"/>
                <w:color w:val="auto"/>
                <w:kern w:val="0"/>
                <w:sz w:val="21"/>
                <w:szCs w:val="21"/>
                <w:u w:val="none"/>
                <w:lang w:val="en-US" w:eastAsia="zh-CN" w:bidi="ar"/>
              </w:rPr>
              <w:t>）</w:t>
            </w:r>
          </w:p>
        </w:tc>
        <w:tc>
          <w:tcPr>
            <w:tcW w:w="1679" w:type="dxa"/>
            <w:vMerge w:val="restart"/>
            <w:shd w:val="clear" w:color="auto" w:fill="auto"/>
            <w:noWrap/>
            <w:vAlign w:val="center"/>
          </w:tcPr>
          <w:p w14:paraId="0BF419A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占比（</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w:t>
            </w:r>
          </w:p>
        </w:tc>
      </w:tr>
      <w:tr w14:paraId="64528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0" w:type="auto"/>
            <w:shd w:val="clear" w:color="auto" w:fill="auto"/>
            <w:noWrap/>
            <w:vAlign w:val="center"/>
          </w:tcPr>
          <w:p w14:paraId="7152EA5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代码</w:t>
            </w:r>
          </w:p>
        </w:tc>
        <w:tc>
          <w:tcPr>
            <w:tcW w:w="0" w:type="auto"/>
            <w:shd w:val="clear" w:color="auto" w:fill="auto"/>
            <w:noWrap/>
            <w:vAlign w:val="center"/>
          </w:tcPr>
          <w:p w14:paraId="7DFAFA5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地类</w:t>
            </w:r>
          </w:p>
        </w:tc>
        <w:tc>
          <w:tcPr>
            <w:tcW w:w="0" w:type="auto"/>
            <w:shd w:val="clear" w:color="auto" w:fill="auto"/>
            <w:noWrap/>
            <w:vAlign w:val="center"/>
          </w:tcPr>
          <w:p w14:paraId="35C100A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代码</w:t>
            </w:r>
          </w:p>
        </w:tc>
        <w:tc>
          <w:tcPr>
            <w:tcW w:w="0" w:type="auto"/>
            <w:shd w:val="clear" w:color="auto" w:fill="auto"/>
            <w:noWrap/>
            <w:vAlign w:val="center"/>
          </w:tcPr>
          <w:p w14:paraId="325A9A0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地类</w:t>
            </w:r>
          </w:p>
        </w:tc>
        <w:tc>
          <w:tcPr>
            <w:tcW w:w="0" w:type="auto"/>
            <w:vMerge w:val="continue"/>
            <w:shd w:val="clear" w:color="auto" w:fill="auto"/>
            <w:noWrap/>
            <w:vAlign w:val="center"/>
          </w:tcPr>
          <w:p w14:paraId="3FA6268B">
            <w:pPr>
              <w:ind w:left="0" w:leftChars="0" w:right="0" w:rightChars="0" w:firstLine="0" w:firstLineChars="0"/>
              <w:jc w:val="center"/>
              <w:rPr>
                <w:rFonts w:hint="eastAsia" w:ascii="宋体" w:hAnsi="宋体" w:eastAsia="宋体" w:cs="宋体"/>
                <w:i w:val="0"/>
                <w:iCs w:val="0"/>
                <w:color w:val="auto"/>
                <w:sz w:val="21"/>
                <w:szCs w:val="21"/>
                <w:u w:val="none"/>
              </w:rPr>
            </w:pPr>
          </w:p>
        </w:tc>
        <w:tc>
          <w:tcPr>
            <w:tcW w:w="1679" w:type="dxa"/>
            <w:vMerge w:val="continue"/>
            <w:shd w:val="clear" w:color="auto" w:fill="auto"/>
            <w:noWrap/>
            <w:vAlign w:val="center"/>
          </w:tcPr>
          <w:p w14:paraId="170473E6">
            <w:pPr>
              <w:ind w:left="0" w:leftChars="0" w:right="0" w:rightChars="0" w:firstLine="0" w:firstLineChars="0"/>
              <w:jc w:val="center"/>
              <w:rPr>
                <w:rFonts w:hint="eastAsia" w:ascii="宋体" w:hAnsi="宋体" w:eastAsia="宋体" w:cs="宋体"/>
                <w:i w:val="0"/>
                <w:iCs w:val="0"/>
                <w:color w:val="auto"/>
                <w:sz w:val="21"/>
                <w:szCs w:val="21"/>
                <w:u w:val="none"/>
              </w:rPr>
            </w:pPr>
          </w:p>
        </w:tc>
      </w:tr>
      <w:tr w14:paraId="14BA4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vMerge w:val="restart"/>
            <w:shd w:val="clear" w:color="auto" w:fill="auto"/>
            <w:noWrap/>
            <w:vAlign w:val="center"/>
          </w:tcPr>
          <w:p w14:paraId="3A23FB61">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w:t>
            </w:r>
          </w:p>
        </w:tc>
        <w:tc>
          <w:tcPr>
            <w:tcW w:w="0" w:type="auto"/>
            <w:vMerge w:val="restart"/>
            <w:shd w:val="clear" w:color="auto" w:fill="auto"/>
            <w:noWrap/>
            <w:vAlign w:val="center"/>
          </w:tcPr>
          <w:p w14:paraId="65F1D7C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林地</w:t>
            </w:r>
          </w:p>
        </w:tc>
        <w:tc>
          <w:tcPr>
            <w:tcW w:w="0" w:type="auto"/>
            <w:shd w:val="clear" w:color="auto" w:fill="auto"/>
            <w:noWrap/>
            <w:vAlign w:val="center"/>
          </w:tcPr>
          <w:p w14:paraId="4D1CC426">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0301</w:t>
            </w:r>
          </w:p>
        </w:tc>
        <w:tc>
          <w:tcPr>
            <w:tcW w:w="0" w:type="auto"/>
            <w:shd w:val="clear" w:color="auto" w:fill="auto"/>
            <w:noWrap/>
            <w:vAlign w:val="center"/>
          </w:tcPr>
          <w:p w14:paraId="471B73E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乔木林地</w:t>
            </w:r>
          </w:p>
        </w:tc>
        <w:tc>
          <w:tcPr>
            <w:tcW w:w="1900" w:type="dxa"/>
            <w:shd w:val="clear" w:color="auto" w:fill="auto"/>
            <w:noWrap/>
            <w:vAlign w:val="center"/>
          </w:tcPr>
          <w:p w14:paraId="187FCC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0.0078</w:t>
            </w:r>
          </w:p>
        </w:tc>
        <w:tc>
          <w:tcPr>
            <w:tcW w:w="1679" w:type="dxa"/>
            <w:shd w:val="clear" w:color="auto" w:fill="auto"/>
            <w:noWrap/>
            <w:vAlign w:val="center"/>
          </w:tcPr>
          <w:p w14:paraId="7B9AF9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0.10 </w:t>
            </w:r>
          </w:p>
        </w:tc>
      </w:tr>
      <w:tr w14:paraId="61A8B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0" w:type="auto"/>
            <w:vMerge w:val="continue"/>
            <w:shd w:val="clear" w:color="auto" w:fill="auto"/>
            <w:noWrap/>
            <w:vAlign w:val="center"/>
          </w:tcPr>
          <w:p w14:paraId="1FEA7922">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vMerge w:val="continue"/>
            <w:shd w:val="clear" w:color="auto" w:fill="auto"/>
            <w:noWrap/>
            <w:vAlign w:val="center"/>
          </w:tcPr>
          <w:p w14:paraId="1801E781">
            <w:pPr>
              <w:ind w:left="0" w:leftChars="0" w:right="0" w:rightChars="0" w:firstLine="0" w:firstLineChars="0"/>
              <w:jc w:val="center"/>
              <w:rPr>
                <w:rFonts w:hint="eastAsia" w:ascii="宋体" w:hAnsi="宋体" w:eastAsia="宋体" w:cs="宋体"/>
                <w:i w:val="0"/>
                <w:iCs w:val="0"/>
                <w:color w:val="auto"/>
                <w:sz w:val="21"/>
                <w:szCs w:val="21"/>
                <w:u w:val="none"/>
              </w:rPr>
            </w:pPr>
          </w:p>
        </w:tc>
        <w:tc>
          <w:tcPr>
            <w:tcW w:w="0" w:type="auto"/>
            <w:shd w:val="clear" w:color="auto" w:fill="auto"/>
            <w:noWrap/>
            <w:vAlign w:val="center"/>
          </w:tcPr>
          <w:p w14:paraId="457DA806">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0305</w:t>
            </w:r>
          </w:p>
        </w:tc>
        <w:tc>
          <w:tcPr>
            <w:tcW w:w="0" w:type="auto"/>
            <w:shd w:val="clear" w:color="auto" w:fill="auto"/>
            <w:noWrap/>
            <w:vAlign w:val="center"/>
          </w:tcPr>
          <w:p w14:paraId="622A3D7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灌木林地</w:t>
            </w:r>
          </w:p>
        </w:tc>
        <w:tc>
          <w:tcPr>
            <w:tcW w:w="1900" w:type="dxa"/>
            <w:shd w:val="clear" w:color="auto" w:fill="auto"/>
            <w:noWrap/>
            <w:vAlign w:val="center"/>
          </w:tcPr>
          <w:p w14:paraId="668F225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0.0418</w:t>
            </w:r>
          </w:p>
        </w:tc>
        <w:tc>
          <w:tcPr>
            <w:tcW w:w="1679" w:type="dxa"/>
            <w:shd w:val="clear" w:color="auto" w:fill="auto"/>
            <w:noWrap/>
            <w:vAlign w:val="center"/>
          </w:tcPr>
          <w:p w14:paraId="520A80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0.54 </w:t>
            </w:r>
          </w:p>
        </w:tc>
      </w:tr>
      <w:tr w14:paraId="5A986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shd w:val="clear" w:color="auto" w:fill="auto"/>
            <w:noWrap/>
            <w:vAlign w:val="center"/>
          </w:tcPr>
          <w:p w14:paraId="4E7BE8C4">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w:t>
            </w:r>
          </w:p>
        </w:tc>
        <w:tc>
          <w:tcPr>
            <w:tcW w:w="0" w:type="auto"/>
            <w:shd w:val="clear" w:color="auto" w:fill="auto"/>
            <w:noWrap/>
            <w:vAlign w:val="center"/>
          </w:tcPr>
          <w:p w14:paraId="4BC163F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草地</w:t>
            </w:r>
          </w:p>
        </w:tc>
        <w:tc>
          <w:tcPr>
            <w:tcW w:w="0" w:type="auto"/>
            <w:shd w:val="clear" w:color="auto" w:fill="auto"/>
            <w:noWrap/>
            <w:vAlign w:val="center"/>
          </w:tcPr>
          <w:p w14:paraId="3490AF35">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0404</w:t>
            </w:r>
          </w:p>
        </w:tc>
        <w:tc>
          <w:tcPr>
            <w:tcW w:w="0" w:type="auto"/>
            <w:shd w:val="clear" w:color="auto" w:fill="auto"/>
            <w:noWrap/>
            <w:vAlign w:val="center"/>
          </w:tcPr>
          <w:p w14:paraId="6AF089D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其他草地</w:t>
            </w:r>
          </w:p>
        </w:tc>
        <w:tc>
          <w:tcPr>
            <w:tcW w:w="1900" w:type="dxa"/>
            <w:shd w:val="clear" w:color="auto" w:fill="auto"/>
            <w:noWrap/>
            <w:vAlign w:val="center"/>
          </w:tcPr>
          <w:p w14:paraId="0A3AC2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1.3978</w:t>
            </w:r>
          </w:p>
        </w:tc>
        <w:tc>
          <w:tcPr>
            <w:tcW w:w="1679" w:type="dxa"/>
            <w:shd w:val="clear" w:color="auto" w:fill="auto"/>
            <w:noWrap/>
            <w:vAlign w:val="center"/>
          </w:tcPr>
          <w:p w14:paraId="7C4F13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18.16 </w:t>
            </w:r>
          </w:p>
        </w:tc>
      </w:tr>
      <w:tr w14:paraId="26B2D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shd w:val="clear" w:color="auto" w:fill="auto"/>
            <w:noWrap/>
            <w:vAlign w:val="center"/>
          </w:tcPr>
          <w:p w14:paraId="1BEA0843">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06</w:t>
            </w:r>
          </w:p>
        </w:tc>
        <w:tc>
          <w:tcPr>
            <w:tcW w:w="0" w:type="auto"/>
            <w:shd w:val="clear" w:color="auto" w:fill="auto"/>
            <w:noWrap/>
            <w:vAlign w:val="center"/>
          </w:tcPr>
          <w:p w14:paraId="6526B75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工矿仓储用地</w:t>
            </w:r>
          </w:p>
        </w:tc>
        <w:tc>
          <w:tcPr>
            <w:tcW w:w="0" w:type="auto"/>
            <w:shd w:val="clear" w:color="auto" w:fill="auto"/>
            <w:noWrap/>
            <w:vAlign w:val="center"/>
          </w:tcPr>
          <w:p w14:paraId="444ADD94">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0602</w:t>
            </w:r>
          </w:p>
        </w:tc>
        <w:tc>
          <w:tcPr>
            <w:tcW w:w="0" w:type="auto"/>
            <w:shd w:val="clear" w:color="auto" w:fill="auto"/>
            <w:noWrap/>
            <w:vAlign w:val="center"/>
          </w:tcPr>
          <w:p w14:paraId="1E40CD2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采矿用地</w:t>
            </w:r>
          </w:p>
        </w:tc>
        <w:tc>
          <w:tcPr>
            <w:tcW w:w="1900" w:type="dxa"/>
            <w:shd w:val="clear" w:color="auto" w:fill="auto"/>
            <w:noWrap/>
            <w:vAlign w:val="center"/>
          </w:tcPr>
          <w:p w14:paraId="4E05E8B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eastAsia" w:cs="Times New Roman"/>
                <w:i w:val="0"/>
                <w:iCs w:val="0"/>
                <w:color w:val="auto"/>
                <w:kern w:val="0"/>
                <w:sz w:val="21"/>
                <w:szCs w:val="21"/>
                <w:u w:val="none"/>
                <w:lang w:val="en-US" w:eastAsia="zh-CN" w:bidi="ar"/>
              </w:rPr>
              <w:t>6.2865</w:t>
            </w:r>
          </w:p>
        </w:tc>
        <w:tc>
          <w:tcPr>
            <w:tcW w:w="1679" w:type="dxa"/>
            <w:shd w:val="clear" w:color="auto" w:fill="auto"/>
            <w:noWrap/>
            <w:vAlign w:val="center"/>
          </w:tcPr>
          <w:p w14:paraId="7EA108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80.74 </w:t>
            </w:r>
          </w:p>
        </w:tc>
      </w:tr>
      <w:tr w14:paraId="259CA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0" w:type="auto"/>
            <w:shd w:val="clear" w:color="auto" w:fill="auto"/>
            <w:noWrap/>
            <w:vAlign w:val="center"/>
          </w:tcPr>
          <w:p w14:paraId="64A56FE0">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w:t>
            </w:r>
          </w:p>
        </w:tc>
        <w:tc>
          <w:tcPr>
            <w:tcW w:w="0" w:type="auto"/>
            <w:shd w:val="clear" w:color="auto" w:fill="auto"/>
            <w:noWrap/>
            <w:vAlign w:val="center"/>
          </w:tcPr>
          <w:p w14:paraId="59DA18B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其他土地</w:t>
            </w:r>
          </w:p>
        </w:tc>
        <w:tc>
          <w:tcPr>
            <w:tcW w:w="0" w:type="auto"/>
            <w:shd w:val="clear" w:color="auto" w:fill="auto"/>
            <w:noWrap/>
            <w:vAlign w:val="center"/>
          </w:tcPr>
          <w:p w14:paraId="01405C78">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1206</w:t>
            </w:r>
          </w:p>
        </w:tc>
        <w:tc>
          <w:tcPr>
            <w:tcW w:w="0" w:type="auto"/>
            <w:shd w:val="clear" w:color="auto" w:fill="auto"/>
            <w:noWrap/>
            <w:vAlign w:val="center"/>
          </w:tcPr>
          <w:p w14:paraId="1707E15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裸土地</w:t>
            </w:r>
          </w:p>
        </w:tc>
        <w:tc>
          <w:tcPr>
            <w:tcW w:w="1900" w:type="dxa"/>
            <w:shd w:val="clear" w:color="auto" w:fill="auto"/>
            <w:noWrap/>
            <w:vAlign w:val="center"/>
          </w:tcPr>
          <w:p w14:paraId="75F768F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0.0349</w:t>
            </w:r>
          </w:p>
        </w:tc>
        <w:tc>
          <w:tcPr>
            <w:tcW w:w="1679" w:type="dxa"/>
            <w:shd w:val="clear" w:color="auto" w:fill="auto"/>
            <w:noWrap/>
            <w:vAlign w:val="center"/>
          </w:tcPr>
          <w:p w14:paraId="5BC44A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0.45 </w:t>
            </w:r>
          </w:p>
        </w:tc>
      </w:tr>
      <w:tr w14:paraId="087F5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876" w:type="dxa"/>
            <w:gridSpan w:val="4"/>
            <w:shd w:val="clear" w:color="auto" w:fill="auto"/>
            <w:noWrap/>
            <w:vAlign w:val="center"/>
          </w:tcPr>
          <w:p w14:paraId="11D868C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合计</w:t>
            </w:r>
          </w:p>
        </w:tc>
        <w:tc>
          <w:tcPr>
            <w:tcW w:w="1900" w:type="dxa"/>
            <w:shd w:val="clear" w:color="auto" w:fill="auto"/>
            <w:noWrap/>
            <w:vAlign w:val="center"/>
          </w:tcPr>
          <w:p w14:paraId="1E26F8F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eastAsia" w:cs="Times New Roman"/>
                <w:i w:val="0"/>
                <w:iCs w:val="0"/>
                <w:color w:val="auto"/>
                <w:kern w:val="0"/>
                <w:sz w:val="21"/>
                <w:szCs w:val="21"/>
                <w:u w:val="none"/>
                <w:lang w:val="en-US" w:eastAsia="zh-CN" w:bidi="ar"/>
              </w:rPr>
              <w:t>7.7688</w:t>
            </w:r>
          </w:p>
        </w:tc>
        <w:tc>
          <w:tcPr>
            <w:tcW w:w="1679" w:type="dxa"/>
            <w:shd w:val="clear" w:color="auto" w:fill="auto"/>
            <w:noWrap/>
            <w:vAlign w:val="center"/>
          </w:tcPr>
          <w:p w14:paraId="1EE84114">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u w:val="none"/>
                <w:lang w:val="en-US"/>
              </w:rPr>
            </w:pPr>
            <w:r>
              <w:rPr>
                <w:rFonts w:hint="eastAsia" w:ascii="宋体" w:hAnsi="宋体" w:cs="宋体"/>
                <w:i w:val="0"/>
                <w:iCs w:val="0"/>
                <w:color w:val="auto"/>
                <w:kern w:val="0"/>
                <w:sz w:val="21"/>
                <w:szCs w:val="21"/>
                <w:u w:val="none"/>
                <w:lang w:val="en-US" w:eastAsia="zh-CN" w:bidi="ar"/>
              </w:rPr>
              <w:t>100</w:t>
            </w:r>
          </w:p>
        </w:tc>
      </w:tr>
    </w:tbl>
    <w:p w14:paraId="471568B0">
      <w:pPr>
        <w:spacing w:line="360" w:lineRule="auto"/>
        <w:ind w:firstLine="560" w:firstLineChars="200"/>
        <w:rPr>
          <w:color w:val="auto"/>
          <w:sz w:val="28"/>
          <w:szCs w:val="28"/>
        </w:rPr>
      </w:pPr>
      <w:r>
        <w:rPr>
          <w:rFonts w:hint="eastAsia"/>
          <w:color w:val="auto"/>
          <w:sz w:val="28"/>
          <w:szCs w:val="28"/>
        </w:rPr>
        <w:t>4</w:t>
      </w:r>
      <w:r>
        <w:rPr>
          <w:color w:val="auto"/>
          <w:sz w:val="28"/>
          <w:szCs w:val="28"/>
        </w:rPr>
        <w:t>、采矿活动影响范围土地利用情况</w:t>
      </w:r>
    </w:p>
    <w:p w14:paraId="5ACB241E">
      <w:pPr>
        <w:spacing w:line="360" w:lineRule="auto"/>
        <w:ind w:firstLine="560" w:firstLineChars="200"/>
        <w:rPr>
          <w:rFonts w:hint="eastAsia"/>
          <w:color w:val="auto"/>
          <w:sz w:val="28"/>
          <w:szCs w:val="28"/>
          <w:lang w:val="en-US" w:eastAsia="zh-CN"/>
        </w:rPr>
      </w:pPr>
      <w:r>
        <w:rPr>
          <w:rFonts w:hint="eastAsia"/>
          <w:color w:val="auto"/>
          <w:sz w:val="28"/>
          <w:szCs w:val="28"/>
          <w:lang w:val="en-US" w:eastAsia="zh-CN"/>
        </w:rPr>
        <w:t>矿山已不再继续开采</w:t>
      </w:r>
      <w:r>
        <w:rPr>
          <w:color w:val="auto"/>
          <w:sz w:val="28"/>
          <w:szCs w:val="28"/>
        </w:rPr>
        <w:t>，采矿活动影响范围</w:t>
      </w:r>
      <w:r>
        <w:rPr>
          <w:rFonts w:hint="eastAsia"/>
          <w:color w:val="auto"/>
          <w:sz w:val="28"/>
          <w:szCs w:val="28"/>
          <w:lang w:val="en-US" w:eastAsia="zh-CN"/>
        </w:rPr>
        <w:t>与现状</w:t>
      </w:r>
      <w:r>
        <w:rPr>
          <w:color w:val="auto"/>
          <w:sz w:val="28"/>
          <w:szCs w:val="28"/>
        </w:rPr>
        <w:t>已损毁土地利用</w:t>
      </w:r>
      <w:r>
        <w:rPr>
          <w:rFonts w:hint="eastAsia"/>
          <w:color w:val="auto"/>
          <w:sz w:val="28"/>
          <w:szCs w:val="28"/>
          <w:lang w:val="en-US" w:eastAsia="zh-CN"/>
        </w:rPr>
        <w:t>一致。</w:t>
      </w:r>
    </w:p>
    <w:p w14:paraId="5F7EADBB">
      <w:pPr>
        <w:spacing w:line="360" w:lineRule="auto"/>
        <w:ind w:firstLine="560" w:firstLineChars="200"/>
        <w:rPr>
          <w:color w:val="auto"/>
          <w:sz w:val="28"/>
          <w:szCs w:val="28"/>
        </w:rPr>
      </w:pPr>
      <w:r>
        <w:rPr>
          <w:rFonts w:hint="eastAsia"/>
          <w:color w:val="auto"/>
          <w:sz w:val="28"/>
          <w:szCs w:val="28"/>
          <w:lang w:val="en-US" w:eastAsia="zh-CN"/>
        </w:rPr>
        <w:t>5</w:t>
      </w:r>
      <w:r>
        <w:rPr>
          <w:color w:val="auto"/>
          <w:sz w:val="28"/>
          <w:szCs w:val="28"/>
        </w:rPr>
        <w:t>、已修复土地现状情况</w:t>
      </w:r>
    </w:p>
    <w:p w14:paraId="19DBC2F7">
      <w:pPr>
        <w:spacing w:line="360" w:lineRule="auto"/>
        <w:ind w:firstLine="560" w:firstLineChars="200"/>
        <w:rPr>
          <w:snapToGrid w:val="0"/>
          <w:color w:val="auto"/>
          <w:sz w:val="28"/>
          <w:szCs w:val="28"/>
        </w:rPr>
      </w:pPr>
      <w:r>
        <w:rPr>
          <w:color w:val="auto"/>
          <w:sz w:val="28"/>
          <w:szCs w:val="28"/>
        </w:rPr>
        <w:t>根据现场调查以及搜集资料，矿山前期已治理场地单元为</w:t>
      </w:r>
      <w:r>
        <w:rPr>
          <w:rFonts w:hint="eastAsia"/>
          <w:color w:val="auto"/>
          <w:sz w:val="28"/>
          <w:szCs w:val="28"/>
          <w:lang w:val="en-US" w:eastAsia="zh-CN"/>
        </w:rPr>
        <w:t>一分期及2020年度治理计划设计治理的废石场</w:t>
      </w:r>
      <w:r>
        <w:rPr>
          <w:rFonts w:ascii="Times New Roman" w:hAnsi="Times New Roman" w:cs="Times New Roman"/>
          <w:color w:val="auto"/>
          <w:sz w:val="28"/>
          <w:szCs w:val="28"/>
        </w:rPr>
        <w:t>，</w:t>
      </w:r>
      <w:r>
        <w:rPr>
          <w:rFonts w:hint="eastAsia" w:cs="Times New Roman"/>
          <w:color w:val="auto"/>
          <w:sz w:val="28"/>
          <w:szCs w:val="28"/>
          <w:lang w:val="en-US" w:eastAsia="zh-CN"/>
        </w:rPr>
        <w:t>已治理</w:t>
      </w:r>
      <w:r>
        <w:rPr>
          <w:color w:val="auto"/>
          <w:sz w:val="28"/>
          <w:szCs w:val="28"/>
        </w:rPr>
        <w:t>面积</w:t>
      </w:r>
      <w:r>
        <w:rPr>
          <w:rFonts w:hint="eastAsia"/>
          <w:color w:val="auto"/>
          <w:sz w:val="28"/>
          <w:szCs w:val="28"/>
          <w:lang w:val="en-US" w:eastAsia="zh-CN"/>
        </w:rPr>
        <w:t>2.4488</w:t>
      </w:r>
      <w:r>
        <w:rPr>
          <w:color w:val="auto"/>
          <w:sz w:val="28"/>
          <w:szCs w:val="28"/>
        </w:rPr>
        <w:t>hm</w:t>
      </w:r>
      <w:r>
        <w:rPr>
          <w:color w:val="auto"/>
          <w:sz w:val="28"/>
          <w:szCs w:val="28"/>
          <w:vertAlign w:val="superscript"/>
        </w:rPr>
        <w:t>2</w:t>
      </w:r>
      <w:r>
        <w:rPr>
          <w:rFonts w:hint="eastAsia"/>
          <w:color w:val="auto"/>
          <w:sz w:val="28"/>
          <w:szCs w:val="28"/>
          <w:lang w:eastAsia="zh-CN"/>
        </w:rPr>
        <w:t>，</w:t>
      </w:r>
      <w:r>
        <w:rPr>
          <w:color w:val="auto"/>
          <w:sz w:val="28"/>
          <w:szCs w:val="28"/>
        </w:rPr>
        <w:t>修复后</w:t>
      </w:r>
      <w:r>
        <w:rPr>
          <w:snapToGrid w:val="0"/>
          <w:color w:val="auto"/>
          <w:sz w:val="28"/>
          <w:szCs w:val="28"/>
        </w:rPr>
        <w:t>土地利用类型</w:t>
      </w:r>
      <w:r>
        <w:rPr>
          <w:rFonts w:hint="eastAsia"/>
          <w:snapToGrid w:val="0"/>
          <w:color w:val="auto"/>
          <w:sz w:val="28"/>
          <w:szCs w:val="28"/>
          <w:lang w:val="en-US" w:eastAsia="zh-CN"/>
        </w:rPr>
        <w:t>现状</w:t>
      </w:r>
      <w:r>
        <w:rPr>
          <w:snapToGrid w:val="0"/>
          <w:color w:val="auto"/>
          <w:sz w:val="28"/>
          <w:szCs w:val="28"/>
        </w:rPr>
        <w:t>为采矿用地</w:t>
      </w:r>
      <w:r>
        <w:rPr>
          <w:rFonts w:hint="eastAsia"/>
          <w:snapToGrid w:val="0"/>
          <w:color w:val="auto"/>
          <w:sz w:val="28"/>
          <w:szCs w:val="28"/>
          <w:lang w:eastAsia="zh-CN"/>
        </w:rPr>
        <w:t>、</w:t>
      </w:r>
      <w:r>
        <w:rPr>
          <w:rFonts w:hint="eastAsia"/>
          <w:snapToGrid w:val="0"/>
          <w:color w:val="auto"/>
          <w:sz w:val="28"/>
          <w:szCs w:val="28"/>
          <w:lang w:val="en-US" w:eastAsia="zh-CN"/>
        </w:rPr>
        <w:t>其他草地</w:t>
      </w:r>
      <w:r>
        <w:rPr>
          <w:snapToGrid w:val="0"/>
          <w:color w:val="auto"/>
          <w:sz w:val="28"/>
          <w:szCs w:val="28"/>
        </w:rPr>
        <w:t>。具体地类面积见表2-</w:t>
      </w:r>
      <w:r>
        <w:rPr>
          <w:rFonts w:hint="eastAsia"/>
          <w:snapToGrid w:val="0"/>
          <w:color w:val="auto"/>
          <w:sz w:val="28"/>
          <w:szCs w:val="28"/>
          <w:lang w:val="en-US" w:eastAsia="zh-CN"/>
        </w:rPr>
        <w:t>8</w:t>
      </w:r>
      <w:r>
        <w:rPr>
          <w:snapToGrid w:val="0"/>
          <w:color w:val="auto"/>
          <w:sz w:val="28"/>
          <w:szCs w:val="28"/>
        </w:rPr>
        <w:t>。</w:t>
      </w:r>
    </w:p>
    <w:p w14:paraId="1ED34404">
      <w:pPr>
        <w:ind w:firstLine="480" w:firstLineChars="200"/>
        <w:jc w:val="center"/>
        <w:rPr>
          <w:rFonts w:eastAsia="黑体"/>
          <w:color w:val="auto"/>
          <w:sz w:val="24"/>
          <w:szCs w:val="24"/>
        </w:rPr>
      </w:pPr>
      <w:r>
        <w:rPr>
          <w:rFonts w:eastAsia="黑体"/>
          <w:color w:val="auto"/>
          <w:sz w:val="24"/>
          <w:szCs w:val="24"/>
        </w:rPr>
        <w:t>表2-</w:t>
      </w:r>
      <w:r>
        <w:rPr>
          <w:rFonts w:hint="eastAsia" w:eastAsia="黑体"/>
          <w:color w:val="auto"/>
          <w:sz w:val="24"/>
          <w:szCs w:val="24"/>
          <w:lang w:val="en-US" w:eastAsia="zh-CN"/>
        </w:rPr>
        <w:t>8</w:t>
      </w:r>
      <w:r>
        <w:rPr>
          <w:rFonts w:eastAsia="黑体"/>
          <w:color w:val="auto"/>
          <w:sz w:val="24"/>
          <w:szCs w:val="24"/>
        </w:rPr>
        <w:t xml:space="preserve">  已修复土地现状统计表</w:t>
      </w:r>
    </w:p>
    <w:tbl>
      <w:tblPr>
        <w:tblStyle w:val="34"/>
        <w:tblW w:w="4883" w:type="pct"/>
        <w:tblInd w:w="0" w:type="dxa"/>
        <w:tblLayout w:type="autofit"/>
        <w:tblCellMar>
          <w:top w:w="0" w:type="dxa"/>
          <w:left w:w="108" w:type="dxa"/>
          <w:bottom w:w="0" w:type="dxa"/>
          <w:right w:w="108" w:type="dxa"/>
        </w:tblCellMar>
      </w:tblPr>
      <w:tblGrid>
        <w:gridCol w:w="639"/>
        <w:gridCol w:w="1925"/>
        <w:gridCol w:w="636"/>
        <w:gridCol w:w="1058"/>
        <w:gridCol w:w="2421"/>
        <w:gridCol w:w="2180"/>
      </w:tblGrid>
      <w:tr w14:paraId="624D0896">
        <w:tblPrEx>
          <w:tblCellMar>
            <w:top w:w="0" w:type="dxa"/>
            <w:left w:w="108" w:type="dxa"/>
            <w:bottom w:w="0" w:type="dxa"/>
            <w:right w:w="108" w:type="dxa"/>
          </w:tblCellMar>
        </w:tblPrEx>
        <w:trPr>
          <w:trHeight w:val="340" w:hRule="atLeast"/>
        </w:trPr>
        <w:tc>
          <w:tcPr>
            <w:tcW w:w="1448" w:type="pct"/>
            <w:gridSpan w:val="2"/>
            <w:tcBorders>
              <w:top w:val="single" w:color="auto" w:sz="4" w:space="0"/>
              <w:left w:val="single" w:color="auto" w:sz="4" w:space="0"/>
              <w:bottom w:val="single" w:color="auto" w:sz="4" w:space="0"/>
              <w:right w:val="single" w:color="auto" w:sz="4" w:space="0"/>
            </w:tcBorders>
            <w:noWrap/>
            <w:vAlign w:val="center"/>
          </w:tcPr>
          <w:p w14:paraId="29E50F77">
            <w:pPr>
              <w:widowControl/>
              <w:jc w:val="center"/>
              <w:rPr>
                <w:color w:val="auto"/>
                <w:kern w:val="0"/>
                <w:szCs w:val="21"/>
              </w:rPr>
            </w:pPr>
            <w:r>
              <w:rPr>
                <w:color w:val="auto"/>
                <w:kern w:val="0"/>
                <w:szCs w:val="21"/>
              </w:rPr>
              <w:t>一级地类</w:t>
            </w:r>
          </w:p>
        </w:tc>
        <w:tc>
          <w:tcPr>
            <w:tcW w:w="954" w:type="pct"/>
            <w:gridSpan w:val="2"/>
            <w:tcBorders>
              <w:top w:val="single" w:color="auto" w:sz="4" w:space="0"/>
              <w:left w:val="nil"/>
              <w:bottom w:val="single" w:color="auto" w:sz="4" w:space="0"/>
              <w:right w:val="single" w:color="auto" w:sz="4" w:space="0"/>
            </w:tcBorders>
            <w:noWrap/>
            <w:vAlign w:val="center"/>
          </w:tcPr>
          <w:p w14:paraId="538F230B">
            <w:pPr>
              <w:widowControl/>
              <w:jc w:val="center"/>
              <w:rPr>
                <w:color w:val="auto"/>
                <w:kern w:val="0"/>
                <w:szCs w:val="21"/>
              </w:rPr>
            </w:pPr>
            <w:r>
              <w:rPr>
                <w:color w:val="auto"/>
                <w:kern w:val="0"/>
                <w:szCs w:val="21"/>
              </w:rPr>
              <w:t>二级地类</w:t>
            </w:r>
          </w:p>
        </w:tc>
        <w:tc>
          <w:tcPr>
            <w:tcW w:w="1366" w:type="pct"/>
            <w:vMerge w:val="restart"/>
            <w:tcBorders>
              <w:top w:val="single" w:color="auto" w:sz="4" w:space="0"/>
              <w:left w:val="single" w:color="auto" w:sz="4" w:space="0"/>
              <w:bottom w:val="single" w:color="auto" w:sz="4" w:space="0"/>
              <w:right w:val="single" w:color="auto" w:sz="4" w:space="0"/>
            </w:tcBorders>
            <w:noWrap/>
            <w:vAlign w:val="center"/>
          </w:tcPr>
          <w:p w14:paraId="35403C88">
            <w:pPr>
              <w:widowControl/>
              <w:jc w:val="center"/>
              <w:rPr>
                <w:color w:val="auto"/>
                <w:kern w:val="0"/>
                <w:szCs w:val="21"/>
              </w:rPr>
            </w:pPr>
            <w:r>
              <w:rPr>
                <w:color w:val="auto"/>
                <w:kern w:val="0"/>
                <w:szCs w:val="21"/>
              </w:rPr>
              <w:t>面积（hm</w:t>
            </w:r>
            <w:r>
              <w:rPr>
                <w:color w:val="auto"/>
                <w:kern w:val="0"/>
                <w:szCs w:val="21"/>
                <w:vertAlign w:val="superscript"/>
              </w:rPr>
              <w:t>2</w:t>
            </w:r>
            <w:r>
              <w:rPr>
                <w:color w:val="auto"/>
                <w:kern w:val="0"/>
                <w:szCs w:val="21"/>
              </w:rPr>
              <w:t>）</w:t>
            </w:r>
          </w:p>
        </w:tc>
        <w:tc>
          <w:tcPr>
            <w:tcW w:w="1230" w:type="pct"/>
            <w:vMerge w:val="restart"/>
            <w:tcBorders>
              <w:top w:val="single" w:color="auto" w:sz="4" w:space="0"/>
              <w:left w:val="single" w:color="auto" w:sz="4" w:space="0"/>
              <w:bottom w:val="single" w:color="auto" w:sz="4" w:space="0"/>
              <w:right w:val="single" w:color="auto" w:sz="4" w:space="0"/>
            </w:tcBorders>
            <w:noWrap/>
            <w:vAlign w:val="center"/>
          </w:tcPr>
          <w:p w14:paraId="7C5EF795">
            <w:pPr>
              <w:widowControl/>
              <w:jc w:val="center"/>
              <w:rPr>
                <w:color w:val="auto"/>
                <w:kern w:val="0"/>
                <w:szCs w:val="21"/>
              </w:rPr>
            </w:pPr>
            <w:r>
              <w:rPr>
                <w:color w:val="auto"/>
                <w:kern w:val="0"/>
                <w:szCs w:val="21"/>
              </w:rPr>
              <w:t>占比（%）</w:t>
            </w:r>
          </w:p>
        </w:tc>
      </w:tr>
      <w:tr w14:paraId="110F9F75">
        <w:tblPrEx>
          <w:tblCellMar>
            <w:top w:w="0" w:type="dxa"/>
            <w:left w:w="108" w:type="dxa"/>
            <w:bottom w:w="0" w:type="dxa"/>
            <w:right w:w="108" w:type="dxa"/>
          </w:tblCellMar>
        </w:tblPrEx>
        <w:trPr>
          <w:trHeight w:val="340" w:hRule="atLeast"/>
        </w:trPr>
        <w:tc>
          <w:tcPr>
            <w:tcW w:w="361" w:type="pct"/>
            <w:tcBorders>
              <w:top w:val="nil"/>
              <w:left w:val="single" w:color="auto" w:sz="4" w:space="0"/>
              <w:bottom w:val="single" w:color="auto" w:sz="4" w:space="0"/>
              <w:right w:val="single" w:color="auto" w:sz="4" w:space="0"/>
            </w:tcBorders>
            <w:noWrap/>
            <w:vAlign w:val="center"/>
          </w:tcPr>
          <w:p w14:paraId="404F4D44">
            <w:pPr>
              <w:widowControl/>
              <w:jc w:val="center"/>
              <w:rPr>
                <w:color w:val="auto"/>
                <w:kern w:val="0"/>
                <w:szCs w:val="21"/>
              </w:rPr>
            </w:pPr>
            <w:r>
              <w:rPr>
                <w:color w:val="auto"/>
                <w:kern w:val="0"/>
                <w:szCs w:val="21"/>
              </w:rPr>
              <w:t>代码</w:t>
            </w:r>
          </w:p>
        </w:tc>
        <w:tc>
          <w:tcPr>
            <w:tcW w:w="1086" w:type="pct"/>
            <w:tcBorders>
              <w:top w:val="nil"/>
              <w:left w:val="nil"/>
              <w:bottom w:val="single" w:color="auto" w:sz="4" w:space="0"/>
              <w:right w:val="single" w:color="auto" w:sz="4" w:space="0"/>
            </w:tcBorders>
            <w:noWrap/>
            <w:vAlign w:val="center"/>
          </w:tcPr>
          <w:p w14:paraId="3D53FD53">
            <w:pPr>
              <w:widowControl/>
              <w:jc w:val="center"/>
              <w:rPr>
                <w:color w:val="auto"/>
                <w:kern w:val="0"/>
                <w:szCs w:val="21"/>
              </w:rPr>
            </w:pPr>
            <w:r>
              <w:rPr>
                <w:color w:val="auto"/>
                <w:kern w:val="0"/>
                <w:szCs w:val="21"/>
              </w:rPr>
              <w:t>地类</w:t>
            </w:r>
          </w:p>
        </w:tc>
        <w:tc>
          <w:tcPr>
            <w:tcW w:w="358" w:type="pct"/>
            <w:tcBorders>
              <w:top w:val="nil"/>
              <w:left w:val="nil"/>
              <w:bottom w:val="single" w:color="auto" w:sz="4" w:space="0"/>
              <w:right w:val="single" w:color="auto" w:sz="4" w:space="0"/>
            </w:tcBorders>
            <w:noWrap/>
            <w:vAlign w:val="center"/>
          </w:tcPr>
          <w:p w14:paraId="5A2A27E7">
            <w:pPr>
              <w:widowControl/>
              <w:jc w:val="center"/>
              <w:rPr>
                <w:color w:val="auto"/>
                <w:kern w:val="0"/>
                <w:szCs w:val="21"/>
              </w:rPr>
            </w:pPr>
            <w:r>
              <w:rPr>
                <w:color w:val="auto"/>
                <w:kern w:val="0"/>
                <w:szCs w:val="21"/>
              </w:rPr>
              <w:t>代码</w:t>
            </w:r>
          </w:p>
        </w:tc>
        <w:tc>
          <w:tcPr>
            <w:tcW w:w="596" w:type="pct"/>
            <w:tcBorders>
              <w:top w:val="nil"/>
              <w:left w:val="nil"/>
              <w:bottom w:val="single" w:color="auto" w:sz="4" w:space="0"/>
              <w:right w:val="single" w:color="auto" w:sz="4" w:space="0"/>
            </w:tcBorders>
            <w:noWrap/>
            <w:vAlign w:val="center"/>
          </w:tcPr>
          <w:p w14:paraId="1E499F16">
            <w:pPr>
              <w:widowControl/>
              <w:jc w:val="center"/>
              <w:rPr>
                <w:color w:val="auto"/>
                <w:kern w:val="0"/>
                <w:szCs w:val="21"/>
              </w:rPr>
            </w:pPr>
            <w:r>
              <w:rPr>
                <w:color w:val="auto"/>
                <w:kern w:val="0"/>
                <w:szCs w:val="21"/>
              </w:rPr>
              <w:t>地类</w:t>
            </w:r>
          </w:p>
        </w:tc>
        <w:tc>
          <w:tcPr>
            <w:tcW w:w="1366" w:type="pct"/>
            <w:vMerge w:val="continue"/>
            <w:tcBorders>
              <w:top w:val="single" w:color="auto" w:sz="4" w:space="0"/>
              <w:left w:val="single" w:color="auto" w:sz="4" w:space="0"/>
              <w:bottom w:val="single" w:color="auto" w:sz="4" w:space="0"/>
              <w:right w:val="single" w:color="auto" w:sz="4" w:space="0"/>
            </w:tcBorders>
            <w:vAlign w:val="center"/>
          </w:tcPr>
          <w:p w14:paraId="0968E47D">
            <w:pPr>
              <w:widowControl/>
              <w:jc w:val="left"/>
              <w:rPr>
                <w:color w:val="auto"/>
                <w:kern w:val="0"/>
                <w:szCs w:val="21"/>
              </w:rPr>
            </w:pPr>
          </w:p>
        </w:tc>
        <w:tc>
          <w:tcPr>
            <w:tcW w:w="1230" w:type="pct"/>
            <w:vMerge w:val="continue"/>
            <w:tcBorders>
              <w:top w:val="single" w:color="auto" w:sz="4" w:space="0"/>
              <w:left w:val="single" w:color="auto" w:sz="4" w:space="0"/>
              <w:bottom w:val="single" w:color="auto" w:sz="4" w:space="0"/>
              <w:right w:val="single" w:color="auto" w:sz="4" w:space="0"/>
            </w:tcBorders>
            <w:vAlign w:val="center"/>
          </w:tcPr>
          <w:p w14:paraId="18124C8E">
            <w:pPr>
              <w:widowControl/>
              <w:jc w:val="left"/>
              <w:rPr>
                <w:color w:val="auto"/>
                <w:kern w:val="0"/>
                <w:szCs w:val="21"/>
              </w:rPr>
            </w:pPr>
          </w:p>
        </w:tc>
      </w:tr>
      <w:tr w14:paraId="16C3B5E5">
        <w:tblPrEx>
          <w:tblCellMar>
            <w:top w:w="0" w:type="dxa"/>
            <w:left w:w="108" w:type="dxa"/>
            <w:bottom w:w="0" w:type="dxa"/>
            <w:right w:w="108" w:type="dxa"/>
          </w:tblCellMar>
        </w:tblPrEx>
        <w:trPr>
          <w:trHeight w:val="340" w:hRule="atLeast"/>
        </w:trPr>
        <w:tc>
          <w:tcPr>
            <w:tcW w:w="361" w:type="pct"/>
            <w:tcBorders>
              <w:top w:val="nil"/>
              <w:left w:val="single" w:color="auto" w:sz="4" w:space="0"/>
              <w:bottom w:val="single" w:color="auto" w:sz="4" w:space="0"/>
              <w:right w:val="single" w:color="auto" w:sz="4" w:space="0"/>
            </w:tcBorders>
            <w:noWrap/>
            <w:vAlign w:val="center"/>
          </w:tcPr>
          <w:p w14:paraId="14B85359">
            <w:pPr>
              <w:widowControl/>
              <w:jc w:val="center"/>
              <w:rPr>
                <w:rFonts w:hint="default" w:eastAsia="宋体"/>
                <w:color w:val="auto"/>
                <w:kern w:val="0"/>
                <w:szCs w:val="21"/>
                <w:lang w:val="en-US" w:eastAsia="zh-CN"/>
              </w:rPr>
            </w:pPr>
            <w:r>
              <w:rPr>
                <w:rFonts w:hint="eastAsia"/>
                <w:color w:val="auto"/>
                <w:kern w:val="0"/>
                <w:szCs w:val="21"/>
                <w:lang w:val="en-US" w:eastAsia="zh-CN"/>
              </w:rPr>
              <w:t>04</w:t>
            </w:r>
          </w:p>
        </w:tc>
        <w:tc>
          <w:tcPr>
            <w:tcW w:w="1086" w:type="pct"/>
            <w:tcBorders>
              <w:top w:val="nil"/>
              <w:left w:val="nil"/>
              <w:bottom w:val="single" w:color="auto" w:sz="4" w:space="0"/>
              <w:right w:val="single" w:color="auto" w:sz="4" w:space="0"/>
            </w:tcBorders>
            <w:noWrap/>
            <w:vAlign w:val="center"/>
          </w:tcPr>
          <w:p w14:paraId="5DD8EF78">
            <w:pPr>
              <w:widowControl/>
              <w:jc w:val="center"/>
              <w:rPr>
                <w:rFonts w:hint="eastAsia" w:eastAsia="宋体"/>
                <w:color w:val="auto"/>
                <w:kern w:val="0"/>
                <w:szCs w:val="21"/>
                <w:lang w:val="en-US" w:eastAsia="zh-CN"/>
              </w:rPr>
            </w:pPr>
            <w:r>
              <w:rPr>
                <w:rFonts w:hint="eastAsia"/>
                <w:color w:val="auto"/>
                <w:kern w:val="0"/>
                <w:szCs w:val="21"/>
                <w:lang w:val="en-US" w:eastAsia="zh-CN"/>
              </w:rPr>
              <w:t>草地</w:t>
            </w:r>
          </w:p>
        </w:tc>
        <w:tc>
          <w:tcPr>
            <w:tcW w:w="358" w:type="pct"/>
            <w:tcBorders>
              <w:top w:val="nil"/>
              <w:left w:val="nil"/>
              <w:bottom w:val="single" w:color="auto" w:sz="4" w:space="0"/>
              <w:right w:val="single" w:color="auto" w:sz="4" w:space="0"/>
            </w:tcBorders>
            <w:noWrap/>
            <w:vAlign w:val="center"/>
          </w:tcPr>
          <w:p w14:paraId="4BFBE84C">
            <w:pPr>
              <w:widowControl/>
              <w:jc w:val="center"/>
              <w:rPr>
                <w:rFonts w:hint="default" w:eastAsia="宋体"/>
                <w:color w:val="auto"/>
                <w:kern w:val="0"/>
                <w:szCs w:val="21"/>
                <w:lang w:val="en-US" w:eastAsia="zh-CN"/>
              </w:rPr>
            </w:pPr>
            <w:r>
              <w:rPr>
                <w:rFonts w:hint="eastAsia"/>
                <w:color w:val="auto"/>
                <w:kern w:val="0"/>
                <w:szCs w:val="21"/>
                <w:lang w:val="en-US" w:eastAsia="zh-CN"/>
              </w:rPr>
              <w:t>0404</w:t>
            </w:r>
          </w:p>
        </w:tc>
        <w:tc>
          <w:tcPr>
            <w:tcW w:w="596" w:type="pct"/>
            <w:tcBorders>
              <w:top w:val="nil"/>
              <w:left w:val="nil"/>
              <w:bottom w:val="single" w:color="auto" w:sz="4" w:space="0"/>
              <w:right w:val="single" w:color="auto" w:sz="4" w:space="0"/>
            </w:tcBorders>
            <w:noWrap/>
            <w:vAlign w:val="center"/>
          </w:tcPr>
          <w:p w14:paraId="3C71C63F">
            <w:pPr>
              <w:widowControl/>
              <w:jc w:val="center"/>
              <w:rPr>
                <w:rFonts w:hint="default" w:eastAsia="宋体"/>
                <w:color w:val="auto"/>
                <w:kern w:val="0"/>
                <w:szCs w:val="21"/>
                <w:lang w:val="en-US" w:eastAsia="zh-CN"/>
              </w:rPr>
            </w:pPr>
            <w:r>
              <w:rPr>
                <w:rFonts w:hint="eastAsia"/>
                <w:color w:val="auto"/>
                <w:kern w:val="0"/>
                <w:szCs w:val="21"/>
                <w:lang w:val="en-US" w:eastAsia="zh-CN"/>
              </w:rPr>
              <w:t>其他草地</w:t>
            </w:r>
          </w:p>
        </w:tc>
        <w:tc>
          <w:tcPr>
            <w:tcW w:w="1366" w:type="pct"/>
            <w:tcBorders>
              <w:top w:val="nil"/>
              <w:left w:val="nil"/>
              <w:bottom w:val="single" w:color="auto" w:sz="4" w:space="0"/>
              <w:right w:val="single" w:color="auto" w:sz="4" w:space="0"/>
            </w:tcBorders>
            <w:noWrap/>
            <w:vAlign w:val="center"/>
          </w:tcPr>
          <w:p w14:paraId="1CEC01C2">
            <w:pPr>
              <w:widowControl/>
              <w:jc w:val="center"/>
              <w:rPr>
                <w:rFonts w:hint="default" w:eastAsia="宋体"/>
                <w:color w:val="auto"/>
                <w:kern w:val="0"/>
                <w:szCs w:val="21"/>
                <w:lang w:val="en-US" w:eastAsia="zh-CN"/>
              </w:rPr>
            </w:pPr>
            <w:r>
              <w:rPr>
                <w:rFonts w:hint="eastAsia"/>
                <w:color w:val="auto"/>
                <w:kern w:val="0"/>
                <w:szCs w:val="21"/>
                <w:lang w:val="en-US" w:eastAsia="zh-CN"/>
              </w:rPr>
              <w:t>0.1066</w:t>
            </w:r>
          </w:p>
        </w:tc>
        <w:tc>
          <w:tcPr>
            <w:tcW w:w="1230" w:type="pct"/>
            <w:tcBorders>
              <w:top w:val="nil"/>
              <w:left w:val="nil"/>
              <w:bottom w:val="single" w:color="auto" w:sz="4" w:space="0"/>
              <w:right w:val="single" w:color="auto" w:sz="4" w:space="0"/>
            </w:tcBorders>
            <w:noWrap/>
            <w:vAlign w:val="center"/>
          </w:tcPr>
          <w:p w14:paraId="13E1F667">
            <w:pPr>
              <w:widowControl/>
              <w:jc w:val="center"/>
              <w:rPr>
                <w:rFonts w:hint="default"/>
                <w:color w:val="auto"/>
                <w:kern w:val="0"/>
                <w:szCs w:val="21"/>
                <w:lang w:val="en-US" w:eastAsia="zh-CN"/>
              </w:rPr>
            </w:pPr>
            <w:r>
              <w:rPr>
                <w:rFonts w:hint="eastAsia"/>
                <w:color w:val="auto"/>
                <w:kern w:val="0"/>
                <w:szCs w:val="21"/>
                <w:lang w:val="en-US" w:eastAsia="zh-CN"/>
              </w:rPr>
              <w:t>4.35</w:t>
            </w:r>
          </w:p>
        </w:tc>
      </w:tr>
      <w:tr w14:paraId="20FBDE0E">
        <w:tblPrEx>
          <w:tblCellMar>
            <w:top w:w="0" w:type="dxa"/>
            <w:left w:w="108" w:type="dxa"/>
            <w:bottom w:w="0" w:type="dxa"/>
            <w:right w:w="108" w:type="dxa"/>
          </w:tblCellMar>
        </w:tblPrEx>
        <w:trPr>
          <w:trHeight w:val="340" w:hRule="atLeast"/>
        </w:trPr>
        <w:tc>
          <w:tcPr>
            <w:tcW w:w="361" w:type="pct"/>
            <w:tcBorders>
              <w:top w:val="nil"/>
              <w:left w:val="single" w:color="auto" w:sz="4" w:space="0"/>
              <w:bottom w:val="single" w:color="auto" w:sz="4" w:space="0"/>
              <w:right w:val="single" w:color="auto" w:sz="4" w:space="0"/>
            </w:tcBorders>
            <w:noWrap/>
            <w:vAlign w:val="center"/>
          </w:tcPr>
          <w:p w14:paraId="27C4E5F8">
            <w:pPr>
              <w:widowControl/>
              <w:jc w:val="center"/>
              <w:rPr>
                <w:color w:val="auto"/>
                <w:kern w:val="0"/>
                <w:szCs w:val="21"/>
              </w:rPr>
            </w:pPr>
            <w:r>
              <w:rPr>
                <w:color w:val="auto"/>
                <w:kern w:val="0"/>
                <w:szCs w:val="21"/>
              </w:rPr>
              <w:t>06</w:t>
            </w:r>
          </w:p>
        </w:tc>
        <w:tc>
          <w:tcPr>
            <w:tcW w:w="1086" w:type="pct"/>
            <w:tcBorders>
              <w:top w:val="nil"/>
              <w:left w:val="nil"/>
              <w:bottom w:val="single" w:color="auto" w:sz="4" w:space="0"/>
              <w:right w:val="single" w:color="auto" w:sz="4" w:space="0"/>
            </w:tcBorders>
            <w:noWrap/>
            <w:vAlign w:val="center"/>
          </w:tcPr>
          <w:p w14:paraId="47B72FE0">
            <w:pPr>
              <w:widowControl/>
              <w:jc w:val="center"/>
              <w:rPr>
                <w:color w:val="auto"/>
                <w:kern w:val="0"/>
                <w:szCs w:val="21"/>
              </w:rPr>
            </w:pPr>
            <w:r>
              <w:rPr>
                <w:color w:val="auto"/>
                <w:kern w:val="0"/>
                <w:szCs w:val="21"/>
              </w:rPr>
              <w:t>工矿仓储用地</w:t>
            </w:r>
          </w:p>
        </w:tc>
        <w:tc>
          <w:tcPr>
            <w:tcW w:w="358" w:type="pct"/>
            <w:tcBorders>
              <w:top w:val="nil"/>
              <w:left w:val="nil"/>
              <w:bottom w:val="single" w:color="auto" w:sz="4" w:space="0"/>
              <w:right w:val="single" w:color="auto" w:sz="4" w:space="0"/>
            </w:tcBorders>
            <w:noWrap/>
            <w:vAlign w:val="center"/>
          </w:tcPr>
          <w:p w14:paraId="59B47F39">
            <w:pPr>
              <w:widowControl/>
              <w:jc w:val="center"/>
              <w:rPr>
                <w:color w:val="auto"/>
                <w:kern w:val="0"/>
                <w:szCs w:val="21"/>
              </w:rPr>
            </w:pPr>
            <w:r>
              <w:rPr>
                <w:color w:val="auto"/>
                <w:kern w:val="0"/>
                <w:szCs w:val="21"/>
              </w:rPr>
              <w:t>0602</w:t>
            </w:r>
          </w:p>
        </w:tc>
        <w:tc>
          <w:tcPr>
            <w:tcW w:w="596" w:type="pct"/>
            <w:tcBorders>
              <w:top w:val="nil"/>
              <w:left w:val="nil"/>
              <w:bottom w:val="single" w:color="auto" w:sz="4" w:space="0"/>
              <w:right w:val="single" w:color="auto" w:sz="4" w:space="0"/>
            </w:tcBorders>
            <w:noWrap/>
            <w:vAlign w:val="center"/>
          </w:tcPr>
          <w:p w14:paraId="7C81A3F1">
            <w:pPr>
              <w:widowControl/>
              <w:jc w:val="center"/>
              <w:rPr>
                <w:color w:val="auto"/>
                <w:kern w:val="0"/>
                <w:szCs w:val="21"/>
              </w:rPr>
            </w:pPr>
            <w:r>
              <w:rPr>
                <w:color w:val="auto"/>
                <w:kern w:val="0"/>
                <w:szCs w:val="21"/>
              </w:rPr>
              <w:t>采矿用地</w:t>
            </w:r>
          </w:p>
        </w:tc>
        <w:tc>
          <w:tcPr>
            <w:tcW w:w="1366" w:type="pct"/>
            <w:tcBorders>
              <w:top w:val="nil"/>
              <w:left w:val="nil"/>
              <w:bottom w:val="single" w:color="auto" w:sz="4" w:space="0"/>
              <w:right w:val="single" w:color="auto" w:sz="4" w:space="0"/>
            </w:tcBorders>
            <w:noWrap/>
            <w:vAlign w:val="center"/>
          </w:tcPr>
          <w:p w14:paraId="147B4685">
            <w:pPr>
              <w:widowControl/>
              <w:jc w:val="center"/>
              <w:rPr>
                <w:rFonts w:hint="default" w:eastAsia="宋体"/>
                <w:color w:val="auto"/>
                <w:kern w:val="0"/>
                <w:szCs w:val="21"/>
                <w:lang w:val="en-US" w:eastAsia="zh-CN"/>
              </w:rPr>
            </w:pPr>
            <w:r>
              <w:rPr>
                <w:rFonts w:hint="eastAsia"/>
                <w:color w:val="auto"/>
                <w:kern w:val="0"/>
                <w:szCs w:val="21"/>
                <w:lang w:val="en-US" w:eastAsia="zh-CN"/>
              </w:rPr>
              <w:t>2.3422</w:t>
            </w:r>
          </w:p>
        </w:tc>
        <w:tc>
          <w:tcPr>
            <w:tcW w:w="1230" w:type="pct"/>
            <w:tcBorders>
              <w:top w:val="nil"/>
              <w:left w:val="nil"/>
              <w:bottom w:val="single" w:color="auto" w:sz="4" w:space="0"/>
              <w:right w:val="single" w:color="auto" w:sz="4" w:space="0"/>
            </w:tcBorders>
            <w:noWrap/>
            <w:vAlign w:val="center"/>
          </w:tcPr>
          <w:p w14:paraId="584D1A6E">
            <w:pPr>
              <w:widowControl/>
              <w:jc w:val="center"/>
              <w:rPr>
                <w:rFonts w:hint="default" w:eastAsia="宋体"/>
                <w:color w:val="auto"/>
                <w:kern w:val="0"/>
                <w:szCs w:val="21"/>
                <w:lang w:val="en-US" w:eastAsia="zh-CN"/>
              </w:rPr>
            </w:pPr>
            <w:r>
              <w:rPr>
                <w:rFonts w:hint="eastAsia"/>
                <w:color w:val="auto"/>
                <w:kern w:val="0"/>
                <w:szCs w:val="21"/>
                <w:lang w:val="en-US" w:eastAsia="zh-CN"/>
              </w:rPr>
              <w:t>95.65</w:t>
            </w:r>
          </w:p>
        </w:tc>
      </w:tr>
      <w:tr w14:paraId="24058465">
        <w:tblPrEx>
          <w:tblCellMar>
            <w:top w:w="0" w:type="dxa"/>
            <w:left w:w="108" w:type="dxa"/>
            <w:bottom w:w="0" w:type="dxa"/>
            <w:right w:w="108" w:type="dxa"/>
          </w:tblCellMar>
        </w:tblPrEx>
        <w:trPr>
          <w:trHeight w:val="340" w:hRule="atLeast"/>
        </w:trPr>
        <w:tc>
          <w:tcPr>
            <w:tcW w:w="2403" w:type="pct"/>
            <w:gridSpan w:val="4"/>
            <w:tcBorders>
              <w:top w:val="single" w:color="auto" w:sz="4" w:space="0"/>
              <w:left w:val="single" w:color="auto" w:sz="4" w:space="0"/>
              <w:bottom w:val="single" w:color="auto" w:sz="4" w:space="0"/>
              <w:right w:val="single" w:color="auto" w:sz="4" w:space="0"/>
            </w:tcBorders>
            <w:noWrap/>
            <w:vAlign w:val="center"/>
          </w:tcPr>
          <w:p w14:paraId="79828EBB">
            <w:pPr>
              <w:widowControl/>
              <w:jc w:val="center"/>
              <w:rPr>
                <w:color w:val="auto"/>
                <w:kern w:val="0"/>
                <w:szCs w:val="21"/>
              </w:rPr>
            </w:pPr>
            <w:r>
              <w:rPr>
                <w:color w:val="auto"/>
                <w:kern w:val="0"/>
                <w:szCs w:val="21"/>
              </w:rPr>
              <w:t>合计</w:t>
            </w:r>
          </w:p>
        </w:tc>
        <w:tc>
          <w:tcPr>
            <w:tcW w:w="1366" w:type="pct"/>
            <w:tcBorders>
              <w:top w:val="nil"/>
              <w:left w:val="nil"/>
              <w:bottom w:val="single" w:color="auto" w:sz="4" w:space="0"/>
              <w:right w:val="single" w:color="auto" w:sz="4" w:space="0"/>
            </w:tcBorders>
            <w:noWrap/>
            <w:vAlign w:val="center"/>
          </w:tcPr>
          <w:p w14:paraId="20AA9F5C">
            <w:pPr>
              <w:widowControl/>
              <w:jc w:val="center"/>
              <w:rPr>
                <w:rFonts w:hint="default" w:eastAsia="宋体"/>
                <w:color w:val="auto"/>
                <w:kern w:val="0"/>
                <w:szCs w:val="21"/>
                <w:lang w:val="en-US" w:eastAsia="zh-CN"/>
              </w:rPr>
            </w:pPr>
            <w:r>
              <w:rPr>
                <w:rFonts w:hint="eastAsia"/>
                <w:color w:val="auto"/>
                <w:kern w:val="0"/>
                <w:szCs w:val="21"/>
                <w:lang w:val="en-US" w:eastAsia="zh-CN"/>
              </w:rPr>
              <w:t>2.4488</w:t>
            </w:r>
          </w:p>
        </w:tc>
        <w:tc>
          <w:tcPr>
            <w:tcW w:w="1230" w:type="pct"/>
            <w:tcBorders>
              <w:top w:val="nil"/>
              <w:left w:val="nil"/>
              <w:bottom w:val="single" w:color="auto" w:sz="4" w:space="0"/>
              <w:right w:val="single" w:color="auto" w:sz="4" w:space="0"/>
            </w:tcBorders>
            <w:noWrap/>
            <w:vAlign w:val="center"/>
          </w:tcPr>
          <w:p w14:paraId="4CB056FA">
            <w:pPr>
              <w:widowControl/>
              <w:jc w:val="center"/>
              <w:rPr>
                <w:color w:val="auto"/>
                <w:kern w:val="0"/>
                <w:sz w:val="22"/>
                <w:szCs w:val="22"/>
              </w:rPr>
            </w:pPr>
            <w:r>
              <w:rPr>
                <w:color w:val="auto"/>
                <w:kern w:val="0"/>
                <w:sz w:val="22"/>
                <w:szCs w:val="22"/>
              </w:rPr>
              <w:t>100</w:t>
            </w:r>
          </w:p>
        </w:tc>
      </w:tr>
    </w:tbl>
    <w:p w14:paraId="71ECA98B">
      <w:pPr>
        <w:spacing w:line="360" w:lineRule="auto"/>
        <w:ind w:firstLine="560" w:firstLineChars="200"/>
        <w:rPr>
          <w:color w:val="auto"/>
          <w:sz w:val="28"/>
          <w:szCs w:val="28"/>
        </w:rPr>
      </w:pPr>
      <w:r>
        <w:rPr>
          <w:color w:val="auto"/>
          <w:sz w:val="28"/>
          <w:szCs w:val="28"/>
        </w:rPr>
        <w:t>6、矿区永久基本农田分布情况</w:t>
      </w:r>
    </w:p>
    <w:p w14:paraId="7CA85C94">
      <w:pPr>
        <w:spacing w:line="360" w:lineRule="auto"/>
        <w:ind w:firstLine="560" w:firstLineChars="200"/>
        <w:rPr>
          <w:color w:val="auto"/>
          <w:sz w:val="28"/>
          <w:szCs w:val="28"/>
        </w:rPr>
      </w:pPr>
      <w:r>
        <w:rPr>
          <w:color w:val="auto"/>
          <w:sz w:val="28"/>
          <w:szCs w:val="28"/>
        </w:rPr>
        <w:t>根据赤峰市</w:t>
      </w:r>
      <w:r>
        <w:rPr>
          <w:rFonts w:hint="eastAsia"/>
          <w:color w:val="auto"/>
          <w:sz w:val="28"/>
          <w:szCs w:val="28"/>
          <w:lang w:val="en-US" w:eastAsia="zh-CN"/>
        </w:rPr>
        <w:t>松山区</w:t>
      </w:r>
      <w:r>
        <w:rPr>
          <w:color w:val="auto"/>
          <w:sz w:val="28"/>
          <w:szCs w:val="28"/>
        </w:rPr>
        <w:t>永久基本农田划定成果，结合矿区范围及土地利用现状，确定矿区范围内不涉及基本农田。</w:t>
      </w:r>
    </w:p>
    <w:p w14:paraId="38E21674">
      <w:pPr>
        <w:spacing w:line="360" w:lineRule="auto"/>
        <w:ind w:firstLine="562" w:firstLineChars="200"/>
        <w:outlineLvl w:val="2"/>
        <w:rPr>
          <w:rFonts w:hint="eastAsia" w:ascii="宋体" w:hAnsi="宋体" w:cs="宋体"/>
          <w:b/>
          <w:bCs/>
          <w:color w:val="auto"/>
          <w:sz w:val="28"/>
          <w:szCs w:val="28"/>
        </w:rPr>
      </w:pPr>
      <w:r>
        <w:rPr>
          <w:rFonts w:hint="eastAsia" w:ascii="宋体" w:hAnsi="宋体" w:cs="宋体"/>
          <w:b/>
          <w:bCs/>
          <w:color w:val="auto"/>
          <w:sz w:val="28"/>
          <w:szCs w:val="28"/>
        </w:rPr>
        <w:t>二、矿区采矿用地申请批准情况</w:t>
      </w:r>
    </w:p>
    <w:p w14:paraId="79B60819">
      <w:pPr>
        <w:pStyle w:val="69"/>
        <w:spacing w:line="360" w:lineRule="auto"/>
        <w:ind w:firstLine="560"/>
        <w:rPr>
          <w:rFonts w:eastAsia="宋体"/>
          <w:color w:val="auto"/>
          <w:szCs w:val="28"/>
        </w:rPr>
      </w:pPr>
      <w:r>
        <w:rPr>
          <w:rFonts w:hint="eastAsia" w:eastAsia="宋体" w:cs="Times New Roman"/>
          <w:color w:val="auto"/>
          <w:szCs w:val="28"/>
          <w:lang w:val="en-US" w:eastAsia="zh-CN"/>
        </w:rPr>
        <w:t>矿山至今未办理任何用地审批。本方案不涉及临时用地。</w:t>
      </w:r>
    </w:p>
    <w:p w14:paraId="5761A51C">
      <w:pPr>
        <w:pStyle w:val="3"/>
        <w:spacing w:before="120" w:beforeLines="50"/>
        <w:rPr>
          <w:color w:val="auto"/>
        </w:rPr>
      </w:pPr>
      <w:bookmarkStart w:id="46" w:name="_Toc24424"/>
      <w:r>
        <w:rPr>
          <w:rFonts w:hint="eastAsia"/>
          <w:color w:val="auto"/>
        </w:rPr>
        <w:t>第五节  矿区生态状况</w:t>
      </w:r>
      <w:bookmarkEnd w:id="46"/>
    </w:p>
    <w:p w14:paraId="58081117">
      <w:pPr>
        <w:spacing w:line="360" w:lineRule="auto"/>
        <w:ind w:firstLine="562" w:firstLineChars="200"/>
        <w:outlineLvl w:val="2"/>
        <w:rPr>
          <w:rFonts w:hint="eastAsia" w:ascii="宋体" w:hAnsi="宋体" w:cs="宋体"/>
          <w:color w:val="auto"/>
          <w:sz w:val="28"/>
          <w:szCs w:val="28"/>
        </w:rPr>
      </w:pPr>
      <w:r>
        <w:rPr>
          <w:rFonts w:hint="eastAsia" w:ascii="宋体" w:hAnsi="宋体" w:cs="宋体"/>
          <w:b/>
          <w:bCs/>
          <w:color w:val="auto"/>
          <w:sz w:val="28"/>
          <w:szCs w:val="28"/>
        </w:rPr>
        <w:t>一、生态功能定位</w:t>
      </w:r>
    </w:p>
    <w:p w14:paraId="48848B1A">
      <w:pPr>
        <w:adjustRightInd w:val="0"/>
        <w:snapToGrid w:val="0"/>
        <w:spacing w:line="360" w:lineRule="auto"/>
        <w:ind w:firstLine="560" w:firstLineChars="200"/>
        <w:rPr>
          <w:color w:val="auto"/>
          <w:sz w:val="28"/>
          <w:szCs w:val="28"/>
        </w:rPr>
      </w:pPr>
      <w:r>
        <w:rPr>
          <w:color w:val="auto"/>
          <w:sz w:val="28"/>
          <w:szCs w:val="28"/>
        </w:rPr>
        <w:t>1、矿区在全国生态功能区划中的定位</w:t>
      </w:r>
    </w:p>
    <w:p w14:paraId="1FD945EE">
      <w:pPr>
        <w:adjustRightInd w:val="0"/>
        <w:snapToGrid w:val="0"/>
        <w:spacing w:line="360" w:lineRule="auto"/>
        <w:ind w:firstLine="560" w:firstLineChars="200"/>
        <w:rPr>
          <w:color w:val="auto"/>
          <w:sz w:val="28"/>
          <w:szCs w:val="28"/>
        </w:rPr>
      </w:pPr>
      <w:r>
        <w:rPr>
          <w:color w:val="auto"/>
          <w:sz w:val="28"/>
          <w:szCs w:val="28"/>
        </w:rPr>
        <w:t>根据2015年11月环境保护部和中国科学院共同编制完成的《全国生态功能区划》，矿区位于全国生态功能区划中的“Ⅰ-01-05辽河源水源涵养功能区”。</w:t>
      </w:r>
    </w:p>
    <w:p w14:paraId="6D5C7AFF">
      <w:pPr>
        <w:adjustRightInd w:val="0"/>
        <w:snapToGrid w:val="0"/>
        <w:spacing w:line="360" w:lineRule="auto"/>
        <w:ind w:firstLine="560" w:firstLineChars="200"/>
        <w:rPr>
          <w:color w:val="auto"/>
          <w:sz w:val="28"/>
          <w:szCs w:val="28"/>
        </w:rPr>
      </w:pPr>
      <w:r>
        <w:rPr>
          <w:color w:val="auto"/>
          <w:sz w:val="28"/>
          <w:szCs w:val="28"/>
        </w:rPr>
        <w:t>该功能区位于辽河上游的老哈河和西拉木伦河上游，包含1个功能区：辽河源水源涵养功能区，行政区主要涉及内蒙古自治区的赤峰、辽宁省的朝阳、葫芦岛以及河北省的承德市，面积为51525km</w:t>
      </w:r>
      <w:r>
        <w:rPr>
          <w:color w:val="auto"/>
          <w:sz w:val="28"/>
          <w:szCs w:val="28"/>
          <w:vertAlign w:val="superscript"/>
        </w:rPr>
        <w:t>2</w:t>
      </w:r>
      <w:r>
        <w:rPr>
          <w:color w:val="auto"/>
          <w:sz w:val="28"/>
          <w:szCs w:val="28"/>
        </w:rPr>
        <w:t>。该区植被类型主要为暖温带落叶阔叶林，以蒙古栎和油松为代表，多以白桦、山杨、油松和栎的不同组合形成的呈片状形式分布，具有重要的涵养水源功能；其次在保持土壤和保护生物多样性方面也有重要作用。</w:t>
      </w:r>
    </w:p>
    <w:p w14:paraId="0FE78A0B">
      <w:pPr>
        <w:adjustRightInd w:val="0"/>
        <w:snapToGrid w:val="0"/>
        <w:spacing w:line="360" w:lineRule="auto"/>
        <w:ind w:firstLine="560" w:firstLineChars="200"/>
        <w:rPr>
          <w:color w:val="auto"/>
          <w:sz w:val="28"/>
          <w:szCs w:val="28"/>
        </w:rPr>
      </w:pPr>
      <w:r>
        <w:rPr>
          <w:color w:val="auto"/>
          <w:sz w:val="28"/>
          <w:szCs w:val="28"/>
        </w:rPr>
        <w:t>主要生态问题：森林生态系统退化严重，大部分为砍伐后形成的次生林和灌丛；水源涵养能力低，水土流失较严重。</w:t>
      </w:r>
    </w:p>
    <w:p w14:paraId="40A76FC9">
      <w:pPr>
        <w:adjustRightInd w:val="0"/>
        <w:snapToGrid w:val="0"/>
        <w:spacing w:line="360" w:lineRule="auto"/>
        <w:ind w:firstLine="560" w:firstLineChars="200"/>
        <w:rPr>
          <w:color w:val="auto"/>
          <w:sz w:val="28"/>
          <w:szCs w:val="28"/>
        </w:rPr>
      </w:pPr>
      <w:r>
        <w:rPr>
          <w:color w:val="auto"/>
          <w:sz w:val="28"/>
          <w:szCs w:val="28"/>
        </w:rPr>
        <w:t>生态保护主要措施：加强天然林保护和退化生态系统恢复重建的力度；严格草地管理，实施禁牧或限牧；严格控制新建水利工程项目；</w:t>
      </w:r>
      <w:r>
        <w:rPr>
          <w:rFonts w:hint="eastAsia"/>
          <w:color w:val="auto"/>
          <w:sz w:val="28"/>
          <w:szCs w:val="28"/>
          <w:lang w:eastAsia="zh-CN"/>
        </w:rPr>
        <w:t>加大</w:t>
      </w:r>
      <w:r>
        <w:rPr>
          <w:color w:val="auto"/>
          <w:sz w:val="28"/>
          <w:szCs w:val="28"/>
        </w:rPr>
        <w:t>矿产资源开发监管力度。</w:t>
      </w:r>
    </w:p>
    <w:p w14:paraId="727836CD">
      <w:pPr>
        <w:adjustRightInd w:val="0"/>
        <w:snapToGrid w:val="0"/>
        <w:spacing w:line="360" w:lineRule="auto"/>
        <w:ind w:firstLine="560" w:firstLineChars="200"/>
        <w:rPr>
          <w:color w:val="auto"/>
          <w:sz w:val="28"/>
          <w:szCs w:val="28"/>
        </w:rPr>
      </w:pPr>
      <w:r>
        <w:rPr>
          <w:color w:val="auto"/>
          <w:sz w:val="28"/>
          <w:szCs w:val="28"/>
        </w:rPr>
        <w:t>2、</w:t>
      </w:r>
      <w:r>
        <w:rPr>
          <w:rFonts w:hint="eastAsia"/>
          <w:color w:val="auto"/>
          <w:sz w:val="28"/>
          <w:szCs w:val="28"/>
        </w:rPr>
        <w:t>矿区</w:t>
      </w:r>
      <w:r>
        <w:rPr>
          <w:color w:val="auto"/>
          <w:sz w:val="28"/>
          <w:szCs w:val="28"/>
        </w:rPr>
        <w:t>在内蒙古自治区生态功能区划中的定位</w:t>
      </w:r>
    </w:p>
    <w:p w14:paraId="08DB4CF0">
      <w:pPr>
        <w:adjustRightInd w:val="0"/>
        <w:snapToGrid w:val="0"/>
        <w:spacing w:line="360" w:lineRule="auto"/>
        <w:ind w:firstLine="560" w:firstLineChars="200"/>
        <w:rPr>
          <w:color w:val="auto"/>
          <w:sz w:val="28"/>
          <w:szCs w:val="28"/>
        </w:rPr>
      </w:pPr>
      <w:r>
        <w:rPr>
          <w:color w:val="auto"/>
          <w:sz w:val="28"/>
          <w:szCs w:val="28"/>
        </w:rPr>
        <w:t>根据《内蒙古自治区生态功能区划报告》，</w:t>
      </w:r>
      <w:r>
        <w:rPr>
          <w:rFonts w:hint="eastAsia"/>
          <w:color w:val="auto"/>
          <w:sz w:val="28"/>
          <w:szCs w:val="28"/>
        </w:rPr>
        <w:t>矿</w:t>
      </w:r>
      <w:r>
        <w:rPr>
          <w:color w:val="auto"/>
          <w:sz w:val="28"/>
          <w:szCs w:val="28"/>
        </w:rPr>
        <w:t>区位于“XXX-2-6 西辽河南北黄土丘陵农田、草原水土保持功能区”。</w:t>
      </w:r>
    </w:p>
    <w:p w14:paraId="60234D68">
      <w:pPr>
        <w:adjustRightInd w:val="0"/>
        <w:snapToGrid w:val="0"/>
        <w:spacing w:line="360" w:lineRule="auto"/>
        <w:ind w:firstLine="560" w:firstLineChars="200"/>
        <w:rPr>
          <w:color w:val="auto"/>
          <w:sz w:val="28"/>
          <w:szCs w:val="28"/>
        </w:rPr>
      </w:pPr>
      <w:r>
        <w:rPr>
          <w:rFonts w:hint="eastAsia"/>
          <w:color w:val="auto"/>
          <w:sz w:val="28"/>
          <w:szCs w:val="28"/>
        </w:rPr>
        <w:t>3、矿区</w:t>
      </w:r>
      <w:r>
        <w:rPr>
          <w:color w:val="auto"/>
          <w:sz w:val="28"/>
          <w:szCs w:val="28"/>
        </w:rPr>
        <w:t>在赤峰市生态环境功能区划中的定位</w:t>
      </w:r>
    </w:p>
    <w:p w14:paraId="455D6DCA">
      <w:pPr>
        <w:adjustRightInd w:val="0"/>
        <w:snapToGrid w:val="0"/>
        <w:spacing w:line="360" w:lineRule="auto"/>
        <w:ind w:firstLine="560" w:firstLineChars="200"/>
        <w:rPr>
          <w:color w:val="auto"/>
          <w:sz w:val="28"/>
          <w:szCs w:val="28"/>
        </w:rPr>
      </w:pPr>
      <w:r>
        <w:rPr>
          <w:color w:val="auto"/>
          <w:sz w:val="28"/>
          <w:szCs w:val="28"/>
        </w:rPr>
        <w:t>根据《赤峰市生态环境功能区划报告》，矿区生态功能定位为西辽河南部黄土丘陵亚区典型草原水土保持生态功能恢复重建区，主导服务功能为水土保持。</w:t>
      </w:r>
    </w:p>
    <w:p w14:paraId="2C49C483">
      <w:pPr>
        <w:adjustRightInd w:val="0"/>
        <w:snapToGrid w:val="0"/>
        <w:spacing w:line="360" w:lineRule="auto"/>
        <w:ind w:firstLine="560" w:firstLineChars="200"/>
        <w:rPr>
          <w:color w:val="auto"/>
          <w:sz w:val="28"/>
          <w:szCs w:val="28"/>
        </w:rPr>
      </w:pPr>
      <w:r>
        <w:rPr>
          <w:rFonts w:hint="eastAsia"/>
          <w:color w:val="auto"/>
          <w:sz w:val="28"/>
          <w:szCs w:val="28"/>
        </w:rPr>
        <w:t>4、矿区在</w:t>
      </w:r>
      <w:r>
        <w:rPr>
          <w:color w:val="auto"/>
          <w:sz w:val="28"/>
          <w:szCs w:val="28"/>
        </w:rPr>
        <w:t>赤峰市国土空间生态修规划</w:t>
      </w:r>
      <w:r>
        <w:rPr>
          <w:rFonts w:hint="eastAsia"/>
          <w:color w:val="auto"/>
          <w:sz w:val="28"/>
          <w:szCs w:val="28"/>
        </w:rPr>
        <w:t>中的要求</w:t>
      </w:r>
    </w:p>
    <w:p w14:paraId="25049F2C">
      <w:pPr>
        <w:adjustRightInd w:val="0"/>
        <w:snapToGrid w:val="0"/>
        <w:spacing w:line="360" w:lineRule="auto"/>
        <w:ind w:firstLine="560" w:firstLineChars="200"/>
        <w:rPr>
          <w:color w:val="auto"/>
          <w:sz w:val="28"/>
          <w:szCs w:val="28"/>
        </w:rPr>
      </w:pPr>
      <w:r>
        <w:rPr>
          <w:color w:val="auto"/>
          <w:sz w:val="28"/>
          <w:szCs w:val="28"/>
        </w:rPr>
        <w:t>根据《赤峰市国土空间生态</w:t>
      </w:r>
      <w:r>
        <w:rPr>
          <w:rFonts w:hint="eastAsia"/>
          <w:color w:val="auto"/>
          <w:sz w:val="28"/>
          <w:szCs w:val="28"/>
        </w:rPr>
        <w:t>修复</w:t>
      </w:r>
      <w:r>
        <w:rPr>
          <w:color w:val="auto"/>
          <w:sz w:val="28"/>
          <w:szCs w:val="28"/>
        </w:rPr>
        <w:t>规划（2021-2035）》，全市划分9个生态修复整治区，矿区所在区域的定位为：环中心城区水土保持坡耕地水土流失修复区。</w:t>
      </w:r>
    </w:p>
    <w:p w14:paraId="3D5B1CB2">
      <w:pPr>
        <w:adjustRightInd w:val="0"/>
        <w:snapToGrid w:val="0"/>
        <w:spacing w:line="360" w:lineRule="auto"/>
        <w:ind w:firstLine="560" w:firstLineChars="200"/>
        <w:rPr>
          <w:rFonts w:hint="eastAsia" w:ascii="宋体" w:hAnsi="宋体" w:cs="宋体"/>
          <w:color w:val="auto"/>
          <w:sz w:val="28"/>
          <w:szCs w:val="28"/>
        </w:rPr>
      </w:pPr>
      <w:r>
        <w:rPr>
          <w:color w:val="auto"/>
          <w:sz w:val="28"/>
          <w:szCs w:val="28"/>
        </w:rPr>
        <w:t>发展方向要求：提升水源涵养、土壤保持、高标准农田建设、水质提升等生态系统服务功能为主要生态保育修复目标，以自然恢复为主、辅助修复为辅的修复策略。</w:t>
      </w:r>
    </w:p>
    <w:p w14:paraId="6B68BDF7">
      <w:pPr>
        <w:spacing w:line="360" w:lineRule="auto"/>
        <w:ind w:firstLine="562" w:firstLineChars="200"/>
        <w:outlineLvl w:val="2"/>
        <w:rPr>
          <w:color w:val="auto"/>
          <w:sz w:val="28"/>
          <w:szCs w:val="28"/>
        </w:rPr>
      </w:pPr>
      <w:r>
        <w:rPr>
          <w:rFonts w:hint="eastAsia"/>
          <w:b/>
          <w:bCs/>
          <w:color w:val="auto"/>
          <w:sz w:val="28"/>
          <w:szCs w:val="28"/>
        </w:rPr>
        <w:t>二、</w:t>
      </w:r>
      <w:r>
        <w:rPr>
          <w:b/>
          <w:bCs/>
          <w:color w:val="auto"/>
          <w:sz w:val="28"/>
          <w:szCs w:val="28"/>
        </w:rPr>
        <w:t>生态本底状况</w:t>
      </w:r>
    </w:p>
    <w:p w14:paraId="2C4C9CC0">
      <w:pPr>
        <w:adjustRightInd w:val="0"/>
        <w:snapToGrid w:val="0"/>
        <w:spacing w:line="360" w:lineRule="auto"/>
        <w:ind w:firstLine="560" w:firstLineChars="200"/>
        <w:rPr>
          <w:color w:val="auto"/>
          <w:sz w:val="28"/>
          <w:szCs w:val="28"/>
        </w:rPr>
      </w:pPr>
      <w:r>
        <w:rPr>
          <w:color w:val="auto"/>
          <w:sz w:val="28"/>
          <w:szCs w:val="28"/>
        </w:rPr>
        <w:t>1、生态系统类型</w:t>
      </w:r>
    </w:p>
    <w:p w14:paraId="23DAFB65">
      <w:pPr>
        <w:adjustRightInd w:val="0"/>
        <w:snapToGrid w:val="0"/>
        <w:spacing w:line="360" w:lineRule="auto"/>
        <w:ind w:firstLine="560" w:firstLineChars="200"/>
        <w:rPr>
          <w:color w:val="auto"/>
          <w:sz w:val="28"/>
          <w:szCs w:val="28"/>
        </w:rPr>
      </w:pPr>
      <w:r>
        <w:rPr>
          <w:rFonts w:hint="eastAsia"/>
          <w:color w:val="auto"/>
          <w:sz w:val="28"/>
          <w:szCs w:val="28"/>
          <w:lang w:val="en-US" w:eastAsia="zh-CN"/>
        </w:rPr>
        <w:t>矿</w:t>
      </w:r>
      <w:r>
        <w:rPr>
          <w:color w:val="auto"/>
          <w:sz w:val="28"/>
          <w:szCs w:val="28"/>
        </w:rPr>
        <w:t>区的生态系统类型</w:t>
      </w:r>
      <w:r>
        <w:rPr>
          <w:rFonts w:hint="eastAsia"/>
          <w:color w:val="auto"/>
          <w:sz w:val="28"/>
          <w:szCs w:val="28"/>
          <w:lang w:eastAsia="zh-CN"/>
        </w:rPr>
        <w:t>以草原生态系统为主</w:t>
      </w:r>
      <w:r>
        <w:rPr>
          <w:color w:val="auto"/>
          <w:sz w:val="28"/>
          <w:szCs w:val="28"/>
        </w:rPr>
        <w:t>，景观格局主要由草地、林地、人工建筑用地</w:t>
      </w:r>
      <w:r>
        <w:rPr>
          <w:rFonts w:hint="eastAsia"/>
          <w:color w:val="auto"/>
          <w:sz w:val="28"/>
          <w:szCs w:val="28"/>
          <w:lang w:eastAsia="zh-CN"/>
        </w:rPr>
        <w:t>（</w:t>
      </w:r>
      <w:r>
        <w:rPr>
          <w:color w:val="auto"/>
          <w:sz w:val="28"/>
          <w:szCs w:val="28"/>
        </w:rPr>
        <w:t>农村居民点、工矿用地及旱地</w:t>
      </w:r>
      <w:r>
        <w:rPr>
          <w:rFonts w:hint="eastAsia"/>
          <w:color w:val="auto"/>
          <w:sz w:val="28"/>
          <w:szCs w:val="28"/>
          <w:lang w:eastAsia="zh-CN"/>
        </w:rPr>
        <w:t>）</w:t>
      </w:r>
      <w:r>
        <w:rPr>
          <w:color w:val="auto"/>
          <w:sz w:val="28"/>
          <w:szCs w:val="28"/>
        </w:rPr>
        <w:t>组成。生态环境敏感性表现在土壤侵蚀为中度敏感。生态环境保护目标为保护现有的植被，防止水土流失、风蚀沙化及沙丘活化，恢复生态系统固有的防风固沙和水土保持功能是本区的主要任务。生态环境敏感性综合评价水蚀、生境高度敏感，风蚀中度敏感，盐渍化不敏感。</w:t>
      </w:r>
    </w:p>
    <w:p w14:paraId="0A41CCF6">
      <w:pPr>
        <w:adjustRightInd w:val="0"/>
        <w:snapToGrid w:val="0"/>
        <w:spacing w:line="360" w:lineRule="auto"/>
        <w:ind w:firstLine="560" w:firstLineChars="200"/>
        <w:rPr>
          <w:color w:val="auto"/>
          <w:sz w:val="28"/>
          <w:szCs w:val="28"/>
        </w:rPr>
      </w:pPr>
      <w:r>
        <w:rPr>
          <w:color w:val="auto"/>
          <w:sz w:val="28"/>
          <w:szCs w:val="28"/>
        </w:rPr>
        <w:t>2、景观生态环境现状</w:t>
      </w:r>
    </w:p>
    <w:p w14:paraId="1960BD08">
      <w:pPr>
        <w:adjustRightInd w:val="0"/>
        <w:snapToGrid w:val="0"/>
        <w:spacing w:line="360" w:lineRule="auto"/>
        <w:ind w:firstLine="560" w:firstLineChars="200"/>
        <w:rPr>
          <w:color w:val="auto"/>
          <w:sz w:val="28"/>
          <w:szCs w:val="28"/>
        </w:rPr>
      </w:pPr>
      <w:r>
        <w:rPr>
          <w:color w:val="auto"/>
          <w:sz w:val="28"/>
          <w:szCs w:val="28"/>
        </w:rPr>
        <w:t>矿区地处山地草原和丘陵地带，主要有山地草原景观、山地灌丛景观、山地疏林景观等几类景观，其中以草原景观为主。草原景观广泛分布于山坡阴坡、阳坡和山脊地带；灌丛主要分布于阴坡或沟谷一带，分布面积不大，以</w:t>
      </w:r>
      <w:r>
        <w:rPr>
          <w:rFonts w:hint="eastAsia"/>
          <w:color w:val="auto"/>
          <w:sz w:val="28"/>
          <w:szCs w:val="28"/>
          <w:lang w:val="en-US" w:eastAsia="zh-CN"/>
        </w:rPr>
        <w:t>虎榛子</w:t>
      </w:r>
      <w:r>
        <w:rPr>
          <w:color w:val="auto"/>
          <w:sz w:val="28"/>
          <w:szCs w:val="28"/>
        </w:rPr>
        <w:t>灌丛为主；疏林景观分布很小，主要分布</w:t>
      </w:r>
      <w:r>
        <w:rPr>
          <w:rFonts w:hint="eastAsia"/>
          <w:color w:val="auto"/>
          <w:sz w:val="28"/>
          <w:szCs w:val="28"/>
          <w:lang w:val="en-US" w:eastAsia="zh-CN"/>
        </w:rPr>
        <w:t>于</w:t>
      </w:r>
      <w:r>
        <w:rPr>
          <w:color w:val="auto"/>
          <w:sz w:val="28"/>
          <w:szCs w:val="28"/>
        </w:rPr>
        <w:t>沟谷的阴坡一带，以榆树</w:t>
      </w:r>
      <w:r>
        <w:rPr>
          <w:rFonts w:hint="eastAsia"/>
          <w:color w:val="auto"/>
          <w:sz w:val="28"/>
          <w:szCs w:val="28"/>
          <w:lang w:eastAsia="zh-CN"/>
        </w:rPr>
        <w:t>、</w:t>
      </w:r>
      <w:r>
        <w:rPr>
          <w:rFonts w:hint="eastAsia"/>
          <w:color w:val="auto"/>
          <w:sz w:val="28"/>
          <w:szCs w:val="28"/>
          <w:lang w:val="en-US" w:eastAsia="zh-CN"/>
        </w:rPr>
        <w:t>杨树</w:t>
      </w:r>
      <w:r>
        <w:rPr>
          <w:color w:val="auto"/>
          <w:sz w:val="28"/>
          <w:szCs w:val="28"/>
        </w:rPr>
        <w:t>为主。</w:t>
      </w:r>
    </w:p>
    <w:p w14:paraId="2F409035">
      <w:pPr>
        <w:adjustRightInd w:val="0"/>
        <w:snapToGrid w:val="0"/>
        <w:spacing w:line="360" w:lineRule="auto"/>
        <w:ind w:firstLine="560" w:firstLineChars="200"/>
        <w:rPr>
          <w:color w:val="auto"/>
          <w:sz w:val="28"/>
          <w:szCs w:val="28"/>
        </w:rPr>
      </w:pPr>
      <w:r>
        <w:rPr>
          <w:color w:val="auto"/>
          <w:sz w:val="28"/>
          <w:szCs w:val="28"/>
        </w:rPr>
        <w:t>3、</w:t>
      </w:r>
      <w:r>
        <w:rPr>
          <w:rFonts w:hint="eastAsia"/>
          <w:color w:val="auto"/>
          <w:sz w:val="28"/>
          <w:szCs w:val="28"/>
        </w:rPr>
        <w:t>植被</w:t>
      </w:r>
      <w:r>
        <w:rPr>
          <w:color w:val="auto"/>
          <w:sz w:val="28"/>
          <w:szCs w:val="28"/>
        </w:rPr>
        <w:t>现状</w:t>
      </w:r>
    </w:p>
    <w:p w14:paraId="5AE912D9">
      <w:pPr>
        <w:adjustRightInd w:val="0"/>
        <w:snapToGrid w:val="0"/>
        <w:spacing w:line="360" w:lineRule="auto"/>
        <w:ind w:firstLine="560" w:firstLineChars="200"/>
        <w:rPr>
          <w:color w:val="auto"/>
          <w:sz w:val="28"/>
          <w:szCs w:val="28"/>
        </w:rPr>
      </w:pPr>
      <w:r>
        <w:rPr>
          <w:rFonts w:hint="eastAsia"/>
          <w:color w:val="auto"/>
          <w:sz w:val="28"/>
          <w:szCs w:val="28"/>
        </w:rPr>
        <w:t>（1）植物资源现状</w:t>
      </w:r>
    </w:p>
    <w:p w14:paraId="1D51D8F6">
      <w:pPr>
        <w:adjustRightInd w:val="0"/>
        <w:snapToGrid w:val="0"/>
        <w:spacing w:line="360" w:lineRule="auto"/>
        <w:ind w:firstLine="560" w:firstLineChars="200"/>
        <w:rPr>
          <w:rFonts w:hint="eastAsia"/>
          <w:color w:val="auto"/>
          <w:sz w:val="28"/>
          <w:szCs w:val="28"/>
          <w:lang w:val="en-US" w:eastAsia="zh-CN"/>
        </w:rPr>
      </w:pPr>
      <w:r>
        <w:rPr>
          <w:rFonts w:hint="eastAsia"/>
          <w:color w:val="auto"/>
          <w:sz w:val="28"/>
          <w:szCs w:val="28"/>
          <w:lang w:val="en-US" w:eastAsia="zh-CN"/>
        </w:rPr>
        <w:t>该区域植被类型主要为干草原，主要建群植物为禾本科的大针茅、糙隐子草；豆科植物有达乌里胡枝子、干草；灌木有山杏、小叶锦鸡儿、黄柳，主要伴生的杂草类有狗尾草、虎尾草、赖草、叉分蓼、猪毛菜和冠芒草等。灌丛高 40cm 左右，草高 20cm 左右，盖度为20～40％。项目区周围尚未发现国家或地方级保护的珍稀植物，植物名录见表2-10，分布情况见表2-11。</w:t>
      </w:r>
    </w:p>
    <w:p w14:paraId="581644E6">
      <w:pPr>
        <w:adjustRightInd w:val="0"/>
        <w:snapToGrid w:val="0"/>
        <w:spacing w:line="240" w:lineRule="auto"/>
        <w:jc w:val="center"/>
        <w:rPr>
          <w:rFonts w:hint="eastAsia"/>
          <w:color w:val="auto"/>
          <w:sz w:val="28"/>
          <w:szCs w:val="28"/>
          <w:lang w:val="en-US" w:eastAsia="zh-CN"/>
        </w:rPr>
      </w:pPr>
      <w:r>
        <w:rPr>
          <w:rFonts w:ascii="黑体" w:hAnsi="黑体" w:eastAsia="黑体" w:cs="宋体"/>
          <w:color w:val="auto"/>
          <w:sz w:val="24"/>
          <w:szCs w:val="24"/>
        </w:rPr>
        <w:t>表2-1</w:t>
      </w:r>
      <w:r>
        <w:rPr>
          <w:rFonts w:hint="eastAsia" w:ascii="黑体" w:hAnsi="黑体" w:eastAsia="黑体" w:cs="宋体"/>
          <w:color w:val="auto"/>
          <w:sz w:val="24"/>
          <w:szCs w:val="24"/>
          <w:lang w:val="en-US" w:eastAsia="zh-CN"/>
        </w:rPr>
        <w:t>0</w:t>
      </w:r>
      <w:r>
        <w:rPr>
          <w:rFonts w:ascii="黑体" w:hAnsi="黑体" w:eastAsia="黑体" w:cs="宋体"/>
          <w:color w:val="auto"/>
          <w:sz w:val="24"/>
          <w:szCs w:val="24"/>
        </w:rPr>
        <w:t xml:space="preserve">  矿区植物名录</w:t>
      </w:r>
    </w:p>
    <w:p w14:paraId="18DBB6D9">
      <w:pPr>
        <w:jc w:val="center"/>
        <w:rPr>
          <w:rFonts w:ascii="黑体" w:hAnsi="黑体" w:eastAsia="黑体" w:cs="宋体"/>
          <w:color w:val="auto"/>
          <w:sz w:val="24"/>
          <w:szCs w:val="24"/>
        </w:rPr>
      </w:pPr>
    </w:p>
    <w:p w14:paraId="04CA49DB">
      <w:pPr>
        <w:jc w:val="center"/>
        <w:rPr>
          <w:rFonts w:ascii="黑体" w:hAnsi="黑体" w:eastAsia="黑体" w:cs="宋体"/>
          <w:color w:val="auto"/>
          <w:sz w:val="24"/>
          <w:szCs w:val="24"/>
        </w:rPr>
      </w:pPr>
    </w:p>
    <w:p w14:paraId="3B6CE690">
      <w:pPr>
        <w:jc w:val="center"/>
        <w:rPr>
          <w:rFonts w:ascii="黑体" w:hAnsi="黑体" w:eastAsia="黑体" w:cs="宋体"/>
          <w:color w:val="auto"/>
          <w:sz w:val="24"/>
          <w:szCs w:val="24"/>
        </w:rPr>
      </w:pPr>
    </w:p>
    <w:p w14:paraId="3D542789">
      <w:pPr>
        <w:jc w:val="center"/>
        <w:rPr>
          <w:color w:val="auto"/>
          <w:sz w:val="24"/>
          <w:szCs w:val="24"/>
        </w:rPr>
      </w:pPr>
      <w:r>
        <w:rPr>
          <w:rFonts w:ascii="黑体" w:hAnsi="黑体" w:eastAsia="黑体" w:cs="宋体"/>
          <w:color w:val="auto"/>
          <w:sz w:val="24"/>
          <w:szCs w:val="24"/>
        </w:rPr>
        <w:t>表2-1</w:t>
      </w:r>
      <w:r>
        <w:rPr>
          <w:rFonts w:hint="eastAsia" w:ascii="黑体" w:hAnsi="黑体" w:eastAsia="黑体" w:cs="宋体"/>
          <w:color w:val="auto"/>
          <w:sz w:val="24"/>
          <w:szCs w:val="24"/>
          <w:lang w:val="en-US" w:eastAsia="zh-CN"/>
        </w:rPr>
        <w:t>1</w:t>
      </w:r>
      <w:r>
        <w:rPr>
          <w:rFonts w:ascii="黑体" w:hAnsi="黑体" w:eastAsia="黑体" w:cs="宋体"/>
          <w:color w:val="auto"/>
          <w:sz w:val="24"/>
          <w:szCs w:val="24"/>
        </w:rPr>
        <w:t xml:space="preserve">  </w:t>
      </w:r>
      <w:r>
        <w:rPr>
          <w:b/>
          <w:bCs/>
          <w:color w:val="auto"/>
          <w:spacing w:val="-3"/>
          <w:sz w:val="24"/>
          <w:szCs w:val="24"/>
        </w:rPr>
        <w:t>植被现状分布汇总表</w:t>
      </w:r>
    </w:p>
    <w:p w14:paraId="40C563DB">
      <w:pPr>
        <w:adjustRightInd w:val="0"/>
        <w:snapToGrid w:val="0"/>
        <w:spacing w:line="360" w:lineRule="auto"/>
        <w:ind w:firstLine="560" w:firstLineChars="200"/>
        <w:rPr>
          <w:color w:val="auto"/>
          <w:sz w:val="28"/>
          <w:szCs w:val="28"/>
        </w:rPr>
      </w:pPr>
      <w:r>
        <w:rPr>
          <w:rFonts w:hint="eastAsia"/>
          <w:color w:val="auto"/>
          <w:sz w:val="28"/>
          <w:szCs w:val="28"/>
        </w:rPr>
        <w:t>（3）植被覆盖度</w:t>
      </w:r>
    </w:p>
    <w:p w14:paraId="6F949043">
      <w:pPr>
        <w:spacing w:line="360" w:lineRule="auto"/>
        <w:ind w:firstLine="548" w:firstLineChars="200"/>
        <w:rPr>
          <w:rFonts w:hint="eastAsia" w:ascii="宋体" w:hAnsi="宋体" w:cs="宋体"/>
          <w:color w:val="auto"/>
          <w:spacing w:val="-3"/>
          <w:sz w:val="28"/>
          <w:szCs w:val="28"/>
        </w:rPr>
      </w:pPr>
      <w:r>
        <w:rPr>
          <w:rFonts w:hint="eastAsia" w:ascii="宋体" w:hAnsi="宋体" w:cs="宋体"/>
          <w:color w:val="auto"/>
          <w:spacing w:val="-3"/>
          <w:sz w:val="28"/>
          <w:szCs w:val="28"/>
        </w:rPr>
        <w:t>植被覆盖度可用于定量分析评价范围内的植被现状。</w:t>
      </w:r>
    </w:p>
    <w:p w14:paraId="316F5406">
      <w:pPr>
        <w:spacing w:line="360" w:lineRule="auto"/>
        <w:ind w:firstLine="548" w:firstLineChars="200"/>
        <w:rPr>
          <w:rFonts w:hint="eastAsia" w:ascii="宋体" w:hAnsi="宋体" w:cs="宋体"/>
          <w:color w:val="auto"/>
          <w:spacing w:val="-3"/>
          <w:sz w:val="28"/>
          <w:szCs w:val="28"/>
        </w:rPr>
      </w:pPr>
      <w:r>
        <w:rPr>
          <w:rFonts w:hint="eastAsia" w:ascii="宋体" w:hAnsi="宋体" w:cs="宋体"/>
          <w:color w:val="auto"/>
          <w:spacing w:val="-3"/>
          <w:sz w:val="28"/>
          <w:szCs w:val="28"/>
        </w:rPr>
        <w:t>基于遥感估算植被覆盖度可根据区域特点和数据基础采用不同的方法，本报告采用植被指数法估算植被覆盖度。</w:t>
      </w:r>
    </w:p>
    <w:p w14:paraId="3193A97F">
      <w:pPr>
        <w:adjustRightInd w:val="0"/>
        <w:snapToGrid w:val="0"/>
        <w:spacing w:line="360" w:lineRule="auto"/>
        <w:ind w:firstLine="548" w:firstLineChars="200"/>
        <w:rPr>
          <w:rFonts w:hint="eastAsia" w:ascii="宋体" w:hAnsi="宋体" w:cs="宋体"/>
          <w:color w:val="auto"/>
          <w:spacing w:val="-3"/>
          <w:sz w:val="28"/>
          <w:szCs w:val="28"/>
          <w:lang w:val="en-US" w:eastAsia="zh-CN"/>
        </w:rPr>
      </w:pPr>
      <w:r>
        <w:rPr>
          <w:rFonts w:ascii="宋体" w:hAnsi="宋体" w:cs="宋体"/>
          <w:color w:val="auto"/>
          <w:spacing w:val="-3"/>
          <w:sz w:val="28"/>
          <w:szCs w:val="28"/>
        </w:rPr>
        <w:t>植被指数法主要是通过对各像元中植被类型及分布特征的分析</w:t>
      </w:r>
      <w:r>
        <w:rPr>
          <w:rFonts w:ascii="宋体" w:hAnsi="宋体" w:cs="宋体"/>
          <w:color w:val="auto"/>
          <w:spacing w:val="-4"/>
          <w:sz w:val="28"/>
          <w:szCs w:val="28"/>
        </w:rPr>
        <w:t>，建立植被指</w:t>
      </w:r>
      <w:r>
        <w:rPr>
          <w:rFonts w:ascii="宋体" w:hAnsi="宋体" w:cs="宋体"/>
          <w:color w:val="auto"/>
          <w:spacing w:val="2"/>
          <w:sz w:val="28"/>
          <w:szCs w:val="28"/>
        </w:rPr>
        <w:t>数与植被覆盖度的转换关系。采用归一化植被指数（</w:t>
      </w:r>
      <w:r>
        <w:rPr>
          <w:rFonts w:eastAsia="Times New Roman"/>
          <w:i/>
          <w:iCs/>
          <w:color w:val="auto"/>
          <w:sz w:val="28"/>
          <w:szCs w:val="28"/>
        </w:rPr>
        <w:t>NDVI</w:t>
      </w:r>
      <w:r>
        <w:rPr>
          <w:rFonts w:ascii="宋体" w:hAnsi="宋体" w:cs="宋体"/>
          <w:color w:val="auto"/>
          <w:spacing w:val="1"/>
          <w:sz w:val="28"/>
          <w:szCs w:val="28"/>
        </w:rPr>
        <w:t>）估算植被覆盖度的</w:t>
      </w:r>
      <w:r>
        <w:rPr>
          <w:rFonts w:ascii="宋体" w:hAnsi="宋体" w:cs="宋体"/>
          <w:color w:val="auto"/>
          <w:spacing w:val="-3"/>
          <w:sz w:val="28"/>
          <w:szCs w:val="28"/>
        </w:rPr>
        <w:t>方法如下：</w:t>
      </w:r>
      <w:r>
        <w:rPr>
          <w:rFonts w:hint="eastAsia" w:ascii="宋体" w:hAnsi="宋体" w:cs="宋体"/>
          <w:color w:val="auto"/>
          <w:spacing w:val="-3"/>
          <w:sz w:val="28"/>
          <w:szCs w:val="28"/>
          <w:lang w:val="en-US" w:eastAsia="zh-CN"/>
        </w:rPr>
        <w:t xml:space="preserve">     </w:t>
      </w:r>
    </w:p>
    <w:p w14:paraId="16F7436C">
      <w:pPr>
        <w:adjustRightInd w:val="0"/>
        <w:snapToGrid w:val="0"/>
        <w:spacing w:line="360" w:lineRule="auto"/>
        <w:ind w:firstLine="548" w:firstLineChars="200"/>
        <w:rPr>
          <w:rFonts w:hint="eastAsia" w:ascii="宋体" w:hAnsi="宋体" w:eastAsia="宋体" w:cs="宋体"/>
          <w:color w:val="auto"/>
          <w:sz w:val="28"/>
          <w:szCs w:val="28"/>
          <w:lang w:eastAsia="zh-CN"/>
        </w:rPr>
      </w:pPr>
      <w:r>
        <w:rPr>
          <w:rFonts w:hint="eastAsia" w:ascii="宋体" w:hAnsi="宋体" w:cs="宋体"/>
          <w:color w:val="auto"/>
          <w:spacing w:val="-3"/>
          <w:sz w:val="28"/>
          <w:szCs w:val="28"/>
          <w:lang w:val="en-US" w:eastAsia="zh-CN"/>
        </w:rPr>
        <w:t xml:space="preserve">                  </w:t>
      </w:r>
      <w:r>
        <w:rPr>
          <w:rFonts w:hint="eastAsia"/>
          <w:color w:val="auto"/>
          <w:position w:val="-10"/>
          <w:lang w:eastAsia="zh-CN"/>
        </w:rPr>
        <w:t xml:space="preserve">    </w:t>
      </w:r>
    </w:p>
    <w:p w14:paraId="51B856AC">
      <w:pPr>
        <w:spacing w:before="244" w:line="240" w:lineRule="auto"/>
        <w:ind w:left="606"/>
        <w:rPr>
          <w:rFonts w:hint="eastAsia" w:ascii="宋体" w:hAnsi="宋体" w:cs="宋体"/>
          <w:color w:val="auto"/>
          <w:sz w:val="28"/>
          <w:szCs w:val="28"/>
        </w:rPr>
      </w:pPr>
      <w:r>
        <w:rPr>
          <w:rFonts w:ascii="宋体" w:hAnsi="宋体" w:cs="宋体"/>
          <w:color w:val="auto"/>
          <w:spacing w:val="-1"/>
          <w:sz w:val="28"/>
          <w:szCs w:val="28"/>
        </w:rPr>
        <w:t>式中：</w:t>
      </w:r>
      <w:r>
        <w:rPr>
          <w:rFonts w:eastAsia="Times New Roman"/>
          <w:i/>
          <w:iCs/>
          <w:color w:val="auto"/>
          <w:spacing w:val="-1"/>
          <w:sz w:val="28"/>
          <w:szCs w:val="28"/>
        </w:rPr>
        <w:t xml:space="preserve">FVC </w:t>
      </w:r>
      <w:r>
        <w:rPr>
          <w:rFonts w:ascii="宋体" w:hAnsi="宋体" w:cs="宋体"/>
          <w:color w:val="auto"/>
          <w:spacing w:val="-1"/>
          <w:sz w:val="28"/>
          <w:szCs w:val="28"/>
        </w:rPr>
        <w:t>为所计算像元的植被覆盖度；</w:t>
      </w:r>
    </w:p>
    <w:p w14:paraId="27E1F614">
      <w:pPr>
        <w:spacing w:before="214" w:line="240" w:lineRule="auto"/>
        <w:ind w:left="586"/>
        <w:rPr>
          <w:rFonts w:hint="eastAsia" w:ascii="宋体" w:hAnsi="宋体" w:cs="宋体"/>
          <w:color w:val="auto"/>
          <w:sz w:val="28"/>
          <w:szCs w:val="28"/>
        </w:rPr>
      </w:pPr>
      <w:r>
        <w:rPr>
          <w:rFonts w:eastAsia="Times New Roman"/>
          <w:i/>
          <w:iCs/>
          <w:color w:val="auto"/>
          <w:sz w:val="28"/>
          <w:szCs w:val="28"/>
        </w:rPr>
        <w:t>NDVI</w:t>
      </w:r>
      <w:r>
        <w:rPr>
          <w:rFonts w:eastAsia="Times New Roman"/>
          <w:i/>
          <w:iCs/>
          <w:color w:val="auto"/>
          <w:spacing w:val="1"/>
          <w:sz w:val="28"/>
          <w:szCs w:val="28"/>
        </w:rPr>
        <w:t xml:space="preserve"> </w:t>
      </w:r>
      <w:r>
        <w:rPr>
          <w:rFonts w:ascii="宋体" w:hAnsi="宋体" w:cs="宋体"/>
          <w:color w:val="auto"/>
          <w:spacing w:val="1"/>
          <w:sz w:val="28"/>
          <w:szCs w:val="28"/>
        </w:rPr>
        <w:t>为所计算像元的</w:t>
      </w:r>
      <w:r>
        <w:rPr>
          <w:rFonts w:ascii="宋体" w:hAnsi="宋体" w:cs="宋体"/>
          <w:color w:val="auto"/>
          <w:spacing w:val="-67"/>
          <w:sz w:val="28"/>
          <w:szCs w:val="28"/>
        </w:rPr>
        <w:t xml:space="preserve"> </w:t>
      </w:r>
      <w:r>
        <w:rPr>
          <w:rFonts w:eastAsia="Times New Roman"/>
          <w:i/>
          <w:iCs/>
          <w:color w:val="auto"/>
          <w:sz w:val="28"/>
          <w:szCs w:val="28"/>
        </w:rPr>
        <w:t>NDVI</w:t>
      </w:r>
      <w:r>
        <w:rPr>
          <w:rFonts w:eastAsia="Times New Roman"/>
          <w:i/>
          <w:iCs/>
          <w:color w:val="auto"/>
          <w:spacing w:val="1"/>
          <w:sz w:val="28"/>
          <w:szCs w:val="28"/>
        </w:rPr>
        <w:t xml:space="preserve"> </w:t>
      </w:r>
      <w:r>
        <w:rPr>
          <w:rFonts w:ascii="宋体" w:hAnsi="宋体" w:cs="宋体"/>
          <w:color w:val="auto"/>
          <w:spacing w:val="1"/>
          <w:sz w:val="28"/>
          <w:szCs w:val="28"/>
        </w:rPr>
        <w:t>值；</w:t>
      </w:r>
    </w:p>
    <w:p w14:paraId="22AA1ED4">
      <w:pPr>
        <w:spacing w:before="215" w:line="240" w:lineRule="auto"/>
        <w:ind w:left="586"/>
        <w:rPr>
          <w:rFonts w:hint="eastAsia" w:ascii="宋体" w:hAnsi="宋体" w:cs="宋体"/>
          <w:color w:val="auto"/>
          <w:sz w:val="28"/>
          <w:szCs w:val="28"/>
        </w:rPr>
      </w:pPr>
      <w:r>
        <w:rPr>
          <w:rFonts w:eastAsia="Times New Roman"/>
          <w:i/>
          <w:iCs/>
          <w:color w:val="auto"/>
          <w:sz w:val="28"/>
          <w:szCs w:val="28"/>
        </w:rPr>
        <w:t>NDVIv</w:t>
      </w:r>
      <w:r>
        <w:rPr>
          <w:rFonts w:eastAsia="Times New Roman"/>
          <w:i/>
          <w:iCs/>
          <w:color w:val="auto"/>
          <w:spacing w:val="1"/>
          <w:sz w:val="28"/>
          <w:szCs w:val="28"/>
        </w:rPr>
        <w:t xml:space="preserve"> </w:t>
      </w:r>
      <w:r>
        <w:rPr>
          <w:rFonts w:ascii="宋体" w:hAnsi="宋体" w:cs="宋体"/>
          <w:color w:val="auto"/>
          <w:spacing w:val="1"/>
          <w:sz w:val="28"/>
          <w:szCs w:val="28"/>
        </w:rPr>
        <w:t>为纯植物像元的</w:t>
      </w:r>
      <w:r>
        <w:rPr>
          <w:rFonts w:ascii="宋体" w:hAnsi="宋体" w:cs="宋体"/>
          <w:color w:val="auto"/>
          <w:spacing w:val="-66"/>
          <w:sz w:val="28"/>
          <w:szCs w:val="28"/>
        </w:rPr>
        <w:t xml:space="preserve"> </w:t>
      </w:r>
      <w:r>
        <w:rPr>
          <w:rFonts w:eastAsia="Times New Roman"/>
          <w:i/>
          <w:iCs/>
          <w:color w:val="auto"/>
          <w:sz w:val="28"/>
          <w:szCs w:val="28"/>
        </w:rPr>
        <w:t>NDVI</w:t>
      </w:r>
      <w:r>
        <w:rPr>
          <w:rFonts w:eastAsia="Times New Roman"/>
          <w:i/>
          <w:iCs/>
          <w:color w:val="auto"/>
          <w:spacing w:val="1"/>
          <w:sz w:val="28"/>
          <w:szCs w:val="28"/>
        </w:rPr>
        <w:t xml:space="preserve"> </w:t>
      </w:r>
      <w:r>
        <w:rPr>
          <w:rFonts w:ascii="宋体" w:hAnsi="宋体" w:cs="宋体"/>
          <w:color w:val="auto"/>
          <w:spacing w:val="1"/>
          <w:sz w:val="28"/>
          <w:szCs w:val="28"/>
        </w:rPr>
        <w:t>值；</w:t>
      </w:r>
    </w:p>
    <w:p w14:paraId="736D8261">
      <w:pPr>
        <w:spacing w:before="217" w:line="360" w:lineRule="auto"/>
        <w:ind w:left="586"/>
        <w:rPr>
          <w:rFonts w:hint="eastAsia" w:ascii="宋体" w:hAnsi="宋体" w:cs="宋体"/>
          <w:color w:val="auto"/>
          <w:sz w:val="28"/>
          <w:szCs w:val="28"/>
        </w:rPr>
      </w:pPr>
      <w:r>
        <w:rPr>
          <w:rFonts w:eastAsia="Times New Roman"/>
          <w:i/>
          <w:iCs/>
          <w:color w:val="auto"/>
          <w:sz w:val="28"/>
          <w:szCs w:val="28"/>
        </w:rPr>
        <w:t xml:space="preserve">NDVIs </w:t>
      </w:r>
      <w:r>
        <w:rPr>
          <w:rFonts w:ascii="宋体" w:hAnsi="宋体" w:cs="宋体"/>
          <w:color w:val="auto"/>
          <w:sz w:val="28"/>
          <w:szCs w:val="28"/>
        </w:rPr>
        <w:t>为完全无植被覆盖像元的</w:t>
      </w:r>
      <w:r>
        <w:rPr>
          <w:rFonts w:ascii="宋体" w:hAnsi="宋体" w:cs="宋体"/>
          <w:color w:val="auto"/>
          <w:spacing w:val="-56"/>
          <w:sz w:val="28"/>
          <w:szCs w:val="28"/>
        </w:rPr>
        <w:t xml:space="preserve"> </w:t>
      </w:r>
      <w:r>
        <w:rPr>
          <w:rFonts w:eastAsia="Times New Roman"/>
          <w:i/>
          <w:iCs/>
          <w:color w:val="auto"/>
          <w:sz w:val="28"/>
          <w:szCs w:val="28"/>
        </w:rPr>
        <w:t xml:space="preserve">NDVI </w:t>
      </w:r>
      <w:r>
        <w:rPr>
          <w:rFonts w:ascii="宋体" w:hAnsi="宋体" w:cs="宋体"/>
          <w:color w:val="auto"/>
          <w:sz w:val="28"/>
          <w:szCs w:val="28"/>
        </w:rPr>
        <w:t>值。</w:t>
      </w:r>
    </w:p>
    <w:p w14:paraId="4B2FBB7F">
      <w:pPr>
        <w:adjustRightInd w:val="0"/>
        <w:snapToGrid w:val="0"/>
        <w:spacing w:line="360" w:lineRule="auto"/>
        <w:ind w:firstLine="552" w:firstLineChars="200"/>
        <w:rPr>
          <w:rFonts w:hint="eastAsia" w:ascii="宋体" w:hAnsi="宋体" w:eastAsia="宋体" w:cs="宋体"/>
          <w:color w:val="auto"/>
          <w:sz w:val="28"/>
          <w:szCs w:val="28"/>
          <w:lang w:eastAsia="zh-CN"/>
        </w:rPr>
      </w:pPr>
      <w:r>
        <w:rPr>
          <w:color w:val="auto"/>
          <w:spacing w:val="-2"/>
          <w:sz w:val="28"/>
          <w:szCs w:val="28"/>
        </w:rPr>
        <w:t>根据遥感估算植被覆盖度，将矿区植被覆盖度划分为中高覆盖度（40%-7</w:t>
      </w:r>
      <w:r>
        <w:rPr>
          <w:rFonts w:eastAsia="Times New Roman"/>
          <w:color w:val="auto"/>
          <w:spacing w:val="-2"/>
          <w:sz w:val="28"/>
          <w:szCs w:val="28"/>
        </w:rPr>
        <w:t>0%</w:t>
      </w:r>
      <w:r>
        <w:rPr>
          <w:color w:val="auto"/>
          <w:spacing w:val="-2"/>
          <w:sz w:val="28"/>
          <w:szCs w:val="28"/>
        </w:rPr>
        <w:t>）、</w:t>
      </w:r>
      <w:r>
        <w:rPr>
          <w:color w:val="auto"/>
          <w:sz w:val="28"/>
          <w:szCs w:val="28"/>
        </w:rPr>
        <w:t>中覆盖度（2</w:t>
      </w:r>
      <w:r>
        <w:rPr>
          <w:rFonts w:eastAsia="Times New Roman"/>
          <w:color w:val="auto"/>
          <w:spacing w:val="-1"/>
          <w:sz w:val="28"/>
          <w:szCs w:val="28"/>
        </w:rPr>
        <w:t>0%-4</w:t>
      </w:r>
      <w:r>
        <w:rPr>
          <w:color w:val="auto"/>
          <w:spacing w:val="-1"/>
          <w:sz w:val="28"/>
          <w:szCs w:val="28"/>
        </w:rPr>
        <w:t>0</w:t>
      </w:r>
      <w:r>
        <w:rPr>
          <w:rFonts w:eastAsia="Times New Roman"/>
          <w:color w:val="auto"/>
          <w:spacing w:val="-1"/>
          <w:sz w:val="28"/>
          <w:szCs w:val="28"/>
        </w:rPr>
        <w:t>%</w:t>
      </w:r>
      <w:r>
        <w:rPr>
          <w:color w:val="auto"/>
          <w:spacing w:val="-1"/>
          <w:sz w:val="28"/>
          <w:szCs w:val="28"/>
        </w:rPr>
        <w:t>）、低覆盖度（</w:t>
      </w:r>
      <w:r>
        <w:rPr>
          <w:rFonts w:eastAsia="Times New Roman"/>
          <w:color w:val="auto"/>
          <w:spacing w:val="-1"/>
          <w:sz w:val="28"/>
          <w:szCs w:val="28"/>
        </w:rPr>
        <w:t>10%-</w:t>
      </w:r>
      <w:r>
        <w:rPr>
          <w:color w:val="auto"/>
          <w:spacing w:val="-1"/>
          <w:sz w:val="28"/>
          <w:szCs w:val="28"/>
        </w:rPr>
        <w:t>2</w:t>
      </w:r>
      <w:r>
        <w:rPr>
          <w:rFonts w:eastAsia="Times New Roman"/>
          <w:color w:val="auto"/>
          <w:spacing w:val="-1"/>
          <w:sz w:val="28"/>
          <w:szCs w:val="28"/>
        </w:rPr>
        <w:t>0%</w:t>
      </w:r>
      <w:r>
        <w:rPr>
          <w:color w:val="auto"/>
          <w:spacing w:val="-1"/>
          <w:sz w:val="28"/>
          <w:szCs w:val="28"/>
        </w:rPr>
        <w:t>）、极</w:t>
      </w:r>
      <w:r>
        <w:rPr>
          <w:color w:val="auto"/>
          <w:spacing w:val="1"/>
          <w:sz w:val="28"/>
          <w:szCs w:val="28"/>
        </w:rPr>
        <w:t>低覆盖度（</w:t>
      </w:r>
      <w:r>
        <w:rPr>
          <w:rFonts w:eastAsia="Times New Roman"/>
          <w:color w:val="auto"/>
          <w:spacing w:val="1"/>
          <w:sz w:val="28"/>
          <w:szCs w:val="28"/>
        </w:rPr>
        <w:t>&lt;10%</w:t>
      </w:r>
      <w:r>
        <w:rPr>
          <w:color w:val="auto"/>
          <w:spacing w:val="1"/>
          <w:sz w:val="28"/>
          <w:szCs w:val="28"/>
        </w:rPr>
        <w:t>）四个级别，通过估算得出各功能区的植被覆盖度组成</w:t>
      </w:r>
      <w:r>
        <w:rPr>
          <w:color w:val="auto"/>
          <w:spacing w:val="-4"/>
          <w:sz w:val="28"/>
          <w:szCs w:val="28"/>
        </w:rPr>
        <w:t>；从图中可以看出，高覆盖</w:t>
      </w:r>
      <w:r>
        <w:rPr>
          <w:color w:val="auto"/>
          <w:spacing w:val="-7"/>
          <w:sz w:val="28"/>
          <w:szCs w:val="28"/>
        </w:rPr>
        <w:t>度植被</w:t>
      </w:r>
      <w:r>
        <w:rPr>
          <w:rFonts w:hint="eastAsia"/>
          <w:color w:val="auto"/>
          <w:spacing w:val="-7"/>
          <w:sz w:val="28"/>
          <w:szCs w:val="28"/>
        </w:rPr>
        <w:t>主要来自矿区</w:t>
      </w:r>
      <w:r>
        <w:rPr>
          <w:rFonts w:hint="eastAsia"/>
          <w:color w:val="auto"/>
          <w:spacing w:val="-4"/>
          <w:sz w:val="28"/>
          <w:szCs w:val="28"/>
        </w:rPr>
        <w:t>外围，</w:t>
      </w:r>
      <w:r>
        <w:rPr>
          <w:color w:val="auto"/>
          <w:spacing w:val="-7"/>
          <w:sz w:val="28"/>
          <w:szCs w:val="28"/>
        </w:rPr>
        <w:t>占比最大，其为农田；中覆盖度区域为林地，包</w:t>
      </w:r>
      <w:r>
        <w:rPr>
          <w:color w:val="auto"/>
          <w:spacing w:val="-8"/>
          <w:sz w:val="28"/>
          <w:szCs w:val="28"/>
        </w:rPr>
        <w:t>括杨树林、</w:t>
      </w:r>
      <w:r>
        <w:rPr>
          <w:color w:val="auto"/>
          <w:spacing w:val="-3"/>
          <w:sz w:val="28"/>
          <w:szCs w:val="28"/>
        </w:rPr>
        <w:t>山杏灌丛和虎榛子群落。低覆盖度区域为草地，包括</w:t>
      </w:r>
      <w:r>
        <w:rPr>
          <w:color w:val="auto"/>
          <w:sz w:val="28"/>
          <w:szCs w:val="28"/>
        </w:rPr>
        <w:t>本氏针茅、糙隐子草、羊草</w:t>
      </w:r>
      <w:r>
        <w:rPr>
          <w:color w:val="auto"/>
          <w:spacing w:val="-1"/>
          <w:sz w:val="28"/>
          <w:szCs w:val="28"/>
        </w:rPr>
        <w:t>；</w:t>
      </w:r>
      <w:r>
        <w:rPr>
          <w:color w:val="auto"/>
          <w:spacing w:val="-3"/>
          <w:sz w:val="28"/>
          <w:szCs w:val="28"/>
        </w:rPr>
        <w:t>极低覆盖度区域为人工挖损区域</w:t>
      </w:r>
      <w:r>
        <w:rPr>
          <w:rFonts w:hint="eastAsia"/>
          <w:color w:val="auto"/>
          <w:spacing w:val="-3"/>
          <w:sz w:val="28"/>
          <w:szCs w:val="28"/>
        </w:rPr>
        <w:t>，集中在矿区内</w:t>
      </w:r>
      <w:r>
        <w:rPr>
          <w:rFonts w:hint="eastAsia"/>
          <w:color w:val="auto"/>
          <w:spacing w:val="-1"/>
          <w:sz w:val="28"/>
          <w:szCs w:val="28"/>
        </w:rPr>
        <w:t>。各功能区植被覆盖度统计</w:t>
      </w:r>
      <w:r>
        <w:rPr>
          <w:color w:val="auto"/>
          <w:spacing w:val="-1"/>
          <w:sz w:val="28"/>
          <w:szCs w:val="28"/>
        </w:rPr>
        <w:t>详见表</w:t>
      </w:r>
      <w:r>
        <w:rPr>
          <w:rFonts w:hint="eastAsia"/>
          <w:color w:val="auto"/>
          <w:sz w:val="28"/>
          <w:szCs w:val="24"/>
        </w:rPr>
        <w:t>2-1</w:t>
      </w:r>
      <w:r>
        <w:rPr>
          <w:rFonts w:hint="eastAsia"/>
          <w:color w:val="auto"/>
          <w:sz w:val="28"/>
          <w:szCs w:val="24"/>
          <w:lang w:val="en-US" w:eastAsia="zh-CN"/>
        </w:rPr>
        <w:t>2</w:t>
      </w:r>
      <w:r>
        <w:rPr>
          <w:rFonts w:hint="eastAsia"/>
          <w:color w:val="auto"/>
          <w:sz w:val="28"/>
          <w:szCs w:val="24"/>
          <w:lang w:eastAsia="zh-CN"/>
        </w:rPr>
        <w:t>。</w:t>
      </w:r>
    </w:p>
    <w:p w14:paraId="46510A38">
      <w:pPr>
        <w:widowControl/>
        <w:ind w:firstLine="480" w:firstLineChars="200"/>
        <w:jc w:val="center"/>
        <w:rPr>
          <w:rFonts w:hint="eastAsia" w:ascii="黑体" w:hAnsi="黑体" w:eastAsia="黑体" w:cs="宋体"/>
          <w:color w:val="auto"/>
          <w:sz w:val="24"/>
          <w:szCs w:val="24"/>
        </w:rPr>
      </w:pPr>
    </w:p>
    <w:p w14:paraId="3D4883A8">
      <w:pPr>
        <w:widowControl/>
        <w:ind w:firstLine="480" w:firstLineChars="200"/>
        <w:jc w:val="center"/>
        <w:rPr>
          <w:rFonts w:hint="eastAsia" w:ascii="黑体" w:hAnsi="黑体" w:eastAsia="黑体" w:cs="宋体"/>
          <w:color w:val="auto"/>
          <w:sz w:val="24"/>
          <w:szCs w:val="24"/>
        </w:rPr>
      </w:pPr>
      <w:r>
        <w:rPr>
          <w:rFonts w:hint="eastAsia" w:ascii="黑体" w:hAnsi="黑体" w:eastAsia="黑体" w:cs="宋体"/>
          <w:color w:val="auto"/>
          <w:sz w:val="24"/>
          <w:szCs w:val="24"/>
        </w:rPr>
        <w:t>表2-1</w:t>
      </w:r>
      <w:r>
        <w:rPr>
          <w:rFonts w:hint="eastAsia" w:ascii="黑体" w:hAnsi="黑体" w:eastAsia="黑体" w:cs="宋体"/>
          <w:color w:val="auto"/>
          <w:sz w:val="24"/>
          <w:szCs w:val="24"/>
          <w:lang w:val="en-US" w:eastAsia="zh-CN"/>
        </w:rPr>
        <w:t>2</w:t>
      </w:r>
      <w:r>
        <w:rPr>
          <w:rFonts w:hint="eastAsia" w:ascii="黑体" w:hAnsi="黑体" w:eastAsia="黑体" w:cs="宋体"/>
          <w:color w:val="auto"/>
          <w:sz w:val="24"/>
          <w:szCs w:val="24"/>
        </w:rPr>
        <w:t xml:space="preserve">  各功能区植被覆盖度统计表</w:t>
      </w:r>
    </w:p>
    <w:p w14:paraId="21249660">
      <w:pPr>
        <w:adjustRightInd w:val="0"/>
        <w:snapToGrid w:val="0"/>
        <w:spacing w:line="360" w:lineRule="auto"/>
        <w:ind w:firstLine="560" w:firstLineChars="200"/>
        <w:rPr>
          <w:color w:val="auto"/>
          <w:sz w:val="28"/>
          <w:szCs w:val="28"/>
        </w:rPr>
      </w:pPr>
      <w:r>
        <w:rPr>
          <w:color w:val="auto"/>
          <w:sz w:val="28"/>
          <w:szCs w:val="28"/>
        </w:rPr>
        <w:t>4、野生动物现状</w:t>
      </w:r>
    </w:p>
    <w:p w14:paraId="13A9A729">
      <w:pPr>
        <w:spacing w:line="360" w:lineRule="auto"/>
        <w:ind w:firstLine="560" w:firstLineChars="200"/>
        <w:rPr>
          <w:color w:val="auto"/>
          <w:sz w:val="28"/>
          <w:szCs w:val="28"/>
        </w:rPr>
      </w:pPr>
      <w:r>
        <w:rPr>
          <w:color w:val="auto"/>
          <w:sz w:val="28"/>
          <w:szCs w:val="28"/>
        </w:rPr>
        <w:t>（1）</w:t>
      </w:r>
      <w:r>
        <w:rPr>
          <w:rFonts w:hint="eastAsia"/>
          <w:color w:val="auto"/>
          <w:sz w:val="28"/>
          <w:szCs w:val="28"/>
        </w:rPr>
        <w:t>野生动物组成</w:t>
      </w:r>
    </w:p>
    <w:p w14:paraId="6E641440">
      <w:pPr>
        <w:adjustRightInd w:val="0"/>
        <w:snapToGrid w:val="0"/>
        <w:spacing w:line="360" w:lineRule="auto"/>
        <w:ind w:firstLine="560" w:firstLineChars="200"/>
        <w:rPr>
          <w:rFonts w:hint="eastAsia"/>
          <w:color w:val="auto"/>
          <w:sz w:val="28"/>
          <w:szCs w:val="28"/>
        </w:rPr>
      </w:pPr>
      <w:r>
        <w:rPr>
          <w:rFonts w:hint="eastAsia"/>
          <w:color w:val="auto"/>
          <w:sz w:val="28"/>
          <w:szCs w:val="28"/>
          <w:lang w:val="en-US" w:eastAsia="zh-CN"/>
        </w:rPr>
        <w:t>矿</w:t>
      </w:r>
      <w:r>
        <w:rPr>
          <w:color w:val="auto"/>
          <w:sz w:val="28"/>
          <w:szCs w:val="28"/>
        </w:rPr>
        <w:t>区地处山地丘陵地段，区域及外围分布有自然沟谷、山地</w:t>
      </w:r>
      <w:r>
        <w:rPr>
          <w:rFonts w:hint="eastAsia"/>
          <w:color w:val="auto"/>
          <w:sz w:val="28"/>
          <w:szCs w:val="28"/>
          <w:lang w:val="en-US" w:eastAsia="zh-CN"/>
        </w:rPr>
        <w:t>灌木、</w:t>
      </w:r>
      <w:r>
        <w:rPr>
          <w:color w:val="auto"/>
          <w:sz w:val="28"/>
          <w:szCs w:val="28"/>
        </w:rPr>
        <w:t>草原、农田。野生动物主要为鸟类和一些啮齿类哺乳动物，目前区内没有发现濒危野生动物栖息地，未发现国家重点保护和珍稀濒危野生动物。</w:t>
      </w:r>
      <w:r>
        <w:rPr>
          <w:rFonts w:hint="eastAsia"/>
          <w:color w:val="auto"/>
          <w:sz w:val="28"/>
          <w:szCs w:val="28"/>
        </w:rPr>
        <w:t>矿</w:t>
      </w:r>
      <w:r>
        <w:rPr>
          <w:color w:val="auto"/>
          <w:sz w:val="28"/>
          <w:szCs w:val="28"/>
        </w:rPr>
        <w:t>区主要动物名录如表</w:t>
      </w:r>
      <w:r>
        <w:rPr>
          <w:rFonts w:hint="eastAsia"/>
          <w:color w:val="auto"/>
          <w:sz w:val="28"/>
          <w:szCs w:val="28"/>
        </w:rPr>
        <w:t>2-1</w:t>
      </w:r>
      <w:r>
        <w:rPr>
          <w:rFonts w:hint="eastAsia"/>
          <w:color w:val="auto"/>
          <w:sz w:val="28"/>
          <w:szCs w:val="28"/>
          <w:lang w:val="en-US" w:eastAsia="zh-CN"/>
        </w:rPr>
        <w:t>3</w:t>
      </w:r>
      <w:r>
        <w:rPr>
          <w:color w:val="auto"/>
          <w:sz w:val="28"/>
          <w:szCs w:val="28"/>
        </w:rPr>
        <w:t>。</w:t>
      </w:r>
    </w:p>
    <w:p w14:paraId="1069CBCC">
      <w:pPr>
        <w:widowControl/>
        <w:ind w:firstLine="480" w:firstLineChars="200"/>
        <w:jc w:val="center"/>
        <w:rPr>
          <w:rFonts w:hint="eastAsia" w:ascii="黑体" w:hAnsi="黑体" w:eastAsia="黑体" w:cs="宋体"/>
          <w:color w:val="auto"/>
          <w:sz w:val="24"/>
          <w:szCs w:val="24"/>
        </w:rPr>
      </w:pPr>
      <w:r>
        <w:rPr>
          <w:rFonts w:hint="eastAsia" w:ascii="黑体" w:hAnsi="黑体" w:eastAsia="黑体" w:cs="宋体"/>
          <w:color w:val="auto"/>
          <w:sz w:val="24"/>
          <w:szCs w:val="24"/>
        </w:rPr>
        <w:t>表2-1</w:t>
      </w:r>
      <w:r>
        <w:rPr>
          <w:rFonts w:hint="eastAsia" w:ascii="黑体" w:hAnsi="黑体" w:eastAsia="黑体" w:cs="宋体"/>
          <w:color w:val="auto"/>
          <w:sz w:val="24"/>
          <w:szCs w:val="24"/>
          <w:lang w:val="en-US" w:eastAsia="zh-CN"/>
        </w:rPr>
        <w:t>3</w:t>
      </w:r>
      <w:r>
        <w:rPr>
          <w:rFonts w:hint="eastAsia" w:ascii="黑体" w:hAnsi="黑体" w:eastAsia="黑体" w:cs="宋体"/>
          <w:color w:val="auto"/>
          <w:sz w:val="24"/>
          <w:szCs w:val="24"/>
        </w:rPr>
        <w:t xml:space="preserve">  矿区及周边区域常见动物名录</w:t>
      </w:r>
    </w:p>
    <w:p w14:paraId="4CE58AD4">
      <w:pPr>
        <w:spacing w:line="15" w:lineRule="exact"/>
        <w:rPr>
          <w:color w:val="auto"/>
        </w:rPr>
      </w:pPr>
    </w:p>
    <w:p w14:paraId="3A0B4CA6">
      <w:pPr>
        <w:spacing w:line="360" w:lineRule="auto"/>
        <w:ind w:firstLine="560" w:firstLineChars="200"/>
        <w:rPr>
          <w:color w:val="auto"/>
          <w:sz w:val="28"/>
          <w:szCs w:val="28"/>
        </w:rPr>
      </w:pPr>
      <w:r>
        <w:rPr>
          <w:color w:val="auto"/>
          <w:sz w:val="28"/>
          <w:szCs w:val="28"/>
        </w:rPr>
        <w:t>（2）项目区域鸟类迁徙现状</w:t>
      </w:r>
    </w:p>
    <w:p w14:paraId="5E885000">
      <w:pPr>
        <w:spacing w:line="360" w:lineRule="auto"/>
        <w:ind w:firstLine="560" w:firstLineChars="200"/>
        <w:rPr>
          <w:color w:val="auto"/>
          <w:sz w:val="28"/>
          <w:szCs w:val="28"/>
        </w:rPr>
      </w:pPr>
      <w:r>
        <w:rPr>
          <w:color w:val="auto"/>
          <w:sz w:val="28"/>
          <w:szCs w:val="28"/>
        </w:rPr>
        <w:t>根据我国动物地理区划，全国可分为东北区、华北区、蒙新区、青藏区、西南区、华中区、华南区等7个动物地理区，综合考虑受威胁候鸟物种数量、候鸟种群数量占全球（迁飞路线）比例和候鸟数量等指标，筛选了821处候鸟迁飞通道关键栖息地。通过全面强化保护管理和生态修复，实现对我国4条候鸟迁飞通道的整体协同保护。</w:t>
      </w:r>
    </w:p>
    <w:p w14:paraId="2E71E5B8">
      <w:pPr>
        <w:spacing w:line="360" w:lineRule="auto"/>
        <w:ind w:firstLine="560" w:firstLineChars="200"/>
        <w:rPr>
          <w:color w:val="auto"/>
          <w:sz w:val="28"/>
          <w:szCs w:val="28"/>
        </w:rPr>
      </w:pPr>
      <w:r>
        <w:rPr>
          <w:rFonts w:hint="eastAsia"/>
          <w:color w:val="auto"/>
          <w:sz w:val="28"/>
          <w:szCs w:val="28"/>
        </w:rPr>
        <w:t>矿区</w:t>
      </w:r>
      <w:r>
        <w:rPr>
          <w:color w:val="auto"/>
          <w:sz w:val="28"/>
          <w:szCs w:val="28"/>
        </w:rPr>
        <w:t>位于《候鸟迁飞通道保护修复中国行动计划（2024-2030年）》（发改农经〔2024〕798号）中的东北区（见图</w:t>
      </w:r>
      <w:r>
        <w:rPr>
          <w:rFonts w:hint="eastAsia"/>
          <w:color w:val="auto"/>
          <w:sz w:val="28"/>
          <w:szCs w:val="28"/>
        </w:rPr>
        <w:t>2-9</w:t>
      </w:r>
      <w:r>
        <w:rPr>
          <w:color w:val="auto"/>
          <w:sz w:val="28"/>
          <w:szCs w:val="28"/>
        </w:rPr>
        <w:t>）。包括黑龙江、吉林、辽宁和内蒙古的东北部，分为大兴安岭、长白山、松辽平原3个亚区，主体位于东亚-澳大利西亚迁飞通道内，东部同时位于西太平洋迁飞通道内。区内共有关键栖息地126处，主要分布在大小兴安岭、长白山山地、松花江流域、辽河平原和三江平原等地。代表性候鸟有丹顶鹤、白鹤、东方白鹳、中华秋沙鸭、黑脸琵鹭、大滨鹬、栗斑腹鹀和虎头海雕等。</w:t>
      </w:r>
    </w:p>
    <w:p w14:paraId="628695E3">
      <w:pPr>
        <w:spacing w:line="360" w:lineRule="auto"/>
        <w:ind w:firstLine="560" w:firstLineChars="200"/>
        <w:rPr>
          <w:color w:val="auto"/>
          <w:sz w:val="28"/>
          <w:szCs w:val="28"/>
        </w:rPr>
      </w:pPr>
      <w:r>
        <w:rPr>
          <w:color w:val="auto"/>
          <w:sz w:val="28"/>
          <w:szCs w:val="28"/>
        </w:rPr>
        <w:t>该区域因农业开垦等活动造成局部沼泽湿地萎缩，影响湿地植被质量，导致鸟类繁殖地、栖息地质量下降。针对有关问题，应加强生态用水供给保障，促进原生植被恢复，维护生境条件稳定。重点填补辽宁昌图辽河、黑龙江兴隆青峰等2处关键栖息地保护管理空缺；对内蒙古图牧吉、吉林向海等30处关键栖息地实施生境修复；在辽宁辽河口、吉林莫莫格等38处关键栖息地加强鸟类监测设施建设；健全辽宁鸭绿江口、黑龙江呼中等31处关键栖息地环志站；完善内蒙古大兴安岭汗马、东北虎豹国家公园等56处关键栖息地疫源疫病监测站。</w:t>
      </w:r>
    </w:p>
    <w:p w14:paraId="603121B2">
      <w:pPr>
        <w:adjustRightInd w:val="0"/>
        <w:snapToGrid w:val="0"/>
        <w:spacing w:line="360" w:lineRule="auto"/>
        <w:ind w:firstLine="560" w:firstLineChars="200"/>
        <w:rPr>
          <w:rFonts w:hint="eastAsia" w:ascii="宋体" w:hAnsi="宋体" w:cs="宋体"/>
          <w:color w:val="auto"/>
          <w:sz w:val="28"/>
          <w:szCs w:val="28"/>
        </w:rPr>
      </w:pPr>
      <w:r>
        <w:rPr>
          <w:color w:val="auto"/>
          <w:sz w:val="28"/>
          <w:szCs w:val="28"/>
        </w:rPr>
        <w:t>根据《候鸟迁飞通道保护修复中国行动计划（2024-2030年）》可知：全球有9条主要候鸟迁飞通道，其中4条经过中国，分别为东亚-澳大利西亚迁飞通道、中亚迁飞通道、西亚-东非迁飞通道以及西太平洋迁飞通道。</w:t>
      </w:r>
      <w:r>
        <w:rPr>
          <w:rFonts w:hint="eastAsia"/>
          <w:color w:val="auto"/>
          <w:sz w:val="28"/>
          <w:szCs w:val="28"/>
        </w:rPr>
        <w:t>矿区</w:t>
      </w:r>
      <w:r>
        <w:rPr>
          <w:color w:val="auto"/>
          <w:sz w:val="28"/>
          <w:szCs w:val="28"/>
        </w:rPr>
        <w:t>处于东北区松辽平原亚区，为东亚-澳大利西亚迁飞通道，不涉及候鸟关键栖息地，不在鸟类主要迁徙通道上。施工及运行期间妥善采取监测、防护、保护等措施，对迁徙候鸟影响较小。</w:t>
      </w:r>
    </w:p>
    <w:p w14:paraId="57E689A5">
      <w:pPr>
        <w:adjustRightInd w:val="0"/>
        <w:snapToGrid w:val="0"/>
        <w:spacing w:line="360" w:lineRule="auto"/>
        <w:ind w:firstLine="420" w:firstLineChars="200"/>
        <w:jc w:val="center"/>
        <w:rPr>
          <w:rFonts w:hint="eastAsia" w:ascii="黑体" w:hAnsi="黑体" w:eastAsia="宋体" w:cs="宋体"/>
          <w:color w:val="auto"/>
          <w:sz w:val="24"/>
          <w:szCs w:val="24"/>
          <w:lang w:eastAsia="zh-CN"/>
        </w:rPr>
      </w:pPr>
      <w:r>
        <w:rPr>
          <w:color w:val="auto"/>
        </w:rPr>
        <mc:AlternateContent>
          <mc:Choice Requires="wps">
            <w:drawing>
              <wp:anchor distT="0" distB="0" distL="114300" distR="114300" simplePos="0" relativeHeight="251670528" behindDoc="0" locked="0" layoutInCell="1" allowOverlap="1">
                <wp:simplePos x="0" y="0"/>
                <wp:positionH relativeFrom="column">
                  <wp:posOffset>2774315</wp:posOffset>
                </wp:positionH>
                <wp:positionV relativeFrom="paragraph">
                  <wp:posOffset>477520</wp:posOffset>
                </wp:positionV>
                <wp:extent cx="670560" cy="247015"/>
                <wp:effectExtent l="0" t="0" r="2540" b="6985"/>
                <wp:wrapNone/>
                <wp:docPr id="48" name="文本框 48"/>
                <wp:cNvGraphicFramePr/>
                <a:graphic xmlns:a="http://schemas.openxmlformats.org/drawingml/2006/main">
                  <a:graphicData uri="http://schemas.microsoft.com/office/word/2010/wordprocessingShape">
                    <wps:wsp>
                      <wps:cNvSpPr txBox="1"/>
                      <wps:spPr>
                        <a:xfrm>
                          <a:off x="0" y="0"/>
                          <a:ext cx="670560" cy="24701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BF9B02C">
                            <w:pPr>
                              <w:rPr>
                                <w:sz w:val="18"/>
                                <w:szCs w:val="18"/>
                              </w:rPr>
                            </w:pPr>
                            <w:r>
                              <w:rPr>
                                <w:rFonts w:hint="eastAsia"/>
                                <w:sz w:val="18"/>
                                <w:szCs w:val="18"/>
                              </w:rPr>
                              <w:t>矿区位置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8.45pt;margin-top:37.6pt;height:19.45pt;width:52.8pt;z-index:251670528;mso-width-relative:page;mso-height-relative:page;" fillcolor="#FFFFFF [3201]" filled="t" stroked="f" coordsize="21600,21600" o:gfxdata="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r899d1QAAAAoBAAAPAAAAAAAA&#10;AAEAIAAAACIAAABkcnMvZG93bnJldi54bWxQSwECFAAUAAAACACHTuJAVbBhZE4CAACQBAAADgAA&#10;AAAAAAABACAAAAAkAQAAZHJzL2Uyb0RvYy54bWxQSwUGAAAAAAYABgBZAQAA5AUAAAAA&#10;">
                <v:fill on="t" focussize="0,0"/>
                <v:stroke on="f" weight="0.5pt"/>
                <v:imagedata o:title=""/>
                <o:lock v:ext="edit" aspectratio="f"/>
                <v:textbox>
                  <w:txbxContent>
                    <w:p w14:paraId="1BF9B02C">
                      <w:pPr>
                        <w:rPr>
                          <w:sz w:val="18"/>
                          <w:szCs w:val="18"/>
                        </w:rPr>
                      </w:pPr>
                      <w:r>
                        <w:rPr>
                          <w:rFonts w:hint="eastAsia"/>
                          <w:sz w:val="18"/>
                          <w:szCs w:val="18"/>
                        </w:rPr>
                        <w:t>矿区位置</w:t>
                      </w:r>
                    </w:p>
                  </w:txbxContent>
                </v:textbox>
              </v:shape>
            </w:pict>
          </mc:Fallback>
        </mc:AlternateContent>
      </w:r>
      <w:r>
        <w:rPr>
          <w:rFonts w:hint="eastAsia" w:ascii="黑体" w:hAnsi="黑体" w:eastAsia="黑体"/>
          <w:color w:val="auto"/>
          <w:sz w:val="20"/>
          <w:szCs w:val="18"/>
          <w:lang w:eastAsia="zh-CN"/>
        </w:rPr>
        <w:t xml:space="preserve">    </w:t>
      </w:r>
    </w:p>
    <w:p w14:paraId="423B72EE">
      <w:pPr>
        <w:adjustRightInd w:val="0"/>
        <w:snapToGrid w:val="0"/>
        <w:spacing w:line="360" w:lineRule="auto"/>
        <w:ind w:firstLine="480" w:firstLineChars="200"/>
        <w:jc w:val="center"/>
        <w:rPr>
          <w:rFonts w:hint="eastAsia" w:ascii="宋体" w:hAnsi="宋体" w:cs="宋体"/>
          <w:color w:val="auto"/>
          <w:sz w:val="28"/>
          <w:szCs w:val="28"/>
        </w:rPr>
      </w:pPr>
      <w:r>
        <w:rPr>
          <w:rFonts w:hint="eastAsia" w:ascii="黑体" w:hAnsi="黑体" w:eastAsia="黑体" w:cs="宋体"/>
          <w:color w:val="auto"/>
          <w:sz w:val="24"/>
          <w:szCs w:val="24"/>
        </w:rPr>
        <w:t>图2-</w:t>
      </w:r>
      <w:r>
        <w:rPr>
          <w:rFonts w:hint="eastAsia" w:ascii="黑体" w:hAnsi="黑体" w:eastAsia="黑体" w:cs="宋体"/>
          <w:color w:val="auto"/>
          <w:sz w:val="24"/>
          <w:szCs w:val="24"/>
          <w:lang w:val="en-US" w:eastAsia="zh-CN"/>
        </w:rPr>
        <w:t>9</w:t>
      </w:r>
      <w:r>
        <w:rPr>
          <w:rFonts w:hint="eastAsia" w:ascii="黑体" w:hAnsi="黑体" w:eastAsia="黑体" w:cs="宋体"/>
          <w:color w:val="auto"/>
          <w:sz w:val="24"/>
          <w:szCs w:val="24"/>
        </w:rPr>
        <w:t xml:space="preserve">  矿区与中国候鸟关键栖息地分布关系图</w:t>
      </w:r>
    </w:p>
    <w:p w14:paraId="7DB4F531">
      <w:pPr>
        <w:spacing w:line="360" w:lineRule="auto"/>
        <w:ind w:firstLine="562" w:firstLineChars="200"/>
        <w:outlineLvl w:val="2"/>
        <w:rPr>
          <w:rFonts w:hint="eastAsia" w:ascii="宋体" w:hAnsi="宋体" w:cs="宋体"/>
          <w:color w:val="auto"/>
          <w:sz w:val="28"/>
          <w:szCs w:val="28"/>
        </w:rPr>
      </w:pPr>
      <w:r>
        <w:rPr>
          <w:rFonts w:hint="eastAsia" w:ascii="宋体" w:hAnsi="宋体" w:cs="宋体"/>
          <w:b/>
          <w:bCs/>
          <w:color w:val="auto"/>
          <w:sz w:val="28"/>
          <w:szCs w:val="28"/>
        </w:rPr>
        <w:t>三、生物多样性</w:t>
      </w:r>
    </w:p>
    <w:p w14:paraId="222F45C0">
      <w:pPr>
        <w:adjustRightInd w:val="0"/>
        <w:snapToGrid w:val="0"/>
        <w:spacing w:line="360" w:lineRule="auto"/>
        <w:ind w:firstLine="560" w:firstLineChars="200"/>
        <w:rPr>
          <w:color w:val="auto"/>
          <w:sz w:val="28"/>
          <w:szCs w:val="28"/>
        </w:rPr>
      </w:pPr>
      <w:r>
        <w:rPr>
          <w:color w:val="auto"/>
          <w:sz w:val="28"/>
          <w:szCs w:val="28"/>
        </w:rPr>
        <w:t>1、物种丰富度</w:t>
      </w:r>
    </w:p>
    <w:p w14:paraId="0A938E6D">
      <w:pPr>
        <w:adjustRightInd w:val="0"/>
        <w:snapToGrid w:val="0"/>
        <w:spacing w:line="360" w:lineRule="auto"/>
        <w:ind w:firstLine="560" w:firstLineChars="200"/>
        <w:rPr>
          <w:color w:val="auto"/>
          <w:sz w:val="28"/>
          <w:szCs w:val="28"/>
        </w:rPr>
      </w:pPr>
      <w:r>
        <w:rPr>
          <w:color w:val="auto"/>
          <w:sz w:val="28"/>
          <w:szCs w:val="28"/>
        </w:rPr>
        <w:t>通过本次调查，矿区及周边植物主要为</w:t>
      </w:r>
      <w:r>
        <w:rPr>
          <w:rFonts w:hint="eastAsia"/>
          <w:color w:val="auto"/>
          <w:sz w:val="28"/>
          <w:szCs w:val="28"/>
        </w:rPr>
        <w:t>山杨</w:t>
      </w:r>
      <w:r>
        <w:rPr>
          <w:rFonts w:hint="eastAsia"/>
          <w:color w:val="auto"/>
          <w:sz w:val="28"/>
          <w:szCs w:val="28"/>
          <w:lang w:eastAsia="zh-CN"/>
        </w:rPr>
        <w:t>、</w:t>
      </w:r>
      <w:r>
        <w:rPr>
          <w:rFonts w:hint="eastAsia"/>
          <w:color w:val="auto"/>
          <w:sz w:val="28"/>
          <w:szCs w:val="28"/>
        </w:rPr>
        <w:t>黄柳</w:t>
      </w:r>
      <w:r>
        <w:rPr>
          <w:rFonts w:hint="eastAsia"/>
          <w:color w:val="auto"/>
          <w:sz w:val="28"/>
          <w:szCs w:val="28"/>
          <w:lang w:eastAsia="zh-CN"/>
        </w:rPr>
        <w:t>、</w:t>
      </w:r>
      <w:r>
        <w:rPr>
          <w:rFonts w:hint="eastAsia"/>
          <w:color w:val="auto"/>
          <w:sz w:val="28"/>
          <w:szCs w:val="28"/>
        </w:rPr>
        <w:t>山杏</w:t>
      </w:r>
      <w:r>
        <w:rPr>
          <w:rFonts w:hint="eastAsia"/>
          <w:color w:val="auto"/>
          <w:sz w:val="28"/>
          <w:szCs w:val="28"/>
          <w:lang w:eastAsia="zh-CN"/>
        </w:rPr>
        <w:t>、</w:t>
      </w:r>
      <w:r>
        <w:rPr>
          <w:rFonts w:hint="eastAsia"/>
          <w:color w:val="auto"/>
          <w:sz w:val="28"/>
          <w:szCs w:val="28"/>
        </w:rPr>
        <w:t>胡枝子</w:t>
      </w:r>
      <w:r>
        <w:rPr>
          <w:rFonts w:hint="eastAsia"/>
          <w:color w:val="auto"/>
          <w:sz w:val="28"/>
          <w:szCs w:val="28"/>
          <w:lang w:eastAsia="zh-CN"/>
        </w:rPr>
        <w:t>、</w:t>
      </w:r>
      <w:r>
        <w:rPr>
          <w:rFonts w:hint="eastAsia"/>
          <w:color w:val="auto"/>
          <w:sz w:val="28"/>
          <w:szCs w:val="28"/>
        </w:rPr>
        <w:t>大针茅</w:t>
      </w:r>
      <w:r>
        <w:rPr>
          <w:rFonts w:hint="eastAsia"/>
          <w:color w:val="auto"/>
          <w:sz w:val="28"/>
          <w:szCs w:val="28"/>
          <w:lang w:eastAsia="zh-CN"/>
        </w:rPr>
        <w:t>、</w:t>
      </w:r>
      <w:r>
        <w:rPr>
          <w:rFonts w:hint="eastAsia"/>
          <w:color w:val="auto"/>
          <w:sz w:val="28"/>
          <w:szCs w:val="28"/>
        </w:rPr>
        <w:t>糙隐子草</w:t>
      </w:r>
      <w:r>
        <w:rPr>
          <w:rFonts w:hint="eastAsia"/>
          <w:color w:val="auto"/>
          <w:sz w:val="28"/>
          <w:szCs w:val="28"/>
          <w:lang w:eastAsia="zh-CN"/>
        </w:rPr>
        <w:t>、</w:t>
      </w:r>
      <w:r>
        <w:rPr>
          <w:rFonts w:hint="eastAsia"/>
          <w:color w:val="auto"/>
          <w:sz w:val="28"/>
          <w:szCs w:val="28"/>
        </w:rPr>
        <w:t>虎尾草</w:t>
      </w:r>
      <w:r>
        <w:rPr>
          <w:rFonts w:hint="eastAsia"/>
          <w:color w:val="auto"/>
          <w:sz w:val="28"/>
          <w:szCs w:val="28"/>
          <w:lang w:eastAsia="zh-CN"/>
        </w:rPr>
        <w:t>、</w:t>
      </w:r>
      <w:r>
        <w:rPr>
          <w:rFonts w:hint="eastAsia"/>
          <w:color w:val="auto"/>
          <w:sz w:val="28"/>
          <w:szCs w:val="28"/>
        </w:rPr>
        <w:t>赖草</w:t>
      </w:r>
      <w:r>
        <w:rPr>
          <w:rFonts w:hint="eastAsia"/>
          <w:color w:val="auto"/>
          <w:sz w:val="28"/>
          <w:szCs w:val="28"/>
          <w:lang w:eastAsia="zh-CN"/>
        </w:rPr>
        <w:t>、</w:t>
      </w:r>
      <w:r>
        <w:rPr>
          <w:rFonts w:hint="eastAsia"/>
          <w:color w:val="auto"/>
          <w:sz w:val="28"/>
          <w:szCs w:val="28"/>
        </w:rPr>
        <w:t>狗尾草</w:t>
      </w:r>
      <w:r>
        <w:rPr>
          <w:rFonts w:hint="eastAsia"/>
          <w:color w:val="auto"/>
          <w:sz w:val="28"/>
          <w:szCs w:val="28"/>
          <w:lang w:eastAsia="zh-CN"/>
        </w:rPr>
        <w:t>、</w:t>
      </w:r>
      <w:r>
        <w:rPr>
          <w:rFonts w:hint="eastAsia"/>
          <w:color w:val="auto"/>
          <w:sz w:val="28"/>
          <w:szCs w:val="28"/>
        </w:rPr>
        <w:t>虎尾草</w:t>
      </w:r>
      <w:r>
        <w:rPr>
          <w:rFonts w:hint="eastAsia"/>
          <w:color w:val="auto"/>
          <w:sz w:val="28"/>
          <w:szCs w:val="28"/>
          <w:lang w:eastAsia="zh-CN"/>
        </w:rPr>
        <w:t>、</w:t>
      </w:r>
      <w:r>
        <w:rPr>
          <w:rFonts w:hint="eastAsia"/>
          <w:color w:val="auto"/>
          <w:sz w:val="28"/>
          <w:szCs w:val="28"/>
        </w:rPr>
        <w:t>冠芒草</w:t>
      </w:r>
      <w:r>
        <w:rPr>
          <w:rFonts w:hint="eastAsia"/>
          <w:color w:val="auto"/>
          <w:sz w:val="28"/>
          <w:szCs w:val="28"/>
          <w:lang w:eastAsia="zh-CN"/>
        </w:rPr>
        <w:t>、</w:t>
      </w:r>
      <w:r>
        <w:rPr>
          <w:rFonts w:hint="eastAsia"/>
          <w:color w:val="auto"/>
          <w:sz w:val="28"/>
          <w:szCs w:val="28"/>
        </w:rPr>
        <w:t>麻黄</w:t>
      </w:r>
      <w:r>
        <w:rPr>
          <w:rFonts w:hint="eastAsia"/>
          <w:color w:val="auto"/>
          <w:sz w:val="28"/>
          <w:szCs w:val="28"/>
          <w:lang w:eastAsia="zh-CN"/>
        </w:rPr>
        <w:t>、</w:t>
      </w:r>
      <w:r>
        <w:rPr>
          <w:rFonts w:hint="eastAsia"/>
          <w:color w:val="auto"/>
          <w:sz w:val="28"/>
          <w:szCs w:val="28"/>
        </w:rPr>
        <w:t>猪毛菜</w:t>
      </w:r>
      <w:r>
        <w:rPr>
          <w:rFonts w:hint="eastAsia"/>
          <w:color w:val="auto"/>
          <w:sz w:val="28"/>
          <w:szCs w:val="28"/>
          <w:lang w:eastAsia="zh-CN"/>
        </w:rPr>
        <w:t>、</w:t>
      </w:r>
      <w:r>
        <w:rPr>
          <w:rFonts w:hint="eastAsia"/>
          <w:color w:val="auto"/>
          <w:sz w:val="28"/>
          <w:szCs w:val="28"/>
        </w:rPr>
        <w:t>叉分蓼</w:t>
      </w:r>
      <w:r>
        <w:rPr>
          <w:color w:val="auto"/>
          <w:sz w:val="28"/>
          <w:szCs w:val="28"/>
        </w:rPr>
        <w:t>等。</w:t>
      </w:r>
    </w:p>
    <w:p w14:paraId="59CB9D80">
      <w:pPr>
        <w:adjustRightInd w:val="0"/>
        <w:snapToGrid w:val="0"/>
        <w:spacing w:line="360" w:lineRule="auto"/>
        <w:ind w:firstLine="560" w:firstLineChars="200"/>
        <w:rPr>
          <w:color w:val="auto"/>
          <w:sz w:val="28"/>
          <w:szCs w:val="28"/>
        </w:rPr>
      </w:pPr>
      <w:r>
        <w:rPr>
          <w:color w:val="auto"/>
          <w:sz w:val="28"/>
          <w:szCs w:val="28"/>
        </w:rPr>
        <w:t>通过数据统计发现，共记录</w:t>
      </w:r>
      <w:r>
        <w:rPr>
          <w:rFonts w:hint="eastAsia"/>
          <w:color w:val="auto"/>
          <w:sz w:val="28"/>
          <w:szCs w:val="28"/>
          <w:lang w:val="en-US" w:eastAsia="zh-CN"/>
        </w:rPr>
        <w:t>6</w:t>
      </w:r>
      <w:r>
        <w:rPr>
          <w:color w:val="auto"/>
          <w:sz w:val="28"/>
          <w:szCs w:val="28"/>
        </w:rPr>
        <w:t>科、1</w:t>
      </w:r>
      <w:r>
        <w:rPr>
          <w:rFonts w:hint="eastAsia"/>
          <w:color w:val="auto"/>
          <w:sz w:val="28"/>
          <w:szCs w:val="28"/>
          <w:lang w:val="en-US" w:eastAsia="zh-CN"/>
        </w:rPr>
        <w:t>4</w:t>
      </w:r>
      <w:r>
        <w:rPr>
          <w:color w:val="auto"/>
          <w:sz w:val="28"/>
          <w:szCs w:val="28"/>
        </w:rPr>
        <w:t>种植物。调查到的植物物种组成较为简单，分布植物种较多的科为禾本科，为</w:t>
      </w:r>
      <w:r>
        <w:rPr>
          <w:rFonts w:hint="eastAsia"/>
          <w:color w:val="auto"/>
          <w:sz w:val="28"/>
          <w:szCs w:val="28"/>
          <w:lang w:val="en-US" w:eastAsia="zh-CN"/>
        </w:rPr>
        <w:t>6</w:t>
      </w:r>
      <w:r>
        <w:rPr>
          <w:color w:val="auto"/>
          <w:sz w:val="28"/>
          <w:szCs w:val="28"/>
        </w:rPr>
        <w:t>种，其他科植物种类较少。</w:t>
      </w:r>
    </w:p>
    <w:p w14:paraId="7366104A">
      <w:pPr>
        <w:adjustRightInd w:val="0"/>
        <w:snapToGrid w:val="0"/>
        <w:spacing w:line="360" w:lineRule="auto"/>
        <w:ind w:firstLine="560" w:firstLineChars="200"/>
        <w:rPr>
          <w:color w:val="auto"/>
          <w:sz w:val="28"/>
          <w:szCs w:val="28"/>
        </w:rPr>
      </w:pPr>
      <w:r>
        <w:rPr>
          <w:color w:val="auto"/>
          <w:sz w:val="28"/>
          <w:szCs w:val="28"/>
        </w:rPr>
        <w:t>2、经搜集资料，通过丰富度指数、香农-威纳多样性、均匀度指数和优势度指数分析，矿区及周边植被优势度种群为羊草群落。</w:t>
      </w:r>
    </w:p>
    <w:p w14:paraId="2D8BCA17">
      <w:pPr>
        <w:adjustRightInd w:val="0"/>
        <w:snapToGrid w:val="0"/>
        <w:spacing w:line="360" w:lineRule="auto"/>
        <w:ind w:firstLine="560" w:firstLineChars="200"/>
        <w:rPr>
          <w:color w:val="auto"/>
          <w:sz w:val="28"/>
          <w:szCs w:val="28"/>
        </w:rPr>
      </w:pPr>
      <w:r>
        <w:rPr>
          <w:color w:val="auto"/>
          <w:sz w:val="28"/>
          <w:szCs w:val="28"/>
        </w:rPr>
        <w:t>3、经调查，矿区仅见的</w:t>
      </w:r>
      <w:r>
        <w:rPr>
          <w:rFonts w:hint="eastAsia"/>
          <w:color w:val="auto"/>
          <w:sz w:val="28"/>
          <w:szCs w:val="28"/>
        </w:rPr>
        <w:t>家麻雀</w:t>
      </w:r>
      <w:r>
        <w:rPr>
          <w:rFonts w:hint="eastAsia"/>
          <w:color w:val="auto"/>
          <w:sz w:val="28"/>
          <w:szCs w:val="28"/>
          <w:lang w:eastAsia="zh-CN"/>
        </w:rPr>
        <w:t>、</w:t>
      </w:r>
      <w:r>
        <w:rPr>
          <w:rFonts w:hint="eastAsia"/>
          <w:color w:val="auto"/>
          <w:sz w:val="28"/>
          <w:szCs w:val="28"/>
        </w:rPr>
        <w:t>家燕</w:t>
      </w:r>
      <w:r>
        <w:rPr>
          <w:rFonts w:hint="eastAsia"/>
          <w:color w:val="auto"/>
          <w:sz w:val="28"/>
          <w:szCs w:val="28"/>
          <w:lang w:eastAsia="zh-CN"/>
        </w:rPr>
        <w:t>、</w:t>
      </w:r>
      <w:r>
        <w:rPr>
          <w:rFonts w:hint="eastAsia"/>
          <w:color w:val="auto"/>
          <w:sz w:val="28"/>
          <w:szCs w:val="28"/>
        </w:rPr>
        <w:t>金腰燕</w:t>
      </w:r>
      <w:r>
        <w:rPr>
          <w:rFonts w:hint="eastAsia"/>
          <w:color w:val="auto"/>
          <w:sz w:val="28"/>
          <w:szCs w:val="28"/>
          <w:lang w:eastAsia="zh-CN"/>
        </w:rPr>
        <w:t>、</w:t>
      </w:r>
      <w:r>
        <w:rPr>
          <w:rFonts w:hint="eastAsia"/>
          <w:color w:val="auto"/>
          <w:sz w:val="28"/>
          <w:szCs w:val="28"/>
        </w:rPr>
        <w:t>大山雀</w:t>
      </w:r>
      <w:r>
        <w:rPr>
          <w:rFonts w:hint="eastAsia"/>
          <w:color w:val="auto"/>
          <w:sz w:val="28"/>
          <w:szCs w:val="28"/>
          <w:lang w:eastAsia="zh-CN"/>
        </w:rPr>
        <w:t>、</w:t>
      </w:r>
      <w:r>
        <w:rPr>
          <w:rFonts w:hint="eastAsia"/>
          <w:color w:val="auto"/>
          <w:sz w:val="28"/>
          <w:szCs w:val="28"/>
        </w:rPr>
        <w:t>大杜鹃</w:t>
      </w:r>
      <w:r>
        <w:rPr>
          <w:rFonts w:hint="eastAsia"/>
          <w:color w:val="auto"/>
          <w:sz w:val="28"/>
          <w:szCs w:val="28"/>
          <w:lang w:eastAsia="zh-CN"/>
        </w:rPr>
        <w:t>、</w:t>
      </w:r>
      <w:r>
        <w:rPr>
          <w:rFonts w:hint="eastAsia"/>
          <w:color w:val="auto"/>
          <w:sz w:val="28"/>
          <w:szCs w:val="28"/>
        </w:rPr>
        <w:t>寒鸦</w:t>
      </w:r>
      <w:r>
        <w:rPr>
          <w:rFonts w:hint="eastAsia"/>
          <w:color w:val="auto"/>
          <w:sz w:val="28"/>
          <w:szCs w:val="28"/>
          <w:lang w:eastAsia="zh-CN"/>
        </w:rPr>
        <w:t>、</w:t>
      </w:r>
      <w:r>
        <w:rPr>
          <w:rFonts w:hint="eastAsia"/>
          <w:color w:val="auto"/>
          <w:sz w:val="28"/>
          <w:szCs w:val="28"/>
        </w:rPr>
        <w:t>喜鹊</w:t>
      </w:r>
      <w:r>
        <w:rPr>
          <w:rFonts w:hint="eastAsia"/>
          <w:color w:val="auto"/>
          <w:sz w:val="28"/>
          <w:szCs w:val="28"/>
          <w:lang w:eastAsia="zh-CN"/>
        </w:rPr>
        <w:t>、</w:t>
      </w:r>
      <w:r>
        <w:rPr>
          <w:rFonts w:hint="eastAsia"/>
          <w:color w:val="auto"/>
          <w:sz w:val="28"/>
          <w:szCs w:val="28"/>
        </w:rPr>
        <w:t>鼹形田鼠</w:t>
      </w:r>
      <w:r>
        <w:rPr>
          <w:rFonts w:hint="eastAsia"/>
          <w:color w:val="auto"/>
          <w:sz w:val="28"/>
          <w:szCs w:val="28"/>
          <w:lang w:eastAsia="zh-CN"/>
        </w:rPr>
        <w:t>、</w:t>
      </w:r>
      <w:r>
        <w:rPr>
          <w:rFonts w:hint="eastAsia"/>
          <w:color w:val="auto"/>
          <w:sz w:val="28"/>
          <w:szCs w:val="28"/>
        </w:rPr>
        <w:t>草原鼢鼠</w:t>
      </w:r>
      <w:r>
        <w:rPr>
          <w:color w:val="auto"/>
          <w:sz w:val="28"/>
          <w:szCs w:val="28"/>
        </w:rPr>
        <w:t>等均为常见物种，野生动物种类较少，属温带草原动物群。</w:t>
      </w:r>
    </w:p>
    <w:p w14:paraId="2EDCB521">
      <w:pPr>
        <w:rPr>
          <w:color w:val="auto"/>
        </w:rPr>
      </w:pPr>
    </w:p>
    <w:p w14:paraId="641D6E08">
      <w:pPr>
        <w:pStyle w:val="3"/>
        <w:spacing w:before="120" w:beforeLines="50"/>
        <w:rPr>
          <w:color w:val="auto"/>
        </w:rPr>
      </w:pPr>
      <w:bookmarkStart w:id="47" w:name="_Toc12378"/>
      <w:r>
        <w:rPr>
          <w:rFonts w:hint="eastAsia"/>
          <w:color w:val="auto"/>
        </w:rPr>
        <w:t>第</w:t>
      </w:r>
      <w:r>
        <w:rPr>
          <w:rFonts w:hint="eastAsia"/>
          <w:color w:val="auto"/>
          <w:lang w:val="en-US" w:eastAsia="zh-CN"/>
        </w:rPr>
        <w:t>六</w:t>
      </w:r>
      <w:r>
        <w:rPr>
          <w:rFonts w:hint="eastAsia"/>
          <w:color w:val="auto"/>
        </w:rPr>
        <w:t>节  矿区生态修复工作情况</w:t>
      </w:r>
      <w:bookmarkEnd w:id="47"/>
    </w:p>
    <w:p w14:paraId="581307D7">
      <w:pPr>
        <w:spacing w:line="360" w:lineRule="auto"/>
        <w:ind w:firstLine="562" w:firstLineChars="200"/>
        <w:outlineLvl w:val="2"/>
        <w:rPr>
          <w:b/>
          <w:bCs/>
          <w:color w:val="auto"/>
          <w:sz w:val="28"/>
          <w:szCs w:val="28"/>
        </w:rPr>
      </w:pPr>
      <w:r>
        <w:rPr>
          <w:rFonts w:hint="eastAsia"/>
          <w:b/>
          <w:bCs/>
          <w:color w:val="auto"/>
          <w:sz w:val="28"/>
          <w:szCs w:val="28"/>
        </w:rPr>
        <w:t>一、矿山地质环境治理与土地复垦情况及效果</w:t>
      </w:r>
    </w:p>
    <w:p w14:paraId="6D20A243">
      <w:pPr>
        <w:pStyle w:val="14"/>
        <w:spacing w:line="360" w:lineRule="auto"/>
        <w:ind w:firstLine="560" w:firstLineChars="200"/>
        <w:rPr>
          <w:rFonts w:eastAsia="宋体"/>
          <w:color w:val="auto"/>
          <w:szCs w:val="28"/>
        </w:rPr>
      </w:pPr>
      <w:r>
        <w:rPr>
          <w:rFonts w:hint="eastAsia" w:eastAsia="宋体"/>
          <w:color w:val="auto"/>
          <w:szCs w:val="28"/>
        </w:rPr>
        <w:t>（一）</w:t>
      </w:r>
      <w:r>
        <w:rPr>
          <w:rFonts w:eastAsia="宋体"/>
          <w:color w:val="auto"/>
          <w:szCs w:val="28"/>
        </w:rPr>
        <w:t>原方案概述</w:t>
      </w:r>
    </w:p>
    <w:p w14:paraId="17FDD868">
      <w:pPr>
        <w:pStyle w:val="14"/>
        <w:spacing w:line="360" w:lineRule="auto"/>
        <w:ind w:firstLine="560" w:firstLineChars="200"/>
        <w:rPr>
          <w:rFonts w:eastAsia="宋体"/>
          <w:color w:val="auto"/>
          <w:szCs w:val="28"/>
        </w:rPr>
      </w:pPr>
      <w:r>
        <w:rPr>
          <w:rFonts w:hint="eastAsia" w:ascii="Times New Roman" w:hAnsi="Times New Roman" w:eastAsia="宋体" w:cs="Times New Roman"/>
          <w:color w:val="auto"/>
          <w:sz w:val="28"/>
          <w:szCs w:val="28"/>
          <w:lang w:val="zh-CN"/>
        </w:rPr>
        <w:t>202</w:t>
      </w:r>
      <w:r>
        <w:rPr>
          <w:rFonts w:hint="eastAsia" w:eastAsia="宋体" w:cs="Times New Roman"/>
          <w:color w:val="auto"/>
          <w:sz w:val="28"/>
          <w:szCs w:val="28"/>
          <w:lang w:val="en-US" w:eastAsia="zh-CN"/>
        </w:rPr>
        <w:t>1</w:t>
      </w:r>
      <w:r>
        <w:rPr>
          <w:rFonts w:hint="eastAsia" w:ascii="Times New Roman" w:hAnsi="Times New Roman" w:eastAsia="宋体" w:cs="Times New Roman"/>
          <w:color w:val="auto"/>
          <w:sz w:val="28"/>
          <w:szCs w:val="28"/>
          <w:lang w:val="zh-CN"/>
        </w:rPr>
        <w:t>年</w:t>
      </w:r>
      <w:r>
        <w:rPr>
          <w:rFonts w:hint="eastAsia" w:eastAsia="宋体" w:cs="Times New Roman"/>
          <w:color w:val="auto"/>
          <w:sz w:val="28"/>
          <w:szCs w:val="28"/>
          <w:lang w:val="en-US" w:eastAsia="zh-CN"/>
        </w:rPr>
        <w:t>3</w:t>
      </w:r>
      <w:r>
        <w:rPr>
          <w:rFonts w:hint="eastAsia" w:ascii="Times New Roman" w:hAnsi="Times New Roman" w:eastAsia="宋体" w:cs="Times New Roman"/>
          <w:color w:val="auto"/>
          <w:sz w:val="28"/>
          <w:szCs w:val="28"/>
          <w:lang w:val="zh-CN"/>
        </w:rPr>
        <w:t>月，江西核工业工程地质勘察院编制</w:t>
      </w:r>
      <w:r>
        <w:rPr>
          <w:rFonts w:hint="eastAsia" w:eastAsia="宋体" w:cs="Times New Roman"/>
          <w:color w:val="auto"/>
          <w:sz w:val="28"/>
          <w:szCs w:val="28"/>
          <w:lang w:val="zh-CN"/>
        </w:rPr>
        <w:t>了</w:t>
      </w:r>
      <w:r>
        <w:rPr>
          <w:rFonts w:hint="eastAsia" w:ascii="Times New Roman" w:hAnsi="Times New Roman" w:eastAsia="宋体" w:cs="Times New Roman"/>
          <w:color w:val="auto"/>
          <w:sz w:val="28"/>
          <w:szCs w:val="28"/>
          <w:lang w:val="zh-CN" w:eastAsia="zh-CN"/>
        </w:rPr>
        <w:t>《赤峰鑫鑫矿业有限公司松山区初头朗镇窑沟门碎石矿矿山地质环境保护与土地复垦方案</w:t>
      </w:r>
      <w:r>
        <w:rPr>
          <w:rFonts w:hint="eastAsia" w:ascii="Times New Roman" w:hAnsi="Times New Roman" w:eastAsia="宋体" w:cs="Times New Roman"/>
          <w:color w:val="auto"/>
          <w:sz w:val="28"/>
          <w:szCs w:val="28"/>
          <w:lang w:val="zh-CN"/>
        </w:rPr>
        <w:t>》。</w:t>
      </w:r>
    </w:p>
    <w:p w14:paraId="0063CF33">
      <w:pPr>
        <w:pStyle w:val="14"/>
        <w:spacing w:line="360" w:lineRule="auto"/>
        <w:ind w:firstLine="560" w:firstLineChars="200"/>
        <w:rPr>
          <w:rFonts w:eastAsia="宋体"/>
          <w:color w:val="auto"/>
          <w:szCs w:val="28"/>
        </w:rPr>
      </w:pPr>
      <w:r>
        <w:rPr>
          <w:rFonts w:hint="eastAsia" w:eastAsia="宋体"/>
          <w:color w:val="auto"/>
          <w:szCs w:val="28"/>
        </w:rPr>
        <w:t>1、</w:t>
      </w:r>
      <w:r>
        <w:rPr>
          <w:rFonts w:eastAsia="宋体"/>
          <w:color w:val="auto"/>
          <w:szCs w:val="28"/>
        </w:rPr>
        <w:t>主要内容</w:t>
      </w:r>
    </w:p>
    <w:p w14:paraId="10107A99">
      <w:pPr>
        <w:pStyle w:val="14"/>
        <w:spacing w:line="360" w:lineRule="auto"/>
        <w:ind w:firstLine="560" w:firstLineChars="200"/>
        <w:rPr>
          <w:rFonts w:eastAsia="宋体"/>
          <w:color w:val="auto"/>
          <w:szCs w:val="28"/>
        </w:rPr>
      </w:pPr>
      <w:r>
        <w:rPr>
          <w:rFonts w:eastAsia="宋体"/>
          <w:color w:val="auto"/>
          <w:szCs w:val="28"/>
        </w:rPr>
        <w:t>恢复治理规划年限为1</w:t>
      </w:r>
      <w:r>
        <w:rPr>
          <w:rFonts w:hint="eastAsia" w:eastAsia="宋体"/>
          <w:color w:val="auto"/>
          <w:szCs w:val="28"/>
          <w:lang w:val="en-US" w:eastAsia="zh-CN"/>
        </w:rPr>
        <w:t>3</w:t>
      </w:r>
      <w:r>
        <w:rPr>
          <w:rFonts w:eastAsia="宋体"/>
          <w:color w:val="auto"/>
          <w:szCs w:val="28"/>
        </w:rPr>
        <w:t>年，即202</w:t>
      </w:r>
      <w:r>
        <w:rPr>
          <w:rFonts w:hint="eastAsia" w:eastAsia="宋体"/>
          <w:color w:val="auto"/>
          <w:szCs w:val="28"/>
          <w:lang w:val="en-US" w:eastAsia="zh-CN"/>
        </w:rPr>
        <w:t>1</w:t>
      </w:r>
      <w:r>
        <w:rPr>
          <w:rFonts w:eastAsia="宋体"/>
          <w:color w:val="auto"/>
          <w:szCs w:val="28"/>
        </w:rPr>
        <w:t>年</w:t>
      </w:r>
      <w:r>
        <w:rPr>
          <w:rFonts w:hint="eastAsia" w:eastAsia="宋体"/>
          <w:color w:val="auto"/>
          <w:szCs w:val="28"/>
          <w:lang w:val="en-US" w:eastAsia="zh-CN"/>
        </w:rPr>
        <w:t>1</w:t>
      </w:r>
      <w:r>
        <w:rPr>
          <w:rFonts w:eastAsia="宋体"/>
          <w:color w:val="auto"/>
          <w:szCs w:val="28"/>
        </w:rPr>
        <w:t>月至20</w:t>
      </w:r>
      <w:r>
        <w:rPr>
          <w:rFonts w:hint="eastAsia" w:eastAsia="宋体"/>
          <w:color w:val="auto"/>
          <w:szCs w:val="28"/>
          <w:lang w:val="en-US" w:eastAsia="zh-CN"/>
        </w:rPr>
        <w:t>33</w:t>
      </w:r>
      <w:r>
        <w:rPr>
          <w:rFonts w:eastAsia="宋体"/>
          <w:color w:val="auto"/>
          <w:szCs w:val="28"/>
        </w:rPr>
        <w:t>年</w:t>
      </w:r>
      <w:r>
        <w:rPr>
          <w:rFonts w:hint="eastAsia" w:eastAsia="宋体"/>
          <w:color w:val="auto"/>
          <w:szCs w:val="28"/>
          <w:lang w:val="en-US" w:eastAsia="zh-CN"/>
        </w:rPr>
        <w:t>12</w:t>
      </w:r>
      <w:r>
        <w:rPr>
          <w:rFonts w:eastAsia="宋体"/>
          <w:color w:val="auto"/>
          <w:szCs w:val="28"/>
        </w:rPr>
        <w:t>月，适用年限为5年，即从202</w:t>
      </w:r>
      <w:r>
        <w:rPr>
          <w:rFonts w:hint="eastAsia" w:eastAsia="宋体"/>
          <w:color w:val="auto"/>
          <w:szCs w:val="28"/>
          <w:lang w:val="en-US" w:eastAsia="zh-CN"/>
        </w:rPr>
        <w:t>1</w:t>
      </w:r>
      <w:r>
        <w:rPr>
          <w:rFonts w:eastAsia="宋体"/>
          <w:color w:val="auto"/>
          <w:szCs w:val="28"/>
        </w:rPr>
        <w:t>年</w:t>
      </w:r>
      <w:r>
        <w:rPr>
          <w:rFonts w:hint="eastAsia" w:eastAsia="宋体"/>
          <w:color w:val="auto"/>
          <w:szCs w:val="28"/>
          <w:lang w:val="en-US" w:eastAsia="zh-CN"/>
        </w:rPr>
        <w:t>1</w:t>
      </w:r>
      <w:r>
        <w:rPr>
          <w:rFonts w:eastAsia="宋体"/>
          <w:color w:val="auto"/>
          <w:szCs w:val="28"/>
        </w:rPr>
        <w:t>月至202</w:t>
      </w:r>
      <w:r>
        <w:rPr>
          <w:rFonts w:hint="eastAsia" w:eastAsia="宋体"/>
          <w:color w:val="auto"/>
          <w:szCs w:val="28"/>
          <w:lang w:val="en-US" w:eastAsia="zh-CN"/>
        </w:rPr>
        <w:t>5</w:t>
      </w:r>
      <w:r>
        <w:rPr>
          <w:rFonts w:eastAsia="宋体"/>
          <w:color w:val="auto"/>
          <w:szCs w:val="28"/>
        </w:rPr>
        <w:t>年</w:t>
      </w:r>
      <w:r>
        <w:rPr>
          <w:rFonts w:hint="eastAsia" w:eastAsia="宋体"/>
          <w:color w:val="auto"/>
          <w:szCs w:val="28"/>
          <w:lang w:val="en-US" w:eastAsia="zh-CN"/>
        </w:rPr>
        <w:t>12</w:t>
      </w:r>
      <w:r>
        <w:rPr>
          <w:rFonts w:eastAsia="宋体"/>
          <w:color w:val="auto"/>
          <w:szCs w:val="28"/>
        </w:rPr>
        <w:t>月。</w:t>
      </w:r>
    </w:p>
    <w:p w14:paraId="633BF35B">
      <w:pPr>
        <w:pStyle w:val="14"/>
        <w:spacing w:line="360" w:lineRule="auto"/>
        <w:ind w:firstLine="560" w:firstLineChars="200"/>
        <w:rPr>
          <w:rFonts w:hint="eastAsia" w:eastAsia="宋体"/>
          <w:color w:val="auto"/>
          <w:szCs w:val="28"/>
          <w:lang w:eastAsia="zh-CN"/>
        </w:rPr>
      </w:pPr>
      <w:r>
        <w:rPr>
          <w:rFonts w:eastAsia="宋体"/>
          <w:color w:val="auto"/>
          <w:szCs w:val="28"/>
        </w:rPr>
        <w:t>评估区面积为</w:t>
      </w:r>
      <w:r>
        <w:rPr>
          <w:rFonts w:hint="eastAsia" w:eastAsia="宋体"/>
          <w:snapToGrid w:val="0"/>
          <w:color w:val="auto"/>
          <w:szCs w:val="28"/>
          <w:lang w:val="en-US" w:eastAsia="zh-CN"/>
        </w:rPr>
        <w:t>9.6091</w:t>
      </w:r>
      <w:r>
        <w:rPr>
          <w:rFonts w:eastAsia="宋体"/>
          <w:snapToGrid w:val="0"/>
          <w:color w:val="auto"/>
          <w:szCs w:val="28"/>
        </w:rPr>
        <w:t>hm</w:t>
      </w:r>
      <w:r>
        <w:rPr>
          <w:rFonts w:eastAsia="宋体"/>
          <w:snapToGrid w:val="0"/>
          <w:color w:val="auto"/>
          <w:szCs w:val="28"/>
          <w:vertAlign w:val="superscript"/>
        </w:rPr>
        <w:t>2</w:t>
      </w:r>
      <w:r>
        <w:rPr>
          <w:rFonts w:eastAsia="宋体"/>
          <w:color w:val="auto"/>
          <w:szCs w:val="28"/>
        </w:rPr>
        <w:t>，</w:t>
      </w:r>
      <w:r>
        <w:rPr>
          <w:rFonts w:hint="eastAsia" w:eastAsia="宋体"/>
          <w:color w:val="auto"/>
          <w:szCs w:val="28"/>
        </w:rPr>
        <w:t>露天采场</w:t>
      </w:r>
      <w:r>
        <w:rPr>
          <w:rFonts w:hint="eastAsia" w:eastAsia="宋体"/>
          <w:color w:val="auto"/>
          <w:szCs w:val="28"/>
          <w:lang w:eastAsia="zh-CN"/>
        </w:rPr>
        <w:t>、民采坑</w:t>
      </w:r>
      <w:r>
        <w:rPr>
          <w:rFonts w:hint="eastAsia" w:eastAsia="宋体"/>
          <w:color w:val="auto"/>
          <w:szCs w:val="28"/>
          <w:lang w:val="en-US" w:eastAsia="zh-CN"/>
        </w:rPr>
        <w:t>2</w:t>
      </w:r>
      <w:r>
        <w:rPr>
          <w:rFonts w:hint="eastAsia" w:eastAsia="宋体"/>
          <w:color w:val="auto"/>
          <w:szCs w:val="28"/>
        </w:rPr>
        <w:t>为矿山地质环境影响程度严重区；工业场地、</w:t>
      </w:r>
      <w:r>
        <w:rPr>
          <w:rFonts w:hint="eastAsia" w:eastAsia="宋体"/>
          <w:color w:val="auto"/>
          <w:szCs w:val="28"/>
          <w:lang w:eastAsia="zh-CN"/>
        </w:rPr>
        <w:t>民采坑</w:t>
      </w:r>
      <w:r>
        <w:rPr>
          <w:rFonts w:hint="eastAsia" w:eastAsia="宋体"/>
          <w:color w:val="auto"/>
          <w:szCs w:val="28"/>
          <w:lang w:val="en-US" w:eastAsia="zh-CN"/>
        </w:rPr>
        <w:t>1</w:t>
      </w:r>
      <w:r>
        <w:rPr>
          <w:rFonts w:hint="eastAsia" w:eastAsia="宋体"/>
          <w:color w:val="auto"/>
          <w:szCs w:val="28"/>
        </w:rPr>
        <w:t>、</w:t>
      </w:r>
      <w:r>
        <w:rPr>
          <w:rFonts w:hint="eastAsia" w:eastAsia="宋体"/>
          <w:color w:val="auto"/>
          <w:szCs w:val="28"/>
          <w:lang w:val="en-US" w:eastAsia="zh-CN"/>
        </w:rPr>
        <w:t>民</w:t>
      </w:r>
      <w:r>
        <w:rPr>
          <w:rFonts w:hint="eastAsia" w:eastAsia="宋体"/>
          <w:color w:val="auto"/>
          <w:szCs w:val="28"/>
          <w:lang w:eastAsia="zh-CN"/>
        </w:rPr>
        <w:t>采坑</w:t>
      </w:r>
      <w:r>
        <w:rPr>
          <w:rFonts w:hint="eastAsia" w:eastAsia="宋体"/>
          <w:color w:val="auto"/>
          <w:szCs w:val="28"/>
          <w:lang w:val="en-US" w:eastAsia="zh-CN"/>
        </w:rPr>
        <w:t>3、</w:t>
      </w:r>
      <w:r>
        <w:rPr>
          <w:rFonts w:hint="eastAsia" w:eastAsia="宋体"/>
          <w:color w:val="auto"/>
          <w:szCs w:val="28"/>
          <w:lang w:eastAsia="zh-CN"/>
        </w:rPr>
        <w:t>废石场</w:t>
      </w:r>
      <w:r>
        <w:rPr>
          <w:rFonts w:hint="eastAsia" w:eastAsia="宋体"/>
          <w:color w:val="auto"/>
          <w:szCs w:val="28"/>
          <w:lang w:val="en-US" w:eastAsia="zh-CN"/>
        </w:rPr>
        <w:t>1</w:t>
      </w:r>
      <w:r>
        <w:rPr>
          <w:rFonts w:hint="eastAsia" w:eastAsia="宋体"/>
          <w:color w:val="auto"/>
          <w:szCs w:val="28"/>
        </w:rPr>
        <w:t>、</w:t>
      </w:r>
      <w:r>
        <w:rPr>
          <w:rFonts w:hint="eastAsia" w:eastAsia="宋体"/>
          <w:color w:val="auto"/>
          <w:szCs w:val="28"/>
          <w:lang w:eastAsia="zh-CN"/>
        </w:rPr>
        <w:t>废石场</w:t>
      </w:r>
      <w:r>
        <w:rPr>
          <w:rFonts w:hint="eastAsia" w:eastAsia="宋体"/>
          <w:color w:val="auto"/>
          <w:szCs w:val="28"/>
          <w:lang w:val="en-US" w:eastAsia="zh-CN"/>
        </w:rPr>
        <w:t>2</w:t>
      </w:r>
      <w:r>
        <w:rPr>
          <w:rFonts w:hint="eastAsia" w:eastAsia="宋体"/>
          <w:color w:val="auto"/>
          <w:szCs w:val="28"/>
        </w:rPr>
        <w:t>、</w:t>
      </w:r>
      <w:r>
        <w:rPr>
          <w:rFonts w:hint="eastAsia" w:eastAsia="宋体"/>
          <w:color w:val="auto"/>
          <w:szCs w:val="28"/>
          <w:lang w:eastAsia="zh-CN"/>
        </w:rPr>
        <w:t>废石场</w:t>
      </w:r>
      <w:r>
        <w:rPr>
          <w:rFonts w:hint="eastAsia" w:eastAsia="宋体"/>
          <w:color w:val="auto"/>
          <w:szCs w:val="28"/>
          <w:lang w:val="en-US" w:eastAsia="zh-CN"/>
        </w:rPr>
        <w:t>3</w:t>
      </w:r>
      <w:r>
        <w:rPr>
          <w:rFonts w:hint="eastAsia" w:eastAsia="宋体"/>
          <w:color w:val="auto"/>
          <w:szCs w:val="28"/>
        </w:rPr>
        <w:t>、</w:t>
      </w:r>
      <w:r>
        <w:rPr>
          <w:rFonts w:hint="eastAsia" w:eastAsia="宋体"/>
          <w:color w:val="auto"/>
          <w:szCs w:val="28"/>
          <w:lang w:eastAsia="zh-CN"/>
        </w:rPr>
        <w:t>废石场</w:t>
      </w:r>
      <w:r>
        <w:rPr>
          <w:rFonts w:hint="eastAsia" w:eastAsia="宋体"/>
          <w:color w:val="auto"/>
          <w:szCs w:val="28"/>
          <w:lang w:val="en-US" w:eastAsia="zh-CN"/>
        </w:rPr>
        <w:t>4</w:t>
      </w:r>
      <w:r>
        <w:rPr>
          <w:rFonts w:hint="eastAsia" w:eastAsia="宋体"/>
          <w:color w:val="auto"/>
          <w:szCs w:val="28"/>
        </w:rPr>
        <w:t>、</w:t>
      </w:r>
      <w:r>
        <w:rPr>
          <w:rFonts w:hint="eastAsia" w:eastAsia="宋体"/>
          <w:color w:val="auto"/>
          <w:szCs w:val="28"/>
          <w:lang w:eastAsia="zh-CN"/>
        </w:rPr>
        <w:t>废石场</w:t>
      </w:r>
      <w:r>
        <w:rPr>
          <w:rFonts w:hint="eastAsia" w:eastAsia="宋体"/>
          <w:color w:val="auto"/>
          <w:szCs w:val="28"/>
          <w:lang w:val="en-US" w:eastAsia="zh-CN"/>
        </w:rPr>
        <w:t>5</w:t>
      </w:r>
      <w:r>
        <w:rPr>
          <w:rFonts w:hint="eastAsia" w:eastAsia="宋体"/>
          <w:color w:val="auto"/>
          <w:szCs w:val="28"/>
        </w:rPr>
        <w:t>、办公生活区</w:t>
      </w:r>
      <w:r>
        <w:rPr>
          <w:rFonts w:hint="eastAsia" w:eastAsia="宋体"/>
          <w:color w:val="auto"/>
          <w:szCs w:val="28"/>
          <w:lang w:eastAsia="zh-CN"/>
        </w:rPr>
        <w:t>、</w:t>
      </w:r>
      <w:r>
        <w:rPr>
          <w:rFonts w:hint="eastAsia" w:eastAsia="宋体"/>
          <w:color w:val="auto"/>
          <w:szCs w:val="28"/>
        </w:rPr>
        <w:t>矿区道路划分为矿山地质环境影响程度较严重区；评估区内其他区域划分为矿山地质环境影响程度较轻区</w:t>
      </w:r>
      <w:r>
        <w:rPr>
          <w:rFonts w:hint="eastAsia" w:eastAsia="宋体"/>
          <w:color w:val="auto"/>
          <w:szCs w:val="28"/>
          <w:lang w:eastAsia="zh-CN"/>
        </w:rPr>
        <w:t>。</w:t>
      </w:r>
    </w:p>
    <w:p w14:paraId="0DF3E5FA">
      <w:pPr>
        <w:pStyle w:val="14"/>
        <w:spacing w:line="360" w:lineRule="auto"/>
        <w:ind w:firstLine="560" w:firstLineChars="200"/>
        <w:rPr>
          <w:rFonts w:eastAsia="宋体"/>
          <w:color w:val="auto"/>
          <w:szCs w:val="28"/>
        </w:rPr>
      </w:pPr>
      <w:r>
        <w:rPr>
          <w:rFonts w:hint="eastAsia" w:eastAsia="宋体"/>
          <w:color w:val="auto"/>
          <w:szCs w:val="28"/>
        </w:rPr>
        <w:t>2、</w:t>
      </w:r>
      <w:r>
        <w:rPr>
          <w:rFonts w:eastAsia="宋体"/>
          <w:color w:val="auto"/>
          <w:szCs w:val="28"/>
        </w:rPr>
        <w:t>矿山地质环境保护与恢复治理工作部署</w:t>
      </w:r>
    </w:p>
    <w:p w14:paraId="60CA4D6F">
      <w:pPr>
        <w:pStyle w:val="14"/>
        <w:spacing w:line="360" w:lineRule="auto"/>
        <w:ind w:firstLine="560" w:firstLineChars="200"/>
        <w:rPr>
          <w:rFonts w:eastAsia="宋体"/>
          <w:color w:val="auto"/>
          <w:szCs w:val="28"/>
        </w:rPr>
      </w:pPr>
      <w:r>
        <w:rPr>
          <w:rFonts w:eastAsia="宋体"/>
          <w:color w:val="auto"/>
          <w:szCs w:val="28"/>
        </w:rPr>
        <w:t>矿山恢复治理年限为1</w:t>
      </w:r>
      <w:r>
        <w:rPr>
          <w:rFonts w:hint="eastAsia" w:eastAsia="宋体"/>
          <w:color w:val="auto"/>
          <w:szCs w:val="28"/>
          <w:lang w:val="en-US" w:eastAsia="zh-CN"/>
        </w:rPr>
        <w:t>3</w:t>
      </w:r>
      <w:r>
        <w:rPr>
          <w:rFonts w:eastAsia="宋体"/>
          <w:color w:val="auto"/>
          <w:szCs w:val="28"/>
        </w:rPr>
        <w:t>年，矿山地质环境保护与恢复治理工作部署划分为三期，即近期、中期、远期，工作部署详述如下：</w:t>
      </w:r>
    </w:p>
    <w:p w14:paraId="2D72E1BF">
      <w:pPr>
        <w:keepNext w:val="0"/>
        <w:keepLines w:val="0"/>
        <w:pageBreakBefore w:val="0"/>
        <w:widowControl w:val="0"/>
        <w:kinsoku/>
        <w:wordWrap/>
        <w:overflowPunct/>
        <w:topLinePunct w:val="0"/>
        <w:bidi w:val="0"/>
        <w:snapToGrid w:val="0"/>
        <w:spacing w:after="0" w:line="360" w:lineRule="auto"/>
        <w:ind w:firstLine="560" w:firstLineChars="200"/>
        <w:contextualSpacing/>
        <w:textAlignment w:val="auto"/>
        <w:rPr>
          <w:b w:val="0"/>
          <w:bCs w:val="0"/>
          <w:color w:val="auto"/>
          <w:sz w:val="28"/>
          <w:szCs w:val="28"/>
        </w:rPr>
      </w:pPr>
      <w:r>
        <w:rPr>
          <w:b w:val="0"/>
          <w:bCs w:val="0"/>
          <w:color w:val="auto"/>
          <w:sz w:val="28"/>
          <w:szCs w:val="28"/>
        </w:rPr>
        <w:t>近期工作部署(202</w:t>
      </w:r>
      <w:r>
        <w:rPr>
          <w:rFonts w:hint="eastAsia"/>
          <w:b w:val="0"/>
          <w:bCs w:val="0"/>
          <w:color w:val="auto"/>
          <w:sz w:val="28"/>
          <w:szCs w:val="28"/>
        </w:rPr>
        <w:t>1</w:t>
      </w:r>
      <w:r>
        <w:rPr>
          <w:b w:val="0"/>
          <w:bCs w:val="0"/>
          <w:color w:val="auto"/>
          <w:sz w:val="28"/>
          <w:szCs w:val="28"/>
        </w:rPr>
        <w:t>年</w:t>
      </w:r>
      <w:r>
        <w:rPr>
          <w:rFonts w:hint="eastAsia"/>
          <w:b w:val="0"/>
          <w:bCs w:val="0"/>
          <w:color w:val="auto"/>
          <w:sz w:val="28"/>
          <w:szCs w:val="28"/>
        </w:rPr>
        <w:t>1</w:t>
      </w:r>
      <w:r>
        <w:rPr>
          <w:b w:val="0"/>
          <w:bCs w:val="0"/>
          <w:color w:val="auto"/>
          <w:sz w:val="28"/>
          <w:szCs w:val="28"/>
        </w:rPr>
        <w:t>月1日-2025年</w:t>
      </w:r>
      <w:r>
        <w:rPr>
          <w:rFonts w:hint="eastAsia"/>
          <w:b w:val="0"/>
          <w:bCs w:val="0"/>
          <w:color w:val="auto"/>
          <w:sz w:val="28"/>
          <w:szCs w:val="28"/>
        </w:rPr>
        <w:t>12</w:t>
      </w:r>
      <w:r>
        <w:rPr>
          <w:b w:val="0"/>
          <w:bCs w:val="0"/>
          <w:color w:val="auto"/>
          <w:sz w:val="28"/>
          <w:szCs w:val="28"/>
        </w:rPr>
        <w:t>月</w:t>
      </w:r>
      <w:r>
        <w:rPr>
          <w:rFonts w:hint="eastAsia"/>
          <w:b w:val="0"/>
          <w:bCs w:val="0"/>
          <w:color w:val="auto"/>
          <w:sz w:val="28"/>
          <w:szCs w:val="28"/>
        </w:rPr>
        <w:t>31</w:t>
      </w:r>
      <w:r>
        <w:rPr>
          <w:b w:val="0"/>
          <w:bCs w:val="0"/>
          <w:color w:val="auto"/>
          <w:sz w:val="28"/>
          <w:szCs w:val="28"/>
        </w:rPr>
        <w:t>日)</w:t>
      </w:r>
    </w:p>
    <w:p w14:paraId="132C58E4">
      <w:pPr>
        <w:widowControl w:val="0"/>
        <w:spacing w:after="0" w:line="360" w:lineRule="auto"/>
        <w:ind w:firstLine="560" w:firstLineChars="200"/>
        <w:rPr>
          <w:rFonts w:hint="eastAsia"/>
          <w:b w:val="0"/>
          <w:bCs w:val="0"/>
          <w:color w:val="auto"/>
          <w:sz w:val="28"/>
          <w:szCs w:val="28"/>
        </w:rPr>
      </w:pPr>
      <w:r>
        <w:rPr>
          <w:rFonts w:hint="eastAsia"/>
          <w:b w:val="0"/>
          <w:bCs w:val="0"/>
          <w:color w:val="auto"/>
          <w:sz w:val="28"/>
          <w:szCs w:val="28"/>
          <w:lang w:eastAsia="zh-CN"/>
        </w:rPr>
        <w:t>（</w:t>
      </w:r>
      <w:r>
        <w:rPr>
          <w:rFonts w:hint="eastAsia"/>
          <w:b w:val="0"/>
          <w:bCs w:val="0"/>
          <w:color w:val="auto"/>
          <w:sz w:val="28"/>
          <w:szCs w:val="28"/>
          <w:lang w:val="en-US" w:eastAsia="zh-CN"/>
        </w:rPr>
        <w:t>1</w:t>
      </w:r>
      <w:r>
        <w:rPr>
          <w:rFonts w:hint="eastAsia"/>
          <w:b w:val="0"/>
          <w:bCs w:val="0"/>
          <w:color w:val="auto"/>
          <w:sz w:val="28"/>
          <w:szCs w:val="28"/>
          <w:lang w:eastAsia="zh-CN"/>
        </w:rPr>
        <w:t>）</w:t>
      </w:r>
      <w:r>
        <w:rPr>
          <w:b w:val="0"/>
          <w:bCs w:val="0"/>
          <w:color w:val="auto"/>
          <w:sz w:val="28"/>
          <w:szCs w:val="28"/>
        </w:rPr>
        <w:t>露天采场：①为防止露天采矿对附近过往行人造成伤害，在路口醒目位置设置警示牌，采场边缘设置网围栏</w:t>
      </w:r>
      <w:r>
        <w:rPr>
          <w:rFonts w:hint="eastAsia"/>
          <w:b w:val="0"/>
          <w:bCs w:val="0"/>
          <w:color w:val="auto"/>
          <w:sz w:val="28"/>
          <w:szCs w:val="28"/>
        </w:rPr>
        <w:t>；</w:t>
      </w:r>
      <w:r>
        <w:rPr>
          <w:b w:val="0"/>
          <w:bCs w:val="0"/>
          <w:color w:val="auto"/>
          <w:sz w:val="28"/>
          <w:szCs w:val="28"/>
        </w:rPr>
        <w:t>②生产期间加强对采场边坡稳定性的监测，及时清理危岩体，使边坡角控制在安全角之内，保持边坡稳定</w:t>
      </w:r>
      <w:r>
        <w:rPr>
          <w:rFonts w:hint="eastAsia"/>
          <w:b w:val="0"/>
          <w:bCs w:val="0"/>
          <w:color w:val="auto"/>
          <w:sz w:val="28"/>
          <w:szCs w:val="28"/>
        </w:rPr>
        <w:t>；</w:t>
      </w:r>
      <w:r>
        <w:rPr>
          <w:rFonts w:hint="eastAsia" w:ascii="宋体" w:hAnsi="宋体" w:cs="宋体"/>
          <w:b w:val="0"/>
          <w:bCs w:val="0"/>
          <w:color w:val="auto"/>
          <w:sz w:val="28"/>
          <w:szCs w:val="28"/>
        </w:rPr>
        <w:t>③</w:t>
      </w:r>
      <w:r>
        <w:rPr>
          <w:b w:val="0"/>
          <w:bCs w:val="0"/>
          <w:color w:val="auto"/>
          <w:sz w:val="28"/>
          <w:szCs w:val="28"/>
        </w:rPr>
        <w:t>对《开发利用方案》设计开采到开采境界的</w:t>
      </w:r>
      <w:r>
        <w:rPr>
          <w:rFonts w:hint="eastAsia"/>
          <w:b w:val="0"/>
          <w:bCs w:val="0"/>
          <w:color w:val="auto"/>
          <w:sz w:val="28"/>
          <w:szCs w:val="28"/>
          <w:highlight w:val="none"/>
          <w:shd w:val="clear" w:color="auto" w:fill="auto"/>
          <w:lang w:val="en-US" w:eastAsia="zh-CN"/>
        </w:rPr>
        <w:t>1044m</w:t>
      </w:r>
      <w:r>
        <w:rPr>
          <w:rFonts w:hint="eastAsia"/>
          <w:b w:val="0"/>
          <w:bCs w:val="0"/>
          <w:color w:val="auto"/>
          <w:spacing w:val="-4"/>
          <w:sz w:val="28"/>
          <w:szCs w:val="28"/>
          <w:highlight w:val="none"/>
          <w:shd w:val="clear" w:color="auto" w:fill="auto"/>
          <w:lang w:eastAsia="zh-CN"/>
        </w:rPr>
        <w:t>、</w:t>
      </w:r>
      <w:r>
        <w:rPr>
          <w:rFonts w:hint="eastAsia"/>
          <w:b w:val="0"/>
          <w:bCs w:val="0"/>
          <w:color w:val="auto"/>
          <w:spacing w:val="-4"/>
          <w:sz w:val="28"/>
          <w:szCs w:val="28"/>
          <w:highlight w:val="none"/>
          <w:shd w:val="clear" w:color="auto" w:fill="auto"/>
          <w:lang w:val="en-US" w:eastAsia="zh-CN"/>
        </w:rPr>
        <w:t>1034m</w:t>
      </w:r>
      <w:r>
        <w:rPr>
          <w:rFonts w:hint="eastAsia"/>
          <w:b w:val="0"/>
          <w:bCs w:val="0"/>
          <w:color w:val="auto"/>
          <w:sz w:val="28"/>
          <w:szCs w:val="28"/>
          <w:highlight w:val="none"/>
          <w:shd w:val="clear" w:color="auto" w:fill="auto"/>
          <w:lang w:eastAsia="zh-CN"/>
        </w:rPr>
        <w:t>水平台阶</w:t>
      </w:r>
      <w:r>
        <w:rPr>
          <w:rFonts w:hint="eastAsia"/>
          <w:b w:val="0"/>
          <w:bCs w:val="0"/>
          <w:color w:val="auto"/>
          <w:sz w:val="28"/>
          <w:szCs w:val="28"/>
          <w:lang w:eastAsia="zh-CN"/>
        </w:rPr>
        <w:t>覆土整平、</w:t>
      </w:r>
      <w:r>
        <w:rPr>
          <w:rFonts w:hint="eastAsia"/>
          <w:b w:val="0"/>
          <w:bCs w:val="0"/>
          <w:color w:val="auto"/>
          <w:sz w:val="28"/>
          <w:szCs w:val="28"/>
        </w:rPr>
        <w:t>撒播草籽</w:t>
      </w:r>
      <w:r>
        <w:rPr>
          <w:b w:val="0"/>
          <w:bCs w:val="0"/>
          <w:color w:val="auto"/>
          <w:sz w:val="28"/>
          <w:szCs w:val="28"/>
        </w:rPr>
        <w:t>。④</w:t>
      </w:r>
      <w:r>
        <w:rPr>
          <w:rFonts w:hint="eastAsia"/>
          <w:b w:val="0"/>
          <w:bCs w:val="0"/>
          <w:color w:val="auto"/>
          <w:sz w:val="28"/>
          <w:szCs w:val="28"/>
        </w:rPr>
        <w:t>对露天采场</w:t>
      </w:r>
      <w:r>
        <w:rPr>
          <w:rFonts w:hint="eastAsia"/>
          <w:b w:val="0"/>
          <w:bCs w:val="0"/>
          <w:color w:val="auto"/>
          <w:sz w:val="28"/>
          <w:szCs w:val="28"/>
          <w:lang w:eastAsia="zh-CN"/>
        </w:rPr>
        <w:t>东</w:t>
      </w:r>
      <w:r>
        <w:rPr>
          <w:rFonts w:hint="eastAsia"/>
          <w:b w:val="0"/>
          <w:bCs w:val="0"/>
          <w:color w:val="auto"/>
          <w:sz w:val="28"/>
          <w:szCs w:val="28"/>
        </w:rPr>
        <w:t>南侧进行表土剥离。</w:t>
      </w:r>
    </w:p>
    <w:p w14:paraId="40AB5A3B">
      <w:pPr>
        <w:spacing w:after="0" w:line="360" w:lineRule="auto"/>
        <w:ind w:firstLine="560" w:firstLineChars="200"/>
        <w:contextualSpacing/>
        <w:jc w:val="both"/>
        <w:rPr>
          <w:rFonts w:hint="eastAsia"/>
          <w:b w:val="0"/>
          <w:bCs w:val="0"/>
          <w:color w:val="auto"/>
          <w:sz w:val="28"/>
          <w:szCs w:val="28"/>
        </w:rPr>
      </w:pPr>
      <w:r>
        <w:rPr>
          <w:rFonts w:hint="eastAsia"/>
          <w:b w:val="0"/>
          <w:bCs w:val="0"/>
          <w:color w:val="auto"/>
          <w:sz w:val="28"/>
          <w:szCs w:val="28"/>
          <w:lang w:val="en-US" w:eastAsia="zh-CN"/>
        </w:rPr>
        <w:t>（2）</w:t>
      </w:r>
      <w:r>
        <w:rPr>
          <w:rFonts w:hint="eastAsia"/>
          <w:b w:val="0"/>
          <w:bCs w:val="0"/>
          <w:color w:val="auto"/>
          <w:sz w:val="28"/>
          <w:szCs w:val="28"/>
          <w:lang w:eastAsia="zh-CN"/>
        </w:rPr>
        <w:t>民采坑</w:t>
      </w:r>
      <w:r>
        <w:rPr>
          <w:rFonts w:hint="eastAsia"/>
          <w:b w:val="0"/>
          <w:bCs w:val="0"/>
          <w:color w:val="auto"/>
          <w:sz w:val="28"/>
          <w:szCs w:val="28"/>
          <w:lang w:val="en-US" w:eastAsia="zh-CN"/>
        </w:rPr>
        <w:t>1：对采坑进行削坡整形、垫坡整形、</w:t>
      </w:r>
      <w:r>
        <w:rPr>
          <w:rFonts w:hint="eastAsia"/>
          <w:b w:val="0"/>
          <w:bCs w:val="0"/>
          <w:color w:val="auto"/>
          <w:sz w:val="28"/>
          <w:szCs w:val="28"/>
          <w:lang w:eastAsia="zh-CN"/>
        </w:rPr>
        <w:t>覆土整平、恢复植被。</w:t>
      </w:r>
    </w:p>
    <w:p w14:paraId="3125F61D">
      <w:pPr>
        <w:tabs>
          <w:tab w:val="left" w:pos="3420"/>
          <w:tab w:val="left" w:pos="3600"/>
        </w:tabs>
        <w:spacing w:after="0" w:line="360" w:lineRule="auto"/>
        <w:ind w:firstLine="560" w:firstLineChars="200"/>
        <w:contextualSpacing/>
        <w:jc w:val="both"/>
        <w:rPr>
          <w:rFonts w:hint="eastAsia" w:eastAsia="宋体"/>
          <w:b w:val="0"/>
          <w:bCs w:val="0"/>
          <w:color w:val="auto"/>
          <w:sz w:val="28"/>
          <w:szCs w:val="28"/>
          <w:lang w:eastAsia="zh-CN"/>
        </w:rPr>
      </w:pPr>
      <w:r>
        <w:rPr>
          <w:rFonts w:hint="eastAsia"/>
          <w:b w:val="0"/>
          <w:bCs w:val="0"/>
          <w:color w:val="auto"/>
          <w:sz w:val="28"/>
          <w:szCs w:val="28"/>
          <w:lang w:val="en-US" w:eastAsia="zh-CN"/>
        </w:rPr>
        <w:t>（3）</w:t>
      </w:r>
      <w:r>
        <w:rPr>
          <w:rFonts w:hint="eastAsia"/>
          <w:b w:val="0"/>
          <w:bCs w:val="0"/>
          <w:color w:val="auto"/>
          <w:sz w:val="28"/>
          <w:szCs w:val="28"/>
          <w:lang w:eastAsia="zh-CN"/>
        </w:rPr>
        <w:t>民采坑</w:t>
      </w:r>
      <w:r>
        <w:rPr>
          <w:rFonts w:hint="eastAsia"/>
          <w:b w:val="0"/>
          <w:bCs w:val="0"/>
          <w:color w:val="auto"/>
          <w:sz w:val="28"/>
          <w:szCs w:val="28"/>
          <w:lang w:val="en-US" w:eastAsia="zh-CN"/>
        </w:rPr>
        <w:t>2：</w:t>
      </w:r>
      <w:r>
        <w:rPr>
          <w:rFonts w:hint="eastAsia"/>
          <w:b w:val="0"/>
          <w:bCs w:val="0"/>
          <w:color w:val="auto"/>
          <w:sz w:val="28"/>
          <w:szCs w:val="28"/>
          <w:lang w:eastAsia="zh-CN"/>
        </w:rPr>
        <w:t>利用废石场的废石对采坑进行回填、石方整平、覆土整平、恢复植被。</w:t>
      </w:r>
    </w:p>
    <w:p w14:paraId="74A14899">
      <w:pPr>
        <w:spacing w:after="0" w:line="360" w:lineRule="auto"/>
        <w:ind w:firstLine="560" w:firstLineChars="200"/>
        <w:contextualSpacing/>
        <w:jc w:val="both"/>
        <w:rPr>
          <w:rFonts w:hint="eastAsia"/>
          <w:b w:val="0"/>
          <w:bCs w:val="0"/>
          <w:color w:val="auto"/>
          <w:sz w:val="28"/>
          <w:szCs w:val="28"/>
        </w:rPr>
      </w:pPr>
      <w:r>
        <w:rPr>
          <w:rFonts w:hint="eastAsia"/>
          <w:b w:val="0"/>
          <w:bCs w:val="0"/>
          <w:color w:val="auto"/>
          <w:sz w:val="28"/>
          <w:szCs w:val="28"/>
          <w:lang w:val="en-US" w:eastAsia="zh-CN"/>
        </w:rPr>
        <w:t>（4）</w:t>
      </w:r>
      <w:r>
        <w:rPr>
          <w:rFonts w:hint="eastAsia"/>
          <w:b w:val="0"/>
          <w:bCs w:val="0"/>
          <w:color w:val="auto"/>
          <w:sz w:val="28"/>
          <w:szCs w:val="28"/>
          <w:lang w:eastAsia="zh-CN"/>
        </w:rPr>
        <w:t>民采坑</w:t>
      </w:r>
      <w:r>
        <w:rPr>
          <w:rFonts w:hint="eastAsia"/>
          <w:b w:val="0"/>
          <w:bCs w:val="0"/>
          <w:color w:val="auto"/>
          <w:sz w:val="28"/>
          <w:szCs w:val="28"/>
          <w:lang w:val="en-US" w:eastAsia="zh-CN"/>
        </w:rPr>
        <w:t>3：</w:t>
      </w:r>
      <w:r>
        <w:rPr>
          <w:rFonts w:hint="eastAsia"/>
          <w:b w:val="0"/>
          <w:bCs w:val="0"/>
          <w:color w:val="auto"/>
          <w:sz w:val="28"/>
          <w:szCs w:val="28"/>
          <w:lang w:eastAsia="zh-CN"/>
        </w:rPr>
        <w:t>利用废石场的废石对采坑进行回填、石方整平、覆土整平、恢复植被。</w:t>
      </w:r>
    </w:p>
    <w:p w14:paraId="1AB12A22">
      <w:pPr>
        <w:pStyle w:val="69"/>
        <w:spacing w:line="360" w:lineRule="auto"/>
        <w:ind w:firstLine="480"/>
        <w:rPr>
          <w:rFonts w:hint="eastAsia" w:ascii="宋体" w:hAnsi="宋体" w:eastAsia="宋体" w:cs="宋体"/>
          <w:b w:val="0"/>
          <w:bCs w:val="0"/>
          <w:color w:val="auto"/>
          <w:sz w:val="28"/>
          <w:szCs w:val="28"/>
          <w:lang w:val="en-US" w:eastAsia="zh-CN"/>
        </w:rPr>
      </w:pPr>
      <w:r>
        <w:rPr>
          <w:rFonts w:hint="eastAsia"/>
          <w:b w:val="0"/>
          <w:bCs w:val="0"/>
          <w:color w:val="auto"/>
          <w:sz w:val="28"/>
          <w:szCs w:val="28"/>
          <w:lang w:val="en-US" w:eastAsia="zh-CN"/>
        </w:rPr>
        <w:t>（5）</w:t>
      </w:r>
      <w:r>
        <w:rPr>
          <w:rFonts w:hint="eastAsia" w:ascii="宋体" w:hAnsi="宋体" w:eastAsia="宋体" w:cs="宋体"/>
          <w:b w:val="0"/>
          <w:bCs w:val="0"/>
          <w:color w:val="auto"/>
          <w:sz w:val="28"/>
          <w:szCs w:val="28"/>
          <w:lang w:val="en-US" w:eastAsia="zh-CN"/>
        </w:rPr>
        <w:t>废石场1：</w:t>
      </w:r>
      <w:r>
        <w:rPr>
          <w:rFonts w:hint="eastAsia" w:ascii="宋体" w:hAnsi="宋体" w:eastAsia="宋体" w:cs="宋体"/>
          <w:b w:val="0"/>
          <w:bCs w:val="0"/>
          <w:color w:val="auto"/>
          <w:sz w:val="28"/>
          <w:szCs w:val="28"/>
          <w:lang w:eastAsia="zh-CN"/>
        </w:rPr>
        <w:t>将废石场的废石清运至民采坑对其进行回填。清运完成后对场地覆土整平、恢复植被。</w:t>
      </w:r>
    </w:p>
    <w:p w14:paraId="0332D1F6">
      <w:pPr>
        <w:pStyle w:val="69"/>
        <w:spacing w:line="360" w:lineRule="auto"/>
        <w:ind w:firstLine="480"/>
        <w:rPr>
          <w:rFonts w:hint="eastAsia"/>
          <w:b w:val="0"/>
          <w:bCs w:val="0"/>
          <w:color w:val="auto"/>
          <w:sz w:val="28"/>
          <w:szCs w:val="28"/>
        </w:rPr>
      </w:pPr>
      <w:r>
        <w:rPr>
          <w:rFonts w:hint="eastAsia" w:ascii="宋体" w:hAnsi="宋体" w:eastAsia="宋体" w:cs="宋体"/>
          <w:b w:val="0"/>
          <w:bCs w:val="0"/>
          <w:color w:val="auto"/>
          <w:sz w:val="28"/>
          <w:szCs w:val="28"/>
          <w:lang w:val="en-US" w:eastAsia="zh-CN"/>
        </w:rPr>
        <w:t>（6）废石场2：</w:t>
      </w:r>
      <w:r>
        <w:rPr>
          <w:rFonts w:hint="eastAsia" w:ascii="宋体" w:hAnsi="宋体" w:eastAsia="宋体" w:cs="宋体"/>
          <w:b w:val="0"/>
          <w:bCs w:val="0"/>
          <w:color w:val="auto"/>
          <w:sz w:val="28"/>
          <w:szCs w:val="28"/>
          <w:lang w:eastAsia="zh-CN"/>
        </w:rPr>
        <w:t>将废石场的废石清运至民采坑对其进行回填。清运完成后对场地覆土整平、恢复植被。</w:t>
      </w:r>
    </w:p>
    <w:p w14:paraId="38B13B7A">
      <w:pPr>
        <w:pStyle w:val="69"/>
        <w:spacing w:line="360" w:lineRule="auto"/>
        <w:ind w:firstLine="48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lang w:val="en-US" w:eastAsia="zh-CN"/>
        </w:rPr>
        <w:t>（7）废石场4：</w:t>
      </w:r>
      <w:r>
        <w:rPr>
          <w:rFonts w:hint="eastAsia" w:ascii="宋体" w:hAnsi="宋体" w:eastAsia="宋体" w:cs="宋体"/>
          <w:b w:val="0"/>
          <w:bCs w:val="0"/>
          <w:color w:val="auto"/>
          <w:sz w:val="28"/>
          <w:szCs w:val="28"/>
          <w:lang w:eastAsia="zh-CN"/>
        </w:rPr>
        <w:t>将废石场的废石清运至民采坑对其进行回填。清运完成后对场地覆土整平、恢复植被。</w:t>
      </w:r>
    </w:p>
    <w:p w14:paraId="12D88073">
      <w:pPr>
        <w:pStyle w:val="69"/>
        <w:spacing w:line="360" w:lineRule="auto"/>
        <w:ind w:firstLine="48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lang w:val="en-US" w:eastAsia="zh-CN"/>
        </w:rPr>
        <w:t>（8）废石场5：</w:t>
      </w:r>
      <w:r>
        <w:rPr>
          <w:rFonts w:hint="eastAsia" w:ascii="宋体" w:hAnsi="宋体" w:eastAsia="宋体" w:cs="宋体"/>
          <w:b w:val="0"/>
          <w:bCs w:val="0"/>
          <w:color w:val="auto"/>
          <w:sz w:val="28"/>
          <w:szCs w:val="28"/>
          <w:lang w:eastAsia="zh-CN"/>
        </w:rPr>
        <w:t>将废石场的废石清运至民采坑对其进行回填。清运完成后对场地覆土整平、恢复植被。</w:t>
      </w:r>
    </w:p>
    <w:p w14:paraId="57685E30">
      <w:pPr>
        <w:spacing w:after="0" w:line="360" w:lineRule="auto"/>
        <w:ind w:firstLine="560" w:firstLineChars="200"/>
        <w:contextualSpacing/>
        <w:jc w:val="both"/>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lang w:val="en-US" w:eastAsia="zh-CN"/>
        </w:rPr>
        <w:t>（9）</w:t>
      </w:r>
      <w:r>
        <w:rPr>
          <w:rFonts w:hint="eastAsia" w:ascii="宋体" w:hAnsi="宋体" w:eastAsia="宋体" w:cs="宋体"/>
          <w:b w:val="0"/>
          <w:bCs w:val="0"/>
          <w:color w:val="auto"/>
          <w:sz w:val="28"/>
          <w:szCs w:val="28"/>
        </w:rPr>
        <w:t>办公生活区</w:t>
      </w:r>
      <w:r>
        <w:rPr>
          <w:rFonts w:hint="eastAsia" w:ascii="宋体" w:hAnsi="宋体" w:eastAsia="宋体" w:cs="宋体"/>
          <w:b w:val="0"/>
          <w:bCs w:val="0"/>
          <w:color w:val="auto"/>
          <w:sz w:val="28"/>
          <w:szCs w:val="28"/>
          <w:lang w:eastAsia="zh-CN"/>
        </w:rPr>
        <w:t>：对办公生活区北侧的切坡进行浆砌石护坡。</w:t>
      </w:r>
    </w:p>
    <w:p w14:paraId="3C81B8D3">
      <w:pPr>
        <w:tabs>
          <w:tab w:val="left" w:pos="1300"/>
        </w:tabs>
        <w:spacing w:after="0" w:line="360" w:lineRule="auto"/>
        <w:ind w:firstLine="560" w:firstLineChars="200"/>
        <w:jc w:val="both"/>
        <w:rPr>
          <w:rFonts w:hint="eastAsia" w:ascii="宋体" w:hAnsi="宋体" w:eastAsia="宋体" w:cs="宋体"/>
          <w:b w:val="0"/>
          <w:bCs w:val="0"/>
          <w:color w:val="auto"/>
          <w:sz w:val="28"/>
          <w:szCs w:val="28"/>
          <w:lang w:eastAsia="zh-CN"/>
        </w:rPr>
      </w:pPr>
      <w:r>
        <w:rPr>
          <w:rFonts w:hint="eastAsia" w:ascii="宋体" w:hAnsi="宋体" w:eastAsia="宋体" w:cs="宋体"/>
          <w:b w:val="0"/>
          <w:bCs w:val="0"/>
          <w:color w:val="auto"/>
          <w:sz w:val="28"/>
          <w:szCs w:val="28"/>
          <w:lang w:eastAsia="zh-CN"/>
        </w:rPr>
        <w:t>（</w:t>
      </w:r>
      <w:r>
        <w:rPr>
          <w:rFonts w:hint="eastAsia" w:ascii="宋体" w:hAnsi="宋体" w:eastAsia="宋体" w:cs="宋体"/>
          <w:b w:val="0"/>
          <w:bCs w:val="0"/>
          <w:color w:val="auto"/>
          <w:sz w:val="28"/>
          <w:szCs w:val="28"/>
          <w:lang w:val="en-US" w:eastAsia="zh-CN"/>
        </w:rPr>
        <w:t>10</w:t>
      </w:r>
      <w:r>
        <w:rPr>
          <w:rFonts w:hint="eastAsia" w:ascii="宋体" w:hAnsi="宋体" w:eastAsia="宋体" w:cs="宋体"/>
          <w:b w:val="0"/>
          <w:bCs w:val="0"/>
          <w:color w:val="auto"/>
          <w:sz w:val="28"/>
          <w:szCs w:val="28"/>
          <w:lang w:eastAsia="zh-CN"/>
        </w:rPr>
        <w:t>）矿区道路：对近期矿山不在使用的道路进行覆土整平、恢复植被。</w:t>
      </w:r>
    </w:p>
    <w:p w14:paraId="085B9DD7">
      <w:pPr>
        <w:tabs>
          <w:tab w:val="left" w:pos="1300"/>
        </w:tabs>
        <w:spacing w:after="0" w:line="360" w:lineRule="auto"/>
        <w:ind w:firstLine="560" w:firstLineChars="200"/>
        <w:jc w:val="both"/>
        <w:rPr>
          <w:rFonts w:hint="eastAsia" w:ascii="宋体" w:hAnsi="宋体" w:eastAsia="宋体" w:cs="宋体"/>
          <w:b w:val="0"/>
          <w:bCs w:val="0"/>
          <w:color w:val="auto"/>
          <w:sz w:val="28"/>
          <w:szCs w:val="28"/>
          <w:lang w:eastAsia="zh-CN"/>
        </w:rPr>
      </w:pPr>
      <w:r>
        <w:rPr>
          <w:rFonts w:hint="eastAsia" w:ascii="宋体" w:hAnsi="宋体" w:eastAsia="宋体" w:cs="宋体"/>
          <w:b w:val="0"/>
          <w:bCs w:val="0"/>
          <w:color w:val="auto"/>
          <w:sz w:val="28"/>
          <w:szCs w:val="28"/>
          <w:lang w:eastAsia="zh-CN"/>
        </w:rPr>
        <w:t>（</w:t>
      </w:r>
      <w:r>
        <w:rPr>
          <w:rFonts w:hint="eastAsia" w:ascii="宋体" w:hAnsi="宋体" w:eastAsia="宋体" w:cs="宋体"/>
          <w:b w:val="0"/>
          <w:bCs w:val="0"/>
          <w:color w:val="auto"/>
          <w:sz w:val="28"/>
          <w:szCs w:val="28"/>
          <w:lang w:val="en-US" w:eastAsia="zh-CN"/>
        </w:rPr>
        <w:t>11</w:t>
      </w:r>
      <w:r>
        <w:rPr>
          <w:rFonts w:hint="eastAsia" w:ascii="宋体" w:hAnsi="宋体" w:eastAsia="宋体" w:cs="宋体"/>
          <w:b w:val="0"/>
          <w:bCs w:val="0"/>
          <w:color w:val="auto"/>
          <w:sz w:val="28"/>
          <w:szCs w:val="28"/>
          <w:lang w:eastAsia="zh-CN"/>
        </w:rPr>
        <w:t>）完善前期治理区：对</w:t>
      </w:r>
      <w:r>
        <w:rPr>
          <w:rFonts w:hint="eastAsia"/>
          <w:b w:val="0"/>
          <w:bCs w:val="0"/>
          <w:color w:val="auto"/>
          <w:sz w:val="28"/>
          <w:szCs w:val="28"/>
          <w:highlight w:val="none"/>
          <w:lang w:val="en-US" w:eastAsia="zh-CN"/>
        </w:rPr>
        <w:t>前期露天采场边坡进行监测记录及恢复植被；对探坑、探槽进行恢复植被。</w:t>
      </w:r>
    </w:p>
    <w:p w14:paraId="177F00D6">
      <w:pPr>
        <w:pStyle w:val="69"/>
        <w:spacing w:line="360" w:lineRule="auto"/>
        <w:ind w:firstLine="48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w:t>
      </w:r>
      <w:r>
        <w:rPr>
          <w:rFonts w:hint="eastAsia" w:ascii="宋体" w:hAnsi="宋体" w:eastAsia="宋体" w:cs="宋体"/>
          <w:b w:val="0"/>
          <w:bCs w:val="0"/>
          <w:color w:val="auto"/>
          <w:sz w:val="28"/>
          <w:szCs w:val="28"/>
          <w:lang w:val="en-US" w:eastAsia="zh-CN"/>
        </w:rPr>
        <w:t>12</w:t>
      </w:r>
      <w:r>
        <w:rPr>
          <w:rFonts w:hint="eastAsia" w:ascii="宋体" w:hAnsi="宋体" w:eastAsia="宋体" w:cs="宋体"/>
          <w:b w:val="0"/>
          <w:bCs w:val="0"/>
          <w:color w:val="auto"/>
          <w:sz w:val="28"/>
          <w:szCs w:val="28"/>
        </w:rPr>
        <w:t>）对地质灾害、地形地貌景观及土地资源进行监测，对复垦责任范围植被进行管护。</w:t>
      </w:r>
    </w:p>
    <w:p w14:paraId="67CDFF9E">
      <w:pPr>
        <w:pStyle w:val="69"/>
        <w:spacing w:line="360" w:lineRule="auto"/>
        <w:ind w:firstLine="480"/>
        <w:rPr>
          <w:rFonts w:eastAsia="宋体"/>
          <w:b w:val="0"/>
          <w:bCs w:val="0"/>
          <w:color w:val="auto"/>
          <w:sz w:val="28"/>
          <w:szCs w:val="28"/>
        </w:rPr>
      </w:pPr>
      <w:r>
        <w:rPr>
          <w:rFonts w:eastAsia="宋体"/>
          <w:b w:val="0"/>
          <w:bCs w:val="0"/>
          <w:color w:val="auto"/>
          <w:sz w:val="28"/>
          <w:szCs w:val="28"/>
        </w:rPr>
        <w:t>中期工作部署(202</w:t>
      </w:r>
      <w:r>
        <w:rPr>
          <w:rFonts w:hint="eastAsia" w:eastAsia="宋体"/>
          <w:b w:val="0"/>
          <w:bCs w:val="0"/>
          <w:color w:val="auto"/>
          <w:sz w:val="28"/>
          <w:szCs w:val="28"/>
        </w:rPr>
        <w:t>6</w:t>
      </w:r>
      <w:r>
        <w:rPr>
          <w:rFonts w:eastAsia="宋体"/>
          <w:b w:val="0"/>
          <w:bCs w:val="0"/>
          <w:color w:val="auto"/>
          <w:sz w:val="28"/>
          <w:szCs w:val="28"/>
        </w:rPr>
        <w:t>年</w:t>
      </w:r>
      <w:r>
        <w:rPr>
          <w:rFonts w:hint="eastAsia" w:eastAsia="宋体"/>
          <w:b w:val="0"/>
          <w:bCs w:val="0"/>
          <w:color w:val="auto"/>
          <w:sz w:val="28"/>
          <w:szCs w:val="28"/>
        </w:rPr>
        <w:t>1</w:t>
      </w:r>
      <w:r>
        <w:rPr>
          <w:rFonts w:eastAsia="宋体"/>
          <w:b w:val="0"/>
          <w:bCs w:val="0"/>
          <w:color w:val="auto"/>
          <w:sz w:val="28"/>
          <w:szCs w:val="28"/>
        </w:rPr>
        <w:t>月1日-20</w:t>
      </w:r>
      <w:r>
        <w:rPr>
          <w:rFonts w:hint="eastAsia" w:eastAsia="宋体"/>
          <w:b w:val="0"/>
          <w:bCs w:val="0"/>
          <w:color w:val="auto"/>
          <w:sz w:val="28"/>
          <w:szCs w:val="28"/>
          <w:lang w:val="en-US" w:eastAsia="zh-CN"/>
        </w:rPr>
        <w:t>28</w:t>
      </w:r>
      <w:r>
        <w:rPr>
          <w:rFonts w:eastAsia="宋体"/>
          <w:b w:val="0"/>
          <w:bCs w:val="0"/>
          <w:color w:val="auto"/>
          <w:sz w:val="28"/>
          <w:szCs w:val="28"/>
        </w:rPr>
        <w:t>年</w:t>
      </w:r>
      <w:r>
        <w:rPr>
          <w:rFonts w:hint="eastAsia" w:eastAsia="宋体"/>
          <w:b w:val="0"/>
          <w:bCs w:val="0"/>
          <w:color w:val="auto"/>
          <w:sz w:val="28"/>
          <w:szCs w:val="28"/>
        </w:rPr>
        <w:t>12</w:t>
      </w:r>
      <w:r>
        <w:rPr>
          <w:rFonts w:eastAsia="宋体"/>
          <w:b w:val="0"/>
          <w:bCs w:val="0"/>
          <w:color w:val="auto"/>
          <w:sz w:val="28"/>
          <w:szCs w:val="28"/>
        </w:rPr>
        <w:t>月3</w:t>
      </w:r>
      <w:r>
        <w:rPr>
          <w:rFonts w:hint="eastAsia" w:eastAsia="宋体"/>
          <w:b w:val="0"/>
          <w:bCs w:val="0"/>
          <w:color w:val="auto"/>
          <w:sz w:val="28"/>
          <w:szCs w:val="28"/>
        </w:rPr>
        <w:t>1</w:t>
      </w:r>
      <w:r>
        <w:rPr>
          <w:rFonts w:eastAsia="宋体"/>
          <w:b w:val="0"/>
          <w:bCs w:val="0"/>
          <w:color w:val="auto"/>
          <w:sz w:val="28"/>
          <w:szCs w:val="28"/>
        </w:rPr>
        <w:t>日)</w:t>
      </w:r>
    </w:p>
    <w:p w14:paraId="45D7B262">
      <w:pPr>
        <w:widowControl w:val="0"/>
        <w:spacing w:after="0" w:line="360" w:lineRule="auto"/>
        <w:ind w:firstLine="560" w:firstLineChars="200"/>
        <w:rPr>
          <w:rFonts w:hint="eastAsia"/>
          <w:b w:val="0"/>
          <w:bCs w:val="0"/>
          <w:color w:val="auto"/>
          <w:sz w:val="28"/>
          <w:szCs w:val="28"/>
        </w:rPr>
      </w:pPr>
      <w:r>
        <w:rPr>
          <w:b w:val="0"/>
          <w:bCs w:val="0"/>
          <w:color w:val="auto"/>
          <w:sz w:val="28"/>
          <w:szCs w:val="28"/>
        </w:rPr>
        <w:t>（1）</w:t>
      </w:r>
      <w:r>
        <w:rPr>
          <w:rFonts w:hint="eastAsia"/>
          <w:b w:val="0"/>
          <w:bCs w:val="0"/>
          <w:color w:val="auto"/>
          <w:sz w:val="28"/>
          <w:szCs w:val="28"/>
        </w:rPr>
        <w:t>露天采场</w:t>
      </w:r>
      <w:r>
        <w:rPr>
          <w:b w:val="0"/>
          <w:bCs w:val="0"/>
          <w:color w:val="auto"/>
          <w:sz w:val="28"/>
          <w:szCs w:val="28"/>
        </w:rPr>
        <w:t>：</w:t>
      </w:r>
      <w:r>
        <w:rPr>
          <w:rFonts w:hint="eastAsia"/>
          <w:b w:val="0"/>
          <w:bCs w:val="0"/>
          <w:color w:val="auto"/>
          <w:sz w:val="28"/>
          <w:szCs w:val="28"/>
        </w:rPr>
        <w:t>中</w:t>
      </w:r>
      <w:r>
        <w:rPr>
          <w:b w:val="0"/>
          <w:bCs w:val="0"/>
          <w:color w:val="auto"/>
          <w:sz w:val="28"/>
          <w:szCs w:val="28"/>
        </w:rPr>
        <w:t>期：①对</w:t>
      </w:r>
      <w:r>
        <w:rPr>
          <w:rFonts w:hint="eastAsia"/>
          <w:b w:val="0"/>
          <w:bCs w:val="0"/>
          <w:color w:val="auto"/>
          <w:sz w:val="28"/>
          <w:szCs w:val="28"/>
          <w:lang w:eastAsia="zh-CN"/>
        </w:rPr>
        <w:t>露天采场</w:t>
      </w:r>
      <w:r>
        <w:rPr>
          <w:b w:val="0"/>
          <w:bCs w:val="0"/>
          <w:color w:val="auto"/>
          <w:sz w:val="28"/>
          <w:szCs w:val="28"/>
        </w:rPr>
        <w:t>边坡上存在的危岩体进行清除</w:t>
      </w:r>
      <w:r>
        <w:rPr>
          <w:rFonts w:hint="eastAsia"/>
          <w:b w:val="0"/>
          <w:bCs w:val="0"/>
          <w:color w:val="auto"/>
          <w:sz w:val="28"/>
          <w:szCs w:val="28"/>
        </w:rPr>
        <w:t>；</w:t>
      </w:r>
      <w:r>
        <w:rPr>
          <w:b w:val="0"/>
          <w:bCs w:val="0"/>
          <w:color w:val="auto"/>
          <w:sz w:val="28"/>
          <w:szCs w:val="28"/>
        </w:rPr>
        <w:t>②对《开发利用方案》设计开采到开采境界的</w:t>
      </w:r>
      <w:r>
        <w:rPr>
          <w:rFonts w:hint="eastAsia"/>
          <w:b w:val="0"/>
          <w:bCs w:val="0"/>
          <w:color w:val="auto"/>
          <w:sz w:val="28"/>
          <w:szCs w:val="28"/>
          <w:highlight w:val="none"/>
          <w:shd w:val="clear" w:color="auto" w:fill="auto"/>
          <w:lang w:val="en-US" w:eastAsia="zh-CN"/>
        </w:rPr>
        <w:t>1024m</w:t>
      </w:r>
      <w:r>
        <w:rPr>
          <w:rFonts w:hint="eastAsia"/>
          <w:b w:val="0"/>
          <w:bCs w:val="0"/>
          <w:color w:val="auto"/>
          <w:spacing w:val="-4"/>
          <w:sz w:val="28"/>
          <w:szCs w:val="28"/>
          <w:highlight w:val="none"/>
          <w:shd w:val="clear" w:color="auto" w:fill="auto"/>
          <w:lang w:eastAsia="zh-CN"/>
        </w:rPr>
        <w:t>、</w:t>
      </w:r>
      <w:r>
        <w:rPr>
          <w:rFonts w:hint="eastAsia"/>
          <w:b w:val="0"/>
          <w:bCs w:val="0"/>
          <w:color w:val="auto"/>
          <w:spacing w:val="-4"/>
          <w:sz w:val="28"/>
          <w:szCs w:val="28"/>
          <w:highlight w:val="none"/>
          <w:shd w:val="clear" w:color="auto" w:fill="auto"/>
          <w:lang w:val="en-US" w:eastAsia="zh-CN"/>
        </w:rPr>
        <w:t>1014m</w:t>
      </w:r>
      <w:r>
        <w:rPr>
          <w:rFonts w:hint="eastAsia"/>
          <w:b w:val="0"/>
          <w:bCs w:val="0"/>
          <w:color w:val="auto"/>
          <w:sz w:val="28"/>
          <w:szCs w:val="28"/>
          <w:highlight w:val="none"/>
          <w:shd w:val="clear" w:color="auto" w:fill="auto"/>
          <w:lang w:eastAsia="zh-CN"/>
        </w:rPr>
        <w:t>水平台阶覆土整平、</w:t>
      </w:r>
      <w:r>
        <w:rPr>
          <w:rFonts w:hint="eastAsia"/>
          <w:b w:val="0"/>
          <w:bCs w:val="0"/>
          <w:color w:val="auto"/>
          <w:sz w:val="28"/>
          <w:szCs w:val="28"/>
        </w:rPr>
        <w:t>撒播草籽。</w:t>
      </w:r>
      <w:r>
        <w:rPr>
          <w:b w:val="0"/>
          <w:bCs w:val="0"/>
          <w:color w:val="auto"/>
          <w:sz w:val="28"/>
          <w:szCs w:val="28"/>
        </w:rPr>
        <w:t>对复垦区进行管护。</w:t>
      </w:r>
    </w:p>
    <w:p w14:paraId="5D185EE0">
      <w:pPr>
        <w:spacing w:after="0" w:line="360" w:lineRule="auto"/>
        <w:ind w:firstLine="560" w:firstLineChars="200"/>
        <w:rPr>
          <w:b w:val="0"/>
          <w:bCs w:val="0"/>
          <w:color w:val="auto"/>
          <w:sz w:val="28"/>
          <w:szCs w:val="28"/>
        </w:rPr>
      </w:pPr>
      <w:r>
        <w:rPr>
          <w:b w:val="0"/>
          <w:bCs w:val="0"/>
          <w:color w:val="auto"/>
          <w:sz w:val="28"/>
          <w:szCs w:val="28"/>
        </w:rPr>
        <w:t>（</w:t>
      </w:r>
      <w:r>
        <w:rPr>
          <w:rFonts w:hint="eastAsia"/>
          <w:b w:val="0"/>
          <w:bCs w:val="0"/>
          <w:color w:val="auto"/>
          <w:sz w:val="28"/>
          <w:szCs w:val="28"/>
        </w:rPr>
        <w:t>2</w:t>
      </w:r>
      <w:r>
        <w:rPr>
          <w:b w:val="0"/>
          <w:bCs w:val="0"/>
          <w:color w:val="auto"/>
          <w:sz w:val="28"/>
          <w:szCs w:val="28"/>
        </w:rPr>
        <w:t>）对地质灾害、地形地貌景观及土地资源进行监测，对复垦责任范围植被进行管护。</w:t>
      </w:r>
    </w:p>
    <w:p w14:paraId="2F80B9D6">
      <w:pPr>
        <w:pStyle w:val="69"/>
        <w:spacing w:line="360" w:lineRule="auto"/>
        <w:ind w:firstLine="480"/>
        <w:rPr>
          <w:rFonts w:eastAsia="宋体"/>
          <w:b w:val="0"/>
          <w:bCs w:val="0"/>
          <w:color w:val="auto"/>
          <w:sz w:val="28"/>
          <w:szCs w:val="28"/>
        </w:rPr>
      </w:pPr>
      <w:r>
        <w:rPr>
          <w:rFonts w:hint="eastAsia" w:eastAsia="宋体"/>
          <w:b w:val="0"/>
          <w:bCs w:val="0"/>
          <w:color w:val="auto"/>
          <w:sz w:val="28"/>
          <w:szCs w:val="28"/>
        </w:rPr>
        <w:t>远</w:t>
      </w:r>
      <w:r>
        <w:rPr>
          <w:rFonts w:eastAsia="宋体"/>
          <w:b w:val="0"/>
          <w:bCs w:val="0"/>
          <w:color w:val="auto"/>
          <w:sz w:val="28"/>
          <w:szCs w:val="28"/>
        </w:rPr>
        <w:t>期工作部署(20</w:t>
      </w:r>
      <w:r>
        <w:rPr>
          <w:rFonts w:hint="eastAsia" w:eastAsia="宋体"/>
          <w:b w:val="0"/>
          <w:bCs w:val="0"/>
          <w:color w:val="auto"/>
          <w:sz w:val="28"/>
          <w:szCs w:val="28"/>
          <w:lang w:val="en-US" w:eastAsia="zh-CN"/>
        </w:rPr>
        <w:t>29</w:t>
      </w:r>
      <w:r>
        <w:rPr>
          <w:rFonts w:eastAsia="宋体"/>
          <w:b w:val="0"/>
          <w:bCs w:val="0"/>
          <w:color w:val="auto"/>
          <w:sz w:val="28"/>
          <w:szCs w:val="28"/>
        </w:rPr>
        <w:t>年</w:t>
      </w:r>
      <w:r>
        <w:rPr>
          <w:rFonts w:hint="eastAsia" w:eastAsia="宋体"/>
          <w:b w:val="0"/>
          <w:bCs w:val="0"/>
          <w:color w:val="auto"/>
          <w:sz w:val="28"/>
          <w:szCs w:val="28"/>
        </w:rPr>
        <w:t>1</w:t>
      </w:r>
      <w:r>
        <w:rPr>
          <w:rFonts w:eastAsia="宋体"/>
          <w:b w:val="0"/>
          <w:bCs w:val="0"/>
          <w:color w:val="auto"/>
          <w:sz w:val="28"/>
          <w:szCs w:val="28"/>
        </w:rPr>
        <w:t>月1日-</w:t>
      </w:r>
      <w:r>
        <w:rPr>
          <w:rFonts w:hint="eastAsia" w:eastAsia="宋体"/>
          <w:b w:val="0"/>
          <w:bCs w:val="0"/>
          <w:color w:val="auto"/>
          <w:sz w:val="28"/>
          <w:szCs w:val="28"/>
          <w:lang w:eastAsia="zh-CN"/>
        </w:rPr>
        <w:t>2033年12月31日</w:t>
      </w:r>
      <w:r>
        <w:rPr>
          <w:rFonts w:eastAsia="宋体"/>
          <w:b w:val="0"/>
          <w:bCs w:val="0"/>
          <w:color w:val="auto"/>
          <w:sz w:val="28"/>
          <w:szCs w:val="28"/>
        </w:rPr>
        <w:t>)</w:t>
      </w:r>
    </w:p>
    <w:p w14:paraId="2BA1C5EF">
      <w:pPr>
        <w:widowControl w:val="0"/>
        <w:spacing w:after="0" w:line="360" w:lineRule="auto"/>
        <w:ind w:firstLine="560" w:firstLineChars="200"/>
        <w:rPr>
          <w:rFonts w:hint="eastAsia"/>
          <w:b w:val="0"/>
          <w:bCs w:val="0"/>
          <w:color w:val="auto"/>
          <w:sz w:val="28"/>
          <w:szCs w:val="28"/>
        </w:rPr>
      </w:pPr>
      <w:r>
        <w:rPr>
          <w:b w:val="0"/>
          <w:bCs w:val="0"/>
          <w:color w:val="auto"/>
          <w:sz w:val="28"/>
          <w:szCs w:val="28"/>
        </w:rPr>
        <w:t>（1）</w:t>
      </w:r>
      <w:r>
        <w:rPr>
          <w:rFonts w:hint="eastAsia"/>
          <w:b w:val="0"/>
          <w:bCs w:val="0"/>
          <w:color w:val="auto"/>
          <w:sz w:val="28"/>
          <w:szCs w:val="28"/>
        </w:rPr>
        <w:t>露天采场</w:t>
      </w:r>
      <w:r>
        <w:rPr>
          <w:b w:val="0"/>
          <w:bCs w:val="0"/>
          <w:color w:val="auto"/>
          <w:sz w:val="28"/>
          <w:szCs w:val="28"/>
        </w:rPr>
        <w:t>：远期：</w:t>
      </w:r>
      <w:r>
        <w:rPr>
          <w:color w:val="auto"/>
          <w:sz w:val="28"/>
          <w:szCs w:val="28"/>
        </w:rPr>
        <w:t>①对</w:t>
      </w:r>
      <w:r>
        <w:rPr>
          <w:rFonts w:hint="eastAsia"/>
          <w:color w:val="auto"/>
          <w:sz w:val="28"/>
          <w:szCs w:val="28"/>
          <w:lang w:eastAsia="zh-CN"/>
        </w:rPr>
        <w:t>露天采场</w:t>
      </w:r>
      <w:r>
        <w:rPr>
          <w:color w:val="auto"/>
          <w:sz w:val="28"/>
          <w:szCs w:val="28"/>
        </w:rPr>
        <w:t>边坡上存在的危岩体进行清除</w:t>
      </w:r>
      <w:r>
        <w:rPr>
          <w:rFonts w:hint="eastAsia"/>
          <w:color w:val="auto"/>
          <w:sz w:val="28"/>
          <w:szCs w:val="28"/>
        </w:rPr>
        <w:t>；</w:t>
      </w:r>
      <w:r>
        <w:rPr>
          <w:color w:val="auto"/>
          <w:sz w:val="28"/>
          <w:szCs w:val="28"/>
        </w:rPr>
        <w:t>②</w:t>
      </w:r>
      <w:r>
        <w:rPr>
          <w:rFonts w:hint="eastAsia"/>
          <w:color w:val="auto"/>
          <w:sz w:val="28"/>
          <w:szCs w:val="28"/>
        </w:rPr>
        <w:t>待矿山终采后</w:t>
      </w:r>
      <w:r>
        <w:rPr>
          <w:color w:val="auto"/>
          <w:sz w:val="28"/>
          <w:szCs w:val="28"/>
        </w:rPr>
        <w:t>，对《开发利用方案》设计开采到开采境界的</w:t>
      </w:r>
      <w:r>
        <w:rPr>
          <w:rFonts w:hint="eastAsia"/>
          <w:color w:val="auto"/>
          <w:sz w:val="28"/>
          <w:szCs w:val="28"/>
          <w:highlight w:val="none"/>
          <w:shd w:val="clear" w:color="auto" w:fill="auto"/>
          <w:lang w:val="en-US" w:eastAsia="zh-CN"/>
        </w:rPr>
        <w:t>1004m</w:t>
      </w:r>
      <w:r>
        <w:rPr>
          <w:rFonts w:hint="eastAsia"/>
          <w:bCs/>
          <w:color w:val="auto"/>
          <w:kern w:val="2"/>
          <w:sz w:val="28"/>
          <w:szCs w:val="28"/>
        </w:rPr>
        <w:t>水平</w:t>
      </w:r>
      <w:r>
        <w:rPr>
          <w:rFonts w:hint="eastAsia"/>
          <w:color w:val="auto"/>
          <w:sz w:val="28"/>
          <w:szCs w:val="28"/>
          <w:lang w:eastAsia="zh-CN"/>
        </w:rPr>
        <w:t>坑底</w:t>
      </w:r>
      <w:r>
        <w:rPr>
          <w:rFonts w:hint="eastAsia"/>
          <w:color w:val="auto"/>
          <w:sz w:val="28"/>
          <w:szCs w:val="28"/>
        </w:rPr>
        <w:t>利用</w:t>
      </w:r>
      <w:r>
        <w:rPr>
          <w:rFonts w:hint="eastAsia"/>
          <w:color w:val="auto"/>
          <w:sz w:val="28"/>
          <w:szCs w:val="28"/>
          <w:lang w:eastAsia="zh-CN"/>
        </w:rPr>
        <w:t>废石及</w:t>
      </w:r>
      <w:r>
        <w:rPr>
          <w:rFonts w:hint="eastAsia"/>
          <w:color w:val="auto"/>
          <w:sz w:val="28"/>
          <w:szCs w:val="28"/>
        </w:rPr>
        <w:t>废弃物对</w:t>
      </w:r>
      <w:r>
        <w:rPr>
          <w:rFonts w:hint="eastAsia"/>
          <w:color w:val="auto"/>
          <w:spacing w:val="-4"/>
          <w:sz w:val="28"/>
          <w:szCs w:val="28"/>
          <w:lang w:eastAsia="zh-CN"/>
        </w:rPr>
        <w:t>其</w:t>
      </w:r>
      <w:r>
        <w:rPr>
          <w:rFonts w:hint="eastAsia"/>
          <w:color w:val="auto"/>
          <w:spacing w:val="-4"/>
          <w:sz w:val="28"/>
          <w:szCs w:val="28"/>
        </w:rPr>
        <w:t>进行</w:t>
      </w:r>
      <w:r>
        <w:rPr>
          <w:color w:val="auto"/>
          <w:spacing w:val="-4"/>
          <w:sz w:val="28"/>
          <w:szCs w:val="28"/>
        </w:rPr>
        <w:t>回填</w:t>
      </w:r>
      <w:r>
        <w:rPr>
          <w:rFonts w:hint="eastAsia"/>
          <w:color w:val="auto"/>
          <w:spacing w:val="-4"/>
          <w:sz w:val="28"/>
          <w:szCs w:val="28"/>
        </w:rPr>
        <w:t>、石方整平、</w:t>
      </w:r>
      <w:r>
        <w:rPr>
          <w:color w:val="auto"/>
          <w:sz w:val="28"/>
          <w:szCs w:val="28"/>
        </w:rPr>
        <w:t>覆土整平、</w:t>
      </w:r>
      <w:r>
        <w:rPr>
          <w:rFonts w:hint="eastAsia"/>
          <w:color w:val="auto"/>
          <w:spacing w:val="-4"/>
          <w:sz w:val="28"/>
          <w:szCs w:val="28"/>
          <w:lang w:eastAsia="zh-CN"/>
        </w:rPr>
        <w:t>恢复植被</w:t>
      </w:r>
      <w:r>
        <w:rPr>
          <w:rFonts w:hint="eastAsia"/>
          <w:color w:val="auto"/>
          <w:sz w:val="28"/>
          <w:szCs w:val="28"/>
        </w:rPr>
        <w:t>。</w:t>
      </w:r>
      <w:r>
        <w:rPr>
          <w:b w:val="0"/>
          <w:bCs w:val="0"/>
          <w:color w:val="auto"/>
          <w:sz w:val="28"/>
          <w:szCs w:val="28"/>
        </w:rPr>
        <w:t>对复垦区进行管护。</w:t>
      </w:r>
    </w:p>
    <w:p w14:paraId="49ED7064">
      <w:pPr>
        <w:spacing w:after="0" w:line="360" w:lineRule="auto"/>
        <w:ind w:firstLine="560" w:firstLineChars="200"/>
        <w:contextualSpacing/>
        <w:jc w:val="both"/>
        <w:rPr>
          <w:rFonts w:hint="eastAsia"/>
          <w:b w:val="0"/>
          <w:bCs w:val="0"/>
          <w:color w:val="auto"/>
          <w:sz w:val="28"/>
          <w:szCs w:val="28"/>
        </w:rPr>
      </w:pPr>
      <w:r>
        <w:rPr>
          <w:rFonts w:hint="eastAsia"/>
          <w:b w:val="0"/>
          <w:bCs w:val="0"/>
          <w:color w:val="auto"/>
          <w:sz w:val="28"/>
          <w:szCs w:val="28"/>
          <w:lang w:val="en-US" w:eastAsia="zh-CN"/>
        </w:rPr>
        <w:t>（2）</w:t>
      </w:r>
      <w:r>
        <w:rPr>
          <w:rFonts w:hint="eastAsia"/>
          <w:b w:val="0"/>
          <w:bCs w:val="0"/>
          <w:color w:val="auto"/>
          <w:sz w:val="28"/>
          <w:szCs w:val="28"/>
        </w:rPr>
        <w:t>工业场地</w:t>
      </w:r>
      <w:r>
        <w:rPr>
          <w:rFonts w:hint="eastAsia"/>
          <w:b w:val="0"/>
          <w:bCs w:val="0"/>
          <w:color w:val="auto"/>
          <w:sz w:val="28"/>
          <w:szCs w:val="28"/>
          <w:lang w:eastAsia="zh-CN"/>
        </w:rPr>
        <w:t>：</w:t>
      </w:r>
      <w:r>
        <w:rPr>
          <w:rFonts w:hint="eastAsia"/>
          <w:b w:val="0"/>
          <w:bCs w:val="0"/>
          <w:color w:val="auto"/>
          <w:sz w:val="28"/>
          <w:szCs w:val="28"/>
        </w:rPr>
        <w:t>远</w:t>
      </w:r>
      <w:r>
        <w:rPr>
          <w:b w:val="0"/>
          <w:bCs w:val="0"/>
          <w:color w:val="auto"/>
          <w:sz w:val="28"/>
          <w:szCs w:val="28"/>
        </w:rPr>
        <w:t>期</w:t>
      </w:r>
      <w:r>
        <w:rPr>
          <w:rFonts w:hint="eastAsia"/>
          <w:b w:val="0"/>
          <w:bCs w:val="0"/>
          <w:color w:val="auto"/>
          <w:sz w:val="28"/>
          <w:szCs w:val="28"/>
        </w:rPr>
        <w:t>：待矿山终采后，</w:t>
      </w:r>
      <w:r>
        <w:rPr>
          <w:b w:val="0"/>
          <w:bCs w:val="0"/>
          <w:color w:val="auto"/>
          <w:sz w:val="28"/>
          <w:szCs w:val="28"/>
        </w:rPr>
        <w:t>①对场地内的建筑</w:t>
      </w:r>
      <w:r>
        <w:rPr>
          <w:rFonts w:hint="eastAsia"/>
          <w:b w:val="0"/>
          <w:bCs w:val="0"/>
          <w:color w:val="auto"/>
          <w:sz w:val="28"/>
          <w:szCs w:val="28"/>
          <w:lang w:eastAsia="zh-CN"/>
        </w:rPr>
        <w:t>物及附属设施</w:t>
      </w:r>
      <w:r>
        <w:rPr>
          <w:b w:val="0"/>
          <w:bCs w:val="0"/>
          <w:color w:val="auto"/>
          <w:sz w:val="28"/>
          <w:szCs w:val="28"/>
        </w:rPr>
        <w:t>进行拆除</w:t>
      </w:r>
      <w:r>
        <w:rPr>
          <w:rFonts w:hint="eastAsia"/>
          <w:b w:val="0"/>
          <w:bCs w:val="0"/>
          <w:color w:val="auto"/>
          <w:sz w:val="28"/>
          <w:szCs w:val="28"/>
        </w:rPr>
        <w:t>清理</w:t>
      </w:r>
      <w:r>
        <w:rPr>
          <w:b w:val="0"/>
          <w:bCs w:val="0"/>
          <w:color w:val="auto"/>
          <w:sz w:val="28"/>
          <w:szCs w:val="28"/>
        </w:rPr>
        <w:t>、清运</w:t>
      </w:r>
      <w:r>
        <w:rPr>
          <w:rFonts w:hint="eastAsia"/>
          <w:b w:val="0"/>
          <w:bCs w:val="0"/>
          <w:color w:val="auto"/>
          <w:sz w:val="28"/>
          <w:szCs w:val="28"/>
          <w:lang w:eastAsia="zh-CN"/>
        </w:rPr>
        <w:t>；</w:t>
      </w:r>
      <w:r>
        <w:rPr>
          <w:b w:val="0"/>
          <w:bCs w:val="0"/>
          <w:color w:val="auto"/>
          <w:sz w:val="28"/>
          <w:szCs w:val="28"/>
        </w:rPr>
        <w:t>②</w:t>
      </w:r>
      <w:r>
        <w:rPr>
          <w:rFonts w:hint="eastAsia"/>
          <w:b w:val="0"/>
          <w:bCs w:val="0"/>
          <w:color w:val="auto"/>
          <w:sz w:val="28"/>
          <w:szCs w:val="28"/>
        </w:rPr>
        <w:t>对</w:t>
      </w:r>
      <w:r>
        <w:rPr>
          <w:b w:val="0"/>
          <w:bCs w:val="0"/>
          <w:color w:val="auto"/>
          <w:sz w:val="28"/>
          <w:szCs w:val="28"/>
        </w:rPr>
        <w:t>工业场地</w:t>
      </w:r>
      <w:r>
        <w:rPr>
          <w:rFonts w:hint="eastAsia"/>
          <w:b w:val="0"/>
          <w:bCs w:val="0"/>
          <w:color w:val="auto"/>
          <w:sz w:val="28"/>
          <w:szCs w:val="28"/>
          <w:lang w:eastAsia="zh-CN"/>
        </w:rPr>
        <w:t>西</w:t>
      </w:r>
      <w:r>
        <w:rPr>
          <w:rFonts w:hint="eastAsia"/>
          <w:b w:val="0"/>
          <w:bCs w:val="0"/>
          <w:color w:val="auto"/>
          <w:sz w:val="28"/>
          <w:szCs w:val="28"/>
        </w:rPr>
        <w:t>侧切坡进行垫坡整形</w:t>
      </w:r>
      <w:r>
        <w:rPr>
          <w:rFonts w:hint="eastAsia"/>
          <w:b w:val="0"/>
          <w:bCs w:val="0"/>
          <w:color w:val="auto"/>
          <w:sz w:val="28"/>
          <w:szCs w:val="28"/>
          <w:lang w:eastAsia="zh-CN"/>
        </w:rPr>
        <w:t>；</w:t>
      </w:r>
      <w:r>
        <w:rPr>
          <w:b w:val="0"/>
          <w:bCs w:val="0"/>
          <w:color w:val="auto"/>
          <w:sz w:val="28"/>
          <w:szCs w:val="28"/>
        </w:rPr>
        <w:t>③对场地进行</w:t>
      </w:r>
      <w:r>
        <w:rPr>
          <w:rFonts w:hint="eastAsia"/>
          <w:b w:val="0"/>
          <w:bCs w:val="0"/>
          <w:color w:val="auto"/>
          <w:sz w:val="28"/>
          <w:szCs w:val="28"/>
          <w:lang w:eastAsia="zh-CN"/>
        </w:rPr>
        <w:t>覆土整平、恢复植被</w:t>
      </w:r>
      <w:r>
        <w:rPr>
          <w:b w:val="0"/>
          <w:bCs w:val="0"/>
          <w:color w:val="auto"/>
          <w:sz w:val="28"/>
          <w:szCs w:val="28"/>
        </w:rPr>
        <w:t>。</w:t>
      </w:r>
    </w:p>
    <w:p w14:paraId="0091B54C">
      <w:pPr>
        <w:pStyle w:val="69"/>
        <w:spacing w:line="360" w:lineRule="auto"/>
        <w:ind w:firstLine="48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lang w:val="en-US" w:eastAsia="zh-CN"/>
        </w:rPr>
        <w:t>（3）废石场3</w:t>
      </w:r>
      <w:r>
        <w:rPr>
          <w:rFonts w:hint="eastAsia" w:ascii="宋体" w:hAnsi="宋体" w:eastAsia="宋体" w:cs="宋体"/>
          <w:b w:val="0"/>
          <w:bCs w:val="0"/>
          <w:color w:val="auto"/>
          <w:sz w:val="28"/>
          <w:szCs w:val="28"/>
          <w:lang w:eastAsia="zh-CN"/>
        </w:rPr>
        <w:t>：远</w:t>
      </w:r>
      <w:r>
        <w:rPr>
          <w:rFonts w:hint="eastAsia" w:ascii="宋体" w:hAnsi="宋体" w:eastAsia="宋体" w:cs="宋体"/>
          <w:b w:val="0"/>
          <w:bCs w:val="0"/>
          <w:color w:val="auto"/>
          <w:sz w:val="28"/>
          <w:szCs w:val="28"/>
        </w:rPr>
        <w:t>期：</w:t>
      </w:r>
      <w:r>
        <w:rPr>
          <w:rFonts w:hint="eastAsia" w:ascii="宋体" w:hAnsi="宋体" w:eastAsia="宋体" w:cs="宋体"/>
          <w:b w:val="0"/>
          <w:bCs w:val="0"/>
          <w:color w:val="auto"/>
          <w:sz w:val="28"/>
          <w:szCs w:val="28"/>
          <w:lang w:eastAsia="zh-CN"/>
        </w:rPr>
        <w:t>将废石场的废石清运用于对道路、办公生活区的切坡进行垫坡、对露天采场坑底进行回填。场地清运完成后对场地覆土整平、恢复植被。</w:t>
      </w:r>
    </w:p>
    <w:p w14:paraId="7C88B1A4">
      <w:pPr>
        <w:spacing w:after="0" w:line="360" w:lineRule="auto"/>
        <w:ind w:firstLine="560" w:firstLineChars="200"/>
        <w:contextualSpacing/>
        <w:jc w:val="both"/>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lang w:val="en-US" w:eastAsia="zh-CN"/>
        </w:rPr>
        <w:t>（4）</w:t>
      </w:r>
      <w:r>
        <w:rPr>
          <w:rFonts w:hint="eastAsia" w:ascii="宋体" w:hAnsi="宋体" w:eastAsia="宋体" w:cs="宋体"/>
          <w:b w:val="0"/>
          <w:bCs w:val="0"/>
          <w:color w:val="auto"/>
          <w:sz w:val="28"/>
          <w:szCs w:val="28"/>
        </w:rPr>
        <w:t>矿区道路</w:t>
      </w:r>
      <w:r>
        <w:rPr>
          <w:rFonts w:hint="eastAsia" w:ascii="宋体" w:hAnsi="宋体" w:eastAsia="宋体" w:cs="宋体"/>
          <w:b w:val="0"/>
          <w:bCs w:val="0"/>
          <w:color w:val="auto"/>
          <w:sz w:val="28"/>
          <w:szCs w:val="28"/>
          <w:lang w:eastAsia="zh-CN"/>
        </w:rPr>
        <w:t>：</w:t>
      </w:r>
      <w:r>
        <w:rPr>
          <w:rFonts w:hint="eastAsia" w:ascii="宋体" w:hAnsi="宋体" w:eastAsia="宋体" w:cs="宋体"/>
          <w:b w:val="0"/>
          <w:bCs w:val="0"/>
          <w:color w:val="auto"/>
          <w:sz w:val="28"/>
          <w:szCs w:val="28"/>
        </w:rPr>
        <w:t>远期：待矿山终采后，对矿区道路</w:t>
      </w:r>
      <w:r>
        <w:rPr>
          <w:rFonts w:hint="eastAsia" w:ascii="宋体" w:hAnsi="宋体" w:eastAsia="宋体" w:cs="宋体"/>
          <w:b w:val="0"/>
          <w:bCs w:val="0"/>
          <w:color w:val="auto"/>
          <w:sz w:val="28"/>
          <w:szCs w:val="28"/>
          <w:lang w:eastAsia="zh-CN"/>
        </w:rPr>
        <w:t>切坡</w:t>
      </w:r>
      <w:r>
        <w:rPr>
          <w:rFonts w:hint="eastAsia" w:ascii="宋体" w:hAnsi="宋体" w:eastAsia="宋体" w:cs="宋体"/>
          <w:b w:val="0"/>
          <w:bCs w:val="0"/>
          <w:color w:val="auto"/>
          <w:sz w:val="28"/>
          <w:szCs w:val="28"/>
        </w:rPr>
        <w:t>进行</w:t>
      </w:r>
      <w:r>
        <w:rPr>
          <w:rFonts w:hint="eastAsia" w:ascii="宋体" w:hAnsi="宋体" w:eastAsia="宋体" w:cs="宋体"/>
          <w:b w:val="0"/>
          <w:bCs w:val="0"/>
          <w:color w:val="auto"/>
          <w:sz w:val="28"/>
          <w:szCs w:val="28"/>
          <w:lang w:eastAsia="zh-CN"/>
        </w:rPr>
        <w:t>垫坡整形、覆土整平、恢复植被</w:t>
      </w:r>
      <w:r>
        <w:rPr>
          <w:rFonts w:hint="eastAsia" w:ascii="宋体" w:hAnsi="宋体" w:eastAsia="宋体" w:cs="宋体"/>
          <w:b w:val="0"/>
          <w:bCs w:val="0"/>
          <w:color w:val="auto"/>
          <w:sz w:val="28"/>
          <w:szCs w:val="28"/>
        </w:rPr>
        <w:t>。</w:t>
      </w:r>
    </w:p>
    <w:p w14:paraId="21C099FE">
      <w:pPr>
        <w:spacing w:after="0" w:line="360" w:lineRule="auto"/>
        <w:ind w:firstLine="560" w:firstLineChars="200"/>
        <w:contextualSpacing/>
        <w:jc w:val="both"/>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lang w:val="en-US" w:eastAsia="zh-CN"/>
        </w:rPr>
        <w:t>（5）</w:t>
      </w:r>
      <w:r>
        <w:rPr>
          <w:rFonts w:hint="eastAsia" w:ascii="宋体" w:hAnsi="宋体" w:eastAsia="宋体" w:cs="宋体"/>
          <w:b w:val="0"/>
          <w:bCs w:val="0"/>
          <w:color w:val="auto"/>
          <w:sz w:val="28"/>
          <w:szCs w:val="28"/>
        </w:rPr>
        <w:t>办公生活区</w:t>
      </w:r>
      <w:r>
        <w:rPr>
          <w:rFonts w:hint="eastAsia" w:ascii="宋体" w:hAnsi="宋体" w:eastAsia="宋体" w:cs="宋体"/>
          <w:b w:val="0"/>
          <w:bCs w:val="0"/>
          <w:color w:val="auto"/>
          <w:sz w:val="28"/>
          <w:szCs w:val="28"/>
          <w:lang w:eastAsia="zh-CN"/>
        </w:rPr>
        <w:t>：</w:t>
      </w:r>
      <w:r>
        <w:rPr>
          <w:rFonts w:hint="eastAsia" w:ascii="宋体" w:hAnsi="宋体" w:eastAsia="宋体" w:cs="宋体"/>
          <w:b w:val="0"/>
          <w:bCs w:val="0"/>
          <w:color w:val="auto"/>
          <w:sz w:val="28"/>
          <w:szCs w:val="28"/>
        </w:rPr>
        <w:t>远期：待矿山终采后，对场地内建筑物及附属设施进行拆除清理(拆除物回填至露天采坑)，然后对场地进行</w:t>
      </w:r>
      <w:r>
        <w:rPr>
          <w:rFonts w:hint="eastAsia" w:ascii="宋体" w:hAnsi="宋体" w:eastAsia="宋体" w:cs="宋体"/>
          <w:b w:val="0"/>
          <w:bCs w:val="0"/>
          <w:color w:val="auto"/>
          <w:sz w:val="28"/>
          <w:szCs w:val="28"/>
          <w:lang w:eastAsia="zh-CN"/>
        </w:rPr>
        <w:t>垫坡整形、覆土整平、恢复植被</w:t>
      </w:r>
      <w:r>
        <w:rPr>
          <w:rFonts w:hint="eastAsia" w:ascii="宋体" w:hAnsi="宋体" w:eastAsia="宋体" w:cs="宋体"/>
          <w:b w:val="0"/>
          <w:bCs w:val="0"/>
          <w:color w:val="auto"/>
          <w:sz w:val="28"/>
          <w:szCs w:val="28"/>
        </w:rPr>
        <w:t>。</w:t>
      </w:r>
    </w:p>
    <w:p w14:paraId="7AEEC11E">
      <w:pPr>
        <w:spacing w:after="0" w:line="360" w:lineRule="auto"/>
        <w:ind w:firstLine="560" w:firstLineChars="200"/>
        <w:contextualSpacing/>
        <w:jc w:val="both"/>
        <w:rPr>
          <w:b w:val="0"/>
          <w:bCs w:val="0"/>
          <w:color w:val="auto"/>
          <w:sz w:val="28"/>
          <w:szCs w:val="28"/>
        </w:rPr>
      </w:pPr>
      <w:r>
        <w:rPr>
          <w:b w:val="0"/>
          <w:bCs w:val="0"/>
          <w:color w:val="auto"/>
          <w:sz w:val="28"/>
          <w:szCs w:val="28"/>
        </w:rPr>
        <w:t>（</w:t>
      </w:r>
      <w:r>
        <w:rPr>
          <w:rFonts w:hint="eastAsia"/>
          <w:b w:val="0"/>
          <w:bCs w:val="0"/>
          <w:color w:val="auto"/>
          <w:sz w:val="28"/>
          <w:szCs w:val="28"/>
          <w:lang w:val="en-US" w:eastAsia="zh-CN"/>
        </w:rPr>
        <w:t>6</w:t>
      </w:r>
      <w:r>
        <w:rPr>
          <w:b w:val="0"/>
          <w:bCs w:val="0"/>
          <w:color w:val="auto"/>
          <w:sz w:val="28"/>
          <w:szCs w:val="28"/>
        </w:rPr>
        <w:t>）对地质灾害、地形地貌景观及土地资源进行监测，对复垦责任范围植被进行管护。</w:t>
      </w:r>
    </w:p>
    <w:p w14:paraId="6DC6EAA3">
      <w:pPr>
        <w:pStyle w:val="14"/>
        <w:spacing w:line="360" w:lineRule="auto"/>
        <w:ind w:firstLine="560" w:firstLineChars="200"/>
        <w:rPr>
          <w:rFonts w:eastAsia="宋体"/>
          <w:color w:val="auto"/>
          <w:szCs w:val="28"/>
        </w:rPr>
      </w:pPr>
      <w:r>
        <w:rPr>
          <w:rFonts w:hint="eastAsia" w:eastAsia="宋体"/>
          <w:color w:val="auto"/>
          <w:szCs w:val="28"/>
        </w:rPr>
        <w:t>3、监测工程</w:t>
      </w:r>
    </w:p>
    <w:p w14:paraId="710EB608">
      <w:pPr>
        <w:spacing w:after="0" w:line="360" w:lineRule="auto"/>
        <w:ind w:firstLine="560" w:firstLineChars="200"/>
        <w:contextualSpacing/>
        <w:jc w:val="both"/>
        <w:rPr>
          <w:b w:val="0"/>
          <w:bCs w:val="0"/>
          <w:color w:val="auto"/>
          <w:sz w:val="28"/>
          <w:szCs w:val="28"/>
        </w:rPr>
      </w:pPr>
      <w:r>
        <w:rPr>
          <w:b w:val="0"/>
          <w:bCs w:val="0"/>
          <w:color w:val="auto"/>
          <w:sz w:val="28"/>
          <w:szCs w:val="28"/>
        </w:rPr>
        <w:t>建立</w:t>
      </w:r>
      <w:r>
        <w:rPr>
          <w:rFonts w:hint="eastAsia"/>
          <w:b w:val="0"/>
          <w:bCs w:val="0"/>
          <w:color w:val="auto"/>
          <w:sz w:val="28"/>
          <w:szCs w:val="28"/>
        </w:rPr>
        <w:t>露天采场</w:t>
      </w:r>
      <w:r>
        <w:rPr>
          <w:b w:val="0"/>
          <w:bCs w:val="0"/>
          <w:color w:val="auto"/>
          <w:sz w:val="28"/>
          <w:szCs w:val="28"/>
        </w:rPr>
        <w:t>边坡岩移观测点，按岩层及地表移动观测规程要求，对受采动影响的地表移动变形情况进行监测。</w:t>
      </w:r>
    </w:p>
    <w:p w14:paraId="6F9AC28C">
      <w:pPr>
        <w:spacing w:after="0" w:line="360" w:lineRule="auto"/>
        <w:ind w:firstLine="560" w:firstLineChars="200"/>
        <w:contextualSpacing/>
        <w:jc w:val="both"/>
        <w:rPr>
          <w:b w:val="0"/>
          <w:bCs w:val="0"/>
          <w:color w:val="auto"/>
          <w:sz w:val="28"/>
          <w:szCs w:val="28"/>
        </w:rPr>
      </w:pPr>
      <w:r>
        <w:rPr>
          <w:rFonts w:hint="eastAsia"/>
          <w:b w:val="0"/>
          <w:bCs w:val="0"/>
          <w:color w:val="auto"/>
          <w:sz w:val="28"/>
          <w:szCs w:val="28"/>
          <w:lang w:eastAsia="zh-CN"/>
        </w:rPr>
        <w:t>（</w:t>
      </w:r>
      <w:r>
        <w:rPr>
          <w:rFonts w:hint="eastAsia"/>
          <w:b w:val="0"/>
          <w:bCs w:val="0"/>
          <w:color w:val="auto"/>
          <w:sz w:val="28"/>
          <w:szCs w:val="28"/>
          <w:lang w:val="en-US" w:eastAsia="zh-CN"/>
        </w:rPr>
        <w:t>1</w:t>
      </w:r>
      <w:r>
        <w:rPr>
          <w:rFonts w:hint="eastAsia"/>
          <w:b w:val="0"/>
          <w:bCs w:val="0"/>
          <w:color w:val="auto"/>
          <w:sz w:val="28"/>
          <w:szCs w:val="28"/>
          <w:lang w:eastAsia="zh-CN"/>
        </w:rPr>
        <w:t>）</w:t>
      </w:r>
      <w:r>
        <w:rPr>
          <w:b w:val="0"/>
          <w:bCs w:val="0"/>
          <w:color w:val="auto"/>
          <w:sz w:val="28"/>
          <w:szCs w:val="28"/>
        </w:rPr>
        <w:t>监测点布设</w:t>
      </w:r>
    </w:p>
    <w:p w14:paraId="76790435">
      <w:pPr>
        <w:spacing w:after="0" w:line="360" w:lineRule="auto"/>
        <w:ind w:firstLine="560" w:firstLineChars="200"/>
        <w:contextualSpacing/>
        <w:jc w:val="both"/>
        <w:rPr>
          <w:b w:val="0"/>
          <w:bCs w:val="0"/>
          <w:color w:val="auto"/>
          <w:sz w:val="28"/>
          <w:szCs w:val="28"/>
        </w:rPr>
      </w:pPr>
      <w:r>
        <w:rPr>
          <w:b w:val="0"/>
          <w:bCs w:val="0"/>
          <w:color w:val="auto"/>
          <w:sz w:val="28"/>
          <w:szCs w:val="28"/>
        </w:rPr>
        <w:t>根据矿山实际生产情况，在开采过程中的采场边坡进行稳定性监测，实时监测边坡的变化情况。由于监测边坡在开采中不断变化，故监测点设置在露天采场</w:t>
      </w:r>
      <w:r>
        <w:rPr>
          <w:rFonts w:hint="eastAsia"/>
          <w:b w:val="0"/>
          <w:bCs w:val="0"/>
          <w:color w:val="auto"/>
          <w:sz w:val="28"/>
          <w:szCs w:val="28"/>
        </w:rPr>
        <w:t>边坡外围</w:t>
      </w:r>
      <w:r>
        <w:rPr>
          <w:b w:val="0"/>
          <w:bCs w:val="0"/>
          <w:color w:val="auto"/>
          <w:sz w:val="28"/>
          <w:szCs w:val="28"/>
        </w:rPr>
        <w:t>。</w:t>
      </w:r>
    </w:p>
    <w:p w14:paraId="09A7F5DC">
      <w:pPr>
        <w:spacing w:after="0" w:line="360" w:lineRule="auto"/>
        <w:ind w:firstLine="560" w:firstLineChars="200"/>
        <w:contextualSpacing/>
        <w:jc w:val="both"/>
        <w:rPr>
          <w:b w:val="0"/>
          <w:bCs w:val="0"/>
          <w:color w:val="auto"/>
          <w:sz w:val="28"/>
          <w:szCs w:val="28"/>
        </w:rPr>
      </w:pPr>
      <w:r>
        <w:rPr>
          <w:rFonts w:hint="eastAsia"/>
          <w:b w:val="0"/>
          <w:bCs w:val="0"/>
          <w:color w:val="auto"/>
          <w:sz w:val="28"/>
          <w:szCs w:val="28"/>
          <w:lang w:eastAsia="zh-CN"/>
        </w:rPr>
        <w:t>（</w:t>
      </w:r>
      <w:r>
        <w:rPr>
          <w:rFonts w:hint="eastAsia"/>
          <w:b w:val="0"/>
          <w:bCs w:val="0"/>
          <w:color w:val="auto"/>
          <w:sz w:val="28"/>
          <w:szCs w:val="28"/>
          <w:lang w:val="en-US" w:eastAsia="zh-CN"/>
        </w:rPr>
        <w:t>2</w:t>
      </w:r>
      <w:r>
        <w:rPr>
          <w:rFonts w:hint="eastAsia"/>
          <w:b w:val="0"/>
          <w:bCs w:val="0"/>
          <w:color w:val="auto"/>
          <w:sz w:val="28"/>
          <w:szCs w:val="28"/>
          <w:lang w:eastAsia="zh-CN"/>
        </w:rPr>
        <w:t>）</w:t>
      </w:r>
      <w:r>
        <w:rPr>
          <w:b w:val="0"/>
          <w:bCs w:val="0"/>
          <w:color w:val="auto"/>
          <w:sz w:val="28"/>
          <w:szCs w:val="28"/>
        </w:rPr>
        <w:t>监测内容</w:t>
      </w:r>
    </w:p>
    <w:p w14:paraId="32D7A292">
      <w:pPr>
        <w:spacing w:after="0" w:line="360" w:lineRule="auto"/>
        <w:ind w:firstLine="560" w:firstLineChars="200"/>
        <w:contextualSpacing/>
        <w:jc w:val="both"/>
        <w:rPr>
          <w:b w:val="0"/>
          <w:bCs w:val="0"/>
          <w:color w:val="auto"/>
          <w:sz w:val="28"/>
          <w:szCs w:val="28"/>
        </w:rPr>
      </w:pPr>
      <w:r>
        <w:rPr>
          <w:b w:val="0"/>
          <w:bCs w:val="0"/>
          <w:color w:val="auto"/>
          <w:sz w:val="28"/>
          <w:szCs w:val="28"/>
        </w:rPr>
        <w:t>崩塌：目测、拍照并记录其位置、规模、形成模式、诱因、发生时间等数据；边坡移动变形采用仪器测量其裂缝宽度、变形速度等并进行记录。</w:t>
      </w:r>
    </w:p>
    <w:p w14:paraId="26C225A2">
      <w:pPr>
        <w:spacing w:after="0" w:line="360" w:lineRule="auto"/>
        <w:ind w:firstLine="560" w:firstLineChars="200"/>
        <w:contextualSpacing/>
        <w:jc w:val="both"/>
        <w:rPr>
          <w:b w:val="0"/>
          <w:bCs w:val="0"/>
          <w:color w:val="auto"/>
          <w:sz w:val="28"/>
          <w:szCs w:val="28"/>
        </w:rPr>
      </w:pPr>
      <w:r>
        <w:rPr>
          <w:rFonts w:hint="eastAsia"/>
          <w:b w:val="0"/>
          <w:bCs w:val="0"/>
          <w:color w:val="auto"/>
          <w:sz w:val="28"/>
          <w:szCs w:val="28"/>
          <w:lang w:eastAsia="zh-CN"/>
        </w:rPr>
        <w:t>（</w:t>
      </w:r>
      <w:r>
        <w:rPr>
          <w:rFonts w:hint="eastAsia"/>
          <w:b w:val="0"/>
          <w:bCs w:val="0"/>
          <w:color w:val="auto"/>
          <w:sz w:val="28"/>
          <w:szCs w:val="28"/>
          <w:lang w:val="en-US" w:eastAsia="zh-CN"/>
        </w:rPr>
        <w:t>3</w:t>
      </w:r>
      <w:r>
        <w:rPr>
          <w:rFonts w:hint="eastAsia"/>
          <w:b w:val="0"/>
          <w:bCs w:val="0"/>
          <w:color w:val="auto"/>
          <w:sz w:val="28"/>
          <w:szCs w:val="28"/>
          <w:lang w:eastAsia="zh-CN"/>
        </w:rPr>
        <w:t>）</w:t>
      </w:r>
      <w:r>
        <w:rPr>
          <w:b w:val="0"/>
          <w:bCs w:val="0"/>
          <w:color w:val="auto"/>
          <w:sz w:val="28"/>
          <w:szCs w:val="28"/>
        </w:rPr>
        <w:t>监测方法</w:t>
      </w:r>
    </w:p>
    <w:p w14:paraId="2AECFCC5">
      <w:pPr>
        <w:spacing w:after="0" w:line="360" w:lineRule="auto"/>
        <w:ind w:firstLine="560" w:firstLineChars="200"/>
        <w:contextualSpacing/>
        <w:jc w:val="both"/>
        <w:rPr>
          <w:b w:val="0"/>
          <w:bCs w:val="0"/>
          <w:color w:val="auto"/>
          <w:sz w:val="28"/>
          <w:szCs w:val="28"/>
        </w:rPr>
      </w:pPr>
      <w:r>
        <w:rPr>
          <w:b w:val="0"/>
          <w:bCs w:val="0"/>
          <w:color w:val="auto"/>
          <w:sz w:val="28"/>
          <w:szCs w:val="28"/>
        </w:rPr>
        <w:t>边坡崩塌</w:t>
      </w:r>
      <w:r>
        <w:rPr>
          <w:rFonts w:hint="eastAsia"/>
          <w:b w:val="0"/>
          <w:bCs w:val="0"/>
          <w:color w:val="auto"/>
          <w:sz w:val="28"/>
          <w:szCs w:val="28"/>
          <w:lang w:eastAsia="zh-CN"/>
        </w:rPr>
        <w:t>、滑坡</w:t>
      </w:r>
      <w:r>
        <w:rPr>
          <w:b w:val="0"/>
          <w:bCs w:val="0"/>
          <w:color w:val="auto"/>
          <w:sz w:val="28"/>
          <w:szCs w:val="28"/>
        </w:rPr>
        <w:t>监测采用目测法，移动变形监测采用仪器测量法，铺设监测点方法进行监测，监测点位置随边坡向前推进；共设置监测点</w:t>
      </w:r>
      <w:r>
        <w:rPr>
          <w:rFonts w:hint="eastAsia"/>
          <w:b w:val="0"/>
          <w:bCs w:val="0"/>
          <w:color w:val="auto"/>
          <w:sz w:val="28"/>
          <w:szCs w:val="28"/>
          <w:lang w:val="en-US" w:eastAsia="zh-CN"/>
        </w:rPr>
        <w:t>7</w:t>
      </w:r>
      <w:r>
        <w:rPr>
          <w:b w:val="0"/>
          <w:bCs w:val="0"/>
          <w:color w:val="auto"/>
          <w:sz w:val="28"/>
          <w:szCs w:val="28"/>
        </w:rPr>
        <w:t>个（JC1-JC</w:t>
      </w:r>
      <w:r>
        <w:rPr>
          <w:rFonts w:hint="eastAsia"/>
          <w:b w:val="0"/>
          <w:bCs w:val="0"/>
          <w:color w:val="auto"/>
          <w:sz w:val="28"/>
          <w:szCs w:val="28"/>
          <w:lang w:val="en-US" w:eastAsia="zh-CN"/>
        </w:rPr>
        <w:t>4</w:t>
      </w:r>
      <w:r>
        <w:rPr>
          <w:b w:val="0"/>
          <w:bCs w:val="0"/>
          <w:color w:val="auto"/>
          <w:sz w:val="28"/>
          <w:szCs w:val="28"/>
        </w:rPr>
        <w:t>），监测基准点1个（JC</w:t>
      </w:r>
      <w:r>
        <w:rPr>
          <w:rFonts w:hint="eastAsia"/>
          <w:b w:val="0"/>
          <w:bCs w:val="0"/>
          <w:color w:val="auto"/>
          <w:sz w:val="28"/>
          <w:szCs w:val="28"/>
          <w:lang w:val="en-US" w:eastAsia="zh-CN"/>
        </w:rPr>
        <w:t>4</w:t>
      </w:r>
      <w:r>
        <w:rPr>
          <w:rFonts w:hint="eastAsia"/>
          <w:b w:val="0"/>
          <w:bCs w:val="0"/>
          <w:color w:val="auto"/>
          <w:sz w:val="28"/>
          <w:szCs w:val="28"/>
        </w:rPr>
        <w:t>基准点</w:t>
      </w:r>
      <w:r>
        <w:rPr>
          <w:b w:val="0"/>
          <w:bCs w:val="0"/>
          <w:color w:val="auto"/>
          <w:sz w:val="28"/>
          <w:szCs w:val="28"/>
        </w:rPr>
        <w:t>），基准点布设在露天采场外围，监测点坐标表见表6-</w:t>
      </w:r>
      <w:r>
        <w:rPr>
          <w:rFonts w:hint="eastAsia"/>
          <w:b w:val="0"/>
          <w:bCs w:val="0"/>
          <w:color w:val="auto"/>
          <w:sz w:val="28"/>
          <w:szCs w:val="28"/>
        </w:rPr>
        <w:t>8</w:t>
      </w:r>
      <w:r>
        <w:rPr>
          <w:b w:val="0"/>
          <w:bCs w:val="0"/>
          <w:color w:val="auto"/>
          <w:sz w:val="28"/>
          <w:szCs w:val="28"/>
        </w:rPr>
        <w:t>。</w:t>
      </w:r>
    </w:p>
    <w:p w14:paraId="2C2793FF">
      <w:pPr>
        <w:spacing w:after="0" w:line="360" w:lineRule="auto"/>
        <w:ind w:firstLine="560" w:firstLineChars="200"/>
        <w:contextualSpacing/>
        <w:jc w:val="both"/>
        <w:rPr>
          <w:b w:val="0"/>
          <w:bCs w:val="0"/>
          <w:color w:val="auto"/>
          <w:sz w:val="28"/>
          <w:szCs w:val="28"/>
        </w:rPr>
      </w:pPr>
      <w:r>
        <w:rPr>
          <w:rFonts w:hint="eastAsia"/>
          <w:b w:val="0"/>
          <w:bCs w:val="0"/>
          <w:color w:val="auto"/>
          <w:sz w:val="28"/>
          <w:szCs w:val="28"/>
          <w:lang w:eastAsia="zh-CN"/>
        </w:rPr>
        <w:t>（</w:t>
      </w:r>
      <w:r>
        <w:rPr>
          <w:rFonts w:hint="eastAsia"/>
          <w:b w:val="0"/>
          <w:bCs w:val="0"/>
          <w:color w:val="auto"/>
          <w:sz w:val="28"/>
          <w:szCs w:val="28"/>
          <w:lang w:val="en-US" w:eastAsia="zh-CN"/>
        </w:rPr>
        <w:t>4</w:t>
      </w:r>
      <w:r>
        <w:rPr>
          <w:rFonts w:hint="eastAsia"/>
          <w:b w:val="0"/>
          <w:bCs w:val="0"/>
          <w:color w:val="auto"/>
          <w:sz w:val="28"/>
          <w:szCs w:val="28"/>
          <w:lang w:eastAsia="zh-CN"/>
        </w:rPr>
        <w:t>）</w:t>
      </w:r>
      <w:r>
        <w:rPr>
          <w:b w:val="0"/>
          <w:bCs w:val="0"/>
          <w:color w:val="auto"/>
          <w:sz w:val="28"/>
          <w:szCs w:val="28"/>
        </w:rPr>
        <w:t>监测频率</w:t>
      </w:r>
    </w:p>
    <w:p w14:paraId="27236EE4">
      <w:pPr>
        <w:spacing w:after="0" w:line="360" w:lineRule="auto"/>
        <w:ind w:firstLine="560" w:firstLineChars="200"/>
        <w:contextualSpacing/>
        <w:jc w:val="both"/>
        <w:rPr>
          <w:b w:val="0"/>
          <w:bCs w:val="0"/>
          <w:color w:val="auto"/>
          <w:sz w:val="28"/>
          <w:szCs w:val="28"/>
        </w:rPr>
      </w:pPr>
      <w:r>
        <w:rPr>
          <w:b w:val="0"/>
          <w:bCs w:val="0"/>
          <w:color w:val="auto"/>
          <w:sz w:val="28"/>
          <w:szCs w:val="28"/>
        </w:rPr>
        <w:t>正常情况下每月监测</w:t>
      </w:r>
      <w:r>
        <w:rPr>
          <w:rFonts w:hint="eastAsia"/>
          <w:b w:val="0"/>
          <w:bCs w:val="0"/>
          <w:color w:val="auto"/>
          <w:sz w:val="28"/>
          <w:szCs w:val="28"/>
          <w:lang w:val="en-US" w:eastAsia="zh-CN"/>
        </w:rPr>
        <w:t>1</w:t>
      </w:r>
      <w:r>
        <w:rPr>
          <w:b w:val="0"/>
          <w:bCs w:val="0"/>
          <w:color w:val="auto"/>
          <w:sz w:val="28"/>
          <w:szCs w:val="28"/>
        </w:rPr>
        <w:t>次，雨季时应每周2次；根据实际情况，对于存在隐患的地段则应每天监测1次，或者进行连续跟踪监测，确保及时预警崩塌灾害的发生，避免人员财产的损失。</w:t>
      </w:r>
    </w:p>
    <w:p w14:paraId="377DCF30">
      <w:pPr>
        <w:pStyle w:val="14"/>
        <w:numPr>
          <w:ilvl w:val="0"/>
          <w:numId w:val="1"/>
        </w:numPr>
        <w:spacing w:line="360" w:lineRule="auto"/>
        <w:ind w:firstLine="560" w:firstLineChars="200"/>
        <w:rPr>
          <w:rFonts w:hint="eastAsia" w:eastAsia="宋体"/>
          <w:color w:val="auto"/>
          <w:szCs w:val="28"/>
          <w:lang w:val="en-US" w:eastAsia="zh-CN"/>
        </w:rPr>
      </w:pPr>
      <w:r>
        <w:rPr>
          <w:rFonts w:hint="eastAsia" w:eastAsia="宋体"/>
          <w:color w:val="auto"/>
          <w:szCs w:val="28"/>
          <w:lang w:val="en-US" w:eastAsia="zh-CN"/>
        </w:rPr>
        <w:t>分期治理方案执行情况</w:t>
      </w:r>
    </w:p>
    <w:p w14:paraId="7EFC01AB">
      <w:pPr>
        <w:numPr>
          <w:ilvl w:val="0"/>
          <w:numId w:val="2"/>
        </w:numPr>
        <w:spacing w:after="0" w:line="360" w:lineRule="auto"/>
        <w:ind w:firstLine="560" w:firstLineChars="200"/>
        <w:contextualSpacing/>
        <w:jc w:val="both"/>
        <w:rPr>
          <w:rFonts w:hint="eastAsia"/>
          <w:b w:val="0"/>
          <w:bCs w:val="0"/>
          <w:color w:val="auto"/>
          <w:sz w:val="28"/>
          <w:szCs w:val="28"/>
          <w:lang w:val="en-US" w:eastAsia="zh-CN"/>
        </w:rPr>
      </w:pPr>
      <w:r>
        <w:rPr>
          <w:rFonts w:hint="eastAsia"/>
          <w:b w:val="0"/>
          <w:bCs w:val="0"/>
          <w:color w:val="auto"/>
          <w:sz w:val="28"/>
          <w:szCs w:val="28"/>
          <w:lang w:val="en-US" w:eastAsia="zh-CN"/>
        </w:rPr>
        <w:t>一分期</w:t>
      </w:r>
    </w:p>
    <w:p w14:paraId="00198D27">
      <w:pPr>
        <w:tabs>
          <w:tab w:val="left" w:pos="1300"/>
        </w:tabs>
        <w:spacing w:after="0" w:line="360" w:lineRule="auto"/>
        <w:jc w:val="center"/>
        <w:rPr>
          <w:rFonts w:hint="eastAsia" w:ascii="黑体" w:hAnsi="黑体" w:eastAsia="黑体" w:cs="黑体"/>
          <w:color w:val="auto"/>
          <w:sz w:val="24"/>
          <w:szCs w:val="24"/>
        </w:rPr>
      </w:pPr>
      <w:r>
        <w:rPr>
          <w:rFonts w:hint="eastAsia" w:ascii="黑体" w:hAnsi="黑体" w:eastAsia="黑体" w:cs="黑体"/>
          <w:color w:val="auto"/>
          <w:sz w:val="24"/>
          <w:szCs w:val="24"/>
        </w:rPr>
        <w:t>表</w:t>
      </w:r>
      <w:r>
        <w:rPr>
          <w:rFonts w:hint="eastAsia" w:ascii="黑体" w:hAnsi="黑体" w:eastAsia="黑体" w:cs="黑体"/>
          <w:color w:val="auto"/>
          <w:sz w:val="24"/>
          <w:szCs w:val="24"/>
          <w:lang w:val="en-US" w:eastAsia="zh-CN"/>
        </w:rPr>
        <w:t>2-14</w:t>
      </w:r>
      <w:r>
        <w:rPr>
          <w:rFonts w:hint="eastAsia" w:ascii="黑体" w:hAnsi="黑体" w:eastAsia="黑体" w:cs="黑体"/>
          <w:color w:val="auto"/>
          <w:sz w:val="24"/>
          <w:szCs w:val="24"/>
        </w:rPr>
        <w:t xml:space="preserve">  </w:t>
      </w:r>
      <w:r>
        <w:rPr>
          <w:rFonts w:hint="eastAsia" w:ascii="黑体" w:hAnsi="黑体" w:eastAsia="黑体" w:cs="黑体"/>
          <w:color w:val="auto"/>
          <w:sz w:val="24"/>
          <w:szCs w:val="24"/>
          <w:lang w:val="en-US" w:eastAsia="zh-CN"/>
        </w:rPr>
        <w:t>一分期</w:t>
      </w:r>
      <w:r>
        <w:rPr>
          <w:rFonts w:hint="eastAsia" w:ascii="黑体" w:hAnsi="黑体" w:eastAsia="黑体" w:cs="黑体"/>
          <w:color w:val="auto"/>
          <w:sz w:val="24"/>
          <w:szCs w:val="24"/>
        </w:rPr>
        <w:t>设计治理工程及完成情况</w:t>
      </w:r>
    </w:p>
    <w:tbl>
      <w:tblPr>
        <w:tblStyle w:val="3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3"/>
        <w:gridCol w:w="1298"/>
        <w:gridCol w:w="1686"/>
        <w:gridCol w:w="1388"/>
        <w:gridCol w:w="765"/>
        <w:gridCol w:w="1007"/>
        <w:gridCol w:w="1701"/>
      </w:tblGrid>
      <w:tr w14:paraId="3D5BD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9" w:type="pct"/>
            <w:noWrap w:val="0"/>
            <w:vAlign w:val="center"/>
          </w:tcPr>
          <w:p w14:paraId="359728D6">
            <w:pPr>
              <w:widowControl w:val="0"/>
              <w:spacing w:after="0" w:line="240" w:lineRule="auto"/>
              <w:jc w:val="center"/>
              <w:rPr>
                <w:rFonts w:hint="default" w:ascii="Times New Roman" w:hAnsi="Times New Roman" w:cs="Times New Roman"/>
                <w:color w:val="auto"/>
                <w:kern w:val="2"/>
                <w:sz w:val="21"/>
                <w:szCs w:val="21"/>
              </w:rPr>
            </w:pPr>
            <w:r>
              <w:rPr>
                <w:rFonts w:hint="default" w:ascii="Times New Roman" w:hAnsi="Times New Roman" w:cs="Times New Roman"/>
                <w:color w:val="auto"/>
                <w:kern w:val="2"/>
                <w:sz w:val="21"/>
                <w:szCs w:val="21"/>
              </w:rPr>
              <w:t>治理年限</w:t>
            </w:r>
          </w:p>
        </w:tc>
        <w:tc>
          <w:tcPr>
            <w:tcW w:w="716" w:type="pct"/>
            <w:noWrap w:val="0"/>
            <w:vAlign w:val="center"/>
          </w:tcPr>
          <w:p w14:paraId="1EB08C7D">
            <w:pPr>
              <w:widowControl w:val="0"/>
              <w:spacing w:after="0" w:line="240" w:lineRule="auto"/>
              <w:jc w:val="center"/>
              <w:rPr>
                <w:rFonts w:hint="default" w:ascii="Times New Roman" w:hAnsi="Times New Roman" w:cs="Times New Roman"/>
                <w:color w:val="auto"/>
                <w:kern w:val="2"/>
                <w:sz w:val="21"/>
                <w:szCs w:val="21"/>
              </w:rPr>
            </w:pPr>
            <w:r>
              <w:rPr>
                <w:rFonts w:hint="default" w:ascii="Times New Roman" w:hAnsi="Times New Roman" w:cs="Times New Roman"/>
                <w:color w:val="auto"/>
                <w:kern w:val="2"/>
                <w:sz w:val="21"/>
                <w:szCs w:val="21"/>
              </w:rPr>
              <w:t>治理</w:t>
            </w:r>
          </w:p>
          <w:p w14:paraId="78F227B9">
            <w:pPr>
              <w:widowControl w:val="0"/>
              <w:spacing w:after="0" w:line="240" w:lineRule="auto"/>
              <w:jc w:val="center"/>
              <w:rPr>
                <w:rFonts w:hint="default" w:ascii="Times New Roman" w:hAnsi="Times New Roman" w:cs="Times New Roman"/>
                <w:color w:val="auto"/>
                <w:kern w:val="2"/>
                <w:sz w:val="21"/>
                <w:szCs w:val="21"/>
              </w:rPr>
            </w:pPr>
            <w:r>
              <w:rPr>
                <w:rFonts w:hint="default" w:ascii="Times New Roman" w:hAnsi="Times New Roman" w:cs="Times New Roman"/>
                <w:color w:val="auto"/>
                <w:kern w:val="2"/>
                <w:sz w:val="21"/>
                <w:szCs w:val="21"/>
              </w:rPr>
              <w:t>范围</w:t>
            </w:r>
          </w:p>
        </w:tc>
        <w:tc>
          <w:tcPr>
            <w:tcW w:w="930" w:type="pct"/>
            <w:noWrap w:val="0"/>
            <w:vAlign w:val="center"/>
          </w:tcPr>
          <w:p w14:paraId="18FDA6F8">
            <w:pPr>
              <w:widowControl w:val="0"/>
              <w:spacing w:after="0" w:line="240" w:lineRule="auto"/>
              <w:jc w:val="center"/>
              <w:rPr>
                <w:rFonts w:hint="default" w:ascii="Times New Roman" w:hAnsi="Times New Roman" w:cs="Times New Roman"/>
                <w:color w:val="auto"/>
                <w:kern w:val="2"/>
                <w:sz w:val="21"/>
                <w:szCs w:val="21"/>
              </w:rPr>
            </w:pPr>
            <w:r>
              <w:rPr>
                <w:rFonts w:hint="default" w:ascii="Times New Roman" w:hAnsi="Times New Roman" w:cs="Times New Roman"/>
                <w:color w:val="auto"/>
                <w:kern w:val="2"/>
                <w:sz w:val="21"/>
                <w:szCs w:val="21"/>
              </w:rPr>
              <w:t>设计治</w:t>
            </w:r>
          </w:p>
          <w:p w14:paraId="6621DDF2">
            <w:pPr>
              <w:widowControl w:val="0"/>
              <w:spacing w:after="0" w:line="240" w:lineRule="auto"/>
              <w:jc w:val="center"/>
              <w:rPr>
                <w:rFonts w:hint="default" w:ascii="Times New Roman" w:hAnsi="Times New Roman" w:cs="Times New Roman"/>
                <w:color w:val="auto"/>
                <w:kern w:val="2"/>
                <w:sz w:val="21"/>
                <w:szCs w:val="21"/>
              </w:rPr>
            </w:pPr>
            <w:r>
              <w:rPr>
                <w:rFonts w:hint="default" w:ascii="Times New Roman" w:hAnsi="Times New Roman" w:cs="Times New Roman"/>
                <w:color w:val="auto"/>
                <w:kern w:val="2"/>
                <w:sz w:val="21"/>
                <w:szCs w:val="21"/>
              </w:rPr>
              <w:t>理内容</w:t>
            </w:r>
          </w:p>
        </w:tc>
        <w:tc>
          <w:tcPr>
            <w:tcW w:w="766" w:type="pct"/>
            <w:noWrap w:val="0"/>
            <w:vAlign w:val="center"/>
          </w:tcPr>
          <w:p w14:paraId="044E8406">
            <w:pPr>
              <w:widowControl w:val="0"/>
              <w:spacing w:after="0" w:line="240" w:lineRule="auto"/>
              <w:jc w:val="center"/>
              <w:rPr>
                <w:rFonts w:hint="default" w:ascii="Times New Roman" w:hAnsi="Times New Roman" w:cs="Times New Roman"/>
                <w:color w:val="auto"/>
                <w:kern w:val="2"/>
                <w:sz w:val="21"/>
                <w:szCs w:val="21"/>
              </w:rPr>
            </w:pPr>
            <w:r>
              <w:rPr>
                <w:rFonts w:hint="default" w:ascii="Times New Roman" w:hAnsi="Times New Roman" w:cs="Times New Roman"/>
                <w:color w:val="auto"/>
                <w:kern w:val="2"/>
                <w:sz w:val="21"/>
                <w:szCs w:val="21"/>
              </w:rPr>
              <w:t>设计工程量</w:t>
            </w:r>
          </w:p>
        </w:tc>
        <w:tc>
          <w:tcPr>
            <w:tcW w:w="422" w:type="pct"/>
            <w:noWrap w:val="0"/>
            <w:vAlign w:val="center"/>
          </w:tcPr>
          <w:p w14:paraId="5E77E6C0">
            <w:pPr>
              <w:widowControl w:val="0"/>
              <w:spacing w:after="0" w:line="240" w:lineRule="auto"/>
              <w:jc w:val="center"/>
              <w:rPr>
                <w:rFonts w:hint="default" w:ascii="Times New Roman" w:hAnsi="Times New Roman" w:cs="Times New Roman"/>
                <w:color w:val="auto"/>
                <w:kern w:val="2"/>
                <w:sz w:val="21"/>
                <w:szCs w:val="21"/>
              </w:rPr>
            </w:pPr>
            <w:r>
              <w:rPr>
                <w:rFonts w:hint="default" w:ascii="Times New Roman" w:hAnsi="Times New Roman" w:cs="Times New Roman"/>
                <w:color w:val="auto"/>
                <w:kern w:val="2"/>
                <w:sz w:val="21"/>
                <w:szCs w:val="21"/>
              </w:rPr>
              <w:t>完成</w:t>
            </w:r>
          </w:p>
          <w:p w14:paraId="3ADD8B28">
            <w:pPr>
              <w:widowControl w:val="0"/>
              <w:spacing w:after="0" w:line="240" w:lineRule="auto"/>
              <w:jc w:val="center"/>
              <w:rPr>
                <w:rFonts w:hint="default" w:ascii="Times New Roman" w:hAnsi="Times New Roman" w:cs="Times New Roman"/>
                <w:color w:val="auto"/>
                <w:kern w:val="2"/>
                <w:sz w:val="21"/>
                <w:szCs w:val="21"/>
              </w:rPr>
            </w:pPr>
            <w:r>
              <w:rPr>
                <w:rFonts w:hint="default" w:ascii="Times New Roman" w:hAnsi="Times New Roman" w:cs="Times New Roman"/>
                <w:color w:val="auto"/>
                <w:kern w:val="2"/>
                <w:sz w:val="21"/>
                <w:szCs w:val="21"/>
              </w:rPr>
              <w:t>情况</w:t>
            </w:r>
          </w:p>
        </w:tc>
        <w:tc>
          <w:tcPr>
            <w:tcW w:w="555" w:type="pct"/>
            <w:noWrap w:val="0"/>
            <w:vAlign w:val="center"/>
          </w:tcPr>
          <w:p w14:paraId="586C84F2">
            <w:pPr>
              <w:widowControl w:val="0"/>
              <w:spacing w:after="0" w:line="240" w:lineRule="auto"/>
              <w:jc w:val="center"/>
              <w:rPr>
                <w:rFonts w:hint="default" w:ascii="Times New Roman" w:hAnsi="Times New Roman" w:cs="Times New Roman"/>
                <w:color w:val="auto"/>
                <w:kern w:val="2"/>
                <w:sz w:val="21"/>
                <w:szCs w:val="21"/>
              </w:rPr>
            </w:pPr>
            <w:r>
              <w:rPr>
                <w:rFonts w:hint="default" w:ascii="Times New Roman" w:hAnsi="Times New Roman" w:cs="Times New Roman"/>
                <w:color w:val="auto"/>
                <w:kern w:val="2"/>
                <w:sz w:val="21"/>
                <w:szCs w:val="21"/>
              </w:rPr>
              <w:t>验收</w:t>
            </w:r>
          </w:p>
          <w:p w14:paraId="7ED57F00">
            <w:pPr>
              <w:widowControl w:val="0"/>
              <w:spacing w:after="0" w:line="240" w:lineRule="auto"/>
              <w:jc w:val="center"/>
              <w:rPr>
                <w:rFonts w:hint="default" w:ascii="Times New Roman" w:hAnsi="Times New Roman" w:cs="Times New Roman"/>
                <w:color w:val="auto"/>
                <w:kern w:val="2"/>
                <w:sz w:val="21"/>
                <w:szCs w:val="21"/>
              </w:rPr>
            </w:pPr>
            <w:r>
              <w:rPr>
                <w:rFonts w:hint="default" w:ascii="Times New Roman" w:hAnsi="Times New Roman" w:cs="Times New Roman"/>
                <w:color w:val="auto"/>
                <w:kern w:val="2"/>
                <w:sz w:val="21"/>
                <w:szCs w:val="21"/>
              </w:rPr>
              <w:t>情况</w:t>
            </w:r>
          </w:p>
        </w:tc>
        <w:tc>
          <w:tcPr>
            <w:tcW w:w="938" w:type="pct"/>
            <w:noWrap w:val="0"/>
            <w:vAlign w:val="center"/>
          </w:tcPr>
          <w:p w14:paraId="770C5AC2">
            <w:pPr>
              <w:widowControl w:val="0"/>
              <w:spacing w:after="0" w:line="240" w:lineRule="auto"/>
              <w:jc w:val="center"/>
              <w:rPr>
                <w:rFonts w:hint="default" w:ascii="Times New Roman" w:hAnsi="Times New Roman" w:eastAsia="宋体" w:cs="Times New Roman"/>
                <w:color w:val="auto"/>
                <w:kern w:val="2"/>
                <w:sz w:val="21"/>
                <w:szCs w:val="21"/>
                <w:lang w:eastAsia="zh-CN"/>
              </w:rPr>
            </w:pPr>
            <w:r>
              <w:rPr>
                <w:rFonts w:hint="default" w:ascii="Times New Roman" w:hAnsi="Times New Roman" w:cs="Times New Roman"/>
                <w:color w:val="auto"/>
                <w:kern w:val="2"/>
                <w:sz w:val="21"/>
                <w:szCs w:val="21"/>
                <w:lang w:eastAsia="zh-CN"/>
              </w:rPr>
              <w:t>备注</w:t>
            </w:r>
          </w:p>
        </w:tc>
      </w:tr>
      <w:tr w14:paraId="6E922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9" w:type="pct"/>
            <w:vMerge w:val="restart"/>
            <w:noWrap w:val="0"/>
            <w:vAlign w:val="center"/>
          </w:tcPr>
          <w:p w14:paraId="683A9C54">
            <w:pPr>
              <w:adjustRightInd w:val="0"/>
              <w:snapToGrid w:val="0"/>
              <w:spacing w:after="0"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2014.1.1-</w:t>
            </w:r>
          </w:p>
          <w:p w14:paraId="562E139E">
            <w:pPr>
              <w:widowControl w:val="0"/>
              <w:spacing w:after="0" w:line="240" w:lineRule="auto"/>
              <w:jc w:val="center"/>
              <w:rPr>
                <w:rFonts w:hint="default" w:ascii="Times New Roman" w:hAnsi="Times New Roman" w:cs="Times New Roman"/>
                <w:color w:val="auto"/>
                <w:kern w:val="2"/>
                <w:sz w:val="21"/>
                <w:szCs w:val="21"/>
              </w:rPr>
            </w:pPr>
            <w:r>
              <w:rPr>
                <w:rFonts w:hint="default" w:ascii="Times New Roman" w:hAnsi="Times New Roman" w:cs="Times New Roman"/>
                <w:color w:val="auto"/>
                <w:sz w:val="21"/>
                <w:szCs w:val="21"/>
              </w:rPr>
              <w:t>2016.12.31</w:t>
            </w:r>
          </w:p>
        </w:tc>
        <w:tc>
          <w:tcPr>
            <w:tcW w:w="716" w:type="pct"/>
            <w:noWrap w:val="0"/>
            <w:vAlign w:val="center"/>
          </w:tcPr>
          <w:p w14:paraId="5208EDA6">
            <w:pPr>
              <w:widowControl w:val="0"/>
              <w:spacing w:after="0" w:line="240" w:lineRule="auto"/>
              <w:jc w:val="center"/>
              <w:rPr>
                <w:rFonts w:hint="default" w:ascii="Times New Roman" w:hAnsi="Times New Roman" w:eastAsia="宋体" w:cs="Times New Roman"/>
                <w:color w:val="auto"/>
                <w:kern w:val="2"/>
                <w:sz w:val="21"/>
                <w:szCs w:val="21"/>
                <w:lang w:eastAsia="zh-CN"/>
              </w:rPr>
            </w:pPr>
            <w:r>
              <w:rPr>
                <w:rFonts w:hint="default" w:ascii="Times New Roman" w:hAnsi="Times New Roman" w:cs="Times New Roman"/>
                <w:color w:val="auto"/>
                <w:kern w:val="2"/>
                <w:sz w:val="21"/>
                <w:szCs w:val="21"/>
                <w:lang w:eastAsia="zh-CN"/>
              </w:rPr>
              <w:t>露天采场</w:t>
            </w:r>
          </w:p>
        </w:tc>
        <w:tc>
          <w:tcPr>
            <w:tcW w:w="930" w:type="pct"/>
            <w:noWrap w:val="0"/>
            <w:vAlign w:val="center"/>
          </w:tcPr>
          <w:p w14:paraId="4DAD8BBE">
            <w:pPr>
              <w:widowControl w:val="0"/>
              <w:spacing w:after="0" w:line="240" w:lineRule="auto"/>
              <w:jc w:val="center"/>
              <w:rPr>
                <w:rFonts w:hint="default" w:ascii="Times New Roman" w:hAnsi="Times New Roman" w:cs="Times New Roman"/>
                <w:color w:val="auto"/>
                <w:kern w:val="2"/>
                <w:sz w:val="21"/>
                <w:szCs w:val="21"/>
                <w:lang w:eastAsia="zh-CN"/>
              </w:rPr>
            </w:pPr>
            <w:r>
              <w:rPr>
                <w:rFonts w:hint="default" w:ascii="Times New Roman" w:hAnsi="Times New Roman" w:cs="Times New Roman"/>
                <w:color w:val="auto"/>
                <w:kern w:val="2"/>
                <w:sz w:val="21"/>
                <w:szCs w:val="21"/>
                <w:lang w:eastAsia="zh-CN"/>
              </w:rPr>
              <w:t>表土剥离、</w:t>
            </w:r>
          </w:p>
          <w:p w14:paraId="23A75A15">
            <w:pPr>
              <w:widowControl w:val="0"/>
              <w:spacing w:after="0" w:line="240" w:lineRule="auto"/>
              <w:jc w:val="center"/>
              <w:rPr>
                <w:rFonts w:hint="default" w:ascii="Times New Roman" w:hAnsi="Times New Roman" w:eastAsia="宋体" w:cs="Times New Roman"/>
                <w:color w:val="auto"/>
                <w:kern w:val="2"/>
                <w:sz w:val="21"/>
                <w:szCs w:val="21"/>
                <w:lang w:eastAsia="zh-CN"/>
              </w:rPr>
            </w:pPr>
            <w:r>
              <w:rPr>
                <w:rFonts w:hint="default" w:ascii="Times New Roman" w:hAnsi="Times New Roman" w:cs="Times New Roman"/>
                <w:color w:val="auto"/>
                <w:kern w:val="2"/>
                <w:sz w:val="21"/>
                <w:szCs w:val="21"/>
              </w:rPr>
              <w:t>危岩</w:t>
            </w:r>
            <w:r>
              <w:rPr>
                <w:rFonts w:hint="default" w:ascii="Times New Roman" w:hAnsi="Times New Roman" w:cs="Times New Roman"/>
                <w:color w:val="auto"/>
                <w:kern w:val="2"/>
                <w:sz w:val="21"/>
                <w:szCs w:val="21"/>
                <w:lang w:eastAsia="zh-CN"/>
              </w:rPr>
              <w:t>体</w:t>
            </w:r>
            <w:r>
              <w:rPr>
                <w:rFonts w:hint="default" w:ascii="Times New Roman" w:hAnsi="Times New Roman" w:cs="Times New Roman"/>
                <w:color w:val="auto"/>
                <w:kern w:val="2"/>
                <w:sz w:val="21"/>
                <w:szCs w:val="21"/>
              </w:rPr>
              <w:t>清理</w:t>
            </w:r>
            <w:r>
              <w:rPr>
                <w:rFonts w:hint="default" w:ascii="Times New Roman" w:hAnsi="Times New Roman" w:cs="Times New Roman"/>
                <w:color w:val="auto"/>
                <w:kern w:val="2"/>
                <w:sz w:val="21"/>
                <w:szCs w:val="21"/>
                <w:lang w:eastAsia="zh-CN"/>
              </w:rPr>
              <w:t>、对边坡进行监测</w:t>
            </w:r>
          </w:p>
        </w:tc>
        <w:tc>
          <w:tcPr>
            <w:tcW w:w="766" w:type="pct"/>
            <w:noWrap w:val="0"/>
            <w:vAlign w:val="center"/>
          </w:tcPr>
          <w:p w14:paraId="02360C23">
            <w:pPr>
              <w:widowControl w:val="0"/>
              <w:spacing w:after="0" w:line="240" w:lineRule="auto"/>
              <w:jc w:val="center"/>
              <w:rPr>
                <w:rFonts w:hint="default" w:ascii="Times New Roman" w:hAnsi="Times New Roman" w:cs="Times New Roman"/>
                <w:color w:val="auto"/>
                <w:kern w:val="2"/>
                <w:sz w:val="21"/>
                <w:szCs w:val="21"/>
              </w:rPr>
            </w:pPr>
            <w:r>
              <w:rPr>
                <w:rFonts w:hint="default" w:ascii="Times New Roman" w:hAnsi="Times New Roman" w:cs="Times New Roman"/>
                <w:color w:val="auto"/>
                <w:kern w:val="2"/>
                <w:sz w:val="21"/>
                <w:szCs w:val="21"/>
              </w:rPr>
              <w:t>削坡8230</w:t>
            </w:r>
            <w:r>
              <w:rPr>
                <w:rFonts w:hint="default" w:ascii="Times New Roman" w:hAnsi="Times New Roman" w:cs="Times New Roman"/>
                <w:color w:val="auto"/>
                <w:sz w:val="21"/>
                <w:szCs w:val="21"/>
              </w:rPr>
              <w:t>m³</w:t>
            </w:r>
          </w:p>
        </w:tc>
        <w:tc>
          <w:tcPr>
            <w:tcW w:w="422" w:type="pct"/>
            <w:vMerge w:val="restart"/>
            <w:noWrap w:val="0"/>
            <w:vAlign w:val="center"/>
          </w:tcPr>
          <w:p w14:paraId="32220AF1">
            <w:pPr>
              <w:widowControl w:val="0"/>
              <w:spacing w:after="0" w:line="240" w:lineRule="auto"/>
              <w:jc w:val="center"/>
              <w:rPr>
                <w:rFonts w:hint="default" w:ascii="Times New Roman" w:hAnsi="Times New Roman" w:cs="Times New Roman"/>
                <w:color w:val="auto"/>
                <w:kern w:val="2"/>
                <w:sz w:val="21"/>
                <w:szCs w:val="21"/>
              </w:rPr>
            </w:pPr>
            <w:r>
              <w:rPr>
                <w:rFonts w:hint="default" w:ascii="Times New Roman" w:hAnsi="Times New Roman" w:cs="Times New Roman"/>
                <w:color w:val="auto"/>
                <w:kern w:val="2"/>
                <w:sz w:val="21"/>
                <w:szCs w:val="21"/>
              </w:rPr>
              <w:t>完成</w:t>
            </w:r>
          </w:p>
        </w:tc>
        <w:tc>
          <w:tcPr>
            <w:tcW w:w="555" w:type="pct"/>
            <w:vMerge w:val="restart"/>
            <w:noWrap w:val="0"/>
            <w:vAlign w:val="center"/>
          </w:tcPr>
          <w:p w14:paraId="2F40AC87">
            <w:pPr>
              <w:widowControl w:val="0"/>
              <w:spacing w:after="0" w:line="240" w:lineRule="auto"/>
              <w:jc w:val="center"/>
              <w:rPr>
                <w:rFonts w:hint="default" w:ascii="Times New Roman" w:hAnsi="Times New Roman" w:cs="Times New Roman"/>
                <w:color w:val="auto"/>
                <w:kern w:val="2"/>
                <w:sz w:val="21"/>
                <w:szCs w:val="21"/>
              </w:rPr>
            </w:pPr>
            <w:r>
              <w:rPr>
                <w:rFonts w:hint="default" w:ascii="Times New Roman" w:hAnsi="Times New Roman" w:cs="Times New Roman"/>
                <w:color w:val="auto"/>
                <w:kern w:val="2"/>
                <w:sz w:val="21"/>
                <w:szCs w:val="21"/>
              </w:rPr>
              <w:t>已通过</w:t>
            </w:r>
          </w:p>
          <w:p w14:paraId="6D309BF3">
            <w:pPr>
              <w:widowControl w:val="0"/>
              <w:spacing w:after="0" w:line="240" w:lineRule="auto"/>
              <w:jc w:val="center"/>
              <w:rPr>
                <w:rFonts w:hint="default" w:ascii="Times New Roman" w:hAnsi="Times New Roman" w:cs="Times New Roman"/>
                <w:color w:val="auto"/>
                <w:kern w:val="2"/>
                <w:sz w:val="21"/>
                <w:szCs w:val="21"/>
              </w:rPr>
            </w:pPr>
            <w:r>
              <w:rPr>
                <w:rFonts w:hint="default" w:ascii="Times New Roman" w:hAnsi="Times New Roman" w:cs="Times New Roman"/>
                <w:color w:val="auto"/>
                <w:kern w:val="2"/>
                <w:sz w:val="21"/>
                <w:szCs w:val="21"/>
              </w:rPr>
              <w:t>验收</w:t>
            </w:r>
          </w:p>
        </w:tc>
        <w:tc>
          <w:tcPr>
            <w:tcW w:w="938" w:type="pct"/>
            <w:noWrap w:val="0"/>
            <w:vAlign w:val="center"/>
          </w:tcPr>
          <w:p w14:paraId="2CEEF8BA">
            <w:pPr>
              <w:widowControl w:val="0"/>
              <w:spacing w:after="0" w:line="240" w:lineRule="auto"/>
              <w:jc w:val="center"/>
              <w:rPr>
                <w:rFonts w:hint="default" w:ascii="Times New Roman" w:hAnsi="Times New Roman" w:cs="Times New Roman"/>
                <w:color w:val="auto"/>
                <w:kern w:val="2"/>
                <w:sz w:val="21"/>
                <w:szCs w:val="21"/>
                <w:lang w:eastAsia="zh-CN"/>
              </w:rPr>
            </w:pPr>
            <w:r>
              <w:rPr>
                <w:rFonts w:hint="default" w:ascii="Times New Roman" w:hAnsi="Times New Roman" w:cs="Times New Roman"/>
                <w:color w:val="auto"/>
                <w:kern w:val="2"/>
                <w:sz w:val="21"/>
                <w:szCs w:val="21"/>
                <w:lang w:eastAsia="zh-CN"/>
              </w:rPr>
              <w:t>矿山停产表土剥离未实施、监测记录不完整</w:t>
            </w:r>
          </w:p>
        </w:tc>
      </w:tr>
      <w:tr w14:paraId="499D9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9" w:type="pct"/>
            <w:vMerge w:val="continue"/>
            <w:noWrap w:val="0"/>
            <w:vAlign w:val="center"/>
          </w:tcPr>
          <w:p w14:paraId="48FC4178">
            <w:pPr>
              <w:widowControl w:val="0"/>
              <w:spacing w:after="0" w:line="240" w:lineRule="auto"/>
              <w:jc w:val="center"/>
              <w:rPr>
                <w:rFonts w:hint="default" w:ascii="Times New Roman" w:hAnsi="Times New Roman" w:cs="Times New Roman"/>
                <w:color w:val="auto"/>
                <w:kern w:val="2"/>
                <w:sz w:val="21"/>
                <w:szCs w:val="21"/>
              </w:rPr>
            </w:pPr>
          </w:p>
        </w:tc>
        <w:tc>
          <w:tcPr>
            <w:tcW w:w="716" w:type="pct"/>
            <w:noWrap w:val="0"/>
            <w:vAlign w:val="center"/>
          </w:tcPr>
          <w:p w14:paraId="798D0006">
            <w:pPr>
              <w:widowControl w:val="0"/>
              <w:spacing w:after="0" w:line="240" w:lineRule="auto"/>
              <w:jc w:val="center"/>
              <w:rPr>
                <w:rFonts w:hint="default" w:ascii="Times New Roman" w:hAnsi="Times New Roman" w:cs="Times New Roman"/>
                <w:color w:val="auto"/>
                <w:kern w:val="2"/>
                <w:sz w:val="21"/>
                <w:szCs w:val="21"/>
              </w:rPr>
            </w:pPr>
            <w:r>
              <w:rPr>
                <w:rFonts w:hint="default" w:ascii="Times New Roman" w:hAnsi="Times New Roman" w:cs="Times New Roman"/>
                <w:color w:val="auto"/>
                <w:sz w:val="21"/>
                <w:szCs w:val="21"/>
              </w:rPr>
              <w:t>探槽、探坑</w:t>
            </w:r>
          </w:p>
        </w:tc>
        <w:tc>
          <w:tcPr>
            <w:tcW w:w="930" w:type="pct"/>
            <w:noWrap w:val="0"/>
            <w:vAlign w:val="center"/>
          </w:tcPr>
          <w:p w14:paraId="2F18D7B5">
            <w:pPr>
              <w:widowControl w:val="0"/>
              <w:spacing w:after="0" w:line="240" w:lineRule="auto"/>
              <w:jc w:val="center"/>
              <w:rPr>
                <w:rFonts w:hint="default" w:ascii="Times New Roman" w:hAnsi="Times New Roman" w:cs="Times New Roman"/>
                <w:color w:val="auto"/>
                <w:kern w:val="2"/>
                <w:sz w:val="21"/>
                <w:szCs w:val="21"/>
                <w:lang w:eastAsia="zh-CN"/>
              </w:rPr>
            </w:pPr>
            <w:r>
              <w:rPr>
                <w:rFonts w:hint="default" w:ascii="Times New Roman" w:hAnsi="Times New Roman" w:cs="Times New Roman"/>
                <w:color w:val="auto"/>
                <w:kern w:val="2"/>
                <w:sz w:val="21"/>
                <w:szCs w:val="21"/>
              </w:rPr>
              <w:t>回填、整平</w:t>
            </w:r>
            <w:r>
              <w:rPr>
                <w:rFonts w:hint="default" w:ascii="Times New Roman" w:hAnsi="Times New Roman" w:cs="Times New Roman"/>
                <w:color w:val="auto"/>
                <w:kern w:val="2"/>
                <w:sz w:val="21"/>
                <w:szCs w:val="21"/>
                <w:lang w:eastAsia="zh-CN"/>
              </w:rPr>
              <w:t>、</w:t>
            </w:r>
          </w:p>
          <w:p w14:paraId="15FF9CB1">
            <w:pPr>
              <w:widowControl w:val="0"/>
              <w:spacing w:after="0" w:line="240" w:lineRule="auto"/>
              <w:jc w:val="center"/>
              <w:rPr>
                <w:rFonts w:hint="default" w:ascii="Times New Roman" w:hAnsi="Times New Roman" w:eastAsia="宋体" w:cs="Times New Roman"/>
                <w:color w:val="auto"/>
                <w:kern w:val="2"/>
                <w:sz w:val="21"/>
                <w:szCs w:val="21"/>
                <w:lang w:eastAsia="zh-CN"/>
              </w:rPr>
            </w:pPr>
            <w:r>
              <w:rPr>
                <w:rFonts w:hint="default" w:ascii="Times New Roman" w:hAnsi="Times New Roman" w:cs="Times New Roman"/>
                <w:color w:val="auto"/>
                <w:kern w:val="2"/>
                <w:sz w:val="21"/>
                <w:szCs w:val="21"/>
                <w:lang w:eastAsia="zh-CN"/>
              </w:rPr>
              <w:t>植被恢复</w:t>
            </w:r>
          </w:p>
        </w:tc>
        <w:tc>
          <w:tcPr>
            <w:tcW w:w="766" w:type="pct"/>
            <w:noWrap w:val="0"/>
            <w:vAlign w:val="center"/>
          </w:tcPr>
          <w:p w14:paraId="24282858">
            <w:pPr>
              <w:widowControl w:val="0"/>
              <w:spacing w:after="0" w:line="240" w:lineRule="auto"/>
              <w:jc w:val="center"/>
              <w:rPr>
                <w:rFonts w:hint="default" w:ascii="Times New Roman" w:hAnsi="Times New Roman" w:cs="Times New Roman"/>
                <w:color w:val="auto"/>
                <w:kern w:val="2"/>
                <w:sz w:val="21"/>
                <w:szCs w:val="21"/>
              </w:rPr>
            </w:pPr>
            <w:r>
              <w:rPr>
                <w:rFonts w:hint="default" w:ascii="Times New Roman" w:hAnsi="Times New Roman" w:cs="Times New Roman"/>
                <w:color w:val="auto"/>
                <w:kern w:val="2"/>
                <w:sz w:val="21"/>
                <w:szCs w:val="21"/>
              </w:rPr>
              <w:t>回填6700</w:t>
            </w:r>
            <w:r>
              <w:rPr>
                <w:rFonts w:hint="default" w:ascii="Times New Roman" w:hAnsi="Times New Roman" w:cs="Times New Roman"/>
                <w:color w:val="auto"/>
                <w:sz w:val="21"/>
                <w:szCs w:val="21"/>
              </w:rPr>
              <w:t>m³</w:t>
            </w:r>
          </w:p>
        </w:tc>
        <w:tc>
          <w:tcPr>
            <w:tcW w:w="422" w:type="pct"/>
            <w:vMerge w:val="continue"/>
            <w:noWrap w:val="0"/>
            <w:vAlign w:val="center"/>
          </w:tcPr>
          <w:p w14:paraId="779C6FF6">
            <w:pPr>
              <w:widowControl w:val="0"/>
              <w:spacing w:after="0" w:line="240" w:lineRule="auto"/>
              <w:jc w:val="center"/>
              <w:rPr>
                <w:rFonts w:hint="default" w:ascii="Times New Roman" w:hAnsi="Times New Roman" w:cs="Times New Roman"/>
                <w:color w:val="auto"/>
                <w:kern w:val="2"/>
                <w:sz w:val="21"/>
                <w:szCs w:val="21"/>
              </w:rPr>
            </w:pPr>
          </w:p>
        </w:tc>
        <w:tc>
          <w:tcPr>
            <w:tcW w:w="555" w:type="pct"/>
            <w:vMerge w:val="continue"/>
            <w:noWrap w:val="0"/>
            <w:vAlign w:val="center"/>
          </w:tcPr>
          <w:p w14:paraId="01A459FE">
            <w:pPr>
              <w:widowControl w:val="0"/>
              <w:spacing w:after="0" w:line="240" w:lineRule="auto"/>
              <w:jc w:val="center"/>
              <w:rPr>
                <w:rFonts w:hint="default" w:ascii="Times New Roman" w:hAnsi="Times New Roman" w:cs="Times New Roman"/>
                <w:color w:val="auto"/>
                <w:kern w:val="2"/>
                <w:sz w:val="21"/>
                <w:szCs w:val="21"/>
              </w:rPr>
            </w:pPr>
          </w:p>
        </w:tc>
        <w:tc>
          <w:tcPr>
            <w:tcW w:w="938" w:type="pct"/>
            <w:noWrap w:val="0"/>
            <w:vAlign w:val="center"/>
          </w:tcPr>
          <w:p w14:paraId="6F677DE9">
            <w:pPr>
              <w:widowControl w:val="0"/>
              <w:spacing w:after="0" w:line="240" w:lineRule="auto"/>
              <w:jc w:val="center"/>
              <w:rPr>
                <w:rFonts w:hint="default" w:ascii="Times New Roman" w:hAnsi="Times New Roman" w:eastAsia="宋体" w:cs="Times New Roman"/>
                <w:color w:val="auto"/>
                <w:kern w:val="2"/>
                <w:sz w:val="21"/>
                <w:szCs w:val="21"/>
                <w:lang w:val="en-US" w:eastAsia="zh-CN"/>
              </w:rPr>
            </w:pPr>
            <w:r>
              <w:rPr>
                <w:rFonts w:hint="default" w:ascii="Times New Roman" w:hAnsi="Times New Roman" w:cs="Times New Roman"/>
                <w:color w:val="auto"/>
                <w:kern w:val="2"/>
                <w:sz w:val="21"/>
                <w:szCs w:val="21"/>
                <w:lang w:val="en-US" w:eastAsia="zh-CN"/>
              </w:rPr>
              <w:t>植被恢复欠佳</w:t>
            </w:r>
          </w:p>
        </w:tc>
      </w:tr>
    </w:tbl>
    <w:p w14:paraId="37C6E1E3">
      <w:pPr>
        <w:spacing w:after="0" w:line="360" w:lineRule="auto"/>
        <w:ind w:firstLine="420" w:firstLineChars="200"/>
        <w:contextualSpacing/>
        <w:jc w:val="both"/>
        <w:rPr>
          <w:rFonts w:hint="default"/>
          <w:color w:val="auto"/>
          <w:lang w:val="en-US" w:eastAsia="zh-CN"/>
        </w:rPr>
      </w:pPr>
    </w:p>
    <w:p w14:paraId="0029A5B0">
      <w:pPr>
        <w:pStyle w:val="14"/>
        <w:spacing w:line="360" w:lineRule="auto"/>
        <w:ind w:firstLine="560" w:firstLineChars="200"/>
        <w:rPr>
          <w:rFonts w:eastAsia="宋体"/>
          <w:color w:val="auto"/>
          <w:szCs w:val="28"/>
        </w:rPr>
      </w:pPr>
      <w:r>
        <w:rPr>
          <w:rFonts w:hint="eastAsia" w:eastAsia="宋体"/>
          <w:color w:val="auto"/>
          <w:szCs w:val="28"/>
        </w:rPr>
        <w:t>（</w:t>
      </w:r>
      <w:r>
        <w:rPr>
          <w:rFonts w:hint="eastAsia" w:eastAsia="宋体"/>
          <w:color w:val="auto"/>
          <w:szCs w:val="28"/>
          <w:lang w:val="en-US" w:eastAsia="zh-CN"/>
        </w:rPr>
        <w:t>三</w:t>
      </w:r>
      <w:r>
        <w:rPr>
          <w:rFonts w:hint="eastAsia" w:eastAsia="宋体"/>
          <w:color w:val="auto"/>
          <w:szCs w:val="28"/>
        </w:rPr>
        <w:t>）</w:t>
      </w:r>
      <w:r>
        <w:rPr>
          <w:rFonts w:eastAsia="宋体"/>
          <w:color w:val="auto"/>
          <w:szCs w:val="28"/>
        </w:rPr>
        <w:t>年度治理计划概述</w:t>
      </w:r>
    </w:p>
    <w:p w14:paraId="4B5D45DA">
      <w:pPr>
        <w:spacing w:after="0" w:line="360" w:lineRule="auto"/>
        <w:ind w:firstLine="560" w:firstLineChars="200"/>
        <w:contextualSpacing/>
        <w:jc w:val="both"/>
        <w:rPr>
          <w:rFonts w:hint="default"/>
          <w:b w:val="0"/>
          <w:bCs w:val="0"/>
          <w:color w:val="auto"/>
          <w:sz w:val="28"/>
          <w:szCs w:val="28"/>
          <w:lang w:val="en-US" w:eastAsia="zh-CN"/>
        </w:rPr>
      </w:pPr>
      <w:r>
        <w:rPr>
          <w:rFonts w:hint="default"/>
          <w:b w:val="0"/>
          <w:bCs w:val="0"/>
          <w:color w:val="auto"/>
          <w:sz w:val="28"/>
          <w:szCs w:val="28"/>
        </w:rPr>
        <w:t>20</w:t>
      </w:r>
      <w:r>
        <w:rPr>
          <w:rFonts w:hint="default"/>
          <w:b w:val="0"/>
          <w:bCs w:val="0"/>
          <w:color w:val="auto"/>
          <w:sz w:val="28"/>
          <w:szCs w:val="28"/>
          <w:lang w:val="en-US" w:eastAsia="zh-CN"/>
        </w:rPr>
        <w:t>20</w:t>
      </w:r>
      <w:r>
        <w:rPr>
          <w:rFonts w:hint="default"/>
          <w:b w:val="0"/>
          <w:bCs w:val="0"/>
          <w:color w:val="auto"/>
          <w:sz w:val="28"/>
          <w:szCs w:val="28"/>
        </w:rPr>
        <w:t>年</w:t>
      </w:r>
      <w:r>
        <w:rPr>
          <w:rFonts w:hint="default"/>
          <w:b w:val="0"/>
          <w:bCs w:val="0"/>
          <w:color w:val="auto"/>
          <w:sz w:val="28"/>
          <w:szCs w:val="28"/>
          <w:lang w:val="en-US" w:eastAsia="zh-CN"/>
        </w:rPr>
        <w:t>5月</w:t>
      </w:r>
      <w:r>
        <w:rPr>
          <w:rFonts w:hint="default"/>
          <w:b w:val="0"/>
          <w:bCs w:val="0"/>
          <w:color w:val="auto"/>
          <w:sz w:val="28"/>
          <w:szCs w:val="28"/>
        </w:rPr>
        <w:t>编制了《</w:t>
      </w:r>
      <w:r>
        <w:rPr>
          <w:rFonts w:hint="default"/>
          <w:b w:val="0"/>
          <w:bCs w:val="0"/>
          <w:color w:val="auto"/>
          <w:sz w:val="28"/>
          <w:szCs w:val="28"/>
          <w:lang w:val="en-US" w:eastAsia="zh-CN"/>
        </w:rPr>
        <w:t>松山区初头朗镇窑沟门碎石矿二〇二〇年度矿山地质环境治理计划书</w:t>
      </w:r>
      <w:r>
        <w:rPr>
          <w:rFonts w:hint="default"/>
          <w:b w:val="0"/>
          <w:bCs w:val="0"/>
          <w:color w:val="auto"/>
          <w:sz w:val="28"/>
          <w:szCs w:val="28"/>
        </w:rPr>
        <w:t>》</w:t>
      </w:r>
      <w:r>
        <w:rPr>
          <w:rFonts w:hint="default"/>
          <w:b w:val="0"/>
          <w:bCs w:val="0"/>
          <w:color w:val="auto"/>
          <w:sz w:val="28"/>
          <w:szCs w:val="28"/>
          <w:lang w:eastAsia="zh-CN"/>
        </w:rPr>
        <w:t>，</w:t>
      </w:r>
      <w:r>
        <w:rPr>
          <w:rFonts w:hint="default"/>
          <w:b w:val="0"/>
          <w:bCs w:val="0"/>
          <w:color w:val="auto"/>
          <w:sz w:val="28"/>
          <w:szCs w:val="28"/>
        </w:rPr>
        <w:t>采矿权人根据2020年度治理计划书设计内容实施了治理工程。</w:t>
      </w:r>
      <w:r>
        <w:rPr>
          <w:rFonts w:hint="eastAsia"/>
          <w:b w:val="0"/>
          <w:bCs w:val="0"/>
          <w:color w:val="auto"/>
          <w:sz w:val="28"/>
          <w:szCs w:val="28"/>
          <w:lang w:eastAsia="zh-CN"/>
        </w:rPr>
        <w:t>但现场未进行验收。</w:t>
      </w:r>
      <w:r>
        <w:rPr>
          <w:rFonts w:hint="default"/>
          <w:b w:val="0"/>
          <w:bCs w:val="0"/>
          <w:color w:val="auto"/>
          <w:sz w:val="28"/>
          <w:szCs w:val="28"/>
          <w:lang w:eastAsia="zh-CN"/>
        </w:rPr>
        <w:t>设计治理工程详见表</w:t>
      </w:r>
      <w:r>
        <w:rPr>
          <w:rFonts w:hint="eastAsia"/>
          <w:b w:val="0"/>
          <w:bCs w:val="0"/>
          <w:color w:val="auto"/>
          <w:sz w:val="28"/>
          <w:szCs w:val="28"/>
          <w:lang w:val="en-US" w:eastAsia="zh-CN"/>
        </w:rPr>
        <w:t>2-15</w:t>
      </w:r>
      <w:r>
        <w:rPr>
          <w:rFonts w:hint="default"/>
          <w:b w:val="0"/>
          <w:bCs w:val="0"/>
          <w:color w:val="auto"/>
          <w:sz w:val="28"/>
          <w:szCs w:val="28"/>
          <w:lang w:val="en-US" w:eastAsia="zh-CN"/>
        </w:rPr>
        <w:t>。</w:t>
      </w:r>
    </w:p>
    <w:p w14:paraId="61CD5682">
      <w:pPr>
        <w:tabs>
          <w:tab w:val="left" w:pos="1300"/>
        </w:tabs>
        <w:spacing w:after="0" w:line="360" w:lineRule="auto"/>
        <w:jc w:val="center"/>
        <w:rPr>
          <w:rFonts w:hint="eastAsia" w:ascii="黑体" w:hAnsi="黑体" w:eastAsia="黑体" w:cs="黑体"/>
          <w:color w:val="auto"/>
          <w:sz w:val="24"/>
          <w:szCs w:val="24"/>
        </w:rPr>
      </w:pPr>
      <w:r>
        <w:rPr>
          <w:rFonts w:hint="eastAsia" w:ascii="黑体" w:hAnsi="黑体" w:eastAsia="黑体" w:cs="黑体"/>
          <w:color w:val="auto"/>
          <w:sz w:val="24"/>
          <w:szCs w:val="24"/>
        </w:rPr>
        <w:t>表</w:t>
      </w:r>
      <w:r>
        <w:rPr>
          <w:rFonts w:hint="eastAsia" w:ascii="黑体" w:hAnsi="黑体" w:eastAsia="黑体" w:cs="黑体"/>
          <w:color w:val="auto"/>
          <w:sz w:val="24"/>
          <w:szCs w:val="24"/>
          <w:lang w:val="en-US" w:eastAsia="zh-CN"/>
        </w:rPr>
        <w:t>2-15</w:t>
      </w:r>
      <w:r>
        <w:rPr>
          <w:rFonts w:hint="eastAsia" w:ascii="黑体" w:hAnsi="黑体" w:eastAsia="黑体" w:cs="黑体"/>
          <w:color w:val="auto"/>
          <w:sz w:val="24"/>
          <w:szCs w:val="24"/>
        </w:rPr>
        <w:t xml:space="preserve">  《</w:t>
      </w:r>
      <w:r>
        <w:rPr>
          <w:rFonts w:hint="eastAsia" w:eastAsia="黑体"/>
          <w:color w:val="auto"/>
          <w:sz w:val="24"/>
          <w:lang w:val="en-US" w:eastAsia="zh-CN"/>
        </w:rPr>
        <w:t>2020年度治理计划</w:t>
      </w:r>
      <w:r>
        <w:rPr>
          <w:rFonts w:hint="eastAsia" w:ascii="黑体" w:hAnsi="黑体" w:eastAsia="黑体" w:cs="黑体"/>
          <w:color w:val="auto"/>
          <w:sz w:val="24"/>
          <w:szCs w:val="24"/>
        </w:rPr>
        <w:t>》设计治理工程及完成情况</w:t>
      </w:r>
    </w:p>
    <w:tbl>
      <w:tblPr>
        <w:tblStyle w:val="3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4"/>
        <w:gridCol w:w="1186"/>
        <w:gridCol w:w="1652"/>
        <w:gridCol w:w="1855"/>
        <w:gridCol w:w="930"/>
        <w:gridCol w:w="1075"/>
        <w:gridCol w:w="1075"/>
      </w:tblGrid>
      <w:tr w14:paraId="4A219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8" w:type="pct"/>
            <w:noWrap w:val="0"/>
            <w:vAlign w:val="center"/>
          </w:tcPr>
          <w:p w14:paraId="3B3873AC">
            <w:pPr>
              <w:widowControl w:val="0"/>
              <w:spacing w:after="0" w:line="240" w:lineRule="auto"/>
              <w:jc w:val="center"/>
              <w:rPr>
                <w:color w:val="auto"/>
                <w:kern w:val="2"/>
                <w:sz w:val="21"/>
                <w:szCs w:val="21"/>
              </w:rPr>
            </w:pPr>
            <w:r>
              <w:rPr>
                <w:color w:val="auto"/>
                <w:kern w:val="2"/>
                <w:sz w:val="21"/>
                <w:szCs w:val="21"/>
              </w:rPr>
              <w:t>治理年限</w:t>
            </w:r>
          </w:p>
        </w:tc>
        <w:tc>
          <w:tcPr>
            <w:tcW w:w="654" w:type="pct"/>
            <w:noWrap w:val="0"/>
            <w:vAlign w:val="center"/>
          </w:tcPr>
          <w:p w14:paraId="10DB33DD">
            <w:pPr>
              <w:widowControl w:val="0"/>
              <w:spacing w:after="0" w:line="240" w:lineRule="auto"/>
              <w:jc w:val="center"/>
              <w:rPr>
                <w:color w:val="auto"/>
                <w:kern w:val="2"/>
                <w:sz w:val="21"/>
                <w:szCs w:val="21"/>
              </w:rPr>
            </w:pPr>
            <w:r>
              <w:rPr>
                <w:color w:val="auto"/>
                <w:kern w:val="2"/>
                <w:sz w:val="21"/>
                <w:szCs w:val="21"/>
              </w:rPr>
              <w:t>治理</w:t>
            </w:r>
          </w:p>
          <w:p w14:paraId="46B43A4C">
            <w:pPr>
              <w:widowControl w:val="0"/>
              <w:spacing w:after="0" w:line="240" w:lineRule="auto"/>
              <w:jc w:val="center"/>
              <w:rPr>
                <w:color w:val="auto"/>
                <w:kern w:val="2"/>
                <w:sz w:val="21"/>
                <w:szCs w:val="21"/>
              </w:rPr>
            </w:pPr>
            <w:r>
              <w:rPr>
                <w:color w:val="auto"/>
                <w:kern w:val="2"/>
                <w:sz w:val="21"/>
                <w:szCs w:val="21"/>
              </w:rPr>
              <w:t>范围</w:t>
            </w:r>
          </w:p>
        </w:tc>
        <w:tc>
          <w:tcPr>
            <w:tcW w:w="911" w:type="pct"/>
            <w:noWrap w:val="0"/>
            <w:vAlign w:val="center"/>
          </w:tcPr>
          <w:p w14:paraId="01CC66DE">
            <w:pPr>
              <w:widowControl w:val="0"/>
              <w:spacing w:after="0" w:line="240" w:lineRule="auto"/>
              <w:jc w:val="center"/>
              <w:rPr>
                <w:color w:val="auto"/>
                <w:kern w:val="2"/>
                <w:sz w:val="21"/>
                <w:szCs w:val="21"/>
              </w:rPr>
            </w:pPr>
            <w:r>
              <w:rPr>
                <w:color w:val="auto"/>
                <w:kern w:val="2"/>
                <w:sz w:val="21"/>
                <w:szCs w:val="21"/>
              </w:rPr>
              <w:t>设计治</w:t>
            </w:r>
          </w:p>
          <w:p w14:paraId="22E9C393">
            <w:pPr>
              <w:widowControl w:val="0"/>
              <w:spacing w:after="0" w:line="240" w:lineRule="auto"/>
              <w:jc w:val="center"/>
              <w:rPr>
                <w:color w:val="auto"/>
                <w:kern w:val="2"/>
                <w:sz w:val="21"/>
                <w:szCs w:val="21"/>
              </w:rPr>
            </w:pPr>
            <w:r>
              <w:rPr>
                <w:color w:val="auto"/>
                <w:kern w:val="2"/>
                <w:sz w:val="21"/>
                <w:szCs w:val="21"/>
              </w:rPr>
              <w:t>理内容</w:t>
            </w:r>
          </w:p>
        </w:tc>
        <w:tc>
          <w:tcPr>
            <w:tcW w:w="1023" w:type="pct"/>
            <w:noWrap w:val="0"/>
            <w:vAlign w:val="center"/>
          </w:tcPr>
          <w:p w14:paraId="1866B323">
            <w:pPr>
              <w:widowControl w:val="0"/>
              <w:spacing w:after="0" w:line="240" w:lineRule="auto"/>
              <w:jc w:val="center"/>
              <w:rPr>
                <w:color w:val="auto"/>
                <w:kern w:val="2"/>
                <w:sz w:val="21"/>
                <w:szCs w:val="21"/>
              </w:rPr>
            </w:pPr>
            <w:r>
              <w:rPr>
                <w:color w:val="auto"/>
                <w:kern w:val="2"/>
                <w:sz w:val="21"/>
                <w:szCs w:val="21"/>
              </w:rPr>
              <w:t>设计工程量</w:t>
            </w:r>
          </w:p>
        </w:tc>
        <w:tc>
          <w:tcPr>
            <w:tcW w:w="513" w:type="pct"/>
            <w:noWrap w:val="0"/>
            <w:vAlign w:val="center"/>
          </w:tcPr>
          <w:p w14:paraId="44350250">
            <w:pPr>
              <w:widowControl w:val="0"/>
              <w:spacing w:after="0" w:line="240" w:lineRule="auto"/>
              <w:jc w:val="center"/>
              <w:rPr>
                <w:color w:val="auto"/>
                <w:kern w:val="2"/>
                <w:sz w:val="21"/>
                <w:szCs w:val="21"/>
              </w:rPr>
            </w:pPr>
            <w:r>
              <w:rPr>
                <w:color w:val="auto"/>
                <w:kern w:val="2"/>
                <w:sz w:val="21"/>
                <w:szCs w:val="21"/>
              </w:rPr>
              <w:t>完成</w:t>
            </w:r>
          </w:p>
          <w:p w14:paraId="00CE1967">
            <w:pPr>
              <w:widowControl w:val="0"/>
              <w:spacing w:after="0" w:line="240" w:lineRule="auto"/>
              <w:jc w:val="center"/>
              <w:rPr>
                <w:color w:val="auto"/>
                <w:kern w:val="2"/>
                <w:sz w:val="21"/>
                <w:szCs w:val="21"/>
              </w:rPr>
            </w:pPr>
            <w:r>
              <w:rPr>
                <w:color w:val="auto"/>
                <w:kern w:val="2"/>
                <w:sz w:val="21"/>
                <w:szCs w:val="21"/>
              </w:rPr>
              <w:t>情况</w:t>
            </w:r>
          </w:p>
        </w:tc>
        <w:tc>
          <w:tcPr>
            <w:tcW w:w="593" w:type="pct"/>
            <w:noWrap w:val="0"/>
            <w:vAlign w:val="center"/>
          </w:tcPr>
          <w:p w14:paraId="65A637B8">
            <w:pPr>
              <w:widowControl w:val="0"/>
              <w:spacing w:after="0" w:line="240" w:lineRule="auto"/>
              <w:jc w:val="center"/>
              <w:rPr>
                <w:color w:val="auto"/>
                <w:kern w:val="2"/>
                <w:sz w:val="21"/>
                <w:szCs w:val="21"/>
              </w:rPr>
            </w:pPr>
            <w:r>
              <w:rPr>
                <w:color w:val="auto"/>
                <w:kern w:val="2"/>
                <w:sz w:val="21"/>
                <w:szCs w:val="21"/>
              </w:rPr>
              <w:t>投入金额(万元)</w:t>
            </w:r>
          </w:p>
        </w:tc>
        <w:tc>
          <w:tcPr>
            <w:tcW w:w="593" w:type="pct"/>
            <w:noWrap w:val="0"/>
            <w:vAlign w:val="center"/>
          </w:tcPr>
          <w:p w14:paraId="70E79B9C">
            <w:pPr>
              <w:widowControl w:val="0"/>
              <w:spacing w:after="0" w:line="240" w:lineRule="auto"/>
              <w:jc w:val="center"/>
              <w:rPr>
                <w:rFonts w:hint="eastAsia"/>
                <w:color w:val="auto"/>
                <w:kern w:val="2"/>
                <w:sz w:val="21"/>
                <w:szCs w:val="21"/>
                <w:lang w:eastAsia="zh-CN"/>
              </w:rPr>
            </w:pPr>
            <w:r>
              <w:rPr>
                <w:rFonts w:hint="eastAsia"/>
                <w:color w:val="auto"/>
                <w:kern w:val="2"/>
                <w:sz w:val="21"/>
                <w:szCs w:val="21"/>
                <w:lang w:eastAsia="zh-CN"/>
              </w:rPr>
              <w:t>验收</w:t>
            </w:r>
          </w:p>
          <w:p w14:paraId="721EDFFA">
            <w:pPr>
              <w:widowControl w:val="0"/>
              <w:spacing w:after="0" w:line="240" w:lineRule="auto"/>
              <w:jc w:val="center"/>
              <w:rPr>
                <w:rFonts w:hint="eastAsia" w:eastAsia="宋体"/>
                <w:color w:val="auto"/>
                <w:kern w:val="2"/>
                <w:sz w:val="21"/>
                <w:szCs w:val="21"/>
                <w:lang w:eastAsia="zh-CN"/>
              </w:rPr>
            </w:pPr>
            <w:r>
              <w:rPr>
                <w:rFonts w:hint="eastAsia"/>
                <w:color w:val="auto"/>
                <w:kern w:val="2"/>
                <w:sz w:val="21"/>
                <w:szCs w:val="21"/>
                <w:lang w:eastAsia="zh-CN"/>
              </w:rPr>
              <w:t>情况</w:t>
            </w:r>
          </w:p>
        </w:tc>
      </w:tr>
      <w:tr w14:paraId="4712A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8" w:type="pct"/>
            <w:noWrap w:val="0"/>
            <w:vAlign w:val="center"/>
          </w:tcPr>
          <w:p w14:paraId="295DA9B3">
            <w:pPr>
              <w:widowControl w:val="0"/>
              <w:spacing w:after="0" w:line="240" w:lineRule="auto"/>
              <w:jc w:val="center"/>
              <w:rPr>
                <w:rFonts w:hint="eastAsia"/>
                <w:color w:val="auto"/>
                <w:sz w:val="21"/>
                <w:szCs w:val="21"/>
                <w:lang w:val="en-US" w:eastAsia="zh-CN"/>
              </w:rPr>
            </w:pPr>
            <w:r>
              <w:rPr>
                <w:rFonts w:hint="eastAsia"/>
                <w:color w:val="auto"/>
                <w:sz w:val="21"/>
                <w:szCs w:val="21"/>
                <w:lang w:val="en-US" w:eastAsia="zh-CN"/>
              </w:rPr>
              <w:t>2020.1.1-</w:t>
            </w:r>
          </w:p>
          <w:p w14:paraId="4CF42587">
            <w:pPr>
              <w:widowControl w:val="0"/>
              <w:spacing w:after="0" w:line="240" w:lineRule="auto"/>
              <w:jc w:val="center"/>
              <w:rPr>
                <w:rFonts w:hint="default" w:eastAsia="宋体"/>
                <w:color w:val="auto"/>
                <w:kern w:val="2"/>
                <w:sz w:val="21"/>
                <w:szCs w:val="21"/>
                <w:lang w:val="en-US" w:eastAsia="zh-CN"/>
              </w:rPr>
            </w:pPr>
            <w:r>
              <w:rPr>
                <w:rFonts w:hint="eastAsia"/>
                <w:color w:val="auto"/>
                <w:sz w:val="21"/>
                <w:szCs w:val="21"/>
                <w:lang w:val="en-US" w:eastAsia="zh-CN"/>
              </w:rPr>
              <w:t>2020.12.31</w:t>
            </w:r>
          </w:p>
        </w:tc>
        <w:tc>
          <w:tcPr>
            <w:tcW w:w="654" w:type="pct"/>
            <w:noWrap w:val="0"/>
            <w:vAlign w:val="center"/>
          </w:tcPr>
          <w:p w14:paraId="15CBB21F">
            <w:pPr>
              <w:widowControl w:val="0"/>
              <w:spacing w:after="0" w:line="240" w:lineRule="auto"/>
              <w:jc w:val="center"/>
              <w:rPr>
                <w:rFonts w:hint="eastAsia" w:eastAsia="宋体"/>
                <w:color w:val="auto"/>
                <w:kern w:val="2"/>
                <w:sz w:val="21"/>
                <w:szCs w:val="21"/>
                <w:lang w:eastAsia="zh-CN"/>
              </w:rPr>
            </w:pPr>
            <w:r>
              <w:rPr>
                <w:rFonts w:hint="eastAsia"/>
                <w:color w:val="auto"/>
                <w:kern w:val="2"/>
                <w:sz w:val="21"/>
                <w:szCs w:val="21"/>
                <w:lang w:eastAsia="zh-CN"/>
              </w:rPr>
              <w:t>露天采场</w:t>
            </w:r>
          </w:p>
        </w:tc>
        <w:tc>
          <w:tcPr>
            <w:tcW w:w="911" w:type="pct"/>
            <w:noWrap w:val="0"/>
            <w:vAlign w:val="center"/>
          </w:tcPr>
          <w:p w14:paraId="1F6D4A5E">
            <w:pPr>
              <w:widowControl w:val="0"/>
              <w:spacing w:after="0" w:line="240" w:lineRule="auto"/>
              <w:jc w:val="center"/>
              <w:rPr>
                <w:rFonts w:hint="eastAsia" w:eastAsia="宋体"/>
                <w:color w:val="auto"/>
                <w:kern w:val="2"/>
                <w:sz w:val="21"/>
                <w:szCs w:val="21"/>
                <w:lang w:eastAsia="zh-CN"/>
              </w:rPr>
            </w:pPr>
            <w:r>
              <w:rPr>
                <w:rFonts w:hint="eastAsia"/>
                <w:color w:val="auto"/>
                <w:kern w:val="2"/>
                <w:sz w:val="21"/>
                <w:szCs w:val="21"/>
                <w:lang w:eastAsia="zh-CN"/>
              </w:rPr>
              <w:t>危岩体清理、对矿区监测管护</w:t>
            </w:r>
          </w:p>
        </w:tc>
        <w:tc>
          <w:tcPr>
            <w:tcW w:w="1023" w:type="pct"/>
            <w:noWrap w:val="0"/>
            <w:vAlign w:val="center"/>
          </w:tcPr>
          <w:p w14:paraId="670A24D6">
            <w:pPr>
              <w:widowControl w:val="0"/>
              <w:spacing w:after="0" w:line="240" w:lineRule="auto"/>
              <w:jc w:val="center"/>
              <w:rPr>
                <w:color w:val="auto"/>
                <w:kern w:val="2"/>
                <w:sz w:val="21"/>
                <w:szCs w:val="21"/>
              </w:rPr>
            </w:pPr>
            <w:r>
              <w:rPr>
                <w:rFonts w:hint="eastAsia"/>
                <w:color w:val="auto"/>
                <w:kern w:val="2"/>
                <w:sz w:val="21"/>
                <w:szCs w:val="21"/>
                <w:lang w:eastAsia="zh-CN"/>
              </w:rPr>
              <w:t>削坡整形</w:t>
            </w:r>
            <w:r>
              <w:rPr>
                <w:rFonts w:hint="eastAsia"/>
                <w:color w:val="auto"/>
                <w:kern w:val="2"/>
                <w:sz w:val="21"/>
                <w:szCs w:val="21"/>
                <w:lang w:val="en-US" w:eastAsia="zh-CN"/>
              </w:rPr>
              <w:t>55</w:t>
            </w:r>
            <w:r>
              <w:rPr>
                <w:rFonts w:hint="eastAsia"/>
                <w:color w:val="auto"/>
                <w:kern w:val="2"/>
                <w:sz w:val="21"/>
                <w:szCs w:val="21"/>
              </w:rPr>
              <w:t>0</w:t>
            </w:r>
            <w:r>
              <w:rPr>
                <w:rFonts w:hint="eastAsia" w:ascii="宋体" w:hAnsi="宋体" w:cs="宋体"/>
                <w:color w:val="auto"/>
                <w:szCs w:val="21"/>
              </w:rPr>
              <w:t>m³</w:t>
            </w:r>
          </w:p>
        </w:tc>
        <w:tc>
          <w:tcPr>
            <w:tcW w:w="513" w:type="pct"/>
            <w:noWrap w:val="0"/>
            <w:vAlign w:val="center"/>
          </w:tcPr>
          <w:p w14:paraId="3A9D1781">
            <w:pPr>
              <w:widowControl w:val="0"/>
              <w:spacing w:after="0" w:line="240" w:lineRule="auto"/>
              <w:jc w:val="center"/>
              <w:rPr>
                <w:rFonts w:hint="eastAsia"/>
                <w:color w:val="auto"/>
                <w:kern w:val="2"/>
                <w:sz w:val="21"/>
                <w:szCs w:val="21"/>
              </w:rPr>
            </w:pPr>
            <w:r>
              <w:rPr>
                <w:rFonts w:hint="eastAsia"/>
                <w:color w:val="auto"/>
                <w:kern w:val="2"/>
                <w:sz w:val="21"/>
                <w:szCs w:val="21"/>
              </w:rPr>
              <w:t>完成</w:t>
            </w:r>
          </w:p>
        </w:tc>
        <w:tc>
          <w:tcPr>
            <w:tcW w:w="593" w:type="pct"/>
            <w:noWrap w:val="0"/>
            <w:vAlign w:val="center"/>
          </w:tcPr>
          <w:p w14:paraId="41D0067D">
            <w:pPr>
              <w:widowControl w:val="0"/>
              <w:spacing w:after="0" w:line="240" w:lineRule="auto"/>
              <w:jc w:val="center"/>
              <w:rPr>
                <w:rFonts w:hint="default" w:eastAsia="宋体"/>
                <w:color w:val="auto"/>
                <w:kern w:val="2"/>
                <w:sz w:val="21"/>
                <w:szCs w:val="21"/>
                <w:lang w:val="en-US" w:eastAsia="zh-CN"/>
              </w:rPr>
            </w:pPr>
            <w:r>
              <w:rPr>
                <w:rFonts w:hint="eastAsia"/>
                <w:color w:val="auto"/>
                <w:kern w:val="2"/>
                <w:sz w:val="21"/>
                <w:szCs w:val="21"/>
                <w:lang w:val="en-US" w:eastAsia="zh-CN"/>
              </w:rPr>
              <w:t>1.08</w:t>
            </w:r>
          </w:p>
        </w:tc>
        <w:tc>
          <w:tcPr>
            <w:tcW w:w="593" w:type="pct"/>
            <w:noWrap w:val="0"/>
            <w:vAlign w:val="center"/>
          </w:tcPr>
          <w:p w14:paraId="21CF1B77">
            <w:pPr>
              <w:widowControl w:val="0"/>
              <w:spacing w:after="0" w:line="240" w:lineRule="auto"/>
              <w:jc w:val="center"/>
              <w:rPr>
                <w:rFonts w:hint="eastAsia"/>
                <w:color w:val="auto"/>
                <w:kern w:val="2"/>
                <w:sz w:val="21"/>
                <w:szCs w:val="21"/>
                <w:lang w:val="en-US" w:eastAsia="zh-CN"/>
              </w:rPr>
            </w:pPr>
            <w:r>
              <w:rPr>
                <w:rFonts w:hint="eastAsia"/>
                <w:color w:val="auto"/>
                <w:kern w:val="2"/>
                <w:sz w:val="21"/>
                <w:szCs w:val="21"/>
                <w:lang w:val="en-US" w:eastAsia="zh-CN"/>
              </w:rPr>
              <w:t>未验收</w:t>
            </w:r>
          </w:p>
        </w:tc>
      </w:tr>
    </w:tbl>
    <w:p w14:paraId="143D7E17">
      <w:pPr>
        <w:pStyle w:val="14"/>
        <w:spacing w:line="360" w:lineRule="auto"/>
        <w:ind w:firstLine="560" w:firstLineChars="200"/>
        <w:rPr>
          <w:rFonts w:eastAsia="宋体"/>
          <w:color w:val="auto"/>
          <w:szCs w:val="28"/>
        </w:rPr>
      </w:pPr>
      <w:r>
        <w:rPr>
          <w:rFonts w:eastAsia="宋体"/>
          <w:color w:val="auto"/>
          <w:szCs w:val="28"/>
        </w:rPr>
        <w:t>（</w:t>
      </w:r>
      <w:r>
        <w:rPr>
          <w:rFonts w:hint="eastAsia" w:eastAsia="宋体"/>
          <w:color w:val="auto"/>
          <w:szCs w:val="28"/>
          <w:lang w:val="en-US" w:eastAsia="zh-CN"/>
        </w:rPr>
        <w:t>四</w:t>
      </w:r>
      <w:r>
        <w:rPr>
          <w:rFonts w:eastAsia="宋体"/>
          <w:color w:val="auto"/>
          <w:szCs w:val="28"/>
        </w:rPr>
        <w:t>）执行情况、验收情况</w:t>
      </w:r>
    </w:p>
    <w:p w14:paraId="4834E91C">
      <w:pPr>
        <w:spacing w:after="0" w:line="360" w:lineRule="auto"/>
        <w:ind w:firstLine="560" w:firstLineChars="200"/>
        <w:contextualSpacing/>
        <w:jc w:val="both"/>
        <w:rPr>
          <w:rFonts w:hint="default"/>
          <w:b w:val="0"/>
          <w:bCs w:val="0"/>
          <w:color w:val="auto"/>
          <w:sz w:val="28"/>
          <w:szCs w:val="28"/>
          <w:lang w:val="en-US" w:eastAsia="zh-CN"/>
        </w:rPr>
      </w:pPr>
      <w:r>
        <w:rPr>
          <w:rFonts w:hint="eastAsia"/>
          <w:b w:val="0"/>
          <w:bCs w:val="0"/>
          <w:color w:val="auto"/>
          <w:sz w:val="28"/>
          <w:szCs w:val="28"/>
          <w:lang w:val="en-US" w:eastAsia="zh-CN"/>
        </w:rPr>
        <w:t>1、一分期</w:t>
      </w:r>
    </w:p>
    <w:p w14:paraId="29343961">
      <w:pPr>
        <w:spacing w:after="0" w:line="360" w:lineRule="auto"/>
        <w:ind w:firstLine="560" w:firstLineChars="200"/>
        <w:contextualSpacing/>
        <w:jc w:val="both"/>
        <w:rPr>
          <w:rFonts w:hint="default"/>
          <w:b w:val="0"/>
          <w:bCs w:val="0"/>
          <w:color w:val="auto"/>
          <w:sz w:val="28"/>
          <w:szCs w:val="28"/>
          <w:lang w:val="en-US" w:eastAsia="zh-CN"/>
        </w:rPr>
      </w:pPr>
      <w:r>
        <w:rPr>
          <w:rFonts w:hint="default"/>
          <w:b w:val="0"/>
          <w:bCs w:val="0"/>
          <w:color w:val="auto"/>
          <w:sz w:val="28"/>
          <w:szCs w:val="28"/>
          <w:lang w:val="en-US" w:eastAsia="zh-CN"/>
        </w:rPr>
        <w:t>201</w:t>
      </w:r>
      <w:r>
        <w:rPr>
          <w:rFonts w:hint="eastAsia"/>
          <w:b w:val="0"/>
          <w:bCs w:val="0"/>
          <w:color w:val="auto"/>
          <w:sz w:val="28"/>
          <w:szCs w:val="28"/>
          <w:lang w:val="en-US" w:eastAsia="zh-CN"/>
        </w:rPr>
        <w:t>8</w:t>
      </w:r>
      <w:r>
        <w:rPr>
          <w:rFonts w:hint="default"/>
          <w:b w:val="0"/>
          <w:bCs w:val="0"/>
          <w:color w:val="auto"/>
          <w:sz w:val="28"/>
          <w:szCs w:val="28"/>
          <w:lang w:val="en-US" w:eastAsia="zh-CN"/>
        </w:rPr>
        <w:t>年</w:t>
      </w:r>
      <w:r>
        <w:rPr>
          <w:rFonts w:hint="eastAsia"/>
          <w:b w:val="0"/>
          <w:bCs w:val="0"/>
          <w:color w:val="auto"/>
          <w:sz w:val="28"/>
          <w:szCs w:val="28"/>
          <w:lang w:val="en-US" w:eastAsia="zh-CN"/>
        </w:rPr>
        <w:t>10</w:t>
      </w:r>
      <w:r>
        <w:rPr>
          <w:rFonts w:hint="default"/>
          <w:b w:val="0"/>
          <w:bCs w:val="0"/>
          <w:color w:val="auto"/>
          <w:sz w:val="28"/>
          <w:szCs w:val="28"/>
          <w:lang w:val="en-US" w:eastAsia="zh-CN"/>
        </w:rPr>
        <w:t>月</w:t>
      </w:r>
      <w:r>
        <w:rPr>
          <w:rFonts w:hint="eastAsia"/>
          <w:b w:val="0"/>
          <w:bCs w:val="0"/>
          <w:color w:val="auto"/>
          <w:sz w:val="28"/>
          <w:szCs w:val="28"/>
          <w:lang w:val="en-US" w:eastAsia="zh-CN"/>
        </w:rPr>
        <w:t>11</w:t>
      </w:r>
      <w:r>
        <w:rPr>
          <w:rFonts w:hint="default"/>
          <w:b w:val="0"/>
          <w:bCs w:val="0"/>
          <w:color w:val="auto"/>
          <w:sz w:val="28"/>
          <w:szCs w:val="28"/>
          <w:lang w:val="en-US" w:eastAsia="zh-CN"/>
        </w:rPr>
        <w:t>日，原赤峰市</w:t>
      </w:r>
      <w:r>
        <w:rPr>
          <w:rFonts w:hint="eastAsia"/>
          <w:b w:val="0"/>
          <w:bCs w:val="0"/>
          <w:color w:val="auto"/>
          <w:sz w:val="28"/>
          <w:szCs w:val="28"/>
          <w:lang w:val="en-US" w:eastAsia="zh-CN"/>
        </w:rPr>
        <w:t>国土</w:t>
      </w:r>
      <w:r>
        <w:rPr>
          <w:rFonts w:hint="default"/>
          <w:b w:val="0"/>
          <w:bCs w:val="0"/>
          <w:color w:val="auto"/>
          <w:sz w:val="28"/>
          <w:szCs w:val="28"/>
          <w:lang w:val="en-US" w:eastAsia="zh-CN"/>
        </w:rPr>
        <w:t>资源局聘请有关专家组成专家组对</w:t>
      </w:r>
      <w:r>
        <w:rPr>
          <w:rFonts w:hint="eastAsia"/>
          <w:b w:val="0"/>
          <w:bCs w:val="0"/>
          <w:color w:val="auto"/>
          <w:sz w:val="28"/>
          <w:szCs w:val="28"/>
          <w:lang w:val="en-US" w:eastAsia="zh-CN"/>
        </w:rPr>
        <w:t>《原综合治理方案（首期）》以“一分期治理方案”形式</w:t>
      </w:r>
      <w:r>
        <w:rPr>
          <w:rFonts w:hint="default"/>
          <w:b w:val="0"/>
          <w:bCs w:val="0"/>
          <w:color w:val="auto"/>
          <w:sz w:val="28"/>
          <w:szCs w:val="28"/>
          <w:lang w:val="en-US" w:eastAsia="zh-CN"/>
        </w:rPr>
        <w:t>进行</w:t>
      </w:r>
      <w:r>
        <w:rPr>
          <w:rFonts w:hint="eastAsia"/>
          <w:b w:val="0"/>
          <w:bCs w:val="0"/>
          <w:color w:val="auto"/>
          <w:sz w:val="28"/>
          <w:szCs w:val="28"/>
          <w:lang w:val="en-US" w:eastAsia="zh-CN"/>
        </w:rPr>
        <w:t>了现场</w:t>
      </w:r>
      <w:r>
        <w:rPr>
          <w:rFonts w:hint="default"/>
          <w:b w:val="0"/>
          <w:bCs w:val="0"/>
          <w:color w:val="auto"/>
          <w:sz w:val="28"/>
          <w:szCs w:val="28"/>
          <w:lang w:val="en-US" w:eastAsia="zh-CN"/>
        </w:rPr>
        <w:t>验收</w:t>
      </w:r>
      <w:r>
        <w:rPr>
          <w:rFonts w:hint="eastAsia"/>
          <w:b w:val="0"/>
          <w:bCs w:val="0"/>
          <w:color w:val="auto"/>
          <w:sz w:val="28"/>
          <w:szCs w:val="28"/>
          <w:lang w:val="en-US" w:eastAsia="zh-CN"/>
        </w:rPr>
        <w:t>。经专家组现场核查，一致认为，治理工程效果基本符合设计要求，同意该工程通过验收，</w:t>
      </w:r>
      <w:r>
        <w:rPr>
          <w:rFonts w:hint="default"/>
          <w:b w:val="0"/>
          <w:bCs w:val="0"/>
          <w:color w:val="auto"/>
          <w:sz w:val="28"/>
          <w:szCs w:val="28"/>
          <w:lang w:val="en-US" w:eastAsia="zh-CN"/>
        </w:rPr>
        <w:t>并出具《内蒙古自治区矿山地质环境分期治理工程验收意见书》</w:t>
      </w:r>
    </w:p>
    <w:p w14:paraId="5699629D">
      <w:pPr>
        <w:spacing w:after="0" w:line="360" w:lineRule="auto"/>
        <w:contextualSpacing/>
        <w:jc w:val="both"/>
        <w:rPr>
          <w:rFonts w:hint="eastAsia"/>
          <w:b w:val="0"/>
          <w:bCs w:val="0"/>
          <w:color w:val="auto"/>
          <w:sz w:val="28"/>
          <w:szCs w:val="28"/>
          <w:lang w:val="en-US" w:eastAsia="zh-CN"/>
        </w:rPr>
      </w:pPr>
      <w:r>
        <w:rPr>
          <w:rFonts w:hint="default"/>
          <w:b w:val="0"/>
          <w:bCs w:val="0"/>
          <w:color w:val="auto"/>
          <w:sz w:val="28"/>
          <w:szCs w:val="28"/>
          <w:lang w:val="en-US" w:eastAsia="zh-CN"/>
        </w:rPr>
        <w:t>（编号：</w:t>
      </w:r>
      <w:r>
        <w:rPr>
          <w:rFonts w:hint="eastAsia"/>
          <w:b w:val="0"/>
          <w:bCs w:val="0"/>
          <w:color w:val="auto"/>
          <w:sz w:val="28"/>
          <w:szCs w:val="28"/>
          <w:lang w:val="en-US" w:eastAsia="zh-CN"/>
        </w:rPr>
        <w:t>181047</w:t>
      </w:r>
      <w:r>
        <w:rPr>
          <w:rFonts w:hint="default"/>
          <w:b w:val="0"/>
          <w:bCs w:val="0"/>
          <w:color w:val="auto"/>
          <w:sz w:val="28"/>
          <w:szCs w:val="28"/>
          <w:lang w:val="en-US" w:eastAsia="zh-CN"/>
        </w:rPr>
        <w:t>）</w:t>
      </w:r>
    </w:p>
    <w:p w14:paraId="5E567C9A">
      <w:pPr>
        <w:numPr>
          <w:ilvl w:val="0"/>
          <w:numId w:val="2"/>
        </w:numPr>
        <w:spacing w:after="0" w:line="360" w:lineRule="auto"/>
        <w:ind w:left="0" w:leftChars="0" w:firstLine="560" w:firstLineChars="200"/>
        <w:contextualSpacing/>
        <w:jc w:val="both"/>
        <w:rPr>
          <w:rFonts w:hint="eastAsia"/>
          <w:b w:val="0"/>
          <w:bCs w:val="0"/>
          <w:color w:val="auto"/>
          <w:sz w:val="28"/>
          <w:szCs w:val="28"/>
          <w:lang w:val="en-US" w:eastAsia="zh-CN"/>
        </w:rPr>
      </w:pPr>
      <w:r>
        <w:rPr>
          <w:rFonts w:hint="eastAsia"/>
          <w:b w:val="0"/>
          <w:bCs w:val="0"/>
          <w:color w:val="auto"/>
          <w:sz w:val="28"/>
          <w:szCs w:val="28"/>
          <w:lang w:val="en-US" w:eastAsia="zh-CN"/>
        </w:rPr>
        <w:t>原方案</w:t>
      </w:r>
    </w:p>
    <w:p w14:paraId="77DD8500">
      <w:pPr>
        <w:spacing w:after="0" w:line="360" w:lineRule="auto"/>
        <w:ind w:firstLine="560" w:firstLineChars="200"/>
        <w:contextualSpacing/>
        <w:jc w:val="both"/>
        <w:rPr>
          <w:rFonts w:hint="default"/>
          <w:b w:val="0"/>
          <w:bCs w:val="0"/>
          <w:color w:val="auto"/>
          <w:sz w:val="28"/>
          <w:szCs w:val="28"/>
          <w:lang w:val="en-US" w:eastAsia="zh-CN"/>
        </w:rPr>
      </w:pPr>
      <w:r>
        <w:rPr>
          <w:rFonts w:hint="eastAsia"/>
          <w:b w:val="0"/>
          <w:bCs w:val="0"/>
          <w:color w:val="auto"/>
          <w:sz w:val="28"/>
          <w:szCs w:val="28"/>
          <w:lang w:val="en-US" w:eastAsia="zh-CN"/>
        </w:rPr>
        <w:t>根据现场调查，矿山按照原方案规划的近期治理内容进行了治理，但治理效果较差。</w:t>
      </w:r>
    </w:p>
    <w:p w14:paraId="21FE5A3E">
      <w:pPr>
        <w:pStyle w:val="14"/>
        <w:spacing w:line="360" w:lineRule="auto"/>
        <w:ind w:firstLine="560" w:firstLineChars="200"/>
        <w:rPr>
          <w:rFonts w:eastAsia="宋体"/>
          <w:color w:val="auto"/>
          <w:szCs w:val="28"/>
        </w:rPr>
      </w:pPr>
      <w:r>
        <w:rPr>
          <w:rFonts w:eastAsia="宋体"/>
          <w:color w:val="auto"/>
          <w:szCs w:val="28"/>
        </w:rPr>
        <w:t>（四）存在问题</w:t>
      </w:r>
    </w:p>
    <w:p w14:paraId="35D8C295">
      <w:pPr>
        <w:pStyle w:val="14"/>
        <w:spacing w:line="360" w:lineRule="auto"/>
        <w:ind w:firstLine="560" w:firstLineChars="200"/>
        <w:rPr>
          <w:rFonts w:hint="default" w:eastAsia="宋体"/>
          <w:color w:val="auto"/>
          <w:szCs w:val="28"/>
          <w:lang w:val="en-US" w:eastAsia="zh-CN"/>
        </w:rPr>
      </w:pPr>
      <w:r>
        <w:rPr>
          <w:rFonts w:hint="eastAsia" w:eastAsia="宋体"/>
          <w:color w:val="auto"/>
          <w:szCs w:val="28"/>
          <w:lang w:val="en-US" w:eastAsia="zh-CN"/>
        </w:rPr>
        <w:t>前期治理的单元植被恢复效果较差，大部分还是岩石裸露，本方案重新对矿山破坏单元进行了划分，进行矿区生态修复治理工作。</w:t>
      </w:r>
    </w:p>
    <w:p w14:paraId="57ADA199">
      <w:pPr>
        <w:pStyle w:val="14"/>
        <w:spacing w:line="360" w:lineRule="auto"/>
        <w:ind w:firstLine="562" w:firstLineChars="200"/>
        <w:outlineLvl w:val="2"/>
        <w:rPr>
          <w:rFonts w:eastAsia="宋体"/>
          <w:b/>
          <w:bCs/>
          <w:color w:val="auto"/>
          <w:szCs w:val="28"/>
        </w:rPr>
      </w:pPr>
      <w:r>
        <w:rPr>
          <w:rFonts w:eastAsia="宋体"/>
          <w:b/>
          <w:bCs/>
          <w:color w:val="auto"/>
          <w:szCs w:val="28"/>
        </w:rPr>
        <w:t>二、本方案主要内容与前期编制方案的衔接</w:t>
      </w:r>
    </w:p>
    <w:p w14:paraId="3396A841">
      <w:pPr>
        <w:pStyle w:val="69"/>
        <w:spacing w:line="360" w:lineRule="auto"/>
        <w:ind w:firstLine="480"/>
        <w:rPr>
          <w:rFonts w:eastAsia="宋体"/>
          <w:color w:val="auto"/>
          <w:szCs w:val="28"/>
        </w:rPr>
      </w:pPr>
      <w:r>
        <w:rPr>
          <w:rFonts w:hint="eastAsia" w:ascii="Times New Roman" w:hAnsi="Times New Roman" w:eastAsia="宋体" w:cs="Times New Roman"/>
          <w:color w:val="auto"/>
          <w:kern w:val="2"/>
          <w:sz w:val="28"/>
          <w:szCs w:val="28"/>
          <w:lang w:val="en-US" w:eastAsia="zh-CN" w:bidi="ar-SA"/>
        </w:rPr>
        <w:t>前期方案通过对已损毁土地划分复垦单元，进行复垦责任范围的确定，制定复垦工程，安排复垦工作计划等，对矿区进行了全面规划治理，但前期方案编制后，矿山对露天采场边坡进行了分台阶垫坡整形；对民采坑1、民采坑2、民采坑3进行了垫坡整形，现状已与露天采场形成一个整体；对废石场1、废石场2、废石场4、废石场5</w:t>
      </w:r>
      <w:r>
        <w:rPr>
          <w:rFonts w:hint="eastAsia" w:eastAsia="宋体" w:cs="Times New Roman"/>
          <w:color w:val="auto"/>
          <w:kern w:val="2"/>
          <w:sz w:val="28"/>
          <w:szCs w:val="28"/>
          <w:lang w:val="en-US" w:eastAsia="zh-CN" w:bidi="ar-SA"/>
        </w:rPr>
        <w:t>进行了边坡分台阶整形，形成一个整体，位于现状废石场东南侧</w:t>
      </w:r>
      <w:r>
        <w:rPr>
          <w:rFonts w:eastAsia="宋体"/>
          <w:color w:val="auto"/>
          <w:szCs w:val="28"/>
        </w:rPr>
        <w:t>。</w:t>
      </w:r>
    </w:p>
    <w:p w14:paraId="3B1D51C2">
      <w:pPr>
        <w:pStyle w:val="69"/>
        <w:spacing w:line="360" w:lineRule="auto"/>
        <w:ind w:firstLine="480"/>
        <w:rPr>
          <w:rFonts w:eastAsia="宋体"/>
          <w:color w:val="auto"/>
          <w:szCs w:val="28"/>
        </w:rPr>
      </w:pPr>
      <w:r>
        <w:rPr>
          <w:rFonts w:hint="eastAsia" w:eastAsia="宋体"/>
          <w:color w:val="auto"/>
          <w:szCs w:val="28"/>
          <w:lang w:val="en-US" w:eastAsia="zh-CN"/>
        </w:rPr>
        <w:t>矿山前期治理工作部分效果较差，整体植被恢复效果差，</w:t>
      </w:r>
      <w:r>
        <w:rPr>
          <w:rFonts w:eastAsia="宋体"/>
          <w:color w:val="auto"/>
          <w:szCs w:val="28"/>
        </w:rPr>
        <w:t>本方案</w:t>
      </w:r>
      <w:r>
        <w:rPr>
          <w:rFonts w:hint="eastAsia" w:eastAsia="宋体"/>
          <w:color w:val="auto"/>
          <w:szCs w:val="28"/>
          <w:lang w:val="en-US" w:eastAsia="zh-CN"/>
        </w:rPr>
        <w:t>将</w:t>
      </w:r>
      <w:r>
        <w:rPr>
          <w:rFonts w:eastAsia="宋体"/>
          <w:color w:val="auto"/>
          <w:szCs w:val="28"/>
        </w:rPr>
        <w:t>根据矿山损毁现状</w:t>
      </w:r>
      <w:r>
        <w:rPr>
          <w:rFonts w:hint="eastAsia" w:eastAsia="宋体"/>
          <w:color w:val="auto"/>
          <w:szCs w:val="28"/>
          <w:lang w:eastAsia="zh-CN"/>
        </w:rPr>
        <w:t>，</w:t>
      </w:r>
      <w:r>
        <w:rPr>
          <w:rFonts w:eastAsia="宋体"/>
          <w:color w:val="auto"/>
          <w:szCs w:val="28"/>
        </w:rPr>
        <w:t>进行地质环境治理、土地复垦与生态修复工作，以确保生态修复工作与实际相符合，工作能顺利进行。</w:t>
      </w:r>
    </w:p>
    <w:p w14:paraId="6ED65DE2">
      <w:pPr>
        <w:pStyle w:val="3"/>
        <w:spacing w:before="120" w:beforeLines="50"/>
        <w:rPr>
          <w:color w:val="auto"/>
        </w:rPr>
      </w:pPr>
      <w:bookmarkStart w:id="48" w:name="_Toc25112"/>
      <w:r>
        <w:rPr>
          <w:rFonts w:hint="eastAsia"/>
          <w:color w:val="auto"/>
        </w:rPr>
        <w:t>第</w:t>
      </w:r>
      <w:r>
        <w:rPr>
          <w:rFonts w:hint="eastAsia"/>
          <w:color w:val="auto"/>
          <w:lang w:val="en-US" w:eastAsia="zh-CN"/>
        </w:rPr>
        <w:t>七</w:t>
      </w:r>
      <w:r>
        <w:rPr>
          <w:rFonts w:hint="eastAsia"/>
          <w:color w:val="auto"/>
        </w:rPr>
        <w:t>节  矿区基本情况调查监测指标</w:t>
      </w:r>
      <w:bookmarkEnd w:id="48"/>
    </w:p>
    <w:p w14:paraId="30DCA236">
      <w:pPr>
        <w:widowControl/>
        <w:spacing w:line="360" w:lineRule="auto"/>
        <w:ind w:firstLine="562" w:firstLineChars="200"/>
        <w:outlineLvl w:val="2"/>
        <w:rPr>
          <w:b/>
          <w:bCs/>
          <w:color w:val="auto"/>
          <w:sz w:val="28"/>
          <w:szCs w:val="28"/>
        </w:rPr>
      </w:pPr>
      <w:r>
        <w:rPr>
          <w:b/>
          <w:bCs/>
          <w:color w:val="auto"/>
          <w:sz w:val="28"/>
          <w:szCs w:val="28"/>
        </w:rPr>
        <w:t>一、</w:t>
      </w:r>
      <w:r>
        <w:rPr>
          <w:b/>
          <w:bCs/>
          <w:color w:val="auto"/>
          <w:spacing w:val="10"/>
          <w:sz w:val="28"/>
          <w:szCs w:val="28"/>
        </w:rPr>
        <w:t>矿山</w:t>
      </w:r>
      <w:r>
        <w:rPr>
          <w:rFonts w:hint="eastAsia"/>
          <w:b/>
          <w:bCs/>
          <w:color w:val="auto"/>
          <w:spacing w:val="10"/>
          <w:sz w:val="28"/>
          <w:szCs w:val="28"/>
        </w:rPr>
        <w:t>生态</w:t>
      </w:r>
      <w:r>
        <w:rPr>
          <w:b/>
          <w:bCs/>
          <w:color w:val="auto"/>
          <w:spacing w:val="10"/>
          <w:sz w:val="28"/>
          <w:szCs w:val="28"/>
        </w:rPr>
        <w:t>调查及</w:t>
      </w:r>
      <w:r>
        <w:rPr>
          <w:b/>
          <w:bCs/>
          <w:color w:val="auto"/>
          <w:sz w:val="28"/>
          <w:szCs w:val="28"/>
        </w:rPr>
        <w:t>监测目标</w:t>
      </w:r>
    </w:p>
    <w:p w14:paraId="1B47B5E1">
      <w:pPr>
        <w:widowControl/>
        <w:spacing w:line="360" w:lineRule="auto"/>
        <w:ind w:firstLine="560" w:firstLineChars="200"/>
        <w:rPr>
          <w:color w:val="auto"/>
          <w:sz w:val="28"/>
          <w:szCs w:val="28"/>
        </w:rPr>
      </w:pPr>
      <w:r>
        <w:rPr>
          <w:color w:val="auto"/>
          <w:sz w:val="28"/>
          <w:szCs w:val="28"/>
        </w:rPr>
        <w:t>对矿产资源开采造成的地质环境破坏、土地损毁和生态系统破坏(退化)等问题，依靠人工支持引导和自然恢复力，采取预防和修复措施，使矿山地质环境达到安全稳定、损毁土地得到复垦利用、生态系统功能得到恢复或改善的活动。</w:t>
      </w:r>
    </w:p>
    <w:p w14:paraId="29193E6C">
      <w:pPr>
        <w:widowControl/>
        <w:spacing w:line="360" w:lineRule="auto"/>
        <w:ind w:firstLine="560" w:firstLineChars="200"/>
        <w:rPr>
          <w:color w:val="auto"/>
          <w:sz w:val="28"/>
          <w:szCs w:val="28"/>
        </w:rPr>
      </w:pPr>
      <w:r>
        <w:rPr>
          <w:color w:val="auto"/>
          <w:sz w:val="28"/>
          <w:szCs w:val="28"/>
        </w:rPr>
        <w:t>在矿产资源开采过程中，对地质环境破坏与恢复治理、土地损毁与复层利用、生态系统破坏(退化)与恢复等开展监测评价，为矿山生态修复的过程监管、适应性管理和验收提供科学依据。</w:t>
      </w:r>
    </w:p>
    <w:p w14:paraId="487C8C3A">
      <w:pPr>
        <w:widowControl/>
        <w:spacing w:line="360" w:lineRule="auto"/>
        <w:ind w:firstLine="602" w:firstLineChars="200"/>
        <w:outlineLvl w:val="2"/>
        <w:rPr>
          <w:b/>
          <w:bCs/>
          <w:color w:val="auto"/>
          <w:spacing w:val="10"/>
          <w:sz w:val="28"/>
          <w:szCs w:val="28"/>
        </w:rPr>
      </w:pPr>
      <w:r>
        <w:rPr>
          <w:b/>
          <w:bCs/>
          <w:color w:val="auto"/>
          <w:spacing w:val="10"/>
          <w:sz w:val="28"/>
          <w:szCs w:val="28"/>
        </w:rPr>
        <w:t>二、调查及监测总体要求</w:t>
      </w:r>
    </w:p>
    <w:p w14:paraId="6D1C627C">
      <w:pPr>
        <w:widowControl/>
        <w:spacing w:line="360" w:lineRule="auto"/>
        <w:ind w:firstLine="560" w:firstLineChars="200"/>
        <w:rPr>
          <w:color w:val="auto"/>
          <w:sz w:val="28"/>
          <w:szCs w:val="28"/>
        </w:rPr>
      </w:pPr>
      <w:r>
        <w:rPr>
          <w:color w:val="auto"/>
          <w:sz w:val="28"/>
          <w:szCs w:val="28"/>
        </w:rPr>
        <w:t>重点围绕监测范围内地质环境破坏与恢复治理、土地损毁与复垦利用、生态系统破坏(退化)与恢复等，结合开采矿种、建设规模、开采方式、开采工艺、时序安排等，开采前对地质环境背景、土地资源现状和生态系统本底进行调查并监测，开采中对保护预防控制、损毁现状与拟损毁、复垦修复成效进行调查与监测，开采后对管理维护进行调查与监测。</w:t>
      </w:r>
    </w:p>
    <w:p w14:paraId="74FB31F2">
      <w:pPr>
        <w:widowControl/>
        <w:spacing w:line="360" w:lineRule="auto"/>
        <w:ind w:firstLine="560" w:firstLineChars="200"/>
        <w:rPr>
          <w:color w:val="auto"/>
          <w:sz w:val="28"/>
          <w:szCs w:val="28"/>
        </w:rPr>
      </w:pPr>
      <w:r>
        <w:rPr>
          <w:color w:val="auto"/>
          <w:sz w:val="28"/>
          <w:szCs w:val="28"/>
        </w:rPr>
        <w:t>1、收集矿区及采矿影响范围地形、地貌、气象、水文、生物等自然环境和社会经济资料，地层岩性、地质构造、水文地质、工程地质、矿体地质特征等地质环境背景资料，土地利用现状、土壤调查、国土空间规划等土地资源及规划资料，植被状况、生物多样性、生态系统类型等生态相关资料；</w:t>
      </w:r>
    </w:p>
    <w:p w14:paraId="63B7F757">
      <w:pPr>
        <w:widowControl/>
        <w:spacing w:line="360" w:lineRule="auto"/>
        <w:ind w:firstLine="560" w:firstLineChars="200"/>
        <w:rPr>
          <w:color w:val="auto"/>
          <w:sz w:val="28"/>
          <w:szCs w:val="28"/>
        </w:rPr>
      </w:pPr>
      <w:r>
        <w:rPr>
          <w:color w:val="auto"/>
          <w:sz w:val="28"/>
          <w:szCs w:val="28"/>
        </w:rPr>
        <w:t>2、收集矿山生产建设情况、矿山范围拐点坐标、开采方案、环境影响评价报告、矿山地质环境保护与恢复治理方案、水土保持方案、征地文件以及遥感影像等资料；</w:t>
      </w:r>
    </w:p>
    <w:p w14:paraId="2398AA23">
      <w:pPr>
        <w:widowControl/>
        <w:spacing w:line="360" w:lineRule="auto"/>
        <w:ind w:firstLine="560" w:firstLineChars="200"/>
        <w:rPr>
          <w:color w:val="auto"/>
          <w:sz w:val="28"/>
          <w:szCs w:val="28"/>
        </w:rPr>
      </w:pPr>
      <w:r>
        <w:rPr>
          <w:color w:val="auto"/>
          <w:sz w:val="28"/>
          <w:szCs w:val="28"/>
        </w:rPr>
        <w:t>3、结合收集资料，分析矿山地质环境恢复治理、土地复垦利用、生态系统恢复的规划与设定的复垦修复标准，整理矿山地质环境背景、土地资源现状和生态系统本底已有数据，结合监测评价目的，明确矿山地质环境、土地资源和生态系统监测评价需要补充调查的数据；</w:t>
      </w:r>
    </w:p>
    <w:p w14:paraId="32C3B8EA">
      <w:pPr>
        <w:widowControl/>
        <w:spacing w:line="360" w:lineRule="auto"/>
        <w:ind w:firstLine="560" w:firstLineChars="200"/>
        <w:rPr>
          <w:color w:val="auto"/>
          <w:sz w:val="28"/>
          <w:szCs w:val="28"/>
        </w:rPr>
      </w:pPr>
      <w:r>
        <w:rPr>
          <w:color w:val="auto"/>
          <w:sz w:val="28"/>
          <w:szCs w:val="28"/>
        </w:rPr>
        <w:t>4、了解监测范围内交通、通信、供电和大地测量基准点等基础条件，掌握自然资源、林草、水利、农业农村、生态环境等行政部门、科研机构开展的监测工作，包括监测内容、监测网点布设及监测方法等；</w:t>
      </w:r>
    </w:p>
    <w:p w14:paraId="1999A554">
      <w:pPr>
        <w:widowControl/>
        <w:spacing w:line="360" w:lineRule="auto"/>
        <w:ind w:firstLine="560" w:firstLineChars="200"/>
        <w:rPr>
          <w:color w:val="auto"/>
          <w:sz w:val="28"/>
          <w:szCs w:val="28"/>
        </w:rPr>
      </w:pPr>
      <w:r>
        <w:rPr>
          <w:color w:val="auto"/>
          <w:sz w:val="28"/>
          <w:szCs w:val="28"/>
        </w:rPr>
        <w:t>5、土壤与土地利用指标：土壤类型、土层厚度、有机质含量、pH值、重金属及污染物浓度；损毁土地类型及面积、土壤侵蚀强度、占用土地合规性。</w:t>
      </w:r>
    </w:p>
    <w:p w14:paraId="36684376">
      <w:pPr>
        <w:widowControl/>
        <w:spacing w:line="360" w:lineRule="auto"/>
        <w:ind w:firstLine="560" w:firstLineChars="200"/>
        <w:rPr>
          <w:color w:val="auto"/>
          <w:sz w:val="28"/>
          <w:szCs w:val="28"/>
        </w:rPr>
      </w:pPr>
      <w:r>
        <w:rPr>
          <w:color w:val="auto"/>
          <w:sz w:val="28"/>
          <w:szCs w:val="28"/>
        </w:rPr>
        <w:t>6、动态监测指标：地形稳定性、土壤质量改善幅度、植被覆盖年际变化、地下水水位/水质动态；基金使用与治理工程的对应关系（如土壤改良支出与土壤质量提升成效）、工程进度与计划符合度。</w:t>
      </w:r>
    </w:p>
    <w:p w14:paraId="27CF21F3">
      <w:pPr>
        <w:widowControl/>
        <w:spacing w:line="360" w:lineRule="auto"/>
        <w:ind w:firstLine="560" w:firstLineChars="200"/>
        <w:rPr>
          <w:rFonts w:eastAsia="黑体"/>
          <w:color w:val="auto"/>
          <w:sz w:val="24"/>
          <w:szCs w:val="24"/>
        </w:rPr>
      </w:pPr>
      <w:r>
        <w:rPr>
          <w:color w:val="auto"/>
          <w:sz w:val="28"/>
          <w:szCs w:val="28"/>
        </w:rPr>
        <w:t>7、结合资料分析、矿山生态问题识别与初步诊断，制定监测评价方案，明确监测对象与范围、监测内容和指标、监测布点及频率、监测和评价方法、数据记录和存储、时间安排、经费预算、组织实施、质量控制及主要成果等。</w:t>
      </w:r>
    </w:p>
    <w:p w14:paraId="50563979">
      <w:pPr>
        <w:widowControl/>
        <w:jc w:val="center"/>
        <w:rPr>
          <w:rFonts w:eastAsia="黑体"/>
          <w:color w:val="auto"/>
          <w:sz w:val="24"/>
          <w:szCs w:val="24"/>
        </w:rPr>
      </w:pPr>
      <w:r>
        <w:rPr>
          <w:rFonts w:eastAsia="黑体"/>
          <w:color w:val="auto"/>
          <w:sz w:val="24"/>
          <w:szCs w:val="24"/>
        </w:rPr>
        <w:t>表2-</w:t>
      </w:r>
      <w:r>
        <w:rPr>
          <w:rFonts w:hint="eastAsia" w:eastAsia="黑体"/>
          <w:color w:val="auto"/>
          <w:sz w:val="24"/>
          <w:szCs w:val="24"/>
          <w:lang w:val="en-US" w:eastAsia="zh-CN"/>
        </w:rPr>
        <w:t>16</w:t>
      </w:r>
      <w:r>
        <w:rPr>
          <w:rFonts w:eastAsia="黑体"/>
          <w:color w:val="auto"/>
          <w:sz w:val="24"/>
          <w:szCs w:val="24"/>
        </w:rPr>
        <w:t xml:space="preserve">  矿区开采前生态修复监测内容与监测指标表</w:t>
      </w:r>
    </w:p>
    <w:p w14:paraId="730DE879">
      <w:pPr>
        <w:jc w:val="center"/>
        <w:rPr>
          <w:rFonts w:eastAsia="黑体"/>
          <w:color w:val="auto"/>
          <w:sz w:val="24"/>
          <w:szCs w:val="24"/>
        </w:rPr>
      </w:pPr>
      <w:r>
        <w:rPr>
          <w:rFonts w:eastAsia="黑体"/>
          <w:color w:val="auto"/>
          <w:sz w:val="24"/>
          <w:szCs w:val="24"/>
        </w:rPr>
        <w:br w:type="page"/>
      </w:r>
      <w:r>
        <w:rPr>
          <w:rFonts w:eastAsia="黑体"/>
          <w:color w:val="auto"/>
          <w:sz w:val="24"/>
          <w:szCs w:val="24"/>
        </w:rPr>
        <w:t>表2</w:t>
      </w:r>
      <w:r>
        <w:rPr>
          <w:rFonts w:hint="eastAsia" w:eastAsia="黑体"/>
          <w:color w:val="auto"/>
          <w:sz w:val="24"/>
          <w:szCs w:val="24"/>
          <w:lang w:val="en-US" w:eastAsia="zh-CN"/>
        </w:rPr>
        <w:t>-17</w:t>
      </w:r>
      <w:r>
        <w:rPr>
          <w:rFonts w:eastAsia="黑体"/>
          <w:color w:val="auto"/>
          <w:sz w:val="24"/>
          <w:szCs w:val="24"/>
        </w:rPr>
        <w:t xml:space="preserve">  矿山开采中生态修复监测内容与监测指标表</w:t>
      </w:r>
    </w:p>
    <w:p w14:paraId="2C87B433">
      <w:pPr>
        <w:pStyle w:val="14"/>
        <w:spacing w:line="360" w:lineRule="auto"/>
        <w:ind w:firstLine="480" w:firstLineChars="200"/>
        <w:rPr>
          <w:rFonts w:hint="eastAsia" w:ascii="宋体" w:hAnsi="宋体" w:eastAsia="宋体" w:cs="宋体"/>
          <w:color w:val="auto"/>
          <w:sz w:val="24"/>
          <w:szCs w:val="24"/>
        </w:rPr>
        <w:sectPr>
          <w:headerReference r:id="rId9" w:type="default"/>
          <w:footerReference r:id="rId10" w:type="default"/>
          <w:pgSz w:w="11907" w:h="16840"/>
          <w:pgMar w:top="1418" w:right="1418" w:bottom="1418" w:left="1418" w:header="851" w:footer="992" w:gutter="0"/>
          <w:pgNumType w:fmt="decimal"/>
          <w:cols w:space="720" w:num="1"/>
          <w:docGrid w:linePitch="312" w:charSpace="0"/>
        </w:sectPr>
      </w:pPr>
    </w:p>
    <w:p w14:paraId="70F8E34E">
      <w:pPr>
        <w:pStyle w:val="2"/>
        <w:spacing w:line="360" w:lineRule="auto"/>
        <w:jc w:val="center"/>
        <w:rPr>
          <w:rFonts w:hint="eastAsia" w:ascii="黑体" w:hAnsi="黑体" w:eastAsia="黑体" w:cs="黑体"/>
          <w:bCs/>
          <w:color w:val="auto"/>
        </w:rPr>
      </w:pPr>
      <w:bookmarkStart w:id="49" w:name="_Toc210478051"/>
      <w:bookmarkStart w:id="50" w:name="_Toc22765"/>
      <w:r>
        <w:rPr>
          <w:rFonts w:hint="eastAsia" w:ascii="黑体" w:hAnsi="黑体" w:eastAsia="黑体" w:cs="黑体"/>
          <w:bCs/>
          <w:color w:val="auto"/>
        </w:rPr>
        <w:t xml:space="preserve">第三章  </w:t>
      </w:r>
      <w:bookmarkEnd w:id="49"/>
      <w:r>
        <w:rPr>
          <w:rFonts w:hint="eastAsia" w:ascii="黑体" w:hAnsi="黑体" w:eastAsia="黑体" w:cs="黑体"/>
          <w:bCs/>
          <w:color w:val="auto"/>
        </w:rPr>
        <w:t>问题识别诊断及修复可行性分析</w:t>
      </w:r>
      <w:bookmarkEnd w:id="50"/>
    </w:p>
    <w:p w14:paraId="17352D89">
      <w:pPr>
        <w:pStyle w:val="3"/>
        <w:spacing w:before="120" w:beforeLines="50"/>
        <w:rPr>
          <w:rFonts w:ascii="Times New Roman" w:hAnsi="Times New Roman"/>
          <w:color w:val="auto"/>
        </w:rPr>
      </w:pPr>
      <w:bookmarkStart w:id="51" w:name="_Toc21494"/>
      <w:r>
        <w:rPr>
          <w:rFonts w:ascii="Times New Roman" w:hAnsi="Times New Roman"/>
          <w:color w:val="auto"/>
        </w:rPr>
        <w:t>第一节  问题识别与受损预测</w:t>
      </w:r>
      <w:bookmarkEnd w:id="51"/>
    </w:p>
    <w:p w14:paraId="6E20A088">
      <w:pPr>
        <w:adjustRightInd w:val="0"/>
        <w:snapToGrid w:val="0"/>
        <w:spacing w:line="360" w:lineRule="auto"/>
        <w:ind w:firstLine="562" w:firstLineChars="200"/>
        <w:outlineLvl w:val="2"/>
        <w:rPr>
          <w:color w:val="auto"/>
        </w:rPr>
      </w:pPr>
      <w:r>
        <w:rPr>
          <w:b/>
          <w:bCs/>
          <w:snapToGrid w:val="0"/>
          <w:color w:val="auto"/>
          <w:sz w:val="28"/>
          <w:szCs w:val="28"/>
        </w:rPr>
        <w:t>一、矿山生态修复范围</w:t>
      </w:r>
    </w:p>
    <w:p w14:paraId="74BB7159">
      <w:pPr>
        <w:adjustRightInd w:val="0"/>
        <w:snapToGrid w:val="0"/>
        <w:spacing w:line="360" w:lineRule="auto"/>
        <w:ind w:firstLine="560" w:firstLineChars="200"/>
        <w:rPr>
          <w:snapToGrid w:val="0"/>
          <w:color w:val="auto"/>
          <w:sz w:val="28"/>
          <w:szCs w:val="28"/>
        </w:rPr>
      </w:pPr>
      <w:r>
        <w:rPr>
          <w:snapToGrid w:val="0"/>
          <w:color w:val="auto"/>
          <w:sz w:val="28"/>
          <w:szCs w:val="28"/>
        </w:rPr>
        <w:t>矿区生态修复评价对象为</w:t>
      </w:r>
      <w:r>
        <w:rPr>
          <w:rFonts w:hint="eastAsia"/>
          <w:snapToGrid w:val="0"/>
          <w:color w:val="auto"/>
          <w:sz w:val="28"/>
          <w:szCs w:val="28"/>
          <w:lang w:eastAsia="zh-CN"/>
        </w:rPr>
        <w:t>松山区初头朗镇窑沟门碎石矿</w:t>
      </w:r>
      <w:r>
        <w:rPr>
          <w:snapToGrid w:val="0"/>
          <w:color w:val="auto"/>
          <w:sz w:val="28"/>
          <w:szCs w:val="28"/>
        </w:rPr>
        <w:t>，矿区生态修复评价范围为现有矿区范围、矿业活动影响范围的不良地质因素存在的范围。</w:t>
      </w:r>
    </w:p>
    <w:p w14:paraId="55F84B8E">
      <w:pPr>
        <w:adjustRightInd w:val="0"/>
        <w:snapToGrid w:val="0"/>
        <w:spacing w:line="360" w:lineRule="auto"/>
        <w:ind w:firstLine="560" w:firstLineChars="200"/>
        <w:rPr>
          <w:snapToGrid w:val="0"/>
          <w:color w:val="auto"/>
          <w:sz w:val="28"/>
          <w:szCs w:val="28"/>
        </w:rPr>
      </w:pPr>
      <w:r>
        <w:rPr>
          <w:snapToGrid w:val="0"/>
          <w:color w:val="auto"/>
          <w:sz w:val="28"/>
          <w:szCs w:val="28"/>
        </w:rPr>
        <w:t>1、现有矿区范围</w:t>
      </w:r>
    </w:p>
    <w:p w14:paraId="317779E7">
      <w:pPr>
        <w:adjustRightInd w:val="0"/>
        <w:snapToGrid w:val="0"/>
        <w:spacing w:line="360" w:lineRule="auto"/>
        <w:ind w:firstLine="560" w:firstLineChars="200"/>
        <w:rPr>
          <w:snapToGrid w:val="0"/>
          <w:color w:val="auto"/>
          <w:sz w:val="28"/>
          <w:szCs w:val="28"/>
        </w:rPr>
      </w:pPr>
      <w:r>
        <w:rPr>
          <w:rFonts w:hint="eastAsia"/>
          <w:snapToGrid w:val="0"/>
          <w:color w:val="auto"/>
          <w:sz w:val="28"/>
          <w:szCs w:val="28"/>
          <w:lang w:eastAsia="zh-CN"/>
        </w:rPr>
        <w:t>松山区初头朗镇窑沟门碎石矿</w:t>
      </w:r>
      <w:r>
        <w:rPr>
          <w:rFonts w:hint="eastAsia"/>
          <w:snapToGrid w:val="0"/>
          <w:color w:val="auto"/>
          <w:sz w:val="28"/>
          <w:szCs w:val="28"/>
          <w:lang w:val="en-US" w:eastAsia="zh-CN"/>
        </w:rPr>
        <w:t>矿区范围</w:t>
      </w:r>
      <w:r>
        <w:rPr>
          <w:snapToGrid w:val="0"/>
          <w:color w:val="auto"/>
          <w:sz w:val="28"/>
          <w:szCs w:val="28"/>
        </w:rPr>
        <w:t>面积</w:t>
      </w:r>
      <w:r>
        <w:rPr>
          <w:rFonts w:hint="eastAsia"/>
          <w:snapToGrid w:val="0"/>
          <w:color w:val="auto"/>
          <w:sz w:val="28"/>
          <w:szCs w:val="28"/>
          <w:lang w:val="en-US" w:eastAsia="zh-CN"/>
        </w:rPr>
        <w:t>4.4</w:t>
      </w:r>
      <w:r>
        <w:rPr>
          <w:snapToGrid w:val="0"/>
          <w:color w:val="auto"/>
          <w:sz w:val="28"/>
          <w:szCs w:val="28"/>
        </w:rPr>
        <w:t>hm</w:t>
      </w:r>
      <w:r>
        <w:rPr>
          <w:snapToGrid w:val="0"/>
          <w:color w:val="auto"/>
          <w:sz w:val="28"/>
          <w:szCs w:val="28"/>
          <w:vertAlign w:val="superscript"/>
        </w:rPr>
        <w:t>2</w:t>
      </w:r>
      <w:r>
        <w:rPr>
          <w:snapToGrid w:val="0"/>
          <w:color w:val="auto"/>
          <w:sz w:val="28"/>
          <w:szCs w:val="28"/>
        </w:rPr>
        <w:t>。</w:t>
      </w:r>
    </w:p>
    <w:p w14:paraId="0808CAAC">
      <w:pPr>
        <w:adjustRightInd w:val="0"/>
        <w:snapToGrid w:val="0"/>
        <w:spacing w:line="360" w:lineRule="auto"/>
        <w:ind w:firstLine="560" w:firstLineChars="200"/>
        <w:rPr>
          <w:snapToGrid w:val="0"/>
          <w:color w:val="auto"/>
          <w:sz w:val="28"/>
          <w:szCs w:val="28"/>
        </w:rPr>
      </w:pPr>
      <w:r>
        <w:rPr>
          <w:rFonts w:hint="eastAsia"/>
          <w:snapToGrid w:val="0"/>
          <w:color w:val="auto"/>
          <w:sz w:val="28"/>
          <w:szCs w:val="28"/>
          <w:lang w:val="en-US" w:eastAsia="zh-CN"/>
        </w:rPr>
        <w:t>2</w:t>
      </w:r>
      <w:r>
        <w:rPr>
          <w:snapToGrid w:val="0"/>
          <w:color w:val="auto"/>
          <w:sz w:val="28"/>
          <w:szCs w:val="28"/>
        </w:rPr>
        <w:t>、矿业活动影响范围</w:t>
      </w:r>
    </w:p>
    <w:p w14:paraId="5453EC25">
      <w:pPr>
        <w:adjustRightInd w:val="0"/>
        <w:snapToGrid w:val="0"/>
        <w:spacing w:line="360" w:lineRule="auto"/>
        <w:ind w:firstLine="560" w:firstLineChars="200"/>
        <w:rPr>
          <w:rFonts w:hint="default" w:eastAsia="宋体"/>
          <w:snapToGrid w:val="0"/>
          <w:color w:val="auto"/>
          <w:sz w:val="28"/>
          <w:szCs w:val="28"/>
          <w:vertAlign w:val="baseline"/>
          <w:lang w:val="en-US" w:eastAsia="zh-CN"/>
        </w:rPr>
      </w:pPr>
      <w:bookmarkStart w:id="52" w:name="_Hlk221462423"/>
      <w:r>
        <w:rPr>
          <w:rFonts w:hint="eastAsia"/>
          <w:snapToGrid w:val="0"/>
          <w:color w:val="auto"/>
          <w:sz w:val="28"/>
          <w:szCs w:val="28"/>
          <w:lang w:eastAsia="zh-CN"/>
        </w:rPr>
        <w:t>松山区初头朗镇窑沟门碎石矿</w:t>
      </w:r>
      <w:r>
        <w:rPr>
          <w:rFonts w:hint="eastAsia"/>
          <w:snapToGrid w:val="0"/>
          <w:color w:val="auto"/>
          <w:sz w:val="28"/>
          <w:szCs w:val="28"/>
          <w:lang w:val="en-US" w:eastAsia="zh-CN"/>
        </w:rPr>
        <w:t>采矿权</w:t>
      </w:r>
      <w:r>
        <w:rPr>
          <w:snapToGrid w:val="0"/>
          <w:color w:val="auto"/>
          <w:sz w:val="28"/>
          <w:szCs w:val="28"/>
        </w:rPr>
        <w:t>证范围外现状破坏</w:t>
      </w:r>
      <w:r>
        <w:rPr>
          <w:rFonts w:hint="eastAsia"/>
          <w:snapToGrid w:val="0"/>
          <w:color w:val="auto"/>
          <w:sz w:val="28"/>
          <w:szCs w:val="28"/>
          <w:lang w:val="en-US" w:eastAsia="zh-CN"/>
        </w:rPr>
        <w:t>面积4.5972</w:t>
      </w:r>
      <w:r>
        <w:rPr>
          <w:snapToGrid w:val="0"/>
          <w:color w:val="auto"/>
          <w:sz w:val="28"/>
          <w:szCs w:val="28"/>
        </w:rPr>
        <w:t>hm</w:t>
      </w:r>
      <w:r>
        <w:rPr>
          <w:snapToGrid w:val="0"/>
          <w:color w:val="auto"/>
          <w:sz w:val="28"/>
          <w:szCs w:val="28"/>
          <w:vertAlign w:val="superscript"/>
        </w:rPr>
        <w:t>2</w:t>
      </w:r>
      <w:bookmarkEnd w:id="52"/>
      <w:r>
        <w:rPr>
          <w:rFonts w:hint="eastAsia"/>
          <w:snapToGrid w:val="0"/>
          <w:color w:val="auto"/>
          <w:sz w:val="28"/>
          <w:szCs w:val="28"/>
          <w:lang w:eastAsia="zh-CN"/>
        </w:rPr>
        <w:t>，</w:t>
      </w:r>
      <w:r>
        <w:rPr>
          <w:rFonts w:hint="eastAsia"/>
          <w:snapToGrid w:val="0"/>
          <w:color w:val="auto"/>
          <w:sz w:val="28"/>
          <w:szCs w:val="28"/>
          <w:lang w:val="en-US" w:eastAsia="zh-CN"/>
        </w:rPr>
        <w:t>其中1#废渣堆0.3993</w:t>
      </w:r>
      <w:r>
        <w:rPr>
          <w:snapToGrid w:val="0"/>
          <w:color w:val="auto"/>
          <w:sz w:val="28"/>
          <w:szCs w:val="28"/>
        </w:rPr>
        <w:t>h</w:t>
      </w:r>
      <w:r>
        <w:rPr>
          <w:rFonts w:hint="eastAsia"/>
          <w:snapToGrid w:val="0"/>
          <w:color w:val="auto"/>
          <w:sz w:val="28"/>
          <w:szCs w:val="28"/>
          <w:lang w:val="en-US" w:eastAsia="zh-CN"/>
        </w:rPr>
        <w:t>m</w:t>
      </w:r>
      <w:r>
        <w:rPr>
          <w:rFonts w:hint="eastAsia"/>
          <w:snapToGrid w:val="0"/>
          <w:color w:val="auto"/>
          <w:sz w:val="28"/>
          <w:szCs w:val="28"/>
          <w:vertAlign w:val="superscript"/>
          <w:lang w:val="en-US" w:eastAsia="zh-CN"/>
        </w:rPr>
        <w:t>2</w:t>
      </w:r>
      <w:r>
        <w:rPr>
          <w:rFonts w:hint="eastAsia"/>
          <w:snapToGrid w:val="0"/>
          <w:color w:val="auto"/>
          <w:sz w:val="28"/>
          <w:szCs w:val="28"/>
          <w:lang w:val="en-US" w:eastAsia="zh-CN"/>
        </w:rPr>
        <w:t>、2#废渣堆0.3869</w:t>
      </w:r>
      <w:r>
        <w:rPr>
          <w:snapToGrid w:val="0"/>
          <w:color w:val="auto"/>
          <w:sz w:val="28"/>
          <w:szCs w:val="28"/>
        </w:rPr>
        <w:t>h</w:t>
      </w:r>
      <w:r>
        <w:rPr>
          <w:rFonts w:hint="eastAsia"/>
          <w:snapToGrid w:val="0"/>
          <w:color w:val="auto"/>
          <w:sz w:val="28"/>
          <w:szCs w:val="28"/>
          <w:lang w:val="en-US" w:eastAsia="zh-CN"/>
        </w:rPr>
        <w:t>m</w:t>
      </w:r>
      <w:r>
        <w:rPr>
          <w:rFonts w:hint="eastAsia"/>
          <w:snapToGrid w:val="0"/>
          <w:color w:val="auto"/>
          <w:sz w:val="28"/>
          <w:szCs w:val="28"/>
          <w:vertAlign w:val="superscript"/>
          <w:lang w:val="en-US" w:eastAsia="zh-CN"/>
        </w:rPr>
        <w:t>2</w:t>
      </w:r>
      <w:r>
        <w:rPr>
          <w:rFonts w:hint="eastAsia"/>
          <w:snapToGrid w:val="0"/>
          <w:color w:val="auto"/>
          <w:sz w:val="28"/>
          <w:szCs w:val="28"/>
          <w:lang w:val="en-US" w:eastAsia="zh-CN"/>
        </w:rPr>
        <w:t>、3#废渣堆0.0965</w:t>
      </w:r>
      <w:r>
        <w:rPr>
          <w:snapToGrid w:val="0"/>
          <w:color w:val="auto"/>
          <w:sz w:val="28"/>
          <w:szCs w:val="28"/>
        </w:rPr>
        <w:t>h</w:t>
      </w:r>
      <w:r>
        <w:rPr>
          <w:rFonts w:hint="eastAsia"/>
          <w:snapToGrid w:val="0"/>
          <w:color w:val="auto"/>
          <w:sz w:val="28"/>
          <w:szCs w:val="28"/>
          <w:lang w:val="en-US" w:eastAsia="zh-CN"/>
        </w:rPr>
        <w:t>m</w:t>
      </w:r>
      <w:r>
        <w:rPr>
          <w:rFonts w:hint="eastAsia"/>
          <w:snapToGrid w:val="0"/>
          <w:color w:val="auto"/>
          <w:sz w:val="28"/>
          <w:szCs w:val="28"/>
          <w:vertAlign w:val="superscript"/>
          <w:lang w:val="en-US" w:eastAsia="zh-CN"/>
        </w:rPr>
        <w:t>2</w:t>
      </w:r>
      <w:r>
        <w:rPr>
          <w:rFonts w:hint="eastAsia"/>
          <w:snapToGrid w:val="0"/>
          <w:color w:val="auto"/>
          <w:sz w:val="28"/>
          <w:szCs w:val="28"/>
          <w:lang w:val="en-US" w:eastAsia="zh-CN"/>
        </w:rPr>
        <w:t>、工业场地0.5425</w:t>
      </w:r>
      <w:r>
        <w:rPr>
          <w:snapToGrid w:val="0"/>
          <w:color w:val="auto"/>
          <w:sz w:val="28"/>
          <w:szCs w:val="28"/>
        </w:rPr>
        <w:t>h</w:t>
      </w:r>
      <w:r>
        <w:rPr>
          <w:rFonts w:hint="eastAsia"/>
          <w:snapToGrid w:val="0"/>
          <w:color w:val="auto"/>
          <w:sz w:val="28"/>
          <w:szCs w:val="28"/>
          <w:lang w:val="en-US" w:eastAsia="zh-CN"/>
        </w:rPr>
        <w:t>m</w:t>
      </w:r>
      <w:r>
        <w:rPr>
          <w:rFonts w:hint="eastAsia"/>
          <w:snapToGrid w:val="0"/>
          <w:color w:val="auto"/>
          <w:sz w:val="28"/>
          <w:szCs w:val="28"/>
          <w:vertAlign w:val="superscript"/>
          <w:lang w:val="en-US" w:eastAsia="zh-CN"/>
        </w:rPr>
        <w:t>2</w:t>
      </w:r>
      <w:r>
        <w:rPr>
          <w:rFonts w:hint="eastAsia"/>
          <w:snapToGrid w:val="0"/>
          <w:color w:val="auto"/>
          <w:sz w:val="28"/>
          <w:szCs w:val="28"/>
          <w:lang w:val="en-US" w:eastAsia="zh-CN"/>
        </w:rPr>
        <w:t>、2#废石场0.4877</w:t>
      </w:r>
      <w:r>
        <w:rPr>
          <w:snapToGrid w:val="0"/>
          <w:color w:val="auto"/>
          <w:sz w:val="28"/>
          <w:szCs w:val="28"/>
        </w:rPr>
        <w:t>h</w:t>
      </w:r>
      <w:r>
        <w:rPr>
          <w:rFonts w:hint="eastAsia"/>
          <w:snapToGrid w:val="0"/>
          <w:color w:val="auto"/>
          <w:sz w:val="28"/>
          <w:szCs w:val="28"/>
          <w:lang w:val="en-US" w:eastAsia="zh-CN"/>
        </w:rPr>
        <w:t>m</w:t>
      </w:r>
      <w:r>
        <w:rPr>
          <w:rFonts w:hint="eastAsia"/>
          <w:snapToGrid w:val="0"/>
          <w:color w:val="auto"/>
          <w:sz w:val="28"/>
          <w:szCs w:val="28"/>
          <w:vertAlign w:val="superscript"/>
          <w:lang w:val="en-US" w:eastAsia="zh-CN"/>
        </w:rPr>
        <w:t>2</w:t>
      </w:r>
      <w:r>
        <w:rPr>
          <w:rFonts w:hint="eastAsia"/>
          <w:snapToGrid w:val="0"/>
          <w:color w:val="auto"/>
          <w:sz w:val="28"/>
          <w:szCs w:val="28"/>
          <w:vertAlign w:val="baseline"/>
          <w:lang w:val="en-US" w:eastAsia="zh-CN"/>
        </w:rPr>
        <w:t>、</w:t>
      </w:r>
      <w:r>
        <w:rPr>
          <w:rFonts w:hint="eastAsia"/>
          <w:snapToGrid w:val="0"/>
          <w:color w:val="auto"/>
          <w:sz w:val="28"/>
          <w:szCs w:val="28"/>
          <w:lang w:val="en-US" w:eastAsia="zh-CN"/>
        </w:rPr>
        <w:t>露天采场0.6159</w:t>
      </w:r>
      <w:r>
        <w:rPr>
          <w:snapToGrid w:val="0"/>
          <w:color w:val="auto"/>
          <w:sz w:val="28"/>
          <w:szCs w:val="28"/>
        </w:rPr>
        <w:t>h</w:t>
      </w:r>
      <w:r>
        <w:rPr>
          <w:rFonts w:hint="eastAsia"/>
          <w:snapToGrid w:val="0"/>
          <w:color w:val="auto"/>
          <w:sz w:val="28"/>
          <w:szCs w:val="28"/>
          <w:lang w:val="en-US" w:eastAsia="zh-CN"/>
        </w:rPr>
        <w:t>m</w:t>
      </w:r>
      <w:r>
        <w:rPr>
          <w:rFonts w:hint="eastAsia"/>
          <w:snapToGrid w:val="0"/>
          <w:color w:val="auto"/>
          <w:sz w:val="28"/>
          <w:szCs w:val="28"/>
          <w:vertAlign w:val="superscript"/>
          <w:lang w:val="en-US" w:eastAsia="zh-CN"/>
        </w:rPr>
        <w:t>2</w:t>
      </w:r>
      <w:r>
        <w:rPr>
          <w:rFonts w:hint="eastAsia"/>
          <w:snapToGrid w:val="0"/>
          <w:color w:val="auto"/>
          <w:sz w:val="28"/>
          <w:szCs w:val="28"/>
          <w:vertAlign w:val="baseline"/>
          <w:lang w:val="en-US" w:eastAsia="zh-CN"/>
        </w:rPr>
        <w:t>、矿区道路0.8382</w:t>
      </w:r>
      <w:r>
        <w:rPr>
          <w:snapToGrid w:val="0"/>
          <w:color w:val="auto"/>
          <w:sz w:val="28"/>
          <w:szCs w:val="28"/>
        </w:rPr>
        <w:t>h</w:t>
      </w:r>
      <w:r>
        <w:rPr>
          <w:rFonts w:hint="eastAsia"/>
          <w:snapToGrid w:val="0"/>
          <w:color w:val="auto"/>
          <w:sz w:val="28"/>
          <w:szCs w:val="28"/>
          <w:lang w:val="en-US" w:eastAsia="zh-CN"/>
        </w:rPr>
        <w:t>m</w:t>
      </w:r>
      <w:r>
        <w:rPr>
          <w:rFonts w:hint="eastAsia"/>
          <w:snapToGrid w:val="0"/>
          <w:color w:val="auto"/>
          <w:sz w:val="28"/>
          <w:szCs w:val="28"/>
          <w:vertAlign w:val="superscript"/>
          <w:lang w:val="en-US" w:eastAsia="zh-CN"/>
        </w:rPr>
        <w:t>2</w:t>
      </w:r>
      <w:r>
        <w:rPr>
          <w:rFonts w:hint="eastAsia"/>
          <w:snapToGrid w:val="0"/>
          <w:color w:val="auto"/>
          <w:sz w:val="28"/>
          <w:szCs w:val="28"/>
          <w:vertAlign w:val="baseline"/>
          <w:lang w:val="en-US" w:eastAsia="zh-CN"/>
        </w:rPr>
        <w:t>、变压器0.0018</w:t>
      </w:r>
      <w:r>
        <w:rPr>
          <w:snapToGrid w:val="0"/>
          <w:color w:val="auto"/>
          <w:sz w:val="28"/>
          <w:szCs w:val="28"/>
        </w:rPr>
        <w:t>h</w:t>
      </w:r>
      <w:r>
        <w:rPr>
          <w:rFonts w:hint="eastAsia"/>
          <w:snapToGrid w:val="0"/>
          <w:color w:val="auto"/>
          <w:sz w:val="28"/>
          <w:szCs w:val="28"/>
          <w:lang w:val="en-US" w:eastAsia="zh-CN"/>
        </w:rPr>
        <w:t>m</w:t>
      </w:r>
      <w:r>
        <w:rPr>
          <w:rFonts w:hint="eastAsia"/>
          <w:snapToGrid w:val="0"/>
          <w:color w:val="auto"/>
          <w:sz w:val="28"/>
          <w:szCs w:val="28"/>
          <w:vertAlign w:val="superscript"/>
          <w:lang w:val="en-US" w:eastAsia="zh-CN"/>
        </w:rPr>
        <w:t>2</w:t>
      </w:r>
      <w:r>
        <w:rPr>
          <w:rFonts w:hint="eastAsia"/>
          <w:snapToGrid w:val="0"/>
          <w:color w:val="auto"/>
          <w:sz w:val="28"/>
          <w:szCs w:val="28"/>
          <w:vertAlign w:val="baseline"/>
          <w:lang w:val="en-US" w:eastAsia="zh-CN"/>
        </w:rPr>
        <w:t>、其他区域1.2302</w:t>
      </w:r>
      <w:r>
        <w:rPr>
          <w:snapToGrid w:val="0"/>
          <w:color w:val="auto"/>
          <w:sz w:val="28"/>
          <w:szCs w:val="28"/>
        </w:rPr>
        <w:t>h</w:t>
      </w:r>
      <w:r>
        <w:rPr>
          <w:rFonts w:hint="eastAsia"/>
          <w:snapToGrid w:val="0"/>
          <w:color w:val="auto"/>
          <w:sz w:val="28"/>
          <w:szCs w:val="28"/>
          <w:vertAlign w:val="baseline"/>
          <w:lang w:val="en-US" w:eastAsia="zh-CN"/>
        </w:rPr>
        <w:t>m</w:t>
      </w:r>
      <w:r>
        <w:rPr>
          <w:rFonts w:hint="eastAsia"/>
          <w:snapToGrid w:val="0"/>
          <w:color w:val="auto"/>
          <w:sz w:val="28"/>
          <w:szCs w:val="28"/>
          <w:vertAlign w:val="superscript"/>
          <w:lang w:val="en-US" w:eastAsia="zh-CN"/>
        </w:rPr>
        <w:t>2</w:t>
      </w:r>
      <w:r>
        <w:rPr>
          <w:rFonts w:hint="eastAsia"/>
          <w:snapToGrid w:val="0"/>
          <w:color w:val="auto"/>
          <w:sz w:val="28"/>
          <w:szCs w:val="28"/>
          <w:vertAlign w:val="baseline"/>
          <w:lang w:val="en-US" w:eastAsia="zh-CN"/>
        </w:rPr>
        <w:t>。</w:t>
      </w:r>
    </w:p>
    <w:p w14:paraId="3297221B">
      <w:pPr>
        <w:adjustRightInd w:val="0"/>
        <w:snapToGrid w:val="0"/>
        <w:spacing w:line="360" w:lineRule="auto"/>
        <w:ind w:firstLine="560" w:firstLineChars="200"/>
        <w:rPr>
          <w:snapToGrid w:val="0"/>
          <w:color w:val="auto"/>
          <w:sz w:val="28"/>
          <w:szCs w:val="28"/>
        </w:rPr>
      </w:pPr>
      <w:r>
        <w:rPr>
          <w:rFonts w:hint="eastAsia"/>
          <w:snapToGrid w:val="0"/>
          <w:color w:val="auto"/>
          <w:sz w:val="28"/>
          <w:szCs w:val="28"/>
          <w:lang w:val="en-US" w:eastAsia="zh-CN"/>
        </w:rPr>
        <w:t>3</w:t>
      </w:r>
      <w:r>
        <w:rPr>
          <w:snapToGrid w:val="0"/>
          <w:color w:val="auto"/>
          <w:sz w:val="28"/>
          <w:szCs w:val="28"/>
        </w:rPr>
        <w:t>、矿区生态修复范围</w:t>
      </w:r>
    </w:p>
    <w:p w14:paraId="6B043767">
      <w:pPr>
        <w:adjustRightInd w:val="0"/>
        <w:snapToGrid w:val="0"/>
        <w:spacing w:line="360" w:lineRule="auto"/>
        <w:ind w:firstLine="560" w:firstLineChars="200"/>
        <w:rPr>
          <w:snapToGrid w:val="0"/>
          <w:color w:val="auto"/>
          <w:sz w:val="28"/>
          <w:szCs w:val="28"/>
        </w:rPr>
      </w:pPr>
      <w:r>
        <w:rPr>
          <w:snapToGrid w:val="0"/>
          <w:color w:val="auto"/>
          <w:sz w:val="28"/>
          <w:szCs w:val="28"/>
        </w:rPr>
        <w:t>综合考虑矿区与周边水文地质、水土环境影响、地灾影响等方面，综合确定矿区生态修复范围面积</w:t>
      </w:r>
      <w:r>
        <w:rPr>
          <w:rFonts w:hint="eastAsia"/>
          <w:snapToGrid w:val="0"/>
          <w:color w:val="auto"/>
          <w:sz w:val="28"/>
          <w:szCs w:val="28"/>
          <w:lang w:val="en-US" w:eastAsia="zh-CN"/>
        </w:rPr>
        <w:t>8.9990</w:t>
      </w:r>
      <w:r>
        <w:rPr>
          <w:snapToGrid w:val="0"/>
          <w:color w:val="auto"/>
          <w:sz w:val="28"/>
          <w:szCs w:val="28"/>
        </w:rPr>
        <w:t>hm</w:t>
      </w:r>
      <w:r>
        <w:rPr>
          <w:snapToGrid w:val="0"/>
          <w:color w:val="auto"/>
          <w:sz w:val="28"/>
          <w:szCs w:val="28"/>
          <w:vertAlign w:val="superscript"/>
        </w:rPr>
        <w:t>2</w:t>
      </w:r>
      <w:r>
        <w:rPr>
          <w:snapToGrid w:val="0"/>
          <w:color w:val="auto"/>
          <w:sz w:val="28"/>
          <w:szCs w:val="28"/>
        </w:rPr>
        <w:t>。</w:t>
      </w:r>
    </w:p>
    <w:p w14:paraId="1BCE6334">
      <w:pPr>
        <w:pStyle w:val="44"/>
        <w:rPr>
          <w:rFonts w:hint="eastAsia" w:asciiTheme="minorEastAsia" w:hAnsiTheme="minorEastAsia" w:eastAsiaTheme="minorEastAsia" w:cstheme="minorEastAsia"/>
          <w:snapToGrid w:val="0"/>
          <w:color w:val="auto"/>
        </w:rPr>
      </w:pPr>
    </w:p>
    <w:p w14:paraId="57C0943C">
      <w:pPr>
        <w:pStyle w:val="44"/>
        <w:rPr>
          <w:rFonts w:hint="eastAsia" w:asciiTheme="minorEastAsia" w:hAnsiTheme="minorEastAsia" w:eastAsiaTheme="minorEastAsia" w:cstheme="minorEastAsia"/>
          <w:snapToGrid w:val="0"/>
          <w:color w:val="auto"/>
        </w:rPr>
        <w:sectPr>
          <w:headerReference r:id="rId11" w:type="default"/>
          <w:pgSz w:w="11907" w:h="16840"/>
          <w:pgMar w:top="1418" w:right="1418" w:bottom="1418" w:left="1418" w:header="851" w:footer="992" w:gutter="0"/>
          <w:pgNumType w:fmt="decimal"/>
          <w:cols w:space="720" w:num="1"/>
          <w:docGrid w:linePitch="312" w:charSpace="0"/>
        </w:sectPr>
      </w:pPr>
    </w:p>
    <w:p w14:paraId="1203B38B">
      <w:pPr>
        <w:pStyle w:val="71"/>
        <w:ind w:left="-426" w:leftChars="-203" w:firstLine="138" w:firstLineChars="66"/>
        <w:rPr>
          <w:rFonts w:hint="eastAsia" w:eastAsia="宋体"/>
          <w:snapToGrid w:val="0"/>
          <w:color w:val="auto"/>
          <w:lang w:eastAsia="zh-CN"/>
        </w:rPr>
      </w:pPr>
      <w:r>
        <w:rPr>
          <w:rFonts w:hint="eastAsia"/>
          <w:snapToGrid w:val="0"/>
          <w:color w:val="auto"/>
          <w:lang w:eastAsia="zh-CN"/>
        </w:rPr>
        <w:t xml:space="preserve">    </w:t>
      </w:r>
    </w:p>
    <w:p w14:paraId="09478E78">
      <w:pPr>
        <w:adjustRightInd w:val="0"/>
        <w:snapToGrid w:val="0"/>
        <w:spacing w:before="120" w:beforeLines="50" w:line="360" w:lineRule="auto"/>
        <w:ind w:firstLine="565" w:firstLineChars="201"/>
        <w:outlineLvl w:val="2"/>
        <w:rPr>
          <w:rFonts w:hint="eastAsia" w:ascii="宋体" w:hAnsi="宋体" w:cs="宋体"/>
          <w:b/>
          <w:bCs/>
          <w:snapToGrid w:val="0"/>
          <w:color w:val="auto"/>
          <w:sz w:val="28"/>
          <w:szCs w:val="28"/>
        </w:rPr>
      </w:pPr>
      <w:bookmarkStart w:id="53" w:name="_Hlk221183422"/>
      <w:bookmarkStart w:id="54" w:name="_Toc210478053"/>
      <w:r>
        <w:rPr>
          <w:rFonts w:hint="eastAsia" w:ascii="宋体" w:hAnsi="宋体" w:cs="宋体"/>
          <w:b/>
          <w:bCs/>
          <w:snapToGrid w:val="0"/>
          <w:color w:val="auto"/>
          <w:sz w:val="28"/>
          <w:szCs w:val="28"/>
        </w:rPr>
        <w:t>二、现状问题</w:t>
      </w:r>
      <w:bookmarkEnd w:id="53"/>
    </w:p>
    <w:p w14:paraId="07F5C510">
      <w:pPr>
        <w:adjustRightInd w:val="0"/>
        <w:snapToGrid w:val="0"/>
        <w:spacing w:line="360" w:lineRule="auto"/>
        <w:ind w:firstLine="562" w:firstLineChars="200"/>
        <w:outlineLvl w:val="3"/>
        <w:rPr>
          <w:rFonts w:hint="eastAsia" w:ascii="Times New Roman" w:hAnsi="Times New Roman" w:eastAsia="宋体" w:cs="Times New Roman"/>
          <w:color w:val="auto"/>
          <w:kern w:val="2"/>
          <w:sz w:val="28"/>
          <w:szCs w:val="28"/>
          <w:highlight w:val="none"/>
          <w:lang w:val="en-US" w:eastAsia="zh-CN" w:bidi="ar-SA"/>
        </w:rPr>
      </w:pPr>
      <w:r>
        <w:rPr>
          <w:b/>
          <w:bCs/>
          <w:snapToGrid w:val="0"/>
          <w:color w:val="auto"/>
          <w:sz w:val="28"/>
          <w:szCs w:val="28"/>
        </w:rPr>
        <w:t>（一）地质环境破坏现状</w:t>
      </w:r>
    </w:p>
    <w:p w14:paraId="50184C06">
      <w:pPr>
        <w:spacing w:line="360" w:lineRule="auto"/>
        <w:ind w:firstLine="560" w:firstLineChars="200"/>
        <w:rPr>
          <w:rFonts w:hint="eastAsia" w:ascii="Times New Roman" w:hAnsi="Times New Roman" w:eastAsia="宋体" w:cs="Times New Roman"/>
          <w:color w:val="auto"/>
          <w:kern w:val="2"/>
          <w:sz w:val="28"/>
          <w:szCs w:val="28"/>
          <w:highlight w:val="none"/>
          <w:lang w:val="en-US" w:eastAsia="zh-CN" w:bidi="ar-SA"/>
        </w:rPr>
      </w:pPr>
      <w:r>
        <w:rPr>
          <w:rFonts w:hint="eastAsia" w:ascii="Times New Roman" w:hAnsi="Times New Roman" w:eastAsia="宋体" w:cs="Times New Roman"/>
          <w:color w:val="auto"/>
          <w:kern w:val="2"/>
          <w:sz w:val="28"/>
          <w:szCs w:val="28"/>
          <w:highlight w:val="none"/>
          <w:lang w:val="en-US" w:eastAsia="zh-CN" w:bidi="ar-SA"/>
        </w:rPr>
        <w:t>根据现场调查及资料收集，现状条件下生态受损单元包括</w:t>
      </w:r>
      <w:r>
        <w:rPr>
          <w:rFonts w:hint="eastAsia"/>
          <w:color w:val="auto"/>
          <w:sz w:val="28"/>
          <w:szCs w:val="28"/>
          <w:lang w:val="en-US" w:eastAsia="zh-CN"/>
        </w:rPr>
        <w:t>露天采场、1#废石场、2#废石场、1#废渣堆、2#废渣堆、3#废渣堆、工业场地、矿区道路、办公生活区、</w:t>
      </w:r>
      <w:r>
        <w:rPr>
          <w:rFonts w:hint="eastAsia"/>
          <w:snapToGrid w:val="0"/>
          <w:color w:val="auto"/>
          <w:sz w:val="28"/>
          <w:szCs w:val="28"/>
          <w:lang w:val="en-US" w:eastAsia="zh-CN"/>
        </w:rPr>
        <w:t>变压器</w:t>
      </w:r>
      <w:r>
        <w:rPr>
          <w:rFonts w:hint="eastAsia" w:ascii="Times New Roman" w:hAnsi="Times New Roman" w:eastAsia="宋体" w:cs="Times New Roman"/>
          <w:color w:val="auto"/>
          <w:kern w:val="2"/>
          <w:sz w:val="28"/>
          <w:szCs w:val="28"/>
          <w:highlight w:val="none"/>
          <w:lang w:val="en-US" w:eastAsia="zh-CN" w:bidi="ar-SA"/>
        </w:rPr>
        <w:t>。</w:t>
      </w:r>
    </w:p>
    <w:p w14:paraId="7BDFB030">
      <w:pPr>
        <w:pStyle w:val="14"/>
        <w:keepNext w:val="0"/>
        <w:keepLines w:val="0"/>
        <w:pageBreakBefore w:val="0"/>
        <w:widowControl/>
        <w:kinsoku/>
        <w:wordWrap/>
        <w:overflowPunct/>
        <w:topLinePunct w:val="0"/>
        <w:autoSpaceDE/>
        <w:autoSpaceDN/>
        <w:bidi w:val="0"/>
        <w:adjustRightInd/>
        <w:snapToGrid/>
        <w:spacing w:after="0" w:line="360" w:lineRule="auto"/>
        <w:ind w:left="0" w:right="0" w:firstLine="560" w:firstLineChars="200"/>
        <w:jc w:val="left"/>
        <w:textAlignment w:val="auto"/>
        <w:outlineLvl w:val="9"/>
        <w:rPr>
          <w:rFonts w:hint="eastAsia" w:ascii="Times New Roman" w:hAnsi="Times New Roman" w:eastAsia="宋体" w:cs="Times New Roman"/>
          <w:color w:val="auto"/>
          <w:kern w:val="2"/>
          <w:sz w:val="28"/>
          <w:szCs w:val="28"/>
          <w:highlight w:val="none"/>
          <w:lang w:val="en-US" w:eastAsia="zh-CN" w:bidi="ar-SA"/>
        </w:rPr>
      </w:pPr>
      <w:r>
        <w:rPr>
          <w:rFonts w:hint="eastAsia" w:ascii="Times New Roman" w:hAnsi="Times New Roman" w:eastAsia="宋体" w:cs="Times New Roman"/>
          <w:color w:val="auto"/>
          <w:kern w:val="2"/>
          <w:sz w:val="28"/>
          <w:szCs w:val="28"/>
          <w:highlight w:val="none"/>
          <w:lang w:val="en-US" w:eastAsia="zh-CN" w:bidi="ar-SA"/>
        </w:rPr>
        <w:t>现从矿山地质环境问题，土地资源损毁以及生态系统破坏三个方面对其进行现状问题识别诊断：</w:t>
      </w:r>
    </w:p>
    <w:p w14:paraId="098DB653">
      <w:pPr>
        <w:adjustRightInd w:val="0"/>
        <w:snapToGrid w:val="0"/>
        <w:spacing w:line="360" w:lineRule="auto"/>
        <w:ind w:firstLine="560" w:firstLineChars="200"/>
        <w:rPr>
          <w:rFonts w:hint="default" w:eastAsia="宋体"/>
          <w:snapToGrid w:val="0"/>
          <w:color w:val="auto"/>
          <w:sz w:val="28"/>
          <w:szCs w:val="28"/>
          <w:lang w:val="en-US" w:eastAsia="zh-CN"/>
        </w:rPr>
      </w:pPr>
      <w:r>
        <w:rPr>
          <w:rFonts w:hint="eastAsia" w:ascii="Times New Roman" w:hAnsi="Times New Roman" w:eastAsia="宋体" w:cs="Times New Roman"/>
          <w:color w:val="auto"/>
          <w:kern w:val="2"/>
          <w:sz w:val="28"/>
          <w:szCs w:val="28"/>
          <w:highlight w:val="none"/>
          <w:lang w:val="en-US" w:eastAsia="zh-CN" w:bidi="ar-SA"/>
        </w:rPr>
        <w:t>1、</w:t>
      </w:r>
      <w:r>
        <w:rPr>
          <w:snapToGrid w:val="0"/>
          <w:color w:val="auto"/>
          <w:sz w:val="28"/>
          <w:szCs w:val="28"/>
        </w:rPr>
        <w:t>不稳定</w:t>
      </w:r>
      <w:r>
        <w:rPr>
          <w:rFonts w:hint="eastAsia"/>
          <w:snapToGrid w:val="0"/>
          <w:color w:val="auto"/>
          <w:sz w:val="28"/>
          <w:szCs w:val="28"/>
          <w:lang w:val="en-US" w:eastAsia="zh-CN"/>
        </w:rPr>
        <w:t>地质体现状</w:t>
      </w:r>
    </w:p>
    <w:p w14:paraId="1C983438">
      <w:pPr>
        <w:adjustRightInd w:val="0"/>
        <w:snapToGrid w:val="0"/>
        <w:spacing w:line="360" w:lineRule="auto"/>
        <w:ind w:firstLine="560" w:firstLineChars="200"/>
        <w:rPr>
          <w:snapToGrid w:val="0"/>
          <w:color w:val="auto"/>
          <w:sz w:val="28"/>
          <w:szCs w:val="28"/>
        </w:rPr>
      </w:pPr>
      <w:r>
        <w:rPr>
          <w:snapToGrid w:val="0"/>
          <w:color w:val="auto"/>
          <w:sz w:val="28"/>
          <w:szCs w:val="28"/>
        </w:rPr>
        <w:t>矿山目前形成</w:t>
      </w:r>
      <w:r>
        <w:rPr>
          <w:rFonts w:hint="eastAsia"/>
          <w:snapToGrid w:val="0"/>
          <w:color w:val="auto"/>
          <w:sz w:val="28"/>
          <w:szCs w:val="28"/>
          <w:lang w:val="en-US" w:eastAsia="zh-CN"/>
        </w:rPr>
        <w:t>1</w:t>
      </w:r>
      <w:r>
        <w:rPr>
          <w:snapToGrid w:val="0"/>
          <w:color w:val="auto"/>
          <w:sz w:val="28"/>
          <w:szCs w:val="28"/>
        </w:rPr>
        <w:t>处露天采场，</w:t>
      </w:r>
      <w:r>
        <w:rPr>
          <w:rFonts w:hint="eastAsia"/>
          <w:snapToGrid w:val="0"/>
          <w:color w:val="auto"/>
          <w:sz w:val="28"/>
          <w:szCs w:val="28"/>
          <w:lang w:val="en-US" w:eastAsia="zh-CN"/>
        </w:rPr>
        <w:t>存</w:t>
      </w:r>
      <w:r>
        <w:rPr>
          <w:snapToGrid w:val="0"/>
          <w:color w:val="auto"/>
          <w:sz w:val="28"/>
          <w:szCs w:val="28"/>
        </w:rPr>
        <w:t>在不完整的台阶和陡立边坡，存在开采临空面，但是现状采坑底部并没有崩落的岩土体，没有掉块迹象</w:t>
      </w:r>
      <w:r>
        <w:rPr>
          <w:rFonts w:hint="eastAsia"/>
          <w:snapToGrid w:val="0"/>
          <w:color w:val="auto"/>
          <w:sz w:val="28"/>
          <w:szCs w:val="28"/>
          <w:lang w:eastAsia="zh-CN"/>
        </w:rPr>
        <w:t>，</w:t>
      </w:r>
      <w:r>
        <w:rPr>
          <w:snapToGrid w:val="0"/>
          <w:color w:val="auto"/>
          <w:sz w:val="28"/>
          <w:szCs w:val="28"/>
        </w:rPr>
        <w:t>现状下崩塌地质灾害</w:t>
      </w:r>
      <w:r>
        <w:rPr>
          <w:rFonts w:hint="eastAsia"/>
          <w:snapToGrid w:val="0"/>
          <w:color w:val="auto"/>
          <w:sz w:val="28"/>
          <w:szCs w:val="28"/>
          <w:lang w:val="en-US" w:eastAsia="zh-CN"/>
        </w:rPr>
        <w:t>不发育，但存在崩塌</w:t>
      </w:r>
      <w:r>
        <w:rPr>
          <w:snapToGrid w:val="0"/>
          <w:color w:val="auto"/>
          <w:sz w:val="28"/>
          <w:szCs w:val="28"/>
        </w:rPr>
        <w:t>地质灾害</w:t>
      </w:r>
      <w:r>
        <w:rPr>
          <w:rFonts w:hint="eastAsia"/>
          <w:snapToGrid w:val="0"/>
          <w:color w:val="auto"/>
          <w:sz w:val="28"/>
          <w:szCs w:val="28"/>
          <w:lang w:val="en-US" w:eastAsia="zh-CN"/>
        </w:rPr>
        <w:t>隐患</w:t>
      </w:r>
      <w:r>
        <w:rPr>
          <w:snapToGrid w:val="0"/>
          <w:color w:val="auto"/>
          <w:sz w:val="28"/>
          <w:szCs w:val="28"/>
        </w:rPr>
        <w:t>，崩塌地质灾害发育程度弱，危险性小</w:t>
      </w:r>
      <w:r>
        <w:rPr>
          <w:rFonts w:hint="eastAsia"/>
          <w:snapToGrid w:val="0"/>
          <w:color w:val="auto"/>
          <w:sz w:val="28"/>
          <w:szCs w:val="28"/>
          <w:lang w:eastAsia="zh-CN"/>
        </w:rPr>
        <w:t>，</w:t>
      </w:r>
      <w:r>
        <w:rPr>
          <w:snapToGrid w:val="0"/>
          <w:color w:val="auto"/>
          <w:sz w:val="28"/>
          <w:szCs w:val="28"/>
        </w:rPr>
        <w:t>可能造成直接经济损失小，受威胁人员主要为附近放牧的人员和牲畜</w:t>
      </w:r>
      <w:r>
        <w:rPr>
          <w:rFonts w:hint="eastAsia"/>
          <w:snapToGrid w:val="0"/>
          <w:color w:val="auto"/>
          <w:sz w:val="28"/>
          <w:szCs w:val="28"/>
          <w:lang w:eastAsia="zh-CN"/>
        </w:rPr>
        <w:t>。</w:t>
      </w:r>
      <w:r>
        <w:rPr>
          <w:snapToGrid w:val="0"/>
          <w:color w:val="auto"/>
          <w:sz w:val="28"/>
          <w:szCs w:val="28"/>
        </w:rPr>
        <w:t>（见照片3-</w:t>
      </w:r>
      <w:r>
        <w:rPr>
          <w:rFonts w:hint="eastAsia"/>
          <w:snapToGrid w:val="0"/>
          <w:color w:val="auto"/>
          <w:sz w:val="28"/>
          <w:szCs w:val="28"/>
          <w:lang w:val="en-US" w:eastAsia="zh-CN"/>
        </w:rPr>
        <w:t>2</w:t>
      </w:r>
      <w:r>
        <w:rPr>
          <w:snapToGrid w:val="0"/>
          <w:color w:val="auto"/>
          <w:sz w:val="28"/>
          <w:szCs w:val="28"/>
        </w:rPr>
        <w:t>）。</w:t>
      </w:r>
    </w:p>
    <w:p w14:paraId="32B6E6DB">
      <w:pPr>
        <w:adjustRightInd w:val="0"/>
        <w:snapToGrid w:val="0"/>
        <w:jc w:val="center"/>
        <w:rPr>
          <w:rFonts w:hint="eastAsia" w:ascii="宋体" w:hAnsi="宋体" w:eastAsia="宋体" w:cs="宋体"/>
          <w:snapToGrid w:val="0"/>
          <w:color w:val="auto"/>
          <w:sz w:val="28"/>
          <w:szCs w:val="28"/>
          <w:lang w:eastAsia="zh-CN"/>
        </w:rPr>
      </w:pPr>
      <w:r>
        <w:rPr>
          <w:rFonts w:hint="eastAsia"/>
          <w:color w:val="auto"/>
          <w:lang w:eastAsia="zh-CN"/>
        </w:rPr>
        <w:t xml:space="preserve">    </w:t>
      </w:r>
    </w:p>
    <w:p w14:paraId="2DC33773">
      <w:pPr>
        <w:pStyle w:val="44"/>
        <w:spacing w:line="360" w:lineRule="auto"/>
        <w:jc w:val="center"/>
        <w:rPr>
          <w:rFonts w:hint="eastAsia" w:ascii="黑体" w:hAnsi="黑体" w:eastAsia="黑体" w:cstheme="minorEastAsia"/>
          <w:color w:val="auto"/>
          <w:lang w:val="en-US" w:eastAsia="zh-CN"/>
        </w:rPr>
      </w:pPr>
      <w:r>
        <w:rPr>
          <w:rFonts w:hint="eastAsia" w:ascii="黑体" w:hAnsi="黑体" w:eastAsia="黑体" w:cstheme="minorEastAsia"/>
          <w:color w:val="auto"/>
        </w:rPr>
        <w:t>照片3-2  露天采</w:t>
      </w:r>
      <w:r>
        <w:rPr>
          <w:rFonts w:hint="eastAsia" w:ascii="黑体" w:hAnsi="黑体" w:eastAsia="黑体" w:cstheme="minorEastAsia"/>
          <w:color w:val="auto"/>
          <w:lang w:val="en-US" w:eastAsia="zh-CN"/>
        </w:rPr>
        <w:t>场</w:t>
      </w:r>
    </w:p>
    <w:p w14:paraId="34135E80">
      <w:pPr>
        <w:adjustRightInd w:val="0"/>
        <w:snapToGrid w:val="0"/>
        <w:spacing w:line="360" w:lineRule="auto"/>
        <w:ind w:firstLine="560" w:firstLineChars="200"/>
        <w:rPr>
          <w:rFonts w:hint="eastAsia" w:cs="Times New Roman"/>
          <w:color w:val="auto"/>
          <w:sz w:val="28"/>
          <w:szCs w:val="28"/>
          <w:highlight w:val="none"/>
          <w:shd w:val="clear" w:color="auto" w:fill="auto"/>
          <w:lang w:val="en-US" w:eastAsia="zh-CN"/>
        </w:rPr>
      </w:pPr>
      <w:r>
        <w:rPr>
          <w:rFonts w:hint="eastAsia"/>
          <w:snapToGrid w:val="0"/>
          <w:color w:val="auto"/>
          <w:sz w:val="28"/>
          <w:szCs w:val="28"/>
          <w:lang w:val="en-US" w:eastAsia="zh-CN"/>
        </w:rPr>
        <w:t>2#废石场</w:t>
      </w:r>
      <w:r>
        <w:rPr>
          <w:rFonts w:hint="eastAsia" w:ascii="Times New Roman" w:hAnsi="Times New Roman" w:cs="Times New Roman"/>
          <w:snapToGrid w:val="0"/>
          <w:color w:val="auto"/>
          <w:sz w:val="28"/>
          <w:szCs w:val="28"/>
          <w:lang w:val="en-US" w:eastAsia="zh-CN"/>
        </w:rPr>
        <w:t>存在边坡，</w:t>
      </w:r>
      <w:r>
        <w:rPr>
          <w:rFonts w:hint="default" w:ascii="Times New Roman" w:hAnsi="Times New Roman" w:eastAsia="宋体" w:cs="Times New Roman"/>
          <w:color w:val="auto"/>
          <w:sz w:val="28"/>
          <w:szCs w:val="28"/>
          <w:highlight w:val="none"/>
          <w:shd w:val="clear" w:color="auto" w:fill="auto"/>
          <w:lang w:val="en-US" w:eastAsia="zh-CN"/>
        </w:rPr>
        <w:t>斜坡坡度</w:t>
      </w:r>
      <w:r>
        <w:rPr>
          <w:rFonts w:hint="eastAsia" w:cs="Times New Roman"/>
          <w:color w:val="auto"/>
          <w:sz w:val="28"/>
          <w:szCs w:val="28"/>
          <w:highlight w:val="none"/>
          <w:shd w:val="clear" w:color="auto" w:fill="auto"/>
          <w:lang w:val="en-US" w:eastAsia="zh-CN"/>
        </w:rPr>
        <w:t>较陡</w:t>
      </w:r>
      <w:r>
        <w:rPr>
          <w:rFonts w:hint="default" w:ascii="Times New Roman" w:hAnsi="Times New Roman" w:eastAsia="宋体" w:cs="Times New Roman"/>
          <w:color w:val="auto"/>
          <w:sz w:val="28"/>
          <w:szCs w:val="28"/>
          <w:highlight w:val="none"/>
          <w:shd w:val="clear" w:color="auto" w:fill="auto"/>
          <w:lang w:val="en-US" w:eastAsia="zh-CN"/>
        </w:rPr>
        <w:t>、临空高差</w:t>
      </w:r>
      <w:r>
        <w:rPr>
          <w:rFonts w:hint="eastAsia" w:cs="Times New Roman"/>
          <w:color w:val="auto"/>
          <w:sz w:val="28"/>
          <w:szCs w:val="28"/>
          <w:highlight w:val="none"/>
          <w:shd w:val="clear" w:color="auto" w:fill="auto"/>
          <w:lang w:val="en-US" w:eastAsia="zh-CN"/>
        </w:rPr>
        <w:t>大</w:t>
      </w:r>
      <w:r>
        <w:rPr>
          <w:rFonts w:hint="default" w:ascii="Times New Roman" w:hAnsi="Times New Roman" w:eastAsia="宋体" w:cs="Times New Roman"/>
          <w:color w:val="auto"/>
          <w:sz w:val="28"/>
          <w:szCs w:val="28"/>
          <w:highlight w:val="none"/>
          <w:shd w:val="clear" w:color="auto" w:fill="auto"/>
          <w:lang w:val="en-US" w:eastAsia="zh-CN"/>
        </w:rPr>
        <w:t>，</w:t>
      </w:r>
      <w:r>
        <w:rPr>
          <w:rFonts w:hint="eastAsia" w:cs="Times New Roman"/>
          <w:color w:val="auto"/>
          <w:sz w:val="28"/>
          <w:szCs w:val="28"/>
          <w:highlight w:val="none"/>
          <w:shd w:val="clear" w:color="auto" w:fill="auto"/>
          <w:lang w:val="en-US" w:eastAsia="zh-CN"/>
        </w:rPr>
        <w:t>根据现场调查情况，边坡顶部已出现变形，形成宽度约3-5cm宽裂缝，长度约15m已</w:t>
      </w:r>
      <w:r>
        <w:rPr>
          <w:rFonts w:hint="default" w:ascii="Times New Roman" w:hAnsi="Times New Roman" w:eastAsia="宋体" w:cs="Times New Roman"/>
          <w:color w:val="auto"/>
          <w:sz w:val="28"/>
          <w:szCs w:val="28"/>
          <w:highlight w:val="none"/>
          <w:shd w:val="clear" w:color="auto" w:fill="auto"/>
          <w:lang w:val="en-US" w:eastAsia="zh-CN"/>
        </w:rPr>
        <w:t>具备崩塌、滑坡启动的地形势能条件，裂缝、变形迹象及地表径流流经</w:t>
      </w:r>
      <w:r>
        <w:rPr>
          <w:rFonts w:hint="eastAsia" w:cs="Times New Roman"/>
          <w:color w:val="auto"/>
          <w:sz w:val="28"/>
          <w:szCs w:val="28"/>
          <w:highlight w:val="none"/>
          <w:shd w:val="clear" w:color="auto" w:fill="auto"/>
          <w:lang w:val="en-US" w:eastAsia="zh-CN"/>
        </w:rPr>
        <w:t>可能会</w:t>
      </w:r>
      <w:r>
        <w:rPr>
          <w:rFonts w:hint="default" w:ascii="Times New Roman" w:hAnsi="Times New Roman" w:eastAsia="宋体" w:cs="Times New Roman"/>
          <w:color w:val="auto"/>
          <w:sz w:val="28"/>
          <w:szCs w:val="28"/>
          <w:highlight w:val="none"/>
          <w:shd w:val="clear" w:color="auto" w:fill="auto"/>
          <w:lang w:val="en-US" w:eastAsia="zh-CN"/>
        </w:rPr>
        <w:t>引发岩土体失稳的痕迹</w:t>
      </w:r>
      <w:r>
        <w:rPr>
          <w:rFonts w:hint="eastAsia" w:cs="Times New Roman"/>
          <w:color w:val="auto"/>
          <w:sz w:val="28"/>
          <w:szCs w:val="28"/>
          <w:highlight w:val="none"/>
          <w:shd w:val="clear" w:color="auto" w:fill="auto"/>
          <w:lang w:val="en-US" w:eastAsia="zh-CN"/>
        </w:rPr>
        <w:t>，见照片3-3。</w:t>
      </w:r>
    </w:p>
    <w:p w14:paraId="1EC044FD">
      <w:pPr>
        <w:pStyle w:val="44"/>
        <w:spacing w:line="360" w:lineRule="auto"/>
        <w:jc w:val="center"/>
        <w:rPr>
          <w:rFonts w:hint="eastAsia" w:ascii="黑体" w:hAnsi="黑体" w:eastAsia="黑体" w:cstheme="minorEastAsia"/>
          <w:color w:val="auto"/>
          <w:lang w:eastAsia="zh-CN"/>
        </w:rPr>
      </w:pPr>
      <w:r>
        <w:rPr>
          <w:rFonts w:hint="eastAsia" w:ascii="黑体" w:hAnsi="黑体" w:eastAsia="黑体" w:cstheme="minorEastAsia"/>
          <w:color w:val="auto"/>
          <w:lang w:eastAsia="zh-CN"/>
        </w:rPr>
        <w:t xml:space="preserve">    </w:t>
      </w:r>
    </w:p>
    <w:p w14:paraId="33D19D66">
      <w:pPr>
        <w:pStyle w:val="44"/>
        <w:spacing w:line="360" w:lineRule="auto"/>
        <w:jc w:val="center"/>
        <w:rPr>
          <w:rFonts w:hint="default" w:eastAsia="黑体" w:cs="Times New Roman"/>
          <w:color w:val="auto"/>
          <w:sz w:val="28"/>
          <w:szCs w:val="28"/>
          <w:highlight w:val="none"/>
          <w:shd w:val="clear" w:color="auto" w:fill="auto"/>
          <w:lang w:val="en-US" w:eastAsia="zh-CN"/>
        </w:rPr>
      </w:pPr>
      <w:r>
        <w:rPr>
          <w:rFonts w:hint="eastAsia" w:ascii="黑体" w:hAnsi="黑体" w:eastAsia="黑体" w:cstheme="minorEastAsia"/>
          <w:color w:val="auto"/>
        </w:rPr>
        <w:t>照片3-</w:t>
      </w:r>
      <w:r>
        <w:rPr>
          <w:rFonts w:hint="eastAsia" w:ascii="黑体" w:hAnsi="黑体" w:eastAsia="黑体" w:cstheme="minorEastAsia"/>
          <w:color w:val="auto"/>
          <w:lang w:val="en-US" w:eastAsia="zh-CN"/>
        </w:rPr>
        <w:t>3</w:t>
      </w:r>
      <w:r>
        <w:rPr>
          <w:rFonts w:hint="eastAsia" w:ascii="黑体" w:hAnsi="黑体" w:eastAsia="黑体" w:cstheme="minorEastAsia"/>
          <w:color w:val="auto"/>
        </w:rPr>
        <w:t xml:space="preserve">  </w:t>
      </w:r>
      <w:r>
        <w:rPr>
          <w:rFonts w:hint="eastAsia" w:ascii="黑体" w:hAnsi="黑体" w:eastAsia="黑体" w:cstheme="minorEastAsia"/>
          <w:color w:val="auto"/>
          <w:lang w:val="en-US" w:eastAsia="zh-CN"/>
        </w:rPr>
        <w:t>2#废石场边坡顶部裂缝</w:t>
      </w:r>
    </w:p>
    <w:p w14:paraId="08CA2A4D">
      <w:pPr>
        <w:adjustRightInd w:val="0"/>
        <w:snapToGrid w:val="0"/>
        <w:spacing w:line="360" w:lineRule="auto"/>
        <w:ind w:firstLine="560" w:firstLineChars="200"/>
        <w:rPr>
          <w:rFonts w:hint="default" w:ascii="Times New Roman" w:hAnsi="Times New Roman" w:cs="Times New Roman"/>
          <w:snapToGrid w:val="0"/>
          <w:color w:val="auto"/>
          <w:sz w:val="28"/>
          <w:szCs w:val="28"/>
          <w:lang w:val="en-US" w:eastAsia="zh-CN"/>
        </w:rPr>
      </w:pPr>
      <w:r>
        <w:rPr>
          <w:rFonts w:hint="eastAsia" w:ascii="Times New Roman" w:hAnsi="Times New Roman" w:cs="Times New Roman"/>
          <w:snapToGrid w:val="0"/>
          <w:color w:val="auto"/>
          <w:sz w:val="28"/>
          <w:szCs w:val="28"/>
          <w:lang w:val="en-US" w:eastAsia="zh-CN"/>
        </w:rPr>
        <w:t>1#废渣堆、2#废渣堆、3#废渣堆、</w:t>
      </w:r>
      <w:r>
        <w:rPr>
          <w:rFonts w:hint="eastAsia" w:cs="Times New Roman"/>
          <w:snapToGrid w:val="0"/>
          <w:color w:val="auto"/>
          <w:sz w:val="28"/>
          <w:szCs w:val="28"/>
          <w:lang w:val="en-US" w:eastAsia="zh-CN"/>
        </w:rPr>
        <w:t>1#</w:t>
      </w:r>
      <w:r>
        <w:rPr>
          <w:rFonts w:hint="eastAsia" w:ascii="Times New Roman" w:hAnsi="Times New Roman" w:cs="Times New Roman"/>
          <w:snapToGrid w:val="0"/>
          <w:color w:val="auto"/>
          <w:sz w:val="28"/>
          <w:szCs w:val="28"/>
          <w:lang w:val="en-US" w:eastAsia="zh-CN"/>
        </w:rPr>
        <w:t>废石场存在边坡，</w:t>
      </w:r>
      <w:r>
        <w:rPr>
          <w:rFonts w:hint="default" w:ascii="Times New Roman" w:hAnsi="Times New Roman" w:eastAsia="宋体" w:cs="Times New Roman"/>
          <w:color w:val="auto"/>
          <w:sz w:val="28"/>
          <w:szCs w:val="28"/>
          <w:highlight w:val="none"/>
          <w:shd w:val="clear" w:color="auto" w:fill="auto"/>
          <w:lang w:val="en-US" w:eastAsia="zh-CN"/>
        </w:rPr>
        <w:t>斜坡坡度平缓、临空高差小，不具备崩塌、滑坡启动的地形势能条件，坡面亦无裂缝、变形迹象及地表径流流经引发岩土体失稳的痕迹</w:t>
      </w:r>
      <w:r>
        <w:rPr>
          <w:rFonts w:hint="eastAsia" w:cs="Times New Roman"/>
          <w:color w:val="auto"/>
          <w:sz w:val="28"/>
          <w:szCs w:val="28"/>
          <w:highlight w:val="none"/>
          <w:shd w:val="clear" w:color="auto" w:fill="auto"/>
          <w:lang w:val="en-US" w:eastAsia="zh-CN"/>
        </w:rPr>
        <w:t>。</w:t>
      </w:r>
    </w:p>
    <w:p w14:paraId="283034DF">
      <w:pPr>
        <w:adjustRightInd w:val="0"/>
        <w:snapToGrid w:val="0"/>
        <w:spacing w:line="360" w:lineRule="auto"/>
        <w:ind w:firstLine="560" w:firstLineChars="200"/>
        <w:rPr>
          <w:snapToGrid w:val="0"/>
          <w:color w:val="auto"/>
          <w:sz w:val="28"/>
          <w:szCs w:val="28"/>
        </w:rPr>
      </w:pPr>
      <w:r>
        <w:rPr>
          <w:snapToGrid w:val="0"/>
          <w:color w:val="auto"/>
          <w:sz w:val="28"/>
          <w:szCs w:val="28"/>
        </w:rPr>
        <w:t>综上所述，现状条件下，</w:t>
      </w:r>
      <w:r>
        <w:rPr>
          <w:rFonts w:hint="eastAsia"/>
          <w:snapToGrid w:val="0"/>
          <w:color w:val="auto"/>
          <w:sz w:val="28"/>
          <w:szCs w:val="28"/>
          <w:lang w:val="en-US" w:eastAsia="zh-CN"/>
        </w:rPr>
        <w:t>2#废石场边</w:t>
      </w:r>
      <w:r>
        <w:rPr>
          <w:snapToGrid w:val="0"/>
          <w:color w:val="auto"/>
          <w:sz w:val="28"/>
          <w:szCs w:val="28"/>
        </w:rPr>
        <w:t>坡</w:t>
      </w:r>
      <w:r>
        <w:rPr>
          <w:rFonts w:hint="eastAsia" w:cs="Times New Roman"/>
          <w:color w:val="auto"/>
          <w:sz w:val="28"/>
          <w:szCs w:val="28"/>
          <w:highlight w:val="none"/>
          <w:shd w:val="clear" w:color="auto" w:fill="auto"/>
          <w:lang w:val="en-US" w:eastAsia="zh-CN"/>
        </w:rPr>
        <w:t>已形成</w:t>
      </w:r>
      <w:r>
        <w:rPr>
          <w:rFonts w:hint="default" w:ascii="Times New Roman" w:hAnsi="Times New Roman" w:eastAsia="宋体" w:cs="Times New Roman"/>
          <w:color w:val="auto"/>
          <w:sz w:val="28"/>
          <w:szCs w:val="28"/>
          <w:highlight w:val="none"/>
          <w:shd w:val="clear" w:color="auto" w:fill="auto"/>
          <w:lang w:val="en-US" w:eastAsia="zh-CN"/>
        </w:rPr>
        <w:t>岩土体失稳的痕迹</w:t>
      </w:r>
      <w:r>
        <w:rPr>
          <w:rFonts w:hint="eastAsia" w:cs="Times New Roman"/>
          <w:color w:val="auto"/>
          <w:sz w:val="28"/>
          <w:szCs w:val="28"/>
          <w:highlight w:val="none"/>
          <w:shd w:val="clear" w:color="auto" w:fill="auto"/>
          <w:lang w:val="en-US" w:eastAsia="zh-CN"/>
        </w:rPr>
        <w:t>，形成崩塌、滑坡地质灾害隐患，</w:t>
      </w:r>
      <w:bookmarkStart w:id="55" w:name="_Hlk219065635"/>
      <w:r>
        <w:rPr>
          <w:snapToGrid w:val="0"/>
          <w:color w:val="auto"/>
          <w:sz w:val="28"/>
          <w:szCs w:val="28"/>
        </w:rPr>
        <w:t>现状评估地质灾害影响程度分级为较</w:t>
      </w:r>
      <w:r>
        <w:rPr>
          <w:rFonts w:hint="eastAsia"/>
          <w:snapToGrid w:val="0"/>
          <w:color w:val="auto"/>
          <w:sz w:val="28"/>
          <w:szCs w:val="28"/>
          <w:lang w:val="en-US" w:eastAsia="zh-CN"/>
        </w:rPr>
        <w:t>严重</w:t>
      </w:r>
      <w:r>
        <w:rPr>
          <w:snapToGrid w:val="0"/>
          <w:color w:val="auto"/>
          <w:sz w:val="28"/>
          <w:szCs w:val="28"/>
        </w:rPr>
        <w:t>。</w:t>
      </w:r>
      <w:bookmarkEnd w:id="55"/>
    </w:p>
    <w:bookmarkEnd w:id="54"/>
    <w:p w14:paraId="5C690AA7">
      <w:pPr>
        <w:spacing w:line="360" w:lineRule="auto"/>
        <w:ind w:firstLine="562" w:firstLineChars="200"/>
        <w:contextualSpacing/>
        <w:rPr>
          <w:b/>
          <w:bCs/>
          <w:color w:val="auto"/>
          <w:sz w:val="28"/>
          <w:szCs w:val="28"/>
        </w:rPr>
      </w:pPr>
      <w:r>
        <w:rPr>
          <w:b/>
          <w:bCs/>
          <w:color w:val="auto"/>
          <w:sz w:val="28"/>
          <w:szCs w:val="28"/>
        </w:rPr>
        <w:t>2、矿区含水层破坏现状分析</w:t>
      </w:r>
    </w:p>
    <w:p w14:paraId="6BD88CA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60" w:firstLineChars="200"/>
        <w:jc w:val="both"/>
        <w:textAlignment w:val="auto"/>
        <w:outlineLvl w:val="9"/>
        <w:rPr>
          <w:rFonts w:hint="default" w:ascii="Times New Roman" w:hAnsi="Times New Roman" w:eastAsia="宋体" w:cs="Times New Roman"/>
          <w:color w:val="auto"/>
          <w:sz w:val="28"/>
          <w:szCs w:val="28"/>
          <w:highlight w:val="none"/>
        </w:rPr>
      </w:pPr>
      <w:r>
        <w:rPr>
          <w:rFonts w:hint="eastAsia" w:ascii="Times New Roman" w:hAnsi="Times New Roman" w:cs="Times New Roman"/>
          <w:color w:val="auto"/>
          <w:sz w:val="28"/>
          <w:szCs w:val="28"/>
          <w:highlight w:val="none"/>
          <w:lang w:val="en-US" w:eastAsia="zh-CN"/>
        </w:rPr>
        <w:t>（</w:t>
      </w:r>
      <w:r>
        <w:rPr>
          <w:rFonts w:hint="eastAsia" w:ascii="Times New Roman" w:hAnsi="Times New Roman" w:eastAsia="宋体" w:cs="Times New Roman"/>
          <w:color w:val="auto"/>
          <w:sz w:val="28"/>
          <w:szCs w:val="28"/>
          <w:highlight w:val="none"/>
          <w:lang w:val="en-US" w:eastAsia="zh-CN"/>
        </w:rPr>
        <w:t>1）</w:t>
      </w:r>
      <w:r>
        <w:rPr>
          <w:rFonts w:hint="default" w:ascii="Times New Roman" w:hAnsi="Times New Roman" w:eastAsia="宋体" w:cs="Times New Roman"/>
          <w:color w:val="auto"/>
          <w:sz w:val="28"/>
          <w:szCs w:val="28"/>
          <w:highlight w:val="none"/>
        </w:rPr>
        <w:t>含水层结构破坏</w:t>
      </w:r>
    </w:p>
    <w:p w14:paraId="6F55E4BE">
      <w:pPr>
        <w:adjustRightInd w:val="0"/>
        <w:snapToGrid w:val="0"/>
        <w:spacing w:line="360" w:lineRule="auto"/>
        <w:ind w:firstLine="560" w:firstLineChars="200"/>
        <w:rPr>
          <w:rFonts w:hint="default" w:ascii="Times New Roman" w:hAnsi="Times New Roman" w:cs="Times New Roman"/>
          <w:snapToGrid w:val="0"/>
          <w:color w:val="auto"/>
          <w:sz w:val="28"/>
          <w:szCs w:val="28"/>
        </w:rPr>
      </w:pPr>
      <w:r>
        <w:rPr>
          <w:rFonts w:ascii="Times New Roman" w:hAnsi="Times New Roman" w:cs="Times New Roman"/>
          <w:snapToGrid w:val="0"/>
          <w:color w:val="auto"/>
          <w:sz w:val="28"/>
          <w:szCs w:val="28"/>
        </w:rPr>
        <w:t>根据现场调查</w:t>
      </w:r>
      <w:r>
        <w:rPr>
          <w:rFonts w:hint="eastAsia" w:ascii="Times New Roman" w:hAnsi="Times New Roman" w:cs="Times New Roman"/>
          <w:snapToGrid w:val="0"/>
          <w:color w:val="auto"/>
          <w:sz w:val="28"/>
          <w:szCs w:val="28"/>
        </w:rPr>
        <w:t>，</w:t>
      </w:r>
      <w:r>
        <w:rPr>
          <w:rFonts w:ascii="Times New Roman" w:hAnsi="Times New Roman" w:cs="Times New Roman"/>
          <w:snapToGrid w:val="0"/>
          <w:color w:val="auto"/>
          <w:sz w:val="28"/>
          <w:szCs w:val="28"/>
        </w:rPr>
        <w:t>现状露天采场开采标高为</w:t>
      </w:r>
      <w:r>
        <w:rPr>
          <w:rFonts w:hint="eastAsia" w:ascii="Times New Roman" w:hAnsi="Times New Roman" w:cs="Times New Roman"/>
          <w:snapToGrid w:val="0"/>
          <w:color w:val="auto"/>
          <w:sz w:val="28"/>
          <w:szCs w:val="28"/>
          <w:lang w:val="en-US" w:eastAsia="zh-CN"/>
        </w:rPr>
        <w:t>1050</w:t>
      </w:r>
      <w:r>
        <w:rPr>
          <w:rFonts w:hint="eastAsia" w:ascii="Times New Roman" w:hAnsi="Times New Roman" w:cs="Times New Roman"/>
          <w:snapToGrid w:val="0"/>
          <w:color w:val="auto"/>
          <w:sz w:val="28"/>
          <w:szCs w:val="28"/>
        </w:rPr>
        <w:t>m-</w:t>
      </w:r>
      <w:r>
        <w:rPr>
          <w:rFonts w:hint="eastAsia" w:ascii="Times New Roman" w:hAnsi="Times New Roman" w:cs="Times New Roman"/>
          <w:snapToGrid w:val="0"/>
          <w:color w:val="auto"/>
          <w:sz w:val="28"/>
          <w:szCs w:val="28"/>
          <w:lang w:val="en-US" w:eastAsia="zh-CN"/>
        </w:rPr>
        <w:t>984</w:t>
      </w:r>
      <w:r>
        <w:rPr>
          <w:rFonts w:ascii="Times New Roman" w:hAnsi="Times New Roman" w:cs="Times New Roman"/>
          <w:snapToGrid w:val="0"/>
          <w:color w:val="auto"/>
          <w:sz w:val="28"/>
          <w:szCs w:val="28"/>
        </w:rPr>
        <w:t>m，最大采深</w:t>
      </w:r>
      <w:r>
        <w:rPr>
          <w:rFonts w:hint="eastAsia" w:ascii="Times New Roman" w:hAnsi="Times New Roman" w:cs="Times New Roman"/>
          <w:snapToGrid w:val="0"/>
          <w:color w:val="auto"/>
          <w:sz w:val="28"/>
          <w:szCs w:val="28"/>
          <w:lang w:val="en-US" w:eastAsia="zh-CN"/>
        </w:rPr>
        <w:t>50</w:t>
      </w:r>
      <w:r>
        <w:rPr>
          <w:rFonts w:ascii="Times New Roman" w:hAnsi="Times New Roman" w:cs="Times New Roman"/>
          <w:snapToGrid w:val="0"/>
          <w:color w:val="auto"/>
          <w:sz w:val="28"/>
          <w:szCs w:val="28"/>
        </w:rPr>
        <w:t>m，未见地下水，地下水水位标高为</w:t>
      </w:r>
      <w:r>
        <w:rPr>
          <w:rFonts w:hint="eastAsia" w:ascii="Times New Roman" w:hAnsi="Times New Roman" w:cs="Times New Roman"/>
          <w:snapToGrid w:val="0"/>
          <w:color w:val="auto"/>
          <w:sz w:val="28"/>
          <w:szCs w:val="28"/>
          <w:lang w:val="en-US" w:eastAsia="zh-CN"/>
        </w:rPr>
        <w:t>84</w:t>
      </w:r>
      <w:r>
        <w:rPr>
          <w:rFonts w:hint="eastAsia" w:ascii="Times New Roman" w:hAnsi="Times New Roman" w:cs="Times New Roman"/>
          <w:snapToGrid w:val="0"/>
          <w:color w:val="auto"/>
          <w:sz w:val="28"/>
          <w:szCs w:val="28"/>
        </w:rPr>
        <w:t>0</w:t>
      </w:r>
      <w:r>
        <w:rPr>
          <w:rFonts w:ascii="Times New Roman" w:hAnsi="Times New Roman" w:cs="Times New Roman"/>
          <w:snapToGrid w:val="0"/>
          <w:color w:val="auto"/>
          <w:sz w:val="28"/>
          <w:szCs w:val="28"/>
        </w:rPr>
        <w:t>m</w:t>
      </w:r>
      <w:r>
        <w:rPr>
          <w:rFonts w:ascii="Times New Roman" w:hAnsi="Times New Roman" w:cs="Times New Roman"/>
          <w:snapToGrid w:val="0"/>
          <w:color w:val="auto"/>
          <w:sz w:val="28"/>
          <w:szCs w:val="28"/>
          <w:lang w:val="zh-CN"/>
        </w:rPr>
        <w:t>，</w:t>
      </w:r>
      <w:r>
        <w:rPr>
          <w:rFonts w:ascii="Times New Roman" w:hAnsi="Times New Roman" w:cs="Times New Roman"/>
          <w:snapToGrid w:val="0"/>
          <w:color w:val="auto"/>
          <w:sz w:val="28"/>
          <w:szCs w:val="28"/>
        </w:rPr>
        <w:t>当地最低侵蚀基准面标高</w:t>
      </w:r>
      <w:r>
        <w:rPr>
          <w:rFonts w:hint="eastAsia" w:ascii="Times New Roman" w:hAnsi="Times New Roman" w:cs="Times New Roman"/>
          <w:snapToGrid w:val="0"/>
          <w:color w:val="auto"/>
          <w:sz w:val="28"/>
          <w:szCs w:val="28"/>
          <w:lang w:val="en-US" w:eastAsia="zh-CN"/>
        </w:rPr>
        <w:t>818</w:t>
      </w:r>
      <w:r>
        <w:rPr>
          <w:rFonts w:ascii="Times New Roman" w:hAnsi="Times New Roman" w:cs="Times New Roman"/>
          <w:snapToGrid w:val="0"/>
          <w:color w:val="auto"/>
          <w:sz w:val="28"/>
          <w:szCs w:val="28"/>
        </w:rPr>
        <w:t>m。所开采的范围位于地下水位之上，开采标高位于地下水位之上，露天采场未揭露含水层。</w:t>
      </w:r>
    </w:p>
    <w:p w14:paraId="0C811DE2">
      <w:pPr>
        <w:adjustRightInd w:val="0"/>
        <w:snapToGrid w:val="0"/>
        <w:spacing w:line="360" w:lineRule="auto"/>
        <w:ind w:firstLine="560" w:firstLineChars="200"/>
        <w:rPr>
          <w:rFonts w:hint="default" w:ascii="Times New Roman" w:hAnsi="Times New Roman" w:cs="Times New Roman"/>
          <w:snapToGrid w:val="0"/>
          <w:color w:val="auto"/>
          <w:sz w:val="28"/>
          <w:szCs w:val="28"/>
          <w:lang w:eastAsia="zh-CN"/>
        </w:rPr>
      </w:pPr>
      <w:r>
        <w:rPr>
          <w:rFonts w:hint="eastAsia" w:ascii="Times New Roman" w:hAnsi="Times New Roman" w:cs="Times New Roman"/>
          <w:snapToGrid w:val="0"/>
          <w:color w:val="auto"/>
          <w:sz w:val="28"/>
          <w:szCs w:val="28"/>
          <w:lang w:val="en-US" w:eastAsia="zh-CN"/>
        </w:rPr>
        <w:t>（2）矿坑疏干排水对含水层影响</w:t>
      </w:r>
    </w:p>
    <w:p w14:paraId="493BAFFD">
      <w:pPr>
        <w:adjustRightInd w:val="0"/>
        <w:snapToGrid w:val="0"/>
        <w:spacing w:line="360" w:lineRule="auto"/>
        <w:ind w:firstLine="560" w:firstLineChars="200"/>
        <w:rPr>
          <w:rFonts w:hint="default" w:ascii="Times New Roman" w:hAnsi="Times New Roman" w:cs="Times New Roman"/>
          <w:snapToGrid w:val="0"/>
          <w:color w:val="auto"/>
          <w:sz w:val="28"/>
          <w:szCs w:val="28"/>
          <w:lang w:eastAsia="zh-CN"/>
        </w:rPr>
      </w:pPr>
      <w:r>
        <w:rPr>
          <w:rFonts w:ascii="Times New Roman" w:hAnsi="Times New Roman" w:cs="Times New Roman"/>
          <w:snapToGrid w:val="0"/>
          <w:color w:val="auto"/>
          <w:sz w:val="28"/>
          <w:szCs w:val="28"/>
        </w:rPr>
        <w:t>矿山露天采场的开采未揭露含水层，不产生疏干水。</w:t>
      </w:r>
    </w:p>
    <w:p w14:paraId="08EEB709">
      <w:pPr>
        <w:keepNext w:val="0"/>
        <w:keepLines w:val="0"/>
        <w:pageBreakBefore w:val="0"/>
        <w:widowControl/>
        <w:tabs>
          <w:tab w:val="left" w:pos="1300"/>
        </w:tabs>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color w:val="auto"/>
          <w:kern w:val="0"/>
          <w:sz w:val="28"/>
          <w:szCs w:val="24"/>
        </w:rPr>
      </w:pPr>
      <w:r>
        <w:rPr>
          <w:rFonts w:hint="eastAsia" w:ascii="Times New Roman" w:hAnsi="Times New Roman" w:cs="Times New Roman"/>
          <w:color w:val="auto"/>
          <w:kern w:val="0"/>
          <w:sz w:val="28"/>
          <w:szCs w:val="24"/>
          <w:lang w:val="en-US" w:eastAsia="zh-CN"/>
        </w:rPr>
        <w:t>（3）</w:t>
      </w:r>
      <w:r>
        <w:rPr>
          <w:rFonts w:hint="default" w:ascii="Times New Roman" w:hAnsi="Times New Roman" w:eastAsia="宋体" w:cs="Times New Roman"/>
          <w:color w:val="auto"/>
          <w:kern w:val="0"/>
          <w:sz w:val="28"/>
          <w:szCs w:val="24"/>
        </w:rPr>
        <w:t>对矿区及附近水源的影响</w:t>
      </w:r>
    </w:p>
    <w:p w14:paraId="7C2D3346">
      <w:pPr>
        <w:adjustRightInd w:val="0"/>
        <w:snapToGrid w:val="0"/>
        <w:spacing w:line="360" w:lineRule="auto"/>
        <w:ind w:firstLine="560" w:firstLineChars="200"/>
        <w:rPr>
          <w:rFonts w:hint="default" w:ascii="Times New Roman" w:hAnsi="Times New Roman" w:cs="Times New Roman"/>
          <w:snapToGrid w:val="0"/>
          <w:color w:val="auto"/>
          <w:sz w:val="28"/>
          <w:szCs w:val="28"/>
        </w:rPr>
      </w:pPr>
      <w:r>
        <w:rPr>
          <w:rFonts w:ascii="Times New Roman" w:hAnsi="Times New Roman" w:cs="Times New Roman"/>
          <w:snapToGrid w:val="0"/>
          <w:color w:val="auto"/>
          <w:sz w:val="28"/>
          <w:szCs w:val="28"/>
        </w:rPr>
        <w:t>矿区及周围无地表水体</w:t>
      </w:r>
      <w:r>
        <w:rPr>
          <w:rFonts w:hint="eastAsia" w:cs="Times New Roman"/>
          <w:snapToGrid w:val="0"/>
          <w:color w:val="auto"/>
          <w:sz w:val="28"/>
          <w:szCs w:val="28"/>
          <w:lang w:eastAsia="zh-CN"/>
        </w:rPr>
        <w:t>，根</w:t>
      </w:r>
      <w:r>
        <w:rPr>
          <w:rFonts w:ascii="Times New Roman" w:hAnsi="Times New Roman" w:cs="Times New Roman"/>
          <w:snapToGrid w:val="0"/>
          <w:color w:val="auto"/>
          <w:sz w:val="28"/>
          <w:szCs w:val="28"/>
        </w:rPr>
        <w:t>据实地调查，在现状条件下，矿山活动对矿区及附近村庄居民生产生活用水无影响。</w:t>
      </w:r>
    </w:p>
    <w:p w14:paraId="25435933">
      <w:pPr>
        <w:keepNext w:val="0"/>
        <w:keepLines w:val="0"/>
        <w:pageBreakBefore w:val="0"/>
        <w:widowControl w:val="0"/>
        <w:kinsoku/>
        <w:wordWrap/>
        <w:overflowPunct/>
        <w:topLinePunct w:val="0"/>
        <w:autoSpaceDE/>
        <w:autoSpaceDN/>
        <w:bidi w:val="0"/>
        <w:adjustRightInd w:val="0"/>
        <w:snapToGrid/>
        <w:spacing w:line="360" w:lineRule="auto"/>
        <w:ind w:left="0" w:leftChars="0" w:right="0" w:rightChars="0" w:firstLine="560" w:firstLineChars="200"/>
        <w:jc w:val="both"/>
        <w:textAlignment w:val="auto"/>
        <w:outlineLvl w:val="9"/>
        <w:rPr>
          <w:rFonts w:hint="default" w:ascii="Times New Roman" w:hAnsi="Times New Roman" w:eastAsia="宋体" w:cs="Times New Roman"/>
          <w:color w:val="auto"/>
          <w:sz w:val="28"/>
          <w:szCs w:val="28"/>
          <w:highlight w:val="none"/>
        </w:rPr>
      </w:pPr>
      <w:r>
        <w:rPr>
          <w:color w:val="auto"/>
          <w:sz w:val="28"/>
          <w:szCs w:val="28"/>
        </w:rPr>
        <w:t>综上所述，矿山</w:t>
      </w:r>
      <w:r>
        <w:rPr>
          <w:rFonts w:hint="eastAsia"/>
          <w:color w:val="auto"/>
          <w:sz w:val="28"/>
          <w:szCs w:val="28"/>
          <w:lang w:val="en-US" w:eastAsia="zh-CN"/>
        </w:rPr>
        <w:t>现状</w:t>
      </w:r>
      <w:r>
        <w:rPr>
          <w:color w:val="auto"/>
          <w:sz w:val="28"/>
          <w:szCs w:val="28"/>
        </w:rPr>
        <w:t>对含水层结构影响</w:t>
      </w:r>
      <w:r>
        <w:rPr>
          <w:rFonts w:hint="eastAsia"/>
          <w:color w:val="auto"/>
          <w:sz w:val="28"/>
          <w:szCs w:val="28"/>
          <w:lang w:val="en-US" w:eastAsia="zh-CN"/>
        </w:rPr>
        <w:t>较轻</w:t>
      </w:r>
      <w:r>
        <w:rPr>
          <w:color w:val="auto"/>
          <w:sz w:val="28"/>
          <w:szCs w:val="28"/>
        </w:rPr>
        <w:t>，含水层水位影响较轻，对矿区及附近水源的影响较轻，对含水层水质影响较轻。根据《编制规范》，现状对含水层破坏影响程度较轻。</w:t>
      </w:r>
    </w:p>
    <w:p w14:paraId="7DE26EF4">
      <w:pPr>
        <w:spacing w:line="360" w:lineRule="auto"/>
        <w:ind w:firstLine="562" w:firstLineChars="200"/>
        <w:contextualSpacing/>
        <w:rPr>
          <w:b/>
          <w:bCs/>
          <w:color w:val="auto"/>
          <w:sz w:val="28"/>
          <w:szCs w:val="28"/>
        </w:rPr>
      </w:pPr>
      <w:r>
        <w:rPr>
          <w:b/>
          <w:bCs/>
          <w:color w:val="auto"/>
          <w:sz w:val="28"/>
          <w:szCs w:val="28"/>
        </w:rPr>
        <w:t>3、矿区地形地貌景观破坏</w:t>
      </w:r>
    </w:p>
    <w:p w14:paraId="72C793A7">
      <w:pPr>
        <w:spacing w:line="360" w:lineRule="auto"/>
        <w:ind w:firstLine="560" w:firstLineChars="200"/>
        <w:contextualSpacing/>
        <w:rPr>
          <w:color w:val="auto"/>
          <w:sz w:val="28"/>
          <w:szCs w:val="28"/>
        </w:rPr>
      </w:pPr>
      <w:r>
        <w:rPr>
          <w:color w:val="auto"/>
          <w:sz w:val="28"/>
          <w:szCs w:val="28"/>
        </w:rPr>
        <w:t>矿山远离各人文景观、风景旅游区、城市周围、主要交通干线（不可视），现状矿山开采对地形地貌景观的影响主要表现在已形成的工程场地，主要为</w:t>
      </w:r>
      <w:r>
        <w:rPr>
          <w:rFonts w:hint="eastAsia"/>
          <w:color w:val="auto"/>
          <w:sz w:val="28"/>
          <w:szCs w:val="28"/>
          <w:lang w:val="en-US" w:eastAsia="zh-CN"/>
        </w:rPr>
        <w:t>露天采场、1#废石场、2#废石场、1#废渣堆、2#废渣堆、3#废渣堆、工业场地、办公生活区、矿区道路、</w:t>
      </w:r>
      <w:r>
        <w:rPr>
          <w:rFonts w:hint="eastAsia"/>
          <w:snapToGrid w:val="0"/>
          <w:color w:val="auto"/>
          <w:sz w:val="28"/>
          <w:szCs w:val="28"/>
          <w:lang w:val="en-US" w:eastAsia="zh-CN"/>
        </w:rPr>
        <w:t>变压器</w:t>
      </w:r>
      <w:r>
        <w:rPr>
          <w:color w:val="auto"/>
          <w:sz w:val="28"/>
          <w:szCs w:val="28"/>
        </w:rPr>
        <w:t>。</w:t>
      </w:r>
    </w:p>
    <w:p w14:paraId="6D78682C">
      <w:pPr>
        <w:spacing w:line="360" w:lineRule="auto"/>
        <w:ind w:firstLine="560" w:firstLineChars="200"/>
        <w:contextualSpacing/>
        <w:rPr>
          <w:color w:val="auto"/>
          <w:sz w:val="28"/>
          <w:szCs w:val="28"/>
        </w:rPr>
      </w:pPr>
      <w:r>
        <w:rPr>
          <w:color w:val="auto"/>
          <w:sz w:val="28"/>
          <w:szCs w:val="28"/>
        </w:rPr>
        <w:t>根据《矿山地质环境保护与恢复治理方案编制规范》（DZ/T</w:t>
      </w:r>
      <w:r>
        <w:rPr>
          <w:rFonts w:hint="eastAsia"/>
          <w:color w:val="auto"/>
          <w:sz w:val="28"/>
          <w:szCs w:val="28"/>
        </w:rPr>
        <w:t xml:space="preserve"> </w:t>
      </w:r>
      <w:r>
        <w:rPr>
          <w:color w:val="auto"/>
          <w:sz w:val="28"/>
          <w:szCs w:val="28"/>
        </w:rPr>
        <w:t>0223-2011），参考国家和地方相关部门规定的划分标准，将地形地貌景观破坏程度等级数确定为3级标准，分别定为：一级（较轻）、二级（较严重）、三级（严重）。可以定义如下：</w:t>
      </w:r>
    </w:p>
    <w:p w14:paraId="3F415F96">
      <w:pPr>
        <w:spacing w:line="360" w:lineRule="auto"/>
        <w:ind w:firstLine="560" w:firstLineChars="200"/>
        <w:contextualSpacing/>
        <w:rPr>
          <w:color w:val="auto"/>
          <w:sz w:val="28"/>
          <w:szCs w:val="28"/>
        </w:rPr>
      </w:pPr>
      <w:r>
        <w:rPr>
          <w:color w:val="auto"/>
          <w:sz w:val="28"/>
          <w:szCs w:val="28"/>
        </w:rPr>
        <w:t>①较轻：地形地貌景观破坏程度轻微，轻微影响视觉效果；</w:t>
      </w:r>
    </w:p>
    <w:p w14:paraId="49FCE438">
      <w:pPr>
        <w:spacing w:line="360" w:lineRule="auto"/>
        <w:ind w:firstLine="560" w:firstLineChars="200"/>
        <w:contextualSpacing/>
        <w:rPr>
          <w:color w:val="auto"/>
          <w:sz w:val="28"/>
          <w:szCs w:val="28"/>
        </w:rPr>
      </w:pPr>
      <w:r>
        <w:rPr>
          <w:color w:val="auto"/>
          <w:sz w:val="28"/>
          <w:szCs w:val="28"/>
        </w:rPr>
        <w:t>②较严重：地形地貌景观破坏程度较严重，中等影响视觉效果；</w:t>
      </w:r>
    </w:p>
    <w:p w14:paraId="05CC1350">
      <w:pPr>
        <w:spacing w:line="360" w:lineRule="auto"/>
        <w:ind w:firstLine="560" w:firstLineChars="200"/>
        <w:contextualSpacing/>
        <w:rPr>
          <w:color w:val="auto"/>
          <w:sz w:val="28"/>
          <w:szCs w:val="28"/>
        </w:rPr>
      </w:pPr>
      <w:r>
        <w:rPr>
          <w:color w:val="auto"/>
          <w:sz w:val="28"/>
          <w:szCs w:val="28"/>
        </w:rPr>
        <w:t>③严重：地形地貌景观破坏程度严重，严重影响视觉效果。</w:t>
      </w:r>
    </w:p>
    <w:p w14:paraId="010D84CF">
      <w:pPr>
        <w:spacing w:line="360" w:lineRule="auto"/>
        <w:ind w:firstLine="560" w:firstLineChars="200"/>
        <w:contextualSpacing/>
        <w:rPr>
          <w:color w:val="auto"/>
          <w:sz w:val="28"/>
          <w:szCs w:val="28"/>
        </w:rPr>
      </w:pPr>
      <w:r>
        <w:rPr>
          <w:color w:val="auto"/>
          <w:sz w:val="28"/>
          <w:szCs w:val="28"/>
        </w:rPr>
        <w:t>评价因素的具体等级标准目前国内外尚无精确的划分值，本方案通过选取合适的因素因子采用多因素评价法划分地形地貌景观的破坏程度等级。根据类似项目的地形地貌景观破坏因素调查情况，结合项目区实际情况，同时参考各相关学科的实际经验数据，选取因素因子，进而根据从重原则确定地形地貌景观破坏程度等级。</w:t>
      </w:r>
    </w:p>
    <w:p w14:paraId="7EACBB22">
      <w:pPr>
        <w:spacing w:line="360" w:lineRule="auto"/>
        <w:ind w:firstLine="560" w:firstLineChars="200"/>
        <w:contextualSpacing/>
        <w:rPr>
          <w:color w:val="auto"/>
          <w:sz w:val="28"/>
          <w:szCs w:val="28"/>
        </w:rPr>
      </w:pPr>
      <w:r>
        <w:rPr>
          <w:color w:val="auto"/>
          <w:sz w:val="28"/>
          <w:szCs w:val="28"/>
        </w:rPr>
        <w:t>工程场地地形地貌景观程度评价因素及等级标准见表3-1。</w:t>
      </w:r>
    </w:p>
    <w:p w14:paraId="43940190">
      <w:pPr>
        <w:widowControl/>
        <w:adjustRightInd w:val="0"/>
        <w:snapToGrid w:val="0"/>
        <w:jc w:val="center"/>
        <w:rPr>
          <w:rFonts w:eastAsia="黑体"/>
          <w:bCs/>
          <w:color w:val="auto"/>
          <w:szCs w:val="21"/>
        </w:rPr>
      </w:pPr>
      <w:r>
        <w:rPr>
          <w:rFonts w:eastAsia="黑体"/>
          <w:bCs/>
          <w:color w:val="auto"/>
          <w:sz w:val="24"/>
          <w:szCs w:val="24"/>
        </w:rPr>
        <w:t>表3-1  地形地貌景观破坏程度评价因素及等级标准表</w:t>
      </w:r>
    </w:p>
    <w:p w14:paraId="4BD2050A">
      <w:pPr>
        <w:widowControl/>
        <w:snapToGrid w:val="0"/>
        <w:jc w:val="center"/>
        <w:rPr>
          <w:rFonts w:eastAsia="黑体"/>
          <w:bCs/>
          <w:color w:val="auto"/>
          <w:szCs w:val="21"/>
        </w:rPr>
      </w:pPr>
    </w:p>
    <w:p w14:paraId="53181DCF">
      <w:pPr>
        <w:widowControl/>
        <w:snapToGrid w:val="0"/>
        <w:jc w:val="center"/>
        <w:rPr>
          <w:rFonts w:eastAsia="黑体"/>
          <w:bCs/>
          <w:color w:val="auto"/>
          <w:sz w:val="24"/>
          <w:szCs w:val="24"/>
        </w:rPr>
      </w:pPr>
      <w:r>
        <w:rPr>
          <w:rFonts w:eastAsia="黑体"/>
          <w:bCs/>
          <w:color w:val="auto"/>
          <w:sz w:val="24"/>
          <w:szCs w:val="24"/>
        </w:rPr>
        <w:t>表3-</w:t>
      </w:r>
      <w:r>
        <w:rPr>
          <w:rFonts w:hint="eastAsia" w:eastAsia="黑体"/>
          <w:bCs/>
          <w:color w:val="auto"/>
          <w:sz w:val="24"/>
          <w:szCs w:val="24"/>
        </w:rPr>
        <w:t>2</w:t>
      </w:r>
      <w:r>
        <w:rPr>
          <w:rFonts w:eastAsia="黑体"/>
          <w:bCs/>
          <w:color w:val="auto"/>
          <w:sz w:val="24"/>
          <w:szCs w:val="24"/>
        </w:rPr>
        <w:t xml:space="preserve">  地形地貌景观破坏程度评分界线表</w:t>
      </w:r>
    </w:p>
    <w:tbl>
      <w:tblPr>
        <w:tblStyle w:val="34"/>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07"/>
        <w:gridCol w:w="1746"/>
        <w:gridCol w:w="3090"/>
        <w:gridCol w:w="2377"/>
      </w:tblGrid>
      <w:tr w14:paraId="55A7F7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507" w:type="dxa"/>
            <w:vAlign w:val="center"/>
          </w:tcPr>
          <w:p w14:paraId="5F3C6B7C">
            <w:pPr>
              <w:adjustRightInd w:val="0"/>
              <w:snapToGrid w:val="0"/>
              <w:jc w:val="center"/>
              <w:rPr>
                <w:color w:val="auto"/>
                <w:szCs w:val="21"/>
              </w:rPr>
            </w:pPr>
            <w:r>
              <w:rPr>
                <w:color w:val="auto"/>
                <w:szCs w:val="21"/>
              </w:rPr>
              <w:t>损毁程度</w:t>
            </w:r>
          </w:p>
        </w:tc>
        <w:tc>
          <w:tcPr>
            <w:tcW w:w="1746" w:type="dxa"/>
            <w:vAlign w:val="center"/>
          </w:tcPr>
          <w:p w14:paraId="2BF4535B">
            <w:pPr>
              <w:adjustRightInd w:val="0"/>
              <w:snapToGrid w:val="0"/>
              <w:jc w:val="center"/>
              <w:rPr>
                <w:color w:val="auto"/>
                <w:szCs w:val="21"/>
              </w:rPr>
            </w:pPr>
            <w:r>
              <w:rPr>
                <w:color w:val="auto"/>
                <w:szCs w:val="21"/>
              </w:rPr>
              <w:t>较轻</w:t>
            </w:r>
          </w:p>
        </w:tc>
        <w:tc>
          <w:tcPr>
            <w:tcW w:w="3090" w:type="dxa"/>
            <w:vAlign w:val="center"/>
          </w:tcPr>
          <w:p w14:paraId="572EA5B2">
            <w:pPr>
              <w:adjustRightInd w:val="0"/>
              <w:snapToGrid w:val="0"/>
              <w:jc w:val="center"/>
              <w:rPr>
                <w:color w:val="auto"/>
                <w:szCs w:val="21"/>
              </w:rPr>
            </w:pPr>
            <w:r>
              <w:rPr>
                <w:color w:val="auto"/>
                <w:szCs w:val="21"/>
              </w:rPr>
              <w:t>较严重</w:t>
            </w:r>
          </w:p>
        </w:tc>
        <w:tc>
          <w:tcPr>
            <w:tcW w:w="2377" w:type="dxa"/>
            <w:vAlign w:val="center"/>
          </w:tcPr>
          <w:p w14:paraId="33977D20">
            <w:pPr>
              <w:adjustRightInd w:val="0"/>
              <w:snapToGrid w:val="0"/>
              <w:jc w:val="center"/>
              <w:rPr>
                <w:color w:val="auto"/>
                <w:szCs w:val="21"/>
              </w:rPr>
            </w:pPr>
            <w:r>
              <w:rPr>
                <w:color w:val="auto"/>
                <w:szCs w:val="21"/>
              </w:rPr>
              <w:t>严重</w:t>
            </w:r>
          </w:p>
        </w:tc>
      </w:tr>
      <w:tr w14:paraId="37CFCF6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507" w:type="dxa"/>
            <w:vAlign w:val="center"/>
          </w:tcPr>
          <w:p w14:paraId="27DBA3F6">
            <w:pPr>
              <w:adjustRightInd w:val="0"/>
              <w:snapToGrid w:val="0"/>
              <w:jc w:val="center"/>
              <w:rPr>
                <w:color w:val="auto"/>
                <w:szCs w:val="21"/>
              </w:rPr>
            </w:pPr>
            <w:r>
              <w:rPr>
                <w:color w:val="auto"/>
                <w:szCs w:val="21"/>
              </w:rPr>
              <w:t>评分级别</w:t>
            </w:r>
          </w:p>
        </w:tc>
        <w:tc>
          <w:tcPr>
            <w:tcW w:w="1746" w:type="dxa"/>
            <w:vAlign w:val="center"/>
          </w:tcPr>
          <w:p w14:paraId="302DD854">
            <w:pPr>
              <w:adjustRightInd w:val="0"/>
              <w:snapToGrid w:val="0"/>
              <w:jc w:val="center"/>
              <w:rPr>
                <w:color w:val="auto"/>
                <w:szCs w:val="21"/>
              </w:rPr>
            </w:pPr>
            <w:r>
              <w:rPr>
                <w:color w:val="auto"/>
                <w:szCs w:val="21"/>
              </w:rPr>
              <w:t>Σ≤1.0</w:t>
            </w:r>
          </w:p>
        </w:tc>
        <w:tc>
          <w:tcPr>
            <w:tcW w:w="3090" w:type="dxa"/>
            <w:vAlign w:val="center"/>
          </w:tcPr>
          <w:p w14:paraId="69D0DEB0">
            <w:pPr>
              <w:adjustRightInd w:val="0"/>
              <w:snapToGrid w:val="0"/>
              <w:jc w:val="center"/>
              <w:rPr>
                <w:color w:val="auto"/>
                <w:szCs w:val="21"/>
              </w:rPr>
            </w:pPr>
            <w:r>
              <w:rPr>
                <w:color w:val="auto"/>
                <w:szCs w:val="21"/>
              </w:rPr>
              <w:t>1.0＜Σ≤2.0</w:t>
            </w:r>
          </w:p>
        </w:tc>
        <w:tc>
          <w:tcPr>
            <w:tcW w:w="2377" w:type="dxa"/>
            <w:vAlign w:val="center"/>
          </w:tcPr>
          <w:p w14:paraId="0CFBED6B">
            <w:pPr>
              <w:adjustRightInd w:val="0"/>
              <w:snapToGrid w:val="0"/>
              <w:jc w:val="center"/>
              <w:rPr>
                <w:color w:val="auto"/>
                <w:szCs w:val="21"/>
              </w:rPr>
            </w:pPr>
            <w:r>
              <w:rPr>
                <w:color w:val="auto"/>
                <w:szCs w:val="21"/>
              </w:rPr>
              <w:t>Σ＞2.0</w:t>
            </w:r>
          </w:p>
        </w:tc>
      </w:tr>
    </w:tbl>
    <w:p w14:paraId="3A557339">
      <w:pPr>
        <w:ind w:firstLine="420" w:firstLineChars="200"/>
        <w:contextualSpacing/>
        <w:rPr>
          <w:rFonts w:hint="eastAsia" w:ascii="宋体" w:hAnsi="宋体" w:cs="宋体"/>
          <w:color w:val="auto"/>
          <w:szCs w:val="21"/>
        </w:rPr>
      </w:pPr>
    </w:p>
    <w:p w14:paraId="7B321763">
      <w:pPr>
        <w:spacing w:line="360" w:lineRule="auto"/>
        <w:ind w:firstLine="560" w:firstLineChars="200"/>
        <w:contextualSpacing/>
        <w:rPr>
          <w:color w:val="auto"/>
          <w:sz w:val="28"/>
          <w:szCs w:val="28"/>
        </w:rPr>
      </w:pPr>
      <w:r>
        <w:rPr>
          <w:color w:val="auto"/>
          <w:sz w:val="28"/>
          <w:szCs w:val="28"/>
        </w:rPr>
        <w:t>根据表3-1、表3-2通过各项评估因子对评估区内各场地打分，并进行场地的地形地貌景观现状评估。分述如下：</w:t>
      </w:r>
    </w:p>
    <w:p w14:paraId="60997906">
      <w:pPr>
        <w:spacing w:line="360" w:lineRule="auto"/>
        <w:ind w:firstLine="562" w:firstLineChars="200"/>
        <w:rPr>
          <w:color w:val="auto"/>
          <w:sz w:val="28"/>
          <w:szCs w:val="28"/>
        </w:rPr>
      </w:pPr>
      <w:r>
        <w:rPr>
          <w:rFonts w:hint="eastAsia"/>
          <w:b/>
          <w:bCs/>
          <w:color w:val="auto"/>
          <w:sz w:val="28"/>
          <w:szCs w:val="28"/>
          <w:lang w:val="zh-CN"/>
        </w:rPr>
        <w:t>（</w:t>
      </w:r>
      <w:r>
        <w:rPr>
          <w:rFonts w:hint="eastAsia"/>
          <w:b/>
          <w:bCs/>
          <w:color w:val="auto"/>
          <w:sz w:val="28"/>
          <w:szCs w:val="28"/>
          <w:lang w:val="en-US" w:eastAsia="zh-CN"/>
        </w:rPr>
        <w:t>1</w:t>
      </w:r>
      <w:r>
        <w:rPr>
          <w:rFonts w:hint="eastAsia"/>
          <w:b/>
          <w:bCs/>
          <w:color w:val="auto"/>
          <w:sz w:val="28"/>
          <w:szCs w:val="28"/>
          <w:lang w:val="zh-CN"/>
        </w:rPr>
        <w:t>）</w:t>
      </w:r>
      <w:r>
        <w:rPr>
          <w:rFonts w:hint="eastAsia"/>
          <w:b/>
          <w:bCs/>
          <w:color w:val="auto"/>
          <w:sz w:val="28"/>
          <w:szCs w:val="28"/>
        </w:rPr>
        <w:t>露天采场</w:t>
      </w:r>
    </w:p>
    <w:p w14:paraId="1163CA54">
      <w:pPr>
        <w:spacing w:line="360" w:lineRule="auto"/>
        <w:ind w:firstLine="560" w:firstLineChars="200"/>
        <w:rPr>
          <w:color w:val="auto"/>
          <w:sz w:val="28"/>
          <w:szCs w:val="28"/>
        </w:rPr>
      </w:pPr>
      <w:r>
        <w:rPr>
          <w:rFonts w:hint="eastAsia" w:ascii="Times New Roman" w:hAnsi="Times New Roman" w:cs="Times New Roman"/>
          <w:color w:val="auto"/>
          <w:sz w:val="28"/>
          <w:szCs w:val="28"/>
        </w:rPr>
        <w:t>露天</w:t>
      </w:r>
      <w:r>
        <w:rPr>
          <w:rFonts w:hint="eastAsia" w:ascii="Times New Roman" w:hAnsi="Times New Roman" w:cs="Times New Roman"/>
          <w:color w:val="auto"/>
          <w:sz w:val="28"/>
          <w:szCs w:val="28"/>
          <w:lang w:eastAsia="zh-CN"/>
        </w:rPr>
        <w:t>采场</w:t>
      </w:r>
      <w:r>
        <w:rPr>
          <w:rFonts w:hint="eastAsia" w:ascii="Times New Roman" w:hAnsi="Times New Roman" w:cs="Times New Roman"/>
          <w:color w:val="auto"/>
          <w:sz w:val="28"/>
          <w:szCs w:val="28"/>
        </w:rPr>
        <w:t>位于矿区中</w:t>
      </w:r>
      <w:r>
        <w:rPr>
          <w:rFonts w:ascii="Times New Roman" w:hAnsi="Times New Roman" w:cs="Times New Roman"/>
          <w:color w:val="auto"/>
          <w:sz w:val="28"/>
          <w:szCs w:val="28"/>
        </w:rPr>
        <w:t>部，</w:t>
      </w:r>
      <w:r>
        <w:rPr>
          <w:rFonts w:hint="eastAsia" w:ascii="Times New Roman" w:hAnsi="Times New Roman" w:cs="Times New Roman"/>
          <w:color w:val="auto"/>
          <w:sz w:val="28"/>
          <w:szCs w:val="28"/>
        </w:rPr>
        <w:t>面积约</w:t>
      </w:r>
      <w:r>
        <w:rPr>
          <w:rFonts w:hint="eastAsia" w:ascii="Times New Roman" w:hAnsi="Times New Roman" w:cs="Times New Roman"/>
          <w:color w:val="auto"/>
          <w:sz w:val="28"/>
          <w:szCs w:val="28"/>
          <w:lang w:val="en-US" w:eastAsia="zh-CN"/>
        </w:rPr>
        <w:t>35248</w:t>
      </w:r>
      <w:r>
        <w:rPr>
          <w:rFonts w:hint="eastAsia" w:ascii="Times New Roman" w:hAnsi="Times New Roman" w:cs="Times New Roman"/>
          <w:color w:val="auto"/>
          <w:sz w:val="28"/>
          <w:szCs w:val="28"/>
        </w:rPr>
        <w:t>m</w:t>
      </w:r>
      <w:r>
        <w:rPr>
          <w:rFonts w:hint="eastAsia" w:ascii="Times New Roman" w:hAnsi="Times New Roman" w:cs="Times New Roman"/>
          <w:color w:val="auto"/>
          <w:sz w:val="28"/>
          <w:szCs w:val="28"/>
          <w:vertAlign w:val="superscript"/>
        </w:rPr>
        <w:t>2</w:t>
      </w:r>
      <w:r>
        <w:rPr>
          <w:rFonts w:hint="eastAsia" w:ascii="Times New Roman" w:hAnsi="Times New Roman" w:cs="Times New Roman"/>
          <w:color w:val="auto"/>
          <w:sz w:val="28"/>
          <w:szCs w:val="28"/>
        </w:rPr>
        <w:t>，</w:t>
      </w:r>
      <w:r>
        <w:rPr>
          <w:rFonts w:ascii="Times New Roman" w:hAnsi="Times New Roman" w:cs="Times New Roman"/>
          <w:color w:val="auto"/>
          <w:sz w:val="28"/>
          <w:szCs w:val="28"/>
        </w:rPr>
        <w:t>呈不规则状展布，</w:t>
      </w:r>
      <w:r>
        <w:rPr>
          <w:rFonts w:hint="eastAsia" w:ascii="Times New Roman" w:hAnsi="Times New Roman" w:cs="Times New Roman"/>
          <w:color w:val="auto"/>
          <w:sz w:val="28"/>
          <w:szCs w:val="28"/>
          <w:lang w:eastAsia="zh-CN"/>
        </w:rPr>
        <w:t>采场</w:t>
      </w:r>
      <w:r>
        <w:rPr>
          <w:rFonts w:hint="eastAsia" w:ascii="Times New Roman" w:hAnsi="Times New Roman" w:cs="Times New Roman"/>
          <w:color w:val="auto"/>
          <w:sz w:val="28"/>
          <w:szCs w:val="28"/>
        </w:rPr>
        <w:t>长</w:t>
      </w:r>
      <w:r>
        <w:rPr>
          <w:rFonts w:ascii="Times New Roman" w:hAnsi="Times New Roman" w:cs="Times New Roman"/>
          <w:color w:val="auto"/>
          <w:sz w:val="28"/>
          <w:szCs w:val="28"/>
        </w:rPr>
        <w:t>轴</w:t>
      </w:r>
      <w:r>
        <w:rPr>
          <w:rFonts w:hint="eastAsia" w:ascii="Times New Roman" w:hAnsi="Times New Roman" w:cs="Times New Roman"/>
          <w:color w:val="auto"/>
          <w:sz w:val="28"/>
          <w:szCs w:val="28"/>
        </w:rPr>
        <w:t>约</w:t>
      </w:r>
      <w:r>
        <w:rPr>
          <w:rFonts w:hint="eastAsia" w:ascii="Times New Roman" w:hAnsi="Times New Roman" w:cs="Times New Roman"/>
          <w:color w:val="auto"/>
          <w:sz w:val="28"/>
          <w:szCs w:val="28"/>
          <w:lang w:val="en-US" w:eastAsia="zh-CN"/>
        </w:rPr>
        <w:t>350</w:t>
      </w:r>
      <w:r>
        <w:rPr>
          <w:rFonts w:ascii="Times New Roman" w:hAnsi="Times New Roman" w:cs="Times New Roman"/>
          <w:color w:val="auto"/>
          <w:sz w:val="28"/>
          <w:szCs w:val="28"/>
        </w:rPr>
        <w:t>m，宽轴约</w:t>
      </w:r>
      <w:r>
        <w:rPr>
          <w:rFonts w:hint="eastAsia" w:ascii="Times New Roman" w:hAnsi="Times New Roman" w:cs="Times New Roman"/>
          <w:color w:val="auto"/>
          <w:sz w:val="28"/>
          <w:szCs w:val="28"/>
          <w:lang w:val="en-US" w:eastAsia="zh-CN"/>
        </w:rPr>
        <w:t>150</w:t>
      </w:r>
      <w:r>
        <w:rPr>
          <w:rFonts w:ascii="Times New Roman" w:hAnsi="Times New Roman" w:cs="Times New Roman"/>
          <w:color w:val="auto"/>
          <w:sz w:val="28"/>
          <w:szCs w:val="28"/>
        </w:rPr>
        <w:t>m，边坡高度</w:t>
      </w:r>
      <w:r>
        <w:rPr>
          <w:rFonts w:hint="eastAsia" w:ascii="Times New Roman" w:hAnsi="Times New Roman" w:cs="Times New Roman"/>
          <w:color w:val="auto"/>
          <w:sz w:val="28"/>
          <w:szCs w:val="28"/>
        </w:rPr>
        <w:t>1</w:t>
      </w:r>
      <w:r>
        <w:rPr>
          <w:rFonts w:ascii="Times New Roman" w:hAnsi="Times New Roman" w:cs="Times New Roman"/>
          <w:color w:val="auto"/>
          <w:sz w:val="28"/>
          <w:szCs w:val="28"/>
        </w:rPr>
        <w:t>-</w:t>
      </w:r>
      <w:r>
        <w:rPr>
          <w:rFonts w:hint="eastAsia" w:ascii="Times New Roman" w:hAnsi="Times New Roman" w:cs="Times New Roman"/>
          <w:color w:val="auto"/>
          <w:sz w:val="28"/>
          <w:szCs w:val="28"/>
          <w:lang w:val="en-US" w:eastAsia="zh-CN"/>
        </w:rPr>
        <w:t>35</w:t>
      </w:r>
      <w:r>
        <w:rPr>
          <w:rFonts w:ascii="Times New Roman" w:hAnsi="Times New Roman" w:cs="Times New Roman"/>
          <w:color w:val="auto"/>
          <w:sz w:val="28"/>
          <w:szCs w:val="28"/>
        </w:rPr>
        <w:t>m，采场最大边坡高度</w:t>
      </w:r>
      <w:r>
        <w:rPr>
          <w:rFonts w:hint="eastAsia" w:ascii="Times New Roman" w:hAnsi="Times New Roman" w:cs="Times New Roman"/>
          <w:color w:val="auto"/>
          <w:sz w:val="28"/>
          <w:szCs w:val="28"/>
          <w:lang w:val="en-US" w:eastAsia="zh-CN"/>
        </w:rPr>
        <w:t>34.93</w:t>
      </w:r>
      <w:r>
        <w:rPr>
          <w:rFonts w:ascii="Times New Roman" w:hAnsi="Times New Roman" w:cs="Times New Roman"/>
          <w:color w:val="auto"/>
          <w:sz w:val="28"/>
          <w:szCs w:val="28"/>
        </w:rPr>
        <w:t>m，采场内最高标高为</w:t>
      </w:r>
      <w:r>
        <w:rPr>
          <w:rFonts w:hint="eastAsia" w:ascii="Times New Roman" w:hAnsi="Times New Roman" w:cs="Times New Roman"/>
          <w:color w:val="auto"/>
          <w:sz w:val="28"/>
          <w:szCs w:val="28"/>
          <w:lang w:val="en-US" w:eastAsia="zh-CN"/>
        </w:rPr>
        <w:t>1047.30</w:t>
      </w:r>
      <w:r>
        <w:rPr>
          <w:rFonts w:ascii="Times New Roman" w:hAnsi="Times New Roman" w:cs="Times New Roman"/>
          <w:color w:val="auto"/>
          <w:sz w:val="28"/>
          <w:szCs w:val="28"/>
        </w:rPr>
        <w:t>m，采场底部标高为</w:t>
      </w:r>
      <w:r>
        <w:rPr>
          <w:rFonts w:hint="eastAsia" w:ascii="Times New Roman" w:hAnsi="Times New Roman" w:cs="Times New Roman"/>
          <w:color w:val="auto"/>
          <w:sz w:val="28"/>
          <w:szCs w:val="28"/>
          <w:lang w:val="en-US" w:eastAsia="zh-CN"/>
        </w:rPr>
        <w:t>1011.37</w:t>
      </w:r>
      <w:r>
        <w:rPr>
          <w:rFonts w:ascii="Times New Roman" w:hAnsi="Times New Roman" w:cs="Times New Roman"/>
          <w:color w:val="auto"/>
          <w:sz w:val="28"/>
          <w:szCs w:val="28"/>
        </w:rPr>
        <w:t>m</w:t>
      </w:r>
      <w:r>
        <w:rPr>
          <w:rFonts w:hint="eastAsia" w:ascii="Times New Roman" w:hAnsi="Times New Roman" w:cs="Times New Roman"/>
          <w:color w:val="auto"/>
          <w:sz w:val="28"/>
          <w:szCs w:val="28"/>
          <w:lang w:eastAsia="zh-CN"/>
        </w:rPr>
        <w:t>；</w:t>
      </w:r>
      <w:r>
        <w:rPr>
          <w:rFonts w:hint="eastAsia" w:ascii="Times New Roman" w:hAnsi="Times New Roman" w:cs="Times New Roman"/>
          <w:color w:val="auto"/>
          <w:sz w:val="28"/>
          <w:szCs w:val="28"/>
          <w:lang w:val="en-US" w:eastAsia="zh-CN"/>
        </w:rPr>
        <w:t>采场边坡形成2个台阶，台阶宽约3-5m，高约6-8m，台阶边坡角约45°，其中采场上部边坡较陡，坡角约70°</w:t>
      </w:r>
      <w:r>
        <w:rPr>
          <w:rFonts w:hint="eastAsia" w:ascii="Times New Roman" w:hAnsi="Times New Roman" w:cs="Times New Roman"/>
          <w:color w:val="auto"/>
          <w:sz w:val="28"/>
          <w:szCs w:val="28"/>
          <w:lang w:eastAsia="zh-CN"/>
        </w:rPr>
        <w:t>；</w:t>
      </w:r>
      <w:r>
        <w:rPr>
          <w:rFonts w:hint="eastAsia" w:ascii="Times New Roman" w:hAnsi="Times New Roman" w:cs="Times New Roman"/>
          <w:color w:val="auto"/>
          <w:sz w:val="28"/>
          <w:szCs w:val="28"/>
          <w:lang w:val="en-US" w:eastAsia="zh-CN"/>
        </w:rPr>
        <w:t>边坡整体长度约350m。</w:t>
      </w:r>
      <w:r>
        <w:rPr>
          <w:rFonts w:hint="eastAsia" w:cs="Times New Roman"/>
          <w:color w:val="auto"/>
          <w:sz w:val="28"/>
          <w:szCs w:val="28"/>
          <w:lang w:val="en-US" w:eastAsia="zh-CN"/>
        </w:rPr>
        <w:t>采场中部存在孤立岩体，</w:t>
      </w:r>
      <w:r>
        <w:rPr>
          <w:rFonts w:hint="eastAsia"/>
          <w:color w:val="auto"/>
          <w:kern w:val="0"/>
          <w:sz w:val="28"/>
          <w:szCs w:val="28"/>
          <w:lang w:val="en-US" w:eastAsia="zh-CN"/>
        </w:rPr>
        <w:t>占地面积4132m</w:t>
      </w:r>
      <w:r>
        <w:rPr>
          <w:rFonts w:hint="eastAsia"/>
          <w:color w:val="auto"/>
          <w:kern w:val="0"/>
          <w:sz w:val="28"/>
          <w:szCs w:val="28"/>
          <w:vertAlign w:val="superscript"/>
          <w:lang w:val="en-US" w:eastAsia="zh-CN"/>
        </w:rPr>
        <w:t>2</w:t>
      </w:r>
      <w:r>
        <w:rPr>
          <w:rFonts w:hint="eastAsia"/>
          <w:color w:val="auto"/>
          <w:kern w:val="0"/>
          <w:sz w:val="28"/>
          <w:szCs w:val="28"/>
          <w:lang w:val="en-US" w:eastAsia="zh-CN"/>
        </w:rPr>
        <w:t>，平均高度约3m，根据三角网法计算岩体堆方量19200m</w:t>
      </w:r>
      <w:r>
        <w:rPr>
          <w:rFonts w:hint="eastAsia"/>
          <w:color w:val="auto"/>
          <w:kern w:val="0"/>
          <w:sz w:val="28"/>
          <w:szCs w:val="28"/>
          <w:vertAlign w:val="superscript"/>
          <w:lang w:val="en-US" w:eastAsia="zh-CN"/>
        </w:rPr>
        <w:t>3</w:t>
      </w:r>
      <w:r>
        <w:rPr>
          <w:rFonts w:hint="eastAsia"/>
          <w:color w:val="auto"/>
          <w:kern w:val="0"/>
          <w:sz w:val="28"/>
          <w:szCs w:val="28"/>
          <w:vertAlign w:val="baseline"/>
          <w:lang w:val="en-US" w:eastAsia="zh-CN"/>
        </w:rPr>
        <w:t>，见图3-1</w:t>
      </w:r>
      <w:r>
        <w:rPr>
          <w:rFonts w:hint="eastAsia"/>
          <w:color w:val="auto"/>
          <w:kern w:val="0"/>
          <w:sz w:val="28"/>
          <w:szCs w:val="28"/>
          <w:lang w:val="en-US" w:eastAsia="zh-CN"/>
        </w:rPr>
        <w:t>；采场西部存在采坑，近长条状东西走向，采坑南北两侧已垫坡整形，</w:t>
      </w:r>
      <w:r>
        <w:rPr>
          <w:rFonts w:hint="eastAsia"/>
          <w:color w:val="auto"/>
          <w:kern w:val="0"/>
          <w:sz w:val="28"/>
          <w:szCs w:val="28"/>
          <w:vertAlign w:val="baseline"/>
          <w:lang w:val="en-US" w:eastAsia="zh-CN"/>
        </w:rPr>
        <w:t>采坑底部标高在+991m至+1007m之间，</w:t>
      </w:r>
      <w:r>
        <w:rPr>
          <w:rFonts w:hint="eastAsia"/>
          <w:color w:val="auto"/>
          <w:kern w:val="0"/>
          <w:sz w:val="28"/>
          <w:szCs w:val="28"/>
          <w:lang w:val="en-US" w:eastAsia="zh-CN"/>
        </w:rPr>
        <w:t>采坑占地面积约3771m</w:t>
      </w:r>
      <w:r>
        <w:rPr>
          <w:rFonts w:hint="eastAsia"/>
          <w:color w:val="auto"/>
          <w:kern w:val="0"/>
          <w:sz w:val="28"/>
          <w:szCs w:val="28"/>
          <w:vertAlign w:val="superscript"/>
          <w:lang w:val="en-US" w:eastAsia="zh-CN"/>
        </w:rPr>
        <w:t>2</w:t>
      </w:r>
      <w:r>
        <w:rPr>
          <w:rFonts w:hint="eastAsia"/>
          <w:color w:val="auto"/>
          <w:kern w:val="0"/>
          <w:sz w:val="28"/>
          <w:szCs w:val="28"/>
          <w:vertAlign w:val="baseline"/>
          <w:lang w:val="en-US" w:eastAsia="zh-CN"/>
        </w:rPr>
        <w:t>，平均深度约4m，挖方量约</w:t>
      </w:r>
      <w:r>
        <w:rPr>
          <w:rFonts w:hint="eastAsia"/>
          <w:color w:val="auto"/>
          <w:kern w:val="0"/>
          <w:sz w:val="28"/>
          <w:szCs w:val="28"/>
          <w:lang w:val="en-US" w:eastAsia="zh-CN"/>
        </w:rPr>
        <w:t>15084m</w:t>
      </w:r>
      <w:r>
        <w:rPr>
          <w:rFonts w:hint="eastAsia"/>
          <w:color w:val="auto"/>
          <w:kern w:val="0"/>
          <w:sz w:val="28"/>
          <w:szCs w:val="28"/>
          <w:vertAlign w:val="superscript"/>
          <w:lang w:val="en-US" w:eastAsia="zh-CN"/>
        </w:rPr>
        <w:t>3</w:t>
      </w:r>
      <w:r>
        <w:rPr>
          <w:rFonts w:hint="eastAsia"/>
          <w:color w:val="auto"/>
          <w:kern w:val="0"/>
          <w:sz w:val="28"/>
          <w:szCs w:val="28"/>
          <w:lang w:val="en-US" w:eastAsia="zh-CN"/>
        </w:rPr>
        <w:t>。</w:t>
      </w:r>
      <w:r>
        <w:rPr>
          <w:rFonts w:ascii="Times New Roman" w:hAnsi="Times New Roman" w:cs="Times New Roman"/>
          <w:color w:val="auto"/>
          <w:sz w:val="28"/>
          <w:szCs w:val="28"/>
        </w:rPr>
        <w:t>场地的建设破坏了原有地形地貌，</w:t>
      </w:r>
      <w:r>
        <w:rPr>
          <w:color w:val="auto"/>
          <w:sz w:val="28"/>
          <w:szCs w:val="28"/>
        </w:rPr>
        <w:t>对原生的地形地貌景观影响和破坏程度严重，见照片</w:t>
      </w:r>
      <w:r>
        <w:rPr>
          <w:rFonts w:hint="eastAsia"/>
          <w:color w:val="auto"/>
          <w:sz w:val="28"/>
          <w:szCs w:val="28"/>
          <w:lang w:val="en-US" w:eastAsia="zh-CN"/>
        </w:rPr>
        <w:t>3</w:t>
      </w:r>
      <w:r>
        <w:rPr>
          <w:rFonts w:hint="eastAsia"/>
          <w:color w:val="auto"/>
          <w:sz w:val="28"/>
          <w:szCs w:val="28"/>
        </w:rPr>
        <w:t>-</w:t>
      </w:r>
      <w:r>
        <w:rPr>
          <w:rFonts w:hint="eastAsia"/>
          <w:color w:val="auto"/>
          <w:sz w:val="28"/>
          <w:szCs w:val="28"/>
          <w:lang w:val="en-US" w:eastAsia="zh-CN"/>
        </w:rPr>
        <w:t>4、3-5</w:t>
      </w:r>
      <w:r>
        <w:rPr>
          <w:color w:val="auto"/>
          <w:sz w:val="28"/>
          <w:szCs w:val="28"/>
        </w:rPr>
        <w:t>。</w:t>
      </w:r>
    </w:p>
    <w:p w14:paraId="61E69BE3">
      <w:pPr>
        <w:widowControl/>
        <w:contextualSpacing/>
        <w:jc w:val="center"/>
        <w:rPr>
          <w:rFonts w:eastAsia="黑体"/>
          <w:color w:val="auto"/>
          <w:kern w:val="0"/>
          <w:sz w:val="24"/>
          <w:szCs w:val="24"/>
        </w:rPr>
      </w:pPr>
      <w:r>
        <w:rPr>
          <w:rFonts w:eastAsia="黑体"/>
          <w:color w:val="auto"/>
          <w:kern w:val="0"/>
          <w:sz w:val="24"/>
          <w:szCs w:val="24"/>
        </w:rPr>
        <w:t>表3-</w:t>
      </w:r>
      <w:r>
        <w:rPr>
          <w:rFonts w:hint="eastAsia" w:eastAsia="黑体"/>
          <w:color w:val="auto"/>
          <w:kern w:val="0"/>
          <w:sz w:val="24"/>
          <w:szCs w:val="24"/>
          <w:lang w:val="en-US" w:eastAsia="zh-CN"/>
        </w:rPr>
        <w:t>3</w:t>
      </w:r>
      <w:r>
        <w:rPr>
          <w:rFonts w:hint="eastAsia" w:eastAsia="黑体"/>
          <w:color w:val="auto"/>
          <w:kern w:val="0"/>
          <w:sz w:val="24"/>
          <w:szCs w:val="24"/>
        </w:rPr>
        <w:t xml:space="preserve"> </w:t>
      </w:r>
      <w:r>
        <w:rPr>
          <w:rFonts w:eastAsia="黑体"/>
          <w:color w:val="auto"/>
          <w:kern w:val="0"/>
          <w:sz w:val="24"/>
          <w:szCs w:val="24"/>
        </w:rPr>
        <w:t xml:space="preserve"> 地形地貌景观破坏程度评价表</w:t>
      </w:r>
    </w:p>
    <w:tbl>
      <w:tblPr>
        <w:tblStyle w:val="34"/>
        <w:tblW w:w="8534"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111"/>
        <w:gridCol w:w="2385"/>
        <w:gridCol w:w="1935"/>
        <w:gridCol w:w="945"/>
        <w:gridCol w:w="1158"/>
      </w:tblGrid>
      <w:tr w14:paraId="43997D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blHeader/>
          <w:jc w:val="center"/>
        </w:trPr>
        <w:tc>
          <w:tcPr>
            <w:tcW w:w="2111" w:type="dxa"/>
            <w:vAlign w:val="center"/>
          </w:tcPr>
          <w:p w14:paraId="185BD265">
            <w:pPr>
              <w:widowControl/>
              <w:adjustRightInd w:val="0"/>
              <w:snapToGrid w:val="0"/>
              <w:jc w:val="center"/>
              <w:rPr>
                <w:color w:val="auto"/>
                <w:kern w:val="0"/>
                <w:szCs w:val="21"/>
              </w:rPr>
            </w:pPr>
            <w:r>
              <w:rPr>
                <w:color w:val="auto"/>
                <w:kern w:val="0"/>
                <w:szCs w:val="21"/>
              </w:rPr>
              <w:t>评价单元</w:t>
            </w:r>
          </w:p>
        </w:tc>
        <w:tc>
          <w:tcPr>
            <w:tcW w:w="2385" w:type="dxa"/>
            <w:vAlign w:val="center"/>
          </w:tcPr>
          <w:p w14:paraId="0AD51EAF">
            <w:pPr>
              <w:widowControl/>
              <w:adjustRightInd w:val="0"/>
              <w:snapToGrid w:val="0"/>
              <w:jc w:val="center"/>
              <w:rPr>
                <w:color w:val="auto"/>
                <w:kern w:val="0"/>
                <w:szCs w:val="21"/>
              </w:rPr>
            </w:pPr>
            <w:r>
              <w:rPr>
                <w:color w:val="auto"/>
                <w:kern w:val="0"/>
                <w:szCs w:val="21"/>
              </w:rPr>
              <w:t>评价因子</w:t>
            </w:r>
          </w:p>
        </w:tc>
        <w:tc>
          <w:tcPr>
            <w:tcW w:w="1935" w:type="dxa"/>
            <w:vAlign w:val="center"/>
          </w:tcPr>
          <w:p w14:paraId="7A62AC96">
            <w:pPr>
              <w:widowControl/>
              <w:adjustRightInd w:val="0"/>
              <w:snapToGrid w:val="0"/>
              <w:jc w:val="center"/>
              <w:rPr>
                <w:color w:val="auto"/>
                <w:kern w:val="0"/>
                <w:szCs w:val="21"/>
              </w:rPr>
            </w:pPr>
            <w:r>
              <w:rPr>
                <w:color w:val="auto"/>
                <w:kern w:val="0"/>
                <w:szCs w:val="21"/>
              </w:rPr>
              <w:t>损毁程度</w:t>
            </w:r>
          </w:p>
        </w:tc>
        <w:tc>
          <w:tcPr>
            <w:tcW w:w="945" w:type="dxa"/>
            <w:tcBorders>
              <w:right w:val="single" w:color="auto" w:sz="4" w:space="0"/>
            </w:tcBorders>
            <w:vAlign w:val="center"/>
          </w:tcPr>
          <w:p w14:paraId="52881021">
            <w:pPr>
              <w:widowControl/>
              <w:adjustRightInd w:val="0"/>
              <w:snapToGrid w:val="0"/>
              <w:jc w:val="center"/>
              <w:rPr>
                <w:color w:val="auto"/>
                <w:kern w:val="0"/>
                <w:szCs w:val="21"/>
              </w:rPr>
            </w:pPr>
            <w:r>
              <w:rPr>
                <w:color w:val="auto"/>
                <w:kern w:val="0"/>
                <w:szCs w:val="21"/>
              </w:rPr>
              <w:t>得分</w:t>
            </w:r>
          </w:p>
        </w:tc>
        <w:tc>
          <w:tcPr>
            <w:tcW w:w="1158" w:type="dxa"/>
            <w:tcBorders>
              <w:right w:val="single" w:color="auto" w:sz="4" w:space="0"/>
            </w:tcBorders>
            <w:vAlign w:val="center"/>
          </w:tcPr>
          <w:p w14:paraId="716DFBF9">
            <w:pPr>
              <w:widowControl/>
              <w:adjustRightInd w:val="0"/>
              <w:snapToGrid w:val="0"/>
              <w:jc w:val="center"/>
              <w:rPr>
                <w:color w:val="auto"/>
                <w:kern w:val="0"/>
                <w:szCs w:val="21"/>
              </w:rPr>
            </w:pPr>
            <w:r>
              <w:rPr>
                <w:color w:val="auto"/>
                <w:kern w:val="0"/>
                <w:szCs w:val="21"/>
              </w:rPr>
              <w:t>评价结果</w:t>
            </w:r>
          </w:p>
        </w:tc>
      </w:tr>
      <w:tr w14:paraId="1B04BDD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restart"/>
            <w:vAlign w:val="center"/>
          </w:tcPr>
          <w:p w14:paraId="330AD527">
            <w:pPr>
              <w:widowControl/>
              <w:adjustRightInd w:val="0"/>
              <w:snapToGrid w:val="0"/>
              <w:jc w:val="center"/>
              <w:rPr>
                <w:color w:val="auto"/>
                <w:kern w:val="0"/>
                <w:szCs w:val="21"/>
              </w:rPr>
            </w:pPr>
            <w:r>
              <w:rPr>
                <w:rFonts w:hint="eastAsia" w:ascii="Times New Roman" w:hAnsi="Times New Roman" w:cs="Times New Roman"/>
                <w:color w:val="auto"/>
                <w:lang w:val="en-US" w:eastAsia="zh-CN"/>
              </w:rPr>
              <w:t>露天采场</w:t>
            </w:r>
          </w:p>
        </w:tc>
        <w:tc>
          <w:tcPr>
            <w:tcW w:w="2385" w:type="dxa"/>
            <w:vAlign w:val="center"/>
          </w:tcPr>
          <w:p w14:paraId="2E23FA66">
            <w:pPr>
              <w:widowControl/>
              <w:adjustRightInd w:val="0"/>
              <w:snapToGrid w:val="0"/>
              <w:jc w:val="center"/>
              <w:rPr>
                <w:color w:val="auto"/>
                <w:kern w:val="0"/>
                <w:szCs w:val="21"/>
              </w:rPr>
            </w:pPr>
            <w:r>
              <w:rPr>
                <w:color w:val="auto"/>
              </w:rPr>
              <w:t>区位条件</w:t>
            </w:r>
          </w:p>
        </w:tc>
        <w:tc>
          <w:tcPr>
            <w:tcW w:w="1935" w:type="dxa"/>
            <w:vAlign w:val="center"/>
          </w:tcPr>
          <w:p w14:paraId="2CF60A45">
            <w:pPr>
              <w:widowControl/>
              <w:adjustRightInd w:val="0"/>
              <w:snapToGrid w:val="0"/>
              <w:jc w:val="center"/>
              <w:rPr>
                <w:color w:val="auto"/>
                <w:kern w:val="0"/>
                <w:szCs w:val="21"/>
              </w:rPr>
            </w:pPr>
            <w:r>
              <w:rPr>
                <w:color w:val="auto"/>
                <w:kern w:val="0"/>
                <w:szCs w:val="21"/>
              </w:rPr>
              <w:t>少有人类活动区</w:t>
            </w:r>
          </w:p>
        </w:tc>
        <w:tc>
          <w:tcPr>
            <w:tcW w:w="945" w:type="dxa"/>
            <w:vMerge w:val="restart"/>
            <w:tcBorders>
              <w:right w:val="single" w:color="auto" w:sz="4" w:space="0"/>
            </w:tcBorders>
            <w:vAlign w:val="center"/>
          </w:tcPr>
          <w:p w14:paraId="020459AD">
            <w:pPr>
              <w:widowControl/>
              <w:adjustRightInd w:val="0"/>
              <w:snapToGrid w:val="0"/>
              <w:jc w:val="center"/>
              <w:rPr>
                <w:rFonts w:hint="eastAsia" w:eastAsia="宋体"/>
                <w:color w:val="auto"/>
                <w:kern w:val="0"/>
                <w:szCs w:val="21"/>
                <w:lang w:val="en-US" w:eastAsia="zh-CN"/>
              </w:rPr>
            </w:pPr>
            <w:r>
              <w:rPr>
                <w:rFonts w:hint="eastAsia"/>
                <w:color w:val="auto"/>
                <w:kern w:val="0"/>
                <w:szCs w:val="21"/>
              </w:rPr>
              <w:t>2.</w:t>
            </w:r>
            <w:r>
              <w:rPr>
                <w:rFonts w:hint="eastAsia"/>
                <w:color w:val="auto"/>
                <w:kern w:val="0"/>
                <w:szCs w:val="21"/>
                <w:lang w:val="en-US" w:eastAsia="zh-CN"/>
              </w:rPr>
              <w:t>2</w:t>
            </w:r>
          </w:p>
        </w:tc>
        <w:tc>
          <w:tcPr>
            <w:tcW w:w="1158" w:type="dxa"/>
            <w:vMerge w:val="restart"/>
            <w:tcBorders>
              <w:left w:val="single" w:color="auto" w:sz="4" w:space="0"/>
            </w:tcBorders>
            <w:vAlign w:val="center"/>
          </w:tcPr>
          <w:p w14:paraId="32AD9E05">
            <w:pPr>
              <w:widowControl/>
              <w:adjustRightInd w:val="0"/>
              <w:snapToGrid w:val="0"/>
              <w:jc w:val="center"/>
              <w:rPr>
                <w:color w:val="auto"/>
                <w:kern w:val="0"/>
                <w:szCs w:val="21"/>
              </w:rPr>
            </w:pPr>
            <w:r>
              <w:rPr>
                <w:rFonts w:hint="eastAsia"/>
                <w:color w:val="auto"/>
                <w:kern w:val="0"/>
                <w:szCs w:val="21"/>
              </w:rPr>
              <w:t>严重</w:t>
            </w:r>
          </w:p>
        </w:tc>
      </w:tr>
      <w:tr w14:paraId="30CDB2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continue"/>
            <w:vAlign w:val="center"/>
          </w:tcPr>
          <w:p w14:paraId="2A349B37">
            <w:pPr>
              <w:widowControl/>
              <w:adjustRightInd w:val="0"/>
              <w:snapToGrid w:val="0"/>
              <w:jc w:val="center"/>
              <w:rPr>
                <w:color w:val="auto"/>
                <w:kern w:val="0"/>
                <w:szCs w:val="21"/>
              </w:rPr>
            </w:pPr>
          </w:p>
        </w:tc>
        <w:tc>
          <w:tcPr>
            <w:tcW w:w="2385" w:type="dxa"/>
            <w:vAlign w:val="center"/>
          </w:tcPr>
          <w:p w14:paraId="1230745A">
            <w:pPr>
              <w:widowControl/>
              <w:adjustRightInd w:val="0"/>
              <w:snapToGrid w:val="0"/>
              <w:jc w:val="center"/>
              <w:rPr>
                <w:color w:val="auto"/>
                <w:kern w:val="0"/>
                <w:szCs w:val="21"/>
              </w:rPr>
            </w:pPr>
            <w:r>
              <w:rPr>
                <w:color w:val="auto"/>
              </w:rPr>
              <w:t>可视程度</w:t>
            </w:r>
          </w:p>
        </w:tc>
        <w:tc>
          <w:tcPr>
            <w:tcW w:w="1935" w:type="dxa"/>
            <w:vAlign w:val="center"/>
          </w:tcPr>
          <w:p w14:paraId="70F231C6">
            <w:pPr>
              <w:widowControl/>
              <w:adjustRightInd w:val="0"/>
              <w:snapToGrid w:val="0"/>
              <w:jc w:val="center"/>
              <w:rPr>
                <w:color w:val="auto"/>
                <w:kern w:val="0"/>
                <w:szCs w:val="21"/>
              </w:rPr>
            </w:pPr>
            <w:r>
              <w:rPr>
                <w:rFonts w:hint="eastAsia"/>
                <w:color w:val="auto"/>
                <w:kern w:val="0"/>
                <w:szCs w:val="21"/>
                <w:lang w:val="en-US" w:eastAsia="zh-CN"/>
              </w:rPr>
              <w:t>不</w:t>
            </w:r>
            <w:r>
              <w:rPr>
                <w:color w:val="auto"/>
                <w:kern w:val="0"/>
                <w:szCs w:val="21"/>
              </w:rPr>
              <w:t>可视</w:t>
            </w:r>
          </w:p>
        </w:tc>
        <w:tc>
          <w:tcPr>
            <w:tcW w:w="945" w:type="dxa"/>
            <w:vMerge w:val="continue"/>
            <w:tcBorders>
              <w:right w:val="single" w:color="auto" w:sz="4" w:space="0"/>
            </w:tcBorders>
            <w:vAlign w:val="center"/>
          </w:tcPr>
          <w:p w14:paraId="586603B9">
            <w:pPr>
              <w:widowControl/>
              <w:adjustRightInd w:val="0"/>
              <w:snapToGrid w:val="0"/>
              <w:jc w:val="center"/>
              <w:rPr>
                <w:color w:val="auto"/>
                <w:kern w:val="0"/>
                <w:szCs w:val="21"/>
              </w:rPr>
            </w:pPr>
          </w:p>
        </w:tc>
        <w:tc>
          <w:tcPr>
            <w:tcW w:w="1158" w:type="dxa"/>
            <w:vMerge w:val="continue"/>
            <w:tcBorders>
              <w:left w:val="single" w:color="auto" w:sz="4" w:space="0"/>
            </w:tcBorders>
            <w:vAlign w:val="center"/>
          </w:tcPr>
          <w:p w14:paraId="1ED99DC1">
            <w:pPr>
              <w:widowControl/>
              <w:adjustRightInd w:val="0"/>
              <w:snapToGrid w:val="0"/>
              <w:jc w:val="center"/>
              <w:rPr>
                <w:color w:val="auto"/>
                <w:kern w:val="0"/>
                <w:szCs w:val="21"/>
              </w:rPr>
            </w:pPr>
          </w:p>
        </w:tc>
      </w:tr>
      <w:tr w14:paraId="4A411F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continue"/>
            <w:vAlign w:val="center"/>
          </w:tcPr>
          <w:p w14:paraId="70ECD526">
            <w:pPr>
              <w:widowControl/>
              <w:adjustRightInd w:val="0"/>
              <w:snapToGrid w:val="0"/>
              <w:jc w:val="center"/>
              <w:rPr>
                <w:color w:val="auto"/>
                <w:kern w:val="0"/>
                <w:szCs w:val="21"/>
              </w:rPr>
            </w:pPr>
          </w:p>
        </w:tc>
        <w:tc>
          <w:tcPr>
            <w:tcW w:w="2385" w:type="dxa"/>
            <w:vAlign w:val="center"/>
          </w:tcPr>
          <w:p w14:paraId="7268B741">
            <w:pPr>
              <w:widowControl/>
              <w:adjustRightInd w:val="0"/>
              <w:snapToGrid w:val="0"/>
              <w:jc w:val="center"/>
              <w:rPr>
                <w:color w:val="auto"/>
                <w:kern w:val="0"/>
                <w:szCs w:val="21"/>
              </w:rPr>
            </w:pPr>
            <w:r>
              <w:rPr>
                <w:color w:val="auto"/>
              </w:rPr>
              <w:t>破坏面积</w:t>
            </w:r>
          </w:p>
        </w:tc>
        <w:tc>
          <w:tcPr>
            <w:tcW w:w="1935" w:type="dxa"/>
            <w:vAlign w:val="center"/>
          </w:tcPr>
          <w:p w14:paraId="5F72E46A">
            <w:pPr>
              <w:widowControl/>
              <w:adjustRightInd w:val="0"/>
              <w:snapToGrid w:val="0"/>
              <w:jc w:val="center"/>
              <w:rPr>
                <w:color w:val="auto"/>
                <w:kern w:val="0"/>
                <w:szCs w:val="21"/>
              </w:rPr>
            </w:pPr>
            <w:r>
              <w:rPr>
                <w:color w:val="auto"/>
              </w:rPr>
              <w:t>&gt;1.0hm</w:t>
            </w:r>
            <w:r>
              <w:rPr>
                <w:color w:val="auto"/>
                <w:vertAlign w:val="superscript"/>
              </w:rPr>
              <w:t>2</w:t>
            </w:r>
          </w:p>
        </w:tc>
        <w:tc>
          <w:tcPr>
            <w:tcW w:w="945" w:type="dxa"/>
            <w:vMerge w:val="continue"/>
            <w:tcBorders>
              <w:right w:val="single" w:color="auto" w:sz="4" w:space="0"/>
            </w:tcBorders>
            <w:vAlign w:val="center"/>
          </w:tcPr>
          <w:p w14:paraId="3A712B19">
            <w:pPr>
              <w:widowControl/>
              <w:adjustRightInd w:val="0"/>
              <w:snapToGrid w:val="0"/>
              <w:jc w:val="center"/>
              <w:rPr>
                <w:color w:val="auto"/>
                <w:kern w:val="0"/>
                <w:szCs w:val="21"/>
              </w:rPr>
            </w:pPr>
          </w:p>
        </w:tc>
        <w:tc>
          <w:tcPr>
            <w:tcW w:w="1158" w:type="dxa"/>
            <w:vMerge w:val="continue"/>
            <w:tcBorders>
              <w:left w:val="single" w:color="auto" w:sz="4" w:space="0"/>
            </w:tcBorders>
            <w:vAlign w:val="center"/>
          </w:tcPr>
          <w:p w14:paraId="25FBB875">
            <w:pPr>
              <w:widowControl/>
              <w:adjustRightInd w:val="0"/>
              <w:snapToGrid w:val="0"/>
              <w:jc w:val="center"/>
              <w:rPr>
                <w:color w:val="auto"/>
                <w:kern w:val="0"/>
                <w:szCs w:val="21"/>
              </w:rPr>
            </w:pPr>
          </w:p>
        </w:tc>
      </w:tr>
      <w:tr w14:paraId="7566A63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continue"/>
            <w:vAlign w:val="center"/>
          </w:tcPr>
          <w:p w14:paraId="54814983">
            <w:pPr>
              <w:widowControl/>
              <w:adjustRightInd w:val="0"/>
              <w:snapToGrid w:val="0"/>
              <w:jc w:val="center"/>
              <w:rPr>
                <w:color w:val="auto"/>
                <w:kern w:val="0"/>
                <w:szCs w:val="21"/>
              </w:rPr>
            </w:pPr>
          </w:p>
        </w:tc>
        <w:tc>
          <w:tcPr>
            <w:tcW w:w="2385" w:type="dxa"/>
            <w:vAlign w:val="center"/>
          </w:tcPr>
          <w:p w14:paraId="3AC8DFEE">
            <w:pPr>
              <w:widowControl/>
              <w:adjustRightInd w:val="0"/>
              <w:snapToGrid w:val="0"/>
              <w:jc w:val="center"/>
              <w:rPr>
                <w:color w:val="auto"/>
                <w:kern w:val="0"/>
                <w:szCs w:val="21"/>
              </w:rPr>
            </w:pPr>
            <w:r>
              <w:rPr>
                <w:color w:val="auto"/>
              </w:rPr>
              <w:t>最大深度</w:t>
            </w:r>
          </w:p>
        </w:tc>
        <w:tc>
          <w:tcPr>
            <w:tcW w:w="1935" w:type="dxa"/>
            <w:vAlign w:val="center"/>
          </w:tcPr>
          <w:p w14:paraId="4BDFAE4E">
            <w:pPr>
              <w:widowControl/>
              <w:adjustRightInd w:val="0"/>
              <w:snapToGrid w:val="0"/>
              <w:jc w:val="center"/>
              <w:rPr>
                <w:color w:val="auto"/>
                <w:kern w:val="0"/>
                <w:szCs w:val="21"/>
              </w:rPr>
            </w:pPr>
            <w:r>
              <w:rPr>
                <w:color w:val="auto"/>
                <w:kern w:val="0"/>
              </w:rPr>
              <w:t>&gt;20m</w:t>
            </w:r>
          </w:p>
        </w:tc>
        <w:tc>
          <w:tcPr>
            <w:tcW w:w="945" w:type="dxa"/>
            <w:vMerge w:val="continue"/>
            <w:tcBorders>
              <w:right w:val="single" w:color="auto" w:sz="4" w:space="0"/>
            </w:tcBorders>
            <w:vAlign w:val="center"/>
          </w:tcPr>
          <w:p w14:paraId="4E902FDF">
            <w:pPr>
              <w:widowControl/>
              <w:adjustRightInd w:val="0"/>
              <w:snapToGrid w:val="0"/>
              <w:jc w:val="center"/>
              <w:rPr>
                <w:color w:val="auto"/>
                <w:kern w:val="0"/>
                <w:szCs w:val="21"/>
              </w:rPr>
            </w:pPr>
          </w:p>
        </w:tc>
        <w:tc>
          <w:tcPr>
            <w:tcW w:w="1158" w:type="dxa"/>
            <w:vMerge w:val="continue"/>
            <w:tcBorders>
              <w:left w:val="single" w:color="auto" w:sz="4" w:space="0"/>
            </w:tcBorders>
            <w:vAlign w:val="center"/>
          </w:tcPr>
          <w:p w14:paraId="2ECA9DB4">
            <w:pPr>
              <w:widowControl/>
              <w:adjustRightInd w:val="0"/>
              <w:snapToGrid w:val="0"/>
              <w:jc w:val="center"/>
              <w:rPr>
                <w:color w:val="auto"/>
                <w:kern w:val="0"/>
                <w:szCs w:val="21"/>
              </w:rPr>
            </w:pPr>
          </w:p>
        </w:tc>
      </w:tr>
      <w:tr w14:paraId="4C1CEF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continue"/>
            <w:vAlign w:val="center"/>
          </w:tcPr>
          <w:p w14:paraId="3CD50F03">
            <w:pPr>
              <w:widowControl/>
              <w:adjustRightInd w:val="0"/>
              <w:snapToGrid w:val="0"/>
              <w:jc w:val="center"/>
              <w:rPr>
                <w:color w:val="auto"/>
                <w:kern w:val="0"/>
                <w:szCs w:val="21"/>
              </w:rPr>
            </w:pPr>
          </w:p>
        </w:tc>
        <w:tc>
          <w:tcPr>
            <w:tcW w:w="2385" w:type="dxa"/>
            <w:vAlign w:val="center"/>
          </w:tcPr>
          <w:p w14:paraId="7C491F36">
            <w:pPr>
              <w:widowControl/>
              <w:adjustRightInd w:val="0"/>
              <w:snapToGrid w:val="0"/>
              <w:jc w:val="center"/>
              <w:rPr>
                <w:color w:val="auto"/>
                <w:kern w:val="0"/>
                <w:szCs w:val="21"/>
              </w:rPr>
            </w:pPr>
            <w:r>
              <w:rPr>
                <w:color w:val="auto"/>
              </w:rPr>
              <w:t>边坡规整情况</w:t>
            </w:r>
          </w:p>
        </w:tc>
        <w:tc>
          <w:tcPr>
            <w:tcW w:w="1935" w:type="dxa"/>
            <w:vAlign w:val="center"/>
          </w:tcPr>
          <w:p w14:paraId="09A8BAA0">
            <w:pPr>
              <w:widowControl/>
              <w:adjustRightInd w:val="0"/>
              <w:snapToGrid w:val="0"/>
              <w:jc w:val="center"/>
              <w:rPr>
                <w:color w:val="auto"/>
                <w:kern w:val="0"/>
                <w:szCs w:val="21"/>
              </w:rPr>
            </w:pPr>
            <w:r>
              <w:rPr>
                <w:color w:val="auto"/>
                <w:kern w:val="0"/>
              </w:rPr>
              <w:t>不规整</w:t>
            </w:r>
          </w:p>
        </w:tc>
        <w:tc>
          <w:tcPr>
            <w:tcW w:w="945" w:type="dxa"/>
            <w:vMerge w:val="continue"/>
            <w:tcBorders>
              <w:right w:val="single" w:color="auto" w:sz="4" w:space="0"/>
            </w:tcBorders>
            <w:vAlign w:val="center"/>
          </w:tcPr>
          <w:p w14:paraId="3DBEA134">
            <w:pPr>
              <w:widowControl/>
              <w:adjustRightInd w:val="0"/>
              <w:snapToGrid w:val="0"/>
              <w:jc w:val="center"/>
              <w:rPr>
                <w:color w:val="auto"/>
                <w:kern w:val="0"/>
                <w:szCs w:val="21"/>
              </w:rPr>
            </w:pPr>
          </w:p>
        </w:tc>
        <w:tc>
          <w:tcPr>
            <w:tcW w:w="1158" w:type="dxa"/>
            <w:vMerge w:val="continue"/>
            <w:tcBorders>
              <w:left w:val="single" w:color="auto" w:sz="4" w:space="0"/>
            </w:tcBorders>
            <w:vAlign w:val="center"/>
          </w:tcPr>
          <w:p w14:paraId="7C02470D">
            <w:pPr>
              <w:widowControl/>
              <w:adjustRightInd w:val="0"/>
              <w:snapToGrid w:val="0"/>
              <w:jc w:val="center"/>
              <w:rPr>
                <w:color w:val="auto"/>
                <w:kern w:val="0"/>
                <w:szCs w:val="21"/>
              </w:rPr>
            </w:pPr>
          </w:p>
        </w:tc>
      </w:tr>
    </w:tbl>
    <w:p w14:paraId="7ECA835A">
      <w:pPr>
        <w:spacing w:line="360" w:lineRule="auto"/>
        <w:ind w:firstLine="560" w:firstLineChars="200"/>
        <w:jc w:val="center"/>
        <w:rPr>
          <w:rFonts w:hint="eastAsia" w:eastAsia="宋体"/>
          <w:color w:val="auto"/>
          <w:sz w:val="28"/>
          <w:szCs w:val="28"/>
          <w:lang w:eastAsia="zh-CN"/>
        </w:rPr>
      </w:pPr>
      <w:r>
        <w:rPr>
          <w:rFonts w:hint="eastAsia"/>
          <w:color w:val="auto"/>
          <w:sz w:val="28"/>
          <w:szCs w:val="28"/>
          <w:lang w:eastAsia="zh-CN"/>
        </w:rPr>
        <w:t xml:space="preserve">    </w:t>
      </w:r>
    </w:p>
    <w:p w14:paraId="345E9699">
      <w:pPr>
        <w:spacing w:line="360" w:lineRule="auto"/>
        <w:jc w:val="center"/>
        <w:rPr>
          <w:rFonts w:hint="eastAsia" w:eastAsia="黑体"/>
          <w:color w:val="auto"/>
          <w:sz w:val="24"/>
          <w:szCs w:val="24"/>
          <w:lang w:val="en-US" w:eastAsia="zh-CN"/>
        </w:rPr>
      </w:pPr>
      <w:r>
        <w:rPr>
          <w:rFonts w:eastAsia="黑体"/>
          <w:color w:val="auto"/>
          <w:sz w:val="24"/>
          <w:szCs w:val="24"/>
        </w:rPr>
        <w:t>照片</w:t>
      </w:r>
      <w:r>
        <w:rPr>
          <w:rFonts w:hint="eastAsia" w:eastAsia="黑体"/>
          <w:color w:val="auto"/>
          <w:sz w:val="24"/>
          <w:szCs w:val="24"/>
          <w:lang w:val="en-US" w:eastAsia="zh-CN"/>
        </w:rPr>
        <w:t>3</w:t>
      </w:r>
      <w:r>
        <w:rPr>
          <w:rFonts w:eastAsia="黑体"/>
          <w:color w:val="auto"/>
          <w:sz w:val="24"/>
          <w:szCs w:val="24"/>
        </w:rPr>
        <w:t>-</w:t>
      </w:r>
      <w:r>
        <w:rPr>
          <w:rFonts w:hint="eastAsia" w:eastAsia="黑体"/>
          <w:color w:val="auto"/>
          <w:sz w:val="24"/>
          <w:szCs w:val="24"/>
          <w:lang w:val="en-US" w:eastAsia="zh-CN"/>
        </w:rPr>
        <w:t>4</w:t>
      </w:r>
      <w:r>
        <w:rPr>
          <w:rFonts w:eastAsia="黑体"/>
          <w:color w:val="auto"/>
          <w:sz w:val="24"/>
          <w:szCs w:val="24"/>
        </w:rPr>
        <w:t xml:space="preserve">  </w:t>
      </w:r>
      <w:r>
        <w:rPr>
          <w:rFonts w:hint="eastAsia" w:eastAsia="黑体"/>
          <w:color w:val="auto"/>
          <w:sz w:val="24"/>
          <w:szCs w:val="24"/>
          <w:lang w:val="en-US" w:eastAsia="zh-CN"/>
        </w:rPr>
        <w:t>露天采场</w:t>
      </w:r>
    </w:p>
    <w:p w14:paraId="1AAB7BF9">
      <w:pPr>
        <w:spacing w:line="360" w:lineRule="auto"/>
        <w:jc w:val="center"/>
        <w:rPr>
          <w:rFonts w:hint="eastAsia" w:eastAsia="宋体"/>
          <w:color w:val="auto"/>
          <w:lang w:eastAsia="zh-CN"/>
        </w:rPr>
      </w:pPr>
      <w:r>
        <w:rPr>
          <w:rFonts w:hint="eastAsia"/>
          <w:color w:val="auto"/>
          <w:lang w:eastAsia="zh-CN"/>
        </w:rPr>
        <w:t xml:space="preserve">        </w:t>
      </w:r>
    </w:p>
    <w:p w14:paraId="6C89F635">
      <w:pPr>
        <w:spacing w:line="360" w:lineRule="auto"/>
        <w:jc w:val="center"/>
        <w:rPr>
          <w:rFonts w:hint="eastAsia" w:eastAsia="黑体"/>
          <w:color w:val="auto"/>
          <w:sz w:val="24"/>
          <w:szCs w:val="24"/>
          <w:lang w:val="en-US" w:eastAsia="zh-CN"/>
        </w:rPr>
      </w:pPr>
      <w:r>
        <w:rPr>
          <w:rFonts w:eastAsia="黑体"/>
          <w:color w:val="auto"/>
          <w:sz w:val="24"/>
          <w:szCs w:val="24"/>
        </w:rPr>
        <w:t>照片</w:t>
      </w:r>
      <w:r>
        <w:rPr>
          <w:rFonts w:hint="eastAsia" w:eastAsia="黑体"/>
          <w:color w:val="auto"/>
          <w:sz w:val="24"/>
          <w:szCs w:val="24"/>
          <w:lang w:val="en-US" w:eastAsia="zh-CN"/>
        </w:rPr>
        <w:t>3</w:t>
      </w:r>
      <w:r>
        <w:rPr>
          <w:rFonts w:eastAsia="黑体"/>
          <w:color w:val="auto"/>
          <w:sz w:val="24"/>
          <w:szCs w:val="24"/>
        </w:rPr>
        <w:t>-</w:t>
      </w:r>
      <w:r>
        <w:rPr>
          <w:rFonts w:hint="eastAsia" w:eastAsia="黑体"/>
          <w:color w:val="auto"/>
          <w:sz w:val="24"/>
          <w:szCs w:val="24"/>
          <w:lang w:val="en-US" w:eastAsia="zh-CN"/>
        </w:rPr>
        <w:t>5</w:t>
      </w:r>
      <w:r>
        <w:rPr>
          <w:rFonts w:eastAsia="黑体"/>
          <w:color w:val="auto"/>
          <w:sz w:val="24"/>
          <w:szCs w:val="24"/>
        </w:rPr>
        <w:t xml:space="preserve">  </w:t>
      </w:r>
      <w:r>
        <w:rPr>
          <w:rFonts w:hint="eastAsia" w:eastAsia="黑体"/>
          <w:color w:val="auto"/>
          <w:sz w:val="24"/>
          <w:szCs w:val="24"/>
          <w:lang w:val="en-US" w:eastAsia="zh-CN"/>
        </w:rPr>
        <w:t>露天采场西侧采坑</w:t>
      </w:r>
    </w:p>
    <w:p w14:paraId="0ABDABB9">
      <w:pPr>
        <w:spacing w:line="360" w:lineRule="auto"/>
        <w:jc w:val="center"/>
        <w:rPr>
          <w:rFonts w:hint="eastAsia" w:eastAsia="黑体"/>
          <w:color w:val="auto"/>
          <w:sz w:val="24"/>
          <w:szCs w:val="24"/>
          <w:lang w:val="en-US" w:eastAsia="zh-CN"/>
        </w:rPr>
      </w:pPr>
      <w:r>
        <w:rPr>
          <w:rFonts w:hint="eastAsia" w:eastAsia="黑体"/>
          <w:color w:val="auto"/>
          <w:sz w:val="24"/>
          <w:szCs w:val="24"/>
          <w:lang w:val="en-US" w:eastAsia="zh-CN"/>
        </w:rPr>
        <w:t xml:space="preserve">    </w:t>
      </w:r>
    </w:p>
    <w:p w14:paraId="23C2018A">
      <w:pPr>
        <w:spacing w:line="360" w:lineRule="auto"/>
        <w:jc w:val="center"/>
        <w:rPr>
          <w:rFonts w:hint="default" w:eastAsia="黑体"/>
          <w:color w:val="auto"/>
          <w:sz w:val="24"/>
          <w:szCs w:val="24"/>
          <w:lang w:val="en-US" w:eastAsia="zh-CN"/>
        </w:rPr>
      </w:pPr>
      <w:r>
        <w:rPr>
          <w:rFonts w:hint="eastAsia" w:eastAsia="黑体"/>
          <w:color w:val="auto"/>
          <w:sz w:val="24"/>
          <w:szCs w:val="24"/>
          <w:lang w:val="en-US" w:eastAsia="zh-CN"/>
        </w:rPr>
        <w:t>图3-2</w:t>
      </w:r>
      <w:r>
        <w:rPr>
          <w:rFonts w:eastAsia="黑体"/>
          <w:color w:val="auto"/>
          <w:sz w:val="24"/>
          <w:szCs w:val="24"/>
        </w:rPr>
        <w:t xml:space="preserve">  </w:t>
      </w:r>
      <w:r>
        <w:rPr>
          <w:rFonts w:hint="eastAsia" w:eastAsia="黑体"/>
          <w:color w:val="auto"/>
          <w:sz w:val="24"/>
          <w:szCs w:val="24"/>
          <w:lang w:val="en-US" w:eastAsia="zh-CN"/>
        </w:rPr>
        <w:t>三角网法堆方量计算图</w:t>
      </w:r>
    </w:p>
    <w:p w14:paraId="1AC13D86">
      <w:pPr>
        <w:spacing w:line="360" w:lineRule="auto"/>
        <w:ind w:firstLine="562" w:firstLineChars="200"/>
        <w:rPr>
          <w:rFonts w:ascii="Times New Roman" w:hAnsi="Times New Roman" w:cs="Times New Roman"/>
          <w:b/>
          <w:bCs/>
          <w:color w:val="auto"/>
          <w:sz w:val="28"/>
          <w:szCs w:val="28"/>
        </w:rPr>
      </w:pPr>
      <w:r>
        <w:rPr>
          <w:rFonts w:hint="eastAsia" w:ascii="Times New Roman" w:hAnsi="Times New Roman" w:cs="Times New Roman"/>
          <w:b/>
          <w:bCs/>
          <w:color w:val="auto"/>
          <w:sz w:val="28"/>
          <w:szCs w:val="28"/>
          <w:lang w:eastAsia="zh-CN"/>
        </w:rPr>
        <w:t>（</w:t>
      </w:r>
      <w:r>
        <w:rPr>
          <w:rFonts w:hint="eastAsia" w:ascii="Times New Roman" w:hAnsi="Times New Roman" w:cs="Times New Roman"/>
          <w:b/>
          <w:bCs/>
          <w:color w:val="auto"/>
          <w:sz w:val="28"/>
          <w:szCs w:val="28"/>
          <w:lang w:val="en-US" w:eastAsia="zh-CN"/>
        </w:rPr>
        <w:t>2</w:t>
      </w:r>
      <w:r>
        <w:rPr>
          <w:rFonts w:hint="eastAsia" w:ascii="Times New Roman" w:hAnsi="Times New Roman" w:cs="Times New Roman"/>
          <w:b/>
          <w:bCs/>
          <w:color w:val="auto"/>
          <w:sz w:val="28"/>
          <w:szCs w:val="28"/>
          <w:lang w:eastAsia="zh-CN"/>
        </w:rPr>
        <w:t>）</w:t>
      </w:r>
      <w:r>
        <w:rPr>
          <w:rFonts w:hint="eastAsia" w:cs="Times New Roman"/>
          <w:b/>
          <w:bCs/>
          <w:color w:val="auto"/>
          <w:sz w:val="28"/>
          <w:szCs w:val="28"/>
          <w:lang w:val="en-US" w:eastAsia="zh-CN"/>
        </w:rPr>
        <w:t>1#</w:t>
      </w:r>
      <w:r>
        <w:rPr>
          <w:rFonts w:hint="eastAsia" w:ascii="Times New Roman" w:hAnsi="Times New Roman" w:cs="Times New Roman"/>
          <w:b/>
          <w:bCs/>
          <w:color w:val="auto"/>
          <w:sz w:val="28"/>
          <w:szCs w:val="28"/>
        </w:rPr>
        <w:t>废石场</w:t>
      </w:r>
    </w:p>
    <w:p w14:paraId="4D9215D1">
      <w:pPr>
        <w:spacing w:line="360" w:lineRule="auto"/>
        <w:ind w:firstLine="560" w:firstLineChars="200"/>
        <w:rPr>
          <w:color w:val="auto"/>
          <w:sz w:val="28"/>
          <w:szCs w:val="28"/>
        </w:rPr>
      </w:pPr>
      <w:r>
        <w:rPr>
          <w:rFonts w:hint="eastAsia" w:cs="Times New Roman"/>
          <w:color w:val="auto"/>
          <w:sz w:val="28"/>
          <w:szCs w:val="28"/>
          <w:lang w:val="en-US" w:eastAsia="zh-CN"/>
        </w:rPr>
        <w:t>1#</w:t>
      </w:r>
      <w:r>
        <w:rPr>
          <w:rFonts w:ascii="Times New Roman" w:hAnsi="Times New Roman" w:cs="Times New Roman"/>
          <w:color w:val="auto"/>
          <w:sz w:val="28"/>
          <w:szCs w:val="28"/>
        </w:rPr>
        <w:t>废石场位于</w:t>
      </w:r>
      <w:r>
        <w:rPr>
          <w:rFonts w:hint="eastAsia" w:ascii="Times New Roman" w:hAnsi="Times New Roman" w:cs="Times New Roman"/>
          <w:color w:val="auto"/>
          <w:sz w:val="28"/>
          <w:szCs w:val="28"/>
          <w:lang w:val="en-US" w:eastAsia="zh-CN"/>
        </w:rPr>
        <w:t>露天采场西</w:t>
      </w:r>
      <w:r>
        <w:rPr>
          <w:rFonts w:hint="eastAsia" w:cs="Times New Roman"/>
          <w:color w:val="auto"/>
          <w:sz w:val="28"/>
          <w:szCs w:val="28"/>
          <w:lang w:val="en-US" w:eastAsia="zh-CN"/>
        </w:rPr>
        <w:t>部</w:t>
      </w:r>
      <w:r>
        <w:rPr>
          <w:rFonts w:ascii="Times New Roman" w:hAnsi="Times New Roman" w:cs="Times New Roman"/>
          <w:color w:val="auto"/>
          <w:sz w:val="28"/>
          <w:szCs w:val="28"/>
        </w:rPr>
        <w:t>，占地面积为</w:t>
      </w:r>
      <w:r>
        <w:rPr>
          <w:rFonts w:hint="eastAsia" w:cs="Times New Roman"/>
          <w:color w:val="auto"/>
          <w:sz w:val="28"/>
          <w:szCs w:val="28"/>
          <w:lang w:val="en-US" w:eastAsia="zh-CN"/>
        </w:rPr>
        <w:t>4811</w:t>
      </w:r>
      <w:r>
        <w:rPr>
          <w:rFonts w:ascii="Times New Roman" w:hAnsi="Times New Roman" w:cs="Times New Roman"/>
          <w:color w:val="auto"/>
          <w:sz w:val="28"/>
          <w:szCs w:val="28"/>
        </w:rPr>
        <w:t>m</w:t>
      </w:r>
      <w:r>
        <w:rPr>
          <w:rFonts w:ascii="Times New Roman" w:hAnsi="Times New Roman" w:cs="Times New Roman"/>
          <w:color w:val="auto"/>
          <w:sz w:val="28"/>
          <w:szCs w:val="28"/>
          <w:vertAlign w:val="superscript"/>
        </w:rPr>
        <w:t>2</w:t>
      </w:r>
      <w:r>
        <w:rPr>
          <w:rFonts w:ascii="Times New Roman" w:hAnsi="Times New Roman" w:cs="Times New Roman"/>
          <w:color w:val="auto"/>
          <w:sz w:val="28"/>
          <w:szCs w:val="28"/>
        </w:rPr>
        <w:t>，</w:t>
      </w:r>
      <w:r>
        <w:rPr>
          <w:rFonts w:hint="eastAsia" w:ascii="Times New Roman" w:hAnsi="Times New Roman" w:cs="Times New Roman"/>
          <w:color w:val="auto"/>
          <w:sz w:val="28"/>
          <w:szCs w:val="28"/>
          <w:lang w:val="en-US" w:eastAsia="zh-CN"/>
        </w:rPr>
        <w:t>形成原因是矿山开采产生的废石沿山坡顺坡堆放，未覆土，废石裸露，视觉效果极差；整体</w:t>
      </w:r>
      <w:r>
        <w:rPr>
          <w:rFonts w:hint="eastAsia" w:cs="Times New Roman"/>
          <w:color w:val="auto"/>
          <w:sz w:val="28"/>
          <w:szCs w:val="28"/>
          <w:lang w:val="en-US" w:eastAsia="zh-CN"/>
        </w:rPr>
        <w:t>坡长约15m，</w:t>
      </w:r>
      <w:r>
        <w:rPr>
          <w:rFonts w:hint="eastAsia" w:ascii="Times New Roman" w:hAnsi="Times New Roman" w:cs="Times New Roman"/>
          <w:color w:val="auto"/>
          <w:sz w:val="28"/>
          <w:szCs w:val="28"/>
          <w:lang w:val="en-US" w:eastAsia="zh-CN"/>
        </w:rPr>
        <w:t>高约8m，坡角约45°</w:t>
      </w:r>
      <w:r>
        <w:rPr>
          <w:rFonts w:hint="eastAsia" w:cs="Times New Roman"/>
          <w:color w:val="auto"/>
          <w:sz w:val="28"/>
          <w:szCs w:val="28"/>
          <w:lang w:val="en-US" w:eastAsia="zh-CN"/>
        </w:rPr>
        <w:t>，根据三角网法堆方量计算，1#</w:t>
      </w:r>
      <w:r>
        <w:rPr>
          <w:rFonts w:ascii="Times New Roman" w:hAnsi="Times New Roman" w:cs="Times New Roman"/>
          <w:color w:val="auto"/>
          <w:sz w:val="28"/>
          <w:szCs w:val="28"/>
        </w:rPr>
        <w:t>废石场</w:t>
      </w:r>
      <w:r>
        <w:rPr>
          <w:rFonts w:hint="eastAsia" w:cs="Times New Roman"/>
          <w:color w:val="auto"/>
          <w:sz w:val="28"/>
          <w:szCs w:val="28"/>
          <w:lang w:val="en-US" w:eastAsia="zh-CN"/>
        </w:rPr>
        <w:t>堆积废石量261m</w:t>
      </w:r>
      <w:r>
        <w:rPr>
          <w:rFonts w:hint="eastAsia" w:cs="Times New Roman"/>
          <w:color w:val="auto"/>
          <w:sz w:val="28"/>
          <w:szCs w:val="28"/>
          <w:vertAlign w:val="superscript"/>
          <w:lang w:val="en-US" w:eastAsia="zh-CN"/>
        </w:rPr>
        <w:t>3</w:t>
      </w:r>
      <w:r>
        <w:rPr>
          <w:rFonts w:hint="eastAsia" w:cs="Times New Roman"/>
          <w:color w:val="auto"/>
          <w:sz w:val="28"/>
          <w:szCs w:val="28"/>
          <w:vertAlign w:val="baseline"/>
          <w:lang w:val="en-US" w:eastAsia="zh-CN"/>
        </w:rPr>
        <w:t>，见图3-3</w:t>
      </w:r>
      <w:r>
        <w:rPr>
          <w:rFonts w:hint="eastAsia" w:ascii="Times New Roman" w:hAnsi="Times New Roman" w:cs="Times New Roman"/>
          <w:color w:val="auto"/>
          <w:sz w:val="28"/>
          <w:szCs w:val="28"/>
          <w:lang w:val="en-US" w:eastAsia="zh-CN"/>
        </w:rPr>
        <w:t>。</w:t>
      </w:r>
      <w:r>
        <w:rPr>
          <w:color w:val="auto"/>
          <w:sz w:val="28"/>
          <w:szCs w:val="28"/>
        </w:rPr>
        <w:t>地的建设形成的人工堆积地貌破坏了地形地貌景观整体的和谐度，对原生的地形地貌景观影响和破坏程度</w:t>
      </w:r>
      <w:r>
        <w:rPr>
          <w:rFonts w:hint="eastAsia"/>
          <w:color w:val="auto"/>
          <w:sz w:val="28"/>
          <w:szCs w:val="28"/>
          <w:lang w:val="en-US" w:eastAsia="zh-CN"/>
        </w:rPr>
        <w:t>较</w:t>
      </w:r>
      <w:r>
        <w:rPr>
          <w:color w:val="auto"/>
          <w:sz w:val="28"/>
          <w:szCs w:val="28"/>
        </w:rPr>
        <w:t>严重，见照片</w:t>
      </w:r>
      <w:r>
        <w:rPr>
          <w:rFonts w:hint="eastAsia"/>
          <w:color w:val="auto"/>
          <w:sz w:val="28"/>
          <w:szCs w:val="28"/>
          <w:lang w:val="en-US" w:eastAsia="zh-CN"/>
        </w:rPr>
        <w:t>3</w:t>
      </w:r>
      <w:r>
        <w:rPr>
          <w:rFonts w:hint="eastAsia"/>
          <w:color w:val="auto"/>
          <w:sz w:val="28"/>
          <w:szCs w:val="28"/>
        </w:rPr>
        <w:t>-</w:t>
      </w:r>
      <w:r>
        <w:rPr>
          <w:rFonts w:hint="eastAsia"/>
          <w:color w:val="auto"/>
          <w:sz w:val="28"/>
          <w:szCs w:val="28"/>
          <w:lang w:val="en-US" w:eastAsia="zh-CN"/>
        </w:rPr>
        <w:t>6</w:t>
      </w:r>
      <w:r>
        <w:rPr>
          <w:color w:val="auto"/>
          <w:sz w:val="28"/>
          <w:szCs w:val="28"/>
        </w:rPr>
        <w:t>。</w:t>
      </w:r>
    </w:p>
    <w:p w14:paraId="00824F88">
      <w:pPr>
        <w:widowControl/>
        <w:contextualSpacing/>
        <w:jc w:val="center"/>
        <w:rPr>
          <w:rFonts w:eastAsia="黑体"/>
          <w:color w:val="auto"/>
          <w:kern w:val="0"/>
          <w:sz w:val="24"/>
          <w:szCs w:val="24"/>
        </w:rPr>
      </w:pPr>
      <w:r>
        <w:rPr>
          <w:rFonts w:eastAsia="黑体"/>
          <w:color w:val="auto"/>
          <w:kern w:val="0"/>
          <w:sz w:val="24"/>
          <w:szCs w:val="24"/>
        </w:rPr>
        <w:t>表3</w:t>
      </w:r>
      <w:r>
        <w:rPr>
          <w:rFonts w:hint="eastAsia" w:eastAsia="黑体"/>
          <w:color w:val="auto"/>
          <w:kern w:val="0"/>
          <w:sz w:val="24"/>
          <w:szCs w:val="24"/>
          <w:lang w:val="en-US" w:eastAsia="zh-CN"/>
        </w:rPr>
        <w:t>-4</w:t>
      </w:r>
      <w:r>
        <w:rPr>
          <w:rFonts w:hint="eastAsia" w:eastAsia="黑体"/>
          <w:color w:val="auto"/>
          <w:kern w:val="0"/>
          <w:sz w:val="24"/>
          <w:szCs w:val="24"/>
        </w:rPr>
        <w:t xml:space="preserve"> </w:t>
      </w:r>
      <w:r>
        <w:rPr>
          <w:rFonts w:eastAsia="黑体"/>
          <w:color w:val="auto"/>
          <w:kern w:val="0"/>
          <w:sz w:val="24"/>
          <w:szCs w:val="24"/>
        </w:rPr>
        <w:t xml:space="preserve"> 地形地貌景观破坏程度评价表</w:t>
      </w:r>
    </w:p>
    <w:tbl>
      <w:tblPr>
        <w:tblStyle w:val="34"/>
        <w:tblpPr w:leftFromText="180" w:rightFromText="180" w:vertAnchor="text" w:horzAnchor="page" w:tblpXSpec="center" w:tblpY="42"/>
        <w:tblOverlap w:val="never"/>
        <w:tblW w:w="8534"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111"/>
        <w:gridCol w:w="2385"/>
        <w:gridCol w:w="1935"/>
        <w:gridCol w:w="945"/>
        <w:gridCol w:w="1158"/>
      </w:tblGrid>
      <w:tr w14:paraId="56CC58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blHeader/>
          <w:jc w:val="center"/>
        </w:trPr>
        <w:tc>
          <w:tcPr>
            <w:tcW w:w="2111" w:type="dxa"/>
            <w:vAlign w:val="center"/>
          </w:tcPr>
          <w:p w14:paraId="4F1E2C10">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评价单元</w:t>
            </w:r>
          </w:p>
        </w:tc>
        <w:tc>
          <w:tcPr>
            <w:tcW w:w="2385" w:type="dxa"/>
            <w:vAlign w:val="center"/>
          </w:tcPr>
          <w:p w14:paraId="1F0922C9">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评价因子</w:t>
            </w:r>
          </w:p>
        </w:tc>
        <w:tc>
          <w:tcPr>
            <w:tcW w:w="1935" w:type="dxa"/>
            <w:vAlign w:val="center"/>
          </w:tcPr>
          <w:p w14:paraId="42438E2C">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损毁程度</w:t>
            </w:r>
          </w:p>
        </w:tc>
        <w:tc>
          <w:tcPr>
            <w:tcW w:w="945" w:type="dxa"/>
            <w:tcBorders>
              <w:right w:val="single" w:color="auto" w:sz="4" w:space="0"/>
            </w:tcBorders>
            <w:vAlign w:val="center"/>
          </w:tcPr>
          <w:p w14:paraId="6DC6A123">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得分</w:t>
            </w:r>
          </w:p>
        </w:tc>
        <w:tc>
          <w:tcPr>
            <w:tcW w:w="1158" w:type="dxa"/>
            <w:tcBorders>
              <w:right w:val="single" w:color="auto" w:sz="4" w:space="0"/>
            </w:tcBorders>
            <w:vAlign w:val="center"/>
          </w:tcPr>
          <w:p w14:paraId="485801B4">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评价结果</w:t>
            </w:r>
          </w:p>
        </w:tc>
      </w:tr>
      <w:tr w14:paraId="46D6F50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restart"/>
            <w:vAlign w:val="center"/>
          </w:tcPr>
          <w:p w14:paraId="7F82D63B">
            <w:pPr>
              <w:widowControl/>
              <w:contextualSpacing/>
              <w:jc w:val="center"/>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lang w:val="en-US" w:eastAsia="zh-CN"/>
              </w:rPr>
              <w:t>1#</w:t>
            </w:r>
            <w:r>
              <w:rPr>
                <w:rFonts w:hint="eastAsia" w:ascii="宋体" w:hAnsi="宋体" w:eastAsia="宋体" w:cs="宋体"/>
                <w:color w:val="auto"/>
                <w:kern w:val="0"/>
                <w:sz w:val="21"/>
                <w:szCs w:val="21"/>
                <w:lang w:val="en-US" w:eastAsia="zh-CN"/>
              </w:rPr>
              <w:t>废石场</w:t>
            </w:r>
          </w:p>
        </w:tc>
        <w:tc>
          <w:tcPr>
            <w:tcW w:w="2385" w:type="dxa"/>
            <w:vAlign w:val="center"/>
          </w:tcPr>
          <w:p w14:paraId="70140626">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区位条件</w:t>
            </w:r>
          </w:p>
        </w:tc>
        <w:tc>
          <w:tcPr>
            <w:tcW w:w="1935" w:type="dxa"/>
            <w:vAlign w:val="center"/>
          </w:tcPr>
          <w:p w14:paraId="3936AE28">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少有人类活动区</w:t>
            </w:r>
          </w:p>
        </w:tc>
        <w:tc>
          <w:tcPr>
            <w:tcW w:w="945" w:type="dxa"/>
            <w:vMerge w:val="restart"/>
            <w:tcBorders>
              <w:right w:val="single" w:color="auto" w:sz="4" w:space="0"/>
            </w:tcBorders>
            <w:vAlign w:val="center"/>
          </w:tcPr>
          <w:p w14:paraId="4B7089A5">
            <w:pPr>
              <w:widowControl/>
              <w:contextualSpacing/>
              <w:jc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1.3</w:t>
            </w:r>
          </w:p>
        </w:tc>
        <w:tc>
          <w:tcPr>
            <w:tcW w:w="1158" w:type="dxa"/>
            <w:vMerge w:val="restart"/>
            <w:tcBorders>
              <w:left w:val="single" w:color="auto" w:sz="4" w:space="0"/>
            </w:tcBorders>
            <w:vAlign w:val="center"/>
          </w:tcPr>
          <w:p w14:paraId="0F16BA0E">
            <w:pPr>
              <w:widowControl/>
              <w:contextualSpacing/>
              <w:jc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较</w:t>
            </w:r>
            <w:r>
              <w:rPr>
                <w:rFonts w:hint="eastAsia" w:ascii="宋体" w:hAnsi="宋体" w:eastAsia="宋体" w:cs="宋体"/>
                <w:color w:val="auto"/>
                <w:kern w:val="0"/>
                <w:sz w:val="21"/>
                <w:szCs w:val="21"/>
              </w:rPr>
              <w:t>严重</w:t>
            </w:r>
          </w:p>
        </w:tc>
      </w:tr>
      <w:tr w14:paraId="47D816F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continue"/>
            <w:vAlign w:val="center"/>
          </w:tcPr>
          <w:p w14:paraId="1ECBC535">
            <w:pPr>
              <w:widowControl/>
              <w:contextualSpacing/>
              <w:jc w:val="center"/>
              <w:rPr>
                <w:rFonts w:hint="eastAsia" w:ascii="宋体" w:hAnsi="宋体" w:eastAsia="宋体" w:cs="宋体"/>
                <w:color w:val="auto"/>
                <w:kern w:val="0"/>
                <w:sz w:val="21"/>
                <w:szCs w:val="21"/>
              </w:rPr>
            </w:pPr>
          </w:p>
        </w:tc>
        <w:tc>
          <w:tcPr>
            <w:tcW w:w="2385" w:type="dxa"/>
            <w:vAlign w:val="center"/>
          </w:tcPr>
          <w:p w14:paraId="29600B3D">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可视程度</w:t>
            </w:r>
          </w:p>
        </w:tc>
        <w:tc>
          <w:tcPr>
            <w:tcW w:w="1935" w:type="dxa"/>
            <w:vAlign w:val="center"/>
          </w:tcPr>
          <w:p w14:paraId="1123BBCB">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不可视</w:t>
            </w:r>
          </w:p>
        </w:tc>
        <w:tc>
          <w:tcPr>
            <w:tcW w:w="945" w:type="dxa"/>
            <w:vMerge w:val="continue"/>
            <w:tcBorders>
              <w:right w:val="single" w:color="auto" w:sz="4" w:space="0"/>
            </w:tcBorders>
            <w:vAlign w:val="center"/>
          </w:tcPr>
          <w:p w14:paraId="12859DD6">
            <w:pPr>
              <w:widowControl/>
              <w:contextualSpacing/>
              <w:jc w:val="center"/>
              <w:rPr>
                <w:rFonts w:hint="eastAsia" w:ascii="宋体" w:hAnsi="宋体" w:eastAsia="宋体" w:cs="宋体"/>
                <w:color w:val="auto"/>
                <w:kern w:val="0"/>
                <w:sz w:val="21"/>
                <w:szCs w:val="21"/>
              </w:rPr>
            </w:pPr>
          </w:p>
        </w:tc>
        <w:tc>
          <w:tcPr>
            <w:tcW w:w="1158" w:type="dxa"/>
            <w:vMerge w:val="continue"/>
            <w:tcBorders>
              <w:left w:val="single" w:color="auto" w:sz="4" w:space="0"/>
            </w:tcBorders>
            <w:vAlign w:val="center"/>
          </w:tcPr>
          <w:p w14:paraId="6673C3AB">
            <w:pPr>
              <w:widowControl/>
              <w:contextualSpacing/>
              <w:jc w:val="center"/>
              <w:rPr>
                <w:rFonts w:hint="eastAsia" w:ascii="宋体" w:hAnsi="宋体" w:eastAsia="宋体" w:cs="宋体"/>
                <w:color w:val="auto"/>
                <w:kern w:val="0"/>
                <w:sz w:val="21"/>
                <w:szCs w:val="21"/>
              </w:rPr>
            </w:pPr>
          </w:p>
        </w:tc>
      </w:tr>
      <w:tr w14:paraId="22BCCE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continue"/>
            <w:vAlign w:val="center"/>
          </w:tcPr>
          <w:p w14:paraId="76880784">
            <w:pPr>
              <w:widowControl/>
              <w:contextualSpacing/>
              <w:jc w:val="center"/>
              <w:rPr>
                <w:rFonts w:hint="eastAsia" w:ascii="宋体" w:hAnsi="宋体" w:eastAsia="宋体" w:cs="宋体"/>
                <w:color w:val="auto"/>
                <w:kern w:val="0"/>
                <w:sz w:val="21"/>
                <w:szCs w:val="21"/>
              </w:rPr>
            </w:pPr>
          </w:p>
        </w:tc>
        <w:tc>
          <w:tcPr>
            <w:tcW w:w="2385" w:type="dxa"/>
            <w:vAlign w:val="center"/>
          </w:tcPr>
          <w:p w14:paraId="02379E32">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场地面积</w:t>
            </w:r>
          </w:p>
        </w:tc>
        <w:tc>
          <w:tcPr>
            <w:tcW w:w="1935" w:type="dxa"/>
            <w:vAlign w:val="center"/>
          </w:tcPr>
          <w:p w14:paraId="6776F6BD">
            <w:pPr>
              <w:widowControl/>
              <w:contextualSpacing/>
              <w:jc w:val="center"/>
              <w:rPr>
                <w:rFonts w:hint="eastAsia" w:ascii="宋体" w:hAnsi="宋体" w:eastAsia="宋体" w:cs="宋体"/>
                <w:color w:val="auto"/>
                <w:kern w:val="0"/>
                <w:sz w:val="21"/>
                <w:szCs w:val="21"/>
              </w:rPr>
            </w:pPr>
            <w:r>
              <w:rPr>
                <w:color w:val="auto"/>
              </w:rPr>
              <w:t>&lt;1.0hm</w:t>
            </w:r>
            <w:r>
              <w:rPr>
                <w:color w:val="auto"/>
                <w:vertAlign w:val="superscript"/>
              </w:rPr>
              <w:t>2</w:t>
            </w:r>
          </w:p>
        </w:tc>
        <w:tc>
          <w:tcPr>
            <w:tcW w:w="945" w:type="dxa"/>
            <w:vMerge w:val="continue"/>
            <w:tcBorders>
              <w:right w:val="single" w:color="auto" w:sz="4" w:space="0"/>
            </w:tcBorders>
            <w:vAlign w:val="center"/>
          </w:tcPr>
          <w:p w14:paraId="414F082E">
            <w:pPr>
              <w:widowControl/>
              <w:contextualSpacing/>
              <w:jc w:val="center"/>
              <w:rPr>
                <w:rFonts w:hint="eastAsia" w:ascii="宋体" w:hAnsi="宋体" w:eastAsia="宋体" w:cs="宋体"/>
                <w:color w:val="auto"/>
                <w:kern w:val="0"/>
                <w:sz w:val="21"/>
                <w:szCs w:val="21"/>
              </w:rPr>
            </w:pPr>
          </w:p>
        </w:tc>
        <w:tc>
          <w:tcPr>
            <w:tcW w:w="1158" w:type="dxa"/>
            <w:vMerge w:val="continue"/>
            <w:tcBorders>
              <w:left w:val="single" w:color="auto" w:sz="4" w:space="0"/>
            </w:tcBorders>
            <w:vAlign w:val="center"/>
          </w:tcPr>
          <w:p w14:paraId="77BD8F1A">
            <w:pPr>
              <w:widowControl/>
              <w:contextualSpacing/>
              <w:jc w:val="center"/>
              <w:rPr>
                <w:rFonts w:hint="eastAsia" w:ascii="宋体" w:hAnsi="宋体" w:eastAsia="宋体" w:cs="宋体"/>
                <w:color w:val="auto"/>
                <w:kern w:val="0"/>
                <w:sz w:val="21"/>
                <w:szCs w:val="21"/>
              </w:rPr>
            </w:pPr>
          </w:p>
        </w:tc>
      </w:tr>
      <w:tr w14:paraId="08F7FA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continue"/>
            <w:vAlign w:val="center"/>
          </w:tcPr>
          <w:p w14:paraId="324EB232">
            <w:pPr>
              <w:widowControl/>
              <w:contextualSpacing/>
              <w:jc w:val="center"/>
              <w:rPr>
                <w:rFonts w:hint="eastAsia" w:ascii="宋体" w:hAnsi="宋体" w:eastAsia="宋体" w:cs="宋体"/>
                <w:color w:val="auto"/>
                <w:kern w:val="0"/>
                <w:sz w:val="21"/>
                <w:szCs w:val="21"/>
              </w:rPr>
            </w:pPr>
          </w:p>
        </w:tc>
        <w:tc>
          <w:tcPr>
            <w:tcW w:w="2385" w:type="dxa"/>
            <w:vAlign w:val="center"/>
          </w:tcPr>
          <w:p w14:paraId="6F14EF92">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排土（渣）高度</w:t>
            </w:r>
          </w:p>
        </w:tc>
        <w:tc>
          <w:tcPr>
            <w:tcW w:w="1935" w:type="dxa"/>
            <w:vAlign w:val="center"/>
          </w:tcPr>
          <w:p w14:paraId="33C142E4">
            <w:pPr>
              <w:widowControl/>
              <w:contextualSpacing/>
              <w:jc w:val="center"/>
              <w:rPr>
                <w:rFonts w:hint="eastAsia" w:ascii="宋体" w:hAnsi="宋体" w:eastAsia="宋体" w:cs="宋体"/>
                <w:color w:val="auto"/>
                <w:kern w:val="0"/>
                <w:sz w:val="21"/>
                <w:szCs w:val="21"/>
              </w:rPr>
            </w:pPr>
            <w:r>
              <w:rPr>
                <w:color w:val="auto"/>
              </w:rPr>
              <w:t>5-10m</w:t>
            </w:r>
          </w:p>
        </w:tc>
        <w:tc>
          <w:tcPr>
            <w:tcW w:w="945" w:type="dxa"/>
            <w:vMerge w:val="continue"/>
            <w:tcBorders>
              <w:right w:val="single" w:color="auto" w:sz="4" w:space="0"/>
            </w:tcBorders>
            <w:vAlign w:val="center"/>
          </w:tcPr>
          <w:p w14:paraId="37ADCD85">
            <w:pPr>
              <w:widowControl/>
              <w:contextualSpacing/>
              <w:jc w:val="center"/>
              <w:rPr>
                <w:rFonts w:hint="eastAsia" w:ascii="宋体" w:hAnsi="宋体" w:eastAsia="宋体" w:cs="宋体"/>
                <w:color w:val="auto"/>
                <w:kern w:val="0"/>
                <w:sz w:val="21"/>
                <w:szCs w:val="21"/>
              </w:rPr>
            </w:pPr>
          </w:p>
        </w:tc>
        <w:tc>
          <w:tcPr>
            <w:tcW w:w="1158" w:type="dxa"/>
            <w:vMerge w:val="continue"/>
            <w:tcBorders>
              <w:left w:val="single" w:color="auto" w:sz="4" w:space="0"/>
            </w:tcBorders>
            <w:vAlign w:val="center"/>
          </w:tcPr>
          <w:p w14:paraId="228F063B">
            <w:pPr>
              <w:widowControl/>
              <w:contextualSpacing/>
              <w:jc w:val="center"/>
              <w:rPr>
                <w:rFonts w:hint="eastAsia" w:ascii="宋体" w:hAnsi="宋体" w:eastAsia="宋体" w:cs="宋体"/>
                <w:color w:val="auto"/>
                <w:kern w:val="0"/>
                <w:sz w:val="21"/>
                <w:szCs w:val="21"/>
              </w:rPr>
            </w:pPr>
          </w:p>
        </w:tc>
      </w:tr>
      <w:tr w14:paraId="00F832D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continue"/>
            <w:vAlign w:val="center"/>
          </w:tcPr>
          <w:p w14:paraId="093B6096">
            <w:pPr>
              <w:widowControl/>
              <w:contextualSpacing/>
              <w:jc w:val="center"/>
              <w:rPr>
                <w:rFonts w:hint="eastAsia" w:ascii="宋体" w:hAnsi="宋体" w:eastAsia="宋体" w:cs="宋体"/>
                <w:color w:val="auto"/>
                <w:kern w:val="0"/>
                <w:sz w:val="21"/>
                <w:szCs w:val="21"/>
              </w:rPr>
            </w:pPr>
          </w:p>
        </w:tc>
        <w:tc>
          <w:tcPr>
            <w:tcW w:w="2385" w:type="dxa"/>
            <w:vAlign w:val="center"/>
          </w:tcPr>
          <w:p w14:paraId="7556CF3B">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边坡规整情况</w:t>
            </w:r>
          </w:p>
        </w:tc>
        <w:tc>
          <w:tcPr>
            <w:tcW w:w="1935" w:type="dxa"/>
            <w:vAlign w:val="center"/>
          </w:tcPr>
          <w:p w14:paraId="304D3C6C">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不规整</w:t>
            </w:r>
          </w:p>
        </w:tc>
        <w:tc>
          <w:tcPr>
            <w:tcW w:w="945" w:type="dxa"/>
            <w:vMerge w:val="continue"/>
            <w:tcBorders>
              <w:right w:val="single" w:color="auto" w:sz="4" w:space="0"/>
            </w:tcBorders>
            <w:vAlign w:val="center"/>
          </w:tcPr>
          <w:p w14:paraId="4D72C8EB">
            <w:pPr>
              <w:widowControl/>
              <w:contextualSpacing/>
              <w:jc w:val="center"/>
              <w:rPr>
                <w:rFonts w:hint="eastAsia" w:ascii="宋体" w:hAnsi="宋体" w:eastAsia="宋体" w:cs="宋体"/>
                <w:color w:val="auto"/>
                <w:kern w:val="0"/>
                <w:sz w:val="21"/>
                <w:szCs w:val="21"/>
              </w:rPr>
            </w:pPr>
          </w:p>
        </w:tc>
        <w:tc>
          <w:tcPr>
            <w:tcW w:w="1158" w:type="dxa"/>
            <w:vMerge w:val="continue"/>
            <w:tcBorders>
              <w:left w:val="single" w:color="auto" w:sz="4" w:space="0"/>
            </w:tcBorders>
            <w:vAlign w:val="center"/>
          </w:tcPr>
          <w:p w14:paraId="000743CE">
            <w:pPr>
              <w:widowControl/>
              <w:contextualSpacing/>
              <w:jc w:val="center"/>
              <w:rPr>
                <w:rFonts w:hint="eastAsia" w:ascii="宋体" w:hAnsi="宋体" w:eastAsia="宋体" w:cs="宋体"/>
                <w:color w:val="auto"/>
                <w:kern w:val="0"/>
                <w:sz w:val="21"/>
                <w:szCs w:val="21"/>
              </w:rPr>
            </w:pPr>
          </w:p>
        </w:tc>
      </w:tr>
    </w:tbl>
    <w:p w14:paraId="13A67252">
      <w:pPr>
        <w:widowControl/>
        <w:contextualSpacing/>
        <w:jc w:val="center"/>
        <w:rPr>
          <w:rFonts w:eastAsia="黑体"/>
          <w:color w:val="auto"/>
          <w:kern w:val="0"/>
          <w:sz w:val="24"/>
          <w:szCs w:val="24"/>
        </w:rPr>
      </w:pPr>
    </w:p>
    <w:p w14:paraId="3843C0FD">
      <w:pPr>
        <w:spacing w:line="360" w:lineRule="auto"/>
        <w:jc w:val="center"/>
        <w:rPr>
          <w:rFonts w:hint="eastAsia" w:eastAsia="黑体"/>
          <w:color w:val="auto"/>
          <w:sz w:val="24"/>
          <w:szCs w:val="24"/>
          <w:lang w:eastAsia="zh-CN"/>
        </w:rPr>
      </w:pPr>
      <w:r>
        <w:rPr>
          <w:rFonts w:hint="eastAsia" w:eastAsia="黑体"/>
          <w:color w:val="auto"/>
          <w:lang w:eastAsia="zh-CN"/>
        </w:rPr>
        <w:t xml:space="preserve">    </w:t>
      </w:r>
    </w:p>
    <w:p w14:paraId="7CA1E75F">
      <w:pPr>
        <w:spacing w:line="360" w:lineRule="auto"/>
        <w:jc w:val="center"/>
        <w:rPr>
          <w:rFonts w:hint="eastAsia" w:eastAsia="黑体"/>
          <w:color w:val="auto"/>
          <w:sz w:val="24"/>
          <w:szCs w:val="24"/>
          <w:lang w:val="en-US" w:eastAsia="zh-CN"/>
        </w:rPr>
      </w:pPr>
      <w:r>
        <w:rPr>
          <w:rFonts w:eastAsia="黑体"/>
          <w:color w:val="auto"/>
          <w:sz w:val="24"/>
          <w:szCs w:val="24"/>
        </w:rPr>
        <w:t>照片</w:t>
      </w:r>
      <w:r>
        <w:rPr>
          <w:rFonts w:hint="eastAsia" w:eastAsia="黑体"/>
          <w:color w:val="auto"/>
          <w:sz w:val="24"/>
          <w:szCs w:val="24"/>
          <w:lang w:val="en-US" w:eastAsia="zh-CN"/>
        </w:rPr>
        <w:t>3</w:t>
      </w:r>
      <w:r>
        <w:rPr>
          <w:rFonts w:eastAsia="黑体"/>
          <w:color w:val="auto"/>
          <w:sz w:val="24"/>
          <w:szCs w:val="24"/>
        </w:rPr>
        <w:t>-</w:t>
      </w:r>
      <w:r>
        <w:rPr>
          <w:rFonts w:hint="eastAsia" w:eastAsia="黑体"/>
          <w:color w:val="auto"/>
          <w:sz w:val="24"/>
          <w:szCs w:val="24"/>
          <w:lang w:val="en-US" w:eastAsia="zh-CN"/>
        </w:rPr>
        <w:t>6</w:t>
      </w:r>
      <w:r>
        <w:rPr>
          <w:rFonts w:eastAsia="黑体"/>
          <w:color w:val="auto"/>
          <w:sz w:val="24"/>
          <w:szCs w:val="24"/>
        </w:rPr>
        <w:t xml:space="preserve">  </w:t>
      </w:r>
      <w:r>
        <w:rPr>
          <w:rFonts w:hint="eastAsia" w:eastAsia="黑体"/>
          <w:color w:val="auto"/>
          <w:sz w:val="24"/>
          <w:szCs w:val="24"/>
          <w:lang w:val="en-US" w:eastAsia="zh-CN"/>
        </w:rPr>
        <w:t>1#废石场</w:t>
      </w:r>
    </w:p>
    <w:p w14:paraId="31C2A184">
      <w:pPr>
        <w:spacing w:line="360" w:lineRule="auto"/>
        <w:jc w:val="center"/>
        <w:rPr>
          <w:rFonts w:hint="eastAsia" w:eastAsia="黑体"/>
          <w:color w:val="auto"/>
          <w:sz w:val="24"/>
          <w:szCs w:val="24"/>
          <w:lang w:val="en-US" w:eastAsia="zh-CN"/>
        </w:rPr>
      </w:pPr>
      <w:r>
        <w:rPr>
          <w:rFonts w:hint="eastAsia" w:eastAsia="黑体"/>
          <w:color w:val="auto"/>
          <w:sz w:val="24"/>
          <w:szCs w:val="24"/>
          <w:lang w:val="en-US" w:eastAsia="zh-CN"/>
        </w:rPr>
        <w:t xml:space="preserve">    </w:t>
      </w:r>
    </w:p>
    <w:p w14:paraId="255187B1">
      <w:pPr>
        <w:spacing w:line="360" w:lineRule="auto"/>
        <w:jc w:val="center"/>
        <w:rPr>
          <w:rFonts w:hint="default" w:eastAsia="黑体"/>
          <w:color w:val="auto"/>
          <w:sz w:val="24"/>
          <w:szCs w:val="24"/>
          <w:lang w:val="en-US" w:eastAsia="zh-CN"/>
        </w:rPr>
      </w:pPr>
      <w:r>
        <w:rPr>
          <w:rFonts w:hint="eastAsia" w:eastAsia="黑体"/>
          <w:color w:val="auto"/>
          <w:sz w:val="24"/>
          <w:szCs w:val="24"/>
          <w:lang w:val="en-US" w:eastAsia="zh-CN"/>
        </w:rPr>
        <w:t>图3-3</w:t>
      </w:r>
      <w:r>
        <w:rPr>
          <w:rFonts w:eastAsia="黑体"/>
          <w:color w:val="auto"/>
          <w:sz w:val="24"/>
          <w:szCs w:val="24"/>
        </w:rPr>
        <w:t xml:space="preserve">  </w:t>
      </w:r>
      <w:r>
        <w:rPr>
          <w:rFonts w:hint="eastAsia" w:eastAsia="黑体"/>
          <w:color w:val="auto"/>
          <w:sz w:val="24"/>
          <w:szCs w:val="24"/>
          <w:lang w:val="en-US" w:eastAsia="zh-CN"/>
        </w:rPr>
        <w:t>三角网法堆方量计算图</w:t>
      </w:r>
    </w:p>
    <w:p w14:paraId="3E015056">
      <w:pPr>
        <w:spacing w:line="360" w:lineRule="auto"/>
        <w:ind w:firstLine="562" w:firstLineChars="200"/>
        <w:jc w:val="left"/>
        <w:rPr>
          <w:rFonts w:hint="eastAsia" w:eastAsia="宋体"/>
          <w:color w:val="auto"/>
          <w:sz w:val="28"/>
          <w:szCs w:val="28"/>
          <w:lang w:eastAsia="zh-CN"/>
        </w:rPr>
      </w:pPr>
      <w:r>
        <w:rPr>
          <w:rFonts w:hint="eastAsia"/>
          <w:b/>
          <w:bCs/>
          <w:color w:val="auto"/>
          <w:sz w:val="28"/>
          <w:szCs w:val="28"/>
          <w:lang w:eastAsia="zh-CN"/>
        </w:rPr>
        <w:t>（</w:t>
      </w:r>
      <w:r>
        <w:rPr>
          <w:rFonts w:hint="eastAsia"/>
          <w:b/>
          <w:bCs/>
          <w:color w:val="auto"/>
          <w:sz w:val="28"/>
          <w:szCs w:val="28"/>
          <w:lang w:val="en-US" w:eastAsia="zh-CN"/>
        </w:rPr>
        <w:t>3</w:t>
      </w:r>
      <w:r>
        <w:rPr>
          <w:rFonts w:hint="eastAsia"/>
          <w:b/>
          <w:bCs/>
          <w:color w:val="auto"/>
          <w:sz w:val="28"/>
          <w:szCs w:val="28"/>
          <w:lang w:eastAsia="zh-CN"/>
        </w:rPr>
        <w:t>）</w:t>
      </w:r>
      <w:r>
        <w:rPr>
          <w:rFonts w:hint="eastAsia"/>
          <w:b/>
          <w:bCs/>
          <w:color w:val="auto"/>
          <w:sz w:val="28"/>
          <w:szCs w:val="28"/>
          <w:lang w:val="en-US" w:eastAsia="zh-CN"/>
        </w:rPr>
        <w:t>2#废石场</w:t>
      </w:r>
    </w:p>
    <w:p w14:paraId="43D7B358">
      <w:pPr>
        <w:spacing w:line="360" w:lineRule="auto"/>
        <w:ind w:firstLine="560" w:firstLineChars="200"/>
        <w:jc w:val="both"/>
        <w:rPr>
          <w:color w:val="auto"/>
          <w:sz w:val="28"/>
          <w:szCs w:val="28"/>
        </w:rPr>
      </w:pPr>
      <w:r>
        <w:rPr>
          <w:color w:val="auto"/>
          <w:sz w:val="28"/>
          <w:szCs w:val="28"/>
        </w:rPr>
        <w:t>场地位于</w:t>
      </w:r>
      <w:r>
        <w:rPr>
          <w:rFonts w:hint="eastAsia"/>
          <w:color w:val="auto"/>
          <w:sz w:val="28"/>
          <w:szCs w:val="28"/>
          <w:lang w:val="en-US" w:eastAsia="zh-CN"/>
        </w:rPr>
        <w:t>露天采场南</w:t>
      </w:r>
      <w:r>
        <w:rPr>
          <w:color w:val="auto"/>
          <w:sz w:val="28"/>
          <w:szCs w:val="28"/>
        </w:rPr>
        <w:t>侧，</w:t>
      </w:r>
      <w:r>
        <w:rPr>
          <w:rFonts w:hint="eastAsia"/>
          <w:color w:val="auto"/>
          <w:sz w:val="28"/>
          <w:szCs w:val="28"/>
          <w:lang w:val="en-US" w:eastAsia="zh-CN"/>
        </w:rPr>
        <w:t>二者紧邻，</w:t>
      </w:r>
      <w:r>
        <w:rPr>
          <w:color w:val="auto"/>
          <w:sz w:val="28"/>
          <w:szCs w:val="28"/>
        </w:rPr>
        <w:t>场地面积为</w:t>
      </w:r>
      <w:r>
        <w:rPr>
          <w:rFonts w:hint="eastAsia"/>
          <w:color w:val="auto"/>
          <w:sz w:val="28"/>
          <w:szCs w:val="28"/>
          <w:lang w:val="en-US" w:eastAsia="zh-CN"/>
        </w:rPr>
        <w:t>14034</w:t>
      </w:r>
      <w:r>
        <w:rPr>
          <w:color w:val="auto"/>
          <w:sz w:val="28"/>
          <w:szCs w:val="28"/>
        </w:rPr>
        <w:t>m</w:t>
      </w:r>
      <w:r>
        <w:rPr>
          <w:color w:val="auto"/>
          <w:sz w:val="28"/>
          <w:szCs w:val="28"/>
          <w:vertAlign w:val="superscript"/>
        </w:rPr>
        <w:t>2</w:t>
      </w:r>
      <w:r>
        <w:rPr>
          <w:color w:val="auto"/>
          <w:sz w:val="28"/>
          <w:szCs w:val="28"/>
        </w:rPr>
        <w:t>，主要</w:t>
      </w:r>
      <w:r>
        <w:rPr>
          <w:rFonts w:hint="eastAsia"/>
          <w:color w:val="auto"/>
          <w:sz w:val="28"/>
          <w:szCs w:val="28"/>
          <w:lang w:val="en-US" w:eastAsia="zh-CN"/>
        </w:rPr>
        <w:t>矿山生产产生的废石顺山坡堆放，堆积高度约</w:t>
      </w:r>
      <w:r>
        <w:rPr>
          <w:color w:val="auto"/>
          <w:sz w:val="28"/>
          <w:szCs w:val="28"/>
        </w:rPr>
        <w:t>6</w:t>
      </w:r>
      <w:r>
        <w:rPr>
          <w:rFonts w:hint="eastAsia"/>
          <w:color w:val="auto"/>
          <w:sz w:val="28"/>
          <w:szCs w:val="28"/>
          <w:lang w:val="en-US" w:eastAsia="zh-CN"/>
        </w:rPr>
        <w:t>0</w:t>
      </w:r>
      <w:r>
        <w:rPr>
          <w:color w:val="auto"/>
          <w:sz w:val="28"/>
          <w:szCs w:val="28"/>
        </w:rPr>
        <w:t>m，坡角约为</w:t>
      </w:r>
      <w:r>
        <w:rPr>
          <w:rFonts w:hint="eastAsia"/>
          <w:color w:val="auto"/>
          <w:sz w:val="28"/>
          <w:szCs w:val="28"/>
          <w:lang w:val="en-US" w:eastAsia="zh-CN"/>
        </w:rPr>
        <w:t>5</w:t>
      </w:r>
      <w:r>
        <w:rPr>
          <w:color w:val="auto"/>
          <w:sz w:val="28"/>
          <w:szCs w:val="28"/>
        </w:rPr>
        <w:t>0°，</w:t>
      </w:r>
      <w:r>
        <w:rPr>
          <w:rFonts w:hint="eastAsia"/>
          <w:color w:val="auto"/>
          <w:sz w:val="28"/>
          <w:szCs w:val="28"/>
          <w:lang w:val="en-US" w:eastAsia="zh-CN"/>
        </w:rPr>
        <w:t>边坡长约100m，</w:t>
      </w:r>
      <w:r>
        <w:rPr>
          <w:rFonts w:hint="eastAsia" w:cs="Times New Roman"/>
          <w:color w:val="auto"/>
          <w:sz w:val="28"/>
          <w:szCs w:val="28"/>
          <w:lang w:val="en-US" w:eastAsia="zh-CN"/>
        </w:rPr>
        <w:t>，根据三角网法方放量计算，2#</w:t>
      </w:r>
      <w:r>
        <w:rPr>
          <w:rFonts w:ascii="Times New Roman" w:hAnsi="Times New Roman" w:cs="Times New Roman"/>
          <w:color w:val="auto"/>
          <w:sz w:val="28"/>
          <w:szCs w:val="28"/>
        </w:rPr>
        <w:t>废石场</w:t>
      </w:r>
      <w:r>
        <w:rPr>
          <w:rFonts w:hint="eastAsia" w:cs="Times New Roman"/>
          <w:color w:val="auto"/>
          <w:sz w:val="28"/>
          <w:szCs w:val="28"/>
          <w:lang w:val="en-US" w:eastAsia="zh-CN"/>
        </w:rPr>
        <w:t>堆积废石量24253m</w:t>
      </w:r>
      <w:r>
        <w:rPr>
          <w:rFonts w:hint="eastAsia" w:cs="Times New Roman"/>
          <w:color w:val="auto"/>
          <w:sz w:val="28"/>
          <w:szCs w:val="28"/>
          <w:vertAlign w:val="superscript"/>
          <w:lang w:val="en-US" w:eastAsia="zh-CN"/>
        </w:rPr>
        <w:t>3</w:t>
      </w:r>
      <w:r>
        <w:rPr>
          <w:rFonts w:hint="eastAsia" w:cs="Times New Roman"/>
          <w:color w:val="auto"/>
          <w:sz w:val="28"/>
          <w:szCs w:val="28"/>
          <w:vertAlign w:val="baseline"/>
          <w:lang w:val="en-US" w:eastAsia="zh-CN"/>
        </w:rPr>
        <w:t>，见图3-4，场地南部形成一处切坡，切坡平均高约3m，坡角约70°，坡长约60m</w:t>
      </w:r>
      <w:r>
        <w:rPr>
          <w:color w:val="auto"/>
          <w:sz w:val="28"/>
          <w:szCs w:val="28"/>
        </w:rPr>
        <w:t>。场地的建设破坏了原有地形地貌，对原生的地形地貌景观影响和破坏程度严重，见照片</w:t>
      </w:r>
      <w:r>
        <w:rPr>
          <w:rFonts w:hint="eastAsia"/>
          <w:color w:val="auto"/>
          <w:sz w:val="28"/>
          <w:szCs w:val="28"/>
          <w:lang w:val="en-US" w:eastAsia="zh-CN"/>
        </w:rPr>
        <w:t>3-7、3-8</w:t>
      </w:r>
      <w:r>
        <w:rPr>
          <w:color w:val="auto"/>
          <w:sz w:val="28"/>
          <w:szCs w:val="28"/>
        </w:rPr>
        <w:t>。</w:t>
      </w:r>
    </w:p>
    <w:p w14:paraId="242E1237">
      <w:pPr>
        <w:spacing w:line="360" w:lineRule="auto"/>
        <w:ind w:firstLine="480" w:firstLineChars="200"/>
        <w:jc w:val="center"/>
        <w:rPr>
          <w:rFonts w:eastAsia="黑体"/>
          <w:color w:val="auto"/>
          <w:kern w:val="0"/>
          <w:sz w:val="24"/>
          <w:szCs w:val="24"/>
        </w:rPr>
      </w:pPr>
      <w:r>
        <w:rPr>
          <w:rFonts w:eastAsia="黑体"/>
          <w:color w:val="auto"/>
          <w:kern w:val="0"/>
          <w:sz w:val="24"/>
          <w:szCs w:val="24"/>
        </w:rPr>
        <w:t>表3</w:t>
      </w:r>
      <w:r>
        <w:rPr>
          <w:rFonts w:hint="eastAsia" w:eastAsia="黑体"/>
          <w:color w:val="auto"/>
          <w:kern w:val="0"/>
          <w:sz w:val="24"/>
          <w:szCs w:val="24"/>
          <w:lang w:val="en-US" w:eastAsia="zh-CN"/>
        </w:rPr>
        <w:t>-5</w:t>
      </w:r>
      <w:r>
        <w:rPr>
          <w:rFonts w:hint="eastAsia" w:eastAsia="黑体"/>
          <w:color w:val="auto"/>
          <w:kern w:val="0"/>
          <w:sz w:val="24"/>
          <w:szCs w:val="24"/>
        </w:rPr>
        <w:t xml:space="preserve"> </w:t>
      </w:r>
      <w:r>
        <w:rPr>
          <w:rFonts w:eastAsia="黑体"/>
          <w:color w:val="auto"/>
          <w:kern w:val="0"/>
          <w:sz w:val="24"/>
          <w:szCs w:val="24"/>
        </w:rPr>
        <w:t xml:space="preserve"> 地形地貌景观破坏程度评价表</w:t>
      </w:r>
    </w:p>
    <w:tbl>
      <w:tblPr>
        <w:tblStyle w:val="34"/>
        <w:tblpPr w:leftFromText="180" w:rightFromText="180" w:vertAnchor="text" w:horzAnchor="page" w:tblpXSpec="center" w:tblpY="42"/>
        <w:tblOverlap w:val="never"/>
        <w:tblW w:w="8534"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111"/>
        <w:gridCol w:w="2385"/>
        <w:gridCol w:w="1935"/>
        <w:gridCol w:w="945"/>
        <w:gridCol w:w="1158"/>
      </w:tblGrid>
      <w:tr w14:paraId="25F1ED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blHeader/>
          <w:jc w:val="center"/>
        </w:trPr>
        <w:tc>
          <w:tcPr>
            <w:tcW w:w="2111" w:type="dxa"/>
            <w:vAlign w:val="center"/>
          </w:tcPr>
          <w:p w14:paraId="45645FAC">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评价单元</w:t>
            </w:r>
          </w:p>
        </w:tc>
        <w:tc>
          <w:tcPr>
            <w:tcW w:w="2385" w:type="dxa"/>
            <w:vAlign w:val="center"/>
          </w:tcPr>
          <w:p w14:paraId="525ADBF9">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评价因子</w:t>
            </w:r>
          </w:p>
        </w:tc>
        <w:tc>
          <w:tcPr>
            <w:tcW w:w="1935" w:type="dxa"/>
            <w:vAlign w:val="center"/>
          </w:tcPr>
          <w:p w14:paraId="13D89298">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损毁程度</w:t>
            </w:r>
          </w:p>
        </w:tc>
        <w:tc>
          <w:tcPr>
            <w:tcW w:w="945" w:type="dxa"/>
            <w:tcBorders>
              <w:right w:val="single" w:color="auto" w:sz="4" w:space="0"/>
            </w:tcBorders>
            <w:vAlign w:val="center"/>
          </w:tcPr>
          <w:p w14:paraId="01467708">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得分</w:t>
            </w:r>
          </w:p>
        </w:tc>
        <w:tc>
          <w:tcPr>
            <w:tcW w:w="1158" w:type="dxa"/>
            <w:tcBorders>
              <w:right w:val="single" w:color="auto" w:sz="4" w:space="0"/>
            </w:tcBorders>
            <w:vAlign w:val="center"/>
          </w:tcPr>
          <w:p w14:paraId="50303FA9">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评价结果</w:t>
            </w:r>
          </w:p>
        </w:tc>
      </w:tr>
      <w:tr w14:paraId="0DF6531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restart"/>
            <w:vAlign w:val="center"/>
          </w:tcPr>
          <w:p w14:paraId="7FC03895">
            <w:pPr>
              <w:widowControl/>
              <w:contextualSpacing/>
              <w:jc w:val="center"/>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lang w:val="en-US" w:eastAsia="zh-CN"/>
              </w:rPr>
              <w:t>2#废</w:t>
            </w:r>
            <w:r>
              <w:rPr>
                <w:rFonts w:hint="eastAsia" w:ascii="宋体" w:hAnsi="宋体" w:eastAsia="宋体" w:cs="宋体"/>
                <w:color w:val="auto"/>
                <w:kern w:val="0"/>
                <w:sz w:val="21"/>
                <w:szCs w:val="21"/>
                <w:lang w:val="en-US" w:eastAsia="zh-CN"/>
              </w:rPr>
              <w:t>石场</w:t>
            </w:r>
          </w:p>
        </w:tc>
        <w:tc>
          <w:tcPr>
            <w:tcW w:w="2385" w:type="dxa"/>
            <w:vAlign w:val="center"/>
          </w:tcPr>
          <w:p w14:paraId="42F4AE14">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区位条件</w:t>
            </w:r>
          </w:p>
        </w:tc>
        <w:tc>
          <w:tcPr>
            <w:tcW w:w="1935" w:type="dxa"/>
            <w:vAlign w:val="center"/>
          </w:tcPr>
          <w:p w14:paraId="27BBAF9B">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少有人类活动区</w:t>
            </w:r>
          </w:p>
        </w:tc>
        <w:tc>
          <w:tcPr>
            <w:tcW w:w="945" w:type="dxa"/>
            <w:vMerge w:val="restart"/>
            <w:tcBorders>
              <w:right w:val="single" w:color="auto" w:sz="4" w:space="0"/>
            </w:tcBorders>
            <w:vAlign w:val="center"/>
          </w:tcPr>
          <w:p w14:paraId="61329FD9">
            <w:pPr>
              <w:widowControl/>
              <w:contextualSpacing/>
              <w:jc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2.1</w:t>
            </w:r>
          </w:p>
        </w:tc>
        <w:tc>
          <w:tcPr>
            <w:tcW w:w="1158" w:type="dxa"/>
            <w:vMerge w:val="restart"/>
            <w:tcBorders>
              <w:left w:val="single" w:color="auto" w:sz="4" w:space="0"/>
            </w:tcBorders>
            <w:vAlign w:val="center"/>
          </w:tcPr>
          <w:p w14:paraId="6BC1FE06">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严重</w:t>
            </w:r>
          </w:p>
        </w:tc>
      </w:tr>
      <w:tr w14:paraId="71A1E3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continue"/>
            <w:vAlign w:val="center"/>
          </w:tcPr>
          <w:p w14:paraId="3B10F549">
            <w:pPr>
              <w:widowControl/>
              <w:contextualSpacing/>
              <w:jc w:val="center"/>
              <w:rPr>
                <w:rFonts w:hint="eastAsia" w:ascii="宋体" w:hAnsi="宋体" w:eastAsia="宋体" w:cs="宋体"/>
                <w:color w:val="auto"/>
                <w:kern w:val="0"/>
                <w:sz w:val="21"/>
                <w:szCs w:val="21"/>
              </w:rPr>
            </w:pPr>
          </w:p>
        </w:tc>
        <w:tc>
          <w:tcPr>
            <w:tcW w:w="2385" w:type="dxa"/>
            <w:vAlign w:val="center"/>
          </w:tcPr>
          <w:p w14:paraId="7214FB09">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可视程度</w:t>
            </w:r>
          </w:p>
        </w:tc>
        <w:tc>
          <w:tcPr>
            <w:tcW w:w="1935" w:type="dxa"/>
            <w:vAlign w:val="center"/>
          </w:tcPr>
          <w:p w14:paraId="6E21BC43">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不可视</w:t>
            </w:r>
          </w:p>
        </w:tc>
        <w:tc>
          <w:tcPr>
            <w:tcW w:w="945" w:type="dxa"/>
            <w:vMerge w:val="continue"/>
            <w:tcBorders>
              <w:right w:val="single" w:color="auto" w:sz="4" w:space="0"/>
            </w:tcBorders>
            <w:vAlign w:val="center"/>
          </w:tcPr>
          <w:p w14:paraId="4DA8A2FA">
            <w:pPr>
              <w:widowControl/>
              <w:contextualSpacing/>
              <w:jc w:val="center"/>
              <w:rPr>
                <w:rFonts w:hint="eastAsia" w:ascii="宋体" w:hAnsi="宋体" w:eastAsia="宋体" w:cs="宋体"/>
                <w:color w:val="auto"/>
                <w:kern w:val="0"/>
                <w:sz w:val="21"/>
                <w:szCs w:val="21"/>
              </w:rPr>
            </w:pPr>
          </w:p>
        </w:tc>
        <w:tc>
          <w:tcPr>
            <w:tcW w:w="1158" w:type="dxa"/>
            <w:vMerge w:val="continue"/>
            <w:tcBorders>
              <w:left w:val="single" w:color="auto" w:sz="4" w:space="0"/>
            </w:tcBorders>
            <w:vAlign w:val="center"/>
          </w:tcPr>
          <w:p w14:paraId="506729B8">
            <w:pPr>
              <w:widowControl/>
              <w:contextualSpacing/>
              <w:jc w:val="center"/>
              <w:rPr>
                <w:rFonts w:hint="eastAsia" w:ascii="宋体" w:hAnsi="宋体" w:eastAsia="宋体" w:cs="宋体"/>
                <w:color w:val="auto"/>
                <w:kern w:val="0"/>
                <w:sz w:val="21"/>
                <w:szCs w:val="21"/>
              </w:rPr>
            </w:pPr>
          </w:p>
        </w:tc>
      </w:tr>
      <w:tr w14:paraId="48A3DBD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continue"/>
            <w:vAlign w:val="center"/>
          </w:tcPr>
          <w:p w14:paraId="58CFAD61">
            <w:pPr>
              <w:widowControl/>
              <w:contextualSpacing/>
              <w:jc w:val="center"/>
              <w:rPr>
                <w:rFonts w:hint="eastAsia" w:ascii="宋体" w:hAnsi="宋体" w:eastAsia="宋体" w:cs="宋体"/>
                <w:color w:val="auto"/>
                <w:kern w:val="0"/>
                <w:sz w:val="21"/>
                <w:szCs w:val="21"/>
              </w:rPr>
            </w:pPr>
          </w:p>
        </w:tc>
        <w:tc>
          <w:tcPr>
            <w:tcW w:w="2385" w:type="dxa"/>
            <w:vAlign w:val="center"/>
          </w:tcPr>
          <w:p w14:paraId="30D863CC">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场地面积</w:t>
            </w:r>
          </w:p>
        </w:tc>
        <w:tc>
          <w:tcPr>
            <w:tcW w:w="1935" w:type="dxa"/>
            <w:vAlign w:val="center"/>
          </w:tcPr>
          <w:p w14:paraId="67AA6556">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1.0-5.0hm</w:t>
            </w:r>
            <w:r>
              <w:rPr>
                <w:rFonts w:hint="eastAsia" w:ascii="宋体" w:hAnsi="宋体" w:eastAsia="宋体" w:cs="宋体"/>
                <w:color w:val="auto"/>
                <w:kern w:val="0"/>
                <w:sz w:val="21"/>
                <w:szCs w:val="21"/>
                <w:vertAlign w:val="superscript"/>
              </w:rPr>
              <w:t>2</w:t>
            </w:r>
          </w:p>
        </w:tc>
        <w:tc>
          <w:tcPr>
            <w:tcW w:w="945" w:type="dxa"/>
            <w:vMerge w:val="continue"/>
            <w:tcBorders>
              <w:right w:val="single" w:color="auto" w:sz="4" w:space="0"/>
            </w:tcBorders>
            <w:vAlign w:val="center"/>
          </w:tcPr>
          <w:p w14:paraId="580B7371">
            <w:pPr>
              <w:widowControl/>
              <w:contextualSpacing/>
              <w:jc w:val="center"/>
              <w:rPr>
                <w:rFonts w:hint="eastAsia" w:ascii="宋体" w:hAnsi="宋体" w:eastAsia="宋体" w:cs="宋体"/>
                <w:color w:val="auto"/>
                <w:kern w:val="0"/>
                <w:sz w:val="21"/>
                <w:szCs w:val="21"/>
              </w:rPr>
            </w:pPr>
          </w:p>
        </w:tc>
        <w:tc>
          <w:tcPr>
            <w:tcW w:w="1158" w:type="dxa"/>
            <w:vMerge w:val="continue"/>
            <w:tcBorders>
              <w:left w:val="single" w:color="auto" w:sz="4" w:space="0"/>
            </w:tcBorders>
            <w:vAlign w:val="center"/>
          </w:tcPr>
          <w:p w14:paraId="712B4C17">
            <w:pPr>
              <w:widowControl/>
              <w:contextualSpacing/>
              <w:jc w:val="center"/>
              <w:rPr>
                <w:rFonts w:hint="eastAsia" w:ascii="宋体" w:hAnsi="宋体" w:eastAsia="宋体" w:cs="宋体"/>
                <w:color w:val="auto"/>
                <w:kern w:val="0"/>
                <w:sz w:val="21"/>
                <w:szCs w:val="21"/>
              </w:rPr>
            </w:pPr>
          </w:p>
        </w:tc>
      </w:tr>
      <w:tr w14:paraId="54DAEC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continue"/>
            <w:vAlign w:val="center"/>
          </w:tcPr>
          <w:p w14:paraId="21217664">
            <w:pPr>
              <w:widowControl/>
              <w:contextualSpacing/>
              <w:jc w:val="center"/>
              <w:rPr>
                <w:rFonts w:hint="eastAsia" w:ascii="宋体" w:hAnsi="宋体" w:eastAsia="宋体" w:cs="宋体"/>
                <w:color w:val="auto"/>
                <w:kern w:val="0"/>
                <w:sz w:val="21"/>
                <w:szCs w:val="21"/>
              </w:rPr>
            </w:pPr>
          </w:p>
        </w:tc>
        <w:tc>
          <w:tcPr>
            <w:tcW w:w="2385" w:type="dxa"/>
            <w:vAlign w:val="center"/>
          </w:tcPr>
          <w:p w14:paraId="32D10943">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排土（渣）高度</w:t>
            </w:r>
          </w:p>
        </w:tc>
        <w:tc>
          <w:tcPr>
            <w:tcW w:w="1935" w:type="dxa"/>
            <w:vAlign w:val="center"/>
          </w:tcPr>
          <w:p w14:paraId="02E1CBCA">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＞20</w:t>
            </w:r>
            <w:r>
              <w:rPr>
                <w:rFonts w:hint="eastAsia" w:ascii="宋体" w:hAnsi="宋体" w:eastAsia="宋体" w:cs="宋体"/>
                <w:color w:val="auto"/>
                <w:kern w:val="0"/>
                <w:sz w:val="21"/>
                <w:szCs w:val="21"/>
              </w:rPr>
              <w:t>m</w:t>
            </w:r>
          </w:p>
        </w:tc>
        <w:tc>
          <w:tcPr>
            <w:tcW w:w="945" w:type="dxa"/>
            <w:vMerge w:val="continue"/>
            <w:tcBorders>
              <w:right w:val="single" w:color="auto" w:sz="4" w:space="0"/>
            </w:tcBorders>
            <w:vAlign w:val="center"/>
          </w:tcPr>
          <w:p w14:paraId="199B305A">
            <w:pPr>
              <w:widowControl/>
              <w:contextualSpacing/>
              <w:jc w:val="center"/>
              <w:rPr>
                <w:rFonts w:hint="eastAsia" w:ascii="宋体" w:hAnsi="宋体" w:eastAsia="宋体" w:cs="宋体"/>
                <w:color w:val="auto"/>
                <w:kern w:val="0"/>
                <w:sz w:val="21"/>
                <w:szCs w:val="21"/>
              </w:rPr>
            </w:pPr>
          </w:p>
        </w:tc>
        <w:tc>
          <w:tcPr>
            <w:tcW w:w="1158" w:type="dxa"/>
            <w:vMerge w:val="continue"/>
            <w:tcBorders>
              <w:left w:val="single" w:color="auto" w:sz="4" w:space="0"/>
            </w:tcBorders>
            <w:vAlign w:val="center"/>
          </w:tcPr>
          <w:p w14:paraId="47333473">
            <w:pPr>
              <w:widowControl/>
              <w:contextualSpacing/>
              <w:jc w:val="center"/>
              <w:rPr>
                <w:rFonts w:hint="eastAsia" w:ascii="宋体" w:hAnsi="宋体" w:eastAsia="宋体" w:cs="宋体"/>
                <w:color w:val="auto"/>
                <w:kern w:val="0"/>
                <w:sz w:val="21"/>
                <w:szCs w:val="21"/>
              </w:rPr>
            </w:pPr>
          </w:p>
        </w:tc>
      </w:tr>
      <w:tr w14:paraId="0A945C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continue"/>
            <w:vAlign w:val="center"/>
          </w:tcPr>
          <w:p w14:paraId="5FD0B3FB">
            <w:pPr>
              <w:widowControl/>
              <w:contextualSpacing/>
              <w:jc w:val="center"/>
              <w:rPr>
                <w:rFonts w:hint="eastAsia" w:ascii="宋体" w:hAnsi="宋体" w:eastAsia="宋体" w:cs="宋体"/>
                <w:color w:val="auto"/>
                <w:kern w:val="0"/>
                <w:sz w:val="21"/>
                <w:szCs w:val="21"/>
              </w:rPr>
            </w:pPr>
          </w:p>
        </w:tc>
        <w:tc>
          <w:tcPr>
            <w:tcW w:w="2385" w:type="dxa"/>
            <w:vAlign w:val="center"/>
          </w:tcPr>
          <w:p w14:paraId="29DECDD6">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边坡规整情况</w:t>
            </w:r>
          </w:p>
        </w:tc>
        <w:tc>
          <w:tcPr>
            <w:tcW w:w="1935" w:type="dxa"/>
            <w:vAlign w:val="center"/>
          </w:tcPr>
          <w:p w14:paraId="571CB429">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不规整</w:t>
            </w:r>
          </w:p>
        </w:tc>
        <w:tc>
          <w:tcPr>
            <w:tcW w:w="945" w:type="dxa"/>
            <w:vMerge w:val="continue"/>
            <w:tcBorders>
              <w:right w:val="single" w:color="auto" w:sz="4" w:space="0"/>
            </w:tcBorders>
            <w:vAlign w:val="center"/>
          </w:tcPr>
          <w:p w14:paraId="57ACF812">
            <w:pPr>
              <w:widowControl/>
              <w:contextualSpacing/>
              <w:jc w:val="center"/>
              <w:rPr>
                <w:rFonts w:hint="eastAsia" w:ascii="宋体" w:hAnsi="宋体" w:eastAsia="宋体" w:cs="宋体"/>
                <w:color w:val="auto"/>
                <w:kern w:val="0"/>
                <w:sz w:val="21"/>
                <w:szCs w:val="21"/>
              </w:rPr>
            </w:pPr>
          </w:p>
        </w:tc>
        <w:tc>
          <w:tcPr>
            <w:tcW w:w="1158" w:type="dxa"/>
            <w:vMerge w:val="continue"/>
            <w:tcBorders>
              <w:left w:val="single" w:color="auto" w:sz="4" w:space="0"/>
            </w:tcBorders>
            <w:vAlign w:val="center"/>
          </w:tcPr>
          <w:p w14:paraId="489CD258">
            <w:pPr>
              <w:widowControl/>
              <w:contextualSpacing/>
              <w:jc w:val="center"/>
              <w:rPr>
                <w:rFonts w:hint="eastAsia" w:ascii="宋体" w:hAnsi="宋体" w:eastAsia="宋体" w:cs="宋体"/>
                <w:color w:val="auto"/>
                <w:kern w:val="0"/>
                <w:sz w:val="21"/>
                <w:szCs w:val="21"/>
              </w:rPr>
            </w:pPr>
          </w:p>
        </w:tc>
      </w:tr>
    </w:tbl>
    <w:p w14:paraId="1BAD4F8B">
      <w:pPr>
        <w:spacing w:line="360" w:lineRule="auto"/>
        <w:jc w:val="center"/>
        <w:rPr>
          <w:rFonts w:hint="eastAsia" w:eastAsia="宋体"/>
          <w:color w:val="auto"/>
          <w:sz w:val="28"/>
          <w:szCs w:val="28"/>
          <w:lang w:eastAsia="zh-CN"/>
        </w:rPr>
      </w:pPr>
      <w:r>
        <w:rPr>
          <w:rFonts w:hint="eastAsia"/>
          <w:color w:val="auto"/>
          <w:lang w:eastAsia="zh-CN"/>
        </w:rPr>
        <w:t xml:space="preserve">    </w:t>
      </w:r>
    </w:p>
    <w:p w14:paraId="7E6CFC60">
      <w:pPr>
        <w:spacing w:line="360" w:lineRule="auto"/>
        <w:jc w:val="center"/>
        <w:rPr>
          <w:rFonts w:hint="eastAsia" w:eastAsia="黑体" w:cs="Times New Roman"/>
          <w:color w:val="auto"/>
          <w:sz w:val="24"/>
          <w:szCs w:val="24"/>
          <w:lang w:val="en-US" w:eastAsia="zh-CN"/>
        </w:rPr>
      </w:pPr>
      <w:r>
        <w:rPr>
          <w:rFonts w:ascii="Times New Roman" w:hAnsi="Times New Roman" w:eastAsia="黑体" w:cs="Times New Roman"/>
          <w:color w:val="auto"/>
          <w:sz w:val="24"/>
          <w:szCs w:val="24"/>
        </w:rPr>
        <w:t>照片</w:t>
      </w:r>
      <w:r>
        <w:rPr>
          <w:rFonts w:hint="eastAsia" w:ascii="Times New Roman" w:hAnsi="Times New Roman" w:eastAsia="黑体" w:cs="Times New Roman"/>
          <w:color w:val="auto"/>
          <w:sz w:val="24"/>
          <w:szCs w:val="24"/>
          <w:lang w:val="en-US" w:eastAsia="zh-CN"/>
        </w:rPr>
        <w:t>3-</w:t>
      </w:r>
      <w:r>
        <w:rPr>
          <w:rFonts w:hint="eastAsia" w:eastAsia="黑体" w:cs="Times New Roman"/>
          <w:color w:val="auto"/>
          <w:sz w:val="24"/>
          <w:szCs w:val="24"/>
          <w:lang w:val="en-US" w:eastAsia="zh-CN"/>
        </w:rPr>
        <w:t>7</w:t>
      </w:r>
      <w:r>
        <w:rPr>
          <w:rFonts w:ascii="Times New Roman" w:hAnsi="Times New Roman" w:eastAsia="黑体" w:cs="Times New Roman"/>
          <w:color w:val="auto"/>
          <w:sz w:val="24"/>
          <w:szCs w:val="24"/>
        </w:rPr>
        <w:t xml:space="preserve">  </w:t>
      </w:r>
      <w:r>
        <w:rPr>
          <w:rFonts w:hint="eastAsia" w:eastAsia="黑体" w:cs="Times New Roman"/>
          <w:color w:val="auto"/>
          <w:sz w:val="24"/>
          <w:szCs w:val="24"/>
          <w:lang w:val="en-US" w:eastAsia="zh-CN"/>
        </w:rPr>
        <w:t>2#废石场</w:t>
      </w:r>
    </w:p>
    <w:p w14:paraId="3BD42D3A">
      <w:pPr>
        <w:spacing w:line="360" w:lineRule="auto"/>
        <w:jc w:val="center"/>
        <w:rPr>
          <w:rFonts w:hint="eastAsia" w:ascii="Times New Roman" w:hAnsi="Times New Roman" w:eastAsia="黑体" w:cs="Times New Roman"/>
          <w:color w:val="auto"/>
          <w:sz w:val="24"/>
          <w:szCs w:val="24"/>
          <w:lang w:eastAsia="zh-CN"/>
        </w:rPr>
      </w:pPr>
      <w:r>
        <w:rPr>
          <w:rFonts w:hint="eastAsia" w:eastAsia="黑体" w:cs="Times New Roman"/>
          <w:color w:val="auto"/>
          <w:sz w:val="24"/>
          <w:szCs w:val="24"/>
          <w:lang w:eastAsia="zh-CN"/>
        </w:rPr>
        <w:t xml:space="preserve">    </w:t>
      </w:r>
    </w:p>
    <w:p w14:paraId="505C74C0">
      <w:pPr>
        <w:spacing w:line="360" w:lineRule="auto"/>
        <w:jc w:val="center"/>
        <w:rPr>
          <w:rFonts w:hint="default" w:eastAsia="黑体" w:cs="Times New Roman"/>
          <w:color w:val="auto"/>
          <w:sz w:val="24"/>
          <w:szCs w:val="24"/>
          <w:lang w:val="en-US" w:eastAsia="zh-CN"/>
        </w:rPr>
      </w:pPr>
      <w:r>
        <w:rPr>
          <w:rFonts w:ascii="Times New Roman" w:hAnsi="Times New Roman" w:eastAsia="黑体" w:cs="Times New Roman"/>
          <w:color w:val="auto"/>
          <w:sz w:val="24"/>
          <w:szCs w:val="24"/>
        </w:rPr>
        <w:t>照片</w:t>
      </w:r>
      <w:r>
        <w:rPr>
          <w:rFonts w:hint="eastAsia" w:ascii="Times New Roman" w:hAnsi="Times New Roman" w:eastAsia="黑体" w:cs="Times New Roman"/>
          <w:color w:val="auto"/>
          <w:sz w:val="24"/>
          <w:szCs w:val="24"/>
          <w:lang w:val="en-US" w:eastAsia="zh-CN"/>
        </w:rPr>
        <w:t>3-</w:t>
      </w:r>
      <w:r>
        <w:rPr>
          <w:rFonts w:hint="eastAsia" w:eastAsia="黑体" w:cs="Times New Roman"/>
          <w:color w:val="auto"/>
          <w:sz w:val="24"/>
          <w:szCs w:val="24"/>
          <w:lang w:val="en-US" w:eastAsia="zh-CN"/>
        </w:rPr>
        <w:t>8</w:t>
      </w:r>
      <w:r>
        <w:rPr>
          <w:rFonts w:ascii="Times New Roman" w:hAnsi="Times New Roman" w:eastAsia="黑体" w:cs="Times New Roman"/>
          <w:color w:val="auto"/>
          <w:sz w:val="24"/>
          <w:szCs w:val="24"/>
        </w:rPr>
        <w:t xml:space="preserve">  </w:t>
      </w:r>
      <w:r>
        <w:rPr>
          <w:rFonts w:hint="eastAsia" w:eastAsia="黑体" w:cs="Times New Roman"/>
          <w:color w:val="auto"/>
          <w:sz w:val="24"/>
          <w:szCs w:val="24"/>
          <w:lang w:val="en-US" w:eastAsia="zh-CN"/>
        </w:rPr>
        <w:t>2#废石场切坡</w:t>
      </w:r>
    </w:p>
    <w:p w14:paraId="618D1854">
      <w:pPr>
        <w:spacing w:line="360" w:lineRule="auto"/>
        <w:jc w:val="center"/>
        <w:rPr>
          <w:rFonts w:hint="eastAsia" w:eastAsia="黑体"/>
          <w:color w:val="auto"/>
          <w:sz w:val="24"/>
          <w:szCs w:val="24"/>
          <w:lang w:val="en-US" w:eastAsia="zh-CN"/>
        </w:rPr>
      </w:pPr>
      <w:r>
        <w:rPr>
          <w:rFonts w:hint="eastAsia" w:eastAsia="黑体"/>
          <w:color w:val="auto"/>
          <w:sz w:val="24"/>
          <w:szCs w:val="24"/>
          <w:lang w:val="en-US" w:eastAsia="zh-CN"/>
        </w:rPr>
        <w:t xml:space="preserve">    </w:t>
      </w:r>
    </w:p>
    <w:p w14:paraId="255A8DF4">
      <w:pPr>
        <w:spacing w:line="360" w:lineRule="auto"/>
        <w:jc w:val="center"/>
        <w:rPr>
          <w:rFonts w:hint="default" w:eastAsia="黑体"/>
          <w:color w:val="auto"/>
          <w:sz w:val="24"/>
          <w:szCs w:val="24"/>
          <w:lang w:val="en-US" w:eastAsia="zh-CN"/>
        </w:rPr>
      </w:pPr>
      <w:r>
        <w:rPr>
          <w:rFonts w:hint="eastAsia" w:eastAsia="黑体"/>
          <w:color w:val="auto"/>
          <w:sz w:val="24"/>
          <w:szCs w:val="24"/>
          <w:lang w:val="en-US" w:eastAsia="zh-CN"/>
        </w:rPr>
        <w:t>图3-4</w:t>
      </w:r>
      <w:r>
        <w:rPr>
          <w:rFonts w:eastAsia="黑体"/>
          <w:color w:val="auto"/>
          <w:sz w:val="24"/>
          <w:szCs w:val="24"/>
        </w:rPr>
        <w:t xml:space="preserve">  </w:t>
      </w:r>
      <w:r>
        <w:rPr>
          <w:rFonts w:hint="eastAsia" w:eastAsia="黑体"/>
          <w:color w:val="auto"/>
          <w:sz w:val="24"/>
          <w:szCs w:val="24"/>
          <w:lang w:val="en-US" w:eastAsia="zh-CN"/>
        </w:rPr>
        <w:t>三角网法堆方量计算图</w:t>
      </w:r>
    </w:p>
    <w:p w14:paraId="3832DC8C">
      <w:pPr>
        <w:spacing w:line="360" w:lineRule="auto"/>
        <w:ind w:firstLine="562" w:firstLineChars="200"/>
        <w:jc w:val="left"/>
        <w:rPr>
          <w:color w:val="auto"/>
          <w:sz w:val="28"/>
          <w:szCs w:val="28"/>
        </w:rPr>
      </w:pPr>
      <w:r>
        <w:rPr>
          <w:rFonts w:hint="eastAsia"/>
          <w:b/>
          <w:bCs/>
          <w:color w:val="auto"/>
          <w:sz w:val="28"/>
          <w:szCs w:val="28"/>
          <w:lang w:eastAsia="zh-CN"/>
        </w:rPr>
        <w:t>（</w:t>
      </w:r>
      <w:r>
        <w:rPr>
          <w:rFonts w:hint="eastAsia"/>
          <w:b/>
          <w:bCs/>
          <w:color w:val="auto"/>
          <w:sz w:val="28"/>
          <w:szCs w:val="28"/>
          <w:lang w:val="en-US" w:eastAsia="zh-CN"/>
        </w:rPr>
        <w:t>4</w:t>
      </w:r>
      <w:r>
        <w:rPr>
          <w:rFonts w:hint="eastAsia"/>
          <w:b/>
          <w:bCs/>
          <w:color w:val="auto"/>
          <w:sz w:val="28"/>
          <w:szCs w:val="28"/>
          <w:lang w:eastAsia="zh-CN"/>
        </w:rPr>
        <w:t>）</w:t>
      </w:r>
      <w:r>
        <w:rPr>
          <w:rFonts w:hint="eastAsia"/>
          <w:b/>
          <w:bCs/>
          <w:color w:val="auto"/>
          <w:sz w:val="28"/>
          <w:szCs w:val="28"/>
        </w:rPr>
        <w:t>1#废渣堆</w:t>
      </w:r>
    </w:p>
    <w:p w14:paraId="3B53A8C2">
      <w:pPr>
        <w:spacing w:line="360" w:lineRule="auto"/>
        <w:ind w:firstLine="560" w:firstLineChars="200"/>
        <w:jc w:val="left"/>
        <w:rPr>
          <w:color w:val="auto"/>
          <w:sz w:val="28"/>
          <w:szCs w:val="28"/>
        </w:rPr>
      </w:pPr>
      <w:r>
        <w:rPr>
          <w:color w:val="auto"/>
          <w:sz w:val="28"/>
          <w:szCs w:val="28"/>
        </w:rPr>
        <w:t>场地位于矿区范围</w:t>
      </w:r>
      <w:r>
        <w:rPr>
          <w:rFonts w:hint="eastAsia"/>
          <w:color w:val="auto"/>
          <w:sz w:val="28"/>
          <w:szCs w:val="28"/>
          <w:lang w:val="en-US" w:eastAsia="zh-CN"/>
        </w:rPr>
        <w:t>外西南</w:t>
      </w:r>
      <w:r>
        <w:rPr>
          <w:color w:val="auto"/>
          <w:sz w:val="28"/>
          <w:szCs w:val="28"/>
        </w:rPr>
        <w:t>部，</w:t>
      </w:r>
      <w:r>
        <w:rPr>
          <w:rFonts w:hint="eastAsia"/>
          <w:color w:val="auto"/>
          <w:sz w:val="28"/>
          <w:szCs w:val="28"/>
          <w:lang w:val="en-US" w:eastAsia="zh-CN"/>
        </w:rPr>
        <w:t>位于自然沟谷内</w:t>
      </w:r>
      <w:r>
        <w:rPr>
          <w:color w:val="auto"/>
          <w:sz w:val="28"/>
          <w:szCs w:val="28"/>
        </w:rPr>
        <w:t>，场地面积为</w:t>
      </w:r>
      <w:r>
        <w:rPr>
          <w:rFonts w:hint="eastAsia"/>
          <w:color w:val="auto"/>
          <w:sz w:val="28"/>
          <w:szCs w:val="28"/>
          <w:lang w:val="en-US" w:eastAsia="zh-CN"/>
        </w:rPr>
        <w:t>3993</w:t>
      </w:r>
      <w:r>
        <w:rPr>
          <w:color w:val="auto"/>
          <w:sz w:val="28"/>
          <w:szCs w:val="28"/>
        </w:rPr>
        <w:t>m</w:t>
      </w:r>
      <w:r>
        <w:rPr>
          <w:color w:val="auto"/>
          <w:sz w:val="28"/>
          <w:szCs w:val="28"/>
          <w:vertAlign w:val="superscript"/>
        </w:rPr>
        <w:t>2</w:t>
      </w:r>
      <w:r>
        <w:rPr>
          <w:color w:val="auto"/>
          <w:sz w:val="28"/>
          <w:szCs w:val="28"/>
        </w:rPr>
        <w:t>，</w:t>
      </w:r>
      <w:r>
        <w:rPr>
          <w:rFonts w:hint="eastAsia"/>
          <w:color w:val="auto"/>
          <w:sz w:val="28"/>
          <w:szCs w:val="28"/>
          <w:lang w:val="en-US" w:eastAsia="zh-CN"/>
        </w:rPr>
        <w:t>顶部平整，坡角约40度，边坡高约5m</w:t>
      </w:r>
      <w:r>
        <w:rPr>
          <w:rFonts w:hint="eastAsia" w:cs="Times New Roman"/>
          <w:color w:val="auto"/>
          <w:sz w:val="28"/>
          <w:szCs w:val="28"/>
          <w:lang w:val="en-US" w:eastAsia="zh-CN"/>
        </w:rPr>
        <w:t>，根据三角网法堆方量计算，1#</w:t>
      </w:r>
      <w:r>
        <w:rPr>
          <w:rFonts w:ascii="Times New Roman" w:hAnsi="Times New Roman" w:cs="Times New Roman"/>
          <w:color w:val="auto"/>
          <w:sz w:val="28"/>
          <w:szCs w:val="28"/>
        </w:rPr>
        <w:t>废</w:t>
      </w:r>
      <w:r>
        <w:rPr>
          <w:rFonts w:hint="eastAsia" w:cs="Times New Roman"/>
          <w:color w:val="auto"/>
          <w:sz w:val="28"/>
          <w:szCs w:val="28"/>
          <w:lang w:val="en-US" w:eastAsia="zh-CN"/>
        </w:rPr>
        <w:t>渣</w:t>
      </w:r>
      <w:r>
        <w:rPr>
          <w:rFonts w:ascii="Times New Roman" w:hAnsi="Times New Roman" w:cs="Times New Roman"/>
          <w:color w:val="auto"/>
          <w:sz w:val="28"/>
          <w:szCs w:val="28"/>
        </w:rPr>
        <w:t>场</w:t>
      </w:r>
      <w:r>
        <w:rPr>
          <w:rFonts w:hint="eastAsia" w:cs="Times New Roman"/>
          <w:color w:val="auto"/>
          <w:sz w:val="28"/>
          <w:szCs w:val="28"/>
          <w:lang w:val="en-US" w:eastAsia="zh-CN"/>
        </w:rPr>
        <w:t>堆积废石量261m</w:t>
      </w:r>
      <w:r>
        <w:rPr>
          <w:rFonts w:hint="eastAsia" w:cs="Times New Roman"/>
          <w:color w:val="auto"/>
          <w:sz w:val="28"/>
          <w:szCs w:val="28"/>
          <w:vertAlign w:val="superscript"/>
          <w:lang w:val="en-US" w:eastAsia="zh-CN"/>
        </w:rPr>
        <w:t>3</w:t>
      </w:r>
      <w:r>
        <w:rPr>
          <w:rFonts w:hint="eastAsia" w:cs="Times New Roman"/>
          <w:color w:val="auto"/>
          <w:sz w:val="28"/>
          <w:szCs w:val="28"/>
          <w:vertAlign w:val="baseline"/>
          <w:lang w:val="en-US" w:eastAsia="zh-CN"/>
        </w:rPr>
        <w:t>，见图3-5</w:t>
      </w:r>
      <w:r>
        <w:rPr>
          <w:rFonts w:hint="eastAsia" w:ascii="Times New Roman" w:hAnsi="Times New Roman" w:cs="Times New Roman"/>
          <w:color w:val="auto"/>
          <w:sz w:val="28"/>
          <w:szCs w:val="28"/>
          <w:lang w:val="en-US" w:eastAsia="zh-CN"/>
        </w:rPr>
        <w:t>。</w:t>
      </w:r>
      <w:r>
        <w:rPr>
          <w:color w:val="auto"/>
          <w:sz w:val="28"/>
          <w:szCs w:val="28"/>
        </w:rPr>
        <w:t>场地的建设形成的人工堆积地貌破坏了地形地貌景观整体的和谐度，对原生的地形地貌景观影响和破坏程度</w:t>
      </w:r>
      <w:r>
        <w:rPr>
          <w:rFonts w:hint="eastAsia"/>
          <w:color w:val="auto"/>
          <w:sz w:val="28"/>
          <w:szCs w:val="28"/>
          <w:lang w:val="en-US" w:eastAsia="zh-CN"/>
        </w:rPr>
        <w:t>较</w:t>
      </w:r>
      <w:r>
        <w:rPr>
          <w:color w:val="auto"/>
          <w:sz w:val="28"/>
          <w:szCs w:val="28"/>
        </w:rPr>
        <w:t>严重，见照片</w:t>
      </w:r>
      <w:r>
        <w:rPr>
          <w:rFonts w:hint="eastAsia"/>
          <w:color w:val="auto"/>
          <w:sz w:val="28"/>
          <w:szCs w:val="28"/>
          <w:lang w:val="en-US" w:eastAsia="zh-CN"/>
        </w:rPr>
        <w:t>3-9</w:t>
      </w:r>
      <w:r>
        <w:rPr>
          <w:color w:val="auto"/>
          <w:sz w:val="28"/>
          <w:szCs w:val="28"/>
        </w:rPr>
        <w:t>。</w:t>
      </w:r>
    </w:p>
    <w:p w14:paraId="511C5772">
      <w:pPr>
        <w:widowControl/>
        <w:contextualSpacing/>
        <w:jc w:val="center"/>
        <w:rPr>
          <w:rFonts w:eastAsia="黑体"/>
          <w:color w:val="auto"/>
          <w:kern w:val="0"/>
          <w:sz w:val="24"/>
          <w:szCs w:val="24"/>
        </w:rPr>
      </w:pPr>
      <w:r>
        <w:rPr>
          <w:rFonts w:eastAsia="黑体"/>
          <w:color w:val="auto"/>
          <w:kern w:val="0"/>
          <w:sz w:val="24"/>
          <w:szCs w:val="24"/>
        </w:rPr>
        <w:t>表3</w:t>
      </w:r>
      <w:r>
        <w:rPr>
          <w:rFonts w:hint="eastAsia" w:eastAsia="黑体"/>
          <w:color w:val="auto"/>
          <w:kern w:val="0"/>
          <w:sz w:val="24"/>
          <w:szCs w:val="24"/>
          <w:lang w:val="en-US" w:eastAsia="zh-CN"/>
        </w:rPr>
        <w:t>-6</w:t>
      </w:r>
      <w:r>
        <w:rPr>
          <w:rFonts w:hint="eastAsia" w:eastAsia="黑体"/>
          <w:color w:val="auto"/>
          <w:kern w:val="0"/>
          <w:sz w:val="24"/>
          <w:szCs w:val="24"/>
        </w:rPr>
        <w:t xml:space="preserve"> </w:t>
      </w:r>
      <w:r>
        <w:rPr>
          <w:rFonts w:eastAsia="黑体"/>
          <w:color w:val="auto"/>
          <w:kern w:val="0"/>
          <w:sz w:val="24"/>
          <w:szCs w:val="24"/>
        </w:rPr>
        <w:t xml:space="preserve"> 地形地貌景观破坏程度评价表</w:t>
      </w:r>
    </w:p>
    <w:tbl>
      <w:tblPr>
        <w:tblStyle w:val="34"/>
        <w:tblpPr w:leftFromText="180" w:rightFromText="180" w:vertAnchor="text" w:horzAnchor="page" w:tblpX="2134" w:tblpY="42"/>
        <w:tblOverlap w:val="never"/>
        <w:tblW w:w="8534"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111"/>
        <w:gridCol w:w="2385"/>
        <w:gridCol w:w="1935"/>
        <w:gridCol w:w="945"/>
        <w:gridCol w:w="1158"/>
      </w:tblGrid>
      <w:tr w14:paraId="0D0B955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blHeader/>
        </w:trPr>
        <w:tc>
          <w:tcPr>
            <w:tcW w:w="2111" w:type="dxa"/>
            <w:vAlign w:val="center"/>
          </w:tcPr>
          <w:p w14:paraId="4E106837">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评价单元</w:t>
            </w:r>
          </w:p>
        </w:tc>
        <w:tc>
          <w:tcPr>
            <w:tcW w:w="2385" w:type="dxa"/>
            <w:vAlign w:val="center"/>
          </w:tcPr>
          <w:p w14:paraId="77BCE5F0">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评价因子</w:t>
            </w:r>
          </w:p>
        </w:tc>
        <w:tc>
          <w:tcPr>
            <w:tcW w:w="1935" w:type="dxa"/>
            <w:vAlign w:val="center"/>
          </w:tcPr>
          <w:p w14:paraId="7D8C076D">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损毁程度</w:t>
            </w:r>
          </w:p>
        </w:tc>
        <w:tc>
          <w:tcPr>
            <w:tcW w:w="945" w:type="dxa"/>
            <w:tcBorders>
              <w:right w:val="single" w:color="auto" w:sz="4" w:space="0"/>
            </w:tcBorders>
            <w:vAlign w:val="center"/>
          </w:tcPr>
          <w:p w14:paraId="0CC0CD04">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得分</w:t>
            </w:r>
          </w:p>
        </w:tc>
        <w:tc>
          <w:tcPr>
            <w:tcW w:w="1158" w:type="dxa"/>
            <w:tcBorders>
              <w:right w:val="single" w:color="auto" w:sz="4" w:space="0"/>
            </w:tcBorders>
            <w:vAlign w:val="center"/>
          </w:tcPr>
          <w:p w14:paraId="29231691">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评价结果</w:t>
            </w:r>
          </w:p>
        </w:tc>
      </w:tr>
      <w:tr w14:paraId="66BCA3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2111" w:type="dxa"/>
            <w:vMerge w:val="restart"/>
            <w:vAlign w:val="center"/>
          </w:tcPr>
          <w:p w14:paraId="761823F0">
            <w:pPr>
              <w:widowControl/>
              <w:contextualSpacing/>
              <w:jc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1#废渣堆</w:t>
            </w:r>
          </w:p>
        </w:tc>
        <w:tc>
          <w:tcPr>
            <w:tcW w:w="2385" w:type="dxa"/>
            <w:vAlign w:val="center"/>
          </w:tcPr>
          <w:p w14:paraId="1A37B391">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区位条件</w:t>
            </w:r>
          </w:p>
        </w:tc>
        <w:tc>
          <w:tcPr>
            <w:tcW w:w="1935" w:type="dxa"/>
            <w:vAlign w:val="center"/>
          </w:tcPr>
          <w:p w14:paraId="4D942BC1">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少有人类活动区</w:t>
            </w:r>
          </w:p>
        </w:tc>
        <w:tc>
          <w:tcPr>
            <w:tcW w:w="945" w:type="dxa"/>
            <w:vMerge w:val="restart"/>
            <w:tcBorders>
              <w:right w:val="single" w:color="auto" w:sz="4" w:space="0"/>
            </w:tcBorders>
            <w:vAlign w:val="center"/>
          </w:tcPr>
          <w:p w14:paraId="09A0B1AB">
            <w:pPr>
              <w:widowControl/>
              <w:contextualSpacing/>
              <w:jc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1.3</w:t>
            </w:r>
          </w:p>
        </w:tc>
        <w:tc>
          <w:tcPr>
            <w:tcW w:w="1158" w:type="dxa"/>
            <w:vMerge w:val="restart"/>
            <w:tcBorders>
              <w:left w:val="single" w:color="auto" w:sz="4" w:space="0"/>
            </w:tcBorders>
            <w:vAlign w:val="center"/>
          </w:tcPr>
          <w:p w14:paraId="7CBE3395">
            <w:pPr>
              <w:widowControl/>
              <w:contextualSpacing/>
              <w:jc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较</w:t>
            </w:r>
            <w:r>
              <w:rPr>
                <w:rFonts w:hint="eastAsia" w:ascii="宋体" w:hAnsi="宋体" w:eastAsia="宋体" w:cs="宋体"/>
                <w:color w:val="auto"/>
                <w:kern w:val="0"/>
                <w:sz w:val="21"/>
                <w:szCs w:val="21"/>
              </w:rPr>
              <w:t>严重</w:t>
            </w:r>
          </w:p>
        </w:tc>
      </w:tr>
      <w:tr w14:paraId="484D42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2111" w:type="dxa"/>
            <w:vMerge w:val="continue"/>
            <w:vAlign w:val="center"/>
          </w:tcPr>
          <w:p w14:paraId="36A38435">
            <w:pPr>
              <w:widowControl/>
              <w:contextualSpacing/>
              <w:jc w:val="center"/>
              <w:rPr>
                <w:rFonts w:hint="eastAsia" w:ascii="宋体" w:hAnsi="宋体" w:eastAsia="宋体" w:cs="宋体"/>
                <w:color w:val="auto"/>
                <w:kern w:val="0"/>
                <w:sz w:val="21"/>
                <w:szCs w:val="21"/>
              </w:rPr>
            </w:pPr>
          </w:p>
        </w:tc>
        <w:tc>
          <w:tcPr>
            <w:tcW w:w="2385" w:type="dxa"/>
            <w:vAlign w:val="center"/>
          </w:tcPr>
          <w:p w14:paraId="6B654529">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可视程度</w:t>
            </w:r>
          </w:p>
        </w:tc>
        <w:tc>
          <w:tcPr>
            <w:tcW w:w="1935" w:type="dxa"/>
            <w:vAlign w:val="center"/>
          </w:tcPr>
          <w:p w14:paraId="42F82014">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不可视</w:t>
            </w:r>
          </w:p>
        </w:tc>
        <w:tc>
          <w:tcPr>
            <w:tcW w:w="945" w:type="dxa"/>
            <w:vMerge w:val="continue"/>
            <w:tcBorders>
              <w:right w:val="single" w:color="auto" w:sz="4" w:space="0"/>
            </w:tcBorders>
            <w:vAlign w:val="center"/>
          </w:tcPr>
          <w:p w14:paraId="5FA0208C">
            <w:pPr>
              <w:widowControl/>
              <w:contextualSpacing/>
              <w:jc w:val="center"/>
              <w:rPr>
                <w:rFonts w:hint="eastAsia" w:ascii="宋体" w:hAnsi="宋体" w:eastAsia="宋体" w:cs="宋体"/>
                <w:color w:val="auto"/>
                <w:kern w:val="0"/>
                <w:sz w:val="21"/>
                <w:szCs w:val="21"/>
              </w:rPr>
            </w:pPr>
          </w:p>
        </w:tc>
        <w:tc>
          <w:tcPr>
            <w:tcW w:w="1158" w:type="dxa"/>
            <w:vMerge w:val="continue"/>
            <w:tcBorders>
              <w:left w:val="single" w:color="auto" w:sz="4" w:space="0"/>
            </w:tcBorders>
            <w:vAlign w:val="center"/>
          </w:tcPr>
          <w:p w14:paraId="1FF9FEA5">
            <w:pPr>
              <w:widowControl/>
              <w:contextualSpacing/>
              <w:jc w:val="center"/>
              <w:rPr>
                <w:rFonts w:hint="eastAsia" w:ascii="宋体" w:hAnsi="宋体" w:eastAsia="宋体" w:cs="宋体"/>
                <w:color w:val="auto"/>
                <w:kern w:val="0"/>
                <w:sz w:val="21"/>
                <w:szCs w:val="21"/>
              </w:rPr>
            </w:pPr>
          </w:p>
        </w:tc>
      </w:tr>
      <w:tr w14:paraId="5252CF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2111" w:type="dxa"/>
            <w:vMerge w:val="continue"/>
            <w:vAlign w:val="center"/>
          </w:tcPr>
          <w:p w14:paraId="1259E099">
            <w:pPr>
              <w:widowControl/>
              <w:contextualSpacing/>
              <w:jc w:val="center"/>
              <w:rPr>
                <w:rFonts w:hint="eastAsia" w:ascii="宋体" w:hAnsi="宋体" w:eastAsia="宋体" w:cs="宋体"/>
                <w:color w:val="auto"/>
                <w:kern w:val="0"/>
                <w:sz w:val="21"/>
                <w:szCs w:val="21"/>
              </w:rPr>
            </w:pPr>
          </w:p>
        </w:tc>
        <w:tc>
          <w:tcPr>
            <w:tcW w:w="2385" w:type="dxa"/>
            <w:vAlign w:val="center"/>
          </w:tcPr>
          <w:p w14:paraId="408DE9FC">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场地面积</w:t>
            </w:r>
          </w:p>
        </w:tc>
        <w:tc>
          <w:tcPr>
            <w:tcW w:w="1935" w:type="dxa"/>
            <w:vAlign w:val="center"/>
          </w:tcPr>
          <w:p w14:paraId="24528445">
            <w:pPr>
              <w:adjustRightInd w:val="0"/>
              <w:snapToGrid w:val="0"/>
              <w:jc w:val="center"/>
              <w:rPr>
                <w:rFonts w:hint="eastAsia" w:ascii="宋体" w:hAnsi="宋体" w:eastAsia="宋体" w:cs="宋体"/>
                <w:color w:val="auto"/>
                <w:kern w:val="0"/>
                <w:sz w:val="21"/>
                <w:szCs w:val="21"/>
              </w:rPr>
            </w:pPr>
            <w:r>
              <w:rPr>
                <w:color w:val="auto"/>
              </w:rPr>
              <w:t>&lt;1.0hm</w:t>
            </w:r>
            <w:r>
              <w:rPr>
                <w:color w:val="auto"/>
                <w:vertAlign w:val="superscript"/>
              </w:rPr>
              <w:t>2</w:t>
            </w:r>
          </w:p>
        </w:tc>
        <w:tc>
          <w:tcPr>
            <w:tcW w:w="945" w:type="dxa"/>
            <w:vMerge w:val="continue"/>
            <w:tcBorders>
              <w:right w:val="single" w:color="auto" w:sz="4" w:space="0"/>
            </w:tcBorders>
            <w:vAlign w:val="center"/>
          </w:tcPr>
          <w:p w14:paraId="3DB2EA55">
            <w:pPr>
              <w:widowControl/>
              <w:contextualSpacing/>
              <w:jc w:val="center"/>
              <w:rPr>
                <w:rFonts w:hint="eastAsia" w:ascii="宋体" w:hAnsi="宋体" w:eastAsia="宋体" w:cs="宋体"/>
                <w:color w:val="auto"/>
                <w:kern w:val="0"/>
                <w:sz w:val="21"/>
                <w:szCs w:val="21"/>
              </w:rPr>
            </w:pPr>
          </w:p>
        </w:tc>
        <w:tc>
          <w:tcPr>
            <w:tcW w:w="1158" w:type="dxa"/>
            <w:vMerge w:val="continue"/>
            <w:tcBorders>
              <w:left w:val="single" w:color="auto" w:sz="4" w:space="0"/>
            </w:tcBorders>
            <w:vAlign w:val="center"/>
          </w:tcPr>
          <w:p w14:paraId="3B1F7FC3">
            <w:pPr>
              <w:widowControl/>
              <w:contextualSpacing/>
              <w:jc w:val="center"/>
              <w:rPr>
                <w:rFonts w:hint="eastAsia" w:ascii="宋体" w:hAnsi="宋体" w:eastAsia="宋体" w:cs="宋体"/>
                <w:color w:val="auto"/>
                <w:kern w:val="0"/>
                <w:sz w:val="21"/>
                <w:szCs w:val="21"/>
              </w:rPr>
            </w:pPr>
          </w:p>
        </w:tc>
      </w:tr>
      <w:tr w14:paraId="428B93A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2111" w:type="dxa"/>
            <w:vMerge w:val="continue"/>
            <w:vAlign w:val="center"/>
          </w:tcPr>
          <w:p w14:paraId="0AD0F780">
            <w:pPr>
              <w:widowControl/>
              <w:contextualSpacing/>
              <w:jc w:val="center"/>
              <w:rPr>
                <w:rFonts w:hint="eastAsia" w:ascii="宋体" w:hAnsi="宋体" w:eastAsia="宋体" w:cs="宋体"/>
                <w:color w:val="auto"/>
                <w:kern w:val="0"/>
                <w:sz w:val="21"/>
                <w:szCs w:val="21"/>
              </w:rPr>
            </w:pPr>
          </w:p>
        </w:tc>
        <w:tc>
          <w:tcPr>
            <w:tcW w:w="2385" w:type="dxa"/>
            <w:vAlign w:val="center"/>
          </w:tcPr>
          <w:p w14:paraId="4E753C39">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排土（渣）高度</w:t>
            </w:r>
          </w:p>
        </w:tc>
        <w:tc>
          <w:tcPr>
            <w:tcW w:w="1935" w:type="dxa"/>
            <w:vAlign w:val="center"/>
          </w:tcPr>
          <w:p w14:paraId="1D5080FC">
            <w:pPr>
              <w:adjustRightInd w:val="0"/>
              <w:snapToGrid w:val="0"/>
              <w:jc w:val="center"/>
              <w:rPr>
                <w:rFonts w:hint="eastAsia" w:ascii="宋体" w:hAnsi="宋体" w:eastAsia="宋体" w:cs="宋体"/>
                <w:color w:val="auto"/>
                <w:kern w:val="0"/>
                <w:sz w:val="21"/>
                <w:szCs w:val="21"/>
              </w:rPr>
            </w:pPr>
            <w:r>
              <w:rPr>
                <w:color w:val="auto"/>
              </w:rPr>
              <w:t>&lt;5m</w:t>
            </w:r>
          </w:p>
        </w:tc>
        <w:tc>
          <w:tcPr>
            <w:tcW w:w="945" w:type="dxa"/>
            <w:vMerge w:val="continue"/>
            <w:tcBorders>
              <w:right w:val="single" w:color="auto" w:sz="4" w:space="0"/>
            </w:tcBorders>
            <w:vAlign w:val="center"/>
          </w:tcPr>
          <w:p w14:paraId="13A93E3E">
            <w:pPr>
              <w:widowControl/>
              <w:contextualSpacing/>
              <w:jc w:val="center"/>
              <w:rPr>
                <w:rFonts w:hint="eastAsia" w:ascii="宋体" w:hAnsi="宋体" w:eastAsia="宋体" w:cs="宋体"/>
                <w:color w:val="auto"/>
                <w:kern w:val="0"/>
                <w:sz w:val="21"/>
                <w:szCs w:val="21"/>
              </w:rPr>
            </w:pPr>
          </w:p>
        </w:tc>
        <w:tc>
          <w:tcPr>
            <w:tcW w:w="1158" w:type="dxa"/>
            <w:vMerge w:val="continue"/>
            <w:tcBorders>
              <w:left w:val="single" w:color="auto" w:sz="4" w:space="0"/>
            </w:tcBorders>
            <w:vAlign w:val="center"/>
          </w:tcPr>
          <w:p w14:paraId="0537A443">
            <w:pPr>
              <w:widowControl/>
              <w:contextualSpacing/>
              <w:jc w:val="center"/>
              <w:rPr>
                <w:rFonts w:hint="eastAsia" w:ascii="宋体" w:hAnsi="宋体" w:eastAsia="宋体" w:cs="宋体"/>
                <w:color w:val="auto"/>
                <w:kern w:val="0"/>
                <w:sz w:val="21"/>
                <w:szCs w:val="21"/>
              </w:rPr>
            </w:pPr>
          </w:p>
        </w:tc>
      </w:tr>
      <w:tr w14:paraId="1B7CA7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2111" w:type="dxa"/>
            <w:vMerge w:val="continue"/>
            <w:vAlign w:val="center"/>
          </w:tcPr>
          <w:p w14:paraId="5E1182F7">
            <w:pPr>
              <w:widowControl/>
              <w:contextualSpacing/>
              <w:jc w:val="center"/>
              <w:rPr>
                <w:rFonts w:hint="eastAsia" w:ascii="宋体" w:hAnsi="宋体" w:eastAsia="宋体" w:cs="宋体"/>
                <w:color w:val="auto"/>
                <w:kern w:val="0"/>
                <w:sz w:val="21"/>
                <w:szCs w:val="21"/>
              </w:rPr>
            </w:pPr>
          </w:p>
        </w:tc>
        <w:tc>
          <w:tcPr>
            <w:tcW w:w="2385" w:type="dxa"/>
            <w:vAlign w:val="center"/>
          </w:tcPr>
          <w:p w14:paraId="7A83733D">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边坡规整情况</w:t>
            </w:r>
          </w:p>
        </w:tc>
        <w:tc>
          <w:tcPr>
            <w:tcW w:w="1935" w:type="dxa"/>
            <w:vAlign w:val="center"/>
          </w:tcPr>
          <w:p w14:paraId="1EADD5A3">
            <w:pPr>
              <w:widowControl/>
              <w:contextualSpacing/>
              <w:jc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欠</w:t>
            </w:r>
            <w:r>
              <w:rPr>
                <w:rFonts w:hint="eastAsia" w:ascii="宋体" w:hAnsi="宋体" w:eastAsia="宋体" w:cs="宋体"/>
                <w:color w:val="auto"/>
                <w:kern w:val="0"/>
                <w:sz w:val="21"/>
                <w:szCs w:val="21"/>
              </w:rPr>
              <w:t>规整</w:t>
            </w:r>
          </w:p>
        </w:tc>
        <w:tc>
          <w:tcPr>
            <w:tcW w:w="945" w:type="dxa"/>
            <w:vMerge w:val="continue"/>
            <w:tcBorders>
              <w:right w:val="single" w:color="auto" w:sz="4" w:space="0"/>
            </w:tcBorders>
            <w:vAlign w:val="center"/>
          </w:tcPr>
          <w:p w14:paraId="61976F8B">
            <w:pPr>
              <w:widowControl/>
              <w:contextualSpacing/>
              <w:jc w:val="center"/>
              <w:rPr>
                <w:rFonts w:hint="eastAsia" w:ascii="宋体" w:hAnsi="宋体" w:eastAsia="宋体" w:cs="宋体"/>
                <w:color w:val="auto"/>
                <w:kern w:val="0"/>
                <w:sz w:val="21"/>
                <w:szCs w:val="21"/>
              </w:rPr>
            </w:pPr>
          </w:p>
        </w:tc>
        <w:tc>
          <w:tcPr>
            <w:tcW w:w="1158" w:type="dxa"/>
            <w:vMerge w:val="continue"/>
            <w:tcBorders>
              <w:left w:val="single" w:color="auto" w:sz="4" w:space="0"/>
            </w:tcBorders>
            <w:vAlign w:val="center"/>
          </w:tcPr>
          <w:p w14:paraId="37650F0C">
            <w:pPr>
              <w:widowControl/>
              <w:contextualSpacing/>
              <w:jc w:val="center"/>
              <w:rPr>
                <w:rFonts w:hint="eastAsia" w:ascii="宋体" w:hAnsi="宋体" w:eastAsia="宋体" w:cs="宋体"/>
                <w:color w:val="auto"/>
                <w:kern w:val="0"/>
                <w:sz w:val="21"/>
                <w:szCs w:val="21"/>
              </w:rPr>
            </w:pPr>
          </w:p>
        </w:tc>
      </w:tr>
    </w:tbl>
    <w:p w14:paraId="77B94616">
      <w:pPr>
        <w:spacing w:line="360" w:lineRule="auto"/>
        <w:jc w:val="center"/>
        <w:rPr>
          <w:rFonts w:hint="eastAsia" w:eastAsia="宋体"/>
          <w:color w:val="auto"/>
          <w:sz w:val="28"/>
          <w:szCs w:val="28"/>
          <w:lang w:eastAsia="zh-CN"/>
        </w:rPr>
      </w:pPr>
      <w:r>
        <w:rPr>
          <w:rFonts w:hint="eastAsia"/>
          <w:color w:val="auto"/>
          <w:lang w:eastAsia="zh-CN"/>
        </w:rPr>
        <w:t xml:space="preserve">    </w:t>
      </w:r>
    </w:p>
    <w:p w14:paraId="3B2213EA">
      <w:pPr>
        <w:spacing w:line="360" w:lineRule="auto"/>
        <w:jc w:val="center"/>
        <w:rPr>
          <w:rFonts w:hint="eastAsia" w:eastAsia="黑体"/>
          <w:color w:val="auto"/>
          <w:sz w:val="24"/>
          <w:szCs w:val="24"/>
          <w:lang w:val="en-US" w:eastAsia="zh-CN"/>
        </w:rPr>
      </w:pPr>
      <w:r>
        <w:rPr>
          <w:rFonts w:ascii="Times New Roman" w:hAnsi="Times New Roman" w:eastAsia="黑体" w:cs="Times New Roman"/>
          <w:color w:val="auto"/>
          <w:sz w:val="24"/>
          <w:szCs w:val="24"/>
        </w:rPr>
        <w:t>照片</w:t>
      </w:r>
      <w:r>
        <w:rPr>
          <w:rFonts w:hint="eastAsia" w:ascii="Times New Roman" w:hAnsi="Times New Roman" w:eastAsia="黑体" w:cs="Times New Roman"/>
          <w:color w:val="auto"/>
          <w:sz w:val="24"/>
          <w:szCs w:val="24"/>
          <w:lang w:val="en-US" w:eastAsia="zh-CN"/>
        </w:rPr>
        <w:t>3-</w:t>
      </w:r>
      <w:r>
        <w:rPr>
          <w:rFonts w:hint="eastAsia" w:eastAsia="黑体" w:cs="Times New Roman"/>
          <w:color w:val="auto"/>
          <w:sz w:val="24"/>
          <w:szCs w:val="24"/>
          <w:lang w:val="en-US" w:eastAsia="zh-CN"/>
        </w:rPr>
        <w:t>9</w:t>
      </w:r>
      <w:r>
        <w:rPr>
          <w:rFonts w:ascii="Times New Roman" w:hAnsi="Times New Roman" w:eastAsia="黑体" w:cs="Times New Roman"/>
          <w:color w:val="auto"/>
          <w:sz w:val="24"/>
          <w:szCs w:val="24"/>
        </w:rPr>
        <w:t xml:space="preserve">  </w:t>
      </w:r>
      <w:r>
        <w:rPr>
          <w:rFonts w:hint="eastAsia" w:eastAsia="黑体" w:cs="Times New Roman"/>
          <w:color w:val="auto"/>
          <w:sz w:val="24"/>
          <w:szCs w:val="24"/>
          <w:lang w:val="en-US" w:eastAsia="zh-CN"/>
        </w:rPr>
        <w:t>1#废渣堆</w:t>
      </w:r>
    </w:p>
    <w:p w14:paraId="24E145D4">
      <w:pPr>
        <w:spacing w:line="360" w:lineRule="auto"/>
        <w:jc w:val="center"/>
        <w:rPr>
          <w:rFonts w:hint="eastAsia" w:eastAsia="黑体"/>
          <w:color w:val="auto"/>
          <w:sz w:val="24"/>
          <w:szCs w:val="24"/>
          <w:lang w:val="en-US" w:eastAsia="zh-CN"/>
        </w:rPr>
      </w:pPr>
      <w:r>
        <w:rPr>
          <w:rFonts w:hint="eastAsia" w:eastAsia="黑体"/>
          <w:color w:val="auto"/>
          <w:sz w:val="24"/>
          <w:szCs w:val="24"/>
          <w:lang w:val="en-US" w:eastAsia="zh-CN"/>
        </w:rPr>
        <w:t xml:space="preserve">    </w:t>
      </w:r>
    </w:p>
    <w:p w14:paraId="25EE6C66">
      <w:pPr>
        <w:spacing w:line="360" w:lineRule="auto"/>
        <w:jc w:val="center"/>
        <w:rPr>
          <w:rFonts w:hint="default" w:eastAsia="黑体"/>
          <w:color w:val="auto"/>
          <w:sz w:val="24"/>
          <w:szCs w:val="24"/>
          <w:lang w:val="en-US" w:eastAsia="zh-CN"/>
        </w:rPr>
      </w:pPr>
      <w:r>
        <w:rPr>
          <w:rFonts w:hint="eastAsia" w:eastAsia="黑体"/>
          <w:color w:val="auto"/>
          <w:sz w:val="24"/>
          <w:szCs w:val="24"/>
          <w:lang w:val="en-US" w:eastAsia="zh-CN"/>
        </w:rPr>
        <w:t>图3-5</w:t>
      </w:r>
      <w:r>
        <w:rPr>
          <w:rFonts w:eastAsia="黑体"/>
          <w:color w:val="auto"/>
          <w:sz w:val="24"/>
          <w:szCs w:val="24"/>
        </w:rPr>
        <w:t xml:space="preserve">  </w:t>
      </w:r>
      <w:r>
        <w:rPr>
          <w:rFonts w:hint="eastAsia" w:eastAsia="黑体"/>
          <w:color w:val="auto"/>
          <w:sz w:val="24"/>
          <w:szCs w:val="24"/>
          <w:lang w:val="en-US" w:eastAsia="zh-CN"/>
        </w:rPr>
        <w:t>三角网法堆方量计算图</w:t>
      </w:r>
    </w:p>
    <w:p w14:paraId="22FBFE9E">
      <w:pPr>
        <w:spacing w:line="360" w:lineRule="auto"/>
        <w:ind w:firstLine="562" w:firstLineChars="200"/>
        <w:jc w:val="left"/>
        <w:rPr>
          <w:color w:val="auto"/>
          <w:sz w:val="28"/>
          <w:szCs w:val="28"/>
        </w:rPr>
      </w:pPr>
      <w:r>
        <w:rPr>
          <w:rFonts w:hint="eastAsia"/>
          <w:b/>
          <w:bCs/>
          <w:color w:val="auto"/>
          <w:sz w:val="28"/>
          <w:szCs w:val="28"/>
          <w:lang w:eastAsia="zh-CN"/>
        </w:rPr>
        <w:t>（</w:t>
      </w:r>
      <w:r>
        <w:rPr>
          <w:rFonts w:hint="eastAsia"/>
          <w:b/>
          <w:bCs/>
          <w:color w:val="auto"/>
          <w:sz w:val="28"/>
          <w:szCs w:val="28"/>
          <w:lang w:val="en-US" w:eastAsia="zh-CN"/>
        </w:rPr>
        <w:t>5</w:t>
      </w:r>
      <w:r>
        <w:rPr>
          <w:rFonts w:hint="eastAsia"/>
          <w:b/>
          <w:bCs/>
          <w:color w:val="auto"/>
          <w:sz w:val="28"/>
          <w:szCs w:val="28"/>
          <w:lang w:eastAsia="zh-CN"/>
        </w:rPr>
        <w:t>）</w:t>
      </w:r>
      <w:r>
        <w:rPr>
          <w:rFonts w:hint="eastAsia"/>
          <w:b/>
          <w:bCs/>
          <w:color w:val="auto"/>
          <w:sz w:val="28"/>
          <w:szCs w:val="28"/>
          <w:lang w:val="en-US" w:eastAsia="zh-CN"/>
        </w:rPr>
        <w:t>2</w:t>
      </w:r>
      <w:r>
        <w:rPr>
          <w:rFonts w:hint="eastAsia"/>
          <w:b/>
          <w:bCs/>
          <w:color w:val="auto"/>
          <w:sz w:val="28"/>
          <w:szCs w:val="28"/>
        </w:rPr>
        <w:t>#废渣堆</w:t>
      </w:r>
    </w:p>
    <w:p w14:paraId="328905BC">
      <w:pPr>
        <w:spacing w:line="360" w:lineRule="auto"/>
        <w:ind w:firstLine="560" w:firstLineChars="200"/>
        <w:jc w:val="left"/>
        <w:rPr>
          <w:color w:val="auto"/>
          <w:sz w:val="28"/>
          <w:szCs w:val="28"/>
        </w:rPr>
      </w:pPr>
      <w:r>
        <w:rPr>
          <w:color w:val="auto"/>
          <w:sz w:val="28"/>
          <w:szCs w:val="28"/>
        </w:rPr>
        <w:t>场地位于矿区范围</w:t>
      </w:r>
      <w:r>
        <w:rPr>
          <w:rFonts w:hint="eastAsia"/>
          <w:color w:val="auto"/>
          <w:sz w:val="28"/>
          <w:szCs w:val="28"/>
          <w:lang w:val="en-US" w:eastAsia="zh-CN"/>
        </w:rPr>
        <w:t>外西南</w:t>
      </w:r>
      <w:r>
        <w:rPr>
          <w:color w:val="auto"/>
          <w:sz w:val="28"/>
          <w:szCs w:val="28"/>
        </w:rPr>
        <w:t>部，</w:t>
      </w:r>
      <w:r>
        <w:rPr>
          <w:rFonts w:hint="eastAsia"/>
          <w:color w:val="auto"/>
          <w:sz w:val="28"/>
          <w:szCs w:val="28"/>
          <w:lang w:val="en-US" w:eastAsia="zh-CN"/>
        </w:rPr>
        <w:t>位于自然沟谷内</w:t>
      </w:r>
      <w:r>
        <w:rPr>
          <w:color w:val="auto"/>
          <w:sz w:val="28"/>
          <w:szCs w:val="28"/>
        </w:rPr>
        <w:t>，场地面积为</w:t>
      </w:r>
      <w:r>
        <w:rPr>
          <w:rFonts w:hint="eastAsia"/>
          <w:color w:val="auto"/>
          <w:sz w:val="28"/>
          <w:szCs w:val="28"/>
          <w:lang w:val="en-US" w:eastAsia="zh-CN"/>
        </w:rPr>
        <w:t>3869</w:t>
      </w:r>
      <w:r>
        <w:rPr>
          <w:color w:val="auto"/>
          <w:sz w:val="28"/>
          <w:szCs w:val="28"/>
        </w:rPr>
        <w:t>m</w:t>
      </w:r>
      <w:r>
        <w:rPr>
          <w:color w:val="auto"/>
          <w:sz w:val="28"/>
          <w:szCs w:val="28"/>
          <w:vertAlign w:val="superscript"/>
        </w:rPr>
        <w:t>2</w:t>
      </w:r>
      <w:r>
        <w:rPr>
          <w:color w:val="auto"/>
          <w:sz w:val="28"/>
          <w:szCs w:val="28"/>
        </w:rPr>
        <w:t>，</w:t>
      </w:r>
      <w:r>
        <w:rPr>
          <w:rFonts w:hint="eastAsia"/>
          <w:color w:val="auto"/>
          <w:sz w:val="28"/>
          <w:szCs w:val="28"/>
          <w:lang w:val="en-US" w:eastAsia="zh-CN"/>
        </w:rPr>
        <w:t>顶部平整，坡角约40度，边坡高约4m</w:t>
      </w:r>
      <w:r>
        <w:rPr>
          <w:color w:val="auto"/>
          <w:sz w:val="28"/>
          <w:szCs w:val="28"/>
        </w:rPr>
        <w:t>，</w:t>
      </w:r>
      <w:r>
        <w:rPr>
          <w:rFonts w:hint="eastAsia" w:cs="Times New Roman"/>
          <w:color w:val="auto"/>
          <w:sz w:val="28"/>
          <w:szCs w:val="28"/>
          <w:lang w:val="en-US" w:eastAsia="zh-CN"/>
        </w:rPr>
        <w:t>根据三角网法堆方量计算，2#</w:t>
      </w:r>
      <w:r>
        <w:rPr>
          <w:rFonts w:ascii="Times New Roman" w:hAnsi="Times New Roman" w:cs="Times New Roman"/>
          <w:color w:val="auto"/>
          <w:sz w:val="28"/>
          <w:szCs w:val="28"/>
        </w:rPr>
        <w:t>废</w:t>
      </w:r>
      <w:r>
        <w:rPr>
          <w:rFonts w:hint="eastAsia" w:cs="Times New Roman"/>
          <w:color w:val="auto"/>
          <w:sz w:val="28"/>
          <w:szCs w:val="28"/>
          <w:lang w:val="en-US" w:eastAsia="zh-CN"/>
        </w:rPr>
        <w:t>渣</w:t>
      </w:r>
      <w:r>
        <w:rPr>
          <w:rFonts w:ascii="Times New Roman" w:hAnsi="Times New Roman" w:cs="Times New Roman"/>
          <w:color w:val="auto"/>
          <w:sz w:val="28"/>
          <w:szCs w:val="28"/>
        </w:rPr>
        <w:t>场</w:t>
      </w:r>
      <w:r>
        <w:rPr>
          <w:rFonts w:hint="eastAsia" w:cs="Times New Roman"/>
          <w:color w:val="auto"/>
          <w:sz w:val="28"/>
          <w:szCs w:val="28"/>
          <w:lang w:val="en-US" w:eastAsia="zh-CN"/>
        </w:rPr>
        <w:t>堆积废石量886m</w:t>
      </w:r>
      <w:r>
        <w:rPr>
          <w:rFonts w:hint="eastAsia" w:cs="Times New Roman"/>
          <w:color w:val="auto"/>
          <w:sz w:val="28"/>
          <w:szCs w:val="28"/>
          <w:vertAlign w:val="superscript"/>
          <w:lang w:val="en-US" w:eastAsia="zh-CN"/>
        </w:rPr>
        <w:t>3</w:t>
      </w:r>
      <w:r>
        <w:rPr>
          <w:rFonts w:hint="eastAsia" w:cs="Times New Roman"/>
          <w:color w:val="auto"/>
          <w:sz w:val="28"/>
          <w:szCs w:val="28"/>
          <w:vertAlign w:val="baseline"/>
          <w:lang w:val="en-US" w:eastAsia="zh-CN"/>
        </w:rPr>
        <w:t>，见图3-6</w:t>
      </w:r>
      <w:r>
        <w:rPr>
          <w:rFonts w:hint="eastAsia" w:ascii="Times New Roman" w:hAnsi="Times New Roman" w:cs="Times New Roman"/>
          <w:color w:val="auto"/>
          <w:sz w:val="28"/>
          <w:szCs w:val="28"/>
          <w:lang w:val="en-US" w:eastAsia="zh-CN"/>
        </w:rPr>
        <w:t>。</w:t>
      </w:r>
      <w:r>
        <w:rPr>
          <w:color w:val="auto"/>
          <w:sz w:val="28"/>
          <w:szCs w:val="28"/>
        </w:rPr>
        <w:t>场地的建设形成的人工堆积地貌破坏了地形地貌景观整体的和谐度，对原生的地形地貌景观影响和破坏程度</w:t>
      </w:r>
      <w:r>
        <w:rPr>
          <w:rFonts w:hint="eastAsia"/>
          <w:color w:val="auto"/>
          <w:sz w:val="28"/>
          <w:szCs w:val="28"/>
          <w:lang w:val="en-US" w:eastAsia="zh-CN"/>
        </w:rPr>
        <w:t>较</w:t>
      </w:r>
      <w:r>
        <w:rPr>
          <w:color w:val="auto"/>
          <w:sz w:val="28"/>
          <w:szCs w:val="28"/>
        </w:rPr>
        <w:t>严重，见照片</w:t>
      </w:r>
      <w:r>
        <w:rPr>
          <w:rFonts w:hint="eastAsia"/>
          <w:color w:val="auto"/>
          <w:sz w:val="28"/>
          <w:szCs w:val="28"/>
          <w:lang w:val="en-US" w:eastAsia="zh-CN"/>
        </w:rPr>
        <w:t>3-10</w:t>
      </w:r>
      <w:r>
        <w:rPr>
          <w:color w:val="auto"/>
          <w:sz w:val="28"/>
          <w:szCs w:val="28"/>
        </w:rPr>
        <w:t>。</w:t>
      </w:r>
    </w:p>
    <w:p w14:paraId="391C497B">
      <w:pPr>
        <w:widowControl/>
        <w:contextualSpacing/>
        <w:jc w:val="center"/>
        <w:rPr>
          <w:rFonts w:eastAsia="黑体"/>
          <w:color w:val="auto"/>
          <w:kern w:val="0"/>
          <w:sz w:val="24"/>
          <w:szCs w:val="24"/>
        </w:rPr>
      </w:pPr>
      <w:r>
        <w:rPr>
          <w:rFonts w:eastAsia="黑体"/>
          <w:color w:val="auto"/>
          <w:kern w:val="0"/>
          <w:sz w:val="24"/>
          <w:szCs w:val="24"/>
        </w:rPr>
        <w:t>表3</w:t>
      </w:r>
      <w:r>
        <w:rPr>
          <w:rFonts w:hint="eastAsia" w:eastAsia="黑体"/>
          <w:color w:val="auto"/>
          <w:kern w:val="0"/>
          <w:sz w:val="24"/>
          <w:szCs w:val="24"/>
          <w:lang w:val="en-US" w:eastAsia="zh-CN"/>
        </w:rPr>
        <w:t>-7</w:t>
      </w:r>
      <w:r>
        <w:rPr>
          <w:rFonts w:hint="eastAsia" w:eastAsia="黑体"/>
          <w:color w:val="auto"/>
          <w:kern w:val="0"/>
          <w:sz w:val="24"/>
          <w:szCs w:val="24"/>
        </w:rPr>
        <w:t xml:space="preserve"> </w:t>
      </w:r>
      <w:r>
        <w:rPr>
          <w:rFonts w:eastAsia="黑体"/>
          <w:color w:val="auto"/>
          <w:kern w:val="0"/>
          <w:sz w:val="24"/>
          <w:szCs w:val="24"/>
        </w:rPr>
        <w:t xml:space="preserve"> 地形地貌景观破坏程度评价表</w:t>
      </w:r>
    </w:p>
    <w:tbl>
      <w:tblPr>
        <w:tblStyle w:val="34"/>
        <w:tblpPr w:leftFromText="180" w:rightFromText="180" w:vertAnchor="text" w:horzAnchor="page" w:tblpX="2134" w:tblpY="42"/>
        <w:tblOverlap w:val="never"/>
        <w:tblW w:w="8534"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111"/>
        <w:gridCol w:w="2385"/>
        <w:gridCol w:w="1935"/>
        <w:gridCol w:w="945"/>
        <w:gridCol w:w="1158"/>
      </w:tblGrid>
      <w:tr w14:paraId="66C4EEE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blHeader/>
        </w:trPr>
        <w:tc>
          <w:tcPr>
            <w:tcW w:w="2111" w:type="dxa"/>
            <w:vAlign w:val="center"/>
          </w:tcPr>
          <w:p w14:paraId="3A392623">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评价单元</w:t>
            </w:r>
          </w:p>
        </w:tc>
        <w:tc>
          <w:tcPr>
            <w:tcW w:w="2385" w:type="dxa"/>
            <w:vAlign w:val="center"/>
          </w:tcPr>
          <w:p w14:paraId="2D762C31">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评价因子</w:t>
            </w:r>
          </w:p>
        </w:tc>
        <w:tc>
          <w:tcPr>
            <w:tcW w:w="1935" w:type="dxa"/>
            <w:vAlign w:val="center"/>
          </w:tcPr>
          <w:p w14:paraId="65377D47">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损毁程度</w:t>
            </w:r>
          </w:p>
        </w:tc>
        <w:tc>
          <w:tcPr>
            <w:tcW w:w="945" w:type="dxa"/>
            <w:tcBorders>
              <w:right w:val="single" w:color="auto" w:sz="4" w:space="0"/>
            </w:tcBorders>
            <w:vAlign w:val="center"/>
          </w:tcPr>
          <w:p w14:paraId="1C22E7E2">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得分</w:t>
            </w:r>
          </w:p>
        </w:tc>
        <w:tc>
          <w:tcPr>
            <w:tcW w:w="1158" w:type="dxa"/>
            <w:tcBorders>
              <w:right w:val="single" w:color="auto" w:sz="4" w:space="0"/>
            </w:tcBorders>
            <w:vAlign w:val="center"/>
          </w:tcPr>
          <w:p w14:paraId="7969222C">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评价结果</w:t>
            </w:r>
          </w:p>
        </w:tc>
      </w:tr>
      <w:tr w14:paraId="3F5A1B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2111" w:type="dxa"/>
            <w:vMerge w:val="restart"/>
            <w:vAlign w:val="center"/>
          </w:tcPr>
          <w:p w14:paraId="39EC2451">
            <w:pPr>
              <w:widowControl/>
              <w:contextualSpacing/>
              <w:jc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2#废渣堆</w:t>
            </w:r>
          </w:p>
        </w:tc>
        <w:tc>
          <w:tcPr>
            <w:tcW w:w="2385" w:type="dxa"/>
            <w:vAlign w:val="center"/>
          </w:tcPr>
          <w:p w14:paraId="6C897AA4">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区位条件</w:t>
            </w:r>
          </w:p>
        </w:tc>
        <w:tc>
          <w:tcPr>
            <w:tcW w:w="1935" w:type="dxa"/>
            <w:vAlign w:val="center"/>
          </w:tcPr>
          <w:p w14:paraId="0D87B802">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少有人类活动区</w:t>
            </w:r>
          </w:p>
        </w:tc>
        <w:tc>
          <w:tcPr>
            <w:tcW w:w="945" w:type="dxa"/>
            <w:vMerge w:val="restart"/>
            <w:tcBorders>
              <w:right w:val="single" w:color="auto" w:sz="4" w:space="0"/>
            </w:tcBorders>
            <w:vAlign w:val="center"/>
          </w:tcPr>
          <w:p w14:paraId="1E6E67E2">
            <w:pPr>
              <w:widowControl/>
              <w:contextualSpacing/>
              <w:jc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1.3</w:t>
            </w:r>
          </w:p>
        </w:tc>
        <w:tc>
          <w:tcPr>
            <w:tcW w:w="1158" w:type="dxa"/>
            <w:vMerge w:val="restart"/>
            <w:tcBorders>
              <w:left w:val="single" w:color="auto" w:sz="4" w:space="0"/>
            </w:tcBorders>
            <w:vAlign w:val="center"/>
          </w:tcPr>
          <w:p w14:paraId="3F4B8759">
            <w:pPr>
              <w:widowControl/>
              <w:contextualSpacing/>
              <w:jc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较</w:t>
            </w:r>
            <w:r>
              <w:rPr>
                <w:rFonts w:hint="eastAsia" w:ascii="宋体" w:hAnsi="宋体" w:eastAsia="宋体" w:cs="宋体"/>
                <w:color w:val="auto"/>
                <w:kern w:val="0"/>
                <w:sz w:val="21"/>
                <w:szCs w:val="21"/>
              </w:rPr>
              <w:t>严重</w:t>
            </w:r>
          </w:p>
        </w:tc>
      </w:tr>
      <w:tr w14:paraId="74D6D2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2111" w:type="dxa"/>
            <w:vMerge w:val="continue"/>
            <w:vAlign w:val="center"/>
          </w:tcPr>
          <w:p w14:paraId="0AC84296">
            <w:pPr>
              <w:widowControl/>
              <w:contextualSpacing/>
              <w:jc w:val="center"/>
              <w:rPr>
                <w:rFonts w:hint="eastAsia" w:ascii="宋体" w:hAnsi="宋体" w:eastAsia="宋体" w:cs="宋体"/>
                <w:color w:val="auto"/>
                <w:kern w:val="0"/>
                <w:sz w:val="21"/>
                <w:szCs w:val="21"/>
              </w:rPr>
            </w:pPr>
          </w:p>
        </w:tc>
        <w:tc>
          <w:tcPr>
            <w:tcW w:w="2385" w:type="dxa"/>
            <w:vAlign w:val="center"/>
          </w:tcPr>
          <w:p w14:paraId="607CCAC0">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可视程度</w:t>
            </w:r>
          </w:p>
        </w:tc>
        <w:tc>
          <w:tcPr>
            <w:tcW w:w="1935" w:type="dxa"/>
            <w:vAlign w:val="center"/>
          </w:tcPr>
          <w:p w14:paraId="7524A3E9">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不可视</w:t>
            </w:r>
          </w:p>
        </w:tc>
        <w:tc>
          <w:tcPr>
            <w:tcW w:w="945" w:type="dxa"/>
            <w:vMerge w:val="continue"/>
            <w:tcBorders>
              <w:right w:val="single" w:color="auto" w:sz="4" w:space="0"/>
            </w:tcBorders>
            <w:vAlign w:val="center"/>
          </w:tcPr>
          <w:p w14:paraId="3B48BB1A">
            <w:pPr>
              <w:widowControl/>
              <w:contextualSpacing/>
              <w:jc w:val="center"/>
              <w:rPr>
                <w:rFonts w:hint="eastAsia" w:ascii="宋体" w:hAnsi="宋体" w:eastAsia="宋体" w:cs="宋体"/>
                <w:color w:val="auto"/>
                <w:kern w:val="0"/>
                <w:sz w:val="21"/>
                <w:szCs w:val="21"/>
              </w:rPr>
            </w:pPr>
          </w:p>
        </w:tc>
        <w:tc>
          <w:tcPr>
            <w:tcW w:w="1158" w:type="dxa"/>
            <w:vMerge w:val="continue"/>
            <w:tcBorders>
              <w:left w:val="single" w:color="auto" w:sz="4" w:space="0"/>
            </w:tcBorders>
            <w:vAlign w:val="center"/>
          </w:tcPr>
          <w:p w14:paraId="2FB202C4">
            <w:pPr>
              <w:widowControl/>
              <w:contextualSpacing/>
              <w:jc w:val="center"/>
              <w:rPr>
                <w:rFonts w:hint="eastAsia" w:ascii="宋体" w:hAnsi="宋体" w:eastAsia="宋体" w:cs="宋体"/>
                <w:color w:val="auto"/>
                <w:kern w:val="0"/>
                <w:sz w:val="21"/>
                <w:szCs w:val="21"/>
              </w:rPr>
            </w:pPr>
          </w:p>
        </w:tc>
      </w:tr>
      <w:tr w14:paraId="5E2561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2111" w:type="dxa"/>
            <w:vMerge w:val="continue"/>
            <w:vAlign w:val="center"/>
          </w:tcPr>
          <w:p w14:paraId="24EE3C58">
            <w:pPr>
              <w:widowControl/>
              <w:contextualSpacing/>
              <w:jc w:val="center"/>
              <w:rPr>
                <w:rFonts w:hint="eastAsia" w:ascii="宋体" w:hAnsi="宋体" w:eastAsia="宋体" w:cs="宋体"/>
                <w:color w:val="auto"/>
                <w:kern w:val="0"/>
                <w:sz w:val="21"/>
                <w:szCs w:val="21"/>
              </w:rPr>
            </w:pPr>
          </w:p>
        </w:tc>
        <w:tc>
          <w:tcPr>
            <w:tcW w:w="2385" w:type="dxa"/>
            <w:vAlign w:val="center"/>
          </w:tcPr>
          <w:p w14:paraId="13323614">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场地面积</w:t>
            </w:r>
          </w:p>
        </w:tc>
        <w:tc>
          <w:tcPr>
            <w:tcW w:w="1935" w:type="dxa"/>
            <w:vAlign w:val="center"/>
          </w:tcPr>
          <w:p w14:paraId="579F72A9">
            <w:pPr>
              <w:adjustRightInd w:val="0"/>
              <w:snapToGrid w:val="0"/>
              <w:jc w:val="center"/>
              <w:rPr>
                <w:rFonts w:hint="eastAsia" w:ascii="宋体" w:hAnsi="宋体" w:eastAsia="宋体" w:cs="宋体"/>
                <w:color w:val="auto"/>
                <w:kern w:val="0"/>
                <w:sz w:val="21"/>
                <w:szCs w:val="21"/>
              </w:rPr>
            </w:pPr>
            <w:r>
              <w:rPr>
                <w:color w:val="auto"/>
              </w:rPr>
              <w:t>&lt;1.0hm</w:t>
            </w:r>
            <w:r>
              <w:rPr>
                <w:color w:val="auto"/>
                <w:vertAlign w:val="superscript"/>
              </w:rPr>
              <w:t>2</w:t>
            </w:r>
          </w:p>
        </w:tc>
        <w:tc>
          <w:tcPr>
            <w:tcW w:w="945" w:type="dxa"/>
            <w:vMerge w:val="continue"/>
            <w:tcBorders>
              <w:right w:val="single" w:color="auto" w:sz="4" w:space="0"/>
            </w:tcBorders>
            <w:vAlign w:val="center"/>
          </w:tcPr>
          <w:p w14:paraId="599839B2">
            <w:pPr>
              <w:widowControl/>
              <w:contextualSpacing/>
              <w:jc w:val="center"/>
              <w:rPr>
                <w:rFonts w:hint="eastAsia" w:ascii="宋体" w:hAnsi="宋体" w:eastAsia="宋体" w:cs="宋体"/>
                <w:color w:val="auto"/>
                <w:kern w:val="0"/>
                <w:sz w:val="21"/>
                <w:szCs w:val="21"/>
              </w:rPr>
            </w:pPr>
          </w:p>
        </w:tc>
        <w:tc>
          <w:tcPr>
            <w:tcW w:w="1158" w:type="dxa"/>
            <w:vMerge w:val="continue"/>
            <w:tcBorders>
              <w:left w:val="single" w:color="auto" w:sz="4" w:space="0"/>
            </w:tcBorders>
            <w:vAlign w:val="center"/>
          </w:tcPr>
          <w:p w14:paraId="47D2D5BF">
            <w:pPr>
              <w:widowControl/>
              <w:contextualSpacing/>
              <w:jc w:val="center"/>
              <w:rPr>
                <w:rFonts w:hint="eastAsia" w:ascii="宋体" w:hAnsi="宋体" w:eastAsia="宋体" w:cs="宋体"/>
                <w:color w:val="auto"/>
                <w:kern w:val="0"/>
                <w:sz w:val="21"/>
                <w:szCs w:val="21"/>
              </w:rPr>
            </w:pPr>
          </w:p>
        </w:tc>
      </w:tr>
      <w:tr w14:paraId="3A8605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2111" w:type="dxa"/>
            <w:vMerge w:val="continue"/>
            <w:vAlign w:val="center"/>
          </w:tcPr>
          <w:p w14:paraId="2C64B86D">
            <w:pPr>
              <w:widowControl/>
              <w:contextualSpacing/>
              <w:jc w:val="center"/>
              <w:rPr>
                <w:rFonts w:hint="eastAsia" w:ascii="宋体" w:hAnsi="宋体" w:eastAsia="宋体" w:cs="宋体"/>
                <w:color w:val="auto"/>
                <w:kern w:val="0"/>
                <w:sz w:val="21"/>
                <w:szCs w:val="21"/>
              </w:rPr>
            </w:pPr>
          </w:p>
        </w:tc>
        <w:tc>
          <w:tcPr>
            <w:tcW w:w="2385" w:type="dxa"/>
            <w:vAlign w:val="center"/>
          </w:tcPr>
          <w:p w14:paraId="4366E425">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排土（渣）高度</w:t>
            </w:r>
          </w:p>
        </w:tc>
        <w:tc>
          <w:tcPr>
            <w:tcW w:w="1935" w:type="dxa"/>
            <w:vAlign w:val="center"/>
          </w:tcPr>
          <w:p w14:paraId="7ED7C180">
            <w:pPr>
              <w:adjustRightInd w:val="0"/>
              <w:snapToGrid w:val="0"/>
              <w:jc w:val="center"/>
              <w:rPr>
                <w:rFonts w:hint="eastAsia" w:ascii="宋体" w:hAnsi="宋体" w:eastAsia="宋体" w:cs="宋体"/>
                <w:color w:val="auto"/>
                <w:kern w:val="0"/>
                <w:sz w:val="21"/>
                <w:szCs w:val="21"/>
              </w:rPr>
            </w:pPr>
            <w:r>
              <w:rPr>
                <w:color w:val="auto"/>
              </w:rPr>
              <w:t>&lt;5m</w:t>
            </w:r>
          </w:p>
        </w:tc>
        <w:tc>
          <w:tcPr>
            <w:tcW w:w="945" w:type="dxa"/>
            <w:vMerge w:val="continue"/>
            <w:tcBorders>
              <w:right w:val="single" w:color="auto" w:sz="4" w:space="0"/>
            </w:tcBorders>
            <w:vAlign w:val="center"/>
          </w:tcPr>
          <w:p w14:paraId="00E565AA">
            <w:pPr>
              <w:widowControl/>
              <w:contextualSpacing/>
              <w:jc w:val="center"/>
              <w:rPr>
                <w:rFonts w:hint="eastAsia" w:ascii="宋体" w:hAnsi="宋体" w:eastAsia="宋体" w:cs="宋体"/>
                <w:color w:val="auto"/>
                <w:kern w:val="0"/>
                <w:sz w:val="21"/>
                <w:szCs w:val="21"/>
              </w:rPr>
            </w:pPr>
          </w:p>
        </w:tc>
        <w:tc>
          <w:tcPr>
            <w:tcW w:w="1158" w:type="dxa"/>
            <w:vMerge w:val="continue"/>
            <w:tcBorders>
              <w:left w:val="single" w:color="auto" w:sz="4" w:space="0"/>
            </w:tcBorders>
            <w:vAlign w:val="center"/>
          </w:tcPr>
          <w:p w14:paraId="4C4CD116">
            <w:pPr>
              <w:widowControl/>
              <w:contextualSpacing/>
              <w:jc w:val="center"/>
              <w:rPr>
                <w:rFonts w:hint="eastAsia" w:ascii="宋体" w:hAnsi="宋体" w:eastAsia="宋体" w:cs="宋体"/>
                <w:color w:val="auto"/>
                <w:kern w:val="0"/>
                <w:sz w:val="21"/>
                <w:szCs w:val="21"/>
              </w:rPr>
            </w:pPr>
          </w:p>
        </w:tc>
      </w:tr>
      <w:tr w14:paraId="7061D98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2111" w:type="dxa"/>
            <w:vMerge w:val="continue"/>
            <w:vAlign w:val="center"/>
          </w:tcPr>
          <w:p w14:paraId="71B94542">
            <w:pPr>
              <w:widowControl/>
              <w:contextualSpacing/>
              <w:jc w:val="center"/>
              <w:rPr>
                <w:rFonts w:hint="eastAsia" w:ascii="宋体" w:hAnsi="宋体" w:eastAsia="宋体" w:cs="宋体"/>
                <w:color w:val="auto"/>
                <w:kern w:val="0"/>
                <w:sz w:val="21"/>
                <w:szCs w:val="21"/>
              </w:rPr>
            </w:pPr>
          </w:p>
        </w:tc>
        <w:tc>
          <w:tcPr>
            <w:tcW w:w="2385" w:type="dxa"/>
            <w:vAlign w:val="center"/>
          </w:tcPr>
          <w:p w14:paraId="7FF567D0">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边坡规整情况</w:t>
            </w:r>
          </w:p>
        </w:tc>
        <w:tc>
          <w:tcPr>
            <w:tcW w:w="1935" w:type="dxa"/>
            <w:vAlign w:val="center"/>
          </w:tcPr>
          <w:p w14:paraId="1D3826F1">
            <w:pPr>
              <w:widowControl/>
              <w:contextualSpacing/>
              <w:jc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欠</w:t>
            </w:r>
            <w:r>
              <w:rPr>
                <w:rFonts w:hint="eastAsia" w:ascii="宋体" w:hAnsi="宋体" w:eastAsia="宋体" w:cs="宋体"/>
                <w:color w:val="auto"/>
                <w:kern w:val="0"/>
                <w:sz w:val="21"/>
                <w:szCs w:val="21"/>
              </w:rPr>
              <w:t>规整</w:t>
            </w:r>
          </w:p>
        </w:tc>
        <w:tc>
          <w:tcPr>
            <w:tcW w:w="945" w:type="dxa"/>
            <w:vMerge w:val="continue"/>
            <w:tcBorders>
              <w:right w:val="single" w:color="auto" w:sz="4" w:space="0"/>
            </w:tcBorders>
            <w:vAlign w:val="center"/>
          </w:tcPr>
          <w:p w14:paraId="7E6AEC7C">
            <w:pPr>
              <w:widowControl/>
              <w:contextualSpacing/>
              <w:jc w:val="center"/>
              <w:rPr>
                <w:rFonts w:hint="eastAsia" w:ascii="宋体" w:hAnsi="宋体" w:eastAsia="宋体" w:cs="宋体"/>
                <w:color w:val="auto"/>
                <w:kern w:val="0"/>
                <w:sz w:val="21"/>
                <w:szCs w:val="21"/>
              </w:rPr>
            </w:pPr>
          </w:p>
        </w:tc>
        <w:tc>
          <w:tcPr>
            <w:tcW w:w="1158" w:type="dxa"/>
            <w:vMerge w:val="continue"/>
            <w:tcBorders>
              <w:left w:val="single" w:color="auto" w:sz="4" w:space="0"/>
            </w:tcBorders>
            <w:vAlign w:val="center"/>
          </w:tcPr>
          <w:p w14:paraId="683330E2">
            <w:pPr>
              <w:widowControl/>
              <w:contextualSpacing/>
              <w:jc w:val="center"/>
              <w:rPr>
                <w:rFonts w:hint="eastAsia" w:ascii="宋体" w:hAnsi="宋体" w:eastAsia="宋体" w:cs="宋体"/>
                <w:color w:val="auto"/>
                <w:kern w:val="0"/>
                <w:sz w:val="21"/>
                <w:szCs w:val="21"/>
              </w:rPr>
            </w:pPr>
          </w:p>
        </w:tc>
      </w:tr>
    </w:tbl>
    <w:p w14:paraId="077BB6AE">
      <w:pPr>
        <w:spacing w:line="360" w:lineRule="auto"/>
        <w:jc w:val="center"/>
        <w:rPr>
          <w:rFonts w:hint="eastAsia" w:eastAsia="宋体"/>
          <w:color w:val="auto"/>
          <w:sz w:val="28"/>
          <w:szCs w:val="28"/>
          <w:lang w:eastAsia="zh-CN"/>
        </w:rPr>
      </w:pPr>
      <w:r>
        <w:rPr>
          <w:rFonts w:hint="eastAsia"/>
          <w:color w:val="auto"/>
          <w:lang w:eastAsia="zh-CN"/>
        </w:rPr>
        <w:t xml:space="preserve">    </w:t>
      </w:r>
    </w:p>
    <w:p w14:paraId="56CDAFC1">
      <w:pPr>
        <w:spacing w:line="360" w:lineRule="auto"/>
        <w:jc w:val="center"/>
        <w:rPr>
          <w:rFonts w:hint="eastAsia" w:eastAsia="黑体"/>
          <w:color w:val="auto"/>
          <w:sz w:val="24"/>
          <w:szCs w:val="24"/>
          <w:lang w:val="en-US" w:eastAsia="zh-CN"/>
        </w:rPr>
      </w:pPr>
      <w:r>
        <w:rPr>
          <w:rFonts w:ascii="Times New Roman" w:hAnsi="Times New Roman" w:eastAsia="黑体" w:cs="Times New Roman"/>
          <w:color w:val="auto"/>
          <w:sz w:val="24"/>
          <w:szCs w:val="24"/>
        </w:rPr>
        <w:t>照片</w:t>
      </w:r>
      <w:r>
        <w:rPr>
          <w:rFonts w:hint="eastAsia" w:ascii="Times New Roman" w:hAnsi="Times New Roman" w:eastAsia="黑体" w:cs="Times New Roman"/>
          <w:color w:val="auto"/>
          <w:sz w:val="24"/>
          <w:szCs w:val="24"/>
          <w:lang w:val="en-US" w:eastAsia="zh-CN"/>
        </w:rPr>
        <w:t>3-</w:t>
      </w:r>
      <w:r>
        <w:rPr>
          <w:rFonts w:hint="eastAsia" w:eastAsia="黑体" w:cs="Times New Roman"/>
          <w:color w:val="auto"/>
          <w:sz w:val="24"/>
          <w:szCs w:val="24"/>
          <w:lang w:val="en-US" w:eastAsia="zh-CN"/>
        </w:rPr>
        <w:t>10</w:t>
      </w:r>
      <w:r>
        <w:rPr>
          <w:rFonts w:ascii="Times New Roman" w:hAnsi="Times New Roman" w:eastAsia="黑体" w:cs="Times New Roman"/>
          <w:color w:val="auto"/>
          <w:sz w:val="24"/>
          <w:szCs w:val="24"/>
        </w:rPr>
        <w:t xml:space="preserve">  </w:t>
      </w:r>
      <w:r>
        <w:rPr>
          <w:rFonts w:hint="eastAsia" w:eastAsia="黑体" w:cs="Times New Roman"/>
          <w:color w:val="auto"/>
          <w:sz w:val="24"/>
          <w:szCs w:val="24"/>
          <w:lang w:val="en-US" w:eastAsia="zh-CN"/>
        </w:rPr>
        <w:t>2#废渣堆</w:t>
      </w:r>
    </w:p>
    <w:p w14:paraId="030329CC">
      <w:pPr>
        <w:spacing w:line="360" w:lineRule="auto"/>
        <w:jc w:val="center"/>
        <w:rPr>
          <w:rFonts w:hint="eastAsia" w:eastAsia="黑体"/>
          <w:color w:val="auto"/>
          <w:sz w:val="24"/>
          <w:szCs w:val="24"/>
          <w:lang w:val="en-US" w:eastAsia="zh-CN"/>
        </w:rPr>
      </w:pPr>
      <w:r>
        <w:rPr>
          <w:rFonts w:hint="eastAsia" w:eastAsia="黑体"/>
          <w:color w:val="auto"/>
          <w:sz w:val="24"/>
          <w:szCs w:val="24"/>
          <w:lang w:val="en-US" w:eastAsia="zh-CN"/>
        </w:rPr>
        <w:t xml:space="preserve">    </w:t>
      </w:r>
    </w:p>
    <w:p w14:paraId="24188B8B">
      <w:pPr>
        <w:spacing w:line="360" w:lineRule="auto"/>
        <w:jc w:val="center"/>
        <w:rPr>
          <w:rFonts w:hint="default" w:eastAsia="黑体"/>
          <w:color w:val="auto"/>
          <w:sz w:val="24"/>
          <w:szCs w:val="24"/>
          <w:lang w:val="en-US" w:eastAsia="zh-CN"/>
        </w:rPr>
      </w:pPr>
      <w:r>
        <w:rPr>
          <w:rFonts w:hint="eastAsia" w:eastAsia="黑体"/>
          <w:color w:val="auto"/>
          <w:sz w:val="24"/>
          <w:szCs w:val="24"/>
          <w:lang w:val="en-US" w:eastAsia="zh-CN"/>
        </w:rPr>
        <w:t>图3-6</w:t>
      </w:r>
      <w:r>
        <w:rPr>
          <w:rFonts w:eastAsia="黑体"/>
          <w:color w:val="auto"/>
          <w:sz w:val="24"/>
          <w:szCs w:val="24"/>
        </w:rPr>
        <w:t xml:space="preserve">  </w:t>
      </w:r>
      <w:r>
        <w:rPr>
          <w:rFonts w:hint="eastAsia" w:eastAsia="黑体"/>
          <w:color w:val="auto"/>
          <w:sz w:val="24"/>
          <w:szCs w:val="24"/>
          <w:lang w:val="en-US" w:eastAsia="zh-CN"/>
        </w:rPr>
        <w:t>三角网法堆方量计算图</w:t>
      </w:r>
    </w:p>
    <w:p w14:paraId="728101DC">
      <w:pPr>
        <w:spacing w:line="360" w:lineRule="auto"/>
        <w:ind w:firstLine="562" w:firstLineChars="200"/>
        <w:jc w:val="left"/>
        <w:rPr>
          <w:color w:val="auto"/>
          <w:sz w:val="28"/>
          <w:szCs w:val="28"/>
        </w:rPr>
      </w:pPr>
      <w:r>
        <w:rPr>
          <w:rFonts w:hint="eastAsia"/>
          <w:b/>
          <w:bCs/>
          <w:color w:val="auto"/>
          <w:sz w:val="28"/>
          <w:szCs w:val="28"/>
          <w:lang w:eastAsia="zh-CN"/>
        </w:rPr>
        <w:t>（</w:t>
      </w:r>
      <w:r>
        <w:rPr>
          <w:rFonts w:hint="eastAsia"/>
          <w:b/>
          <w:bCs/>
          <w:color w:val="auto"/>
          <w:sz w:val="28"/>
          <w:szCs w:val="28"/>
          <w:lang w:val="en-US" w:eastAsia="zh-CN"/>
        </w:rPr>
        <w:t>6</w:t>
      </w:r>
      <w:r>
        <w:rPr>
          <w:rFonts w:hint="eastAsia"/>
          <w:b/>
          <w:bCs/>
          <w:color w:val="auto"/>
          <w:sz w:val="28"/>
          <w:szCs w:val="28"/>
          <w:lang w:eastAsia="zh-CN"/>
        </w:rPr>
        <w:t>）</w:t>
      </w:r>
      <w:r>
        <w:rPr>
          <w:rFonts w:hint="eastAsia"/>
          <w:b/>
          <w:bCs/>
          <w:color w:val="auto"/>
          <w:sz w:val="28"/>
          <w:szCs w:val="28"/>
          <w:lang w:val="en-US" w:eastAsia="zh-CN"/>
        </w:rPr>
        <w:t>3</w:t>
      </w:r>
      <w:r>
        <w:rPr>
          <w:rFonts w:hint="eastAsia"/>
          <w:b/>
          <w:bCs/>
          <w:color w:val="auto"/>
          <w:sz w:val="28"/>
          <w:szCs w:val="28"/>
        </w:rPr>
        <w:t>#废渣堆</w:t>
      </w:r>
    </w:p>
    <w:p w14:paraId="5245E4E2">
      <w:pPr>
        <w:spacing w:line="360" w:lineRule="auto"/>
        <w:ind w:firstLine="560" w:firstLineChars="200"/>
        <w:jc w:val="left"/>
        <w:rPr>
          <w:color w:val="auto"/>
          <w:sz w:val="28"/>
          <w:szCs w:val="28"/>
        </w:rPr>
      </w:pPr>
      <w:r>
        <w:rPr>
          <w:color w:val="auto"/>
          <w:sz w:val="28"/>
          <w:szCs w:val="28"/>
        </w:rPr>
        <w:t>场地位于矿区范围</w:t>
      </w:r>
      <w:r>
        <w:rPr>
          <w:rFonts w:hint="eastAsia"/>
          <w:color w:val="auto"/>
          <w:sz w:val="28"/>
          <w:szCs w:val="28"/>
          <w:lang w:val="en-US" w:eastAsia="zh-CN"/>
        </w:rPr>
        <w:t>外西南</w:t>
      </w:r>
      <w:r>
        <w:rPr>
          <w:color w:val="auto"/>
          <w:sz w:val="28"/>
          <w:szCs w:val="28"/>
        </w:rPr>
        <w:t>部，</w:t>
      </w:r>
      <w:r>
        <w:rPr>
          <w:rFonts w:hint="eastAsia"/>
          <w:color w:val="auto"/>
          <w:sz w:val="28"/>
          <w:szCs w:val="28"/>
          <w:lang w:val="en-US" w:eastAsia="zh-CN"/>
        </w:rPr>
        <w:t>位于自然沟谷内</w:t>
      </w:r>
      <w:r>
        <w:rPr>
          <w:color w:val="auto"/>
          <w:sz w:val="28"/>
          <w:szCs w:val="28"/>
        </w:rPr>
        <w:t>，场地面积为</w:t>
      </w:r>
      <w:r>
        <w:rPr>
          <w:rFonts w:hint="eastAsia"/>
          <w:color w:val="auto"/>
          <w:sz w:val="28"/>
          <w:szCs w:val="28"/>
          <w:lang w:val="en-US" w:eastAsia="zh-CN"/>
        </w:rPr>
        <w:t>965</w:t>
      </w:r>
      <w:r>
        <w:rPr>
          <w:color w:val="auto"/>
          <w:sz w:val="28"/>
          <w:szCs w:val="28"/>
        </w:rPr>
        <w:t>m</w:t>
      </w:r>
      <w:r>
        <w:rPr>
          <w:color w:val="auto"/>
          <w:sz w:val="28"/>
          <w:szCs w:val="28"/>
          <w:vertAlign w:val="superscript"/>
        </w:rPr>
        <w:t>2</w:t>
      </w:r>
      <w:r>
        <w:rPr>
          <w:color w:val="auto"/>
          <w:sz w:val="28"/>
          <w:szCs w:val="28"/>
        </w:rPr>
        <w:t>，</w:t>
      </w:r>
      <w:r>
        <w:rPr>
          <w:rFonts w:hint="eastAsia"/>
          <w:color w:val="auto"/>
          <w:sz w:val="28"/>
          <w:szCs w:val="28"/>
          <w:lang w:val="en-US" w:eastAsia="zh-CN"/>
        </w:rPr>
        <w:t>顶部平整，坡角约40度，边坡高约4m</w:t>
      </w:r>
      <w:r>
        <w:rPr>
          <w:color w:val="auto"/>
          <w:sz w:val="28"/>
          <w:szCs w:val="28"/>
        </w:rPr>
        <w:t>，</w:t>
      </w:r>
      <w:r>
        <w:rPr>
          <w:rFonts w:hint="eastAsia" w:cs="Times New Roman"/>
          <w:color w:val="auto"/>
          <w:sz w:val="28"/>
          <w:szCs w:val="28"/>
          <w:lang w:val="en-US" w:eastAsia="zh-CN"/>
        </w:rPr>
        <w:t>根据三角网法堆方量计算，2#</w:t>
      </w:r>
      <w:r>
        <w:rPr>
          <w:rFonts w:ascii="Times New Roman" w:hAnsi="Times New Roman" w:cs="Times New Roman"/>
          <w:color w:val="auto"/>
          <w:sz w:val="28"/>
          <w:szCs w:val="28"/>
        </w:rPr>
        <w:t>废</w:t>
      </w:r>
      <w:r>
        <w:rPr>
          <w:rFonts w:hint="eastAsia" w:cs="Times New Roman"/>
          <w:color w:val="auto"/>
          <w:sz w:val="28"/>
          <w:szCs w:val="28"/>
          <w:lang w:val="en-US" w:eastAsia="zh-CN"/>
        </w:rPr>
        <w:t>渣</w:t>
      </w:r>
      <w:r>
        <w:rPr>
          <w:rFonts w:ascii="Times New Roman" w:hAnsi="Times New Roman" w:cs="Times New Roman"/>
          <w:color w:val="auto"/>
          <w:sz w:val="28"/>
          <w:szCs w:val="28"/>
        </w:rPr>
        <w:t>场</w:t>
      </w:r>
      <w:r>
        <w:rPr>
          <w:rFonts w:hint="eastAsia" w:cs="Times New Roman"/>
          <w:color w:val="auto"/>
          <w:sz w:val="28"/>
          <w:szCs w:val="28"/>
          <w:lang w:val="en-US" w:eastAsia="zh-CN"/>
        </w:rPr>
        <w:t>堆积废石量358m</w:t>
      </w:r>
      <w:r>
        <w:rPr>
          <w:rFonts w:hint="eastAsia" w:cs="Times New Roman"/>
          <w:color w:val="auto"/>
          <w:sz w:val="28"/>
          <w:szCs w:val="28"/>
          <w:vertAlign w:val="superscript"/>
          <w:lang w:val="en-US" w:eastAsia="zh-CN"/>
        </w:rPr>
        <w:t>3</w:t>
      </w:r>
      <w:r>
        <w:rPr>
          <w:rFonts w:hint="eastAsia" w:cs="Times New Roman"/>
          <w:color w:val="auto"/>
          <w:sz w:val="28"/>
          <w:szCs w:val="28"/>
          <w:vertAlign w:val="baseline"/>
          <w:lang w:val="en-US" w:eastAsia="zh-CN"/>
        </w:rPr>
        <w:t>，见图3-7</w:t>
      </w:r>
      <w:r>
        <w:rPr>
          <w:rFonts w:hint="eastAsia" w:ascii="Times New Roman" w:hAnsi="Times New Roman" w:cs="Times New Roman"/>
          <w:color w:val="auto"/>
          <w:sz w:val="28"/>
          <w:szCs w:val="28"/>
          <w:lang w:val="en-US" w:eastAsia="zh-CN"/>
        </w:rPr>
        <w:t>。</w:t>
      </w:r>
      <w:r>
        <w:rPr>
          <w:color w:val="auto"/>
          <w:sz w:val="28"/>
          <w:szCs w:val="28"/>
        </w:rPr>
        <w:t>场地的建设形成的人工堆积地貌破坏了地形地貌景观整体的和谐度，对原生的地形地貌景观影响和破坏程度</w:t>
      </w:r>
      <w:r>
        <w:rPr>
          <w:rFonts w:hint="eastAsia"/>
          <w:color w:val="auto"/>
          <w:sz w:val="28"/>
          <w:szCs w:val="28"/>
          <w:lang w:val="en-US" w:eastAsia="zh-CN"/>
        </w:rPr>
        <w:t>较</w:t>
      </w:r>
      <w:r>
        <w:rPr>
          <w:color w:val="auto"/>
          <w:sz w:val="28"/>
          <w:szCs w:val="28"/>
        </w:rPr>
        <w:t>严重，见照片</w:t>
      </w:r>
      <w:r>
        <w:rPr>
          <w:rFonts w:hint="eastAsia"/>
          <w:color w:val="auto"/>
          <w:sz w:val="28"/>
          <w:szCs w:val="28"/>
          <w:lang w:val="en-US" w:eastAsia="zh-CN"/>
        </w:rPr>
        <w:t>3-11</w:t>
      </w:r>
      <w:r>
        <w:rPr>
          <w:color w:val="auto"/>
          <w:sz w:val="28"/>
          <w:szCs w:val="28"/>
        </w:rPr>
        <w:t>。</w:t>
      </w:r>
    </w:p>
    <w:p w14:paraId="71BEDCE1">
      <w:pPr>
        <w:widowControl/>
        <w:contextualSpacing/>
        <w:jc w:val="center"/>
        <w:rPr>
          <w:rFonts w:eastAsia="黑体"/>
          <w:color w:val="auto"/>
          <w:kern w:val="0"/>
          <w:sz w:val="24"/>
          <w:szCs w:val="24"/>
        </w:rPr>
      </w:pPr>
      <w:r>
        <w:rPr>
          <w:rFonts w:eastAsia="黑体"/>
          <w:color w:val="auto"/>
          <w:kern w:val="0"/>
          <w:sz w:val="24"/>
          <w:szCs w:val="24"/>
        </w:rPr>
        <w:t>表3</w:t>
      </w:r>
      <w:r>
        <w:rPr>
          <w:rFonts w:hint="eastAsia" w:eastAsia="黑体"/>
          <w:color w:val="auto"/>
          <w:kern w:val="0"/>
          <w:sz w:val="24"/>
          <w:szCs w:val="24"/>
          <w:lang w:val="en-US" w:eastAsia="zh-CN"/>
        </w:rPr>
        <w:t>-8</w:t>
      </w:r>
      <w:r>
        <w:rPr>
          <w:rFonts w:hint="eastAsia" w:eastAsia="黑体"/>
          <w:color w:val="auto"/>
          <w:kern w:val="0"/>
          <w:sz w:val="24"/>
          <w:szCs w:val="24"/>
        </w:rPr>
        <w:t xml:space="preserve"> </w:t>
      </w:r>
      <w:r>
        <w:rPr>
          <w:rFonts w:eastAsia="黑体"/>
          <w:color w:val="auto"/>
          <w:kern w:val="0"/>
          <w:sz w:val="24"/>
          <w:szCs w:val="24"/>
        </w:rPr>
        <w:t xml:space="preserve"> 地形地貌景观破坏程度评价表</w:t>
      </w:r>
    </w:p>
    <w:tbl>
      <w:tblPr>
        <w:tblStyle w:val="34"/>
        <w:tblpPr w:leftFromText="180" w:rightFromText="180" w:vertAnchor="text" w:horzAnchor="page" w:tblpX="2134" w:tblpY="42"/>
        <w:tblOverlap w:val="never"/>
        <w:tblW w:w="8534"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111"/>
        <w:gridCol w:w="2385"/>
        <w:gridCol w:w="1935"/>
        <w:gridCol w:w="945"/>
        <w:gridCol w:w="1158"/>
      </w:tblGrid>
      <w:tr w14:paraId="28EFE21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blHeader/>
        </w:trPr>
        <w:tc>
          <w:tcPr>
            <w:tcW w:w="2111" w:type="dxa"/>
            <w:vAlign w:val="center"/>
          </w:tcPr>
          <w:p w14:paraId="5F2DB756">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评价单元</w:t>
            </w:r>
          </w:p>
        </w:tc>
        <w:tc>
          <w:tcPr>
            <w:tcW w:w="2385" w:type="dxa"/>
            <w:vAlign w:val="center"/>
          </w:tcPr>
          <w:p w14:paraId="0F55E245">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评价因子</w:t>
            </w:r>
          </w:p>
        </w:tc>
        <w:tc>
          <w:tcPr>
            <w:tcW w:w="1935" w:type="dxa"/>
            <w:vAlign w:val="center"/>
          </w:tcPr>
          <w:p w14:paraId="79D3AD73">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损毁程度</w:t>
            </w:r>
          </w:p>
        </w:tc>
        <w:tc>
          <w:tcPr>
            <w:tcW w:w="945" w:type="dxa"/>
            <w:tcBorders>
              <w:right w:val="single" w:color="auto" w:sz="4" w:space="0"/>
            </w:tcBorders>
            <w:vAlign w:val="center"/>
          </w:tcPr>
          <w:p w14:paraId="31FA3E4B">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得分</w:t>
            </w:r>
          </w:p>
        </w:tc>
        <w:tc>
          <w:tcPr>
            <w:tcW w:w="1158" w:type="dxa"/>
            <w:tcBorders>
              <w:right w:val="single" w:color="auto" w:sz="4" w:space="0"/>
            </w:tcBorders>
            <w:vAlign w:val="center"/>
          </w:tcPr>
          <w:p w14:paraId="4DFEC56B">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评价结果</w:t>
            </w:r>
          </w:p>
        </w:tc>
      </w:tr>
      <w:tr w14:paraId="0CC651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2111" w:type="dxa"/>
            <w:vMerge w:val="restart"/>
            <w:vAlign w:val="center"/>
          </w:tcPr>
          <w:p w14:paraId="64EA7BEF">
            <w:pPr>
              <w:widowControl/>
              <w:contextualSpacing/>
              <w:jc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3#废渣堆</w:t>
            </w:r>
          </w:p>
        </w:tc>
        <w:tc>
          <w:tcPr>
            <w:tcW w:w="2385" w:type="dxa"/>
            <w:vAlign w:val="center"/>
          </w:tcPr>
          <w:p w14:paraId="61C7C9AF">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区位条件</w:t>
            </w:r>
          </w:p>
        </w:tc>
        <w:tc>
          <w:tcPr>
            <w:tcW w:w="1935" w:type="dxa"/>
            <w:vAlign w:val="center"/>
          </w:tcPr>
          <w:p w14:paraId="03072665">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少有人类活动区</w:t>
            </w:r>
          </w:p>
        </w:tc>
        <w:tc>
          <w:tcPr>
            <w:tcW w:w="945" w:type="dxa"/>
            <w:vMerge w:val="restart"/>
            <w:tcBorders>
              <w:right w:val="single" w:color="auto" w:sz="4" w:space="0"/>
            </w:tcBorders>
            <w:vAlign w:val="center"/>
          </w:tcPr>
          <w:p w14:paraId="61C48D43">
            <w:pPr>
              <w:widowControl/>
              <w:contextualSpacing/>
              <w:jc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1.3</w:t>
            </w:r>
          </w:p>
        </w:tc>
        <w:tc>
          <w:tcPr>
            <w:tcW w:w="1158" w:type="dxa"/>
            <w:vMerge w:val="restart"/>
            <w:tcBorders>
              <w:left w:val="single" w:color="auto" w:sz="4" w:space="0"/>
            </w:tcBorders>
            <w:vAlign w:val="center"/>
          </w:tcPr>
          <w:p w14:paraId="71CE43B6">
            <w:pPr>
              <w:widowControl/>
              <w:contextualSpacing/>
              <w:jc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较</w:t>
            </w:r>
            <w:r>
              <w:rPr>
                <w:rFonts w:hint="eastAsia" w:ascii="宋体" w:hAnsi="宋体" w:eastAsia="宋体" w:cs="宋体"/>
                <w:color w:val="auto"/>
                <w:kern w:val="0"/>
                <w:sz w:val="21"/>
                <w:szCs w:val="21"/>
              </w:rPr>
              <w:t>严重</w:t>
            </w:r>
          </w:p>
        </w:tc>
      </w:tr>
      <w:tr w14:paraId="4387DC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2111" w:type="dxa"/>
            <w:vMerge w:val="continue"/>
            <w:vAlign w:val="center"/>
          </w:tcPr>
          <w:p w14:paraId="72E1734A">
            <w:pPr>
              <w:widowControl/>
              <w:contextualSpacing/>
              <w:jc w:val="center"/>
              <w:rPr>
                <w:rFonts w:hint="eastAsia" w:ascii="宋体" w:hAnsi="宋体" w:eastAsia="宋体" w:cs="宋体"/>
                <w:color w:val="auto"/>
                <w:kern w:val="0"/>
                <w:sz w:val="21"/>
                <w:szCs w:val="21"/>
              </w:rPr>
            </w:pPr>
          </w:p>
        </w:tc>
        <w:tc>
          <w:tcPr>
            <w:tcW w:w="2385" w:type="dxa"/>
            <w:vAlign w:val="center"/>
          </w:tcPr>
          <w:p w14:paraId="6CF1092D">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可视程度</w:t>
            </w:r>
          </w:p>
        </w:tc>
        <w:tc>
          <w:tcPr>
            <w:tcW w:w="1935" w:type="dxa"/>
            <w:vAlign w:val="center"/>
          </w:tcPr>
          <w:p w14:paraId="5098D03F">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不可视</w:t>
            </w:r>
          </w:p>
        </w:tc>
        <w:tc>
          <w:tcPr>
            <w:tcW w:w="945" w:type="dxa"/>
            <w:vMerge w:val="continue"/>
            <w:tcBorders>
              <w:right w:val="single" w:color="auto" w:sz="4" w:space="0"/>
            </w:tcBorders>
            <w:vAlign w:val="center"/>
          </w:tcPr>
          <w:p w14:paraId="7C7B2E57">
            <w:pPr>
              <w:widowControl/>
              <w:contextualSpacing/>
              <w:jc w:val="center"/>
              <w:rPr>
                <w:rFonts w:hint="eastAsia" w:ascii="宋体" w:hAnsi="宋体" w:eastAsia="宋体" w:cs="宋体"/>
                <w:color w:val="auto"/>
                <w:kern w:val="0"/>
                <w:sz w:val="21"/>
                <w:szCs w:val="21"/>
              </w:rPr>
            </w:pPr>
          </w:p>
        </w:tc>
        <w:tc>
          <w:tcPr>
            <w:tcW w:w="1158" w:type="dxa"/>
            <w:vMerge w:val="continue"/>
            <w:tcBorders>
              <w:left w:val="single" w:color="auto" w:sz="4" w:space="0"/>
            </w:tcBorders>
            <w:vAlign w:val="center"/>
          </w:tcPr>
          <w:p w14:paraId="58192C08">
            <w:pPr>
              <w:widowControl/>
              <w:contextualSpacing/>
              <w:jc w:val="center"/>
              <w:rPr>
                <w:rFonts w:hint="eastAsia" w:ascii="宋体" w:hAnsi="宋体" w:eastAsia="宋体" w:cs="宋体"/>
                <w:color w:val="auto"/>
                <w:kern w:val="0"/>
                <w:sz w:val="21"/>
                <w:szCs w:val="21"/>
              </w:rPr>
            </w:pPr>
          </w:p>
        </w:tc>
      </w:tr>
      <w:tr w14:paraId="5B9FCE8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2111" w:type="dxa"/>
            <w:vMerge w:val="continue"/>
            <w:vAlign w:val="center"/>
          </w:tcPr>
          <w:p w14:paraId="608C783E">
            <w:pPr>
              <w:widowControl/>
              <w:contextualSpacing/>
              <w:jc w:val="center"/>
              <w:rPr>
                <w:rFonts w:hint="eastAsia" w:ascii="宋体" w:hAnsi="宋体" w:eastAsia="宋体" w:cs="宋体"/>
                <w:color w:val="auto"/>
                <w:kern w:val="0"/>
                <w:sz w:val="21"/>
                <w:szCs w:val="21"/>
              </w:rPr>
            </w:pPr>
          </w:p>
        </w:tc>
        <w:tc>
          <w:tcPr>
            <w:tcW w:w="2385" w:type="dxa"/>
            <w:vAlign w:val="center"/>
          </w:tcPr>
          <w:p w14:paraId="4939C40D">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场地面积</w:t>
            </w:r>
          </w:p>
        </w:tc>
        <w:tc>
          <w:tcPr>
            <w:tcW w:w="1935" w:type="dxa"/>
            <w:vAlign w:val="center"/>
          </w:tcPr>
          <w:p w14:paraId="30870A23">
            <w:pPr>
              <w:adjustRightInd w:val="0"/>
              <w:snapToGrid w:val="0"/>
              <w:jc w:val="center"/>
              <w:rPr>
                <w:rFonts w:hint="eastAsia" w:ascii="宋体" w:hAnsi="宋体" w:eastAsia="宋体" w:cs="宋体"/>
                <w:color w:val="auto"/>
                <w:kern w:val="0"/>
                <w:sz w:val="21"/>
                <w:szCs w:val="21"/>
              </w:rPr>
            </w:pPr>
            <w:r>
              <w:rPr>
                <w:color w:val="auto"/>
              </w:rPr>
              <w:t>&lt;1.0hm</w:t>
            </w:r>
            <w:r>
              <w:rPr>
                <w:color w:val="auto"/>
                <w:vertAlign w:val="superscript"/>
              </w:rPr>
              <w:t>2</w:t>
            </w:r>
          </w:p>
        </w:tc>
        <w:tc>
          <w:tcPr>
            <w:tcW w:w="945" w:type="dxa"/>
            <w:vMerge w:val="continue"/>
            <w:tcBorders>
              <w:right w:val="single" w:color="auto" w:sz="4" w:space="0"/>
            </w:tcBorders>
            <w:vAlign w:val="center"/>
          </w:tcPr>
          <w:p w14:paraId="781333BB">
            <w:pPr>
              <w:widowControl/>
              <w:contextualSpacing/>
              <w:jc w:val="center"/>
              <w:rPr>
                <w:rFonts w:hint="eastAsia" w:ascii="宋体" w:hAnsi="宋体" w:eastAsia="宋体" w:cs="宋体"/>
                <w:color w:val="auto"/>
                <w:kern w:val="0"/>
                <w:sz w:val="21"/>
                <w:szCs w:val="21"/>
              </w:rPr>
            </w:pPr>
          </w:p>
        </w:tc>
        <w:tc>
          <w:tcPr>
            <w:tcW w:w="1158" w:type="dxa"/>
            <w:vMerge w:val="continue"/>
            <w:tcBorders>
              <w:left w:val="single" w:color="auto" w:sz="4" w:space="0"/>
            </w:tcBorders>
            <w:vAlign w:val="center"/>
          </w:tcPr>
          <w:p w14:paraId="24E0F2C6">
            <w:pPr>
              <w:widowControl/>
              <w:contextualSpacing/>
              <w:jc w:val="center"/>
              <w:rPr>
                <w:rFonts w:hint="eastAsia" w:ascii="宋体" w:hAnsi="宋体" w:eastAsia="宋体" w:cs="宋体"/>
                <w:color w:val="auto"/>
                <w:kern w:val="0"/>
                <w:sz w:val="21"/>
                <w:szCs w:val="21"/>
              </w:rPr>
            </w:pPr>
          </w:p>
        </w:tc>
      </w:tr>
      <w:tr w14:paraId="49DD7F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2111" w:type="dxa"/>
            <w:vMerge w:val="continue"/>
            <w:vAlign w:val="center"/>
          </w:tcPr>
          <w:p w14:paraId="37B1E18F">
            <w:pPr>
              <w:widowControl/>
              <w:contextualSpacing/>
              <w:jc w:val="center"/>
              <w:rPr>
                <w:rFonts w:hint="eastAsia" w:ascii="宋体" w:hAnsi="宋体" w:eastAsia="宋体" w:cs="宋体"/>
                <w:color w:val="auto"/>
                <w:kern w:val="0"/>
                <w:sz w:val="21"/>
                <w:szCs w:val="21"/>
              </w:rPr>
            </w:pPr>
          </w:p>
        </w:tc>
        <w:tc>
          <w:tcPr>
            <w:tcW w:w="2385" w:type="dxa"/>
            <w:vAlign w:val="center"/>
          </w:tcPr>
          <w:p w14:paraId="7998388D">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排土（渣）高度</w:t>
            </w:r>
          </w:p>
        </w:tc>
        <w:tc>
          <w:tcPr>
            <w:tcW w:w="1935" w:type="dxa"/>
            <w:vAlign w:val="center"/>
          </w:tcPr>
          <w:p w14:paraId="7B5ECC00">
            <w:pPr>
              <w:adjustRightInd w:val="0"/>
              <w:snapToGrid w:val="0"/>
              <w:jc w:val="center"/>
              <w:rPr>
                <w:rFonts w:hint="eastAsia" w:ascii="宋体" w:hAnsi="宋体" w:eastAsia="宋体" w:cs="宋体"/>
                <w:color w:val="auto"/>
                <w:kern w:val="0"/>
                <w:sz w:val="21"/>
                <w:szCs w:val="21"/>
              </w:rPr>
            </w:pPr>
            <w:r>
              <w:rPr>
                <w:color w:val="auto"/>
              </w:rPr>
              <w:t>&lt;5m</w:t>
            </w:r>
          </w:p>
        </w:tc>
        <w:tc>
          <w:tcPr>
            <w:tcW w:w="945" w:type="dxa"/>
            <w:vMerge w:val="continue"/>
            <w:tcBorders>
              <w:right w:val="single" w:color="auto" w:sz="4" w:space="0"/>
            </w:tcBorders>
            <w:vAlign w:val="center"/>
          </w:tcPr>
          <w:p w14:paraId="7FC98F50">
            <w:pPr>
              <w:widowControl/>
              <w:contextualSpacing/>
              <w:jc w:val="center"/>
              <w:rPr>
                <w:rFonts w:hint="eastAsia" w:ascii="宋体" w:hAnsi="宋体" w:eastAsia="宋体" w:cs="宋体"/>
                <w:color w:val="auto"/>
                <w:kern w:val="0"/>
                <w:sz w:val="21"/>
                <w:szCs w:val="21"/>
              </w:rPr>
            </w:pPr>
          </w:p>
        </w:tc>
        <w:tc>
          <w:tcPr>
            <w:tcW w:w="1158" w:type="dxa"/>
            <w:vMerge w:val="continue"/>
            <w:tcBorders>
              <w:left w:val="single" w:color="auto" w:sz="4" w:space="0"/>
            </w:tcBorders>
            <w:vAlign w:val="center"/>
          </w:tcPr>
          <w:p w14:paraId="2FE3B4B1">
            <w:pPr>
              <w:widowControl/>
              <w:contextualSpacing/>
              <w:jc w:val="center"/>
              <w:rPr>
                <w:rFonts w:hint="eastAsia" w:ascii="宋体" w:hAnsi="宋体" w:eastAsia="宋体" w:cs="宋体"/>
                <w:color w:val="auto"/>
                <w:kern w:val="0"/>
                <w:sz w:val="21"/>
                <w:szCs w:val="21"/>
              </w:rPr>
            </w:pPr>
          </w:p>
        </w:tc>
      </w:tr>
      <w:tr w14:paraId="69CD48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2111" w:type="dxa"/>
            <w:vMerge w:val="continue"/>
            <w:vAlign w:val="center"/>
          </w:tcPr>
          <w:p w14:paraId="18C5C2B9">
            <w:pPr>
              <w:widowControl/>
              <w:contextualSpacing/>
              <w:jc w:val="center"/>
              <w:rPr>
                <w:rFonts w:hint="eastAsia" w:ascii="宋体" w:hAnsi="宋体" w:eastAsia="宋体" w:cs="宋体"/>
                <w:color w:val="auto"/>
                <w:kern w:val="0"/>
                <w:sz w:val="21"/>
                <w:szCs w:val="21"/>
              </w:rPr>
            </w:pPr>
          </w:p>
        </w:tc>
        <w:tc>
          <w:tcPr>
            <w:tcW w:w="2385" w:type="dxa"/>
            <w:vAlign w:val="center"/>
          </w:tcPr>
          <w:p w14:paraId="55611A51">
            <w:pPr>
              <w:widowControl/>
              <w:contextualSpacing/>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边坡规整情况</w:t>
            </w:r>
          </w:p>
        </w:tc>
        <w:tc>
          <w:tcPr>
            <w:tcW w:w="1935" w:type="dxa"/>
            <w:vAlign w:val="center"/>
          </w:tcPr>
          <w:p w14:paraId="18316D69">
            <w:pPr>
              <w:widowControl/>
              <w:contextualSpacing/>
              <w:jc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欠</w:t>
            </w:r>
            <w:r>
              <w:rPr>
                <w:rFonts w:hint="eastAsia" w:ascii="宋体" w:hAnsi="宋体" w:eastAsia="宋体" w:cs="宋体"/>
                <w:color w:val="auto"/>
                <w:kern w:val="0"/>
                <w:sz w:val="21"/>
                <w:szCs w:val="21"/>
              </w:rPr>
              <w:t>规整</w:t>
            </w:r>
          </w:p>
        </w:tc>
        <w:tc>
          <w:tcPr>
            <w:tcW w:w="945" w:type="dxa"/>
            <w:vMerge w:val="continue"/>
            <w:tcBorders>
              <w:right w:val="single" w:color="auto" w:sz="4" w:space="0"/>
            </w:tcBorders>
            <w:vAlign w:val="center"/>
          </w:tcPr>
          <w:p w14:paraId="603B25E8">
            <w:pPr>
              <w:widowControl/>
              <w:contextualSpacing/>
              <w:jc w:val="center"/>
              <w:rPr>
                <w:rFonts w:hint="eastAsia" w:ascii="宋体" w:hAnsi="宋体" w:eastAsia="宋体" w:cs="宋体"/>
                <w:color w:val="auto"/>
                <w:kern w:val="0"/>
                <w:sz w:val="21"/>
                <w:szCs w:val="21"/>
              </w:rPr>
            </w:pPr>
          </w:p>
        </w:tc>
        <w:tc>
          <w:tcPr>
            <w:tcW w:w="1158" w:type="dxa"/>
            <w:vMerge w:val="continue"/>
            <w:tcBorders>
              <w:left w:val="single" w:color="auto" w:sz="4" w:space="0"/>
            </w:tcBorders>
            <w:vAlign w:val="center"/>
          </w:tcPr>
          <w:p w14:paraId="70D77E22">
            <w:pPr>
              <w:widowControl/>
              <w:contextualSpacing/>
              <w:jc w:val="center"/>
              <w:rPr>
                <w:rFonts w:hint="eastAsia" w:ascii="宋体" w:hAnsi="宋体" w:eastAsia="宋体" w:cs="宋体"/>
                <w:color w:val="auto"/>
                <w:kern w:val="0"/>
                <w:sz w:val="21"/>
                <w:szCs w:val="21"/>
              </w:rPr>
            </w:pPr>
          </w:p>
        </w:tc>
      </w:tr>
    </w:tbl>
    <w:p w14:paraId="55DA4450">
      <w:pPr>
        <w:spacing w:line="360" w:lineRule="auto"/>
        <w:jc w:val="center"/>
        <w:rPr>
          <w:rFonts w:hint="eastAsia" w:eastAsia="宋体"/>
          <w:color w:val="auto"/>
          <w:sz w:val="28"/>
          <w:szCs w:val="28"/>
          <w:lang w:eastAsia="zh-CN"/>
        </w:rPr>
      </w:pPr>
      <w:r>
        <w:rPr>
          <w:rFonts w:hint="eastAsia"/>
          <w:color w:val="auto"/>
          <w:lang w:eastAsia="zh-CN"/>
        </w:rPr>
        <w:t xml:space="preserve">    </w:t>
      </w:r>
    </w:p>
    <w:p w14:paraId="5AACF41C">
      <w:pPr>
        <w:spacing w:line="360" w:lineRule="auto"/>
        <w:jc w:val="center"/>
        <w:rPr>
          <w:rFonts w:hint="eastAsia" w:eastAsia="黑体"/>
          <w:color w:val="auto"/>
          <w:sz w:val="24"/>
          <w:szCs w:val="24"/>
          <w:lang w:val="en-US" w:eastAsia="zh-CN"/>
        </w:rPr>
      </w:pPr>
      <w:r>
        <w:rPr>
          <w:rFonts w:ascii="Times New Roman" w:hAnsi="Times New Roman" w:eastAsia="黑体" w:cs="Times New Roman"/>
          <w:color w:val="auto"/>
          <w:sz w:val="24"/>
          <w:szCs w:val="24"/>
        </w:rPr>
        <w:t>照片</w:t>
      </w:r>
      <w:r>
        <w:rPr>
          <w:rFonts w:hint="eastAsia" w:ascii="Times New Roman" w:hAnsi="Times New Roman" w:eastAsia="黑体" w:cs="Times New Roman"/>
          <w:color w:val="auto"/>
          <w:sz w:val="24"/>
          <w:szCs w:val="24"/>
          <w:lang w:val="en-US" w:eastAsia="zh-CN"/>
        </w:rPr>
        <w:t>3</w:t>
      </w:r>
      <w:r>
        <w:rPr>
          <w:rFonts w:hint="eastAsia" w:eastAsia="黑体" w:cs="Times New Roman"/>
          <w:color w:val="auto"/>
          <w:sz w:val="24"/>
          <w:szCs w:val="24"/>
          <w:lang w:val="en-US" w:eastAsia="zh-CN"/>
        </w:rPr>
        <w:t>-11</w:t>
      </w:r>
      <w:r>
        <w:rPr>
          <w:rFonts w:ascii="Times New Roman" w:hAnsi="Times New Roman" w:eastAsia="黑体" w:cs="Times New Roman"/>
          <w:color w:val="auto"/>
          <w:sz w:val="24"/>
          <w:szCs w:val="24"/>
        </w:rPr>
        <w:t xml:space="preserve">  </w:t>
      </w:r>
      <w:r>
        <w:rPr>
          <w:rFonts w:hint="eastAsia" w:eastAsia="黑体" w:cs="Times New Roman"/>
          <w:color w:val="auto"/>
          <w:sz w:val="24"/>
          <w:szCs w:val="24"/>
          <w:lang w:val="en-US" w:eastAsia="zh-CN"/>
        </w:rPr>
        <w:t>3#废渣堆</w:t>
      </w:r>
    </w:p>
    <w:p w14:paraId="5A58CD04">
      <w:pPr>
        <w:spacing w:line="360" w:lineRule="auto"/>
        <w:jc w:val="center"/>
        <w:rPr>
          <w:rFonts w:hint="eastAsia" w:eastAsia="黑体"/>
          <w:color w:val="auto"/>
          <w:sz w:val="24"/>
          <w:szCs w:val="24"/>
          <w:lang w:val="en-US" w:eastAsia="zh-CN"/>
        </w:rPr>
      </w:pPr>
      <w:r>
        <w:rPr>
          <w:rFonts w:hint="eastAsia" w:eastAsia="黑体"/>
          <w:color w:val="auto"/>
          <w:sz w:val="24"/>
          <w:szCs w:val="24"/>
          <w:lang w:val="en-US" w:eastAsia="zh-CN"/>
        </w:rPr>
        <w:t xml:space="preserve">    </w:t>
      </w:r>
    </w:p>
    <w:p w14:paraId="351CAC99">
      <w:pPr>
        <w:spacing w:line="360" w:lineRule="auto"/>
        <w:jc w:val="center"/>
        <w:rPr>
          <w:rFonts w:hint="default" w:eastAsia="黑体"/>
          <w:color w:val="auto"/>
          <w:sz w:val="24"/>
          <w:szCs w:val="24"/>
          <w:lang w:val="en-US" w:eastAsia="zh-CN"/>
        </w:rPr>
      </w:pPr>
      <w:r>
        <w:rPr>
          <w:rFonts w:hint="eastAsia" w:eastAsia="黑体"/>
          <w:color w:val="auto"/>
          <w:sz w:val="24"/>
          <w:szCs w:val="24"/>
          <w:lang w:val="en-US" w:eastAsia="zh-CN"/>
        </w:rPr>
        <w:t>图3-7</w:t>
      </w:r>
      <w:r>
        <w:rPr>
          <w:rFonts w:eastAsia="黑体"/>
          <w:color w:val="auto"/>
          <w:sz w:val="24"/>
          <w:szCs w:val="24"/>
        </w:rPr>
        <w:t xml:space="preserve">  </w:t>
      </w:r>
      <w:r>
        <w:rPr>
          <w:rFonts w:hint="eastAsia" w:eastAsia="黑体"/>
          <w:color w:val="auto"/>
          <w:sz w:val="24"/>
          <w:szCs w:val="24"/>
          <w:lang w:val="en-US" w:eastAsia="zh-CN"/>
        </w:rPr>
        <w:t>三角网法堆方量计算图</w:t>
      </w:r>
    </w:p>
    <w:p w14:paraId="5C567124">
      <w:pPr>
        <w:spacing w:line="360" w:lineRule="auto"/>
        <w:ind w:firstLine="562" w:firstLineChars="200"/>
        <w:rPr>
          <w:rFonts w:hint="eastAsia" w:eastAsia="宋体"/>
          <w:color w:val="auto"/>
          <w:sz w:val="28"/>
          <w:szCs w:val="28"/>
          <w:lang w:eastAsia="zh-CN"/>
        </w:rPr>
      </w:pPr>
      <w:r>
        <w:rPr>
          <w:rFonts w:hint="eastAsia"/>
          <w:b/>
          <w:bCs/>
          <w:color w:val="auto"/>
          <w:sz w:val="28"/>
          <w:szCs w:val="28"/>
          <w:lang w:eastAsia="zh-CN"/>
        </w:rPr>
        <w:t>（</w:t>
      </w:r>
      <w:r>
        <w:rPr>
          <w:rFonts w:hint="eastAsia"/>
          <w:b/>
          <w:bCs/>
          <w:color w:val="auto"/>
          <w:sz w:val="28"/>
          <w:szCs w:val="28"/>
          <w:lang w:val="en-US" w:eastAsia="zh-CN"/>
        </w:rPr>
        <w:t>7</w:t>
      </w:r>
      <w:r>
        <w:rPr>
          <w:rFonts w:hint="eastAsia"/>
          <w:b/>
          <w:bCs/>
          <w:color w:val="auto"/>
          <w:sz w:val="28"/>
          <w:szCs w:val="28"/>
          <w:lang w:eastAsia="zh-CN"/>
        </w:rPr>
        <w:t>）</w:t>
      </w:r>
      <w:r>
        <w:rPr>
          <w:rFonts w:hint="eastAsia"/>
          <w:b/>
          <w:bCs/>
          <w:color w:val="auto"/>
          <w:sz w:val="28"/>
          <w:szCs w:val="28"/>
          <w:lang w:val="en-US" w:eastAsia="zh-CN"/>
        </w:rPr>
        <w:t>工业场地</w:t>
      </w:r>
    </w:p>
    <w:p w14:paraId="54FAEA6A">
      <w:pPr>
        <w:spacing w:line="360" w:lineRule="auto"/>
        <w:ind w:firstLine="560" w:firstLineChars="200"/>
        <w:rPr>
          <w:color w:val="auto"/>
          <w:sz w:val="28"/>
          <w:szCs w:val="28"/>
        </w:rPr>
      </w:pPr>
      <w:r>
        <w:rPr>
          <w:color w:val="auto"/>
          <w:sz w:val="28"/>
          <w:szCs w:val="28"/>
        </w:rPr>
        <w:t>场地建在</w:t>
      </w:r>
      <w:r>
        <w:rPr>
          <w:rFonts w:hint="eastAsia"/>
          <w:color w:val="auto"/>
          <w:sz w:val="28"/>
          <w:szCs w:val="28"/>
          <w:lang w:val="en-US" w:eastAsia="zh-CN"/>
        </w:rPr>
        <w:t>矿区范围外，主要为矿山生产期作为破碎石料场地使用</w:t>
      </w:r>
      <w:r>
        <w:rPr>
          <w:color w:val="auto"/>
          <w:sz w:val="28"/>
          <w:szCs w:val="28"/>
        </w:rPr>
        <w:t>，场地面积为</w:t>
      </w:r>
      <w:r>
        <w:rPr>
          <w:rFonts w:hint="eastAsia"/>
          <w:color w:val="auto"/>
          <w:sz w:val="28"/>
          <w:szCs w:val="28"/>
          <w:lang w:val="en-US" w:eastAsia="zh-CN"/>
        </w:rPr>
        <w:t>5425</w:t>
      </w:r>
      <w:r>
        <w:rPr>
          <w:color w:val="auto"/>
          <w:sz w:val="28"/>
          <w:szCs w:val="28"/>
        </w:rPr>
        <w:t>m</w:t>
      </w:r>
      <w:r>
        <w:rPr>
          <w:color w:val="auto"/>
          <w:sz w:val="28"/>
          <w:szCs w:val="28"/>
          <w:vertAlign w:val="superscript"/>
        </w:rPr>
        <w:t>2</w:t>
      </w:r>
      <w:r>
        <w:rPr>
          <w:color w:val="auto"/>
          <w:sz w:val="28"/>
          <w:szCs w:val="28"/>
        </w:rPr>
        <w:t>，</w:t>
      </w:r>
      <w:r>
        <w:rPr>
          <w:rFonts w:hint="eastAsia"/>
          <w:color w:val="auto"/>
          <w:sz w:val="28"/>
          <w:szCs w:val="28"/>
          <w:lang w:val="en-US" w:eastAsia="zh-CN"/>
        </w:rPr>
        <w:t>场地较平整，残存有浆砌石堆积平台一处，高约3m，占地面积约50m</w:t>
      </w:r>
      <w:r>
        <w:rPr>
          <w:rFonts w:hint="eastAsia"/>
          <w:color w:val="auto"/>
          <w:sz w:val="28"/>
          <w:szCs w:val="28"/>
          <w:vertAlign w:val="superscript"/>
          <w:lang w:val="en-US" w:eastAsia="zh-CN"/>
        </w:rPr>
        <w:t>2</w:t>
      </w:r>
      <w:r>
        <w:rPr>
          <w:rFonts w:hint="eastAsia"/>
          <w:color w:val="auto"/>
          <w:sz w:val="28"/>
          <w:szCs w:val="28"/>
          <w:lang w:val="en-US" w:eastAsia="zh-CN"/>
        </w:rPr>
        <w:t>，堆积方量约150m</w:t>
      </w:r>
      <w:r>
        <w:rPr>
          <w:rFonts w:hint="eastAsia"/>
          <w:color w:val="auto"/>
          <w:sz w:val="28"/>
          <w:szCs w:val="28"/>
          <w:vertAlign w:val="superscript"/>
          <w:lang w:val="en-US" w:eastAsia="zh-CN"/>
        </w:rPr>
        <w:t>3</w:t>
      </w:r>
      <w:r>
        <w:rPr>
          <w:rFonts w:hint="eastAsia"/>
          <w:color w:val="auto"/>
          <w:sz w:val="28"/>
          <w:szCs w:val="28"/>
          <w:vertAlign w:val="baseline"/>
          <w:lang w:val="en-US" w:eastAsia="zh-CN"/>
        </w:rPr>
        <w:t>，场地内留有部分机械设备</w:t>
      </w:r>
      <w:r>
        <w:rPr>
          <w:rFonts w:hint="eastAsia" w:ascii="Times New Roman" w:hAnsi="Times New Roman" w:cs="Times New Roman"/>
          <w:color w:val="auto"/>
          <w:sz w:val="28"/>
          <w:szCs w:val="28"/>
          <w:lang w:val="en-US" w:eastAsia="zh-CN"/>
        </w:rPr>
        <w:t>。</w:t>
      </w:r>
      <w:r>
        <w:rPr>
          <w:color w:val="auto"/>
          <w:sz w:val="28"/>
          <w:szCs w:val="28"/>
        </w:rPr>
        <w:t>场地的建设破坏了原有地貌的和谐，地貌景观斑块化无法与周围景观相融合，对地形地貌景观影响较</w:t>
      </w:r>
      <w:r>
        <w:rPr>
          <w:rFonts w:hint="eastAsia"/>
          <w:color w:val="auto"/>
          <w:sz w:val="28"/>
          <w:szCs w:val="28"/>
          <w:lang w:val="en-US" w:eastAsia="zh-CN"/>
        </w:rPr>
        <w:t>严重</w:t>
      </w:r>
      <w:r>
        <w:rPr>
          <w:color w:val="auto"/>
          <w:sz w:val="28"/>
          <w:szCs w:val="28"/>
        </w:rPr>
        <w:t>。见照片</w:t>
      </w:r>
      <w:r>
        <w:rPr>
          <w:rFonts w:hint="eastAsia"/>
          <w:color w:val="auto"/>
          <w:sz w:val="28"/>
          <w:szCs w:val="28"/>
          <w:lang w:val="en-US" w:eastAsia="zh-CN"/>
        </w:rPr>
        <w:t>3-12</w:t>
      </w:r>
      <w:r>
        <w:rPr>
          <w:color w:val="auto"/>
          <w:sz w:val="28"/>
          <w:szCs w:val="28"/>
        </w:rPr>
        <w:t>。</w:t>
      </w:r>
    </w:p>
    <w:p w14:paraId="3677595F">
      <w:pPr>
        <w:widowControl/>
        <w:contextualSpacing/>
        <w:jc w:val="center"/>
        <w:rPr>
          <w:rFonts w:eastAsia="黑体"/>
          <w:color w:val="auto"/>
          <w:kern w:val="0"/>
          <w:sz w:val="24"/>
          <w:szCs w:val="24"/>
        </w:rPr>
      </w:pPr>
      <w:r>
        <w:rPr>
          <w:rFonts w:eastAsia="黑体"/>
          <w:color w:val="auto"/>
          <w:kern w:val="0"/>
          <w:sz w:val="24"/>
          <w:szCs w:val="24"/>
        </w:rPr>
        <w:t>表3</w:t>
      </w:r>
      <w:r>
        <w:rPr>
          <w:rFonts w:hint="eastAsia" w:eastAsia="黑体"/>
          <w:color w:val="auto"/>
          <w:kern w:val="0"/>
          <w:sz w:val="24"/>
          <w:szCs w:val="24"/>
          <w:lang w:val="en-US" w:eastAsia="zh-CN"/>
        </w:rPr>
        <w:t>-9</w:t>
      </w:r>
      <w:r>
        <w:rPr>
          <w:rFonts w:hint="eastAsia" w:eastAsia="黑体"/>
          <w:color w:val="auto"/>
          <w:kern w:val="0"/>
          <w:sz w:val="24"/>
          <w:szCs w:val="24"/>
        </w:rPr>
        <w:t xml:space="preserve"> </w:t>
      </w:r>
      <w:r>
        <w:rPr>
          <w:rFonts w:eastAsia="黑体"/>
          <w:color w:val="auto"/>
          <w:kern w:val="0"/>
          <w:sz w:val="24"/>
          <w:szCs w:val="24"/>
        </w:rPr>
        <w:t xml:space="preserve"> 地形地貌景观破坏程度评价表</w:t>
      </w:r>
    </w:p>
    <w:tbl>
      <w:tblPr>
        <w:tblStyle w:val="34"/>
        <w:tblW w:w="8534"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111"/>
        <w:gridCol w:w="2385"/>
        <w:gridCol w:w="1935"/>
        <w:gridCol w:w="945"/>
        <w:gridCol w:w="1158"/>
      </w:tblGrid>
      <w:tr w14:paraId="20F110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blHeader/>
          <w:jc w:val="center"/>
        </w:trPr>
        <w:tc>
          <w:tcPr>
            <w:tcW w:w="2111" w:type="dxa"/>
            <w:vAlign w:val="center"/>
          </w:tcPr>
          <w:p w14:paraId="34BCBCD2">
            <w:pPr>
              <w:widowControl/>
              <w:adjustRightInd w:val="0"/>
              <w:snapToGrid w:val="0"/>
              <w:jc w:val="center"/>
              <w:rPr>
                <w:color w:val="auto"/>
                <w:kern w:val="0"/>
                <w:szCs w:val="21"/>
              </w:rPr>
            </w:pPr>
            <w:r>
              <w:rPr>
                <w:color w:val="auto"/>
                <w:kern w:val="0"/>
                <w:szCs w:val="21"/>
              </w:rPr>
              <w:t>评价单元</w:t>
            </w:r>
          </w:p>
        </w:tc>
        <w:tc>
          <w:tcPr>
            <w:tcW w:w="2385" w:type="dxa"/>
            <w:vAlign w:val="center"/>
          </w:tcPr>
          <w:p w14:paraId="2151ED26">
            <w:pPr>
              <w:widowControl/>
              <w:adjustRightInd w:val="0"/>
              <w:snapToGrid w:val="0"/>
              <w:jc w:val="center"/>
              <w:rPr>
                <w:color w:val="auto"/>
                <w:kern w:val="0"/>
                <w:szCs w:val="21"/>
              </w:rPr>
            </w:pPr>
            <w:r>
              <w:rPr>
                <w:color w:val="auto"/>
                <w:kern w:val="0"/>
                <w:szCs w:val="21"/>
              </w:rPr>
              <w:t>评价因子</w:t>
            </w:r>
          </w:p>
        </w:tc>
        <w:tc>
          <w:tcPr>
            <w:tcW w:w="1935" w:type="dxa"/>
            <w:vAlign w:val="center"/>
          </w:tcPr>
          <w:p w14:paraId="0D1E59B9">
            <w:pPr>
              <w:widowControl/>
              <w:adjustRightInd w:val="0"/>
              <w:snapToGrid w:val="0"/>
              <w:jc w:val="center"/>
              <w:rPr>
                <w:color w:val="auto"/>
                <w:kern w:val="0"/>
                <w:szCs w:val="21"/>
              </w:rPr>
            </w:pPr>
            <w:r>
              <w:rPr>
                <w:color w:val="auto"/>
                <w:kern w:val="0"/>
                <w:szCs w:val="21"/>
              </w:rPr>
              <w:t>损毁程度</w:t>
            </w:r>
          </w:p>
        </w:tc>
        <w:tc>
          <w:tcPr>
            <w:tcW w:w="945" w:type="dxa"/>
            <w:tcBorders>
              <w:right w:val="single" w:color="auto" w:sz="4" w:space="0"/>
            </w:tcBorders>
            <w:vAlign w:val="center"/>
          </w:tcPr>
          <w:p w14:paraId="220C4824">
            <w:pPr>
              <w:widowControl/>
              <w:adjustRightInd w:val="0"/>
              <w:snapToGrid w:val="0"/>
              <w:jc w:val="center"/>
              <w:rPr>
                <w:color w:val="auto"/>
                <w:kern w:val="0"/>
                <w:szCs w:val="21"/>
              </w:rPr>
            </w:pPr>
            <w:r>
              <w:rPr>
                <w:color w:val="auto"/>
                <w:kern w:val="0"/>
                <w:szCs w:val="21"/>
              </w:rPr>
              <w:t>得分</w:t>
            </w:r>
          </w:p>
        </w:tc>
        <w:tc>
          <w:tcPr>
            <w:tcW w:w="1158" w:type="dxa"/>
            <w:tcBorders>
              <w:right w:val="single" w:color="auto" w:sz="4" w:space="0"/>
            </w:tcBorders>
            <w:vAlign w:val="center"/>
          </w:tcPr>
          <w:p w14:paraId="050723DE">
            <w:pPr>
              <w:widowControl/>
              <w:adjustRightInd w:val="0"/>
              <w:snapToGrid w:val="0"/>
              <w:jc w:val="center"/>
              <w:rPr>
                <w:color w:val="auto"/>
                <w:kern w:val="0"/>
                <w:szCs w:val="21"/>
              </w:rPr>
            </w:pPr>
            <w:r>
              <w:rPr>
                <w:color w:val="auto"/>
                <w:kern w:val="0"/>
                <w:szCs w:val="21"/>
              </w:rPr>
              <w:t>评价结果</w:t>
            </w:r>
          </w:p>
        </w:tc>
      </w:tr>
      <w:tr w14:paraId="0278C6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restart"/>
            <w:vAlign w:val="center"/>
          </w:tcPr>
          <w:p w14:paraId="00404DD6">
            <w:pPr>
              <w:widowControl/>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工业场地</w:t>
            </w:r>
          </w:p>
        </w:tc>
        <w:tc>
          <w:tcPr>
            <w:tcW w:w="2385" w:type="dxa"/>
            <w:vAlign w:val="center"/>
          </w:tcPr>
          <w:p w14:paraId="465A21ED">
            <w:pPr>
              <w:widowControl/>
              <w:adjustRightInd w:val="0"/>
              <w:snapToGrid w:val="0"/>
              <w:jc w:val="center"/>
              <w:rPr>
                <w:color w:val="auto"/>
                <w:kern w:val="0"/>
                <w:szCs w:val="21"/>
              </w:rPr>
            </w:pPr>
            <w:r>
              <w:rPr>
                <w:color w:val="auto"/>
              </w:rPr>
              <w:t>区位条件</w:t>
            </w:r>
          </w:p>
        </w:tc>
        <w:tc>
          <w:tcPr>
            <w:tcW w:w="1935" w:type="dxa"/>
            <w:vAlign w:val="center"/>
          </w:tcPr>
          <w:p w14:paraId="7212593C">
            <w:pPr>
              <w:widowControl/>
              <w:adjustRightInd w:val="0"/>
              <w:snapToGrid w:val="0"/>
              <w:jc w:val="center"/>
              <w:rPr>
                <w:color w:val="auto"/>
                <w:kern w:val="0"/>
                <w:szCs w:val="21"/>
              </w:rPr>
            </w:pPr>
            <w:r>
              <w:rPr>
                <w:color w:val="auto"/>
                <w:kern w:val="0"/>
                <w:szCs w:val="21"/>
              </w:rPr>
              <w:t>少有人类活动区</w:t>
            </w:r>
          </w:p>
        </w:tc>
        <w:tc>
          <w:tcPr>
            <w:tcW w:w="945" w:type="dxa"/>
            <w:vMerge w:val="restart"/>
            <w:tcBorders>
              <w:right w:val="single" w:color="auto" w:sz="4" w:space="0"/>
            </w:tcBorders>
            <w:vAlign w:val="center"/>
          </w:tcPr>
          <w:p w14:paraId="5344F7BA">
            <w:pPr>
              <w:widowControl/>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1.3</w:t>
            </w:r>
          </w:p>
        </w:tc>
        <w:tc>
          <w:tcPr>
            <w:tcW w:w="1158" w:type="dxa"/>
            <w:vMerge w:val="restart"/>
            <w:tcBorders>
              <w:left w:val="single" w:color="auto" w:sz="4" w:space="0"/>
            </w:tcBorders>
            <w:vAlign w:val="center"/>
          </w:tcPr>
          <w:p w14:paraId="714006A1">
            <w:pPr>
              <w:widowControl/>
              <w:adjustRightInd w:val="0"/>
              <w:snapToGrid w:val="0"/>
              <w:jc w:val="center"/>
              <w:rPr>
                <w:color w:val="auto"/>
                <w:kern w:val="0"/>
                <w:szCs w:val="21"/>
              </w:rPr>
            </w:pPr>
            <w:r>
              <w:rPr>
                <w:rFonts w:hint="eastAsia"/>
                <w:color w:val="auto"/>
                <w:kern w:val="0"/>
                <w:szCs w:val="21"/>
                <w:lang w:val="en-US" w:eastAsia="zh-CN"/>
              </w:rPr>
              <w:t>较</w:t>
            </w:r>
            <w:r>
              <w:rPr>
                <w:rFonts w:hint="eastAsia"/>
                <w:color w:val="auto"/>
                <w:kern w:val="0"/>
                <w:szCs w:val="21"/>
              </w:rPr>
              <w:t>严重</w:t>
            </w:r>
          </w:p>
        </w:tc>
      </w:tr>
      <w:tr w14:paraId="2A6332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continue"/>
            <w:vAlign w:val="center"/>
          </w:tcPr>
          <w:p w14:paraId="12DE0D08">
            <w:pPr>
              <w:widowControl/>
              <w:adjustRightInd w:val="0"/>
              <w:snapToGrid w:val="0"/>
              <w:jc w:val="center"/>
              <w:rPr>
                <w:color w:val="auto"/>
                <w:kern w:val="0"/>
                <w:szCs w:val="21"/>
              </w:rPr>
            </w:pPr>
          </w:p>
        </w:tc>
        <w:tc>
          <w:tcPr>
            <w:tcW w:w="2385" w:type="dxa"/>
            <w:vAlign w:val="center"/>
          </w:tcPr>
          <w:p w14:paraId="17746E61">
            <w:pPr>
              <w:widowControl/>
              <w:adjustRightInd w:val="0"/>
              <w:snapToGrid w:val="0"/>
              <w:jc w:val="center"/>
              <w:rPr>
                <w:color w:val="auto"/>
                <w:kern w:val="0"/>
                <w:szCs w:val="21"/>
              </w:rPr>
            </w:pPr>
            <w:r>
              <w:rPr>
                <w:color w:val="auto"/>
              </w:rPr>
              <w:t>可视程度</w:t>
            </w:r>
          </w:p>
        </w:tc>
        <w:tc>
          <w:tcPr>
            <w:tcW w:w="1935" w:type="dxa"/>
            <w:vAlign w:val="center"/>
          </w:tcPr>
          <w:p w14:paraId="357C32EE">
            <w:pPr>
              <w:widowControl/>
              <w:adjustRightInd w:val="0"/>
              <w:snapToGrid w:val="0"/>
              <w:jc w:val="center"/>
              <w:rPr>
                <w:color w:val="auto"/>
                <w:kern w:val="0"/>
                <w:szCs w:val="21"/>
              </w:rPr>
            </w:pPr>
            <w:r>
              <w:rPr>
                <w:rFonts w:hint="eastAsia"/>
                <w:color w:val="auto"/>
                <w:kern w:val="0"/>
                <w:szCs w:val="21"/>
                <w:lang w:val="en-US" w:eastAsia="zh-CN"/>
              </w:rPr>
              <w:t>不</w:t>
            </w:r>
            <w:r>
              <w:rPr>
                <w:color w:val="auto"/>
                <w:kern w:val="0"/>
                <w:szCs w:val="21"/>
              </w:rPr>
              <w:t>可视</w:t>
            </w:r>
          </w:p>
        </w:tc>
        <w:tc>
          <w:tcPr>
            <w:tcW w:w="945" w:type="dxa"/>
            <w:vMerge w:val="continue"/>
            <w:tcBorders>
              <w:right w:val="single" w:color="auto" w:sz="4" w:space="0"/>
            </w:tcBorders>
            <w:vAlign w:val="center"/>
          </w:tcPr>
          <w:p w14:paraId="0E263EC0">
            <w:pPr>
              <w:widowControl/>
              <w:adjustRightInd w:val="0"/>
              <w:snapToGrid w:val="0"/>
              <w:jc w:val="center"/>
              <w:rPr>
                <w:color w:val="auto"/>
                <w:kern w:val="0"/>
                <w:szCs w:val="21"/>
              </w:rPr>
            </w:pPr>
          </w:p>
        </w:tc>
        <w:tc>
          <w:tcPr>
            <w:tcW w:w="1158" w:type="dxa"/>
            <w:vMerge w:val="continue"/>
            <w:tcBorders>
              <w:left w:val="single" w:color="auto" w:sz="4" w:space="0"/>
            </w:tcBorders>
            <w:vAlign w:val="center"/>
          </w:tcPr>
          <w:p w14:paraId="1DDEB16D">
            <w:pPr>
              <w:widowControl/>
              <w:adjustRightInd w:val="0"/>
              <w:snapToGrid w:val="0"/>
              <w:jc w:val="center"/>
              <w:rPr>
                <w:color w:val="auto"/>
                <w:kern w:val="0"/>
                <w:szCs w:val="21"/>
              </w:rPr>
            </w:pPr>
          </w:p>
        </w:tc>
      </w:tr>
      <w:tr w14:paraId="1F48FF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continue"/>
            <w:vAlign w:val="center"/>
          </w:tcPr>
          <w:p w14:paraId="6A464E7C">
            <w:pPr>
              <w:widowControl/>
              <w:adjustRightInd w:val="0"/>
              <w:snapToGrid w:val="0"/>
              <w:jc w:val="center"/>
              <w:rPr>
                <w:color w:val="auto"/>
                <w:kern w:val="0"/>
                <w:szCs w:val="21"/>
              </w:rPr>
            </w:pPr>
          </w:p>
        </w:tc>
        <w:tc>
          <w:tcPr>
            <w:tcW w:w="2385" w:type="dxa"/>
            <w:vAlign w:val="center"/>
          </w:tcPr>
          <w:p w14:paraId="4683A473">
            <w:pPr>
              <w:widowControl/>
              <w:adjustRightInd w:val="0"/>
              <w:snapToGrid w:val="0"/>
              <w:jc w:val="center"/>
              <w:rPr>
                <w:color w:val="auto"/>
                <w:kern w:val="0"/>
                <w:szCs w:val="21"/>
              </w:rPr>
            </w:pPr>
            <w:r>
              <w:rPr>
                <w:color w:val="auto"/>
              </w:rPr>
              <w:t>场地面积</w:t>
            </w:r>
          </w:p>
        </w:tc>
        <w:tc>
          <w:tcPr>
            <w:tcW w:w="1935" w:type="dxa"/>
            <w:vAlign w:val="center"/>
          </w:tcPr>
          <w:p w14:paraId="4F847387">
            <w:pPr>
              <w:adjustRightInd w:val="0"/>
              <w:snapToGrid w:val="0"/>
              <w:jc w:val="center"/>
              <w:rPr>
                <w:color w:val="auto"/>
                <w:kern w:val="0"/>
                <w:szCs w:val="21"/>
              </w:rPr>
            </w:pPr>
            <w:r>
              <w:rPr>
                <w:color w:val="auto"/>
              </w:rPr>
              <w:t>&lt;1.0hm</w:t>
            </w:r>
            <w:r>
              <w:rPr>
                <w:color w:val="auto"/>
                <w:vertAlign w:val="superscript"/>
              </w:rPr>
              <w:t>2</w:t>
            </w:r>
          </w:p>
        </w:tc>
        <w:tc>
          <w:tcPr>
            <w:tcW w:w="945" w:type="dxa"/>
            <w:vMerge w:val="continue"/>
            <w:tcBorders>
              <w:right w:val="single" w:color="auto" w:sz="4" w:space="0"/>
            </w:tcBorders>
            <w:vAlign w:val="center"/>
          </w:tcPr>
          <w:p w14:paraId="4D3C5B1C">
            <w:pPr>
              <w:widowControl/>
              <w:adjustRightInd w:val="0"/>
              <w:snapToGrid w:val="0"/>
              <w:jc w:val="center"/>
              <w:rPr>
                <w:color w:val="auto"/>
                <w:kern w:val="0"/>
                <w:szCs w:val="21"/>
              </w:rPr>
            </w:pPr>
          </w:p>
        </w:tc>
        <w:tc>
          <w:tcPr>
            <w:tcW w:w="1158" w:type="dxa"/>
            <w:vMerge w:val="continue"/>
            <w:tcBorders>
              <w:left w:val="single" w:color="auto" w:sz="4" w:space="0"/>
            </w:tcBorders>
            <w:vAlign w:val="center"/>
          </w:tcPr>
          <w:p w14:paraId="04791FD8">
            <w:pPr>
              <w:widowControl/>
              <w:adjustRightInd w:val="0"/>
              <w:snapToGrid w:val="0"/>
              <w:jc w:val="center"/>
              <w:rPr>
                <w:color w:val="auto"/>
                <w:kern w:val="0"/>
                <w:szCs w:val="21"/>
              </w:rPr>
            </w:pPr>
          </w:p>
        </w:tc>
      </w:tr>
      <w:tr w14:paraId="3F787E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continue"/>
            <w:vAlign w:val="center"/>
          </w:tcPr>
          <w:p w14:paraId="589298A0">
            <w:pPr>
              <w:widowControl/>
              <w:adjustRightInd w:val="0"/>
              <w:snapToGrid w:val="0"/>
              <w:jc w:val="center"/>
              <w:rPr>
                <w:color w:val="auto"/>
                <w:kern w:val="0"/>
                <w:szCs w:val="21"/>
              </w:rPr>
            </w:pPr>
          </w:p>
        </w:tc>
        <w:tc>
          <w:tcPr>
            <w:tcW w:w="2385" w:type="dxa"/>
            <w:vAlign w:val="center"/>
          </w:tcPr>
          <w:p w14:paraId="36435194">
            <w:pPr>
              <w:widowControl/>
              <w:adjustRightInd w:val="0"/>
              <w:snapToGrid w:val="0"/>
              <w:jc w:val="center"/>
              <w:rPr>
                <w:color w:val="auto"/>
                <w:kern w:val="0"/>
                <w:szCs w:val="21"/>
              </w:rPr>
            </w:pPr>
            <w:r>
              <w:rPr>
                <w:color w:val="auto"/>
              </w:rPr>
              <w:t>排土（渣）高度</w:t>
            </w:r>
          </w:p>
        </w:tc>
        <w:tc>
          <w:tcPr>
            <w:tcW w:w="1935" w:type="dxa"/>
            <w:vAlign w:val="center"/>
          </w:tcPr>
          <w:p w14:paraId="646FFFCF">
            <w:pPr>
              <w:adjustRightInd w:val="0"/>
              <w:snapToGrid w:val="0"/>
              <w:jc w:val="center"/>
              <w:rPr>
                <w:color w:val="auto"/>
                <w:kern w:val="0"/>
                <w:szCs w:val="21"/>
              </w:rPr>
            </w:pPr>
            <w:r>
              <w:rPr>
                <w:color w:val="auto"/>
              </w:rPr>
              <w:t>&lt;5m</w:t>
            </w:r>
          </w:p>
        </w:tc>
        <w:tc>
          <w:tcPr>
            <w:tcW w:w="945" w:type="dxa"/>
            <w:vMerge w:val="continue"/>
            <w:tcBorders>
              <w:right w:val="single" w:color="auto" w:sz="4" w:space="0"/>
            </w:tcBorders>
            <w:vAlign w:val="center"/>
          </w:tcPr>
          <w:p w14:paraId="10DD089C">
            <w:pPr>
              <w:widowControl/>
              <w:adjustRightInd w:val="0"/>
              <w:snapToGrid w:val="0"/>
              <w:jc w:val="center"/>
              <w:rPr>
                <w:color w:val="auto"/>
                <w:kern w:val="0"/>
                <w:szCs w:val="21"/>
              </w:rPr>
            </w:pPr>
          </w:p>
        </w:tc>
        <w:tc>
          <w:tcPr>
            <w:tcW w:w="1158" w:type="dxa"/>
            <w:vMerge w:val="continue"/>
            <w:tcBorders>
              <w:left w:val="single" w:color="auto" w:sz="4" w:space="0"/>
            </w:tcBorders>
            <w:vAlign w:val="center"/>
          </w:tcPr>
          <w:p w14:paraId="784AED5F">
            <w:pPr>
              <w:widowControl/>
              <w:adjustRightInd w:val="0"/>
              <w:snapToGrid w:val="0"/>
              <w:jc w:val="center"/>
              <w:rPr>
                <w:color w:val="auto"/>
                <w:kern w:val="0"/>
                <w:szCs w:val="21"/>
              </w:rPr>
            </w:pPr>
          </w:p>
        </w:tc>
      </w:tr>
      <w:tr w14:paraId="68BC3A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continue"/>
            <w:vAlign w:val="center"/>
          </w:tcPr>
          <w:p w14:paraId="718CE8EB">
            <w:pPr>
              <w:widowControl/>
              <w:adjustRightInd w:val="0"/>
              <w:snapToGrid w:val="0"/>
              <w:jc w:val="center"/>
              <w:rPr>
                <w:color w:val="auto"/>
                <w:kern w:val="0"/>
                <w:szCs w:val="21"/>
              </w:rPr>
            </w:pPr>
          </w:p>
        </w:tc>
        <w:tc>
          <w:tcPr>
            <w:tcW w:w="2385" w:type="dxa"/>
            <w:vAlign w:val="center"/>
          </w:tcPr>
          <w:p w14:paraId="54287497">
            <w:pPr>
              <w:widowControl/>
              <w:adjustRightInd w:val="0"/>
              <w:snapToGrid w:val="0"/>
              <w:jc w:val="center"/>
              <w:rPr>
                <w:color w:val="auto"/>
                <w:kern w:val="0"/>
                <w:szCs w:val="21"/>
              </w:rPr>
            </w:pPr>
            <w:r>
              <w:rPr>
                <w:color w:val="auto"/>
              </w:rPr>
              <w:t>边坡规整情况</w:t>
            </w:r>
          </w:p>
        </w:tc>
        <w:tc>
          <w:tcPr>
            <w:tcW w:w="1935" w:type="dxa"/>
            <w:vAlign w:val="center"/>
          </w:tcPr>
          <w:p w14:paraId="38EA1C48">
            <w:pPr>
              <w:adjustRightInd w:val="0"/>
              <w:snapToGrid w:val="0"/>
              <w:jc w:val="center"/>
              <w:rPr>
                <w:color w:val="auto"/>
                <w:kern w:val="0"/>
                <w:szCs w:val="21"/>
              </w:rPr>
            </w:pPr>
            <w:r>
              <w:rPr>
                <w:rFonts w:hint="eastAsia"/>
                <w:color w:val="auto"/>
                <w:lang w:val="en-US" w:eastAsia="zh-CN"/>
              </w:rPr>
              <w:t>欠</w:t>
            </w:r>
            <w:r>
              <w:rPr>
                <w:color w:val="auto"/>
              </w:rPr>
              <w:t>规整</w:t>
            </w:r>
          </w:p>
        </w:tc>
        <w:tc>
          <w:tcPr>
            <w:tcW w:w="945" w:type="dxa"/>
            <w:vMerge w:val="continue"/>
            <w:tcBorders>
              <w:right w:val="single" w:color="auto" w:sz="4" w:space="0"/>
            </w:tcBorders>
            <w:vAlign w:val="center"/>
          </w:tcPr>
          <w:p w14:paraId="0A565BBD">
            <w:pPr>
              <w:widowControl/>
              <w:adjustRightInd w:val="0"/>
              <w:snapToGrid w:val="0"/>
              <w:jc w:val="center"/>
              <w:rPr>
                <w:color w:val="auto"/>
                <w:kern w:val="0"/>
                <w:szCs w:val="21"/>
              </w:rPr>
            </w:pPr>
          </w:p>
        </w:tc>
        <w:tc>
          <w:tcPr>
            <w:tcW w:w="1158" w:type="dxa"/>
            <w:vMerge w:val="continue"/>
            <w:tcBorders>
              <w:left w:val="single" w:color="auto" w:sz="4" w:space="0"/>
            </w:tcBorders>
            <w:vAlign w:val="center"/>
          </w:tcPr>
          <w:p w14:paraId="1F246DFE">
            <w:pPr>
              <w:widowControl/>
              <w:adjustRightInd w:val="0"/>
              <w:snapToGrid w:val="0"/>
              <w:jc w:val="center"/>
              <w:rPr>
                <w:color w:val="auto"/>
                <w:kern w:val="0"/>
                <w:szCs w:val="21"/>
              </w:rPr>
            </w:pPr>
          </w:p>
        </w:tc>
      </w:tr>
    </w:tbl>
    <w:p w14:paraId="11C53ACC">
      <w:pPr>
        <w:spacing w:line="360" w:lineRule="auto"/>
        <w:jc w:val="center"/>
        <w:rPr>
          <w:color w:val="auto"/>
        </w:rPr>
      </w:pPr>
    </w:p>
    <w:p w14:paraId="7AB29F67">
      <w:pPr>
        <w:spacing w:line="360" w:lineRule="auto"/>
        <w:jc w:val="center"/>
        <w:rPr>
          <w:rFonts w:hint="eastAsia" w:ascii="Times New Roman" w:hAnsi="Times New Roman" w:eastAsia="黑体" w:cs="Times New Roman"/>
          <w:color w:val="auto"/>
          <w:sz w:val="24"/>
          <w:szCs w:val="24"/>
          <w:lang w:val="en-US" w:eastAsia="zh-CN"/>
        </w:rPr>
      </w:pPr>
      <w:r>
        <w:rPr>
          <w:rFonts w:hint="eastAsia" w:eastAsia="黑体" w:cs="Times New Roman"/>
          <w:color w:val="auto"/>
          <w:sz w:val="24"/>
          <w:szCs w:val="24"/>
          <w:lang w:val="en-US" w:eastAsia="zh-CN"/>
        </w:rPr>
        <w:t xml:space="preserve">    </w:t>
      </w:r>
    </w:p>
    <w:p w14:paraId="471B01DF">
      <w:pPr>
        <w:spacing w:line="360" w:lineRule="auto"/>
        <w:jc w:val="center"/>
        <w:rPr>
          <w:color w:val="auto"/>
          <w:kern w:val="0"/>
          <w:sz w:val="28"/>
          <w:szCs w:val="28"/>
        </w:rPr>
      </w:pPr>
      <w:r>
        <w:rPr>
          <w:rFonts w:hint="eastAsia" w:ascii="Times New Roman" w:hAnsi="Times New Roman" w:eastAsia="黑体" w:cs="Times New Roman"/>
          <w:color w:val="auto"/>
          <w:sz w:val="24"/>
          <w:szCs w:val="24"/>
          <w:lang w:val="en-US" w:eastAsia="zh-CN"/>
        </w:rPr>
        <w:t>照片3-</w:t>
      </w:r>
      <w:r>
        <w:rPr>
          <w:rFonts w:hint="eastAsia" w:eastAsia="黑体" w:cs="Times New Roman"/>
          <w:color w:val="auto"/>
          <w:sz w:val="24"/>
          <w:szCs w:val="24"/>
          <w:lang w:val="en-US" w:eastAsia="zh-CN"/>
        </w:rPr>
        <w:t>12  工业场地</w:t>
      </w:r>
    </w:p>
    <w:p w14:paraId="1816AA8E">
      <w:pPr>
        <w:numPr>
          <w:ilvl w:val="0"/>
          <w:numId w:val="3"/>
        </w:numPr>
        <w:spacing w:line="360" w:lineRule="auto"/>
        <w:ind w:firstLine="562" w:firstLineChars="200"/>
        <w:jc w:val="left"/>
        <w:rPr>
          <w:rFonts w:hint="eastAsia"/>
          <w:b/>
          <w:bCs/>
          <w:color w:val="auto"/>
          <w:sz w:val="28"/>
          <w:szCs w:val="28"/>
          <w:lang w:val="en-US" w:eastAsia="zh-CN"/>
        </w:rPr>
      </w:pPr>
      <w:r>
        <w:rPr>
          <w:rFonts w:hint="eastAsia"/>
          <w:b/>
          <w:bCs/>
          <w:color w:val="auto"/>
          <w:sz w:val="28"/>
          <w:szCs w:val="28"/>
          <w:lang w:val="en-US" w:eastAsia="zh-CN"/>
        </w:rPr>
        <w:t>办公生活区</w:t>
      </w:r>
    </w:p>
    <w:p w14:paraId="574AD20B">
      <w:pPr>
        <w:spacing w:line="360" w:lineRule="auto"/>
        <w:ind w:firstLine="560" w:firstLineChars="200"/>
        <w:rPr>
          <w:color w:val="auto"/>
          <w:sz w:val="28"/>
          <w:szCs w:val="28"/>
        </w:rPr>
      </w:pPr>
      <w:r>
        <w:rPr>
          <w:color w:val="auto"/>
          <w:sz w:val="28"/>
          <w:szCs w:val="28"/>
        </w:rPr>
        <w:t>场地建在</w:t>
      </w:r>
      <w:r>
        <w:rPr>
          <w:rFonts w:hint="eastAsia"/>
          <w:color w:val="auto"/>
          <w:sz w:val="28"/>
          <w:szCs w:val="28"/>
          <w:lang w:val="en-US" w:eastAsia="zh-CN"/>
        </w:rPr>
        <w:t>矿区范围外，</w:t>
      </w:r>
      <w:r>
        <w:rPr>
          <w:color w:val="auto"/>
          <w:sz w:val="28"/>
          <w:szCs w:val="28"/>
        </w:rPr>
        <w:t>作为临时休息室及仓库使用，建筑物为</w:t>
      </w:r>
      <w:r>
        <w:rPr>
          <w:rFonts w:hint="eastAsia"/>
          <w:color w:val="auto"/>
          <w:sz w:val="28"/>
          <w:szCs w:val="28"/>
          <w:lang w:val="en-US" w:eastAsia="zh-CN"/>
        </w:rPr>
        <w:t>砖混结构</w:t>
      </w:r>
      <w:r>
        <w:rPr>
          <w:color w:val="auto"/>
          <w:sz w:val="28"/>
          <w:szCs w:val="28"/>
        </w:rPr>
        <w:t>，场地面积为</w:t>
      </w:r>
      <w:r>
        <w:rPr>
          <w:rFonts w:hint="eastAsia"/>
          <w:color w:val="auto"/>
          <w:sz w:val="28"/>
          <w:szCs w:val="28"/>
          <w:lang w:val="en-US" w:eastAsia="zh-CN"/>
        </w:rPr>
        <w:t>715</w:t>
      </w:r>
      <w:r>
        <w:rPr>
          <w:color w:val="auto"/>
          <w:sz w:val="28"/>
          <w:szCs w:val="28"/>
        </w:rPr>
        <w:t>m</w:t>
      </w:r>
      <w:r>
        <w:rPr>
          <w:color w:val="auto"/>
          <w:sz w:val="28"/>
          <w:szCs w:val="28"/>
          <w:vertAlign w:val="superscript"/>
        </w:rPr>
        <w:t>2</w:t>
      </w:r>
      <w:r>
        <w:rPr>
          <w:color w:val="auto"/>
          <w:sz w:val="28"/>
          <w:szCs w:val="28"/>
        </w:rPr>
        <w:t>，</w:t>
      </w:r>
      <w:r>
        <w:rPr>
          <w:rFonts w:hint="eastAsia"/>
          <w:color w:val="auto"/>
          <w:sz w:val="28"/>
          <w:szCs w:val="28"/>
          <w:lang w:val="en-US" w:eastAsia="zh-CN"/>
        </w:rPr>
        <w:t>建筑占地550m</w:t>
      </w:r>
      <w:r>
        <w:rPr>
          <w:rFonts w:hint="eastAsia"/>
          <w:color w:val="auto"/>
          <w:sz w:val="28"/>
          <w:szCs w:val="28"/>
          <w:vertAlign w:val="superscript"/>
          <w:lang w:val="en-US" w:eastAsia="zh-CN"/>
        </w:rPr>
        <w:t>2</w:t>
      </w:r>
      <w:r>
        <w:rPr>
          <w:rFonts w:hint="eastAsia"/>
          <w:color w:val="auto"/>
          <w:sz w:val="28"/>
          <w:szCs w:val="28"/>
          <w:vertAlign w:val="baseline"/>
          <w:lang w:val="en-US" w:eastAsia="zh-CN"/>
        </w:rPr>
        <w:t>，</w:t>
      </w:r>
      <w:r>
        <w:rPr>
          <w:color w:val="auto"/>
          <w:sz w:val="28"/>
          <w:szCs w:val="28"/>
        </w:rPr>
        <w:t>场地内部平缓，</w:t>
      </w:r>
      <w:r>
        <w:rPr>
          <w:rFonts w:hint="eastAsia"/>
          <w:color w:val="auto"/>
          <w:sz w:val="28"/>
          <w:szCs w:val="28"/>
          <w:lang w:val="en-US" w:eastAsia="zh-CN"/>
        </w:rPr>
        <w:t>无</w:t>
      </w:r>
      <w:r>
        <w:rPr>
          <w:color w:val="auto"/>
          <w:sz w:val="28"/>
          <w:szCs w:val="28"/>
        </w:rPr>
        <w:t>切坡，场地的建设破坏了原有地貌的和谐，地貌景观斑块化无法与周围景观相融合，对地形地貌景观影响较</w:t>
      </w:r>
      <w:r>
        <w:rPr>
          <w:rFonts w:hint="eastAsia"/>
          <w:color w:val="auto"/>
          <w:sz w:val="28"/>
          <w:szCs w:val="28"/>
          <w:lang w:val="en-US" w:eastAsia="zh-CN"/>
        </w:rPr>
        <w:t>严重</w:t>
      </w:r>
      <w:r>
        <w:rPr>
          <w:color w:val="auto"/>
          <w:sz w:val="28"/>
          <w:szCs w:val="28"/>
        </w:rPr>
        <w:t>。见照片</w:t>
      </w:r>
      <w:r>
        <w:rPr>
          <w:rFonts w:hint="eastAsia"/>
          <w:color w:val="auto"/>
          <w:sz w:val="28"/>
          <w:szCs w:val="28"/>
          <w:lang w:val="en-US" w:eastAsia="zh-CN"/>
        </w:rPr>
        <w:t>3-13</w:t>
      </w:r>
      <w:r>
        <w:rPr>
          <w:color w:val="auto"/>
          <w:sz w:val="28"/>
          <w:szCs w:val="28"/>
        </w:rPr>
        <w:t>。</w:t>
      </w:r>
    </w:p>
    <w:p w14:paraId="5815C55E">
      <w:pPr>
        <w:widowControl/>
        <w:contextualSpacing/>
        <w:jc w:val="center"/>
        <w:rPr>
          <w:rFonts w:eastAsia="黑体"/>
          <w:color w:val="auto"/>
          <w:kern w:val="0"/>
          <w:sz w:val="24"/>
          <w:szCs w:val="24"/>
        </w:rPr>
      </w:pPr>
      <w:r>
        <w:rPr>
          <w:rFonts w:eastAsia="黑体"/>
          <w:color w:val="auto"/>
          <w:kern w:val="0"/>
          <w:sz w:val="24"/>
          <w:szCs w:val="24"/>
        </w:rPr>
        <w:t>表3</w:t>
      </w:r>
      <w:r>
        <w:rPr>
          <w:rFonts w:hint="eastAsia" w:eastAsia="黑体"/>
          <w:color w:val="auto"/>
          <w:kern w:val="0"/>
          <w:sz w:val="24"/>
          <w:szCs w:val="24"/>
          <w:lang w:val="en-US" w:eastAsia="zh-CN"/>
        </w:rPr>
        <w:t>-9</w:t>
      </w:r>
      <w:r>
        <w:rPr>
          <w:rFonts w:hint="eastAsia" w:eastAsia="黑体"/>
          <w:color w:val="auto"/>
          <w:kern w:val="0"/>
          <w:sz w:val="24"/>
          <w:szCs w:val="24"/>
        </w:rPr>
        <w:t xml:space="preserve"> </w:t>
      </w:r>
      <w:r>
        <w:rPr>
          <w:rFonts w:eastAsia="黑体"/>
          <w:color w:val="auto"/>
          <w:kern w:val="0"/>
          <w:sz w:val="24"/>
          <w:szCs w:val="24"/>
        </w:rPr>
        <w:t xml:space="preserve"> 地形地貌景观破坏程度评价表</w:t>
      </w:r>
    </w:p>
    <w:tbl>
      <w:tblPr>
        <w:tblStyle w:val="34"/>
        <w:tblW w:w="8534"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111"/>
        <w:gridCol w:w="2385"/>
        <w:gridCol w:w="1935"/>
        <w:gridCol w:w="945"/>
        <w:gridCol w:w="1158"/>
      </w:tblGrid>
      <w:tr w14:paraId="28F070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blHeader/>
          <w:jc w:val="center"/>
        </w:trPr>
        <w:tc>
          <w:tcPr>
            <w:tcW w:w="2111" w:type="dxa"/>
            <w:vAlign w:val="center"/>
          </w:tcPr>
          <w:p w14:paraId="00B23D83">
            <w:pPr>
              <w:widowControl/>
              <w:adjustRightInd w:val="0"/>
              <w:snapToGrid w:val="0"/>
              <w:jc w:val="center"/>
              <w:rPr>
                <w:color w:val="auto"/>
                <w:kern w:val="0"/>
                <w:szCs w:val="21"/>
              </w:rPr>
            </w:pPr>
            <w:r>
              <w:rPr>
                <w:color w:val="auto"/>
                <w:kern w:val="0"/>
                <w:szCs w:val="21"/>
              </w:rPr>
              <w:t>评价单元</w:t>
            </w:r>
          </w:p>
        </w:tc>
        <w:tc>
          <w:tcPr>
            <w:tcW w:w="2385" w:type="dxa"/>
            <w:vAlign w:val="center"/>
          </w:tcPr>
          <w:p w14:paraId="234A331F">
            <w:pPr>
              <w:widowControl/>
              <w:adjustRightInd w:val="0"/>
              <w:snapToGrid w:val="0"/>
              <w:jc w:val="center"/>
              <w:rPr>
                <w:color w:val="auto"/>
                <w:kern w:val="0"/>
                <w:szCs w:val="21"/>
              </w:rPr>
            </w:pPr>
            <w:r>
              <w:rPr>
                <w:color w:val="auto"/>
                <w:kern w:val="0"/>
                <w:szCs w:val="21"/>
              </w:rPr>
              <w:t>评价因子</w:t>
            </w:r>
          </w:p>
        </w:tc>
        <w:tc>
          <w:tcPr>
            <w:tcW w:w="1935" w:type="dxa"/>
            <w:vAlign w:val="center"/>
          </w:tcPr>
          <w:p w14:paraId="06BEC3B0">
            <w:pPr>
              <w:widowControl/>
              <w:adjustRightInd w:val="0"/>
              <w:snapToGrid w:val="0"/>
              <w:jc w:val="center"/>
              <w:rPr>
                <w:color w:val="auto"/>
                <w:kern w:val="0"/>
                <w:szCs w:val="21"/>
              </w:rPr>
            </w:pPr>
            <w:r>
              <w:rPr>
                <w:color w:val="auto"/>
                <w:kern w:val="0"/>
                <w:szCs w:val="21"/>
              </w:rPr>
              <w:t>损毁程度</w:t>
            </w:r>
          </w:p>
        </w:tc>
        <w:tc>
          <w:tcPr>
            <w:tcW w:w="945" w:type="dxa"/>
            <w:tcBorders>
              <w:right w:val="single" w:color="auto" w:sz="4" w:space="0"/>
            </w:tcBorders>
            <w:vAlign w:val="center"/>
          </w:tcPr>
          <w:p w14:paraId="18345C1E">
            <w:pPr>
              <w:widowControl/>
              <w:adjustRightInd w:val="0"/>
              <w:snapToGrid w:val="0"/>
              <w:jc w:val="center"/>
              <w:rPr>
                <w:color w:val="auto"/>
                <w:kern w:val="0"/>
                <w:szCs w:val="21"/>
              </w:rPr>
            </w:pPr>
            <w:r>
              <w:rPr>
                <w:color w:val="auto"/>
                <w:kern w:val="0"/>
                <w:szCs w:val="21"/>
              </w:rPr>
              <w:t>得分</w:t>
            </w:r>
          </w:p>
        </w:tc>
        <w:tc>
          <w:tcPr>
            <w:tcW w:w="1158" w:type="dxa"/>
            <w:tcBorders>
              <w:right w:val="single" w:color="auto" w:sz="4" w:space="0"/>
            </w:tcBorders>
            <w:vAlign w:val="center"/>
          </w:tcPr>
          <w:p w14:paraId="5161EB3A">
            <w:pPr>
              <w:widowControl/>
              <w:adjustRightInd w:val="0"/>
              <w:snapToGrid w:val="0"/>
              <w:jc w:val="center"/>
              <w:rPr>
                <w:color w:val="auto"/>
                <w:kern w:val="0"/>
                <w:szCs w:val="21"/>
              </w:rPr>
            </w:pPr>
            <w:r>
              <w:rPr>
                <w:color w:val="auto"/>
                <w:kern w:val="0"/>
                <w:szCs w:val="21"/>
              </w:rPr>
              <w:t>评价结果</w:t>
            </w:r>
          </w:p>
        </w:tc>
      </w:tr>
      <w:tr w14:paraId="358D1D6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restart"/>
            <w:vAlign w:val="center"/>
          </w:tcPr>
          <w:p w14:paraId="0ABBD437">
            <w:pPr>
              <w:widowControl/>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办公生活区</w:t>
            </w:r>
          </w:p>
        </w:tc>
        <w:tc>
          <w:tcPr>
            <w:tcW w:w="2385" w:type="dxa"/>
            <w:vAlign w:val="center"/>
          </w:tcPr>
          <w:p w14:paraId="5A5C513F">
            <w:pPr>
              <w:widowControl/>
              <w:adjustRightInd w:val="0"/>
              <w:snapToGrid w:val="0"/>
              <w:jc w:val="center"/>
              <w:rPr>
                <w:color w:val="auto"/>
                <w:kern w:val="0"/>
                <w:szCs w:val="21"/>
              </w:rPr>
            </w:pPr>
            <w:r>
              <w:rPr>
                <w:color w:val="auto"/>
              </w:rPr>
              <w:t>区位条件</w:t>
            </w:r>
          </w:p>
        </w:tc>
        <w:tc>
          <w:tcPr>
            <w:tcW w:w="1935" w:type="dxa"/>
            <w:vAlign w:val="center"/>
          </w:tcPr>
          <w:p w14:paraId="6F58F44A">
            <w:pPr>
              <w:widowControl/>
              <w:adjustRightInd w:val="0"/>
              <w:snapToGrid w:val="0"/>
              <w:jc w:val="center"/>
              <w:rPr>
                <w:color w:val="auto"/>
                <w:kern w:val="0"/>
                <w:szCs w:val="21"/>
              </w:rPr>
            </w:pPr>
            <w:r>
              <w:rPr>
                <w:color w:val="auto"/>
                <w:kern w:val="0"/>
                <w:szCs w:val="21"/>
              </w:rPr>
              <w:t>少有人类活动区</w:t>
            </w:r>
          </w:p>
        </w:tc>
        <w:tc>
          <w:tcPr>
            <w:tcW w:w="945" w:type="dxa"/>
            <w:vMerge w:val="restart"/>
            <w:tcBorders>
              <w:right w:val="single" w:color="auto" w:sz="4" w:space="0"/>
            </w:tcBorders>
            <w:vAlign w:val="center"/>
          </w:tcPr>
          <w:p w14:paraId="6A8EA791">
            <w:pPr>
              <w:widowControl/>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1.3</w:t>
            </w:r>
          </w:p>
        </w:tc>
        <w:tc>
          <w:tcPr>
            <w:tcW w:w="1158" w:type="dxa"/>
            <w:vMerge w:val="restart"/>
            <w:tcBorders>
              <w:left w:val="single" w:color="auto" w:sz="4" w:space="0"/>
            </w:tcBorders>
            <w:vAlign w:val="center"/>
          </w:tcPr>
          <w:p w14:paraId="54BE7ECD">
            <w:pPr>
              <w:widowControl/>
              <w:adjustRightInd w:val="0"/>
              <w:snapToGrid w:val="0"/>
              <w:jc w:val="center"/>
              <w:rPr>
                <w:color w:val="auto"/>
                <w:kern w:val="0"/>
                <w:szCs w:val="21"/>
              </w:rPr>
            </w:pPr>
            <w:r>
              <w:rPr>
                <w:rFonts w:hint="eastAsia"/>
                <w:color w:val="auto"/>
                <w:kern w:val="0"/>
                <w:szCs w:val="21"/>
                <w:lang w:val="en-US" w:eastAsia="zh-CN"/>
              </w:rPr>
              <w:t>较</w:t>
            </w:r>
            <w:r>
              <w:rPr>
                <w:rFonts w:hint="eastAsia"/>
                <w:color w:val="auto"/>
                <w:kern w:val="0"/>
                <w:szCs w:val="21"/>
              </w:rPr>
              <w:t>严重</w:t>
            </w:r>
          </w:p>
        </w:tc>
      </w:tr>
      <w:tr w14:paraId="27284B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continue"/>
            <w:vAlign w:val="center"/>
          </w:tcPr>
          <w:p w14:paraId="103CA289">
            <w:pPr>
              <w:widowControl/>
              <w:adjustRightInd w:val="0"/>
              <w:snapToGrid w:val="0"/>
              <w:jc w:val="center"/>
              <w:rPr>
                <w:color w:val="auto"/>
                <w:kern w:val="0"/>
                <w:szCs w:val="21"/>
              </w:rPr>
            </w:pPr>
          </w:p>
        </w:tc>
        <w:tc>
          <w:tcPr>
            <w:tcW w:w="2385" w:type="dxa"/>
            <w:vAlign w:val="center"/>
          </w:tcPr>
          <w:p w14:paraId="48F90281">
            <w:pPr>
              <w:widowControl/>
              <w:adjustRightInd w:val="0"/>
              <w:snapToGrid w:val="0"/>
              <w:jc w:val="center"/>
              <w:rPr>
                <w:color w:val="auto"/>
                <w:kern w:val="0"/>
                <w:szCs w:val="21"/>
              </w:rPr>
            </w:pPr>
            <w:r>
              <w:rPr>
                <w:color w:val="auto"/>
              </w:rPr>
              <w:t>可视程度</w:t>
            </w:r>
          </w:p>
        </w:tc>
        <w:tc>
          <w:tcPr>
            <w:tcW w:w="1935" w:type="dxa"/>
            <w:vAlign w:val="center"/>
          </w:tcPr>
          <w:p w14:paraId="0A7BB6ED">
            <w:pPr>
              <w:widowControl/>
              <w:adjustRightInd w:val="0"/>
              <w:snapToGrid w:val="0"/>
              <w:jc w:val="center"/>
              <w:rPr>
                <w:color w:val="auto"/>
                <w:kern w:val="0"/>
                <w:szCs w:val="21"/>
              </w:rPr>
            </w:pPr>
            <w:r>
              <w:rPr>
                <w:rFonts w:hint="eastAsia"/>
                <w:color w:val="auto"/>
                <w:kern w:val="0"/>
                <w:szCs w:val="21"/>
                <w:lang w:val="en-US" w:eastAsia="zh-CN"/>
              </w:rPr>
              <w:t>不</w:t>
            </w:r>
            <w:r>
              <w:rPr>
                <w:color w:val="auto"/>
                <w:kern w:val="0"/>
                <w:szCs w:val="21"/>
              </w:rPr>
              <w:t>可视</w:t>
            </w:r>
          </w:p>
        </w:tc>
        <w:tc>
          <w:tcPr>
            <w:tcW w:w="945" w:type="dxa"/>
            <w:vMerge w:val="continue"/>
            <w:tcBorders>
              <w:right w:val="single" w:color="auto" w:sz="4" w:space="0"/>
            </w:tcBorders>
            <w:vAlign w:val="center"/>
          </w:tcPr>
          <w:p w14:paraId="7442233F">
            <w:pPr>
              <w:widowControl/>
              <w:adjustRightInd w:val="0"/>
              <w:snapToGrid w:val="0"/>
              <w:jc w:val="center"/>
              <w:rPr>
                <w:color w:val="auto"/>
                <w:kern w:val="0"/>
                <w:szCs w:val="21"/>
              </w:rPr>
            </w:pPr>
          </w:p>
        </w:tc>
        <w:tc>
          <w:tcPr>
            <w:tcW w:w="1158" w:type="dxa"/>
            <w:vMerge w:val="continue"/>
            <w:tcBorders>
              <w:left w:val="single" w:color="auto" w:sz="4" w:space="0"/>
            </w:tcBorders>
            <w:vAlign w:val="center"/>
          </w:tcPr>
          <w:p w14:paraId="21B841A0">
            <w:pPr>
              <w:widowControl/>
              <w:adjustRightInd w:val="0"/>
              <w:snapToGrid w:val="0"/>
              <w:jc w:val="center"/>
              <w:rPr>
                <w:color w:val="auto"/>
                <w:kern w:val="0"/>
                <w:szCs w:val="21"/>
              </w:rPr>
            </w:pPr>
          </w:p>
        </w:tc>
      </w:tr>
      <w:tr w14:paraId="2F57AD4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continue"/>
            <w:vAlign w:val="center"/>
          </w:tcPr>
          <w:p w14:paraId="1872E6E6">
            <w:pPr>
              <w:widowControl/>
              <w:adjustRightInd w:val="0"/>
              <w:snapToGrid w:val="0"/>
              <w:jc w:val="center"/>
              <w:rPr>
                <w:color w:val="auto"/>
                <w:kern w:val="0"/>
                <w:szCs w:val="21"/>
              </w:rPr>
            </w:pPr>
          </w:p>
        </w:tc>
        <w:tc>
          <w:tcPr>
            <w:tcW w:w="2385" w:type="dxa"/>
            <w:vAlign w:val="center"/>
          </w:tcPr>
          <w:p w14:paraId="04B0E970">
            <w:pPr>
              <w:widowControl/>
              <w:adjustRightInd w:val="0"/>
              <w:snapToGrid w:val="0"/>
              <w:jc w:val="center"/>
              <w:rPr>
                <w:color w:val="auto"/>
                <w:kern w:val="0"/>
                <w:szCs w:val="21"/>
              </w:rPr>
            </w:pPr>
            <w:r>
              <w:rPr>
                <w:color w:val="auto"/>
              </w:rPr>
              <w:t>场地面积</w:t>
            </w:r>
          </w:p>
        </w:tc>
        <w:tc>
          <w:tcPr>
            <w:tcW w:w="1935" w:type="dxa"/>
            <w:vAlign w:val="center"/>
          </w:tcPr>
          <w:p w14:paraId="2AD96628">
            <w:pPr>
              <w:adjustRightInd w:val="0"/>
              <w:snapToGrid w:val="0"/>
              <w:jc w:val="center"/>
              <w:rPr>
                <w:color w:val="auto"/>
                <w:kern w:val="0"/>
                <w:szCs w:val="21"/>
              </w:rPr>
            </w:pPr>
            <w:r>
              <w:rPr>
                <w:color w:val="auto"/>
              </w:rPr>
              <w:t>&lt;1.0hm</w:t>
            </w:r>
            <w:r>
              <w:rPr>
                <w:color w:val="auto"/>
                <w:vertAlign w:val="superscript"/>
              </w:rPr>
              <w:t>2</w:t>
            </w:r>
          </w:p>
        </w:tc>
        <w:tc>
          <w:tcPr>
            <w:tcW w:w="945" w:type="dxa"/>
            <w:vMerge w:val="continue"/>
            <w:tcBorders>
              <w:right w:val="single" w:color="auto" w:sz="4" w:space="0"/>
            </w:tcBorders>
            <w:vAlign w:val="center"/>
          </w:tcPr>
          <w:p w14:paraId="0F1DFD3F">
            <w:pPr>
              <w:widowControl/>
              <w:adjustRightInd w:val="0"/>
              <w:snapToGrid w:val="0"/>
              <w:jc w:val="center"/>
              <w:rPr>
                <w:color w:val="auto"/>
                <w:kern w:val="0"/>
                <w:szCs w:val="21"/>
              </w:rPr>
            </w:pPr>
          </w:p>
        </w:tc>
        <w:tc>
          <w:tcPr>
            <w:tcW w:w="1158" w:type="dxa"/>
            <w:vMerge w:val="continue"/>
            <w:tcBorders>
              <w:left w:val="single" w:color="auto" w:sz="4" w:space="0"/>
            </w:tcBorders>
            <w:vAlign w:val="center"/>
          </w:tcPr>
          <w:p w14:paraId="69A771C6">
            <w:pPr>
              <w:widowControl/>
              <w:adjustRightInd w:val="0"/>
              <w:snapToGrid w:val="0"/>
              <w:jc w:val="center"/>
              <w:rPr>
                <w:color w:val="auto"/>
                <w:kern w:val="0"/>
                <w:szCs w:val="21"/>
              </w:rPr>
            </w:pPr>
          </w:p>
        </w:tc>
      </w:tr>
      <w:tr w14:paraId="70BBBF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continue"/>
            <w:vAlign w:val="center"/>
          </w:tcPr>
          <w:p w14:paraId="108E2FC6">
            <w:pPr>
              <w:widowControl/>
              <w:adjustRightInd w:val="0"/>
              <w:snapToGrid w:val="0"/>
              <w:jc w:val="center"/>
              <w:rPr>
                <w:color w:val="auto"/>
                <w:kern w:val="0"/>
                <w:szCs w:val="21"/>
              </w:rPr>
            </w:pPr>
          </w:p>
        </w:tc>
        <w:tc>
          <w:tcPr>
            <w:tcW w:w="2385" w:type="dxa"/>
            <w:vAlign w:val="center"/>
          </w:tcPr>
          <w:p w14:paraId="3A35114B">
            <w:pPr>
              <w:widowControl/>
              <w:adjustRightInd w:val="0"/>
              <w:snapToGrid w:val="0"/>
              <w:jc w:val="center"/>
              <w:rPr>
                <w:color w:val="auto"/>
                <w:kern w:val="0"/>
                <w:szCs w:val="21"/>
              </w:rPr>
            </w:pPr>
            <w:r>
              <w:rPr>
                <w:color w:val="auto"/>
              </w:rPr>
              <w:t>排土（渣）高度</w:t>
            </w:r>
          </w:p>
        </w:tc>
        <w:tc>
          <w:tcPr>
            <w:tcW w:w="1935" w:type="dxa"/>
            <w:vAlign w:val="center"/>
          </w:tcPr>
          <w:p w14:paraId="223D47BE">
            <w:pPr>
              <w:adjustRightInd w:val="0"/>
              <w:snapToGrid w:val="0"/>
              <w:jc w:val="center"/>
              <w:rPr>
                <w:color w:val="auto"/>
                <w:kern w:val="0"/>
                <w:szCs w:val="21"/>
              </w:rPr>
            </w:pPr>
            <w:r>
              <w:rPr>
                <w:color w:val="auto"/>
              </w:rPr>
              <w:t>&lt;5m</w:t>
            </w:r>
          </w:p>
        </w:tc>
        <w:tc>
          <w:tcPr>
            <w:tcW w:w="945" w:type="dxa"/>
            <w:vMerge w:val="continue"/>
            <w:tcBorders>
              <w:right w:val="single" w:color="auto" w:sz="4" w:space="0"/>
            </w:tcBorders>
            <w:vAlign w:val="center"/>
          </w:tcPr>
          <w:p w14:paraId="455FFAF2">
            <w:pPr>
              <w:widowControl/>
              <w:adjustRightInd w:val="0"/>
              <w:snapToGrid w:val="0"/>
              <w:jc w:val="center"/>
              <w:rPr>
                <w:color w:val="auto"/>
                <w:kern w:val="0"/>
                <w:szCs w:val="21"/>
              </w:rPr>
            </w:pPr>
          </w:p>
        </w:tc>
        <w:tc>
          <w:tcPr>
            <w:tcW w:w="1158" w:type="dxa"/>
            <w:vMerge w:val="continue"/>
            <w:tcBorders>
              <w:left w:val="single" w:color="auto" w:sz="4" w:space="0"/>
            </w:tcBorders>
            <w:vAlign w:val="center"/>
          </w:tcPr>
          <w:p w14:paraId="38151F69">
            <w:pPr>
              <w:widowControl/>
              <w:adjustRightInd w:val="0"/>
              <w:snapToGrid w:val="0"/>
              <w:jc w:val="center"/>
              <w:rPr>
                <w:color w:val="auto"/>
                <w:kern w:val="0"/>
                <w:szCs w:val="21"/>
              </w:rPr>
            </w:pPr>
          </w:p>
        </w:tc>
      </w:tr>
      <w:tr w14:paraId="2A53226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continue"/>
            <w:vAlign w:val="center"/>
          </w:tcPr>
          <w:p w14:paraId="00852BD1">
            <w:pPr>
              <w:widowControl/>
              <w:adjustRightInd w:val="0"/>
              <w:snapToGrid w:val="0"/>
              <w:jc w:val="center"/>
              <w:rPr>
                <w:color w:val="auto"/>
                <w:kern w:val="0"/>
                <w:szCs w:val="21"/>
              </w:rPr>
            </w:pPr>
          </w:p>
        </w:tc>
        <w:tc>
          <w:tcPr>
            <w:tcW w:w="2385" w:type="dxa"/>
            <w:vAlign w:val="center"/>
          </w:tcPr>
          <w:p w14:paraId="374DD172">
            <w:pPr>
              <w:widowControl/>
              <w:adjustRightInd w:val="0"/>
              <w:snapToGrid w:val="0"/>
              <w:jc w:val="center"/>
              <w:rPr>
                <w:color w:val="auto"/>
                <w:kern w:val="0"/>
                <w:szCs w:val="21"/>
              </w:rPr>
            </w:pPr>
            <w:r>
              <w:rPr>
                <w:color w:val="auto"/>
              </w:rPr>
              <w:t>边坡规整情况</w:t>
            </w:r>
          </w:p>
        </w:tc>
        <w:tc>
          <w:tcPr>
            <w:tcW w:w="1935" w:type="dxa"/>
            <w:vAlign w:val="center"/>
          </w:tcPr>
          <w:p w14:paraId="54E51E8F">
            <w:pPr>
              <w:adjustRightInd w:val="0"/>
              <w:snapToGrid w:val="0"/>
              <w:jc w:val="center"/>
              <w:rPr>
                <w:color w:val="auto"/>
                <w:kern w:val="0"/>
                <w:szCs w:val="21"/>
              </w:rPr>
            </w:pPr>
            <w:r>
              <w:rPr>
                <w:rFonts w:hint="eastAsia"/>
                <w:color w:val="auto"/>
                <w:lang w:val="en-US" w:eastAsia="zh-CN"/>
              </w:rPr>
              <w:t>欠</w:t>
            </w:r>
            <w:r>
              <w:rPr>
                <w:color w:val="auto"/>
              </w:rPr>
              <w:t>规整</w:t>
            </w:r>
          </w:p>
        </w:tc>
        <w:tc>
          <w:tcPr>
            <w:tcW w:w="945" w:type="dxa"/>
            <w:vMerge w:val="continue"/>
            <w:tcBorders>
              <w:right w:val="single" w:color="auto" w:sz="4" w:space="0"/>
            </w:tcBorders>
            <w:vAlign w:val="center"/>
          </w:tcPr>
          <w:p w14:paraId="33DAB8C0">
            <w:pPr>
              <w:widowControl/>
              <w:adjustRightInd w:val="0"/>
              <w:snapToGrid w:val="0"/>
              <w:jc w:val="center"/>
              <w:rPr>
                <w:color w:val="auto"/>
                <w:kern w:val="0"/>
                <w:szCs w:val="21"/>
              </w:rPr>
            </w:pPr>
          </w:p>
        </w:tc>
        <w:tc>
          <w:tcPr>
            <w:tcW w:w="1158" w:type="dxa"/>
            <w:vMerge w:val="continue"/>
            <w:tcBorders>
              <w:left w:val="single" w:color="auto" w:sz="4" w:space="0"/>
            </w:tcBorders>
            <w:vAlign w:val="center"/>
          </w:tcPr>
          <w:p w14:paraId="55A1AE19">
            <w:pPr>
              <w:widowControl/>
              <w:adjustRightInd w:val="0"/>
              <w:snapToGrid w:val="0"/>
              <w:jc w:val="center"/>
              <w:rPr>
                <w:color w:val="auto"/>
                <w:kern w:val="0"/>
                <w:szCs w:val="21"/>
              </w:rPr>
            </w:pPr>
          </w:p>
        </w:tc>
      </w:tr>
    </w:tbl>
    <w:p w14:paraId="49946032">
      <w:pPr>
        <w:spacing w:line="360" w:lineRule="auto"/>
        <w:jc w:val="center"/>
        <w:rPr>
          <w:rFonts w:hint="eastAsia" w:ascii="Times New Roman" w:hAnsi="Times New Roman" w:eastAsia="黑体" w:cs="Times New Roman"/>
          <w:color w:val="auto"/>
          <w:sz w:val="24"/>
          <w:szCs w:val="24"/>
          <w:lang w:val="en-US" w:eastAsia="zh-CN"/>
        </w:rPr>
      </w:pPr>
      <w:r>
        <w:rPr>
          <w:rFonts w:hint="eastAsia" w:eastAsia="黑体"/>
          <w:color w:val="auto"/>
          <w:lang w:eastAsia="zh-CN"/>
        </w:rPr>
        <w:t xml:space="preserve">    </w:t>
      </w:r>
    </w:p>
    <w:p w14:paraId="6F5197DC">
      <w:pPr>
        <w:numPr>
          <w:ilvl w:val="0"/>
          <w:numId w:val="0"/>
        </w:numPr>
        <w:spacing w:line="360" w:lineRule="auto"/>
        <w:jc w:val="center"/>
        <w:rPr>
          <w:rFonts w:hint="default"/>
          <w:b/>
          <w:bCs/>
          <w:color w:val="auto"/>
          <w:sz w:val="28"/>
          <w:szCs w:val="28"/>
          <w:lang w:val="en-US" w:eastAsia="zh-CN"/>
        </w:rPr>
      </w:pPr>
      <w:r>
        <w:rPr>
          <w:rFonts w:hint="eastAsia" w:ascii="Times New Roman" w:hAnsi="Times New Roman" w:eastAsia="黑体" w:cs="Times New Roman"/>
          <w:color w:val="auto"/>
          <w:sz w:val="24"/>
          <w:szCs w:val="24"/>
          <w:lang w:val="en-US" w:eastAsia="zh-CN"/>
        </w:rPr>
        <w:t>照片3-1</w:t>
      </w:r>
      <w:r>
        <w:rPr>
          <w:rFonts w:hint="eastAsia" w:eastAsia="黑体" w:cs="Times New Roman"/>
          <w:color w:val="auto"/>
          <w:sz w:val="24"/>
          <w:szCs w:val="24"/>
          <w:lang w:val="en-US" w:eastAsia="zh-CN"/>
        </w:rPr>
        <w:t xml:space="preserve">3  </w:t>
      </w:r>
      <w:r>
        <w:rPr>
          <w:rFonts w:hint="eastAsia" w:ascii="Times New Roman" w:hAnsi="Times New Roman" w:eastAsia="黑体" w:cs="Times New Roman"/>
          <w:color w:val="auto"/>
          <w:sz w:val="24"/>
          <w:szCs w:val="24"/>
          <w:lang w:val="en-US" w:eastAsia="zh-CN"/>
        </w:rPr>
        <w:t>办公生活区</w:t>
      </w:r>
    </w:p>
    <w:p w14:paraId="1DE7B173">
      <w:pPr>
        <w:spacing w:line="360" w:lineRule="auto"/>
        <w:ind w:firstLine="562" w:firstLineChars="200"/>
        <w:jc w:val="left"/>
        <w:rPr>
          <w:color w:val="auto"/>
          <w:sz w:val="28"/>
          <w:szCs w:val="28"/>
        </w:rPr>
      </w:pPr>
      <w:r>
        <w:rPr>
          <w:rFonts w:hint="eastAsia"/>
          <w:b/>
          <w:bCs/>
          <w:color w:val="auto"/>
          <w:sz w:val="28"/>
          <w:szCs w:val="28"/>
          <w:lang w:eastAsia="zh-CN"/>
        </w:rPr>
        <w:t>（</w:t>
      </w:r>
      <w:r>
        <w:rPr>
          <w:rFonts w:hint="eastAsia"/>
          <w:b/>
          <w:bCs/>
          <w:color w:val="auto"/>
          <w:sz w:val="28"/>
          <w:szCs w:val="28"/>
          <w:lang w:val="en-US" w:eastAsia="zh-CN"/>
        </w:rPr>
        <w:t>9</w:t>
      </w:r>
      <w:r>
        <w:rPr>
          <w:rFonts w:hint="eastAsia"/>
          <w:b/>
          <w:bCs/>
          <w:color w:val="auto"/>
          <w:sz w:val="28"/>
          <w:szCs w:val="28"/>
          <w:lang w:eastAsia="zh-CN"/>
        </w:rPr>
        <w:t>）</w:t>
      </w:r>
      <w:r>
        <w:rPr>
          <w:b/>
          <w:bCs/>
          <w:color w:val="auto"/>
          <w:sz w:val="28"/>
          <w:szCs w:val="28"/>
        </w:rPr>
        <w:t>矿区道路</w:t>
      </w:r>
    </w:p>
    <w:p w14:paraId="2BBB1D35">
      <w:pPr>
        <w:spacing w:line="360" w:lineRule="auto"/>
        <w:ind w:firstLine="560" w:firstLineChars="200"/>
        <w:jc w:val="both"/>
        <w:rPr>
          <w:color w:val="auto"/>
          <w:sz w:val="28"/>
          <w:szCs w:val="28"/>
        </w:rPr>
      </w:pPr>
      <w:r>
        <w:rPr>
          <w:color w:val="auto"/>
          <w:sz w:val="28"/>
          <w:szCs w:val="28"/>
        </w:rPr>
        <w:t>矿区道路主要为连接矿区内各单元与外界的道路，主要为砂石路，道路总长度约</w:t>
      </w:r>
      <w:r>
        <w:rPr>
          <w:rFonts w:hint="eastAsia"/>
          <w:color w:val="auto"/>
          <w:sz w:val="28"/>
          <w:szCs w:val="28"/>
          <w:lang w:val="en-US" w:eastAsia="zh-CN"/>
        </w:rPr>
        <w:t>2500</w:t>
      </w:r>
      <w:r>
        <w:rPr>
          <w:color w:val="auto"/>
          <w:sz w:val="28"/>
          <w:szCs w:val="28"/>
        </w:rPr>
        <w:t>m，宽约</w:t>
      </w:r>
      <w:r>
        <w:rPr>
          <w:rFonts w:hint="eastAsia"/>
          <w:color w:val="auto"/>
          <w:sz w:val="28"/>
          <w:szCs w:val="28"/>
          <w:lang w:val="en-US" w:eastAsia="zh-CN"/>
        </w:rPr>
        <w:t>4</w:t>
      </w:r>
      <w:r>
        <w:rPr>
          <w:color w:val="auto"/>
          <w:sz w:val="28"/>
          <w:szCs w:val="28"/>
        </w:rPr>
        <w:t>m，面积</w:t>
      </w:r>
      <w:r>
        <w:rPr>
          <w:rFonts w:hint="eastAsia"/>
          <w:color w:val="auto"/>
          <w:sz w:val="28"/>
          <w:szCs w:val="28"/>
          <w:lang w:val="en-US" w:eastAsia="zh-CN"/>
        </w:rPr>
        <w:t>8610</w:t>
      </w:r>
      <w:r>
        <w:rPr>
          <w:color w:val="auto"/>
          <w:sz w:val="28"/>
          <w:szCs w:val="28"/>
        </w:rPr>
        <w:t>m</w:t>
      </w:r>
      <w:r>
        <w:rPr>
          <w:color w:val="auto"/>
          <w:sz w:val="28"/>
          <w:szCs w:val="28"/>
          <w:vertAlign w:val="superscript"/>
        </w:rPr>
        <w:t>2</w:t>
      </w:r>
      <w:r>
        <w:rPr>
          <w:color w:val="auto"/>
          <w:sz w:val="28"/>
          <w:szCs w:val="28"/>
        </w:rPr>
        <w:t>。道路在铺设过程中，对部分山体产生切坡，切坡路段长</w:t>
      </w:r>
      <w:r>
        <w:rPr>
          <w:rFonts w:hint="eastAsia"/>
          <w:color w:val="auto"/>
          <w:sz w:val="28"/>
          <w:szCs w:val="28"/>
          <w:lang w:val="en-US" w:eastAsia="zh-CN"/>
        </w:rPr>
        <w:t>1</w:t>
      </w:r>
      <w:r>
        <w:rPr>
          <w:color w:val="auto"/>
          <w:sz w:val="28"/>
          <w:szCs w:val="28"/>
        </w:rPr>
        <w:t>80m，切坡高度0.3-</w:t>
      </w:r>
      <w:r>
        <w:rPr>
          <w:rFonts w:hint="eastAsia"/>
          <w:color w:val="auto"/>
          <w:sz w:val="28"/>
          <w:szCs w:val="28"/>
          <w:lang w:val="en-US" w:eastAsia="zh-CN"/>
        </w:rPr>
        <w:t>2</w:t>
      </w:r>
      <w:r>
        <w:rPr>
          <w:color w:val="auto"/>
          <w:sz w:val="28"/>
          <w:szCs w:val="28"/>
        </w:rPr>
        <w:t>m，坡角约为</w:t>
      </w:r>
      <w:r>
        <w:rPr>
          <w:rFonts w:hint="eastAsia"/>
          <w:color w:val="auto"/>
          <w:sz w:val="28"/>
          <w:szCs w:val="28"/>
          <w:lang w:val="en-US" w:eastAsia="zh-CN"/>
        </w:rPr>
        <w:t>7</w:t>
      </w:r>
      <w:r>
        <w:rPr>
          <w:color w:val="auto"/>
          <w:sz w:val="28"/>
          <w:szCs w:val="28"/>
        </w:rPr>
        <w:t>0°</w:t>
      </w:r>
      <w:r>
        <w:rPr>
          <w:rFonts w:hint="eastAsia"/>
          <w:color w:val="auto"/>
          <w:sz w:val="28"/>
          <w:szCs w:val="28"/>
          <w:lang w:eastAsia="zh-CN"/>
        </w:rPr>
        <w:t>；</w:t>
      </w:r>
      <w:r>
        <w:rPr>
          <w:rFonts w:hint="eastAsia"/>
          <w:color w:val="auto"/>
          <w:sz w:val="28"/>
          <w:szCs w:val="28"/>
          <w:lang w:val="en-US" w:eastAsia="zh-CN"/>
        </w:rPr>
        <w:t>其中在进入露天采场处形成一处马道，两边较陡近直立，宽约4m，深约5m，长度约40m。</w:t>
      </w:r>
      <w:r>
        <w:rPr>
          <w:color w:val="auto"/>
          <w:sz w:val="28"/>
          <w:szCs w:val="28"/>
        </w:rPr>
        <w:t>道路的建设破坏了原有地形地貌景观，对原生的地形地貌景观造成了破坏，对地形地貌景观影响和破坏程度较</w:t>
      </w:r>
      <w:r>
        <w:rPr>
          <w:rFonts w:hint="eastAsia"/>
          <w:color w:val="auto"/>
          <w:sz w:val="28"/>
          <w:szCs w:val="28"/>
          <w:lang w:val="en-US" w:eastAsia="zh-CN"/>
        </w:rPr>
        <w:t>严重</w:t>
      </w:r>
      <w:r>
        <w:rPr>
          <w:color w:val="auto"/>
          <w:sz w:val="28"/>
          <w:szCs w:val="28"/>
        </w:rPr>
        <w:t>，见照片</w:t>
      </w:r>
      <w:r>
        <w:rPr>
          <w:rFonts w:hint="eastAsia"/>
          <w:color w:val="auto"/>
          <w:sz w:val="28"/>
          <w:szCs w:val="28"/>
          <w:lang w:val="en-US" w:eastAsia="zh-CN"/>
        </w:rPr>
        <w:t>3-14、3-15</w:t>
      </w:r>
      <w:r>
        <w:rPr>
          <w:color w:val="auto"/>
          <w:sz w:val="28"/>
          <w:szCs w:val="28"/>
        </w:rPr>
        <w:t>。</w:t>
      </w:r>
    </w:p>
    <w:p w14:paraId="7BF9811D">
      <w:pPr>
        <w:widowControl/>
        <w:contextualSpacing/>
        <w:jc w:val="center"/>
        <w:rPr>
          <w:rFonts w:eastAsia="黑体"/>
          <w:color w:val="auto"/>
          <w:kern w:val="0"/>
          <w:sz w:val="24"/>
          <w:szCs w:val="24"/>
        </w:rPr>
      </w:pPr>
      <w:r>
        <w:rPr>
          <w:rFonts w:eastAsia="黑体"/>
          <w:color w:val="auto"/>
          <w:kern w:val="0"/>
          <w:sz w:val="24"/>
          <w:szCs w:val="24"/>
        </w:rPr>
        <w:t>表3</w:t>
      </w:r>
      <w:r>
        <w:rPr>
          <w:rFonts w:hint="eastAsia" w:eastAsia="黑体"/>
          <w:color w:val="auto"/>
          <w:kern w:val="0"/>
          <w:sz w:val="24"/>
          <w:szCs w:val="24"/>
          <w:lang w:val="en-US" w:eastAsia="zh-CN"/>
        </w:rPr>
        <w:t>-10</w:t>
      </w:r>
      <w:r>
        <w:rPr>
          <w:rFonts w:hint="eastAsia" w:eastAsia="黑体"/>
          <w:color w:val="auto"/>
          <w:kern w:val="0"/>
          <w:sz w:val="24"/>
          <w:szCs w:val="24"/>
        </w:rPr>
        <w:t xml:space="preserve"> </w:t>
      </w:r>
      <w:r>
        <w:rPr>
          <w:rFonts w:eastAsia="黑体"/>
          <w:color w:val="auto"/>
          <w:kern w:val="0"/>
          <w:sz w:val="24"/>
          <w:szCs w:val="24"/>
        </w:rPr>
        <w:t xml:space="preserve"> 地形地貌景观破坏程度评价表</w:t>
      </w:r>
    </w:p>
    <w:tbl>
      <w:tblPr>
        <w:tblStyle w:val="34"/>
        <w:tblW w:w="8534"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111"/>
        <w:gridCol w:w="2385"/>
        <w:gridCol w:w="1935"/>
        <w:gridCol w:w="945"/>
        <w:gridCol w:w="1158"/>
      </w:tblGrid>
      <w:tr w14:paraId="365D76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blHeader/>
          <w:jc w:val="center"/>
        </w:trPr>
        <w:tc>
          <w:tcPr>
            <w:tcW w:w="2111" w:type="dxa"/>
            <w:vAlign w:val="center"/>
          </w:tcPr>
          <w:p w14:paraId="46AF3F37">
            <w:pPr>
              <w:widowControl/>
              <w:adjustRightInd w:val="0"/>
              <w:snapToGrid w:val="0"/>
              <w:jc w:val="center"/>
              <w:rPr>
                <w:color w:val="auto"/>
                <w:kern w:val="0"/>
                <w:szCs w:val="21"/>
              </w:rPr>
            </w:pPr>
            <w:r>
              <w:rPr>
                <w:color w:val="auto"/>
                <w:kern w:val="0"/>
                <w:szCs w:val="21"/>
              </w:rPr>
              <w:t>评价单元</w:t>
            </w:r>
          </w:p>
        </w:tc>
        <w:tc>
          <w:tcPr>
            <w:tcW w:w="2385" w:type="dxa"/>
            <w:vAlign w:val="center"/>
          </w:tcPr>
          <w:p w14:paraId="7418369B">
            <w:pPr>
              <w:widowControl/>
              <w:adjustRightInd w:val="0"/>
              <w:snapToGrid w:val="0"/>
              <w:jc w:val="center"/>
              <w:rPr>
                <w:color w:val="auto"/>
                <w:kern w:val="0"/>
                <w:szCs w:val="21"/>
              </w:rPr>
            </w:pPr>
            <w:r>
              <w:rPr>
                <w:color w:val="auto"/>
                <w:kern w:val="0"/>
                <w:szCs w:val="21"/>
              </w:rPr>
              <w:t>评价因子</w:t>
            </w:r>
          </w:p>
        </w:tc>
        <w:tc>
          <w:tcPr>
            <w:tcW w:w="1935" w:type="dxa"/>
            <w:vAlign w:val="center"/>
          </w:tcPr>
          <w:p w14:paraId="124338A1">
            <w:pPr>
              <w:widowControl/>
              <w:adjustRightInd w:val="0"/>
              <w:snapToGrid w:val="0"/>
              <w:jc w:val="center"/>
              <w:rPr>
                <w:color w:val="auto"/>
                <w:kern w:val="0"/>
                <w:szCs w:val="21"/>
              </w:rPr>
            </w:pPr>
            <w:r>
              <w:rPr>
                <w:color w:val="auto"/>
                <w:kern w:val="0"/>
                <w:szCs w:val="21"/>
              </w:rPr>
              <w:t>损毁程度</w:t>
            </w:r>
          </w:p>
        </w:tc>
        <w:tc>
          <w:tcPr>
            <w:tcW w:w="945" w:type="dxa"/>
            <w:tcBorders>
              <w:right w:val="single" w:color="auto" w:sz="4" w:space="0"/>
            </w:tcBorders>
            <w:vAlign w:val="center"/>
          </w:tcPr>
          <w:p w14:paraId="0A10CADA">
            <w:pPr>
              <w:widowControl/>
              <w:adjustRightInd w:val="0"/>
              <w:snapToGrid w:val="0"/>
              <w:jc w:val="center"/>
              <w:rPr>
                <w:color w:val="auto"/>
                <w:kern w:val="0"/>
                <w:szCs w:val="21"/>
              </w:rPr>
            </w:pPr>
            <w:r>
              <w:rPr>
                <w:color w:val="auto"/>
                <w:kern w:val="0"/>
                <w:szCs w:val="21"/>
              </w:rPr>
              <w:t>得分</w:t>
            </w:r>
          </w:p>
        </w:tc>
        <w:tc>
          <w:tcPr>
            <w:tcW w:w="1158" w:type="dxa"/>
            <w:tcBorders>
              <w:right w:val="single" w:color="auto" w:sz="4" w:space="0"/>
            </w:tcBorders>
            <w:vAlign w:val="center"/>
          </w:tcPr>
          <w:p w14:paraId="2D258F57">
            <w:pPr>
              <w:widowControl/>
              <w:adjustRightInd w:val="0"/>
              <w:snapToGrid w:val="0"/>
              <w:jc w:val="center"/>
              <w:rPr>
                <w:color w:val="auto"/>
                <w:kern w:val="0"/>
                <w:szCs w:val="21"/>
              </w:rPr>
            </w:pPr>
            <w:r>
              <w:rPr>
                <w:color w:val="auto"/>
                <w:kern w:val="0"/>
                <w:szCs w:val="21"/>
              </w:rPr>
              <w:t>评价结果</w:t>
            </w:r>
          </w:p>
        </w:tc>
      </w:tr>
      <w:tr w14:paraId="72E78F7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restart"/>
            <w:vAlign w:val="center"/>
          </w:tcPr>
          <w:p w14:paraId="4D3E16CE">
            <w:pPr>
              <w:widowControl/>
              <w:adjustRightInd w:val="0"/>
              <w:snapToGrid w:val="0"/>
              <w:jc w:val="center"/>
              <w:rPr>
                <w:rFonts w:hint="default"/>
                <w:color w:val="auto"/>
                <w:kern w:val="0"/>
                <w:szCs w:val="21"/>
                <w:lang w:val="en-US"/>
              </w:rPr>
            </w:pPr>
            <w:r>
              <w:rPr>
                <w:rFonts w:hint="eastAsia" w:ascii="Times New Roman" w:hAnsi="Times New Roman" w:cs="Times New Roman"/>
                <w:color w:val="auto"/>
                <w:lang w:val="en-US" w:eastAsia="zh-CN"/>
              </w:rPr>
              <w:t>矿区道路</w:t>
            </w:r>
          </w:p>
        </w:tc>
        <w:tc>
          <w:tcPr>
            <w:tcW w:w="2385" w:type="dxa"/>
            <w:vAlign w:val="center"/>
          </w:tcPr>
          <w:p w14:paraId="3869F939">
            <w:pPr>
              <w:widowControl/>
              <w:adjustRightInd w:val="0"/>
              <w:snapToGrid w:val="0"/>
              <w:jc w:val="center"/>
              <w:rPr>
                <w:color w:val="auto"/>
                <w:kern w:val="0"/>
                <w:szCs w:val="21"/>
              </w:rPr>
            </w:pPr>
            <w:r>
              <w:rPr>
                <w:color w:val="auto"/>
              </w:rPr>
              <w:t>区位条件</w:t>
            </w:r>
          </w:p>
        </w:tc>
        <w:tc>
          <w:tcPr>
            <w:tcW w:w="1935" w:type="dxa"/>
            <w:vAlign w:val="center"/>
          </w:tcPr>
          <w:p w14:paraId="3CC28971">
            <w:pPr>
              <w:widowControl/>
              <w:adjustRightInd w:val="0"/>
              <w:snapToGrid w:val="0"/>
              <w:jc w:val="center"/>
              <w:rPr>
                <w:color w:val="auto"/>
                <w:kern w:val="0"/>
                <w:szCs w:val="21"/>
              </w:rPr>
            </w:pPr>
            <w:r>
              <w:rPr>
                <w:color w:val="auto"/>
                <w:kern w:val="0"/>
                <w:szCs w:val="21"/>
              </w:rPr>
              <w:t>少有人类活动区</w:t>
            </w:r>
          </w:p>
        </w:tc>
        <w:tc>
          <w:tcPr>
            <w:tcW w:w="945" w:type="dxa"/>
            <w:vMerge w:val="restart"/>
            <w:tcBorders>
              <w:right w:val="single" w:color="auto" w:sz="4" w:space="0"/>
            </w:tcBorders>
            <w:vAlign w:val="center"/>
          </w:tcPr>
          <w:p w14:paraId="3A1484CE">
            <w:pPr>
              <w:widowControl/>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1.8</w:t>
            </w:r>
          </w:p>
        </w:tc>
        <w:tc>
          <w:tcPr>
            <w:tcW w:w="1158" w:type="dxa"/>
            <w:vMerge w:val="restart"/>
            <w:tcBorders>
              <w:left w:val="single" w:color="auto" w:sz="4" w:space="0"/>
            </w:tcBorders>
            <w:vAlign w:val="center"/>
          </w:tcPr>
          <w:p w14:paraId="1913DE16">
            <w:pPr>
              <w:widowControl/>
              <w:adjustRightInd w:val="0"/>
              <w:snapToGrid w:val="0"/>
              <w:jc w:val="center"/>
              <w:rPr>
                <w:color w:val="auto"/>
                <w:kern w:val="0"/>
                <w:szCs w:val="21"/>
              </w:rPr>
            </w:pPr>
            <w:r>
              <w:rPr>
                <w:rFonts w:hint="eastAsia"/>
                <w:color w:val="auto"/>
                <w:kern w:val="0"/>
                <w:szCs w:val="21"/>
                <w:lang w:val="en-US" w:eastAsia="zh-CN"/>
              </w:rPr>
              <w:t>较</w:t>
            </w:r>
            <w:r>
              <w:rPr>
                <w:rFonts w:hint="eastAsia"/>
                <w:color w:val="auto"/>
                <w:kern w:val="0"/>
                <w:szCs w:val="21"/>
              </w:rPr>
              <w:t>严重</w:t>
            </w:r>
          </w:p>
        </w:tc>
      </w:tr>
      <w:tr w14:paraId="26C4F9B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continue"/>
            <w:vAlign w:val="center"/>
          </w:tcPr>
          <w:p w14:paraId="5AE8E327">
            <w:pPr>
              <w:widowControl/>
              <w:adjustRightInd w:val="0"/>
              <w:snapToGrid w:val="0"/>
              <w:jc w:val="center"/>
              <w:rPr>
                <w:color w:val="auto"/>
                <w:kern w:val="0"/>
                <w:szCs w:val="21"/>
              </w:rPr>
            </w:pPr>
          </w:p>
        </w:tc>
        <w:tc>
          <w:tcPr>
            <w:tcW w:w="2385" w:type="dxa"/>
            <w:vAlign w:val="center"/>
          </w:tcPr>
          <w:p w14:paraId="70585E4E">
            <w:pPr>
              <w:widowControl/>
              <w:adjustRightInd w:val="0"/>
              <w:snapToGrid w:val="0"/>
              <w:jc w:val="center"/>
              <w:rPr>
                <w:color w:val="auto"/>
                <w:kern w:val="0"/>
                <w:szCs w:val="21"/>
              </w:rPr>
            </w:pPr>
            <w:r>
              <w:rPr>
                <w:color w:val="auto"/>
              </w:rPr>
              <w:t>可视程度</w:t>
            </w:r>
          </w:p>
        </w:tc>
        <w:tc>
          <w:tcPr>
            <w:tcW w:w="1935" w:type="dxa"/>
            <w:vAlign w:val="center"/>
          </w:tcPr>
          <w:p w14:paraId="4ADBDEC5">
            <w:pPr>
              <w:widowControl/>
              <w:adjustRightInd w:val="0"/>
              <w:snapToGrid w:val="0"/>
              <w:jc w:val="center"/>
              <w:rPr>
                <w:color w:val="auto"/>
                <w:kern w:val="0"/>
                <w:szCs w:val="21"/>
              </w:rPr>
            </w:pPr>
            <w:r>
              <w:rPr>
                <w:rFonts w:hint="eastAsia"/>
                <w:color w:val="auto"/>
                <w:kern w:val="0"/>
                <w:szCs w:val="21"/>
                <w:lang w:val="en-US" w:eastAsia="zh-CN"/>
              </w:rPr>
              <w:t>不</w:t>
            </w:r>
            <w:r>
              <w:rPr>
                <w:color w:val="auto"/>
                <w:kern w:val="0"/>
                <w:szCs w:val="21"/>
              </w:rPr>
              <w:t>可视</w:t>
            </w:r>
          </w:p>
        </w:tc>
        <w:tc>
          <w:tcPr>
            <w:tcW w:w="945" w:type="dxa"/>
            <w:vMerge w:val="continue"/>
            <w:tcBorders>
              <w:right w:val="single" w:color="auto" w:sz="4" w:space="0"/>
            </w:tcBorders>
            <w:vAlign w:val="center"/>
          </w:tcPr>
          <w:p w14:paraId="74A16110">
            <w:pPr>
              <w:widowControl/>
              <w:adjustRightInd w:val="0"/>
              <w:snapToGrid w:val="0"/>
              <w:jc w:val="center"/>
              <w:rPr>
                <w:color w:val="auto"/>
                <w:kern w:val="0"/>
                <w:szCs w:val="21"/>
              </w:rPr>
            </w:pPr>
          </w:p>
        </w:tc>
        <w:tc>
          <w:tcPr>
            <w:tcW w:w="1158" w:type="dxa"/>
            <w:vMerge w:val="continue"/>
            <w:tcBorders>
              <w:left w:val="single" w:color="auto" w:sz="4" w:space="0"/>
            </w:tcBorders>
            <w:vAlign w:val="center"/>
          </w:tcPr>
          <w:p w14:paraId="096512AA">
            <w:pPr>
              <w:widowControl/>
              <w:adjustRightInd w:val="0"/>
              <w:snapToGrid w:val="0"/>
              <w:jc w:val="center"/>
              <w:rPr>
                <w:color w:val="auto"/>
                <w:kern w:val="0"/>
                <w:szCs w:val="21"/>
              </w:rPr>
            </w:pPr>
          </w:p>
        </w:tc>
      </w:tr>
      <w:tr w14:paraId="05189A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continue"/>
            <w:vAlign w:val="center"/>
          </w:tcPr>
          <w:p w14:paraId="074B99D5">
            <w:pPr>
              <w:widowControl/>
              <w:adjustRightInd w:val="0"/>
              <w:snapToGrid w:val="0"/>
              <w:jc w:val="center"/>
              <w:rPr>
                <w:color w:val="auto"/>
                <w:kern w:val="0"/>
                <w:szCs w:val="21"/>
              </w:rPr>
            </w:pPr>
          </w:p>
        </w:tc>
        <w:tc>
          <w:tcPr>
            <w:tcW w:w="2385" w:type="dxa"/>
            <w:vAlign w:val="center"/>
          </w:tcPr>
          <w:p w14:paraId="54CAEAC9">
            <w:pPr>
              <w:widowControl/>
              <w:adjustRightInd w:val="0"/>
              <w:snapToGrid w:val="0"/>
              <w:jc w:val="center"/>
              <w:rPr>
                <w:color w:val="auto"/>
                <w:kern w:val="0"/>
                <w:szCs w:val="21"/>
              </w:rPr>
            </w:pPr>
            <w:r>
              <w:rPr>
                <w:color w:val="auto"/>
              </w:rPr>
              <w:t>破坏面积</w:t>
            </w:r>
          </w:p>
        </w:tc>
        <w:tc>
          <w:tcPr>
            <w:tcW w:w="1935" w:type="dxa"/>
            <w:vAlign w:val="center"/>
          </w:tcPr>
          <w:p w14:paraId="776779EC">
            <w:pPr>
              <w:widowControl/>
              <w:adjustRightInd w:val="0"/>
              <w:snapToGrid w:val="0"/>
              <w:jc w:val="center"/>
              <w:rPr>
                <w:color w:val="auto"/>
                <w:kern w:val="0"/>
                <w:szCs w:val="21"/>
              </w:rPr>
            </w:pPr>
            <w:r>
              <w:rPr>
                <w:color w:val="auto"/>
              </w:rPr>
              <w:t>&gt;1.0hm</w:t>
            </w:r>
            <w:r>
              <w:rPr>
                <w:color w:val="auto"/>
                <w:vertAlign w:val="superscript"/>
              </w:rPr>
              <w:t>2</w:t>
            </w:r>
          </w:p>
        </w:tc>
        <w:tc>
          <w:tcPr>
            <w:tcW w:w="945" w:type="dxa"/>
            <w:vMerge w:val="continue"/>
            <w:tcBorders>
              <w:right w:val="single" w:color="auto" w:sz="4" w:space="0"/>
            </w:tcBorders>
            <w:vAlign w:val="center"/>
          </w:tcPr>
          <w:p w14:paraId="2D7B60EE">
            <w:pPr>
              <w:widowControl/>
              <w:adjustRightInd w:val="0"/>
              <w:snapToGrid w:val="0"/>
              <w:jc w:val="center"/>
              <w:rPr>
                <w:color w:val="auto"/>
                <w:kern w:val="0"/>
                <w:szCs w:val="21"/>
              </w:rPr>
            </w:pPr>
          </w:p>
        </w:tc>
        <w:tc>
          <w:tcPr>
            <w:tcW w:w="1158" w:type="dxa"/>
            <w:vMerge w:val="continue"/>
            <w:tcBorders>
              <w:left w:val="single" w:color="auto" w:sz="4" w:space="0"/>
            </w:tcBorders>
            <w:vAlign w:val="center"/>
          </w:tcPr>
          <w:p w14:paraId="16131D71">
            <w:pPr>
              <w:widowControl/>
              <w:adjustRightInd w:val="0"/>
              <w:snapToGrid w:val="0"/>
              <w:jc w:val="center"/>
              <w:rPr>
                <w:color w:val="auto"/>
                <w:kern w:val="0"/>
                <w:szCs w:val="21"/>
              </w:rPr>
            </w:pPr>
          </w:p>
        </w:tc>
      </w:tr>
      <w:tr w14:paraId="3D3A7C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continue"/>
            <w:vAlign w:val="center"/>
          </w:tcPr>
          <w:p w14:paraId="09902467">
            <w:pPr>
              <w:widowControl/>
              <w:adjustRightInd w:val="0"/>
              <w:snapToGrid w:val="0"/>
              <w:jc w:val="center"/>
              <w:rPr>
                <w:color w:val="auto"/>
                <w:kern w:val="0"/>
                <w:szCs w:val="21"/>
              </w:rPr>
            </w:pPr>
          </w:p>
        </w:tc>
        <w:tc>
          <w:tcPr>
            <w:tcW w:w="2385" w:type="dxa"/>
            <w:vAlign w:val="center"/>
          </w:tcPr>
          <w:p w14:paraId="64404327">
            <w:pPr>
              <w:widowControl/>
              <w:adjustRightInd w:val="0"/>
              <w:snapToGrid w:val="0"/>
              <w:jc w:val="center"/>
              <w:rPr>
                <w:color w:val="auto"/>
                <w:kern w:val="0"/>
                <w:szCs w:val="21"/>
              </w:rPr>
            </w:pPr>
            <w:r>
              <w:rPr>
                <w:color w:val="auto"/>
              </w:rPr>
              <w:t>最大深度</w:t>
            </w:r>
          </w:p>
        </w:tc>
        <w:tc>
          <w:tcPr>
            <w:tcW w:w="1935" w:type="dxa"/>
            <w:vAlign w:val="center"/>
          </w:tcPr>
          <w:p w14:paraId="4470B1B1">
            <w:pPr>
              <w:widowControl/>
              <w:adjustRightInd w:val="0"/>
              <w:snapToGrid w:val="0"/>
              <w:jc w:val="center"/>
              <w:rPr>
                <w:color w:val="auto"/>
                <w:kern w:val="0"/>
                <w:szCs w:val="21"/>
              </w:rPr>
            </w:pPr>
            <w:r>
              <w:rPr>
                <w:color w:val="auto"/>
              </w:rPr>
              <w:t>&lt;10m</w:t>
            </w:r>
          </w:p>
        </w:tc>
        <w:tc>
          <w:tcPr>
            <w:tcW w:w="945" w:type="dxa"/>
            <w:vMerge w:val="continue"/>
            <w:tcBorders>
              <w:right w:val="single" w:color="auto" w:sz="4" w:space="0"/>
            </w:tcBorders>
            <w:vAlign w:val="center"/>
          </w:tcPr>
          <w:p w14:paraId="51F95CB9">
            <w:pPr>
              <w:widowControl/>
              <w:adjustRightInd w:val="0"/>
              <w:snapToGrid w:val="0"/>
              <w:jc w:val="center"/>
              <w:rPr>
                <w:color w:val="auto"/>
                <w:kern w:val="0"/>
                <w:szCs w:val="21"/>
              </w:rPr>
            </w:pPr>
          </w:p>
        </w:tc>
        <w:tc>
          <w:tcPr>
            <w:tcW w:w="1158" w:type="dxa"/>
            <w:vMerge w:val="continue"/>
            <w:tcBorders>
              <w:left w:val="single" w:color="auto" w:sz="4" w:space="0"/>
            </w:tcBorders>
            <w:vAlign w:val="center"/>
          </w:tcPr>
          <w:p w14:paraId="46B6FB1E">
            <w:pPr>
              <w:widowControl/>
              <w:adjustRightInd w:val="0"/>
              <w:snapToGrid w:val="0"/>
              <w:jc w:val="center"/>
              <w:rPr>
                <w:color w:val="auto"/>
                <w:kern w:val="0"/>
                <w:szCs w:val="21"/>
              </w:rPr>
            </w:pPr>
          </w:p>
        </w:tc>
      </w:tr>
      <w:tr w14:paraId="51D2E14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continue"/>
            <w:vAlign w:val="center"/>
          </w:tcPr>
          <w:p w14:paraId="5B659487">
            <w:pPr>
              <w:widowControl/>
              <w:adjustRightInd w:val="0"/>
              <w:snapToGrid w:val="0"/>
              <w:jc w:val="center"/>
              <w:rPr>
                <w:color w:val="auto"/>
                <w:kern w:val="0"/>
                <w:szCs w:val="21"/>
              </w:rPr>
            </w:pPr>
          </w:p>
        </w:tc>
        <w:tc>
          <w:tcPr>
            <w:tcW w:w="2385" w:type="dxa"/>
            <w:vAlign w:val="center"/>
          </w:tcPr>
          <w:p w14:paraId="1A38BBDB">
            <w:pPr>
              <w:widowControl/>
              <w:adjustRightInd w:val="0"/>
              <w:snapToGrid w:val="0"/>
              <w:jc w:val="center"/>
              <w:rPr>
                <w:color w:val="auto"/>
                <w:kern w:val="0"/>
                <w:szCs w:val="21"/>
              </w:rPr>
            </w:pPr>
            <w:r>
              <w:rPr>
                <w:color w:val="auto"/>
              </w:rPr>
              <w:t>边坡规整情况</w:t>
            </w:r>
          </w:p>
        </w:tc>
        <w:tc>
          <w:tcPr>
            <w:tcW w:w="1935" w:type="dxa"/>
            <w:vAlign w:val="center"/>
          </w:tcPr>
          <w:p w14:paraId="070A7572">
            <w:pPr>
              <w:widowControl/>
              <w:adjustRightInd w:val="0"/>
              <w:snapToGrid w:val="0"/>
              <w:jc w:val="center"/>
              <w:rPr>
                <w:color w:val="auto"/>
                <w:kern w:val="0"/>
                <w:szCs w:val="21"/>
              </w:rPr>
            </w:pPr>
            <w:r>
              <w:rPr>
                <w:color w:val="auto"/>
                <w:kern w:val="0"/>
              </w:rPr>
              <w:t>不规整</w:t>
            </w:r>
          </w:p>
        </w:tc>
        <w:tc>
          <w:tcPr>
            <w:tcW w:w="945" w:type="dxa"/>
            <w:vMerge w:val="continue"/>
            <w:tcBorders>
              <w:right w:val="single" w:color="auto" w:sz="4" w:space="0"/>
            </w:tcBorders>
            <w:vAlign w:val="center"/>
          </w:tcPr>
          <w:p w14:paraId="1CECE908">
            <w:pPr>
              <w:widowControl/>
              <w:adjustRightInd w:val="0"/>
              <w:snapToGrid w:val="0"/>
              <w:jc w:val="center"/>
              <w:rPr>
                <w:color w:val="auto"/>
                <w:kern w:val="0"/>
                <w:szCs w:val="21"/>
              </w:rPr>
            </w:pPr>
          </w:p>
        </w:tc>
        <w:tc>
          <w:tcPr>
            <w:tcW w:w="1158" w:type="dxa"/>
            <w:vMerge w:val="continue"/>
            <w:tcBorders>
              <w:left w:val="single" w:color="auto" w:sz="4" w:space="0"/>
            </w:tcBorders>
            <w:vAlign w:val="center"/>
          </w:tcPr>
          <w:p w14:paraId="24EEC091">
            <w:pPr>
              <w:widowControl/>
              <w:adjustRightInd w:val="0"/>
              <w:snapToGrid w:val="0"/>
              <w:jc w:val="center"/>
              <w:rPr>
                <w:color w:val="auto"/>
                <w:kern w:val="0"/>
                <w:szCs w:val="21"/>
              </w:rPr>
            </w:pPr>
          </w:p>
        </w:tc>
      </w:tr>
    </w:tbl>
    <w:p w14:paraId="35493DD3">
      <w:pPr>
        <w:spacing w:line="360" w:lineRule="auto"/>
        <w:jc w:val="center"/>
        <w:rPr>
          <w:rFonts w:hint="eastAsia" w:eastAsia="宋体"/>
          <w:color w:val="auto"/>
          <w:sz w:val="28"/>
          <w:szCs w:val="28"/>
          <w:lang w:eastAsia="zh-CN"/>
        </w:rPr>
      </w:pPr>
      <w:r>
        <w:rPr>
          <w:rFonts w:hint="eastAsia"/>
          <w:color w:val="auto"/>
          <w:sz w:val="28"/>
          <w:szCs w:val="28"/>
          <w:lang w:eastAsia="zh-CN"/>
        </w:rPr>
        <w:t xml:space="preserve">    </w:t>
      </w:r>
    </w:p>
    <w:p w14:paraId="2F44A277">
      <w:pPr>
        <w:spacing w:line="360" w:lineRule="auto"/>
        <w:jc w:val="center"/>
        <w:rPr>
          <w:rFonts w:hint="eastAsia" w:ascii="Times New Roman" w:hAnsi="Times New Roman" w:eastAsia="黑体" w:cs="Times New Roman"/>
          <w:color w:val="auto"/>
          <w:sz w:val="24"/>
          <w:szCs w:val="24"/>
          <w:lang w:val="en-US" w:eastAsia="zh-CN"/>
        </w:rPr>
      </w:pPr>
      <w:r>
        <w:rPr>
          <w:rFonts w:hint="eastAsia" w:ascii="Times New Roman" w:hAnsi="Times New Roman" w:eastAsia="黑体" w:cs="Times New Roman"/>
          <w:color w:val="auto"/>
          <w:sz w:val="24"/>
          <w:szCs w:val="24"/>
          <w:lang w:val="en-US" w:eastAsia="zh-CN"/>
        </w:rPr>
        <w:t>照片3-</w:t>
      </w:r>
      <w:r>
        <w:rPr>
          <w:rFonts w:hint="eastAsia" w:eastAsia="黑体" w:cs="Times New Roman"/>
          <w:color w:val="auto"/>
          <w:sz w:val="24"/>
          <w:szCs w:val="24"/>
          <w:lang w:val="en-US" w:eastAsia="zh-CN"/>
        </w:rPr>
        <w:t>14</w:t>
      </w:r>
      <w:r>
        <w:rPr>
          <w:rFonts w:hint="eastAsia" w:ascii="Times New Roman" w:hAnsi="Times New Roman" w:eastAsia="黑体" w:cs="Times New Roman"/>
          <w:color w:val="auto"/>
          <w:sz w:val="24"/>
          <w:szCs w:val="24"/>
          <w:lang w:val="en-US" w:eastAsia="zh-CN"/>
        </w:rPr>
        <w:t xml:space="preserve">  矿区道路</w:t>
      </w:r>
    </w:p>
    <w:p w14:paraId="2B328BCE">
      <w:pPr>
        <w:spacing w:line="360" w:lineRule="auto"/>
        <w:jc w:val="center"/>
        <w:rPr>
          <w:rFonts w:hint="eastAsia" w:ascii="Times New Roman" w:hAnsi="Times New Roman" w:eastAsia="黑体" w:cs="Times New Roman"/>
          <w:color w:val="auto"/>
          <w:sz w:val="24"/>
          <w:szCs w:val="24"/>
          <w:lang w:val="en-US" w:eastAsia="zh-CN"/>
        </w:rPr>
      </w:pPr>
      <w:r>
        <w:rPr>
          <w:rFonts w:hint="eastAsia" w:eastAsia="黑体" w:cs="Times New Roman"/>
          <w:color w:val="auto"/>
          <w:sz w:val="24"/>
          <w:szCs w:val="24"/>
          <w:lang w:val="en-US" w:eastAsia="zh-CN"/>
        </w:rPr>
        <w:t xml:space="preserve">    </w:t>
      </w:r>
    </w:p>
    <w:p w14:paraId="2EFC3D9F">
      <w:pPr>
        <w:spacing w:line="360" w:lineRule="auto"/>
        <w:jc w:val="center"/>
        <w:rPr>
          <w:rFonts w:hint="eastAsia" w:eastAsia="黑体" w:cs="Times New Roman"/>
          <w:color w:val="auto"/>
          <w:sz w:val="24"/>
          <w:szCs w:val="24"/>
          <w:lang w:val="en-US" w:eastAsia="zh-CN"/>
        </w:rPr>
      </w:pPr>
      <w:r>
        <w:rPr>
          <w:rFonts w:hint="eastAsia" w:ascii="Times New Roman" w:hAnsi="Times New Roman" w:eastAsia="黑体" w:cs="Times New Roman"/>
          <w:color w:val="auto"/>
          <w:sz w:val="24"/>
          <w:szCs w:val="24"/>
          <w:lang w:val="en-US" w:eastAsia="zh-CN"/>
        </w:rPr>
        <w:t>照片3-</w:t>
      </w:r>
      <w:r>
        <w:rPr>
          <w:rFonts w:hint="eastAsia" w:eastAsia="黑体" w:cs="Times New Roman"/>
          <w:color w:val="auto"/>
          <w:sz w:val="24"/>
          <w:szCs w:val="24"/>
          <w:lang w:val="en-US" w:eastAsia="zh-CN"/>
        </w:rPr>
        <w:t>15</w:t>
      </w:r>
      <w:r>
        <w:rPr>
          <w:rFonts w:hint="eastAsia" w:ascii="Times New Roman" w:hAnsi="Times New Roman" w:eastAsia="黑体" w:cs="Times New Roman"/>
          <w:color w:val="auto"/>
          <w:sz w:val="24"/>
          <w:szCs w:val="24"/>
          <w:lang w:val="en-US" w:eastAsia="zh-CN"/>
        </w:rPr>
        <w:t xml:space="preserve">  </w:t>
      </w:r>
      <w:r>
        <w:rPr>
          <w:rFonts w:hint="eastAsia" w:eastAsia="黑体" w:cs="Times New Roman"/>
          <w:color w:val="auto"/>
          <w:sz w:val="24"/>
          <w:szCs w:val="24"/>
          <w:lang w:val="en-US" w:eastAsia="zh-CN"/>
        </w:rPr>
        <w:t>进入露天采场马道</w:t>
      </w:r>
    </w:p>
    <w:p w14:paraId="7DF459E4">
      <w:pPr>
        <w:spacing w:line="360" w:lineRule="auto"/>
        <w:ind w:firstLine="562" w:firstLineChars="200"/>
        <w:jc w:val="left"/>
        <w:rPr>
          <w:rFonts w:hint="eastAsia" w:ascii="Times New Roman" w:hAnsi="Times New Roman" w:cs="Times New Roman"/>
          <w:b/>
          <w:bCs/>
          <w:color w:val="auto"/>
          <w:sz w:val="28"/>
          <w:szCs w:val="28"/>
          <w:lang w:val="en-US" w:eastAsia="zh-CN"/>
        </w:rPr>
      </w:pPr>
      <w:r>
        <w:rPr>
          <w:rFonts w:hint="eastAsia" w:cs="Times New Roman"/>
          <w:b/>
          <w:bCs/>
          <w:color w:val="auto"/>
          <w:sz w:val="28"/>
          <w:szCs w:val="28"/>
          <w:lang w:val="en-US" w:eastAsia="zh-CN"/>
        </w:rPr>
        <w:t>（10）</w:t>
      </w:r>
      <w:r>
        <w:rPr>
          <w:rFonts w:hint="eastAsia" w:ascii="Times New Roman" w:hAnsi="Times New Roman" w:cs="Times New Roman"/>
          <w:b/>
          <w:bCs/>
          <w:color w:val="auto"/>
          <w:sz w:val="28"/>
          <w:szCs w:val="28"/>
          <w:lang w:val="en-US" w:eastAsia="zh-CN"/>
        </w:rPr>
        <w:t>变压器</w:t>
      </w:r>
    </w:p>
    <w:p w14:paraId="7F11F8A3">
      <w:pPr>
        <w:spacing w:line="360" w:lineRule="auto"/>
        <w:ind w:firstLine="560" w:firstLineChars="200"/>
        <w:rPr>
          <w:color w:val="auto"/>
          <w:sz w:val="28"/>
          <w:szCs w:val="28"/>
        </w:rPr>
      </w:pPr>
      <w:r>
        <w:rPr>
          <w:color w:val="auto"/>
          <w:sz w:val="28"/>
          <w:szCs w:val="28"/>
        </w:rPr>
        <w:t>场地建在</w:t>
      </w:r>
      <w:r>
        <w:rPr>
          <w:rFonts w:hint="eastAsia"/>
          <w:color w:val="auto"/>
          <w:sz w:val="28"/>
          <w:szCs w:val="28"/>
          <w:lang w:val="en-US" w:eastAsia="zh-CN"/>
        </w:rPr>
        <w:t>矿区范围外</w:t>
      </w:r>
      <w:r>
        <w:rPr>
          <w:color w:val="auto"/>
          <w:sz w:val="28"/>
          <w:szCs w:val="28"/>
        </w:rPr>
        <w:t>，场地面积为</w:t>
      </w:r>
      <w:r>
        <w:rPr>
          <w:rFonts w:hint="eastAsia"/>
          <w:color w:val="auto"/>
          <w:sz w:val="28"/>
          <w:szCs w:val="28"/>
          <w:lang w:val="en-US" w:eastAsia="zh-CN"/>
        </w:rPr>
        <w:t>18</w:t>
      </w:r>
      <w:r>
        <w:rPr>
          <w:color w:val="auto"/>
          <w:sz w:val="28"/>
          <w:szCs w:val="28"/>
        </w:rPr>
        <w:t>m</w:t>
      </w:r>
      <w:r>
        <w:rPr>
          <w:color w:val="auto"/>
          <w:sz w:val="28"/>
          <w:szCs w:val="28"/>
          <w:vertAlign w:val="superscript"/>
        </w:rPr>
        <w:t>2</w:t>
      </w:r>
      <w:r>
        <w:rPr>
          <w:rFonts w:hint="eastAsia"/>
          <w:color w:val="auto"/>
          <w:sz w:val="28"/>
          <w:szCs w:val="28"/>
          <w:vertAlign w:val="baseline"/>
          <w:lang w:val="en-US" w:eastAsia="zh-CN"/>
        </w:rPr>
        <w:t>，</w:t>
      </w:r>
      <w:r>
        <w:rPr>
          <w:color w:val="auto"/>
          <w:sz w:val="28"/>
          <w:szCs w:val="28"/>
        </w:rPr>
        <w:t>场地内部平缓，</w:t>
      </w:r>
      <w:r>
        <w:rPr>
          <w:rFonts w:hint="eastAsia"/>
          <w:color w:val="auto"/>
          <w:sz w:val="28"/>
          <w:szCs w:val="28"/>
          <w:lang w:val="en-US" w:eastAsia="zh-CN"/>
        </w:rPr>
        <w:t>无</w:t>
      </w:r>
      <w:r>
        <w:rPr>
          <w:color w:val="auto"/>
          <w:sz w:val="28"/>
          <w:szCs w:val="28"/>
        </w:rPr>
        <w:t>切坡，场地的建设破坏了原有地貌的和谐，地貌景观斑块化无法与周围景观相融合，对地形地貌景观影响较</w:t>
      </w:r>
      <w:r>
        <w:rPr>
          <w:rFonts w:hint="eastAsia"/>
          <w:color w:val="auto"/>
          <w:sz w:val="28"/>
          <w:szCs w:val="28"/>
          <w:lang w:val="en-US" w:eastAsia="zh-CN"/>
        </w:rPr>
        <w:t>严重</w:t>
      </w:r>
      <w:r>
        <w:rPr>
          <w:color w:val="auto"/>
          <w:sz w:val="28"/>
          <w:szCs w:val="28"/>
        </w:rPr>
        <w:t>。</w:t>
      </w:r>
    </w:p>
    <w:p w14:paraId="3A391C11">
      <w:pPr>
        <w:widowControl/>
        <w:contextualSpacing/>
        <w:jc w:val="center"/>
        <w:rPr>
          <w:rFonts w:eastAsia="黑体"/>
          <w:color w:val="auto"/>
          <w:kern w:val="0"/>
          <w:sz w:val="24"/>
          <w:szCs w:val="24"/>
        </w:rPr>
      </w:pPr>
    </w:p>
    <w:p w14:paraId="2905DB3A">
      <w:pPr>
        <w:widowControl/>
        <w:contextualSpacing/>
        <w:jc w:val="center"/>
        <w:rPr>
          <w:rFonts w:eastAsia="黑体"/>
          <w:color w:val="auto"/>
          <w:kern w:val="0"/>
          <w:sz w:val="24"/>
          <w:szCs w:val="24"/>
        </w:rPr>
      </w:pPr>
      <w:r>
        <w:rPr>
          <w:rFonts w:eastAsia="黑体"/>
          <w:color w:val="auto"/>
          <w:kern w:val="0"/>
          <w:sz w:val="24"/>
          <w:szCs w:val="24"/>
        </w:rPr>
        <w:t>表3</w:t>
      </w:r>
      <w:r>
        <w:rPr>
          <w:rFonts w:hint="eastAsia" w:eastAsia="黑体"/>
          <w:color w:val="auto"/>
          <w:kern w:val="0"/>
          <w:sz w:val="24"/>
          <w:szCs w:val="24"/>
          <w:lang w:val="en-US" w:eastAsia="zh-CN"/>
        </w:rPr>
        <w:t>-10</w:t>
      </w:r>
      <w:r>
        <w:rPr>
          <w:rFonts w:hint="eastAsia" w:eastAsia="黑体"/>
          <w:color w:val="auto"/>
          <w:kern w:val="0"/>
          <w:sz w:val="24"/>
          <w:szCs w:val="24"/>
        </w:rPr>
        <w:t xml:space="preserve"> </w:t>
      </w:r>
      <w:r>
        <w:rPr>
          <w:rFonts w:eastAsia="黑体"/>
          <w:color w:val="auto"/>
          <w:kern w:val="0"/>
          <w:sz w:val="24"/>
          <w:szCs w:val="24"/>
        </w:rPr>
        <w:t xml:space="preserve"> 地形地貌景观破坏程度评价表</w:t>
      </w:r>
    </w:p>
    <w:tbl>
      <w:tblPr>
        <w:tblStyle w:val="34"/>
        <w:tblW w:w="8534"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111"/>
        <w:gridCol w:w="2385"/>
        <w:gridCol w:w="1935"/>
        <w:gridCol w:w="945"/>
        <w:gridCol w:w="1158"/>
      </w:tblGrid>
      <w:tr w14:paraId="64EB25E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blHeader/>
          <w:jc w:val="center"/>
        </w:trPr>
        <w:tc>
          <w:tcPr>
            <w:tcW w:w="2111" w:type="dxa"/>
            <w:vAlign w:val="center"/>
          </w:tcPr>
          <w:p w14:paraId="3A878DE5">
            <w:pPr>
              <w:widowControl/>
              <w:adjustRightInd w:val="0"/>
              <w:snapToGrid w:val="0"/>
              <w:jc w:val="center"/>
              <w:rPr>
                <w:color w:val="auto"/>
                <w:kern w:val="0"/>
                <w:szCs w:val="21"/>
              </w:rPr>
            </w:pPr>
            <w:r>
              <w:rPr>
                <w:color w:val="auto"/>
                <w:kern w:val="0"/>
                <w:szCs w:val="21"/>
              </w:rPr>
              <w:t>评价单元</w:t>
            </w:r>
          </w:p>
        </w:tc>
        <w:tc>
          <w:tcPr>
            <w:tcW w:w="2385" w:type="dxa"/>
            <w:vAlign w:val="center"/>
          </w:tcPr>
          <w:p w14:paraId="2115A8D2">
            <w:pPr>
              <w:widowControl/>
              <w:adjustRightInd w:val="0"/>
              <w:snapToGrid w:val="0"/>
              <w:jc w:val="center"/>
              <w:rPr>
                <w:color w:val="auto"/>
                <w:kern w:val="0"/>
                <w:szCs w:val="21"/>
              </w:rPr>
            </w:pPr>
            <w:r>
              <w:rPr>
                <w:color w:val="auto"/>
                <w:kern w:val="0"/>
                <w:szCs w:val="21"/>
              </w:rPr>
              <w:t>评价因子</w:t>
            </w:r>
          </w:p>
        </w:tc>
        <w:tc>
          <w:tcPr>
            <w:tcW w:w="1935" w:type="dxa"/>
            <w:vAlign w:val="center"/>
          </w:tcPr>
          <w:p w14:paraId="51334D74">
            <w:pPr>
              <w:widowControl/>
              <w:adjustRightInd w:val="0"/>
              <w:snapToGrid w:val="0"/>
              <w:jc w:val="center"/>
              <w:rPr>
                <w:color w:val="auto"/>
                <w:kern w:val="0"/>
                <w:szCs w:val="21"/>
              </w:rPr>
            </w:pPr>
            <w:r>
              <w:rPr>
                <w:color w:val="auto"/>
                <w:kern w:val="0"/>
                <w:szCs w:val="21"/>
              </w:rPr>
              <w:t>损毁程度</w:t>
            </w:r>
          </w:p>
        </w:tc>
        <w:tc>
          <w:tcPr>
            <w:tcW w:w="945" w:type="dxa"/>
            <w:tcBorders>
              <w:right w:val="single" w:color="auto" w:sz="4" w:space="0"/>
            </w:tcBorders>
            <w:vAlign w:val="center"/>
          </w:tcPr>
          <w:p w14:paraId="406561DC">
            <w:pPr>
              <w:widowControl/>
              <w:adjustRightInd w:val="0"/>
              <w:snapToGrid w:val="0"/>
              <w:jc w:val="center"/>
              <w:rPr>
                <w:color w:val="auto"/>
                <w:kern w:val="0"/>
                <w:szCs w:val="21"/>
              </w:rPr>
            </w:pPr>
            <w:r>
              <w:rPr>
                <w:color w:val="auto"/>
                <w:kern w:val="0"/>
                <w:szCs w:val="21"/>
              </w:rPr>
              <w:t>得分</w:t>
            </w:r>
          </w:p>
        </w:tc>
        <w:tc>
          <w:tcPr>
            <w:tcW w:w="1158" w:type="dxa"/>
            <w:tcBorders>
              <w:right w:val="single" w:color="auto" w:sz="4" w:space="0"/>
            </w:tcBorders>
            <w:vAlign w:val="center"/>
          </w:tcPr>
          <w:p w14:paraId="44BD72AD">
            <w:pPr>
              <w:widowControl/>
              <w:adjustRightInd w:val="0"/>
              <w:snapToGrid w:val="0"/>
              <w:jc w:val="center"/>
              <w:rPr>
                <w:color w:val="auto"/>
                <w:kern w:val="0"/>
                <w:szCs w:val="21"/>
              </w:rPr>
            </w:pPr>
            <w:r>
              <w:rPr>
                <w:color w:val="auto"/>
                <w:kern w:val="0"/>
                <w:szCs w:val="21"/>
              </w:rPr>
              <w:t>评价结果</w:t>
            </w:r>
          </w:p>
        </w:tc>
      </w:tr>
      <w:tr w14:paraId="143F55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restart"/>
            <w:vAlign w:val="center"/>
          </w:tcPr>
          <w:p w14:paraId="017BC951">
            <w:pPr>
              <w:widowControl/>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变压器</w:t>
            </w:r>
          </w:p>
        </w:tc>
        <w:tc>
          <w:tcPr>
            <w:tcW w:w="2385" w:type="dxa"/>
            <w:vAlign w:val="center"/>
          </w:tcPr>
          <w:p w14:paraId="6D9B1892">
            <w:pPr>
              <w:widowControl/>
              <w:adjustRightInd w:val="0"/>
              <w:snapToGrid w:val="0"/>
              <w:jc w:val="center"/>
              <w:rPr>
                <w:color w:val="auto"/>
                <w:kern w:val="0"/>
                <w:szCs w:val="21"/>
              </w:rPr>
            </w:pPr>
            <w:r>
              <w:rPr>
                <w:color w:val="auto"/>
              </w:rPr>
              <w:t>区位条件</w:t>
            </w:r>
          </w:p>
        </w:tc>
        <w:tc>
          <w:tcPr>
            <w:tcW w:w="1935" w:type="dxa"/>
            <w:vAlign w:val="center"/>
          </w:tcPr>
          <w:p w14:paraId="3CDD3E97">
            <w:pPr>
              <w:widowControl/>
              <w:adjustRightInd w:val="0"/>
              <w:snapToGrid w:val="0"/>
              <w:jc w:val="center"/>
              <w:rPr>
                <w:color w:val="auto"/>
                <w:kern w:val="0"/>
                <w:szCs w:val="21"/>
              </w:rPr>
            </w:pPr>
            <w:r>
              <w:rPr>
                <w:color w:val="auto"/>
                <w:kern w:val="0"/>
                <w:szCs w:val="21"/>
              </w:rPr>
              <w:t>少有人类活动区</w:t>
            </w:r>
          </w:p>
        </w:tc>
        <w:tc>
          <w:tcPr>
            <w:tcW w:w="945" w:type="dxa"/>
            <w:vMerge w:val="restart"/>
            <w:tcBorders>
              <w:right w:val="single" w:color="auto" w:sz="4" w:space="0"/>
            </w:tcBorders>
            <w:vAlign w:val="center"/>
          </w:tcPr>
          <w:p w14:paraId="55F8C9CB">
            <w:pPr>
              <w:widowControl/>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1.3</w:t>
            </w:r>
          </w:p>
        </w:tc>
        <w:tc>
          <w:tcPr>
            <w:tcW w:w="1158" w:type="dxa"/>
            <w:vMerge w:val="restart"/>
            <w:tcBorders>
              <w:left w:val="single" w:color="auto" w:sz="4" w:space="0"/>
            </w:tcBorders>
            <w:vAlign w:val="center"/>
          </w:tcPr>
          <w:p w14:paraId="149D98BF">
            <w:pPr>
              <w:widowControl/>
              <w:adjustRightInd w:val="0"/>
              <w:snapToGrid w:val="0"/>
              <w:jc w:val="center"/>
              <w:rPr>
                <w:color w:val="auto"/>
                <w:kern w:val="0"/>
                <w:szCs w:val="21"/>
              </w:rPr>
            </w:pPr>
            <w:r>
              <w:rPr>
                <w:rFonts w:hint="eastAsia"/>
                <w:color w:val="auto"/>
                <w:kern w:val="0"/>
                <w:szCs w:val="21"/>
                <w:lang w:val="en-US" w:eastAsia="zh-CN"/>
              </w:rPr>
              <w:t>较</w:t>
            </w:r>
            <w:r>
              <w:rPr>
                <w:rFonts w:hint="eastAsia"/>
                <w:color w:val="auto"/>
                <w:kern w:val="0"/>
                <w:szCs w:val="21"/>
              </w:rPr>
              <w:t>严重</w:t>
            </w:r>
          </w:p>
        </w:tc>
      </w:tr>
      <w:tr w14:paraId="3BBA3E1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continue"/>
            <w:vAlign w:val="center"/>
          </w:tcPr>
          <w:p w14:paraId="48844209">
            <w:pPr>
              <w:widowControl/>
              <w:adjustRightInd w:val="0"/>
              <w:snapToGrid w:val="0"/>
              <w:jc w:val="center"/>
              <w:rPr>
                <w:color w:val="auto"/>
                <w:kern w:val="0"/>
                <w:szCs w:val="21"/>
              </w:rPr>
            </w:pPr>
          </w:p>
        </w:tc>
        <w:tc>
          <w:tcPr>
            <w:tcW w:w="2385" w:type="dxa"/>
            <w:vAlign w:val="center"/>
          </w:tcPr>
          <w:p w14:paraId="70CE3795">
            <w:pPr>
              <w:widowControl/>
              <w:adjustRightInd w:val="0"/>
              <w:snapToGrid w:val="0"/>
              <w:jc w:val="center"/>
              <w:rPr>
                <w:color w:val="auto"/>
                <w:kern w:val="0"/>
                <w:szCs w:val="21"/>
              </w:rPr>
            </w:pPr>
            <w:r>
              <w:rPr>
                <w:color w:val="auto"/>
              </w:rPr>
              <w:t>可视程度</w:t>
            </w:r>
          </w:p>
        </w:tc>
        <w:tc>
          <w:tcPr>
            <w:tcW w:w="1935" w:type="dxa"/>
            <w:vAlign w:val="center"/>
          </w:tcPr>
          <w:p w14:paraId="0C6B44E3">
            <w:pPr>
              <w:widowControl/>
              <w:adjustRightInd w:val="0"/>
              <w:snapToGrid w:val="0"/>
              <w:jc w:val="center"/>
              <w:rPr>
                <w:color w:val="auto"/>
                <w:kern w:val="0"/>
                <w:szCs w:val="21"/>
              </w:rPr>
            </w:pPr>
            <w:r>
              <w:rPr>
                <w:rFonts w:hint="eastAsia"/>
                <w:color w:val="auto"/>
                <w:kern w:val="0"/>
                <w:szCs w:val="21"/>
                <w:lang w:val="en-US" w:eastAsia="zh-CN"/>
              </w:rPr>
              <w:t>不</w:t>
            </w:r>
            <w:r>
              <w:rPr>
                <w:color w:val="auto"/>
                <w:kern w:val="0"/>
                <w:szCs w:val="21"/>
              </w:rPr>
              <w:t>可视</w:t>
            </w:r>
          </w:p>
        </w:tc>
        <w:tc>
          <w:tcPr>
            <w:tcW w:w="945" w:type="dxa"/>
            <w:vMerge w:val="continue"/>
            <w:tcBorders>
              <w:right w:val="single" w:color="auto" w:sz="4" w:space="0"/>
            </w:tcBorders>
            <w:vAlign w:val="center"/>
          </w:tcPr>
          <w:p w14:paraId="3CF63EAB">
            <w:pPr>
              <w:widowControl/>
              <w:adjustRightInd w:val="0"/>
              <w:snapToGrid w:val="0"/>
              <w:jc w:val="center"/>
              <w:rPr>
                <w:color w:val="auto"/>
                <w:kern w:val="0"/>
                <w:szCs w:val="21"/>
              </w:rPr>
            </w:pPr>
          </w:p>
        </w:tc>
        <w:tc>
          <w:tcPr>
            <w:tcW w:w="1158" w:type="dxa"/>
            <w:vMerge w:val="continue"/>
            <w:tcBorders>
              <w:left w:val="single" w:color="auto" w:sz="4" w:space="0"/>
            </w:tcBorders>
            <w:vAlign w:val="center"/>
          </w:tcPr>
          <w:p w14:paraId="3E4FAB5F">
            <w:pPr>
              <w:widowControl/>
              <w:adjustRightInd w:val="0"/>
              <w:snapToGrid w:val="0"/>
              <w:jc w:val="center"/>
              <w:rPr>
                <w:color w:val="auto"/>
                <w:kern w:val="0"/>
                <w:szCs w:val="21"/>
              </w:rPr>
            </w:pPr>
          </w:p>
        </w:tc>
      </w:tr>
      <w:tr w14:paraId="38054A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continue"/>
            <w:vAlign w:val="center"/>
          </w:tcPr>
          <w:p w14:paraId="376819D1">
            <w:pPr>
              <w:widowControl/>
              <w:adjustRightInd w:val="0"/>
              <w:snapToGrid w:val="0"/>
              <w:jc w:val="center"/>
              <w:rPr>
                <w:color w:val="auto"/>
                <w:kern w:val="0"/>
                <w:szCs w:val="21"/>
              </w:rPr>
            </w:pPr>
          </w:p>
        </w:tc>
        <w:tc>
          <w:tcPr>
            <w:tcW w:w="2385" w:type="dxa"/>
            <w:vAlign w:val="center"/>
          </w:tcPr>
          <w:p w14:paraId="7EB3619E">
            <w:pPr>
              <w:widowControl/>
              <w:adjustRightInd w:val="0"/>
              <w:snapToGrid w:val="0"/>
              <w:jc w:val="center"/>
              <w:rPr>
                <w:color w:val="auto"/>
                <w:kern w:val="0"/>
                <w:szCs w:val="21"/>
              </w:rPr>
            </w:pPr>
            <w:r>
              <w:rPr>
                <w:color w:val="auto"/>
              </w:rPr>
              <w:t>场地面积</w:t>
            </w:r>
          </w:p>
        </w:tc>
        <w:tc>
          <w:tcPr>
            <w:tcW w:w="1935" w:type="dxa"/>
            <w:vAlign w:val="center"/>
          </w:tcPr>
          <w:p w14:paraId="2464C1C4">
            <w:pPr>
              <w:adjustRightInd w:val="0"/>
              <w:snapToGrid w:val="0"/>
              <w:jc w:val="center"/>
              <w:rPr>
                <w:color w:val="auto"/>
                <w:kern w:val="0"/>
                <w:szCs w:val="21"/>
              </w:rPr>
            </w:pPr>
            <w:r>
              <w:rPr>
                <w:color w:val="auto"/>
              </w:rPr>
              <w:t>&lt;1.0hm</w:t>
            </w:r>
            <w:r>
              <w:rPr>
                <w:color w:val="auto"/>
                <w:vertAlign w:val="superscript"/>
              </w:rPr>
              <w:t>2</w:t>
            </w:r>
          </w:p>
        </w:tc>
        <w:tc>
          <w:tcPr>
            <w:tcW w:w="945" w:type="dxa"/>
            <w:vMerge w:val="continue"/>
            <w:tcBorders>
              <w:right w:val="single" w:color="auto" w:sz="4" w:space="0"/>
            </w:tcBorders>
            <w:vAlign w:val="center"/>
          </w:tcPr>
          <w:p w14:paraId="29BD5287">
            <w:pPr>
              <w:widowControl/>
              <w:adjustRightInd w:val="0"/>
              <w:snapToGrid w:val="0"/>
              <w:jc w:val="center"/>
              <w:rPr>
                <w:color w:val="auto"/>
                <w:kern w:val="0"/>
                <w:szCs w:val="21"/>
              </w:rPr>
            </w:pPr>
          </w:p>
        </w:tc>
        <w:tc>
          <w:tcPr>
            <w:tcW w:w="1158" w:type="dxa"/>
            <w:vMerge w:val="continue"/>
            <w:tcBorders>
              <w:left w:val="single" w:color="auto" w:sz="4" w:space="0"/>
            </w:tcBorders>
            <w:vAlign w:val="center"/>
          </w:tcPr>
          <w:p w14:paraId="1CA34648">
            <w:pPr>
              <w:widowControl/>
              <w:adjustRightInd w:val="0"/>
              <w:snapToGrid w:val="0"/>
              <w:jc w:val="center"/>
              <w:rPr>
                <w:color w:val="auto"/>
                <w:kern w:val="0"/>
                <w:szCs w:val="21"/>
              </w:rPr>
            </w:pPr>
          </w:p>
        </w:tc>
      </w:tr>
      <w:tr w14:paraId="08813C5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continue"/>
            <w:vAlign w:val="center"/>
          </w:tcPr>
          <w:p w14:paraId="08A05007">
            <w:pPr>
              <w:widowControl/>
              <w:adjustRightInd w:val="0"/>
              <w:snapToGrid w:val="0"/>
              <w:jc w:val="center"/>
              <w:rPr>
                <w:color w:val="auto"/>
                <w:kern w:val="0"/>
                <w:szCs w:val="21"/>
              </w:rPr>
            </w:pPr>
          </w:p>
        </w:tc>
        <w:tc>
          <w:tcPr>
            <w:tcW w:w="2385" w:type="dxa"/>
            <w:vAlign w:val="center"/>
          </w:tcPr>
          <w:p w14:paraId="0B867EB0">
            <w:pPr>
              <w:widowControl/>
              <w:adjustRightInd w:val="0"/>
              <w:snapToGrid w:val="0"/>
              <w:jc w:val="center"/>
              <w:rPr>
                <w:color w:val="auto"/>
                <w:kern w:val="0"/>
                <w:szCs w:val="21"/>
              </w:rPr>
            </w:pPr>
            <w:r>
              <w:rPr>
                <w:color w:val="auto"/>
              </w:rPr>
              <w:t>排土（渣）高度</w:t>
            </w:r>
          </w:p>
        </w:tc>
        <w:tc>
          <w:tcPr>
            <w:tcW w:w="1935" w:type="dxa"/>
            <w:vAlign w:val="center"/>
          </w:tcPr>
          <w:p w14:paraId="1709BD84">
            <w:pPr>
              <w:adjustRightInd w:val="0"/>
              <w:snapToGrid w:val="0"/>
              <w:jc w:val="center"/>
              <w:rPr>
                <w:color w:val="auto"/>
                <w:kern w:val="0"/>
                <w:szCs w:val="21"/>
              </w:rPr>
            </w:pPr>
            <w:r>
              <w:rPr>
                <w:color w:val="auto"/>
              </w:rPr>
              <w:t>&lt;5m</w:t>
            </w:r>
          </w:p>
        </w:tc>
        <w:tc>
          <w:tcPr>
            <w:tcW w:w="945" w:type="dxa"/>
            <w:vMerge w:val="continue"/>
            <w:tcBorders>
              <w:right w:val="single" w:color="auto" w:sz="4" w:space="0"/>
            </w:tcBorders>
            <w:vAlign w:val="center"/>
          </w:tcPr>
          <w:p w14:paraId="6924099C">
            <w:pPr>
              <w:widowControl/>
              <w:adjustRightInd w:val="0"/>
              <w:snapToGrid w:val="0"/>
              <w:jc w:val="center"/>
              <w:rPr>
                <w:color w:val="auto"/>
                <w:kern w:val="0"/>
                <w:szCs w:val="21"/>
              </w:rPr>
            </w:pPr>
          </w:p>
        </w:tc>
        <w:tc>
          <w:tcPr>
            <w:tcW w:w="1158" w:type="dxa"/>
            <w:vMerge w:val="continue"/>
            <w:tcBorders>
              <w:left w:val="single" w:color="auto" w:sz="4" w:space="0"/>
            </w:tcBorders>
            <w:vAlign w:val="center"/>
          </w:tcPr>
          <w:p w14:paraId="2AC56E17">
            <w:pPr>
              <w:widowControl/>
              <w:adjustRightInd w:val="0"/>
              <w:snapToGrid w:val="0"/>
              <w:jc w:val="center"/>
              <w:rPr>
                <w:color w:val="auto"/>
                <w:kern w:val="0"/>
                <w:szCs w:val="21"/>
              </w:rPr>
            </w:pPr>
          </w:p>
        </w:tc>
      </w:tr>
      <w:tr w14:paraId="1DB1E3C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111" w:type="dxa"/>
            <w:vMerge w:val="continue"/>
            <w:vAlign w:val="center"/>
          </w:tcPr>
          <w:p w14:paraId="670D9F0A">
            <w:pPr>
              <w:widowControl/>
              <w:adjustRightInd w:val="0"/>
              <w:snapToGrid w:val="0"/>
              <w:jc w:val="center"/>
              <w:rPr>
                <w:color w:val="auto"/>
                <w:kern w:val="0"/>
                <w:szCs w:val="21"/>
              </w:rPr>
            </w:pPr>
          </w:p>
        </w:tc>
        <w:tc>
          <w:tcPr>
            <w:tcW w:w="2385" w:type="dxa"/>
            <w:vAlign w:val="center"/>
          </w:tcPr>
          <w:p w14:paraId="2457B6FD">
            <w:pPr>
              <w:widowControl/>
              <w:adjustRightInd w:val="0"/>
              <w:snapToGrid w:val="0"/>
              <w:jc w:val="center"/>
              <w:rPr>
                <w:color w:val="auto"/>
                <w:kern w:val="0"/>
                <w:szCs w:val="21"/>
              </w:rPr>
            </w:pPr>
            <w:r>
              <w:rPr>
                <w:color w:val="auto"/>
              </w:rPr>
              <w:t>边坡规整情况</w:t>
            </w:r>
          </w:p>
        </w:tc>
        <w:tc>
          <w:tcPr>
            <w:tcW w:w="1935" w:type="dxa"/>
            <w:vAlign w:val="center"/>
          </w:tcPr>
          <w:p w14:paraId="1256F1A1">
            <w:pPr>
              <w:adjustRightInd w:val="0"/>
              <w:snapToGrid w:val="0"/>
              <w:jc w:val="center"/>
              <w:rPr>
                <w:color w:val="auto"/>
                <w:kern w:val="0"/>
                <w:szCs w:val="21"/>
              </w:rPr>
            </w:pPr>
            <w:r>
              <w:rPr>
                <w:rFonts w:hint="eastAsia"/>
                <w:color w:val="auto"/>
                <w:lang w:val="en-US" w:eastAsia="zh-CN"/>
              </w:rPr>
              <w:t>欠</w:t>
            </w:r>
            <w:r>
              <w:rPr>
                <w:color w:val="auto"/>
              </w:rPr>
              <w:t>规整</w:t>
            </w:r>
          </w:p>
        </w:tc>
        <w:tc>
          <w:tcPr>
            <w:tcW w:w="945" w:type="dxa"/>
            <w:vMerge w:val="continue"/>
            <w:tcBorders>
              <w:right w:val="single" w:color="auto" w:sz="4" w:space="0"/>
            </w:tcBorders>
            <w:vAlign w:val="center"/>
          </w:tcPr>
          <w:p w14:paraId="14E73E15">
            <w:pPr>
              <w:widowControl/>
              <w:adjustRightInd w:val="0"/>
              <w:snapToGrid w:val="0"/>
              <w:jc w:val="center"/>
              <w:rPr>
                <w:color w:val="auto"/>
                <w:kern w:val="0"/>
                <w:szCs w:val="21"/>
              </w:rPr>
            </w:pPr>
          </w:p>
        </w:tc>
        <w:tc>
          <w:tcPr>
            <w:tcW w:w="1158" w:type="dxa"/>
            <w:vMerge w:val="continue"/>
            <w:tcBorders>
              <w:left w:val="single" w:color="auto" w:sz="4" w:space="0"/>
            </w:tcBorders>
            <w:vAlign w:val="center"/>
          </w:tcPr>
          <w:p w14:paraId="4752CB13">
            <w:pPr>
              <w:widowControl/>
              <w:adjustRightInd w:val="0"/>
              <w:snapToGrid w:val="0"/>
              <w:jc w:val="center"/>
              <w:rPr>
                <w:color w:val="auto"/>
                <w:kern w:val="0"/>
                <w:szCs w:val="21"/>
              </w:rPr>
            </w:pPr>
          </w:p>
        </w:tc>
      </w:tr>
    </w:tbl>
    <w:p w14:paraId="58FEEDD8">
      <w:pPr>
        <w:spacing w:line="360" w:lineRule="auto"/>
        <w:ind w:firstLine="562" w:firstLineChars="200"/>
        <w:jc w:val="left"/>
        <w:rPr>
          <w:rFonts w:ascii="Times New Roman" w:hAnsi="Times New Roman" w:cs="Times New Roman"/>
          <w:b/>
          <w:bCs/>
          <w:color w:val="auto"/>
          <w:sz w:val="28"/>
          <w:szCs w:val="28"/>
        </w:rPr>
      </w:pPr>
      <w:r>
        <w:rPr>
          <w:rFonts w:hint="eastAsia" w:ascii="Times New Roman" w:hAnsi="Times New Roman" w:cs="Times New Roman"/>
          <w:b/>
          <w:bCs/>
          <w:color w:val="auto"/>
          <w:sz w:val="28"/>
          <w:szCs w:val="28"/>
          <w:lang w:val="en-US" w:eastAsia="zh-CN"/>
        </w:rPr>
        <w:t>（</w:t>
      </w:r>
      <w:r>
        <w:rPr>
          <w:rFonts w:hint="eastAsia" w:cs="Times New Roman"/>
          <w:b/>
          <w:bCs/>
          <w:color w:val="auto"/>
          <w:sz w:val="28"/>
          <w:szCs w:val="28"/>
          <w:lang w:val="en-US" w:eastAsia="zh-CN"/>
        </w:rPr>
        <w:t>11</w:t>
      </w:r>
      <w:r>
        <w:rPr>
          <w:rFonts w:hint="eastAsia" w:ascii="Times New Roman" w:hAnsi="Times New Roman" w:cs="Times New Roman"/>
          <w:b/>
          <w:bCs/>
          <w:color w:val="auto"/>
          <w:sz w:val="28"/>
          <w:szCs w:val="28"/>
          <w:lang w:val="en-US" w:eastAsia="zh-CN"/>
        </w:rPr>
        <w:t>）</w:t>
      </w:r>
      <w:r>
        <w:rPr>
          <w:rFonts w:ascii="Times New Roman" w:hAnsi="Times New Roman" w:cs="Times New Roman"/>
          <w:b/>
          <w:bCs/>
          <w:color w:val="auto"/>
          <w:sz w:val="28"/>
          <w:szCs w:val="28"/>
        </w:rPr>
        <w:t>评估区其他区域</w:t>
      </w:r>
    </w:p>
    <w:p w14:paraId="46F74DDC">
      <w:pPr>
        <w:spacing w:line="360" w:lineRule="auto"/>
        <w:ind w:firstLine="560" w:firstLineChars="200"/>
        <w:contextualSpacing/>
        <w:rPr>
          <w:color w:val="auto"/>
          <w:sz w:val="28"/>
          <w:szCs w:val="28"/>
        </w:rPr>
      </w:pPr>
      <w:r>
        <w:rPr>
          <w:rFonts w:ascii="Times New Roman" w:hAnsi="Times New Roman" w:cs="Times New Roman"/>
          <w:color w:val="auto"/>
          <w:sz w:val="28"/>
          <w:szCs w:val="28"/>
        </w:rPr>
        <w:t>评估区其他区域无破</w:t>
      </w:r>
      <w:r>
        <w:rPr>
          <w:color w:val="auto"/>
          <w:sz w:val="28"/>
          <w:szCs w:val="28"/>
        </w:rPr>
        <w:t>坏的土地，地形地貌景观及植被均保持原有自然状态，对地形地貌景观影响程度较轻。</w:t>
      </w:r>
    </w:p>
    <w:p w14:paraId="303C842B">
      <w:pPr>
        <w:pStyle w:val="44"/>
        <w:spacing w:line="360" w:lineRule="auto"/>
        <w:ind w:firstLine="564" w:firstLineChars="200"/>
        <w:jc w:val="both"/>
        <w:rPr>
          <w:rFonts w:hint="eastAsia" w:eastAsia="黑体"/>
          <w:color w:val="auto"/>
          <w:kern w:val="0"/>
          <w:sz w:val="24"/>
          <w:szCs w:val="24"/>
        </w:rPr>
      </w:pPr>
      <w:r>
        <w:rPr>
          <w:rFonts w:ascii="Times New Roman" w:cs="Times New Roman"/>
          <w:color w:val="auto"/>
          <w:spacing w:val="1"/>
          <w:sz w:val="28"/>
          <w:szCs w:val="28"/>
        </w:rPr>
        <w:t>综上所述，现状条件下各工程场地对地形地貌景观影响评估程度见表3-</w:t>
      </w:r>
      <w:r>
        <w:rPr>
          <w:rFonts w:hint="eastAsia" w:ascii="Times New Roman" w:cs="Times New Roman"/>
          <w:color w:val="auto"/>
          <w:spacing w:val="1"/>
          <w:sz w:val="28"/>
          <w:szCs w:val="28"/>
          <w:lang w:val="en-US" w:eastAsia="zh-CN"/>
        </w:rPr>
        <w:t>11</w:t>
      </w:r>
      <w:r>
        <w:rPr>
          <w:rFonts w:ascii="Times New Roman" w:cs="Times New Roman"/>
          <w:color w:val="auto"/>
          <w:spacing w:val="1"/>
          <w:sz w:val="28"/>
          <w:szCs w:val="28"/>
        </w:rPr>
        <w:t>。</w:t>
      </w:r>
    </w:p>
    <w:p w14:paraId="0954AFEF">
      <w:pPr>
        <w:widowControl/>
        <w:contextualSpacing/>
        <w:jc w:val="center"/>
        <w:rPr>
          <w:rFonts w:eastAsia="黑体"/>
          <w:color w:val="auto"/>
          <w:kern w:val="0"/>
          <w:sz w:val="24"/>
          <w:szCs w:val="24"/>
        </w:rPr>
      </w:pPr>
      <w:r>
        <w:rPr>
          <w:rFonts w:hint="eastAsia" w:eastAsia="黑体"/>
          <w:color w:val="auto"/>
          <w:kern w:val="0"/>
          <w:sz w:val="24"/>
          <w:szCs w:val="24"/>
        </w:rPr>
        <w:t>表3-</w:t>
      </w:r>
      <w:r>
        <w:rPr>
          <w:rFonts w:hint="eastAsia" w:eastAsia="黑体"/>
          <w:color w:val="auto"/>
          <w:kern w:val="0"/>
          <w:sz w:val="24"/>
          <w:szCs w:val="24"/>
          <w:lang w:val="en-US" w:eastAsia="zh-CN"/>
        </w:rPr>
        <w:t>11</w:t>
      </w:r>
      <w:r>
        <w:rPr>
          <w:rFonts w:hint="eastAsia" w:eastAsia="黑体"/>
          <w:color w:val="auto"/>
          <w:kern w:val="0"/>
          <w:sz w:val="24"/>
          <w:szCs w:val="24"/>
        </w:rPr>
        <w:t xml:space="preserve">  地形地貌景观影响现状评估表</w:t>
      </w:r>
    </w:p>
    <w:p w14:paraId="4D90AD3B">
      <w:pPr>
        <w:widowControl/>
        <w:contextualSpacing/>
        <w:jc w:val="center"/>
        <w:rPr>
          <w:rFonts w:eastAsia="黑体"/>
          <w:color w:val="auto"/>
          <w:kern w:val="0"/>
          <w:sz w:val="24"/>
          <w:szCs w:val="24"/>
        </w:rPr>
      </w:pPr>
      <w:r>
        <w:rPr>
          <w:rFonts w:hint="eastAsia" w:eastAsia="黑体"/>
          <w:color w:val="auto"/>
          <w:kern w:val="0"/>
          <w:sz w:val="24"/>
          <w:szCs w:val="24"/>
        </w:rPr>
        <w:t>表3-</w:t>
      </w:r>
      <w:r>
        <w:rPr>
          <w:rFonts w:hint="eastAsia" w:eastAsia="黑体"/>
          <w:color w:val="auto"/>
          <w:kern w:val="0"/>
          <w:sz w:val="24"/>
          <w:szCs w:val="24"/>
          <w:lang w:val="en-US" w:eastAsia="zh-CN"/>
        </w:rPr>
        <w:t>12</w:t>
      </w:r>
      <w:r>
        <w:rPr>
          <w:rFonts w:hint="eastAsia" w:eastAsia="黑体"/>
          <w:color w:val="auto"/>
          <w:kern w:val="0"/>
          <w:sz w:val="24"/>
          <w:szCs w:val="24"/>
        </w:rPr>
        <w:t xml:space="preserve">  现状矿山地质环境问题说明表</w:t>
      </w:r>
    </w:p>
    <w:p w14:paraId="6E6007B6">
      <w:pPr>
        <w:spacing w:line="360" w:lineRule="auto"/>
        <w:ind w:firstLine="562" w:firstLineChars="200"/>
        <w:outlineLvl w:val="3"/>
        <w:rPr>
          <w:rFonts w:hint="eastAsia" w:ascii="宋体" w:hAnsi="宋体" w:cs="宋体"/>
          <w:b/>
          <w:bCs/>
          <w:snapToGrid w:val="0"/>
          <w:color w:val="auto"/>
          <w:sz w:val="28"/>
          <w:szCs w:val="28"/>
        </w:rPr>
      </w:pPr>
      <w:r>
        <w:rPr>
          <w:rFonts w:hint="eastAsia" w:ascii="宋体" w:hAnsi="宋体" w:cs="宋体"/>
          <w:b/>
          <w:bCs/>
          <w:snapToGrid w:val="0"/>
          <w:color w:val="auto"/>
          <w:sz w:val="28"/>
          <w:szCs w:val="28"/>
        </w:rPr>
        <w:t>（二）土地资源损毁现状</w:t>
      </w:r>
    </w:p>
    <w:p w14:paraId="7514B5E5">
      <w:pPr>
        <w:widowControl/>
        <w:spacing w:line="360" w:lineRule="auto"/>
        <w:ind w:firstLine="560" w:firstLineChars="200"/>
        <w:rPr>
          <w:color w:val="auto"/>
          <w:sz w:val="28"/>
          <w:szCs w:val="28"/>
        </w:rPr>
      </w:pPr>
      <w:r>
        <w:rPr>
          <w:color w:val="auto"/>
          <w:kern w:val="0"/>
          <w:sz w:val="28"/>
          <w:szCs w:val="28"/>
        </w:rPr>
        <w:t>1、土地损毁程度评价指标</w:t>
      </w:r>
    </w:p>
    <w:p w14:paraId="3692F7DF">
      <w:pPr>
        <w:widowControl/>
        <w:spacing w:line="360" w:lineRule="auto"/>
        <w:ind w:firstLine="560" w:firstLineChars="200"/>
        <w:rPr>
          <w:color w:val="auto"/>
          <w:kern w:val="0"/>
          <w:sz w:val="28"/>
          <w:szCs w:val="28"/>
        </w:rPr>
      </w:pPr>
      <w:r>
        <w:rPr>
          <w:color w:val="auto"/>
          <w:kern w:val="0"/>
          <w:sz w:val="28"/>
          <w:szCs w:val="28"/>
        </w:rPr>
        <w:t>根据现场调查，结合矿方提供资料，损毁方式主要有压占和挖损</w:t>
      </w:r>
      <w:r>
        <w:rPr>
          <w:rFonts w:hint="eastAsia"/>
          <w:color w:val="auto"/>
          <w:kern w:val="0"/>
          <w:sz w:val="28"/>
          <w:szCs w:val="28"/>
          <w:lang w:eastAsia="zh-CN"/>
        </w:rPr>
        <w:t>两种</w:t>
      </w:r>
      <w:r>
        <w:rPr>
          <w:color w:val="auto"/>
          <w:kern w:val="0"/>
          <w:sz w:val="28"/>
          <w:szCs w:val="28"/>
        </w:rPr>
        <w:t>。</w:t>
      </w:r>
    </w:p>
    <w:p w14:paraId="3F3BEC38">
      <w:pPr>
        <w:widowControl/>
        <w:spacing w:line="360" w:lineRule="auto"/>
        <w:ind w:firstLine="560" w:firstLineChars="200"/>
        <w:rPr>
          <w:color w:val="auto"/>
          <w:kern w:val="0"/>
          <w:sz w:val="28"/>
          <w:szCs w:val="28"/>
        </w:rPr>
      </w:pPr>
      <w:r>
        <w:rPr>
          <w:color w:val="auto"/>
          <w:kern w:val="0"/>
          <w:sz w:val="28"/>
          <w:szCs w:val="28"/>
        </w:rPr>
        <w:t>根据国家和地方相关部门规定的划分标准，将土地损毁程度等级数确定为一级（轻度损毁）、二级（中度损毁）、三级（重度损毁）等3级标准。评估标准如下：</w:t>
      </w:r>
    </w:p>
    <w:p w14:paraId="78E201BF">
      <w:pPr>
        <w:widowControl/>
        <w:spacing w:line="360" w:lineRule="auto"/>
        <w:ind w:firstLine="560" w:firstLineChars="200"/>
        <w:rPr>
          <w:color w:val="auto"/>
          <w:kern w:val="0"/>
          <w:sz w:val="28"/>
          <w:szCs w:val="28"/>
        </w:rPr>
      </w:pPr>
      <w:r>
        <w:rPr>
          <w:color w:val="auto"/>
          <w:kern w:val="0"/>
          <w:sz w:val="28"/>
          <w:szCs w:val="28"/>
        </w:rPr>
        <w:t>①轻度损毁：土地破坏轻微，基本不影响土地利用功能；</w:t>
      </w:r>
    </w:p>
    <w:p w14:paraId="116A01B0">
      <w:pPr>
        <w:widowControl/>
        <w:spacing w:line="360" w:lineRule="auto"/>
        <w:ind w:firstLine="560" w:firstLineChars="200"/>
        <w:rPr>
          <w:color w:val="auto"/>
          <w:kern w:val="0"/>
          <w:sz w:val="28"/>
          <w:szCs w:val="28"/>
        </w:rPr>
      </w:pPr>
      <w:r>
        <w:rPr>
          <w:color w:val="auto"/>
          <w:kern w:val="0"/>
          <w:sz w:val="28"/>
          <w:szCs w:val="28"/>
        </w:rPr>
        <w:t>②中度损毁：</w:t>
      </w:r>
      <w:bookmarkStart w:id="56" w:name="OLE_LINK295"/>
      <w:bookmarkStart w:id="57" w:name="OLE_LINK296"/>
      <w:r>
        <w:rPr>
          <w:color w:val="auto"/>
          <w:kern w:val="0"/>
          <w:sz w:val="28"/>
          <w:szCs w:val="28"/>
        </w:rPr>
        <w:t>土地破坏较严重，影响土地利用功能</w:t>
      </w:r>
      <w:bookmarkEnd w:id="56"/>
      <w:bookmarkEnd w:id="57"/>
      <w:r>
        <w:rPr>
          <w:color w:val="auto"/>
          <w:kern w:val="0"/>
          <w:sz w:val="28"/>
          <w:szCs w:val="28"/>
        </w:rPr>
        <w:t>；</w:t>
      </w:r>
    </w:p>
    <w:p w14:paraId="2ACF75CF">
      <w:pPr>
        <w:widowControl/>
        <w:spacing w:line="360" w:lineRule="auto"/>
        <w:ind w:firstLine="560" w:firstLineChars="200"/>
        <w:rPr>
          <w:color w:val="auto"/>
          <w:kern w:val="0"/>
          <w:sz w:val="28"/>
          <w:szCs w:val="28"/>
        </w:rPr>
      </w:pPr>
      <w:r>
        <w:rPr>
          <w:color w:val="auto"/>
          <w:kern w:val="0"/>
          <w:sz w:val="28"/>
          <w:szCs w:val="28"/>
        </w:rPr>
        <w:t>③重度损毁：土地严重破坏，丧失原有土地利用功能。</w:t>
      </w:r>
    </w:p>
    <w:p w14:paraId="73E75ADE">
      <w:pPr>
        <w:widowControl/>
        <w:spacing w:line="360" w:lineRule="auto"/>
        <w:ind w:firstLine="560" w:firstLineChars="200"/>
        <w:rPr>
          <w:color w:val="auto"/>
          <w:kern w:val="0"/>
          <w:sz w:val="28"/>
          <w:szCs w:val="28"/>
        </w:rPr>
      </w:pPr>
      <w:r>
        <w:rPr>
          <w:color w:val="auto"/>
          <w:kern w:val="0"/>
          <w:sz w:val="28"/>
          <w:szCs w:val="28"/>
        </w:rPr>
        <w:t>方案在矿区土地损毁程度评价中按矿山损毁土地类型来选择参评因素，并结合前人经验和各学科的具体指标，选择损毁类型土地的主要参评因素。矿业活动已损毁土地资源影响主要表现为矿山地面建设区对土地的塌陷、压占、挖损，依据《土地复垦编制规程》对该矿山土地损毁情况进行现状评价，影响因素的等级标准划分见表3-</w:t>
      </w:r>
      <w:r>
        <w:rPr>
          <w:rFonts w:hint="eastAsia"/>
          <w:color w:val="auto"/>
          <w:kern w:val="0"/>
          <w:sz w:val="28"/>
          <w:szCs w:val="28"/>
          <w:lang w:val="en-US" w:eastAsia="zh-CN"/>
        </w:rPr>
        <w:t>13</w:t>
      </w:r>
      <w:r>
        <w:rPr>
          <w:color w:val="auto"/>
          <w:kern w:val="0"/>
          <w:sz w:val="28"/>
          <w:szCs w:val="28"/>
        </w:rPr>
        <w:t>。</w:t>
      </w:r>
    </w:p>
    <w:p w14:paraId="0D95DA3B">
      <w:pPr>
        <w:widowControl/>
        <w:snapToGrid w:val="0"/>
        <w:jc w:val="center"/>
        <w:rPr>
          <w:rFonts w:eastAsia="黑体"/>
          <w:bCs/>
          <w:color w:val="auto"/>
          <w:sz w:val="24"/>
          <w:szCs w:val="24"/>
        </w:rPr>
      </w:pPr>
      <w:r>
        <w:rPr>
          <w:rFonts w:eastAsia="黑体"/>
          <w:bCs/>
          <w:color w:val="auto"/>
          <w:sz w:val="24"/>
          <w:szCs w:val="24"/>
        </w:rPr>
        <w:t>表3-</w:t>
      </w:r>
      <w:r>
        <w:rPr>
          <w:rFonts w:hint="eastAsia" w:eastAsia="黑体"/>
          <w:bCs/>
          <w:color w:val="auto"/>
          <w:sz w:val="24"/>
          <w:szCs w:val="24"/>
          <w:lang w:val="en-US" w:eastAsia="zh-CN"/>
        </w:rPr>
        <w:t>13</w:t>
      </w:r>
      <w:r>
        <w:rPr>
          <w:rFonts w:eastAsia="黑体"/>
          <w:bCs/>
          <w:color w:val="auto"/>
          <w:sz w:val="24"/>
          <w:szCs w:val="24"/>
        </w:rPr>
        <w:t xml:space="preserve">  土地损毁分级参考标准表</w:t>
      </w:r>
    </w:p>
    <w:p w14:paraId="7A1CDE4A">
      <w:pPr>
        <w:widowControl/>
        <w:contextualSpacing/>
        <w:jc w:val="center"/>
        <w:rPr>
          <w:rFonts w:hint="eastAsia" w:ascii="黑体" w:hAnsi="黑体" w:eastAsia="黑体" w:cs="黑体"/>
          <w:bCs/>
          <w:color w:val="auto"/>
          <w:kern w:val="0"/>
          <w:sz w:val="24"/>
          <w:szCs w:val="24"/>
        </w:rPr>
      </w:pPr>
    </w:p>
    <w:p w14:paraId="37A85286">
      <w:pPr>
        <w:widowControl/>
        <w:contextualSpacing/>
        <w:jc w:val="center"/>
        <w:rPr>
          <w:b/>
          <w:color w:val="auto"/>
          <w:kern w:val="0"/>
          <w:szCs w:val="21"/>
        </w:rPr>
      </w:pPr>
      <w:r>
        <w:rPr>
          <w:rFonts w:hint="eastAsia" w:ascii="黑体" w:hAnsi="黑体" w:eastAsia="黑体" w:cs="黑体"/>
          <w:bCs/>
          <w:color w:val="auto"/>
          <w:kern w:val="0"/>
          <w:sz w:val="24"/>
          <w:szCs w:val="24"/>
        </w:rPr>
        <w:t>表3-</w:t>
      </w:r>
      <w:bookmarkStart w:id="58" w:name="_Hlk221288406"/>
      <w:r>
        <w:rPr>
          <w:rFonts w:hint="eastAsia" w:ascii="黑体" w:hAnsi="黑体" w:eastAsia="黑体" w:cs="黑体"/>
          <w:bCs/>
          <w:color w:val="auto"/>
          <w:kern w:val="0"/>
          <w:sz w:val="24"/>
          <w:szCs w:val="24"/>
          <w:lang w:val="en-US" w:eastAsia="zh-CN"/>
        </w:rPr>
        <w:t xml:space="preserve">14  </w:t>
      </w:r>
      <w:r>
        <w:rPr>
          <w:rFonts w:hint="eastAsia" w:ascii="黑体" w:hAnsi="黑体" w:eastAsia="黑体" w:cs="黑体"/>
          <w:bCs/>
          <w:color w:val="auto"/>
          <w:kern w:val="0"/>
          <w:sz w:val="24"/>
          <w:szCs w:val="24"/>
        </w:rPr>
        <w:t>土地损毁程度评分界线表</w:t>
      </w:r>
      <w:bookmarkEnd w:id="58"/>
    </w:p>
    <w:tbl>
      <w:tblPr>
        <w:tblStyle w:val="34"/>
        <w:tblW w:w="50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8"/>
        <w:gridCol w:w="1552"/>
        <w:gridCol w:w="2792"/>
        <w:gridCol w:w="1550"/>
      </w:tblGrid>
      <w:tr w14:paraId="51225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54" w:type="pct"/>
            <w:vAlign w:val="center"/>
          </w:tcPr>
          <w:p w14:paraId="4F729F91">
            <w:pPr>
              <w:widowControl/>
              <w:jc w:val="center"/>
              <w:rPr>
                <w:bCs/>
                <w:color w:val="auto"/>
                <w:kern w:val="0"/>
                <w:szCs w:val="21"/>
              </w:rPr>
            </w:pPr>
            <w:r>
              <w:rPr>
                <w:bCs/>
                <w:color w:val="auto"/>
                <w:kern w:val="0"/>
                <w:szCs w:val="21"/>
              </w:rPr>
              <w:t>损毁程度</w:t>
            </w:r>
          </w:p>
        </w:tc>
        <w:tc>
          <w:tcPr>
            <w:tcW w:w="933" w:type="pct"/>
            <w:vAlign w:val="center"/>
          </w:tcPr>
          <w:p w14:paraId="7B60630D">
            <w:pPr>
              <w:widowControl/>
              <w:jc w:val="center"/>
              <w:rPr>
                <w:bCs/>
                <w:color w:val="auto"/>
                <w:kern w:val="0"/>
                <w:szCs w:val="21"/>
              </w:rPr>
            </w:pPr>
            <w:r>
              <w:rPr>
                <w:bCs/>
                <w:color w:val="auto"/>
                <w:kern w:val="0"/>
                <w:szCs w:val="21"/>
              </w:rPr>
              <w:t>轻度损毁</w:t>
            </w:r>
          </w:p>
        </w:tc>
        <w:tc>
          <w:tcPr>
            <w:tcW w:w="1679" w:type="pct"/>
            <w:vAlign w:val="center"/>
          </w:tcPr>
          <w:p w14:paraId="3BC4E0B6">
            <w:pPr>
              <w:widowControl/>
              <w:jc w:val="center"/>
              <w:rPr>
                <w:bCs/>
                <w:color w:val="auto"/>
                <w:kern w:val="0"/>
                <w:szCs w:val="21"/>
              </w:rPr>
            </w:pPr>
            <w:r>
              <w:rPr>
                <w:bCs/>
                <w:color w:val="auto"/>
                <w:kern w:val="0"/>
                <w:szCs w:val="21"/>
              </w:rPr>
              <w:t>中度损毁</w:t>
            </w:r>
          </w:p>
        </w:tc>
        <w:tc>
          <w:tcPr>
            <w:tcW w:w="932" w:type="pct"/>
            <w:vAlign w:val="center"/>
          </w:tcPr>
          <w:p w14:paraId="0AED6AAE">
            <w:pPr>
              <w:widowControl/>
              <w:jc w:val="center"/>
              <w:rPr>
                <w:bCs/>
                <w:color w:val="auto"/>
                <w:kern w:val="0"/>
                <w:szCs w:val="21"/>
              </w:rPr>
            </w:pPr>
            <w:r>
              <w:rPr>
                <w:bCs/>
                <w:color w:val="auto"/>
                <w:kern w:val="0"/>
                <w:szCs w:val="21"/>
              </w:rPr>
              <w:t>重度损毁</w:t>
            </w:r>
          </w:p>
        </w:tc>
      </w:tr>
      <w:tr w14:paraId="603F6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54" w:type="pct"/>
            <w:vAlign w:val="center"/>
          </w:tcPr>
          <w:p w14:paraId="2C736C4A">
            <w:pPr>
              <w:widowControl/>
              <w:jc w:val="center"/>
              <w:rPr>
                <w:bCs/>
                <w:color w:val="auto"/>
                <w:kern w:val="0"/>
                <w:szCs w:val="21"/>
              </w:rPr>
            </w:pPr>
            <w:r>
              <w:rPr>
                <w:bCs/>
                <w:color w:val="auto"/>
                <w:kern w:val="0"/>
                <w:szCs w:val="21"/>
              </w:rPr>
              <w:t>评分级别</w:t>
            </w:r>
          </w:p>
        </w:tc>
        <w:tc>
          <w:tcPr>
            <w:tcW w:w="933" w:type="pct"/>
            <w:vAlign w:val="center"/>
          </w:tcPr>
          <w:p w14:paraId="630E29CC">
            <w:pPr>
              <w:widowControl/>
              <w:jc w:val="center"/>
              <w:rPr>
                <w:bCs/>
                <w:color w:val="auto"/>
                <w:kern w:val="0"/>
                <w:szCs w:val="21"/>
              </w:rPr>
            </w:pPr>
            <w:r>
              <w:rPr>
                <w:bCs/>
                <w:color w:val="auto"/>
                <w:kern w:val="0"/>
                <w:szCs w:val="21"/>
              </w:rPr>
              <w:t>Σ≤1.0</w:t>
            </w:r>
          </w:p>
        </w:tc>
        <w:tc>
          <w:tcPr>
            <w:tcW w:w="1679" w:type="pct"/>
            <w:vAlign w:val="center"/>
          </w:tcPr>
          <w:p w14:paraId="31666BEC">
            <w:pPr>
              <w:widowControl/>
              <w:jc w:val="center"/>
              <w:rPr>
                <w:bCs/>
                <w:color w:val="auto"/>
                <w:kern w:val="0"/>
                <w:szCs w:val="21"/>
              </w:rPr>
            </w:pPr>
            <w:r>
              <w:rPr>
                <w:bCs/>
                <w:color w:val="auto"/>
                <w:kern w:val="0"/>
                <w:szCs w:val="21"/>
              </w:rPr>
              <w:t>1.0＜Σ≤2.0</w:t>
            </w:r>
          </w:p>
        </w:tc>
        <w:tc>
          <w:tcPr>
            <w:tcW w:w="932" w:type="pct"/>
            <w:vAlign w:val="center"/>
          </w:tcPr>
          <w:p w14:paraId="41471D64">
            <w:pPr>
              <w:widowControl/>
              <w:jc w:val="center"/>
              <w:rPr>
                <w:bCs/>
                <w:color w:val="auto"/>
                <w:kern w:val="0"/>
                <w:szCs w:val="21"/>
              </w:rPr>
            </w:pPr>
            <w:r>
              <w:rPr>
                <w:bCs/>
                <w:color w:val="auto"/>
                <w:kern w:val="0"/>
                <w:szCs w:val="21"/>
              </w:rPr>
              <w:t>Σ＞2.0</w:t>
            </w:r>
          </w:p>
        </w:tc>
      </w:tr>
    </w:tbl>
    <w:p w14:paraId="7C047157">
      <w:pPr>
        <w:widowControl/>
        <w:ind w:firstLine="440" w:firstLineChars="200"/>
        <w:rPr>
          <w:rFonts w:hint="eastAsia" w:ascii="宋体" w:hAnsi="宋体" w:cs="宋体"/>
          <w:color w:val="auto"/>
          <w:kern w:val="0"/>
          <w:sz w:val="22"/>
          <w:szCs w:val="22"/>
        </w:rPr>
      </w:pPr>
    </w:p>
    <w:p w14:paraId="517D06EC">
      <w:pPr>
        <w:widowControl/>
        <w:spacing w:line="360" w:lineRule="auto"/>
        <w:ind w:firstLine="560" w:firstLineChars="200"/>
        <w:rPr>
          <w:color w:val="auto"/>
          <w:kern w:val="0"/>
          <w:sz w:val="28"/>
          <w:szCs w:val="28"/>
        </w:rPr>
      </w:pPr>
      <w:r>
        <w:rPr>
          <w:color w:val="auto"/>
          <w:kern w:val="0"/>
          <w:sz w:val="28"/>
          <w:szCs w:val="28"/>
        </w:rPr>
        <w:t>2、土地损毁程度评价</w:t>
      </w:r>
    </w:p>
    <w:p w14:paraId="447F705D">
      <w:pPr>
        <w:widowControl/>
        <w:spacing w:line="360" w:lineRule="auto"/>
        <w:ind w:firstLine="560" w:firstLineChars="200"/>
        <w:rPr>
          <w:color w:val="auto"/>
          <w:kern w:val="0"/>
          <w:sz w:val="28"/>
          <w:szCs w:val="28"/>
        </w:rPr>
      </w:pPr>
      <w:r>
        <w:rPr>
          <w:color w:val="auto"/>
          <w:kern w:val="0"/>
          <w:sz w:val="28"/>
          <w:szCs w:val="28"/>
        </w:rPr>
        <w:t>（1）</w:t>
      </w:r>
      <w:r>
        <w:rPr>
          <w:rFonts w:hint="eastAsia"/>
          <w:color w:val="auto"/>
          <w:kern w:val="0"/>
          <w:sz w:val="28"/>
          <w:szCs w:val="28"/>
        </w:rPr>
        <w:t>露天采场</w:t>
      </w:r>
    </w:p>
    <w:p w14:paraId="68067773">
      <w:pPr>
        <w:widowControl/>
        <w:spacing w:line="360" w:lineRule="auto"/>
        <w:ind w:firstLine="560" w:firstLineChars="200"/>
        <w:rPr>
          <w:color w:val="auto"/>
          <w:kern w:val="0"/>
          <w:sz w:val="28"/>
          <w:szCs w:val="28"/>
        </w:rPr>
      </w:pPr>
      <w:r>
        <w:rPr>
          <w:rFonts w:hint="eastAsia"/>
          <w:color w:val="auto"/>
          <w:kern w:val="0"/>
          <w:sz w:val="28"/>
          <w:szCs w:val="28"/>
          <w:lang w:val="en-US" w:eastAsia="zh-CN"/>
        </w:rPr>
        <w:t>露天采场</w:t>
      </w:r>
      <w:r>
        <w:rPr>
          <w:color w:val="auto"/>
          <w:kern w:val="0"/>
          <w:sz w:val="28"/>
          <w:szCs w:val="28"/>
        </w:rPr>
        <w:t>占地面积为</w:t>
      </w:r>
      <w:r>
        <w:rPr>
          <w:rFonts w:hint="eastAsia"/>
          <w:color w:val="auto"/>
          <w:kern w:val="0"/>
          <w:sz w:val="28"/>
          <w:szCs w:val="28"/>
          <w:lang w:val="en-US" w:eastAsia="zh-CN"/>
        </w:rPr>
        <w:t>35248</w:t>
      </w:r>
      <w:r>
        <w:rPr>
          <w:color w:val="auto"/>
          <w:kern w:val="0"/>
          <w:sz w:val="28"/>
          <w:szCs w:val="28"/>
        </w:rPr>
        <w:t>m</w:t>
      </w:r>
      <w:r>
        <w:rPr>
          <w:color w:val="auto"/>
          <w:kern w:val="0"/>
          <w:sz w:val="28"/>
          <w:szCs w:val="28"/>
          <w:vertAlign w:val="superscript"/>
        </w:rPr>
        <w:t>2</w:t>
      </w:r>
      <w:r>
        <w:rPr>
          <w:color w:val="auto"/>
          <w:kern w:val="0"/>
          <w:sz w:val="28"/>
          <w:szCs w:val="28"/>
        </w:rPr>
        <w:t>，最大挖损深度</w:t>
      </w:r>
      <w:r>
        <w:rPr>
          <w:rFonts w:hint="eastAsia"/>
          <w:color w:val="auto"/>
          <w:kern w:val="0"/>
          <w:sz w:val="28"/>
          <w:szCs w:val="28"/>
          <w:lang w:val="en-US" w:eastAsia="zh-CN"/>
        </w:rPr>
        <w:t>35</w:t>
      </w:r>
      <w:r>
        <w:rPr>
          <w:color w:val="auto"/>
          <w:kern w:val="0"/>
          <w:sz w:val="28"/>
          <w:szCs w:val="28"/>
        </w:rPr>
        <w:t>m，挖损土层厚度</w:t>
      </w:r>
      <w:r>
        <w:rPr>
          <w:rFonts w:hint="eastAsia"/>
          <w:color w:val="auto"/>
          <w:kern w:val="0"/>
          <w:sz w:val="28"/>
          <w:szCs w:val="28"/>
          <w:lang w:val="en-US" w:eastAsia="zh-CN"/>
        </w:rPr>
        <w:t>大于</w:t>
      </w:r>
      <w:r>
        <w:rPr>
          <w:color w:val="auto"/>
          <w:kern w:val="0"/>
          <w:sz w:val="28"/>
          <w:szCs w:val="28"/>
        </w:rPr>
        <w:t>50cm，无积水，开挖边坡角度</w:t>
      </w:r>
      <w:r>
        <w:rPr>
          <w:rFonts w:hint="eastAsia"/>
          <w:color w:val="auto"/>
          <w:kern w:val="0"/>
          <w:sz w:val="28"/>
          <w:szCs w:val="28"/>
          <w:lang w:val="en-US" w:eastAsia="zh-CN"/>
        </w:rPr>
        <w:t>30</w:t>
      </w:r>
      <w:r>
        <w:rPr>
          <w:color w:val="auto"/>
          <w:kern w:val="0"/>
          <w:sz w:val="28"/>
          <w:szCs w:val="28"/>
        </w:rPr>
        <w:t>-</w:t>
      </w:r>
      <w:r>
        <w:rPr>
          <w:rFonts w:hint="eastAsia"/>
          <w:color w:val="auto"/>
          <w:kern w:val="0"/>
          <w:sz w:val="28"/>
          <w:szCs w:val="28"/>
          <w:lang w:val="en-US" w:eastAsia="zh-CN"/>
        </w:rPr>
        <w:t>5</w:t>
      </w:r>
      <w:r>
        <w:rPr>
          <w:color w:val="auto"/>
          <w:kern w:val="0"/>
          <w:sz w:val="28"/>
          <w:szCs w:val="28"/>
        </w:rPr>
        <w:t>0°，边坡不规整。破坏前土地利用类型为</w:t>
      </w:r>
      <w:r>
        <w:rPr>
          <w:rFonts w:hint="eastAsia"/>
          <w:color w:val="auto"/>
          <w:kern w:val="0"/>
          <w:sz w:val="28"/>
          <w:szCs w:val="28"/>
          <w:lang w:val="en-US" w:eastAsia="zh-CN"/>
        </w:rPr>
        <w:t>灌木林地618</w:t>
      </w:r>
      <w:r>
        <w:rPr>
          <w:color w:val="auto"/>
          <w:kern w:val="0"/>
          <w:sz w:val="28"/>
          <w:szCs w:val="28"/>
        </w:rPr>
        <w:t>m</w:t>
      </w:r>
      <w:r>
        <w:rPr>
          <w:color w:val="auto"/>
          <w:kern w:val="0"/>
          <w:sz w:val="28"/>
          <w:szCs w:val="28"/>
          <w:vertAlign w:val="superscript"/>
        </w:rPr>
        <w:t>2</w:t>
      </w:r>
      <w:r>
        <w:rPr>
          <w:rFonts w:hint="eastAsia"/>
          <w:color w:val="auto"/>
          <w:kern w:val="0"/>
          <w:sz w:val="28"/>
          <w:szCs w:val="28"/>
          <w:vertAlign w:val="baseline"/>
          <w:lang w:eastAsia="zh-CN"/>
        </w:rPr>
        <w:t>、</w:t>
      </w:r>
      <w:r>
        <w:rPr>
          <w:rFonts w:hint="eastAsia"/>
          <w:color w:val="auto"/>
          <w:kern w:val="0"/>
          <w:sz w:val="28"/>
          <w:szCs w:val="28"/>
          <w:lang w:val="en-US" w:eastAsia="zh-CN"/>
        </w:rPr>
        <w:t>其他草地6734</w:t>
      </w:r>
      <w:r>
        <w:rPr>
          <w:color w:val="auto"/>
          <w:kern w:val="0"/>
          <w:sz w:val="28"/>
          <w:szCs w:val="28"/>
        </w:rPr>
        <w:t>m</w:t>
      </w:r>
      <w:r>
        <w:rPr>
          <w:color w:val="auto"/>
          <w:kern w:val="0"/>
          <w:sz w:val="28"/>
          <w:szCs w:val="28"/>
          <w:vertAlign w:val="superscript"/>
        </w:rPr>
        <w:t>2</w:t>
      </w:r>
      <w:r>
        <w:rPr>
          <w:rFonts w:hint="eastAsia"/>
          <w:color w:val="auto"/>
          <w:kern w:val="0"/>
          <w:sz w:val="28"/>
          <w:szCs w:val="28"/>
          <w:vertAlign w:val="baseline"/>
          <w:lang w:eastAsia="zh-CN"/>
        </w:rPr>
        <w:t>、</w:t>
      </w:r>
      <w:r>
        <w:rPr>
          <w:rFonts w:hint="eastAsia"/>
          <w:color w:val="auto"/>
          <w:kern w:val="0"/>
          <w:sz w:val="28"/>
          <w:szCs w:val="28"/>
          <w:lang w:val="en-US" w:eastAsia="zh-CN"/>
        </w:rPr>
        <w:t>采矿用地28096</w:t>
      </w:r>
      <w:r>
        <w:rPr>
          <w:color w:val="auto"/>
          <w:kern w:val="0"/>
          <w:sz w:val="28"/>
          <w:szCs w:val="28"/>
        </w:rPr>
        <w:t>m</w:t>
      </w:r>
      <w:r>
        <w:rPr>
          <w:color w:val="auto"/>
          <w:kern w:val="0"/>
          <w:sz w:val="28"/>
          <w:szCs w:val="28"/>
          <w:vertAlign w:val="superscript"/>
        </w:rPr>
        <w:t>2</w:t>
      </w:r>
      <w:r>
        <w:rPr>
          <w:color w:val="auto"/>
          <w:kern w:val="0"/>
          <w:sz w:val="28"/>
          <w:szCs w:val="28"/>
        </w:rPr>
        <w:t>。损毁类型为挖损。对土地资源影响和破坏程度为</w:t>
      </w:r>
      <w:r>
        <w:rPr>
          <w:rFonts w:hint="eastAsia"/>
          <w:color w:val="auto"/>
          <w:kern w:val="0"/>
          <w:sz w:val="28"/>
          <w:szCs w:val="28"/>
          <w:lang w:val="en-US" w:eastAsia="zh-CN"/>
        </w:rPr>
        <w:t>重</w:t>
      </w:r>
      <w:r>
        <w:rPr>
          <w:color w:val="auto"/>
          <w:kern w:val="0"/>
          <w:sz w:val="28"/>
          <w:szCs w:val="28"/>
        </w:rPr>
        <w:t>度。</w:t>
      </w:r>
    </w:p>
    <w:p w14:paraId="5B21648C">
      <w:pPr>
        <w:widowControl/>
        <w:snapToGrid w:val="0"/>
        <w:jc w:val="center"/>
        <w:rPr>
          <w:rFonts w:eastAsia="黑体"/>
          <w:bCs/>
          <w:color w:val="auto"/>
          <w:szCs w:val="21"/>
        </w:rPr>
      </w:pPr>
      <w:r>
        <w:rPr>
          <w:rFonts w:eastAsia="黑体"/>
          <w:bCs/>
          <w:color w:val="auto"/>
          <w:sz w:val="24"/>
          <w:szCs w:val="24"/>
        </w:rPr>
        <w:t>表3-</w:t>
      </w:r>
      <w:r>
        <w:rPr>
          <w:rFonts w:hint="eastAsia" w:eastAsia="黑体"/>
          <w:bCs/>
          <w:color w:val="auto"/>
          <w:sz w:val="24"/>
          <w:szCs w:val="24"/>
          <w:lang w:val="en-US" w:eastAsia="zh-CN"/>
        </w:rPr>
        <w:t>15</w:t>
      </w:r>
      <w:r>
        <w:rPr>
          <w:rFonts w:eastAsia="黑体"/>
          <w:bCs/>
          <w:color w:val="auto"/>
          <w:sz w:val="24"/>
          <w:szCs w:val="24"/>
        </w:rPr>
        <w:t xml:space="preserve">  土地损毁程度评价表</w:t>
      </w:r>
    </w:p>
    <w:tbl>
      <w:tblPr>
        <w:tblStyle w:val="34"/>
        <w:tblW w:w="8680" w:type="dxa"/>
        <w:jc w:val="center"/>
        <w:tblLayout w:type="fixed"/>
        <w:tblCellMar>
          <w:top w:w="0" w:type="dxa"/>
          <w:left w:w="108" w:type="dxa"/>
          <w:bottom w:w="0" w:type="dxa"/>
          <w:right w:w="108" w:type="dxa"/>
        </w:tblCellMar>
      </w:tblPr>
      <w:tblGrid>
        <w:gridCol w:w="1365"/>
        <w:gridCol w:w="1182"/>
        <w:gridCol w:w="992"/>
        <w:gridCol w:w="875"/>
        <w:gridCol w:w="1110"/>
        <w:gridCol w:w="886"/>
        <w:gridCol w:w="1014"/>
        <w:gridCol w:w="620"/>
        <w:gridCol w:w="636"/>
      </w:tblGrid>
      <w:tr w14:paraId="1EB6B886">
        <w:tblPrEx>
          <w:tblCellMar>
            <w:top w:w="0" w:type="dxa"/>
            <w:left w:w="108" w:type="dxa"/>
            <w:bottom w:w="0" w:type="dxa"/>
            <w:right w:w="108" w:type="dxa"/>
          </w:tblCellMar>
        </w:tblPrEx>
        <w:trPr>
          <w:trHeight w:val="397" w:hRule="atLeast"/>
          <w:tblHeader/>
          <w:jc w:val="center"/>
        </w:trPr>
        <w:tc>
          <w:tcPr>
            <w:tcW w:w="1365" w:type="dxa"/>
            <w:vMerge w:val="restart"/>
            <w:tcBorders>
              <w:top w:val="single" w:color="000000" w:sz="4" w:space="0"/>
              <w:left w:val="single" w:color="000000" w:sz="4" w:space="0"/>
              <w:bottom w:val="single" w:color="000000" w:sz="4" w:space="0"/>
              <w:right w:val="single" w:color="000000" w:sz="4" w:space="0"/>
            </w:tcBorders>
            <w:vAlign w:val="center"/>
          </w:tcPr>
          <w:p w14:paraId="4892F8CB">
            <w:pPr>
              <w:spacing w:before="48" w:beforeLines="20" w:after="48" w:afterLines="20"/>
              <w:jc w:val="center"/>
              <w:rPr>
                <w:color w:val="auto"/>
              </w:rPr>
            </w:pPr>
            <w:r>
              <w:rPr>
                <w:color w:val="auto"/>
              </w:rPr>
              <w:t>破坏单元</w:t>
            </w:r>
          </w:p>
        </w:tc>
        <w:tc>
          <w:tcPr>
            <w:tcW w:w="6059" w:type="dxa"/>
            <w:gridSpan w:val="6"/>
            <w:tcBorders>
              <w:top w:val="single" w:color="000000" w:sz="4" w:space="0"/>
              <w:left w:val="single" w:color="000000" w:sz="4" w:space="0"/>
              <w:bottom w:val="single" w:color="000000" w:sz="4" w:space="0"/>
              <w:right w:val="single" w:color="000000" w:sz="4" w:space="0"/>
            </w:tcBorders>
            <w:vAlign w:val="center"/>
          </w:tcPr>
          <w:p w14:paraId="124481CD">
            <w:pPr>
              <w:spacing w:before="48" w:beforeLines="20" w:after="48" w:afterLines="20"/>
              <w:jc w:val="center"/>
              <w:rPr>
                <w:color w:val="auto"/>
              </w:rPr>
            </w:pPr>
            <w:r>
              <w:rPr>
                <w:color w:val="auto"/>
              </w:rPr>
              <w:t>评价因子</w:t>
            </w:r>
          </w:p>
        </w:tc>
        <w:tc>
          <w:tcPr>
            <w:tcW w:w="620" w:type="dxa"/>
            <w:vMerge w:val="restart"/>
            <w:tcBorders>
              <w:top w:val="single" w:color="000000" w:sz="4" w:space="0"/>
              <w:left w:val="single" w:color="000000" w:sz="4" w:space="0"/>
              <w:bottom w:val="single" w:color="000000" w:sz="4" w:space="0"/>
              <w:right w:val="single" w:color="000000" w:sz="4" w:space="0"/>
            </w:tcBorders>
            <w:vAlign w:val="center"/>
          </w:tcPr>
          <w:p w14:paraId="07DB934B">
            <w:pPr>
              <w:spacing w:before="48" w:beforeLines="20" w:after="48" w:afterLines="20"/>
              <w:jc w:val="center"/>
              <w:rPr>
                <w:color w:val="auto"/>
              </w:rPr>
            </w:pPr>
            <w:r>
              <w:rPr>
                <w:color w:val="auto"/>
              </w:rPr>
              <w:t>得分</w:t>
            </w:r>
          </w:p>
        </w:tc>
        <w:tc>
          <w:tcPr>
            <w:tcW w:w="636" w:type="dxa"/>
            <w:vMerge w:val="restart"/>
            <w:tcBorders>
              <w:top w:val="single" w:color="000000" w:sz="4" w:space="0"/>
              <w:left w:val="single" w:color="000000" w:sz="4" w:space="0"/>
              <w:right w:val="single" w:color="000000" w:sz="4" w:space="0"/>
            </w:tcBorders>
            <w:vAlign w:val="center"/>
          </w:tcPr>
          <w:p w14:paraId="07C91C65">
            <w:pPr>
              <w:spacing w:before="48" w:beforeLines="20" w:after="48" w:afterLines="20"/>
              <w:jc w:val="center"/>
              <w:rPr>
                <w:color w:val="auto"/>
              </w:rPr>
            </w:pPr>
            <w:r>
              <w:rPr>
                <w:color w:val="auto"/>
              </w:rPr>
              <w:t>损毁</w:t>
            </w:r>
          </w:p>
          <w:p w14:paraId="20D1D85D">
            <w:pPr>
              <w:spacing w:before="48" w:beforeLines="20" w:after="48" w:afterLines="20"/>
              <w:jc w:val="center"/>
              <w:rPr>
                <w:color w:val="auto"/>
              </w:rPr>
            </w:pPr>
            <w:r>
              <w:rPr>
                <w:color w:val="auto"/>
              </w:rPr>
              <w:t>程度</w:t>
            </w:r>
          </w:p>
        </w:tc>
      </w:tr>
      <w:tr w14:paraId="75F86969">
        <w:tblPrEx>
          <w:tblCellMar>
            <w:top w:w="0" w:type="dxa"/>
            <w:left w:w="108" w:type="dxa"/>
            <w:bottom w:w="0" w:type="dxa"/>
            <w:right w:w="108" w:type="dxa"/>
          </w:tblCellMar>
        </w:tblPrEx>
        <w:trPr>
          <w:trHeight w:val="397" w:hRule="atLeast"/>
          <w:tblHeader/>
          <w:jc w:val="center"/>
        </w:trPr>
        <w:tc>
          <w:tcPr>
            <w:tcW w:w="1365" w:type="dxa"/>
            <w:vMerge w:val="continue"/>
            <w:tcBorders>
              <w:top w:val="single" w:color="000000" w:sz="4" w:space="0"/>
              <w:left w:val="single" w:color="000000" w:sz="4" w:space="0"/>
              <w:bottom w:val="single" w:color="000000" w:sz="4" w:space="0"/>
              <w:right w:val="single" w:color="000000" w:sz="4" w:space="0"/>
            </w:tcBorders>
            <w:vAlign w:val="center"/>
          </w:tcPr>
          <w:p w14:paraId="1ECDF97B">
            <w:pPr>
              <w:spacing w:before="48" w:beforeLines="20" w:after="48" w:afterLines="20"/>
              <w:jc w:val="center"/>
              <w:rPr>
                <w:color w:val="auto"/>
              </w:rPr>
            </w:pPr>
          </w:p>
        </w:tc>
        <w:tc>
          <w:tcPr>
            <w:tcW w:w="1182" w:type="dxa"/>
            <w:tcBorders>
              <w:top w:val="single" w:color="000000" w:sz="4" w:space="0"/>
              <w:left w:val="single" w:color="000000" w:sz="4" w:space="0"/>
              <w:bottom w:val="single" w:color="000000" w:sz="4" w:space="0"/>
              <w:right w:val="single" w:color="000000" w:sz="4" w:space="0"/>
            </w:tcBorders>
            <w:vAlign w:val="center"/>
          </w:tcPr>
          <w:p w14:paraId="2830DD63">
            <w:pPr>
              <w:spacing w:before="48" w:beforeLines="20" w:after="48" w:afterLines="20"/>
              <w:jc w:val="center"/>
              <w:rPr>
                <w:color w:val="auto"/>
              </w:rPr>
            </w:pPr>
            <w:r>
              <w:rPr>
                <w:color w:val="auto"/>
              </w:rPr>
              <w:t>挖损</w:t>
            </w:r>
          </w:p>
          <w:p w14:paraId="766BB847">
            <w:pPr>
              <w:spacing w:before="48" w:beforeLines="20" w:after="48" w:afterLines="20"/>
              <w:jc w:val="center"/>
              <w:rPr>
                <w:color w:val="auto"/>
              </w:rPr>
            </w:pPr>
            <w:r>
              <w:rPr>
                <w:color w:val="auto"/>
              </w:rPr>
              <w:t>面积</w:t>
            </w:r>
          </w:p>
        </w:tc>
        <w:tc>
          <w:tcPr>
            <w:tcW w:w="992" w:type="dxa"/>
            <w:tcBorders>
              <w:top w:val="single" w:color="000000" w:sz="4" w:space="0"/>
              <w:left w:val="single" w:color="000000" w:sz="4" w:space="0"/>
              <w:bottom w:val="single" w:color="000000" w:sz="4" w:space="0"/>
              <w:right w:val="single" w:color="000000" w:sz="4" w:space="0"/>
            </w:tcBorders>
            <w:vAlign w:val="center"/>
          </w:tcPr>
          <w:p w14:paraId="4FE5642F">
            <w:pPr>
              <w:spacing w:before="48" w:beforeLines="20" w:after="48" w:afterLines="20"/>
              <w:jc w:val="center"/>
              <w:rPr>
                <w:color w:val="auto"/>
              </w:rPr>
            </w:pPr>
            <w:r>
              <w:rPr>
                <w:color w:val="auto"/>
              </w:rPr>
              <w:t>挖损</w:t>
            </w:r>
          </w:p>
          <w:p w14:paraId="082DC607">
            <w:pPr>
              <w:spacing w:before="48" w:beforeLines="20" w:after="48" w:afterLines="20"/>
              <w:jc w:val="center"/>
              <w:rPr>
                <w:color w:val="auto"/>
              </w:rPr>
            </w:pPr>
            <w:r>
              <w:rPr>
                <w:color w:val="auto"/>
              </w:rPr>
              <w:t>深度</w:t>
            </w:r>
          </w:p>
        </w:tc>
        <w:tc>
          <w:tcPr>
            <w:tcW w:w="875" w:type="dxa"/>
            <w:tcBorders>
              <w:top w:val="single" w:color="000000" w:sz="4" w:space="0"/>
              <w:left w:val="single" w:color="000000" w:sz="4" w:space="0"/>
              <w:bottom w:val="single" w:color="000000" w:sz="4" w:space="0"/>
              <w:right w:val="single" w:color="000000" w:sz="4" w:space="0"/>
            </w:tcBorders>
            <w:vAlign w:val="center"/>
          </w:tcPr>
          <w:p w14:paraId="25F8FC5C">
            <w:pPr>
              <w:spacing w:before="48" w:beforeLines="20" w:after="48" w:afterLines="20"/>
              <w:jc w:val="center"/>
              <w:rPr>
                <w:color w:val="auto"/>
              </w:rPr>
            </w:pPr>
            <w:r>
              <w:rPr>
                <w:color w:val="auto"/>
              </w:rPr>
              <w:t>挖损土层厚度</w:t>
            </w:r>
          </w:p>
        </w:tc>
        <w:tc>
          <w:tcPr>
            <w:tcW w:w="1110" w:type="dxa"/>
            <w:tcBorders>
              <w:top w:val="single" w:color="000000" w:sz="4" w:space="0"/>
              <w:left w:val="single" w:color="000000" w:sz="4" w:space="0"/>
              <w:bottom w:val="single" w:color="000000" w:sz="4" w:space="0"/>
              <w:right w:val="single" w:color="000000" w:sz="4" w:space="0"/>
            </w:tcBorders>
            <w:vAlign w:val="center"/>
          </w:tcPr>
          <w:p w14:paraId="4C03D54D">
            <w:pPr>
              <w:spacing w:before="48" w:beforeLines="20" w:after="48" w:afterLines="20"/>
              <w:jc w:val="center"/>
              <w:rPr>
                <w:color w:val="auto"/>
              </w:rPr>
            </w:pPr>
            <w:r>
              <w:rPr>
                <w:color w:val="auto"/>
              </w:rPr>
              <w:t>积水</w:t>
            </w:r>
          </w:p>
          <w:p w14:paraId="52B2F62E">
            <w:pPr>
              <w:spacing w:before="48" w:beforeLines="20" w:after="48" w:afterLines="20"/>
              <w:jc w:val="center"/>
              <w:rPr>
                <w:color w:val="auto"/>
              </w:rPr>
            </w:pPr>
            <w:r>
              <w:rPr>
                <w:color w:val="auto"/>
              </w:rPr>
              <w:t>情况</w:t>
            </w:r>
          </w:p>
        </w:tc>
        <w:tc>
          <w:tcPr>
            <w:tcW w:w="886" w:type="dxa"/>
            <w:tcBorders>
              <w:top w:val="single" w:color="000000" w:sz="4" w:space="0"/>
              <w:left w:val="single" w:color="000000" w:sz="4" w:space="0"/>
              <w:bottom w:val="single" w:color="000000" w:sz="4" w:space="0"/>
              <w:right w:val="single" w:color="000000" w:sz="4" w:space="0"/>
            </w:tcBorders>
            <w:vAlign w:val="center"/>
          </w:tcPr>
          <w:p w14:paraId="66BDA7CB">
            <w:pPr>
              <w:spacing w:before="48" w:beforeLines="20" w:after="48" w:afterLines="20"/>
              <w:jc w:val="center"/>
              <w:rPr>
                <w:color w:val="auto"/>
              </w:rPr>
            </w:pPr>
            <w:r>
              <w:rPr>
                <w:color w:val="auto"/>
              </w:rPr>
              <w:t>边坡</w:t>
            </w:r>
          </w:p>
          <w:p w14:paraId="4F3F4FAB">
            <w:pPr>
              <w:spacing w:before="48" w:beforeLines="20" w:after="48" w:afterLines="20"/>
              <w:jc w:val="center"/>
              <w:rPr>
                <w:color w:val="auto"/>
              </w:rPr>
            </w:pPr>
            <w:r>
              <w:rPr>
                <w:color w:val="auto"/>
              </w:rPr>
              <w:t>坡度</w:t>
            </w:r>
          </w:p>
        </w:tc>
        <w:tc>
          <w:tcPr>
            <w:tcW w:w="1014" w:type="dxa"/>
            <w:tcBorders>
              <w:top w:val="single" w:color="000000" w:sz="4" w:space="0"/>
              <w:left w:val="single" w:color="000000" w:sz="4" w:space="0"/>
              <w:bottom w:val="single" w:color="000000" w:sz="4" w:space="0"/>
              <w:right w:val="single" w:color="000000" w:sz="4" w:space="0"/>
            </w:tcBorders>
            <w:vAlign w:val="center"/>
          </w:tcPr>
          <w:p w14:paraId="13A9F2DE">
            <w:pPr>
              <w:spacing w:before="48" w:beforeLines="20" w:after="48" w:afterLines="20"/>
              <w:jc w:val="center"/>
              <w:rPr>
                <w:color w:val="auto"/>
              </w:rPr>
            </w:pPr>
            <w:r>
              <w:rPr>
                <w:color w:val="auto"/>
              </w:rPr>
              <w:t>边坡规整程度</w:t>
            </w:r>
          </w:p>
        </w:tc>
        <w:tc>
          <w:tcPr>
            <w:tcW w:w="620" w:type="dxa"/>
            <w:vMerge w:val="continue"/>
            <w:tcBorders>
              <w:top w:val="single" w:color="000000" w:sz="4" w:space="0"/>
              <w:left w:val="single" w:color="000000" w:sz="4" w:space="0"/>
              <w:bottom w:val="single" w:color="000000" w:sz="4" w:space="0"/>
              <w:right w:val="single" w:color="000000" w:sz="4" w:space="0"/>
            </w:tcBorders>
            <w:vAlign w:val="center"/>
          </w:tcPr>
          <w:p w14:paraId="740A5635">
            <w:pPr>
              <w:spacing w:before="48" w:beforeLines="20" w:after="48" w:afterLines="20"/>
              <w:jc w:val="center"/>
              <w:rPr>
                <w:color w:val="auto"/>
              </w:rPr>
            </w:pPr>
          </w:p>
        </w:tc>
        <w:tc>
          <w:tcPr>
            <w:tcW w:w="636" w:type="dxa"/>
            <w:vMerge w:val="continue"/>
            <w:tcBorders>
              <w:left w:val="single" w:color="000000" w:sz="4" w:space="0"/>
              <w:bottom w:val="single" w:color="000000" w:sz="4" w:space="0"/>
              <w:right w:val="single" w:color="000000" w:sz="4" w:space="0"/>
            </w:tcBorders>
            <w:vAlign w:val="center"/>
          </w:tcPr>
          <w:p w14:paraId="143BBCE1">
            <w:pPr>
              <w:spacing w:before="48" w:beforeLines="20" w:after="48" w:afterLines="20"/>
              <w:jc w:val="center"/>
              <w:rPr>
                <w:color w:val="auto"/>
              </w:rPr>
            </w:pPr>
          </w:p>
        </w:tc>
      </w:tr>
      <w:tr w14:paraId="6DC5FD86">
        <w:tblPrEx>
          <w:tblCellMar>
            <w:top w:w="0" w:type="dxa"/>
            <w:left w:w="108" w:type="dxa"/>
            <w:bottom w:w="0" w:type="dxa"/>
            <w:right w:w="108" w:type="dxa"/>
          </w:tblCellMar>
        </w:tblPrEx>
        <w:trPr>
          <w:trHeight w:val="397" w:hRule="atLeast"/>
          <w:jc w:val="center"/>
        </w:trPr>
        <w:tc>
          <w:tcPr>
            <w:tcW w:w="1365" w:type="dxa"/>
            <w:tcBorders>
              <w:top w:val="single" w:color="000000" w:sz="4" w:space="0"/>
              <w:left w:val="single" w:color="000000" w:sz="4" w:space="0"/>
              <w:bottom w:val="single" w:color="000000" w:sz="4" w:space="0"/>
              <w:right w:val="single" w:color="000000" w:sz="4" w:space="0"/>
            </w:tcBorders>
            <w:vAlign w:val="center"/>
          </w:tcPr>
          <w:p w14:paraId="2E82A636">
            <w:pPr>
              <w:spacing w:before="48" w:beforeLines="20" w:after="48" w:afterLines="20"/>
              <w:jc w:val="center"/>
              <w:rPr>
                <w:rFonts w:hint="default" w:eastAsia="宋体"/>
                <w:color w:val="auto"/>
                <w:lang w:val="en-US" w:eastAsia="zh-CN"/>
              </w:rPr>
            </w:pPr>
            <w:r>
              <w:rPr>
                <w:rFonts w:hint="eastAsia"/>
                <w:color w:val="auto"/>
                <w:lang w:val="en-US" w:eastAsia="zh-CN"/>
              </w:rPr>
              <w:t>露天采场</w:t>
            </w:r>
          </w:p>
        </w:tc>
        <w:tc>
          <w:tcPr>
            <w:tcW w:w="1182" w:type="dxa"/>
            <w:tcBorders>
              <w:top w:val="single" w:color="000000" w:sz="4" w:space="0"/>
              <w:left w:val="single" w:color="000000" w:sz="4" w:space="0"/>
              <w:bottom w:val="single" w:color="000000" w:sz="4" w:space="0"/>
              <w:right w:val="single" w:color="000000" w:sz="4" w:space="0"/>
            </w:tcBorders>
            <w:vAlign w:val="center"/>
          </w:tcPr>
          <w:p w14:paraId="5D7EBBB7">
            <w:pPr>
              <w:spacing w:before="48" w:beforeLines="20" w:after="48" w:afterLines="20"/>
              <w:jc w:val="center"/>
              <w:rPr>
                <w:rFonts w:hint="default" w:eastAsia="宋体"/>
                <w:color w:val="auto"/>
                <w:lang w:val="en-US" w:eastAsia="zh-CN"/>
              </w:rPr>
            </w:pPr>
            <w:r>
              <w:rPr>
                <w:rFonts w:hint="eastAsia"/>
                <w:color w:val="auto"/>
                <w:lang w:val="en-US" w:eastAsia="zh-CN"/>
              </w:rPr>
              <w:t>35248</w:t>
            </w:r>
          </w:p>
        </w:tc>
        <w:tc>
          <w:tcPr>
            <w:tcW w:w="992" w:type="dxa"/>
            <w:tcBorders>
              <w:top w:val="single" w:color="000000" w:sz="4" w:space="0"/>
              <w:left w:val="single" w:color="000000" w:sz="4" w:space="0"/>
              <w:bottom w:val="single" w:color="000000" w:sz="4" w:space="0"/>
              <w:right w:val="single" w:color="000000" w:sz="4" w:space="0"/>
            </w:tcBorders>
            <w:noWrap/>
          </w:tcPr>
          <w:p w14:paraId="520F13F3">
            <w:pPr>
              <w:spacing w:before="48" w:beforeLines="20" w:after="48" w:afterLines="20"/>
              <w:jc w:val="center"/>
              <w:rPr>
                <w:color w:val="auto"/>
              </w:rPr>
            </w:pPr>
            <w:r>
              <w:rPr>
                <w:color w:val="auto"/>
              </w:rPr>
              <w:t>&gt;2.0m</w:t>
            </w:r>
          </w:p>
        </w:tc>
        <w:tc>
          <w:tcPr>
            <w:tcW w:w="875" w:type="dxa"/>
            <w:tcBorders>
              <w:top w:val="single" w:color="000000" w:sz="4" w:space="0"/>
              <w:left w:val="single" w:color="000000" w:sz="4" w:space="0"/>
              <w:bottom w:val="single" w:color="000000" w:sz="4" w:space="0"/>
              <w:right w:val="single" w:color="000000" w:sz="4" w:space="0"/>
            </w:tcBorders>
            <w:noWrap/>
          </w:tcPr>
          <w:p w14:paraId="51A41F70">
            <w:pPr>
              <w:spacing w:before="48" w:beforeLines="20" w:after="48" w:afterLines="20"/>
              <w:jc w:val="center"/>
              <w:rPr>
                <w:color w:val="auto"/>
              </w:rPr>
            </w:pPr>
            <w:r>
              <w:rPr>
                <w:color w:val="auto"/>
              </w:rPr>
              <w:t>&gt;50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43C4C358">
            <w:pPr>
              <w:spacing w:before="48" w:beforeLines="20" w:after="48" w:afterLines="20"/>
              <w:jc w:val="center"/>
              <w:rPr>
                <w:color w:val="auto"/>
              </w:rPr>
            </w:pPr>
            <w:r>
              <w:rPr>
                <w:color w:val="auto"/>
              </w:rPr>
              <w:t>无积水</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32D6FEE8">
            <w:pPr>
              <w:spacing w:before="48" w:beforeLines="20" w:after="48" w:afterLines="20"/>
              <w:jc w:val="center"/>
              <w:rPr>
                <w:color w:val="auto"/>
              </w:rPr>
            </w:pPr>
            <w:r>
              <w:rPr>
                <w:color w:val="auto"/>
              </w:rPr>
              <w:t>&gt;35°</w:t>
            </w:r>
          </w:p>
        </w:tc>
        <w:tc>
          <w:tcPr>
            <w:tcW w:w="1014" w:type="dxa"/>
            <w:tcBorders>
              <w:top w:val="single" w:color="000000" w:sz="4" w:space="0"/>
              <w:left w:val="single" w:color="000000" w:sz="4" w:space="0"/>
              <w:bottom w:val="single" w:color="000000" w:sz="4" w:space="0"/>
              <w:right w:val="single" w:color="000000" w:sz="4" w:space="0"/>
            </w:tcBorders>
            <w:noWrap/>
            <w:vAlign w:val="center"/>
          </w:tcPr>
          <w:p w14:paraId="185C327E">
            <w:pPr>
              <w:spacing w:before="48" w:beforeLines="20" w:after="48" w:afterLines="20"/>
              <w:jc w:val="center"/>
              <w:rPr>
                <w:color w:val="auto"/>
              </w:rPr>
            </w:pPr>
            <w:r>
              <w:rPr>
                <w:color w:val="auto"/>
              </w:rPr>
              <w:t>不规整</w:t>
            </w:r>
          </w:p>
        </w:tc>
        <w:tc>
          <w:tcPr>
            <w:tcW w:w="620" w:type="dxa"/>
            <w:tcBorders>
              <w:top w:val="single" w:color="000000" w:sz="4" w:space="0"/>
              <w:left w:val="single" w:color="000000" w:sz="4" w:space="0"/>
              <w:bottom w:val="single" w:color="000000" w:sz="4" w:space="0"/>
              <w:right w:val="single" w:color="000000" w:sz="4" w:space="0"/>
            </w:tcBorders>
            <w:vAlign w:val="center"/>
          </w:tcPr>
          <w:p w14:paraId="53F51575">
            <w:pPr>
              <w:spacing w:before="48" w:beforeLines="20" w:after="48" w:afterLines="20"/>
              <w:jc w:val="center"/>
              <w:rPr>
                <w:rFonts w:hint="eastAsia" w:eastAsia="宋体"/>
                <w:color w:val="auto"/>
                <w:lang w:val="en-US" w:eastAsia="zh-CN"/>
              </w:rPr>
            </w:pPr>
            <w:r>
              <w:rPr>
                <w:color w:val="auto"/>
              </w:rPr>
              <w:t>2.</w:t>
            </w:r>
            <w:r>
              <w:rPr>
                <w:rFonts w:hint="eastAsia"/>
                <w:color w:val="auto"/>
                <w:lang w:val="en-US" w:eastAsia="zh-CN"/>
              </w:rPr>
              <w:t>2</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676AAA1">
            <w:pPr>
              <w:spacing w:before="48" w:beforeLines="20" w:after="48" w:afterLines="20"/>
              <w:jc w:val="center"/>
              <w:rPr>
                <w:color w:val="auto"/>
              </w:rPr>
            </w:pPr>
            <w:r>
              <w:rPr>
                <w:color w:val="auto"/>
              </w:rPr>
              <w:t>重度</w:t>
            </w:r>
          </w:p>
        </w:tc>
      </w:tr>
    </w:tbl>
    <w:p w14:paraId="65307F78">
      <w:pPr>
        <w:widowControl/>
        <w:spacing w:line="360" w:lineRule="auto"/>
        <w:ind w:firstLine="560" w:firstLineChars="200"/>
        <w:rPr>
          <w:rFonts w:hint="eastAsia" w:eastAsia="宋体"/>
          <w:color w:val="auto"/>
          <w:kern w:val="0"/>
          <w:sz w:val="28"/>
          <w:szCs w:val="28"/>
          <w:lang w:eastAsia="zh-CN"/>
        </w:rPr>
      </w:pPr>
      <w:r>
        <w:rPr>
          <w:color w:val="auto"/>
          <w:kern w:val="0"/>
          <w:sz w:val="28"/>
          <w:szCs w:val="28"/>
        </w:rPr>
        <w:t>（2）</w:t>
      </w:r>
      <w:r>
        <w:rPr>
          <w:rFonts w:hint="eastAsia"/>
          <w:color w:val="auto"/>
          <w:kern w:val="0"/>
          <w:sz w:val="28"/>
          <w:szCs w:val="28"/>
          <w:lang w:val="en-US" w:eastAsia="zh-CN"/>
        </w:rPr>
        <w:t>1#废石场</w:t>
      </w:r>
    </w:p>
    <w:p w14:paraId="1097186E">
      <w:pPr>
        <w:widowControl/>
        <w:spacing w:line="360" w:lineRule="auto"/>
        <w:ind w:firstLine="560" w:firstLineChars="200"/>
        <w:rPr>
          <w:color w:val="auto"/>
          <w:kern w:val="0"/>
          <w:sz w:val="28"/>
          <w:szCs w:val="28"/>
        </w:rPr>
      </w:pPr>
      <w:r>
        <w:rPr>
          <w:rFonts w:hint="eastAsia"/>
          <w:color w:val="auto"/>
          <w:kern w:val="0"/>
          <w:sz w:val="28"/>
          <w:szCs w:val="28"/>
          <w:lang w:val="en-US" w:eastAsia="zh-CN"/>
        </w:rPr>
        <w:t>废石场</w:t>
      </w:r>
      <w:r>
        <w:rPr>
          <w:color w:val="auto"/>
          <w:kern w:val="0"/>
          <w:sz w:val="28"/>
          <w:szCs w:val="28"/>
        </w:rPr>
        <w:t>占地面积为</w:t>
      </w:r>
      <w:r>
        <w:rPr>
          <w:rFonts w:hint="eastAsia"/>
          <w:color w:val="auto"/>
          <w:kern w:val="0"/>
          <w:sz w:val="28"/>
          <w:szCs w:val="28"/>
          <w:lang w:val="en-US" w:eastAsia="zh-CN"/>
        </w:rPr>
        <w:t>4811</w:t>
      </w:r>
      <w:r>
        <w:rPr>
          <w:color w:val="auto"/>
          <w:kern w:val="0"/>
          <w:sz w:val="28"/>
          <w:szCs w:val="28"/>
        </w:rPr>
        <w:t>m</w:t>
      </w:r>
      <w:r>
        <w:rPr>
          <w:color w:val="auto"/>
          <w:kern w:val="0"/>
          <w:sz w:val="28"/>
          <w:szCs w:val="28"/>
          <w:vertAlign w:val="superscript"/>
        </w:rPr>
        <w:t>2</w:t>
      </w:r>
      <w:r>
        <w:rPr>
          <w:color w:val="auto"/>
          <w:kern w:val="0"/>
          <w:sz w:val="28"/>
          <w:szCs w:val="28"/>
        </w:rPr>
        <w:t>，坡度</w:t>
      </w:r>
      <w:r>
        <w:rPr>
          <w:rFonts w:hint="eastAsia"/>
          <w:color w:val="auto"/>
          <w:kern w:val="0"/>
          <w:sz w:val="28"/>
          <w:szCs w:val="28"/>
          <w:lang w:val="en-US" w:eastAsia="zh-CN"/>
        </w:rPr>
        <w:t>45</w:t>
      </w:r>
      <w:r>
        <w:rPr>
          <w:color w:val="auto"/>
          <w:kern w:val="0"/>
          <w:sz w:val="28"/>
          <w:szCs w:val="28"/>
        </w:rPr>
        <w:t>°，高度</w:t>
      </w:r>
      <w:r>
        <w:rPr>
          <w:rFonts w:hint="eastAsia"/>
          <w:color w:val="auto"/>
          <w:kern w:val="0"/>
          <w:sz w:val="28"/>
          <w:szCs w:val="28"/>
          <w:lang w:val="en-US" w:eastAsia="zh-CN"/>
        </w:rPr>
        <w:t>8</w:t>
      </w:r>
      <w:r>
        <w:rPr>
          <w:color w:val="auto"/>
          <w:kern w:val="0"/>
          <w:sz w:val="28"/>
          <w:szCs w:val="28"/>
        </w:rPr>
        <w:t>m，砾石含量</w:t>
      </w:r>
      <w:r>
        <w:rPr>
          <w:rFonts w:hint="eastAsia"/>
          <w:color w:val="auto"/>
          <w:kern w:val="0"/>
          <w:sz w:val="28"/>
          <w:szCs w:val="28"/>
          <w:lang w:val="en-US" w:eastAsia="zh-CN"/>
        </w:rPr>
        <w:t>大于3</w:t>
      </w:r>
      <w:r>
        <w:rPr>
          <w:color w:val="auto"/>
          <w:kern w:val="0"/>
          <w:sz w:val="28"/>
          <w:szCs w:val="28"/>
        </w:rPr>
        <w:t>0%，复垦难度</w:t>
      </w:r>
      <w:r>
        <w:rPr>
          <w:rFonts w:hint="eastAsia"/>
          <w:color w:val="auto"/>
          <w:kern w:val="0"/>
          <w:sz w:val="28"/>
          <w:szCs w:val="28"/>
          <w:lang w:val="en-US" w:eastAsia="zh-CN"/>
        </w:rPr>
        <w:t>易</w:t>
      </w:r>
      <w:r>
        <w:rPr>
          <w:color w:val="auto"/>
          <w:kern w:val="0"/>
          <w:sz w:val="28"/>
          <w:szCs w:val="28"/>
        </w:rPr>
        <w:t>，破坏土地利用类型为</w:t>
      </w:r>
      <w:r>
        <w:rPr>
          <w:rFonts w:hint="eastAsia"/>
          <w:color w:val="auto"/>
          <w:kern w:val="0"/>
          <w:sz w:val="28"/>
          <w:szCs w:val="28"/>
          <w:lang w:val="en-US" w:eastAsia="zh-CN"/>
        </w:rPr>
        <w:t>采矿用地4811</w:t>
      </w:r>
      <w:r>
        <w:rPr>
          <w:color w:val="auto"/>
          <w:kern w:val="0"/>
          <w:sz w:val="28"/>
          <w:szCs w:val="28"/>
        </w:rPr>
        <w:t>m</w:t>
      </w:r>
      <w:r>
        <w:rPr>
          <w:color w:val="auto"/>
          <w:kern w:val="0"/>
          <w:sz w:val="28"/>
          <w:szCs w:val="28"/>
          <w:vertAlign w:val="superscript"/>
        </w:rPr>
        <w:t>2</w:t>
      </w:r>
      <w:r>
        <w:rPr>
          <w:color w:val="auto"/>
          <w:kern w:val="0"/>
          <w:sz w:val="28"/>
          <w:szCs w:val="28"/>
        </w:rPr>
        <w:t>。</w:t>
      </w:r>
      <w:bookmarkStart w:id="59" w:name="OLE_LINK275"/>
      <w:bookmarkStart w:id="60" w:name="OLE_LINK255"/>
      <w:r>
        <w:rPr>
          <w:color w:val="auto"/>
          <w:kern w:val="0"/>
          <w:sz w:val="28"/>
          <w:szCs w:val="28"/>
        </w:rPr>
        <w:t>现状损毁土地方式主要为占用。场地的建设导致原有土地改变，地表植被直接被破坏，地表原有功能丧失</w:t>
      </w:r>
      <w:bookmarkEnd w:id="59"/>
      <w:bookmarkEnd w:id="60"/>
      <w:r>
        <w:rPr>
          <w:color w:val="auto"/>
          <w:kern w:val="0"/>
          <w:sz w:val="28"/>
          <w:szCs w:val="28"/>
        </w:rPr>
        <w:t>，对土地资源影响和破坏程度为</w:t>
      </w:r>
      <w:r>
        <w:rPr>
          <w:rFonts w:hint="eastAsia"/>
          <w:color w:val="auto"/>
          <w:kern w:val="0"/>
          <w:sz w:val="28"/>
          <w:szCs w:val="28"/>
          <w:lang w:val="en-US" w:eastAsia="zh-CN"/>
        </w:rPr>
        <w:t>重</w:t>
      </w:r>
      <w:r>
        <w:rPr>
          <w:color w:val="auto"/>
          <w:kern w:val="0"/>
          <w:sz w:val="28"/>
          <w:szCs w:val="28"/>
        </w:rPr>
        <w:t>度。</w:t>
      </w:r>
    </w:p>
    <w:p w14:paraId="0F90F4C7">
      <w:pPr>
        <w:widowControl/>
        <w:snapToGrid w:val="0"/>
        <w:jc w:val="center"/>
        <w:rPr>
          <w:rFonts w:eastAsia="黑体"/>
          <w:bCs/>
          <w:color w:val="auto"/>
          <w:sz w:val="24"/>
          <w:szCs w:val="24"/>
        </w:rPr>
      </w:pPr>
      <w:r>
        <w:rPr>
          <w:rFonts w:eastAsia="黑体"/>
          <w:bCs/>
          <w:color w:val="auto"/>
          <w:sz w:val="24"/>
          <w:szCs w:val="24"/>
        </w:rPr>
        <w:t>表3-</w:t>
      </w:r>
      <w:r>
        <w:rPr>
          <w:rFonts w:hint="eastAsia" w:eastAsia="黑体"/>
          <w:bCs/>
          <w:color w:val="auto"/>
          <w:sz w:val="24"/>
          <w:szCs w:val="24"/>
          <w:lang w:val="en-US" w:eastAsia="zh-CN"/>
        </w:rPr>
        <w:t xml:space="preserve">16  </w:t>
      </w:r>
      <w:r>
        <w:rPr>
          <w:rFonts w:eastAsia="黑体"/>
          <w:bCs/>
          <w:color w:val="auto"/>
          <w:sz w:val="24"/>
          <w:szCs w:val="24"/>
        </w:rPr>
        <w:t>土地损毁程度评价表</w:t>
      </w:r>
    </w:p>
    <w:tbl>
      <w:tblPr>
        <w:tblStyle w:val="34"/>
        <w:tblW w:w="8680" w:type="dxa"/>
        <w:jc w:val="center"/>
        <w:tblLayout w:type="fixed"/>
        <w:tblCellMar>
          <w:top w:w="0" w:type="dxa"/>
          <w:left w:w="108" w:type="dxa"/>
          <w:bottom w:w="0" w:type="dxa"/>
          <w:right w:w="108" w:type="dxa"/>
        </w:tblCellMar>
      </w:tblPr>
      <w:tblGrid>
        <w:gridCol w:w="1701"/>
        <w:gridCol w:w="846"/>
        <w:gridCol w:w="992"/>
        <w:gridCol w:w="875"/>
        <w:gridCol w:w="974"/>
        <w:gridCol w:w="1022"/>
        <w:gridCol w:w="1014"/>
        <w:gridCol w:w="620"/>
        <w:gridCol w:w="636"/>
      </w:tblGrid>
      <w:tr w14:paraId="7EA23DAC">
        <w:tblPrEx>
          <w:tblCellMar>
            <w:top w:w="0" w:type="dxa"/>
            <w:left w:w="108" w:type="dxa"/>
            <w:bottom w:w="0" w:type="dxa"/>
            <w:right w:w="108" w:type="dxa"/>
          </w:tblCellMar>
        </w:tblPrEx>
        <w:trPr>
          <w:trHeight w:val="397" w:hRule="atLeast"/>
          <w:tblHeader/>
          <w:jc w:val="center"/>
        </w:trPr>
        <w:tc>
          <w:tcPr>
            <w:tcW w:w="1701" w:type="dxa"/>
            <w:vMerge w:val="restart"/>
            <w:tcBorders>
              <w:top w:val="single" w:color="000000" w:sz="4" w:space="0"/>
              <w:left w:val="single" w:color="000000" w:sz="4" w:space="0"/>
              <w:bottom w:val="single" w:color="000000" w:sz="4" w:space="0"/>
              <w:right w:val="single" w:color="000000" w:sz="4" w:space="0"/>
            </w:tcBorders>
            <w:vAlign w:val="center"/>
          </w:tcPr>
          <w:p w14:paraId="470B2E57">
            <w:pPr>
              <w:adjustRightInd w:val="0"/>
              <w:snapToGrid w:val="0"/>
              <w:jc w:val="center"/>
              <w:rPr>
                <w:color w:val="auto"/>
              </w:rPr>
            </w:pPr>
            <w:r>
              <w:rPr>
                <w:color w:val="auto"/>
              </w:rPr>
              <w:t>破坏单元</w:t>
            </w:r>
          </w:p>
        </w:tc>
        <w:tc>
          <w:tcPr>
            <w:tcW w:w="5723" w:type="dxa"/>
            <w:gridSpan w:val="6"/>
            <w:tcBorders>
              <w:top w:val="single" w:color="000000" w:sz="4" w:space="0"/>
              <w:left w:val="single" w:color="000000" w:sz="4" w:space="0"/>
              <w:bottom w:val="single" w:color="000000" w:sz="4" w:space="0"/>
              <w:right w:val="single" w:color="000000" w:sz="4" w:space="0"/>
            </w:tcBorders>
            <w:vAlign w:val="center"/>
          </w:tcPr>
          <w:p w14:paraId="12FD945A">
            <w:pPr>
              <w:adjustRightInd w:val="0"/>
              <w:snapToGrid w:val="0"/>
              <w:jc w:val="center"/>
              <w:rPr>
                <w:color w:val="auto"/>
              </w:rPr>
            </w:pPr>
            <w:r>
              <w:rPr>
                <w:color w:val="auto"/>
              </w:rPr>
              <w:t>评价因子</w:t>
            </w:r>
          </w:p>
        </w:tc>
        <w:tc>
          <w:tcPr>
            <w:tcW w:w="620" w:type="dxa"/>
            <w:vMerge w:val="restart"/>
            <w:tcBorders>
              <w:top w:val="single" w:color="000000" w:sz="4" w:space="0"/>
              <w:left w:val="single" w:color="000000" w:sz="4" w:space="0"/>
              <w:bottom w:val="single" w:color="000000" w:sz="4" w:space="0"/>
              <w:right w:val="single" w:color="000000" w:sz="4" w:space="0"/>
            </w:tcBorders>
            <w:vAlign w:val="center"/>
          </w:tcPr>
          <w:p w14:paraId="253104E2">
            <w:pPr>
              <w:adjustRightInd w:val="0"/>
              <w:snapToGrid w:val="0"/>
              <w:jc w:val="center"/>
              <w:rPr>
                <w:color w:val="auto"/>
              </w:rPr>
            </w:pPr>
            <w:r>
              <w:rPr>
                <w:color w:val="auto"/>
              </w:rPr>
              <w:t>得分</w:t>
            </w:r>
          </w:p>
        </w:tc>
        <w:tc>
          <w:tcPr>
            <w:tcW w:w="636" w:type="dxa"/>
            <w:vMerge w:val="restart"/>
            <w:tcBorders>
              <w:top w:val="single" w:color="000000" w:sz="4" w:space="0"/>
              <w:left w:val="single" w:color="000000" w:sz="4" w:space="0"/>
              <w:right w:val="single" w:color="000000" w:sz="4" w:space="0"/>
            </w:tcBorders>
            <w:vAlign w:val="center"/>
          </w:tcPr>
          <w:p w14:paraId="649510D1">
            <w:pPr>
              <w:adjustRightInd w:val="0"/>
              <w:snapToGrid w:val="0"/>
              <w:jc w:val="center"/>
              <w:rPr>
                <w:color w:val="auto"/>
              </w:rPr>
            </w:pPr>
            <w:r>
              <w:rPr>
                <w:color w:val="auto"/>
              </w:rPr>
              <w:t>损毁</w:t>
            </w:r>
          </w:p>
          <w:p w14:paraId="45B2FD0A">
            <w:pPr>
              <w:adjustRightInd w:val="0"/>
              <w:snapToGrid w:val="0"/>
              <w:jc w:val="center"/>
              <w:rPr>
                <w:color w:val="auto"/>
              </w:rPr>
            </w:pPr>
            <w:r>
              <w:rPr>
                <w:color w:val="auto"/>
              </w:rPr>
              <w:t>程度</w:t>
            </w:r>
          </w:p>
        </w:tc>
      </w:tr>
      <w:tr w14:paraId="484A7855">
        <w:tblPrEx>
          <w:tblCellMar>
            <w:top w:w="0" w:type="dxa"/>
            <w:left w:w="108" w:type="dxa"/>
            <w:bottom w:w="0" w:type="dxa"/>
            <w:right w:w="108" w:type="dxa"/>
          </w:tblCellMar>
        </w:tblPrEx>
        <w:trPr>
          <w:trHeight w:val="397" w:hRule="atLeast"/>
          <w:tblHeader/>
          <w:jc w:val="center"/>
        </w:trPr>
        <w:tc>
          <w:tcPr>
            <w:tcW w:w="1701" w:type="dxa"/>
            <w:vMerge w:val="continue"/>
            <w:tcBorders>
              <w:top w:val="single" w:color="000000" w:sz="4" w:space="0"/>
              <w:left w:val="single" w:color="000000" w:sz="4" w:space="0"/>
              <w:bottom w:val="single" w:color="000000" w:sz="4" w:space="0"/>
              <w:right w:val="single" w:color="000000" w:sz="4" w:space="0"/>
            </w:tcBorders>
            <w:vAlign w:val="center"/>
          </w:tcPr>
          <w:p w14:paraId="3124F5E8">
            <w:pPr>
              <w:adjustRightInd w:val="0"/>
              <w:snapToGrid w:val="0"/>
              <w:jc w:val="center"/>
              <w:rPr>
                <w:color w:val="auto"/>
              </w:rPr>
            </w:pPr>
          </w:p>
        </w:tc>
        <w:tc>
          <w:tcPr>
            <w:tcW w:w="846" w:type="dxa"/>
            <w:tcBorders>
              <w:top w:val="single" w:color="000000" w:sz="4" w:space="0"/>
              <w:left w:val="single" w:color="000000" w:sz="4" w:space="0"/>
              <w:bottom w:val="single" w:color="000000" w:sz="4" w:space="0"/>
              <w:right w:val="single" w:color="000000" w:sz="4" w:space="0"/>
            </w:tcBorders>
            <w:vAlign w:val="center"/>
          </w:tcPr>
          <w:p w14:paraId="6B72D94D">
            <w:pPr>
              <w:adjustRightInd w:val="0"/>
              <w:snapToGrid w:val="0"/>
              <w:jc w:val="center"/>
              <w:rPr>
                <w:color w:val="auto"/>
              </w:rPr>
            </w:pPr>
            <w:r>
              <w:rPr>
                <w:color w:val="auto"/>
              </w:rPr>
              <w:t>压占</w:t>
            </w:r>
          </w:p>
          <w:p w14:paraId="69DED630">
            <w:pPr>
              <w:adjustRightInd w:val="0"/>
              <w:snapToGrid w:val="0"/>
              <w:jc w:val="center"/>
              <w:rPr>
                <w:color w:val="auto"/>
              </w:rPr>
            </w:pPr>
            <w:r>
              <w:rPr>
                <w:color w:val="auto"/>
              </w:rPr>
              <w:t>面积</w:t>
            </w:r>
          </w:p>
        </w:tc>
        <w:tc>
          <w:tcPr>
            <w:tcW w:w="992" w:type="dxa"/>
            <w:tcBorders>
              <w:top w:val="single" w:color="000000" w:sz="4" w:space="0"/>
              <w:left w:val="single" w:color="000000" w:sz="4" w:space="0"/>
              <w:bottom w:val="single" w:color="000000" w:sz="4" w:space="0"/>
              <w:right w:val="single" w:color="000000" w:sz="4" w:space="0"/>
            </w:tcBorders>
            <w:vAlign w:val="center"/>
          </w:tcPr>
          <w:p w14:paraId="63823ECC">
            <w:pPr>
              <w:adjustRightInd w:val="0"/>
              <w:snapToGrid w:val="0"/>
              <w:jc w:val="center"/>
              <w:rPr>
                <w:color w:val="auto"/>
              </w:rPr>
            </w:pPr>
            <w:r>
              <w:rPr>
                <w:color w:val="auto"/>
              </w:rPr>
              <w:t>边坡坡度</w:t>
            </w:r>
          </w:p>
        </w:tc>
        <w:tc>
          <w:tcPr>
            <w:tcW w:w="875" w:type="dxa"/>
            <w:tcBorders>
              <w:top w:val="single" w:color="000000" w:sz="4" w:space="0"/>
              <w:left w:val="single" w:color="000000" w:sz="4" w:space="0"/>
              <w:bottom w:val="single" w:color="000000" w:sz="4" w:space="0"/>
              <w:right w:val="single" w:color="000000" w:sz="4" w:space="0"/>
            </w:tcBorders>
            <w:vAlign w:val="center"/>
          </w:tcPr>
          <w:p w14:paraId="16B00129">
            <w:pPr>
              <w:adjustRightInd w:val="0"/>
              <w:snapToGrid w:val="0"/>
              <w:jc w:val="center"/>
              <w:rPr>
                <w:color w:val="auto"/>
              </w:rPr>
            </w:pPr>
            <w:r>
              <w:rPr>
                <w:color w:val="auto"/>
              </w:rPr>
              <w:t>排渣高度</w:t>
            </w:r>
          </w:p>
        </w:tc>
        <w:tc>
          <w:tcPr>
            <w:tcW w:w="974" w:type="dxa"/>
            <w:tcBorders>
              <w:top w:val="single" w:color="000000" w:sz="4" w:space="0"/>
              <w:left w:val="single" w:color="000000" w:sz="4" w:space="0"/>
              <w:bottom w:val="single" w:color="000000" w:sz="4" w:space="0"/>
              <w:right w:val="single" w:color="000000" w:sz="4" w:space="0"/>
            </w:tcBorders>
            <w:vAlign w:val="center"/>
          </w:tcPr>
          <w:p w14:paraId="79294EB1">
            <w:pPr>
              <w:adjustRightInd w:val="0"/>
              <w:snapToGrid w:val="0"/>
              <w:jc w:val="center"/>
              <w:rPr>
                <w:color w:val="auto"/>
              </w:rPr>
            </w:pPr>
            <w:r>
              <w:rPr>
                <w:color w:val="auto"/>
              </w:rPr>
              <w:t>土地稳定性</w:t>
            </w:r>
          </w:p>
        </w:tc>
        <w:tc>
          <w:tcPr>
            <w:tcW w:w="1022" w:type="dxa"/>
            <w:tcBorders>
              <w:top w:val="single" w:color="000000" w:sz="4" w:space="0"/>
              <w:left w:val="single" w:color="000000" w:sz="4" w:space="0"/>
              <w:bottom w:val="single" w:color="000000" w:sz="4" w:space="0"/>
              <w:right w:val="single" w:color="000000" w:sz="4" w:space="0"/>
            </w:tcBorders>
            <w:vAlign w:val="center"/>
          </w:tcPr>
          <w:p w14:paraId="40BCE379">
            <w:pPr>
              <w:adjustRightInd w:val="0"/>
              <w:snapToGrid w:val="0"/>
              <w:jc w:val="center"/>
              <w:rPr>
                <w:color w:val="auto"/>
              </w:rPr>
            </w:pPr>
            <w:r>
              <w:rPr>
                <w:color w:val="auto"/>
              </w:rPr>
              <w:t>砾石含量</w:t>
            </w:r>
          </w:p>
        </w:tc>
        <w:tc>
          <w:tcPr>
            <w:tcW w:w="1014" w:type="dxa"/>
            <w:tcBorders>
              <w:top w:val="single" w:color="000000" w:sz="4" w:space="0"/>
              <w:left w:val="single" w:color="000000" w:sz="4" w:space="0"/>
              <w:bottom w:val="single" w:color="000000" w:sz="4" w:space="0"/>
              <w:right w:val="single" w:color="000000" w:sz="4" w:space="0"/>
            </w:tcBorders>
            <w:vAlign w:val="center"/>
          </w:tcPr>
          <w:p w14:paraId="296F6682">
            <w:pPr>
              <w:adjustRightInd w:val="0"/>
              <w:snapToGrid w:val="0"/>
              <w:jc w:val="center"/>
              <w:rPr>
                <w:color w:val="auto"/>
              </w:rPr>
            </w:pPr>
            <w:r>
              <w:rPr>
                <w:color w:val="auto"/>
              </w:rPr>
              <w:t>复垦难度</w:t>
            </w:r>
          </w:p>
        </w:tc>
        <w:tc>
          <w:tcPr>
            <w:tcW w:w="620" w:type="dxa"/>
            <w:vMerge w:val="continue"/>
            <w:tcBorders>
              <w:top w:val="single" w:color="000000" w:sz="4" w:space="0"/>
              <w:left w:val="single" w:color="000000" w:sz="4" w:space="0"/>
              <w:bottom w:val="single" w:color="000000" w:sz="4" w:space="0"/>
              <w:right w:val="single" w:color="000000" w:sz="4" w:space="0"/>
            </w:tcBorders>
            <w:vAlign w:val="center"/>
          </w:tcPr>
          <w:p w14:paraId="31BC62FE">
            <w:pPr>
              <w:adjustRightInd w:val="0"/>
              <w:snapToGrid w:val="0"/>
              <w:jc w:val="center"/>
              <w:rPr>
                <w:color w:val="auto"/>
              </w:rPr>
            </w:pPr>
          </w:p>
        </w:tc>
        <w:tc>
          <w:tcPr>
            <w:tcW w:w="636" w:type="dxa"/>
            <w:vMerge w:val="continue"/>
            <w:tcBorders>
              <w:left w:val="single" w:color="000000" w:sz="4" w:space="0"/>
              <w:bottom w:val="single" w:color="000000" w:sz="4" w:space="0"/>
              <w:right w:val="single" w:color="000000" w:sz="4" w:space="0"/>
            </w:tcBorders>
            <w:vAlign w:val="center"/>
          </w:tcPr>
          <w:p w14:paraId="232E74FB">
            <w:pPr>
              <w:adjustRightInd w:val="0"/>
              <w:snapToGrid w:val="0"/>
              <w:jc w:val="center"/>
              <w:rPr>
                <w:color w:val="auto"/>
              </w:rPr>
            </w:pPr>
          </w:p>
        </w:tc>
      </w:tr>
      <w:tr w14:paraId="2CD72E94">
        <w:tblPrEx>
          <w:tblCellMar>
            <w:top w:w="0" w:type="dxa"/>
            <w:left w:w="108" w:type="dxa"/>
            <w:bottom w:w="0" w:type="dxa"/>
            <w:right w:w="108" w:type="dxa"/>
          </w:tblCellMar>
        </w:tblPrEx>
        <w:trPr>
          <w:trHeight w:val="297" w:hRule="atLeast"/>
          <w:jc w:val="center"/>
        </w:trPr>
        <w:tc>
          <w:tcPr>
            <w:tcW w:w="1701" w:type="dxa"/>
            <w:tcBorders>
              <w:top w:val="single" w:color="000000" w:sz="4" w:space="0"/>
              <w:left w:val="single" w:color="000000" w:sz="4" w:space="0"/>
              <w:bottom w:val="single" w:color="000000" w:sz="4" w:space="0"/>
              <w:right w:val="single" w:color="000000" w:sz="4" w:space="0"/>
            </w:tcBorders>
            <w:vAlign w:val="center"/>
          </w:tcPr>
          <w:p w14:paraId="6BF722BA">
            <w:pPr>
              <w:adjustRightInd w:val="0"/>
              <w:snapToGrid w:val="0"/>
              <w:jc w:val="center"/>
              <w:rPr>
                <w:color w:val="auto"/>
              </w:rPr>
            </w:pPr>
            <w:r>
              <w:rPr>
                <w:rFonts w:hint="eastAsia"/>
                <w:color w:val="auto"/>
                <w:lang w:val="en-US" w:eastAsia="zh-CN"/>
              </w:rPr>
              <w:t>1#废石场</w:t>
            </w:r>
          </w:p>
        </w:tc>
        <w:tc>
          <w:tcPr>
            <w:tcW w:w="846" w:type="dxa"/>
            <w:tcBorders>
              <w:top w:val="single" w:color="000000" w:sz="4" w:space="0"/>
              <w:left w:val="single" w:color="000000" w:sz="4" w:space="0"/>
              <w:bottom w:val="single" w:color="000000" w:sz="4" w:space="0"/>
              <w:right w:val="single" w:color="000000" w:sz="4" w:space="0"/>
            </w:tcBorders>
            <w:vAlign w:val="center"/>
          </w:tcPr>
          <w:p w14:paraId="02FC2F36">
            <w:pPr>
              <w:adjustRightInd w:val="0"/>
              <w:snapToGrid w:val="0"/>
              <w:jc w:val="center"/>
              <w:rPr>
                <w:rFonts w:hint="default" w:eastAsia="宋体"/>
                <w:color w:val="auto"/>
                <w:lang w:val="en-US" w:eastAsia="zh-CN"/>
              </w:rPr>
            </w:pPr>
            <w:r>
              <w:rPr>
                <w:rFonts w:hint="eastAsia"/>
                <w:color w:val="auto"/>
                <w:lang w:val="en-US" w:eastAsia="zh-CN"/>
              </w:rPr>
              <w:t>4811</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1FABE4FD">
            <w:pPr>
              <w:adjustRightInd w:val="0"/>
              <w:snapToGrid w:val="0"/>
              <w:jc w:val="center"/>
              <w:rPr>
                <w:color w:val="auto"/>
              </w:rPr>
            </w:pPr>
            <w:r>
              <w:rPr>
                <w:color w:val="auto"/>
              </w:rPr>
              <w:t>&gt;35°</w:t>
            </w: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207C847F">
            <w:pPr>
              <w:adjustRightInd w:val="0"/>
              <w:snapToGrid w:val="0"/>
              <w:jc w:val="center"/>
              <w:rPr>
                <w:color w:val="auto"/>
              </w:rPr>
            </w:pPr>
            <w:r>
              <w:rPr>
                <w:color w:val="auto"/>
              </w:rPr>
              <w:t>&gt;6m</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63F3CAA9">
            <w:pPr>
              <w:adjustRightInd w:val="0"/>
              <w:snapToGrid w:val="0"/>
              <w:jc w:val="center"/>
              <w:rPr>
                <w:color w:val="auto"/>
              </w:rPr>
            </w:pPr>
            <w:r>
              <w:rPr>
                <w:color w:val="auto"/>
              </w:rPr>
              <w:t>稳定</w:t>
            </w:r>
          </w:p>
        </w:tc>
        <w:tc>
          <w:tcPr>
            <w:tcW w:w="1022" w:type="dxa"/>
            <w:tcBorders>
              <w:top w:val="single" w:color="000000" w:sz="4" w:space="0"/>
              <w:left w:val="single" w:color="000000" w:sz="4" w:space="0"/>
              <w:bottom w:val="single" w:color="000000" w:sz="4" w:space="0"/>
              <w:right w:val="single" w:color="000000" w:sz="4" w:space="0"/>
            </w:tcBorders>
            <w:noWrap/>
            <w:vAlign w:val="center"/>
          </w:tcPr>
          <w:p w14:paraId="1AB29D06">
            <w:pPr>
              <w:adjustRightInd w:val="0"/>
              <w:snapToGrid w:val="0"/>
              <w:jc w:val="center"/>
              <w:rPr>
                <w:color w:val="auto"/>
              </w:rPr>
            </w:pPr>
            <w:r>
              <w:rPr>
                <w:color w:val="auto"/>
              </w:rPr>
              <w:t>&gt;</w:t>
            </w:r>
            <w:r>
              <w:rPr>
                <w:rFonts w:hint="eastAsia"/>
                <w:color w:val="auto"/>
                <w:lang w:val="en-US" w:eastAsia="zh-CN"/>
              </w:rPr>
              <w:t>30</w:t>
            </w:r>
            <w:r>
              <w:rPr>
                <w:color w:val="auto"/>
              </w:rPr>
              <w:t>%</w:t>
            </w:r>
          </w:p>
        </w:tc>
        <w:tc>
          <w:tcPr>
            <w:tcW w:w="1014" w:type="dxa"/>
            <w:tcBorders>
              <w:top w:val="single" w:color="000000" w:sz="4" w:space="0"/>
              <w:left w:val="single" w:color="000000" w:sz="4" w:space="0"/>
              <w:bottom w:val="single" w:color="000000" w:sz="4" w:space="0"/>
              <w:right w:val="single" w:color="000000" w:sz="4" w:space="0"/>
            </w:tcBorders>
            <w:noWrap/>
            <w:vAlign w:val="center"/>
          </w:tcPr>
          <w:p w14:paraId="513EAAAC">
            <w:pPr>
              <w:adjustRightInd w:val="0"/>
              <w:snapToGrid w:val="0"/>
              <w:jc w:val="center"/>
              <w:rPr>
                <w:rFonts w:hint="eastAsia" w:eastAsia="宋体"/>
                <w:color w:val="auto"/>
                <w:lang w:eastAsia="zh-CN"/>
              </w:rPr>
            </w:pPr>
            <w:r>
              <w:rPr>
                <w:rFonts w:hint="eastAsia"/>
                <w:color w:val="auto"/>
                <w:lang w:val="en-US" w:eastAsia="zh-CN"/>
              </w:rPr>
              <w:t>易</w:t>
            </w:r>
          </w:p>
        </w:tc>
        <w:tc>
          <w:tcPr>
            <w:tcW w:w="620" w:type="dxa"/>
            <w:tcBorders>
              <w:top w:val="single" w:color="000000" w:sz="4" w:space="0"/>
              <w:left w:val="single" w:color="000000" w:sz="4" w:space="0"/>
              <w:bottom w:val="single" w:color="000000" w:sz="4" w:space="0"/>
              <w:right w:val="single" w:color="000000" w:sz="4" w:space="0"/>
            </w:tcBorders>
            <w:vAlign w:val="center"/>
          </w:tcPr>
          <w:p w14:paraId="6C266ADD">
            <w:pPr>
              <w:adjustRightInd w:val="0"/>
              <w:snapToGrid w:val="0"/>
              <w:jc w:val="center"/>
              <w:rPr>
                <w:rFonts w:hint="default" w:eastAsia="宋体"/>
                <w:color w:val="auto"/>
                <w:lang w:val="en-US" w:eastAsia="zh-CN"/>
              </w:rPr>
            </w:pPr>
            <w:r>
              <w:rPr>
                <w:rFonts w:hint="eastAsia"/>
                <w:color w:val="auto"/>
                <w:lang w:val="en-US" w:eastAsia="zh-CN"/>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18DE8D15">
            <w:pPr>
              <w:adjustRightInd w:val="0"/>
              <w:snapToGrid w:val="0"/>
              <w:jc w:val="center"/>
              <w:rPr>
                <w:rFonts w:hint="default"/>
                <w:color w:val="auto"/>
                <w:lang w:val="en-US"/>
              </w:rPr>
            </w:pPr>
            <w:r>
              <w:rPr>
                <w:rFonts w:hint="eastAsia"/>
                <w:color w:val="auto"/>
                <w:lang w:val="en-US" w:eastAsia="zh-CN"/>
              </w:rPr>
              <w:t>中度</w:t>
            </w:r>
          </w:p>
        </w:tc>
      </w:tr>
    </w:tbl>
    <w:p w14:paraId="7F4BF459">
      <w:pPr>
        <w:widowControl/>
        <w:spacing w:line="360" w:lineRule="auto"/>
        <w:ind w:firstLine="560" w:firstLineChars="200"/>
        <w:rPr>
          <w:rFonts w:hint="eastAsia" w:eastAsia="宋体"/>
          <w:color w:val="auto"/>
          <w:kern w:val="0"/>
          <w:sz w:val="28"/>
          <w:szCs w:val="28"/>
          <w:lang w:eastAsia="zh-CN"/>
        </w:rPr>
      </w:pPr>
      <w:r>
        <w:rPr>
          <w:color w:val="auto"/>
          <w:kern w:val="0"/>
          <w:sz w:val="28"/>
          <w:szCs w:val="28"/>
        </w:rPr>
        <w:t>（</w:t>
      </w:r>
      <w:r>
        <w:rPr>
          <w:rFonts w:hint="eastAsia"/>
          <w:color w:val="auto"/>
          <w:kern w:val="0"/>
          <w:sz w:val="28"/>
          <w:szCs w:val="28"/>
          <w:lang w:val="en-US" w:eastAsia="zh-CN"/>
        </w:rPr>
        <w:t>3</w:t>
      </w:r>
      <w:r>
        <w:rPr>
          <w:color w:val="auto"/>
          <w:kern w:val="0"/>
          <w:sz w:val="28"/>
          <w:szCs w:val="28"/>
        </w:rPr>
        <w:t>）</w:t>
      </w:r>
      <w:r>
        <w:rPr>
          <w:rFonts w:hint="eastAsia"/>
          <w:color w:val="auto"/>
          <w:kern w:val="0"/>
          <w:sz w:val="28"/>
          <w:szCs w:val="28"/>
          <w:lang w:val="en-US" w:eastAsia="zh-CN"/>
        </w:rPr>
        <w:t>2#废石场</w:t>
      </w:r>
    </w:p>
    <w:p w14:paraId="42F1E24D">
      <w:pPr>
        <w:widowControl/>
        <w:spacing w:line="360" w:lineRule="auto"/>
        <w:ind w:firstLine="560" w:firstLineChars="200"/>
        <w:rPr>
          <w:color w:val="auto"/>
          <w:kern w:val="0"/>
          <w:sz w:val="28"/>
          <w:szCs w:val="28"/>
        </w:rPr>
      </w:pPr>
      <w:r>
        <w:rPr>
          <w:rFonts w:hint="eastAsia"/>
          <w:color w:val="auto"/>
          <w:kern w:val="0"/>
          <w:sz w:val="28"/>
          <w:szCs w:val="28"/>
          <w:lang w:val="en-US" w:eastAsia="zh-CN"/>
        </w:rPr>
        <w:t>2#废石场</w:t>
      </w:r>
      <w:r>
        <w:rPr>
          <w:color w:val="auto"/>
          <w:kern w:val="0"/>
          <w:sz w:val="28"/>
          <w:szCs w:val="28"/>
        </w:rPr>
        <w:t>占地面积为</w:t>
      </w:r>
      <w:r>
        <w:rPr>
          <w:rFonts w:hint="eastAsia"/>
          <w:color w:val="auto"/>
          <w:kern w:val="0"/>
          <w:sz w:val="28"/>
          <w:szCs w:val="28"/>
          <w:lang w:val="en-US" w:eastAsia="zh-CN"/>
        </w:rPr>
        <w:t>14034</w:t>
      </w:r>
      <w:r>
        <w:rPr>
          <w:color w:val="auto"/>
          <w:kern w:val="0"/>
          <w:sz w:val="28"/>
          <w:szCs w:val="28"/>
        </w:rPr>
        <w:t>m</w:t>
      </w:r>
      <w:r>
        <w:rPr>
          <w:color w:val="auto"/>
          <w:kern w:val="0"/>
          <w:sz w:val="28"/>
          <w:szCs w:val="28"/>
          <w:vertAlign w:val="superscript"/>
        </w:rPr>
        <w:t>2</w:t>
      </w:r>
      <w:r>
        <w:rPr>
          <w:color w:val="auto"/>
          <w:kern w:val="0"/>
          <w:sz w:val="28"/>
          <w:szCs w:val="28"/>
        </w:rPr>
        <w:t>，坡度</w:t>
      </w:r>
      <w:r>
        <w:rPr>
          <w:rFonts w:hint="eastAsia"/>
          <w:color w:val="auto"/>
          <w:kern w:val="0"/>
          <w:sz w:val="28"/>
          <w:szCs w:val="28"/>
          <w:lang w:val="en-US" w:eastAsia="zh-CN"/>
        </w:rPr>
        <w:t>5</w:t>
      </w:r>
      <w:r>
        <w:rPr>
          <w:color w:val="auto"/>
          <w:kern w:val="0"/>
          <w:sz w:val="28"/>
          <w:szCs w:val="28"/>
        </w:rPr>
        <w:t>0°，高度</w:t>
      </w:r>
      <w:r>
        <w:rPr>
          <w:rFonts w:hint="eastAsia"/>
          <w:color w:val="auto"/>
          <w:kern w:val="0"/>
          <w:sz w:val="28"/>
          <w:szCs w:val="28"/>
          <w:lang w:val="en-US" w:eastAsia="zh-CN"/>
        </w:rPr>
        <w:t>60</w:t>
      </w:r>
      <w:r>
        <w:rPr>
          <w:color w:val="auto"/>
          <w:kern w:val="0"/>
          <w:sz w:val="28"/>
          <w:szCs w:val="28"/>
        </w:rPr>
        <w:t>m，砾石含量</w:t>
      </w:r>
      <w:r>
        <w:rPr>
          <w:rFonts w:hint="eastAsia"/>
          <w:color w:val="auto"/>
          <w:kern w:val="0"/>
          <w:sz w:val="28"/>
          <w:szCs w:val="28"/>
          <w:lang w:val="en-US" w:eastAsia="zh-CN"/>
        </w:rPr>
        <w:t>大于3</w:t>
      </w:r>
      <w:r>
        <w:rPr>
          <w:color w:val="auto"/>
          <w:kern w:val="0"/>
          <w:sz w:val="28"/>
          <w:szCs w:val="28"/>
        </w:rPr>
        <w:t>0%，复垦难度</w:t>
      </w:r>
      <w:r>
        <w:rPr>
          <w:rFonts w:hint="eastAsia"/>
          <w:color w:val="auto"/>
          <w:kern w:val="0"/>
          <w:sz w:val="28"/>
          <w:szCs w:val="28"/>
          <w:lang w:val="en-US" w:eastAsia="zh-CN"/>
        </w:rPr>
        <w:t>易</w:t>
      </w:r>
      <w:r>
        <w:rPr>
          <w:color w:val="auto"/>
          <w:kern w:val="0"/>
          <w:sz w:val="28"/>
          <w:szCs w:val="28"/>
        </w:rPr>
        <w:t>，破坏土地利用类型为</w:t>
      </w:r>
      <w:r>
        <w:rPr>
          <w:rFonts w:hint="eastAsia"/>
          <w:color w:val="auto"/>
          <w:kern w:val="0"/>
          <w:sz w:val="28"/>
          <w:szCs w:val="28"/>
          <w:lang w:val="en-US" w:eastAsia="zh-CN"/>
        </w:rPr>
        <w:t>采矿用地14034</w:t>
      </w:r>
      <w:r>
        <w:rPr>
          <w:color w:val="auto"/>
          <w:kern w:val="0"/>
          <w:sz w:val="28"/>
          <w:szCs w:val="28"/>
        </w:rPr>
        <w:t>m</w:t>
      </w:r>
      <w:r>
        <w:rPr>
          <w:color w:val="auto"/>
          <w:kern w:val="0"/>
          <w:sz w:val="28"/>
          <w:szCs w:val="28"/>
          <w:vertAlign w:val="superscript"/>
        </w:rPr>
        <w:t>2</w:t>
      </w:r>
      <w:r>
        <w:rPr>
          <w:color w:val="auto"/>
          <w:kern w:val="0"/>
          <w:sz w:val="28"/>
          <w:szCs w:val="28"/>
        </w:rPr>
        <w:t>。现状损毁土地方式主要为占用。场地的建设导致原有土地改变，地表植被直接被破坏，地表原</w:t>
      </w:r>
    </w:p>
    <w:p w14:paraId="534A3AA0">
      <w:pPr>
        <w:widowControl/>
        <w:spacing w:line="360" w:lineRule="auto"/>
        <w:ind w:firstLine="560" w:firstLineChars="200"/>
        <w:rPr>
          <w:color w:val="auto"/>
          <w:kern w:val="0"/>
          <w:sz w:val="28"/>
          <w:szCs w:val="28"/>
        </w:rPr>
      </w:pPr>
      <w:r>
        <w:rPr>
          <w:color w:val="auto"/>
          <w:kern w:val="0"/>
          <w:sz w:val="28"/>
          <w:szCs w:val="28"/>
        </w:rPr>
        <w:t>有功能丧失，对土地资源影响和破坏程度为</w:t>
      </w:r>
      <w:r>
        <w:rPr>
          <w:rFonts w:hint="eastAsia"/>
          <w:color w:val="auto"/>
          <w:kern w:val="0"/>
          <w:sz w:val="28"/>
          <w:szCs w:val="28"/>
          <w:lang w:val="en-US" w:eastAsia="zh-CN"/>
        </w:rPr>
        <w:t>重</w:t>
      </w:r>
      <w:r>
        <w:rPr>
          <w:color w:val="auto"/>
          <w:kern w:val="0"/>
          <w:sz w:val="28"/>
          <w:szCs w:val="28"/>
        </w:rPr>
        <w:t>度。</w:t>
      </w:r>
    </w:p>
    <w:p w14:paraId="075923DC">
      <w:pPr>
        <w:widowControl/>
        <w:snapToGrid w:val="0"/>
        <w:jc w:val="center"/>
        <w:rPr>
          <w:rFonts w:eastAsia="黑体"/>
          <w:bCs/>
          <w:color w:val="auto"/>
          <w:sz w:val="24"/>
          <w:szCs w:val="24"/>
        </w:rPr>
      </w:pPr>
      <w:r>
        <w:rPr>
          <w:rFonts w:eastAsia="黑体"/>
          <w:bCs/>
          <w:color w:val="auto"/>
          <w:sz w:val="24"/>
          <w:szCs w:val="24"/>
        </w:rPr>
        <w:t>表3-</w:t>
      </w:r>
      <w:r>
        <w:rPr>
          <w:rFonts w:hint="eastAsia" w:eastAsia="黑体"/>
          <w:bCs/>
          <w:color w:val="auto"/>
          <w:sz w:val="24"/>
          <w:szCs w:val="24"/>
          <w:lang w:val="en-US" w:eastAsia="zh-CN"/>
        </w:rPr>
        <w:t xml:space="preserve">17  </w:t>
      </w:r>
      <w:r>
        <w:rPr>
          <w:rFonts w:eastAsia="黑体"/>
          <w:bCs/>
          <w:color w:val="auto"/>
          <w:sz w:val="24"/>
          <w:szCs w:val="24"/>
        </w:rPr>
        <w:t>土地损毁程度评价表</w:t>
      </w:r>
    </w:p>
    <w:tbl>
      <w:tblPr>
        <w:tblStyle w:val="34"/>
        <w:tblW w:w="8680" w:type="dxa"/>
        <w:jc w:val="center"/>
        <w:tblLayout w:type="fixed"/>
        <w:tblCellMar>
          <w:top w:w="0" w:type="dxa"/>
          <w:left w:w="108" w:type="dxa"/>
          <w:bottom w:w="0" w:type="dxa"/>
          <w:right w:w="108" w:type="dxa"/>
        </w:tblCellMar>
      </w:tblPr>
      <w:tblGrid>
        <w:gridCol w:w="1701"/>
        <w:gridCol w:w="846"/>
        <w:gridCol w:w="992"/>
        <w:gridCol w:w="875"/>
        <w:gridCol w:w="974"/>
        <w:gridCol w:w="1022"/>
        <w:gridCol w:w="1014"/>
        <w:gridCol w:w="620"/>
        <w:gridCol w:w="636"/>
      </w:tblGrid>
      <w:tr w14:paraId="47ABC5F4">
        <w:tblPrEx>
          <w:tblCellMar>
            <w:top w:w="0" w:type="dxa"/>
            <w:left w:w="108" w:type="dxa"/>
            <w:bottom w:w="0" w:type="dxa"/>
            <w:right w:w="108" w:type="dxa"/>
          </w:tblCellMar>
        </w:tblPrEx>
        <w:trPr>
          <w:trHeight w:val="90" w:hRule="atLeast"/>
          <w:tblHeader/>
          <w:jc w:val="center"/>
        </w:trPr>
        <w:tc>
          <w:tcPr>
            <w:tcW w:w="1701" w:type="dxa"/>
            <w:vMerge w:val="restart"/>
            <w:tcBorders>
              <w:top w:val="single" w:color="000000" w:sz="4" w:space="0"/>
              <w:left w:val="single" w:color="000000" w:sz="4" w:space="0"/>
              <w:bottom w:val="single" w:color="000000" w:sz="4" w:space="0"/>
              <w:right w:val="single" w:color="000000" w:sz="4" w:space="0"/>
            </w:tcBorders>
            <w:vAlign w:val="center"/>
          </w:tcPr>
          <w:p w14:paraId="7059D733">
            <w:pPr>
              <w:adjustRightInd w:val="0"/>
              <w:snapToGrid w:val="0"/>
              <w:jc w:val="center"/>
              <w:rPr>
                <w:color w:val="auto"/>
              </w:rPr>
            </w:pPr>
            <w:r>
              <w:rPr>
                <w:color w:val="auto"/>
              </w:rPr>
              <w:t>破坏单元</w:t>
            </w:r>
          </w:p>
        </w:tc>
        <w:tc>
          <w:tcPr>
            <w:tcW w:w="5723" w:type="dxa"/>
            <w:gridSpan w:val="6"/>
            <w:tcBorders>
              <w:top w:val="single" w:color="000000" w:sz="4" w:space="0"/>
              <w:left w:val="single" w:color="000000" w:sz="4" w:space="0"/>
              <w:bottom w:val="single" w:color="000000" w:sz="4" w:space="0"/>
              <w:right w:val="single" w:color="000000" w:sz="4" w:space="0"/>
            </w:tcBorders>
            <w:vAlign w:val="center"/>
          </w:tcPr>
          <w:p w14:paraId="470589EF">
            <w:pPr>
              <w:adjustRightInd w:val="0"/>
              <w:snapToGrid w:val="0"/>
              <w:jc w:val="center"/>
              <w:rPr>
                <w:color w:val="auto"/>
              </w:rPr>
            </w:pPr>
            <w:r>
              <w:rPr>
                <w:color w:val="auto"/>
              </w:rPr>
              <w:t>评价因子</w:t>
            </w:r>
          </w:p>
        </w:tc>
        <w:tc>
          <w:tcPr>
            <w:tcW w:w="620" w:type="dxa"/>
            <w:vMerge w:val="restart"/>
            <w:tcBorders>
              <w:top w:val="single" w:color="000000" w:sz="4" w:space="0"/>
              <w:left w:val="single" w:color="000000" w:sz="4" w:space="0"/>
              <w:bottom w:val="single" w:color="000000" w:sz="4" w:space="0"/>
              <w:right w:val="single" w:color="000000" w:sz="4" w:space="0"/>
            </w:tcBorders>
            <w:vAlign w:val="center"/>
          </w:tcPr>
          <w:p w14:paraId="0540BACA">
            <w:pPr>
              <w:adjustRightInd w:val="0"/>
              <w:snapToGrid w:val="0"/>
              <w:jc w:val="center"/>
              <w:rPr>
                <w:color w:val="auto"/>
              </w:rPr>
            </w:pPr>
            <w:r>
              <w:rPr>
                <w:color w:val="auto"/>
              </w:rPr>
              <w:t>得分</w:t>
            </w:r>
          </w:p>
        </w:tc>
        <w:tc>
          <w:tcPr>
            <w:tcW w:w="636" w:type="dxa"/>
            <w:vMerge w:val="restart"/>
            <w:tcBorders>
              <w:top w:val="single" w:color="000000" w:sz="4" w:space="0"/>
              <w:left w:val="single" w:color="000000" w:sz="4" w:space="0"/>
              <w:right w:val="single" w:color="000000" w:sz="4" w:space="0"/>
            </w:tcBorders>
            <w:vAlign w:val="center"/>
          </w:tcPr>
          <w:p w14:paraId="5B8145D2">
            <w:pPr>
              <w:adjustRightInd w:val="0"/>
              <w:snapToGrid w:val="0"/>
              <w:jc w:val="center"/>
              <w:rPr>
                <w:color w:val="auto"/>
              </w:rPr>
            </w:pPr>
            <w:r>
              <w:rPr>
                <w:color w:val="auto"/>
              </w:rPr>
              <w:t>损毁</w:t>
            </w:r>
          </w:p>
          <w:p w14:paraId="19E9D59E">
            <w:pPr>
              <w:adjustRightInd w:val="0"/>
              <w:snapToGrid w:val="0"/>
              <w:jc w:val="center"/>
              <w:rPr>
                <w:color w:val="auto"/>
              </w:rPr>
            </w:pPr>
            <w:r>
              <w:rPr>
                <w:color w:val="auto"/>
              </w:rPr>
              <w:t>程度</w:t>
            </w:r>
          </w:p>
        </w:tc>
      </w:tr>
      <w:tr w14:paraId="2D9945A0">
        <w:tblPrEx>
          <w:tblCellMar>
            <w:top w:w="0" w:type="dxa"/>
            <w:left w:w="108" w:type="dxa"/>
            <w:bottom w:w="0" w:type="dxa"/>
            <w:right w:w="108" w:type="dxa"/>
          </w:tblCellMar>
        </w:tblPrEx>
        <w:trPr>
          <w:trHeight w:val="397" w:hRule="atLeast"/>
          <w:tblHeader/>
          <w:jc w:val="center"/>
        </w:trPr>
        <w:tc>
          <w:tcPr>
            <w:tcW w:w="1701" w:type="dxa"/>
            <w:vMerge w:val="continue"/>
            <w:tcBorders>
              <w:top w:val="single" w:color="000000" w:sz="4" w:space="0"/>
              <w:left w:val="single" w:color="000000" w:sz="4" w:space="0"/>
              <w:bottom w:val="single" w:color="000000" w:sz="4" w:space="0"/>
              <w:right w:val="single" w:color="000000" w:sz="4" w:space="0"/>
            </w:tcBorders>
            <w:vAlign w:val="center"/>
          </w:tcPr>
          <w:p w14:paraId="071C3AA0">
            <w:pPr>
              <w:adjustRightInd w:val="0"/>
              <w:snapToGrid w:val="0"/>
              <w:jc w:val="center"/>
              <w:rPr>
                <w:color w:val="auto"/>
              </w:rPr>
            </w:pPr>
          </w:p>
        </w:tc>
        <w:tc>
          <w:tcPr>
            <w:tcW w:w="846" w:type="dxa"/>
            <w:tcBorders>
              <w:top w:val="single" w:color="000000" w:sz="4" w:space="0"/>
              <w:left w:val="single" w:color="000000" w:sz="4" w:space="0"/>
              <w:bottom w:val="single" w:color="000000" w:sz="4" w:space="0"/>
              <w:right w:val="single" w:color="000000" w:sz="4" w:space="0"/>
            </w:tcBorders>
            <w:vAlign w:val="center"/>
          </w:tcPr>
          <w:p w14:paraId="25403487">
            <w:pPr>
              <w:adjustRightInd w:val="0"/>
              <w:snapToGrid w:val="0"/>
              <w:jc w:val="center"/>
              <w:rPr>
                <w:color w:val="auto"/>
              </w:rPr>
            </w:pPr>
            <w:r>
              <w:rPr>
                <w:color w:val="auto"/>
              </w:rPr>
              <w:t>压占</w:t>
            </w:r>
          </w:p>
          <w:p w14:paraId="0FD77B61">
            <w:pPr>
              <w:adjustRightInd w:val="0"/>
              <w:snapToGrid w:val="0"/>
              <w:jc w:val="center"/>
              <w:rPr>
                <w:color w:val="auto"/>
              </w:rPr>
            </w:pPr>
            <w:r>
              <w:rPr>
                <w:color w:val="auto"/>
              </w:rPr>
              <w:t>面积</w:t>
            </w:r>
          </w:p>
        </w:tc>
        <w:tc>
          <w:tcPr>
            <w:tcW w:w="992" w:type="dxa"/>
            <w:tcBorders>
              <w:top w:val="single" w:color="000000" w:sz="4" w:space="0"/>
              <w:left w:val="single" w:color="000000" w:sz="4" w:space="0"/>
              <w:bottom w:val="single" w:color="000000" w:sz="4" w:space="0"/>
              <w:right w:val="single" w:color="000000" w:sz="4" w:space="0"/>
            </w:tcBorders>
            <w:vAlign w:val="center"/>
          </w:tcPr>
          <w:p w14:paraId="42A4FD55">
            <w:pPr>
              <w:adjustRightInd w:val="0"/>
              <w:snapToGrid w:val="0"/>
              <w:jc w:val="center"/>
              <w:rPr>
                <w:color w:val="auto"/>
              </w:rPr>
            </w:pPr>
            <w:r>
              <w:rPr>
                <w:color w:val="auto"/>
              </w:rPr>
              <w:t>边坡坡度</w:t>
            </w:r>
          </w:p>
        </w:tc>
        <w:tc>
          <w:tcPr>
            <w:tcW w:w="875" w:type="dxa"/>
            <w:tcBorders>
              <w:top w:val="single" w:color="000000" w:sz="4" w:space="0"/>
              <w:left w:val="single" w:color="000000" w:sz="4" w:space="0"/>
              <w:bottom w:val="single" w:color="000000" w:sz="4" w:space="0"/>
              <w:right w:val="single" w:color="000000" w:sz="4" w:space="0"/>
            </w:tcBorders>
            <w:vAlign w:val="center"/>
          </w:tcPr>
          <w:p w14:paraId="7AFD38D0">
            <w:pPr>
              <w:adjustRightInd w:val="0"/>
              <w:snapToGrid w:val="0"/>
              <w:jc w:val="center"/>
              <w:rPr>
                <w:color w:val="auto"/>
              </w:rPr>
            </w:pPr>
            <w:r>
              <w:rPr>
                <w:color w:val="auto"/>
              </w:rPr>
              <w:t>排渣高度</w:t>
            </w:r>
          </w:p>
        </w:tc>
        <w:tc>
          <w:tcPr>
            <w:tcW w:w="974" w:type="dxa"/>
            <w:tcBorders>
              <w:top w:val="single" w:color="000000" w:sz="4" w:space="0"/>
              <w:left w:val="single" w:color="000000" w:sz="4" w:space="0"/>
              <w:bottom w:val="single" w:color="000000" w:sz="4" w:space="0"/>
              <w:right w:val="single" w:color="000000" w:sz="4" w:space="0"/>
            </w:tcBorders>
            <w:vAlign w:val="center"/>
          </w:tcPr>
          <w:p w14:paraId="43F14181">
            <w:pPr>
              <w:adjustRightInd w:val="0"/>
              <w:snapToGrid w:val="0"/>
              <w:jc w:val="center"/>
              <w:rPr>
                <w:color w:val="auto"/>
              </w:rPr>
            </w:pPr>
            <w:r>
              <w:rPr>
                <w:color w:val="auto"/>
              </w:rPr>
              <w:t>土地稳定性</w:t>
            </w:r>
          </w:p>
        </w:tc>
        <w:tc>
          <w:tcPr>
            <w:tcW w:w="1022" w:type="dxa"/>
            <w:tcBorders>
              <w:top w:val="single" w:color="000000" w:sz="4" w:space="0"/>
              <w:left w:val="single" w:color="000000" w:sz="4" w:space="0"/>
              <w:bottom w:val="single" w:color="000000" w:sz="4" w:space="0"/>
              <w:right w:val="single" w:color="000000" w:sz="4" w:space="0"/>
            </w:tcBorders>
            <w:vAlign w:val="center"/>
          </w:tcPr>
          <w:p w14:paraId="375976BA">
            <w:pPr>
              <w:adjustRightInd w:val="0"/>
              <w:snapToGrid w:val="0"/>
              <w:jc w:val="center"/>
              <w:rPr>
                <w:color w:val="auto"/>
              </w:rPr>
            </w:pPr>
            <w:r>
              <w:rPr>
                <w:color w:val="auto"/>
              </w:rPr>
              <w:t>砾石含量</w:t>
            </w:r>
          </w:p>
        </w:tc>
        <w:tc>
          <w:tcPr>
            <w:tcW w:w="1014" w:type="dxa"/>
            <w:tcBorders>
              <w:top w:val="single" w:color="000000" w:sz="4" w:space="0"/>
              <w:left w:val="single" w:color="000000" w:sz="4" w:space="0"/>
              <w:bottom w:val="single" w:color="000000" w:sz="4" w:space="0"/>
              <w:right w:val="single" w:color="000000" w:sz="4" w:space="0"/>
            </w:tcBorders>
            <w:vAlign w:val="center"/>
          </w:tcPr>
          <w:p w14:paraId="20F0167F">
            <w:pPr>
              <w:adjustRightInd w:val="0"/>
              <w:snapToGrid w:val="0"/>
              <w:jc w:val="center"/>
              <w:rPr>
                <w:color w:val="auto"/>
              </w:rPr>
            </w:pPr>
            <w:r>
              <w:rPr>
                <w:color w:val="auto"/>
              </w:rPr>
              <w:t>复垦难度</w:t>
            </w:r>
          </w:p>
        </w:tc>
        <w:tc>
          <w:tcPr>
            <w:tcW w:w="620" w:type="dxa"/>
            <w:vMerge w:val="continue"/>
            <w:tcBorders>
              <w:top w:val="single" w:color="000000" w:sz="4" w:space="0"/>
              <w:left w:val="single" w:color="000000" w:sz="4" w:space="0"/>
              <w:bottom w:val="single" w:color="000000" w:sz="4" w:space="0"/>
              <w:right w:val="single" w:color="000000" w:sz="4" w:space="0"/>
            </w:tcBorders>
            <w:vAlign w:val="center"/>
          </w:tcPr>
          <w:p w14:paraId="0797500A">
            <w:pPr>
              <w:adjustRightInd w:val="0"/>
              <w:snapToGrid w:val="0"/>
              <w:jc w:val="center"/>
              <w:rPr>
                <w:color w:val="auto"/>
              </w:rPr>
            </w:pPr>
          </w:p>
        </w:tc>
        <w:tc>
          <w:tcPr>
            <w:tcW w:w="636" w:type="dxa"/>
            <w:vMerge w:val="continue"/>
            <w:tcBorders>
              <w:left w:val="single" w:color="000000" w:sz="4" w:space="0"/>
              <w:bottom w:val="single" w:color="000000" w:sz="4" w:space="0"/>
              <w:right w:val="single" w:color="000000" w:sz="4" w:space="0"/>
            </w:tcBorders>
            <w:vAlign w:val="center"/>
          </w:tcPr>
          <w:p w14:paraId="694713CD">
            <w:pPr>
              <w:adjustRightInd w:val="0"/>
              <w:snapToGrid w:val="0"/>
              <w:jc w:val="center"/>
              <w:rPr>
                <w:color w:val="auto"/>
              </w:rPr>
            </w:pPr>
          </w:p>
        </w:tc>
      </w:tr>
      <w:tr w14:paraId="6887EA6D">
        <w:tblPrEx>
          <w:tblCellMar>
            <w:top w:w="0" w:type="dxa"/>
            <w:left w:w="108" w:type="dxa"/>
            <w:bottom w:w="0" w:type="dxa"/>
            <w:right w:w="108" w:type="dxa"/>
          </w:tblCellMar>
        </w:tblPrEx>
        <w:trPr>
          <w:trHeight w:val="257" w:hRule="atLeast"/>
          <w:jc w:val="center"/>
        </w:trPr>
        <w:tc>
          <w:tcPr>
            <w:tcW w:w="1701" w:type="dxa"/>
            <w:tcBorders>
              <w:top w:val="single" w:color="000000" w:sz="4" w:space="0"/>
              <w:left w:val="single" w:color="000000" w:sz="4" w:space="0"/>
              <w:bottom w:val="single" w:color="000000" w:sz="4" w:space="0"/>
              <w:right w:val="single" w:color="000000" w:sz="4" w:space="0"/>
            </w:tcBorders>
            <w:vAlign w:val="center"/>
          </w:tcPr>
          <w:p w14:paraId="4930B09D">
            <w:pPr>
              <w:adjustRightInd w:val="0"/>
              <w:snapToGrid w:val="0"/>
              <w:jc w:val="center"/>
              <w:rPr>
                <w:rFonts w:hint="default"/>
                <w:color w:val="auto"/>
                <w:lang w:val="en-US"/>
              </w:rPr>
            </w:pPr>
            <w:r>
              <w:rPr>
                <w:rFonts w:hint="eastAsia"/>
                <w:color w:val="auto"/>
                <w:lang w:val="en-US" w:eastAsia="zh-CN"/>
              </w:rPr>
              <w:t>2#废石场</w:t>
            </w:r>
          </w:p>
        </w:tc>
        <w:tc>
          <w:tcPr>
            <w:tcW w:w="846" w:type="dxa"/>
            <w:tcBorders>
              <w:top w:val="single" w:color="000000" w:sz="4" w:space="0"/>
              <w:left w:val="single" w:color="000000" w:sz="4" w:space="0"/>
              <w:bottom w:val="single" w:color="000000" w:sz="4" w:space="0"/>
              <w:right w:val="single" w:color="000000" w:sz="4" w:space="0"/>
            </w:tcBorders>
            <w:vAlign w:val="center"/>
          </w:tcPr>
          <w:p w14:paraId="6C7CE0F9">
            <w:pPr>
              <w:adjustRightInd w:val="0"/>
              <w:snapToGrid w:val="0"/>
              <w:jc w:val="center"/>
              <w:rPr>
                <w:rFonts w:hint="default" w:eastAsia="宋体"/>
                <w:color w:val="auto"/>
                <w:lang w:val="en-US" w:eastAsia="zh-CN"/>
              </w:rPr>
            </w:pPr>
            <w:r>
              <w:rPr>
                <w:rFonts w:hint="eastAsia"/>
                <w:color w:val="auto"/>
                <w:lang w:val="en-US" w:eastAsia="zh-CN"/>
              </w:rPr>
              <w:t>14034</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39D610F8">
            <w:pPr>
              <w:adjustRightInd w:val="0"/>
              <w:snapToGrid w:val="0"/>
              <w:jc w:val="center"/>
              <w:rPr>
                <w:color w:val="auto"/>
              </w:rPr>
            </w:pPr>
            <w:r>
              <w:rPr>
                <w:color w:val="auto"/>
              </w:rPr>
              <w:t>&gt;35°</w:t>
            </w: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2B9D984B">
            <w:pPr>
              <w:adjustRightInd w:val="0"/>
              <w:snapToGrid w:val="0"/>
              <w:jc w:val="center"/>
              <w:rPr>
                <w:color w:val="auto"/>
              </w:rPr>
            </w:pPr>
            <w:r>
              <w:rPr>
                <w:color w:val="auto"/>
              </w:rPr>
              <w:t>&gt;6m</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6933D3BA">
            <w:pPr>
              <w:adjustRightInd w:val="0"/>
              <w:snapToGrid w:val="0"/>
              <w:jc w:val="center"/>
              <w:rPr>
                <w:color w:val="auto"/>
              </w:rPr>
            </w:pPr>
            <w:r>
              <w:rPr>
                <w:color w:val="auto"/>
              </w:rPr>
              <w:t>稳定</w:t>
            </w:r>
          </w:p>
        </w:tc>
        <w:tc>
          <w:tcPr>
            <w:tcW w:w="1022" w:type="dxa"/>
            <w:tcBorders>
              <w:top w:val="single" w:color="000000" w:sz="4" w:space="0"/>
              <w:left w:val="single" w:color="000000" w:sz="4" w:space="0"/>
              <w:bottom w:val="single" w:color="000000" w:sz="4" w:space="0"/>
              <w:right w:val="single" w:color="000000" w:sz="4" w:space="0"/>
            </w:tcBorders>
            <w:noWrap/>
            <w:vAlign w:val="center"/>
          </w:tcPr>
          <w:p w14:paraId="482504A4">
            <w:pPr>
              <w:adjustRightInd w:val="0"/>
              <w:snapToGrid w:val="0"/>
              <w:jc w:val="center"/>
              <w:rPr>
                <w:color w:val="auto"/>
              </w:rPr>
            </w:pPr>
            <w:r>
              <w:rPr>
                <w:color w:val="auto"/>
              </w:rPr>
              <w:t>&gt;</w:t>
            </w:r>
            <w:r>
              <w:rPr>
                <w:rFonts w:hint="eastAsia"/>
                <w:color w:val="auto"/>
                <w:lang w:val="en-US" w:eastAsia="zh-CN"/>
              </w:rPr>
              <w:t>30</w:t>
            </w:r>
            <w:r>
              <w:rPr>
                <w:color w:val="auto"/>
              </w:rPr>
              <w:t>%</w:t>
            </w:r>
          </w:p>
        </w:tc>
        <w:tc>
          <w:tcPr>
            <w:tcW w:w="1014" w:type="dxa"/>
            <w:tcBorders>
              <w:top w:val="single" w:color="000000" w:sz="4" w:space="0"/>
              <w:left w:val="single" w:color="000000" w:sz="4" w:space="0"/>
              <w:bottom w:val="single" w:color="000000" w:sz="4" w:space="0"/>
              <w:right w:val="single" w:color="000000" w:sz="4" w:space="0"/>
            </w:tcBorders>
            <w:noWrap/>
            <w:vAlign w:val="center"/>
          </w:tcPr>
          <w:p w14:paraId="07E37204">
            <w:pPr>
              <w:adjustRightInd w:val="0"/>
              <w:snapToGrid w:val="0"/>
              <w:jc w:val="center"/>
              <w:rPr>
                <w:rFonts w:hint="eastAsia" w:eastAsia="宋体"/>
                <w:color w:val="auto"/>
                <w:lang w:eastAsia="zh-CN"/>
              </w:rPr>
            </w:pPr>
            <w:r>
              <w:rPr>
                <w:rFonts w:hint="eastAsia"/>
                <w:color w:val="auto"/>
                <w:lang w:val="en-US" w:eastAsia="zh-CN"/>
              </w:rPr>
              <w:t>易</w:t>
            </w:r>
          </w:p>
        </w:tc>
        <w:tc>
          <w:tcPr>
            <w:tcW w:w="620" w:type="dxa"/>
            <w:tcBorders>
              <w:top w:val="single" w:color="000000" w:sz="4" w:space="0"/>
              <w:left w:val="single" w:color="000000" w:sz="4" w:space="0"/>
              <w:bottom w:val="single" w:color="000000" w:sz="4" w:space="0"/>
              <w:right w:val="single" w:color="000000" w:sz="4" w:space="0"/>
            </w:tcBorders>
            <w:vAlign w:val="center"/>
          </w:tcPr>
          <w:p w14:paraId="19DE24FA">
            <w:pPr>
              <w:adjustRightInd w:val="0"/>
              <w:snapToGrid w:val="0"/>
              <w:jc w:val="center"/>
              <w:rPr>
                <w:rFonts w:hint="default" w:eastAsia="宋体"/>
                <w:color w:val="auto"/>
                <w:lang w:val="en-US" w:eastAsia="zh-CN"/>
              </w:rPr>
            </w:pPr>
            <w:r>
              <w:rPr>
                <w:rFonts w:hint="eastAsia"/>
                <w:color w:val="auto"/>
                <w:lang w:val="en-US" w:eastAsia="zh-CN"/>
              </w:rPr>
              <w:t>2.3</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97DAF5D">
            <w:pPr>
              <w:adjustRightInd w:val="0"/>
              <w:snapToGrid w:val="0"/>
              <w:jc w:val="center"/>
              <w:rPr>
                <w:color w:val="auto"/>
              </w:rPr>
            </w:pPr>
            <w:r>
              <w:rPr>
                <w:rFonts w:hint="eastAsia"/>
                <w:color w:val="auto"/>
                <w:lang w:val="en-US" w:eastAsia="zh-CN"/>
              </w:rPr>
              <w:t>重</w:t>
            </w:r>
            <w:r>
              <w:rPr>
                <w:color w:val="auto"/>
              </w:rPr>
              <w:t>度</w:t>
            </w:r>
          </w:p>
        </w:tc>
      </w:tr>
    </w:tbl>
    <w:p w14:paraId="4316E210">
      <w:pPr>
        <w:widowControl/>
        <w:snapToGrid w:val="0"/>
        <w:jc w:val="both"/>
        <w:rPr>
          <w:rFonts w:eastAsia="黑体"/>
          <w:bCs/>
          <w:color w:val="auto"/>
          <w:szCs w:val="21"/>
        </w:rPr>
      </w:pPr>
    </w:p>
    <w:p w14:paraId="24DD69BD">
      <w:pPr>
        <w:widowControl/>
        <w:spacing w:line="360" w:lineRule="auto"/>
        <w:ind w:firstLine="560" w:firstLineChars="200"/>
        <w:rPr>
          <w:rFonts w:hint="eastAsia" w:eastAsia="宋体"/>
          <w:color w:val="auto"/>
          <w:kern w:val="0"/>
          <w:sz w:val="28"/>
          <w:szCs w:val="28"/>
          <w:lang w:eastAsia="zh-CN"/>
        </w:rPr>
      </w:pPr>
      <w:r>
        <w:rPr>
          <w:color w:val="auto"/>
          <w:kern w:val="0"/>
          <w:sz w:val="28"/>
          <w:szCs w:val="28"/>
        </w:rPr>
        <w:t>（</w:t>
      </w:r>
      <w:r>
        <w:rPr>
          <w:rFonts w:hint="eastAsia"/>
          <w:color w:val="auto"/>
          <w:kern w:val="0"/>
          <w:sz w:val="28"/>
          <w:szCs w:val="28"/>
          <w:lang w:val="en-US" w:eastAsia="zh-CN"/>
        </w:rPr>
        <w:t>4</w:t>
      </w:r>
      <w:r>
        <w:rPr>
          <w:color w:val="auto"/>
          <w:kern w:val="0"/>
          <w:sz w:val="28"/>
          <w:szCs w:val="28"/>
        </w:rPr>
        <w:t>）</w:t>
      </w:r>
      <w:r>
        <w:rPr>
          <w:rFonts w:hint="eastAsia"/>
          <w:color w:val="auto"/>
          <w:kern w:val="0"/>
          <w:sz w:val="28"/>
          <w:szCs w:val="28"/>
        </w:rPr>
        <w:t>1#废渣</w:t>
      </w:r>
      <w:r>
        <w:rPr>
          <w:rFonts w:hint="eastAsia"/>
          <w:color w:val="auto"/>
          <w:kern w:val="0"/>
          <w:sz w:val="28"/>
          <w:szCs w:val="28"/>
          <w:lang w:val="en-US" w:eastAsia="zh-CN"/>
        </w:rPr>
        <w:t>堆</w:t>
      </w:r>
    </w:p>
    <w:p w14:paraId="5BD06CCA">
      <w:pPr>
        <w:widowControl/>
        <w:spacing w:line="360" w:lineRule="auto"/>
        <w:ind w:firstLine="560" w:firstLineChars="200"/>
        <w:rPr>
          <w:rFonts w:eastAsia="黑体"/>
          <w:bCs/>
          <w:color w:val="auto"/>
          <w:sz w:val="24"/>
          <w:szCs w:val="24"/>
        </w:rPr>
      </w:pPr>
      <w:r>
        <w:rPr>
          <w:rFonts w:hint="eastAsia"/>
          <w:color w:val="auto"/>
          <w:kern w:val="0"/>
          <w:sz w:val="28"/>
          <w:szCs w:val="28"/>
        </w:rPr>
        <w:t>1#废渣</w:t>
      </w:r>
      <w:r>
        <w:rPr>
          <w:rFonts w:hint="eastAsia"/>
          <w:color w:val="auto"/>
          <w:kern w:val="0"/>
          <w:sz w:val="28"/>
          <w:szCs w:val="28"/>
          <w:lang w:val="en-US" w:eastAsia="zh-CN"/>
        </w:rPr>
        <w:t>堆</w:t>
      </w:r>
      <w:r>
        <w:rPr>
          <w:color w:val="auto"/>
          <w:kern w:val="0"/>
          <w:sz w:val="28"/>
          <w:szCs w:val="28"/>
        </w:rPr>
        <w:t>占地面积为</w:t>
      </w:r>
      <w:r>
        <w:rPr>
          <w:rFonts w:hint="eastAsia"/>
          <w:color w:val="auto"/>
          <w:kern w:val="0"/>
          <w:sz w:val="28"/>
          <w:szCs w:val="28"/>
          <w:lang w:val="en-US" w:eastAsia="zh-CN"/>
        </w:rPr>
        <w:t>3993</w:t>
      </w:r>
      <w:r>
        <w:rPr>
          <w:color w:val="auto"/>
          <w:kern w:val="0"/>
          <w:sz w:val="28"/>
          <w:szCs w:val="28"/>
        </w:rPr>
        <w:t>m</w:t>
      </w:r>
      <w:r>
        <w:rPr>
          <w:color w:val="auto"/>
          <w:kern w:val="0"/>
          <w:sz w:val="28"/>
          <w:szCs w:val="28"/>
          <w:vertAlign w:val="superscript"/>
        </w:rPr>
        <w:t>2</w:t>
      </w:r>
      <w:r>
        <w:rPr>
          <w:color w:val="auto"/>
          <w:kern w:val="0"/>
          <w:sz w:val="28"/>
          <w:szCs w:val="28"/>
        </w:rPr>
        <w:t>，</w:t>
      </w:r>
      <w:r>
        <w:rPr>
          <w:rFonts w:hint="eastAsia"/>
          <w:color w:val="auto"/>
          <w:kern w:val="0"/>
          <w:sz w:val="28"/>
          <w:szCs w:val="28"/>
          <w:lang w:val="en-US" w:eastAsia="zh-CN"/>
        </w:rPr>
        <w:t>边坡</w:t>
      </w:r>
      <w:r>
        <w:rPr>
          <w:color w:val="auto"/>
          <w:kern w:val="0"/>
          <w:sz w:val="28"/>
          <w:szCs w:val="28"/>
        </w:rPr>
        <w:t>坡度</w:t>
      </w:r>
      <w:r>
        <w:rPr>
          <w:rFonts w:hint="eastAsia"/>
          <w:color w:val="auto"/>
          <w:kern w:val="0"/>
          <w:sz w:val="28"/>
          <w:szCs w:val="28"/>
          <w:lang w:val="en-US" w:eastAsia="zh-CN"/>
        </w:rPr>
        <w:t>40</w:t>
      </w:r>
      <w:r>
        <w:rPr>
          <w:color w:val="auto"/>
          <w:kern w:val="0"/>
          <w:sz w:val="28"/>
          <w:szCs w:val="28"/>
        </w:rPr>
        <w:t>°，</w:t>
      </w:r>
      <w:r>
        <w:rPr>
          <w:rFonts w:hint="eastAsia"/>
          <w:color w:val="auto"/>
          <w:kern w:val="0"/>
          <w:sz w:val="28"/>
          <w:szCs w:val="28"/>
          <w:lang w:val="en-US" w:eastAsia="zh-CN"/>
        </w:rPr>
        <w:t>高度5m，</w:t>
      </w:r>
      <w:r>
        <w:rPr>
          <w:color w:val="auto"/>
          <w:kern w:val="0"/>
          <w:sz w:val="28"/>
          <w:szCs w:val="28"/>
        </w:rPr>
        <w:t>砾石含量&gt;30%，复垦难度</w:t>
      </w:r>
      <w:r>
        <w:rPr>
          <w:rFonts w:hint="eastAsia"/>
          <w:color w:val="auto"/>
          <w:kern w:val="0"/>
          <w:sz w:val="28"/>
          <w:szCs w:val="28"/>
          <w:lang w:val="en-US" w:eastAsia="zh-CN"/>
        </w:rPr>
        <w:t>易</w:t>
      </w:r>
      <w:r>
        <w:rPr>
          <w:color w:val="auto"/>
          <w:kern w:val="0"/>
          <w:sz w:val="28"/>
          <w:szCs w:val="28"/>
        </w:rPr>
        <w:t>。破坏土地利用类型为</w:t>
      </w:r>
      <w:r>
        <w:rPr>
          <w:rFonts w:hint="eastAsia"/>
          <w:color w:val="auto"/>
          <w:kern w:val="0"/>
          <w:sz w:val="28"/>
          <w:szCs w:val="28"/>
          <w:lang w:val="en-US" w:eastAsia="zh-CN"/>
        </w:rPr>
        <w:t>其他草地117</w:t>
      </w:r>
      <w:r>
        <w:rPr>
          <w:color w:val="auto"/>
          <w:kern w:val="0"/>
          <w:sz w:val="28"/>
          <w:szCs w:val="28"/>
        </w:rPr>
        <w:t>m</w:t>
      </w:r>
      <w:r>
        <w:rPr>
          <w:color w:val="auto"/>
          <w:kern w:val="0"/>
          <w:sz w:val="28"/>
          <w:szCs w:val="28"/>
          <w:vertAlign w:val="superscript"/>
        </w:rPr>
        <w:t>2</w:t>
      </w:r>
      <w:r>
        <w:rPr>
          <w:color w:val="auto"/>
          <w:kern w:val="0"/>
          <w:sz w:val="28"/>
          <w:szCs w:val="28"/>
        </w:rPr>
        <w:t>，采矿用地</w:t>
      </w:r>
      <w:r>
        <w:rPr>
          <w:rFonts w:hint="eastAsia"/>
          <w:color w:val="auto"/>
          <w:kern w:val="0"/>
          <w:sz w:val="28"/>
          <w:szCs w:val="28"/>
          <w:lang w:val="en-US" w:eastAsia="zh-CN"/>
        </w:rPr>
        <w:t>3876</w:t>
      </w:r>
      <w:r>
        <w:rPr>
          <w:color w:val="auto"/>
          <w:kern w:val="0"/>
          <w:sz w:val="28"/>
          <w:szCs w:val="28"/>
        </w:rPr>
        <w:t>m</w:t>
      </w:r>
      <w:r>
        <w:rPr>
          <w:color w:val="auto"/>
          <w:kern w:val="0"/>
          <w:sz w:val="28"/>
          <w:szCs w:val="28"/>
          <w:vertAlign w:val="superscript"/>
        </w:rPr>
        <w:t>2</w:t>
      </w:r>
      <w:r>
        <w:rPr>
          <w:color w:val="auto"/>
          <w:kern w:val="0"/>
          <w:sz w:val="28"/>
          <w:szCs w:val="28"/>
        </w:rPr>
        <w:t>。现状损毁土地方式主要为占用。场地的建设导致原有土地改变，地表植被直接被破坏，地表原有功能丧失，对土地资源影响和破坏程度为</w:t>
      </w:r>
      <w:r>
        <w:rPr>
          <w:rFonts w:hint="eastAsia"/>
          <w:color w:val="auto"/>
          <w:kern w:val="0"/>
          <w:sz w:val="28"/>
          <w:szCs w:val="28"/>
          <w:lang w:val="en-US" w:eastAsia="zh-CN"/>
        </w:rPr>
        <w:t>中</w:t>
      </w:r>
      <w:r>
        <w:rPr>
          <w:color w:val="auto"/>
          <w:kern w:val="0"/>
          <w:sz w:val="28"/>
          <w:szCs w:val="28"/>
        </w:rPr>
        <w:t>度。</w:t>
      </w:r>
    </w:p>
    <w:p w14:paraId="533EC116">
      <w:pPr>
        <w:widowControl/>
        <w:snapToGrid w:val="0"/>
        <w:jc w:val="center"/>
        <w:rPr>
          <w:rFonts w:eastAsia="黑体"/>
          <w:bCs/>
          <w:color w:val="auto"/>
          <w:sz w:val="24"/>
          <w:szCs w:val="24"/>
        </w:rPr>
      </w:pPr>
      <w:r>
        <w:rPr>
          <w:rFonts w:eastAsia="黑体"/>
          <w:bCs/>
          <w:color w:val="auto"/>
          <w:sz w:val="24"/>
          <w:szCs w:val="24"/>
        </w:rPr>
        <w:t>表3-</w:t>
      </w:r>
      <w:r>
        <w:rPr>
          <w:rFonts w:hint="eastAsia" w:eastAsia="黑体"/>
          <w:bCs/>
          <w:color w:val="auto"/>
          <w:sz w:val="24"/>
          <w:szCs w:val="24"/>
          <w:lang w:val="en-US" w:eastAsia="zh-CN"/>
        </w:rPr>
        <w:t xml:space="preserve">18  </w:t>
      </w:r>
      <w:r>
        <w:rPr>
          <w:rFonts w:eastAsia="黑体"/>
          <w:bCs/>
          <w:color w:val="auto"/>
          <w:sz w:val="24"/>
          <w:szCs w:val="24"/>
        </w:rPr>
        <w:t>土地损毁程度评价表</w:t>
      </w:r>
    </w:p>
    <w:tbl>
      <w:tblPr>
        <w:tblStyle w:val="34"/>
        <w:tblW w:w="8680" w:type="dxa"/>
        <w:jc w:val="center"/>
        <w:tblLayout w:type="fixed"/>
        <w:tblCellMar>
          <w:top w:w="0" w:type="dxa"/>
          <w:left w:w="108" w:type="dxa"/>
          <w:bottom w:w="0" w:type="dxa"/>
          <w:right w:w="108" w:type="dxa"/>
        </w:tblCellMar>
      </w:tblPr>
      <w:tblGrid>
        <w:gridCol w:w="1231"/>
        <w:gridCol w:w="1110"/>
        <w:gridCol w:w="1198"/>
        <w:gridCol w:w="875"/>
        <w:gridCol w:w="974"/>
        <w:gridCol w:w="1203"/>
        <w:gridCol w:w="833"/>
        <w:gridCol w:w="620"/>
        <w:gridCol w:w="636"/>
      </w:tblGrid>
      <w:tr w14:paraId="5FF73B2B">
        <w:tblPrEx>
          <w:tblCellMar>
            <w:top w:w="0" w:type="dxa"/>
            <w:left w:w="108" w:type="dxa"/>
            <w:bottom w:w="0" w:type="dxa"/>
            <w:right w:w="108" w:type="dxa"/>
          </w:tblCellMar>
        </w:tblPrEx>
        <w:trPr>
          <w:trHeight w:val="277" w:hRule="atLeast"/>
          <w:tblHeader/>
          <w:jc w:val="center"/>
        </w:trPr>
        <w:tc>
          <w:tcPr>
            <w:tcW w:w="1231" w:type="dxa"/>
            <w:vMerge w:val="restart"/>
            <w:tcBorders>
              <w:top w:val="single" w:color="000000" w:sz="4" w:space="0"/>
              <w:left w:val="single" w:color="000000" w:sz="4" w:space="0"/>
              <w:bottom w:val="single" w:color="000000" w:sz="4" w:space="0"/>
              <w:right w:val="single" w:color="000000" w:sz="4" w:space="0"/>
            </w:tcBorders>
            <w:vAlign w:val="center"/>
          </w:tcPr>
          <w:p w14:paraId="52385BAF">
            <w:pPr>
              <w:adjustRightInd w:val="0"/>
              <w:snapToGrid w:val="0"/>
              <w:jc w:val="center"/>
              <w:rPr>
                <w:color w:val="auto"/>
              </w:rPr>
            </w:pPr>
            <w:r>
              <w:rPr>
                <w:color w:val="auto"/>
              </w:rPr>
              <w:t>破坏单元</w:t>
            </w:r>
          </w:p>
        </w:tc>
        <w:tc>
          <w:tcPr>
            <w:tcW w:w="6193" w:type="dxa"/>
            <w:gridSpan w:val="6"/>
            <w:tcBorders>
              <w:top w:val="single" w:color="000000" w:sz="4" w:space="0"/>
              <w:left w:val="single" w:color="000000" w:sz="4" w:space="0"/>
              <w:bottom w:val="single" w:color="000000" w:sz="4" w:space="0"/>
              <w:right w:val="single" w:color="000000" w:sz="4" w:space="0"/>
            </w:tcBorders>
            <w:vAlign w:val="center"/>
          </w:tcPr>
          <w:p w14:paraId="308B63FB">
            <w:pPr>
              <w:adjustRightInd w:val="0"/>
              <w:snapToGrid w:val="0"/>
              <w:jc w:val="center"/>
              <w:rPr>
                <w:color w:val="auto"/>
              </w:rPr>
            </w:pPr>
            <w:r>
              <w:rPr>
                <w:color w:val="auto"/>
              </w:rPr>
              <w:t>评价因子</w:t>
            </w:r>
          </w:p>
        </w:tc>
        <w:tc>
          <w:tcPr>
            <w:tcW w:w="620" w:type="dxa"/>
            <w:vMerge w:val="restart"/>
            <w:tcBorders>
              <w:top w:val="single" w:color="000000" w:sz="4" w:space="0"/>
              <w:left w:val="single" w:color="000000" w:sz="4" w:space="0"/>
              <w:bottom w:val="single" w:color="000000" w:sz="4" w:space="0"/>
              <w:right w:val="single" w:color="000000" w:sz="4" w:space="0"/>
            </w:tcBorders>
            <w:vAlign w:val="center"/>
          </w:tcPr>
          <w:p w14:paraId="01A20871">
            <w:pPr>
              <w:adjustRightInd w:val="0"/>
              <w:snapToGrid w:val="0"/>
              <w:jc w:val="center"/>
              <w:rPr>
                <w:color w:val="auto"/>
              </w:rPr>
            </w:pPr>
            <w:r>
              <w:rPr>
                <w:color w:val="auto"/>
              </w:rPr>
              <w:t>得分</w:t>
            </w:r>
          </w:p>
        </w:tc>
        <w:tc>
          <w:tcPr>
            <w:tcW w:w="636" w:type="dxa"/>
            <w:vMerge w:val="restart"/>
            <w:tcBorders>
              <w:top w:val="single" w:color="000000" w:sz="4" w:space="0"/>
              <w:left w:val="single" w:color="000000" w:sz="4" w:space="0"/>
              <w:right w:val="single" w:color="000000" w:sz="4" w:space="0"/>
            </w:tcBorders>
            <w:vAlign w:val="center"/>
          </w:tcPr>
          <w:p w14:paraId="718D87A2">
            <w:pPr>
              <w:adjustRightInd w:val="0"/>
              <w:snapToGrid w:val="0"/>
              <w:jc w:val="center"/>
              <w:rPr>
                <w:color w:val="auto"/>
              </w:rPr>
            </w:pPr>
            <w:r>
              <w:rPr>
                <w:color w:val="auto"/>
              </w:rPr>
              <w:t>损毁</w:t>
            </w:r>
          </w:p>
          <w:p w14:paraId="78A73CB7">
            <w:pPr>
              <w:adjustRightInd w:val="0"/>
              <w:snapToGrid w:val="0"/>
              <w:jc w:val="center"/>
              <w:rPr>
                <w:color w:val="auto"/>
              </w:rPr>
            </w:pPr>
            <w:r>
              <w:rPr>
                <w:color w:val="auto"/>
              </w:rPr>
              <w:t>程度</w:t>
            </w:r>
          </w:p>
        </w:tc>
      </w:tr>
      <w:tr w14:paraId="451DF755">
        <w:tblPrEx>
          <w:tblCellMar>
            <w:top w:w="0" w:type="dxa"/>
            <w:left w:w="108" w:type="dxa"/>
            <w:bottom w:w="0" w:type="dxa"/>
            <w:right w:w="108" w:type="dxa"/>
          </w:tblCellMar>
        </w:tblPrEx>
        <w:trPr>
          <w:trHeight w:val="397" w:hRule="atLeast"/>
          <w:tblHeader/>
          <w:jc w:val="center"/>
        </w:trPr>
        <w:tc>
          <w:tcPr>
            <w:tcW w:w="1231" w:type="dxa"/>
            <w:vMerge w:val="continue"/>
            <w:tcBorders>
              <w:top w:val="single" w:color="000000" w:sz="4" w:space="0"/>
              <w:left w:val="single" w:color="000000" w:sz="4" w:space="0"/>
              <w:bottom w:val="single" w:color="000000" w:sz="4" w:space="0"/>
              <w:right w:val="single" w:color="000000" w:sz="4" w:space="0"/>
            </w:tcBorders>
            <w:vAlign w:val="center"/>
          </w:tcPr>
          <w:p w14:paraId="4D1066D6">
            <w:pPr>
              <w:adjustRightInd w:val="0"/>
              <w:snapToGrid w:val="0"/>
              <w:jc w:val="center"/>
              <w:rPr>
                <w:color w:val="auto"/>
              </w:rPr>
            </w:pPr>
          </w:p>
        </w:tc>
        <w:tc>
          <w:tcPr>
            <w:tcW w:w="1110" w:type="dxa"/>
            <w:tcBorders>
              <w:top w:val="single" w:color="000000" w:sz="4" w:space="0"/>
              <w:left w:val="single" w:color="000000" w:sz="4" w:space="0"/>
              <w:bottom w:val="single" w:color="000000" w:sz="4" w:space="0"/>
              <w:right w:val="single" w:color="000000" w:sz="4" w:space="0"/>
            </w:tcBorders>
            <w:vAlign w:val="center"/>
          </w:tcPr>
          <w:p w14:paraId="6753949D">
            <w:pPr>
              <w:adjustRightInd w:val="0"/>
              <w:snapToGrid w:val="0"/>
              <w:jc w:val="center"/>
              <w:rPr>
                <w:color w:val="auto"/>
              </w:rPr>
            </w:pPr>
            <w:r>
              <w:rPr>
                <w:color w:val="auto"/>
              </w:rPr>
              <w:t>压占</w:t>
            </w:r>
          </w:p>
          <w:p w14:paraId="687B8462">
            <w:pPr>
              <w:adjustRightInd w:val="0"/>
              <w:snapToGrid w:val="0"/>
              <w:jc w:val="center"/>
              <w:rPr>
                <w:color w:val="auto"/>
              </w:rPr>
            </w:pPr>
            <w:r>
              <w:rPr>
                <w:color w:val="auto"/>
              </w:rPr>
              <w:t>面积</w:t>
            </w:r>
          </w:p>
        </w:tc>
        <w:tc>
          <w:tcPr>
            <w:tcW w:w="1198" w:type="dxa"/>
            <w:tcBorders>
              <w:top w:val="single" w:color="000000" w:sz="4" w:space="0"/>
              <w:left w:val="single" w:color="000000" w:sz="4" w:space="0"/>
              <w:bottom w:val="single" w:color="000000" w:sz="4" w:space="0"/>
              <w:right w:val="single" w:color="000000" w:sz="4" w:space="0"/>
            </w:tcBorders>
            <w:vAlign w:val="center"/>
          </w:tcPr>
          <w:p w14:paraId="68985FD1">
            <w:pPr>
              <w:adjustRightInd w:val="0"/>
              <w:snapToGrid w:val="0"/>
              <w:jc w:val="center"/>
              <w:rPr>
                <w:color w:val="auto"/>
              </w:rPr>
            </w:pPr>
            <w:r>
              <w:rPr>
                <w:color w:val="auto"/>
              </w:rPr>
              <w:t>边坡</w:t>
            </w:r>
          </w:p>
          <w:p w14:paraId="1FBBFE51">
            <w:pPr>
              <w:adjustRightInd w:val="0"/>
              <w:snapToGrid w:val="0"/>
              <w:jc w:val="center"/>
              <w:rPr>
                <w:color w:val="auto"/>
              </w:rPr>
            </w:pPr>
            <w:r>
              <w:rPr>
                <w:color w:val="auto"/>
              </w:rPr>
              <w:t>坡度</w:t>
            </w:r>
          </w:p>
        </w:tc>
        <w:tc>
          <w:tcPr>
            <w:tcW w:w="875" w:type="dxa"/>
            <w:tcBorders>
              <w:top w:val="single" w:color="000000" w:sz="4" w:space="0"/>
              <w:left w:val="single" w:color="000000" w:sz="4" w:space="0"/>
              <w:bottom w:val="single" w:color="000000" w:sz="4" w:space="0"/>
              <w:right w:val="single" w:color="000000" w:sz="4" w:space="0"/>
            </w:tcBorders>
            <w:vAlign w:val="center"/>
          </w:tcPr>
          <w:p w14:paraId="0A9F93BF">
            <w:pPr>
              <w:adjustRightInd w:val="0"/>
              <w:snapToGrid w:val="0"/>
              <w:jc w:val="center"/>
              <w:rPr>
                <w:color w:val="auto"/>
              </w:rPr>
            </w:pPr>
            <w:r>
              <w:rPr>
                <w:color w:val="auto"/>
              </w:rPr>
              <w:t>排渣高度</w:t>
            </w:r>
          </w:p>
        </w:tc>
        <w:tc>
          <w:tcPr>
            <w:tcW w:w="974" w:type="dxa"/>
            <w:tcBorders>
              <w:top w:val="single" w:color="000000" w:sz="4" w:space="0"/>
              <w:left w:val="single" w:color="000000" w:sz="4" w:space="0"/>
              <w:bottom w:val="single" w:color="000000" w:sz="4" w:space="0"/>
              <w:right w:val="single" w:color="000000" w:sz="4" w:space="0"/>
            </w:tcBorders>
            <w:vAlign w:val="center"/>
          </w:tcPr>
          <w:p w14:paraId="1CFA4F55">
            <w:pPr>
              <w:adjustRightInd w:val="0"/>
              <w:snapToGrid w:val="0"/>
              <w:jc w:val="center"/>
              <w:rPr>
                <w:color w:val="auto"/>
              </w:rPr>
            </w:pPr>
            <w:r>
              <w:rPr>
                <w:color w:val="auto"/>
              </w:rPr>
              <w:t>土地稳定性</w:t>
            </w:r>
          </w:p>
        </w:tc>
        <w:tc>
          <w:tcPr>
            <w:tcW w:w="1203" w:type="dxa"/>
            <w:tcBorders>
              <w:top w:val="single" w:color="000000" w:sz="4" w:space="0"/>
              <w:left w:val="single" w:color="000000" w:sz="4" w:space="0"/>
              <w:bottom w:val="single" w:color="000000" w:sz="4" w:space="0"/>
              <w:right w:val="single" w:color="000000" w:sz="4" w:space="0"/>
            </w:tcBorders>
            <w:vAlign w:val="center"/>
          </w:tcPr>
          <w:p w14:paraId="37C8E130">
            <w:pPr>
              <w:adjustRightInd w:val="0"/>
              <w:snapToGrid w:val="0"/>
              <w:jc w:val="center"/>
              <w:rPr>
                <w:color w:val="auto"/>
              </w:rPr>
            </w:pPr>
            <w:r>
              <w:rPr>
                <w:color w:val="auto"/>
              </w:rPr>
              <w:t>砾石含量</w:t>
            </w:r>
          </w:p>
        </w:tc>
        <w:tc>
          <w:tcPr>
            <w:tcW w:w="833" w:type="dxa"/>
            <w:tcBorders>
              <w:top w:val="single" w:color="000000" w:sz="4" w:space="0"/>
              <w:left w:val="single" w:color="000000" w:sz="4" w:space="0"/>
              <w:bottom w:val="single" w:color="000000" w:sz="4" w:space="0"/>
              <w:right w:val="single" w:color="000000" w:sz="4" w:space="0"/>
            </w:tcBorders>
            <w:vAlign w:val="center"/>
          </w:tcPr>
          <w:p w14:paraId="11F2D13D">
            <w:pPr>
              <w:adjustRightInd w:val="0"/>
              <w:snapToGrid w:val="0"/>
              <w:jc w:val="center"/>
              <w:rPr>
                <w:color w:val="auto"/>
              </w:rPr>
            </w:pPr>
            <w:r>
              <w:rPr>
                <w:color w:val="auto"/>
              </w:rPr>
              <w:t>复垦难度</w:t>
            </w:r>
          </w:p>
        </w:tc>
        <w:tc>
          <w:tcPr>
            <w:tcW w:w="620" w:type="dxa"/>
            <w:vMerge w:val="continue"/>
            <w:tcBorders>
              <w:top w:val="single" w:color="000000" w:sz="4" w:space="0"/>
              <w:left w:val="single" w:color="000000" w:sz="4" w:space="0"/>
              <w:bottom w:val="single" w:color="000000" w:sz="4" w:space="0"/>
              <w:right w:val="single" w:color="000000" w:sz="4" w:space="0"/>
            </w:tcBorders>
            <w:vAlign w:val="center"/>
          </w:tcPr>
          <w:p w14:paraId="4FFD6980">
            <w:pPr>
              <w:adjustRightInd w:val="0"/>
              <w:snapToGrid w:val="0"/>
              <w:jc w:val="center"/>
              <w:rPr>
                <w:color w:val="auto"/>
              </w:rPr>
            </w:pPr>
          </w:p>
        </w:tc>
        <w:tc>
          <w:tcPr>
            <w:tcW w:w="636" w:type="dxa"/>
            <w:vMerge w:val="continue"/>
            <w:tcBorders>
              <w:left w:val="single" w:color="000000" w:sz="4" w:space="0"/>
              <w:bottom w:val="single" w:color="000000" w:sz="4" w:space="0"/>
              <w:right w:val="single" w:color="000000" w:sz="4" w:space="0"/>
            </w:tcBorders>
            <w:vAlign w:val="center"/>
          </w:tcPr>
          <w:p w14:paraId="74C43E06">
            <w:pPr>
              <w:adjustRightInd w:val="0"/>
              <w:snapToGrid w:val="0"/>
              <w:jc w:val="center"/>
              <w:rPr>
                <w:color w:val="auto"/>
              </w:rPr>
            </w:pPr>
          </w:p>
        </w:tc>
      </w:tr>
      <w:tr w14:paraId="7AAE87A4">
        <w:tblPrEx>
          <w:tblCellMar>
            <w:top w:w="0" w:type="dxa"/>
            <w:left w:w="108" w:type="dxa"/>
            <w:bottom w:w="0" w:type="dxa"/>
            <w:right w:w="108" w:type="dxa"/>
          </w:tblCellMar>
        </w:tblPrEx>
        <w:trPr>
          <w:trHeight w:val="177" w:hRule="atLeast"/>
          <w:jc w:val="center"/>
        </w:trPr>
        <w:tc>
          <w:tcPr>
            <w:tcW w:w="1231" w:type="dxa"/>
            <w:tcBorders>
              <w:top w:val="single" w:color="000000" w:sz="4" w:space="0"/>
              <w:left w:val="single" w:color="000000" w:sz="4" w:space="0"/>
              <w:bottom w:val="single" w:color="000000" w:sz="4" w:space="0"/>
              <w:right w:val="single" w:color="000000" w:sz="4" w:space="0"/>
            </w:tcBorders>
            <w:vAlign w:val="center"/>
          </w:tcPr>
          <w:p w14:paraId="35549AD2">
            <w:pPr>
              <w:adjustRightInd w:val="0"/>
              <w:snapToGrid w:val="0"/>
              <w:jc w:val="center"/>
              <w:rPr>
                <w:rFonts w:hint="eastAsia" w:eastAsia="宋体"/>
                <w:color w:val="auto"/>
                <w:lang w:val="en-US" w:eastAsia="zh-CN"/>
              </w:rPr>
            </w:pPr>
            <w:r>
              <w:rPr>
                <w:rFonts w:hint="eastAsia"/>
                <w:color w:val="auto"/>
              </w:rPr>
              <w:t>1#废渣</w:t>
            </w:r>
            <w:r>
              <w:rPr>
                <w:rFonts w:hint="eastAsia"/>
                <w:color w:val="auto"/>
                <w:lang w:val="en-US" w:eastAsia="zh-CN"/>
              </w:rPr>
              <w:t>堆</w:t>
            </w:r>
          </w:p>
        </w:tc>
        <w:tc>
          <w:tcPr>
            <w:tcW w:w="1110" w:type="dxa"/>
            <w:tcBorders>
              <w:top w:val="single" w:color="000000" w:sz="4" w:space="0"/>
              <w:left w:val="single" w:color="000000" w:sz="4" w:space="0"/>
              <w:bottom w:val="single" w:color="000000" w:sz="4" w:space="0"/>
              <w:right w:val="single" w:color="000000" w:sz="4" w:space="0"/>
            </w:tcBorders>
            <w:vAlign w:val="center"/>
          </w:tcPr>
          <w:p w14:paraId="1400A3E2">
            <w:pPr>
              <w:adjustRightInd w:val="0"/>
              <w:snapToGrid w:val="0"/>
              <w:jc w:val="center"/>
              <w:rPr>
                <w:rFonts w:hint="default" w:eastAsia="宋体"/>
                <w:color w:val="auto"/>
                <w:lang w:val="en-US" w:eastAsia="zh-CN"/>
              </w:rPr>
            </w:pPr>
            <w:r>
              <w:rPr>
                <w:rFonts w:hint="eastAsia"/>
                <w:color w:val="auto"/>
                <w:lang w:val="en-US" w:eastAsia="zh-CN"/>
              </w:rPr>
              <w:t>3993</w:t>
            </w:r>
          </w:p>
        </w:tc>
        <w:tc>
          <w:tcPr>
            <w:tcW w:w="1198" w:type="dxa"/>
            <w:tcBorders>
              <w:top w:val="single" w:color="000000" w:sz="4" w:space="0"/>
              <w:left w:val="single" w:color="000000" w:sz="4" w:space="0"/>
              <w:bottom w:val="single" w:color="000000" w:sz="4" w:space="0"/>
              <w:right w:val="single" w:color="000000" w:sz="4" w:space="0"/>
            </w:tcBorders>
            <w:noWrap/>
            <w:vAlign w:val="center"/>
          </w:tcPr>
          <w:p w14:paraId="1B28FBD8">
            <w:pPr>
              <w:adjustRightInd w:val="0"/>
              <w:snapToGrid w:val="0"/>
              <w:jc w:val="center"/>
              <w:rPr>
                <w:color w:val="auto"/>
              </w:rPr>
            </w:pPr>
            <w:r>
              <w:rPr>
                <w:color w:val="auto"/>
              </w:rPr>
              <w:t>&gt;35°</w:t>
            </w: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623F6E55">
            <w:pPr>
              <w:adjustRightInd w:val="0"/>
              <w:snapToGrid w:val="0"/>
              <w:jc w:val="center"/>
              <w:rPr>
                <w:color w:val="auto"/>
              </w:rPr>
            </w:pPr>
            <w:r>
              <w:rPr>
                <w:color w:val="auto"/>
              </w:rPr>
              <w:t>3-6m</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6AA5F46B">
            <w:pPr>
              <w:adjustRightInd w:val="0"/>
              <w:snapToGrid w:val="0"/>
              <w:jc w:val="center"/>
              <w:rPr>
                <w:color w:val="auto"/>
              </w:rPr>
            </w:pPr>
            <w:r>
              <w:rPr>
                <w:color w:val="auto"/>
              </w:rPr>
              <w:t>稳定</w:t>
            </w:r>
          </w:p>
        </w:tc>
        <w:tc>
          <w:tcPr>
            <w:tcW w:w="1203" w:type="dxa"/>
            <w:tcBorders>
              <w:top w:val="single" w:color="000000" w:sz="4" w:space="0"/>
              <w:left w:val="single" w:color="000000" w:sz="4" w:space="0"/>
              <w:bottom w:val="single" w:color="000000" w:sz="4" w:space="0"/>
              <w:right w:val="single" w:color="000000" w:sz="4" w:space="0"/>
            </w:tcBorders>
            <w:noWrap/>
            <w:vAlign w:val="center"/>
          </w:tcPr>
          <w:p w14:paraId="651BE082">
            <w:pPr>
              <w:adjustRightInd w:val="0"/>
              <w:snapToGrid w:val="0"/>
              <w:jc w:val="center"/>
              <w:rPr>
                <w:color w:val="auto"/>
              </w:rPr>
            </w:pPr>
            <w:r>
              <w:rPr>
                <w:color w:val="auto"/>
              </w:rPr>
              <w:t>&gt;30%</w:t>
            </w:r>
          </w:p>
        </w:tc>
        <w:tc>
          <w:tcPr>
            <w:tcW w:w="833" w:type="dxa"/>
            <w:tcBorders>
              <w:top w:val="single" w:color="000000" w:sz="4" w:space="0"/>
              <w:left w:val="single" w:color="000000" w:sz="4" w:space="0"/>
              <w:bottom w:val="single" w:color="000000" w:sz="4" w:space="0"/>
              <w:right w:val="single" w:color="000000" w:sz="4" w:space="0"/>
            </w:tcBorders>
            <w:noWrap/>
            <w:vAlign w:val="center"/>
          </w:tcPr>
          <w:p w14:paraId="236004B6">
            <w:pPr>
              <w:adjustRightInd w:val="0"/>
              <w:snapToGrid w:val="0"/>
              <w:jc w:val="center"/>
              <w:rPr>
                <w:color w:val="auto"/>
              </w:rPr>
            </w:pPr>
            <w:r>
              <w:rPr>
                <w:rFonts w:hint="eastAsia"/>
                <w:color w:val="auto"/>
                <w:lang w:val="en-US" w:eastAsia="zh-CN"/>
              </w:rPr>
              <w:t>易</w:t>
            </w:r>
          </w:p>
        </w:tc>
        <w:tc>
          <w:tcPr>
            <w:tcW w:w="620" w:type="dxa"/>
            <w:tcBorders>
              <w:top w:val="single" w:color="000000" w:sz="4" w:space="0"/>
              <w:left w:val="single" w:color="000000" w:sz="4" w:space="0"/>
              <w:bottom w:val="single" w:color="000000" w:sz="4" w:space="0"/>
              <w:right w:val="single" w:color="000000" w:sz="4" w:space="0"/>
            </w:tcBorders>
            <w:vAlign w:val="center"/>
          </w:tcPr>
          <w:p w14:paraId="0B615B02">
            <w:pPr>
              <w:adjustRightInd w:val="0"/>
              <w:snapToGrid w:val="0"/>
              <w:jc w:val="center"/>
              <w:rPr>
                <w:rFonts w:hint="default" w:eastAsia="宋体"/>
                <w:color w:val="auto"/>
                <w:lang w:val="en-US" w:eastAsia="zh-CN"/>
              </w:rPr>
            </w:pPr>
            <w:r>
              <w:rPr>
                <w:rFonts w:hint="eastAsia"/>
                <w:color w:val="auto"/>
                <w:lang w:val="en-US" w:eastAsia="zh-CN"/>
              </w:rPr>
              <w:t>1.8</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1CA21D92">
            <w:pPr>
              <w:adjustRightInd w:val="0"/>
              <w:snapToGrid w:val="0"/>
              <w:jc w:val="center"/>
              <w:rPr>
                <w:color w:val="auto"/>
              </w:rPr>
            </w:pPr>
            <w:r>
              <w:rPr>
                <w:rFonts w:hint="eastAsia"/>
                <w:color w:val="auto"/>
                <w:lang w:val="en-US" w:eastAsia="zh-CN"/>
              </w:rPr>
              <w:t>中</w:t>
            </w:r>
            <w:r>
              <w:rPr>
                <w:color w:val="auto"/>
              </w:rPr>
              <w:t>度</w:t>
            </w:r>
          </w:p>
        </w:tc>
      </w:tr>
    </w:tbl>
    <w:p w14:paraId="66503D6F">
      <w:pPr>
        <w:widowControl/>
        <w:spacing w:line="360" w:lineRule="auto"/>
        <w:ind w:firstLine="560" w:firstLineChars="200"/>
        <w:rPr>
          <w:rFonts w:hint="eastAsia" w:eastAsia="宋体"/>
          <w:color w:val="auto"/>
          <w:kern w:val="0"/>
          <w:sz w:val="28"/>
          <w:szCs w:val="28"/>
          <w:lang w:eastAsia="zh-CN"/>
        </w:rPr>
      </w:pPr>
      <w:bookmarkStart w:id="61" w:name="OLE_LINK157"/>
      <w:r>
        <w:rPr>
          <w:color w:val="auto"/>
          <w:kern w:val="0"/>
          <w:sz w:val="28"/>
          <w:szCs w:val="28"/>
        </w:rPr>
        <w:t>（</w:t>
      </w:r>
      <w:r>
        <w:rPr>
          <w:rFonts w:hint="eastAsia"/>
          <w:color w:val="auto"/>
          <w:kern w:val="0"/>
          <w:sz w:val="28"/>
          <w:szCs w:val="28"/>
          <w:lang w:val="en-US" w:eastAsia="zh-CN"/>
        </w:rPr>
        <w:t>5</w:t>
      </w:r>
      <w:r>
        <w:rPr>
          <w:color w:val="auto"/>
          <w:kern w:val="0"/>
          <w:sz w:val="28"/>
          <w:szCs w:val="28"/>
        </w:rPr>
        <w:t>）</w:t>
      </w:r>
      <w:r>
        <w:rPr>
          <w:rFonts w:hint="eastAsia"/>
          <w:color w:val="auto"/>
          <w:kern w:val="0"/>
          <w:sz w:val="28"/>
          <w:szCs w:val="28"/>
          <w:lang w:val="en-US" w:eastAsia="zh-CN"/>
        </w:rPr>
        <w:t>2</w:t>
      </w:r>
      <w:r>
        <w:rPr>
          <w:rFonts w:hint="eastAsia"/>
          <w:color w:val="auto"/>
          <w:kern w:val="0"/>
          <w:sz w:val="28"/>
          <w:szCs w:val="28"/>
        </w:rPr>
        <w:t>#废渣</w:t>
      </w:r>
      <w:r>
        <w:rPr>
          <w:rFonts w:hint="eastAsia"/>
          <w:color w:val="auto"/>
          <w:kern w:val="0"/>
          <w:sz w:val="28"/>
          <w:szCs w:val="28"/>
          <w:lang w:val="en-US" w:eastAsia="zh-CN"/>
        </w:rPr>
        <w:t>堆</w:t>
      </w:r>
    </w:p>
    <w:p w14:paraId="1E3C2E9C">
      <w:pPr>
        <w:widowControl/>
        <w:spacing w:line="360" w:lineRule="auto"/>
        <w:ind w:firstLine="560" w:firstLineChars="200"/>
        <w:rPr>
          <w:color w:val="auto"/>
          <w:kern w:val="0"/>
          <w:sz w:val="28"/>
          <w:szCs w:val="28"/>
        </w:rPr>
      </w:pPr>
      <w:r>
        <w:rPr>
          <w:rFonts w:hint="eastAsia"/>
          <w:color w:val="auto"/>
          <w:kern w:val="0"/>
          <w:sz w:val="28"/>
          <w:szCs w:val="28"/>
        </w:rPr>
        <w:t>1#废渣</w:t>
      </w:r>
      <w:r>
        <w:rPr>
          <w:rFonts w:hint="eastAsia"/>
          <w:color w:val="auto"/>
          <w:kern w:val="0"/>
          <w:sz w:val="28"/>
          <w:szCs w:val="28"/>
          <w:lang w:val="en-US" w:eastAsia="zh-CN"/>
        </w:rPr>
        <w:t>堆</w:t>
      </w:r>
      <w:r>
        <w:rPr>
          <w:color w:val="auto"/>
          <w:kern w:val="0"/>
          <w:sz w:val="28"/>
          <w:szCs w:val="28"/>
        </w:rPr>
        <w:t>占地面积为</w:t>
      </w:r>
      <w:r>
        <w:rPr>
          <w:rFonts w:hint="eastAsia"/>
          <w:color w:val="auto"/>
          <w:kern w:val="0"/>
          <w:sz w:val="28"/>
          <w:szCs w:val="28"/>
          <w:lang w:val="en-US" w:eastAsia="zh-CN"/>
        </w:rPr>
        <w:t>3993</w:t>
      </w:r>
      <w:r>
        <w:rPr>
          <w:color w:val="auto"/>
          <w:kern w:val="0"/>
          <w:sz w:val="28"/>
          <w:szCs w:val="28"/>
        </w:rPr>
        <w:t>m</w:t>
      </w:r>
      <w:r>
        <w:rPr>
          <w:color w:val="auto"/>
          <w:kern w:val="0"/>
          <w:sz w:val="28"/>
          <w:szCs w:val="28"/>
          <w:vertAlign w:val="superscript"/>
        </w:rPr>
        <w:t>2</w:t>
      </w:r>
      <w:r>
        <w:rPr>
          <w:color w:val="auto"/>
          <w:kern w:val="0"/>
          <w:sz w:val="28"/>
          <w:szCs w:val="28"/>
        </w:rPr>
        <w:t>，</w:t>
      </w:r>
      <w:r>
        <w:rPr>
          <w:rFonts w:hint="eastAsia"/>
          <w:color w:val="auto"/>
          <w:kern w:val="0"/>
          <w:sz w:val="28"/>
          <w:szCs w:val="28"/>
          <w:lang w:val="en-US" w:eastAsia="zh-CN"/>
        </w:rPr>
        <w:t>边坡</w:t>
      </w:r>
      <w:r>
        <w:rPr>
          <w:color w:val="auto"/>
          <w:kern w:val="0"/>
          <w:sz w:val="28"/>
          <w:szCs w:val="28"/>
        </w:rPr>
        <w:t>坡度</w:t>
      </w:r>
      <w:r>
        <w:rPr>
          <w:rFonts w:hint="eastAsia"/>
          <w:color w:val="auto"/>
          <w:kern w:val="0"/>
          <w:sz w:val="28"/>
          <w:szCs w:val="28"/>
          <w:lang w:val="en-US" w:eastAsia="zh-CN"/>
        </w:rPr>
        <w:t>40</w:t>
      </w:r>
      <w:r>
        <w:rPr>
          <w:color w:val="auto"/>
          <w:kern w:val="0"/>
          <w:sz w:val="28"/>
          <w:szCs w:val="28"/>
        </w:rPr>
        <w:t>°，</w:t>
      </w:r>
      <w:r>
        <w:rPr>
          <w:rFonts w:hint="eastAsia"/>
          <w:color w:val="auto"/>
          <w:kern w:val="0"/>
          <w:sz w:val="28"/>
          <w:szCs w:val="28"/>
          <w:lang w:val="en-US" w:eastAsia="zh-CN"/>
        </w:rPr>
        <w:t>高度4m，</w:t>
      </w:r>
      <w:r>
        <w:rPr>
          <w:color w:val="auto"/>
          <w:kern w:val="0"/>
          <w:sz w:val="28"/>
          <w:szCs w:val="28"/>
        </w:rPr>
        <w:t>砾石含量&gt;30%，复垦难度</w:t>
      </w:r>
      <w:r>
        <w:rPr>
          <w:rFonts w:hint="eastAsia"/>
          <w:color w:val="auto"/>
          <w:kern w:val="0"/>
          <w:sz w:val="28"/>
          <w:szCs w:val="28"/>
          <w:lang w:val="en-US" w:eastAsia="zh-CN"/>
        </w:rPr>
        <w:t>易</w:t>
      </w:r>
      <w:r>
        <w:rPr>
          <w:color w:val="auto"/>
          <w:kern w:val="0"/>
          <w:sz w:val="28"/>
          <w:szCs w:val="28"/>
        </w:rPr>
        <w:t>。破坏土地利用类型为</w:t>
      </w:r>
      <w:r>
        <w:rPr>
          <w:rFonts w:hint="eastAsia"/>
          <w:color w:val="auto"/>
          <w:kern w:val="0"/>
          <w:sz w:val="28"/>
          <w:szCs w:val="28"/>
          <w:lang w:val="en-US" w:eastAsia="zh-CN"/>
        </w:rPr>
        <w:t>其他草地117</w:t>
      </w:r>
      <w:r>
        <w:rPr>
          <w:color w:val="auto"/>
          <w:kern w:val="0"/>
          <w:sz w:val="28"/>
          <w:szCs w:val="28"/>
        </w:rPr>
        <w:t>m</w:t>
      </w:r>
      <w:r>
        <w:rPr>
          <w:color w:val="auto"/>
          <w:kern w:val="0"/>
          <w:sz w:val="28"/>
          <w:szCs w:val="28"/>
          <w:vertAlign w:val="superscript"/>
        </w:rPr>
        <w:t>2</w:t>
      </w:r>
      <w:r>
        <w:rPr>
          <w:color w:val="auto"/>
          <w:kern w:val="0"/>
          <w:sz w:val="28"/>
          <w:szCs w:val="28"/>
        </w:rPr>
        <w:t>，采矿用地</w:t>
      </w:r>
      <w:r>
        <w:rPr>
          <w:rFonts w:hint="eastAsia"/>
          <w:color w:val="auto"/>
          <w:kern w:val="0"/>
          <w:sz w:val="28"/>
          <w:szCs w:val="28"/>
          <w:lang w:val="en-US" w:eastAsia="zh-CN"/>
        </w:rPr>
        <w:t>3876</w:t>
      </w:r>
      <w:r>
        <w:rPr>
          <w:color w:val="auto"/>
          <w:kern w:val="0"/>
          <w:sz w:val="28"/>
          <w:szCs w:val="28"/>
        </w:rPr>
        <w:t>m</w:t>
      </w:r>
      <w:r>
        <w:rPr>
          <w:color w:val="auto"/>
          <w:kern w:val="0"/>
          <w:sz w:val="28"/>
          <w:szCs w:val="28"/>
          <w:vertAlign w:val="superscript"/>
        </w:rPr>
        <w:t>2</w:t>
      </w:r>
      <w:r>
        <w:rPr>
          <w:color w:val="auto"/>
          <w:kern w:val="0"/>
          <w:sz w:val="28"/>
          <w:szCs w:val="28"/>
        </w:rPr>
        <w:t>。现状损毁土地方式主要为占用。场地的建设导致原有土地改变，地表植被直接被破坏，地表原有功能丧失，对土地资源影响和破坏程度为</w:t>
      </w:r>
      <w:r>
        <w:rPr>
          <w:rFonts w:hint="eastAsia"/>
          <w:color w:val="auto"/>
          <w:kern w:val="0"/>
          <w:sz w:val="28"/>
          <w:szCs w:val="28"/>
          <w:lang w:val="en-US" w:eastAsia="zh-CN"/>
        </w:rPr>
        <w:t>中</w:t>
      </w:r>
      <w:r>
        <w:rPr>
          <w:color w:val="auto"/>
          <w:kern w:val="0"/>
          <w:sz w:val="28"/>
          <w:szCs w:val="28"/>
        </w:rPr>
        <w:t>度。</w:t>
      </w:r>
    </w:p>
    <w:p w14:paraId="02865358">
      <w:pPr>
        <w:widowControl/>
        <w:snapToGrid w:val="0"/>
        <w:jc w:val="center"/>
        <w:rPr>
          <w:rFonts w:eastAsia="黑体"/>
          <w:bCs/>
          <w:color w:val="auto"/>
          <w:sz w:val="24"/>
          <w:szCs w:val="24"/>
        </w:rPr>
      </w:pPr>
      <w:r>
        <w:rPr>
          <w:rFonts w:eastAsia="黑体"/>
          <w:bCs/>
          <w:color w:val="auto"/>
          <w:sz w:val="24"/>
          <w:szCs w:val="24"/>
        </w:rPr>
        <w:t>表3-</w:t>
      </w:r>
      <w:r>
        <w:rPr>
          <w:rFonts w:hint="eastAsia" w:eastAsia="黑体"/>
          <w:bCs/>
          <w:color w:val="auto"/>
          <w:sz w:val="24"/>
          <w:szCs w:val="24"/>
          <w:lang w:val="en-US" w:eastAsia="zh-CN"/>
        </w:rPr>
        <w:t xml:space="preserve">19  </w:t>
      </w:r>
      <w:r>
        <w:rPr>
          <w:rFonts w:eastAsia="黑体"/>
          <w:bCs/>
          <w:color w:val="auto"/>
          <w:sz w:val="24"/>
          <w:szCs w:val="24"/>
        </w:rPr>
        <w:t>土地损毁程度评价表</w:t>
      </w:r>
    </w:p>
    <w:tbl>
      <w:tblPr>
        <w:tblStyle w:val="34"/>
        <w:tblW w:w="8680" w:type="dxa"/>
        <w:jc w:val="center"/>
        <w:tblLayout w:type="fixed"/>
        <w:tblCellMar>
          <w:top w:w="0" w:type="dxa"/>
          <w:left w:w="108" w:type="dxa"/>
          <w:bottom w:w="0" w:type="dxa"/>
          <w:right w:w="108" w:type="dxa"/>
        </w:tblCellMar>
      </w:tblPr>
      <w:tblGrid>
        <w:gridCol w:w="1701"/>
        <w:gridCol w:w="846"/>
        <w:gridCol w:w="992"/>
        <w:gridCol w:w="875"/>
        <w:gridCol w:w="974"/>
        <w:gridCol w:w="1022"/>
        <w:gridCol w:w="1014"/>
        <w:gridCol w:w="620"/>
        <w:gridCol w:w="636"/>
      </w:tblGrid>
      <w:tr w14:paraId="197D7A13">
        <w:tblPrEx>
          <w:tblCellMar>
            <w:top w:w="0" w:type="dxa"/>
            <w:left w:w="108" w:type="dxa"/>
            <w:bottom w:w="0" w:type="dxa"/>
            <w:right w:w="108" w:type="dxa"/>
          </w:tblCellMar>
        </w:tblPrEx>
        <w:trPr>
          <w:trHeight w:val="397" w:hRule="atLeast"/>
          <w:tblHeader/>
          <w:jc w:val="center"/>
        </w:trPr>
        <w:tc>
          <w:tcPr>
            <w:tcW w:w="1701" w:type="dxa"/>
            <w:vMerge w:val="restart"/>
            <w:tcBorders>
              <w:top w:val="single" w:color="000000" w:sz="4" w:space="0"/>
              <w:left w:val="single" w:color="000000" w:sz="4" w:space="0"/>
              <w:bottom w:val="single" w:color="000000" w:sz="4" w:space="0"/>
              <w:right w:val="single" w:color="000000" w:sz="4" w:space="0"/>
            </w:tcBorders>
            <w:vAlign w:val="center"/>
          </w:tcPr>
          <w:p w14:paraId="48CE55BE">
            <w:pPr>
              <w:adjustRightInd w:val="0"/>
              <w:snapToGrid w:val="0"/>
              <w:jc w:val="center"/>
              <w:rPr>
                <w:color w:val="auto"/>
              </w:rPr>
            </w:pPr>
            <w:r>
              <w:rPr>
                <w:color w:val="auto"/>
              </w:rPr>
              <w:t>破坏单元</w:t>
            </w:r>
          </w:p>
        </w:tc>
        <w:tc>
          <w:tcPr>
            <w:tcW w:w="5723" w:type="dxa"/>
            <w:gridSpan w:val="6"/>
            <w:tcBorders>
              <w:top w:val="single" w:color="000000" w:sz="4" w:space="0"/>
              <w:left w:val="single" w:color="000000" w:sz="4" w:space="0"/>
              <w:bottom w:val="single" w:color="000000" w:sz="4" w:space="0"/>
              <w:right w:val="single" w:color="000000" w:sz="4" w:space="0"/>
            </w:tcBorders>
            <w:vAlign w:val="center"/>
          </w:tcPr>
          <w:p w14:paraId="2ABD44AC">
            <w:pPr>
              <w:adjustRightInd w:val="0"/>
              <w:snapToGrid w:val="0"/>
              <w:jc w:val="center"/>
              <w:rPr>
                <w:color w:val="auto"/>
              </w:rPr>
            </w:pPr>
            <w:r>
              <w:rPr>
                <w:color w:val="auto"/>
              </w:rPr>
              <w:t>评价因子</w:t>
            </w:r>
          </w:p>
        </w:tc>
        <w:tc>
          <w:tcPr>
            <w:tcW w:w="620" w:type="dxa"/>
            <w:vMerge w:val="restart"/>
            <w:tcBorders>
              <w:top w:val="single" w:color="000000" w:sz="4" w:space="0"/>
              <w:left w:val="single" w:color="000000" w:sz="4" w:space="0"/>
              <w:bottom w:val="single" w:color="000000" w:sz="4" w:space="0"/>
              <w:right w:val="single" w:color="000000" w:sz="4" w:space="0"/>
            </w:tcBorders>
            <w:vAlign w:val="center"/>
          </w:tcPr>
          <w:p w14:paraId="11022F83">
            <w:pPr>
              <w:adjustRightInd w:val="0"/>
              <w:snapToGrid w:val="0"/>
              <w:jc w:val="center"/>
              <w:rPr>
                <w:color w:val="auto"/>
              </w:rPr>
            </w:pPr>
            <w:r>
              <w:rPr>
                <w:color w:val="auto"/>
              </w:rPr>
              <w:t>得分</w:t>
            </w:r>
          </w:p>
        </w:tc>
        <w:tc>
          <w:tcPr>
            <w:tcW w:w="636" w:type="dxa"/>
            <w:vMerge w:val="restart"/>
            <w:tcBorders>
              <w:top w:val="single" w:color="000000" w:sz="4" w:space="0"/>
              <w:left w:val="single" w:color="000000" w:sz="4" w:space="0"/>
              <w:right w:val="single" w:color="000000" w:sz="4" w:space="0"/>
            </w:tcBorders>
            <w:vAlign w:val="center"/>
          </w:tcPr>
          <w:p w14:paraId="71B68355">
            <w:pPr>
              <w:adjustRightInd w:val="0"/>
              <w:snapToGrid w:val="0"/>
              <w:jc w:val="center"/>
              <w:rPr>
                <w:color w:val="auto"/>
              </w:rPr>
            </w:pPr>
            <w:r>
              <w:rPr>
                <w:color w:val="auto"/>
              </w:rPr>
              <w:t>损毁</w:t>
            </w:r>
          </w:p>
          <w:p w14:paraId="3AB05F5B">
            <w:pPr>
              <w:adjustRightInd w:val="0"/>
              <w:snapToGrid w:val="0"/>
              <w:jc w:val="center"/>
              <w:rPr>
                <w:color w:val="auto"/>
              </w:rPr>
            </w:pPr>
            <w:r>
              <w:rPr>
                <w:color w:val="auto"/>
              </w:rPr>
              <w:t>程度</w:t>
            </w:r>
          </w:p>
        </w:tc>
      </w:tr>
      <w:tr w14:paraId="56E72DB3">
        <w:tblPrEx>
          <w:tblCellMar>
            <w:top w:w="0" w:type="dxa"/>
            <w:left w:w="108" w:type="dxa"/>
            <w:bottom w:w="0" w:type="dxa"/>
            <w:right w:w="108" w:type="dxa"/>
          </w:tblCellMar>
        </w:tblPrEx>
        <w:trPr>
          <w:trHeight w:val="397" w:hRule="atLeast"/>
          <w:tblHeader/>
          <w:jc w:val="center"/>
        </w:trPr>
        <w:tc>
          <w:tcPr>
            <w:tcW w:w="1701" w:type="dxa"/>
            <w:vMerge w:val="continue"/>
            <w:tcBorders>
              <w:top w:val="single" w:color="000000" w:sz="4" w:space="0"/>
              <w:left w:val="single" w:color="000000" w:sz="4" w:space="0"/>
              <w:bottom w:val="single" w:color="000000" w:sz="4" w:space="0"/>
              <w:right w:val="single" w:color="000000" w:sz="4" w:space="0"/>
            </w:tcBorders>
            <w:vAlign w:val="center"/>
          </w:tcPr>
          <w:p w14:paraId="70E3E47F">
            <w:pPr>
              <w:adjustRightInd w:val="0"/>
              <w:snapToGrid w:val="0"/>
              <w:jc w:val="center"/>
              <w:rPr>
                <w:color w:val="auto"/>
              </w:rPr>
            </w:pPr>
          </w:p>
        </w:tc>
        <w:tc>
          <w:tcPr>
            <w:tcW w:w="846" w:type="dxa"/>
            <w:tcBorders>
              <w:top w:val="single" w:color="000000" w:sz="4" w:space="0"/>
              <w:left w:val="single" w:color="000000" w:sz="4" w:space="0"/>
              <w:bottom w:val="single" w:color="000000" w:sz="4" w:space="0"/>
              <w:right w:val="single" w:color="000000" w:sz="4" w:space="0"/>
            </w:tcBorders>
            <w:vAlign w:val="center"/>
          </w:tcPr>
          <w:p w14:paraId="3937BD57">
            <w:pPr>
              <w:adjustRightInd w:val="0"/>
              <w:snapToGrid w:val="0"/>
              <w:jc w:val="center"/>
              <w:rPr>
                <w:color w:val="auto"/>
              </w:rPr>
            </w:pPr>
            <w:r>
              <w:rPr>
                <w:color w:val="auto"/>
              </w:rPr>
              <w:t>压占</w:t>
            </w:r>
          </w:p>
          <w:p w14:paraId="03DA23A9">
            <w:pPr>
              <w:adjustRightInd w:val="0"/>
              <w:snapToGrid w:val="0"/>
              <w:jc w:val="center"/>
              <w:rPr>
                <w:color w:val="auto"/>
              </w:rPr>
            </w:pPr>
            <w:r>
              <w:rPr>
                <w:color w:val="auto"/>
              </w:rPr>
              <w:t>面积</w:t>
            </w:r>
          </w:p>
        </w:tc>
        <w:tc>
          <w:tcPr>
            <w:tcW w:w="992" w:type="dxa"/>
            <w:tcBorders>
              <w:top w:val="single" w:color="000000" w:sz="4" w:space="0"/>
              <w:left w:val="single" w:color="000000" w:sz="4" w:space="0"/>
              <w:bottom w:val="single" w:color="000000" w:sz="4" w:space="0"/>
              <w:right w:val="single" w:color="000000" w:sz="4" w:space="0"/>
            </w:tcBorders>
            <w:vAlign w:val="center"/>
          </w:tcPr>
          <w:p w14:paraId="53E8DB2D">
            <w:pPr>
              <w:adjustRightInd w:val="0"/>
              <w:snapToGrid w:val="0"/>
              <w:jc w:val="center"/>
              <w:rPr>
                <w:color w:val="auto"/>
              </w:rPr>
            </w:pPr>
            <w:r>
              <w:rPr>
                <w:color w:val="auto"/>
              </w:rPr>
              <w:t>边坡坡度</w:t>
            </w:r>
          </w:p>
        </w:tc>
        <w:tc>
          <w:tcPr>
            <w:tcW w:w="875" w:type="dxa"/>
            <w:tcBorders>
              <w:top w:val="single" w:color="000000" w:sz="4" w:space="0"/>
              <w:left w:val="single" w:color="000000" w:sz="4" w:space="0"/>
              <w:bottom w:val="single" w:color="000000" w:sz="4" w:space="0"/>
              <w:right w:val="single" w:color="000000" w:sz="4" w:space="0"/>
            </w:tcBorders>
            <w:vAlign w:val="center"/>
          </w:tcPr>
          <w:p w14:paraId="2269B9FA">
            <w:pPr>
              <w:adjustRightInd w:val="0"/>
              <w:snapToGrid w:val="0"/>
              <w:jc w:val="center"/>
              <w:rPr>
                <w:color w:val="auto"/>
              </w:rPr>
            </w:pPr>
            <w:r>
              <w:rPr>
                <w:color w:val="auto"/>
              </w:rPr>
              <w:t>排渣高度</w:t>
            </w:r>
          </w:p>
        </w:tc>
        <w:tc>
          <w:tcPr>
            <w:tcW w:w="974" w:type="dxa"/>
            <w:tcBorders>
              <w:top w:val="single" w:color="000000" w:sz="4" w:space="0"/>
              <w:left w:val="single" w:color="000000" w:sz="4" w:space="0"/>
              <w:bottom w:val="single" w:color="000000" w:sz="4" w:space="0"/>
              <w:right w:val="single" w:color="000000" w:sz="4" w:space="0"/>
            </w:tcBorders>
            <w:vAlign w:val="center"/>
          </w:tcPr>
          <w:p w14:paraId="56DD80B4">
            <w:pPr>
              <w:adjustRightInd w:val="0"/>
              <w:snapToGrid w:val="0"/>
              <w:jc w:val="center"/>
              <w:rPr>
                <w:color w:val="auto"/>
              </w:rPr>
            </w:pPr>
            <w:r>
              <w:rPr>
                <w:color w:val="auto"/>
              </w:rPr>
              <w:t>土地稳定性</w:t>
            </w:r>
          </w:p>
        </w:tc>
        <w:tc>
          <w:tcPr>
            <w:tcW w:w="1022" w:type="dxa"/>
            <w:tcBorders>
              <w:top w:val="single" w:color="000000" w:sz="4" w:space="0"/>
              <w:left w:val="single" w:color="000000" w:sz="4" w:space="0"/>
              <w:bottom w:val="single" w:color="000000" w:sz="4" w:space="0"/>
              <w:right w:val="single" w:color="000000" w:sz="4" w:space="0"/>
            </w:tcBorders>
            <w:vAlign w:val="center"/>
          </w:tcPr>
          <w:p w14:paraId="3492A61C">
            <w:pPr>
              <w:adjustRightInd w:val="0"/>
              <w:snapToGrid w:val="0"/>
              <w:jc w:val="center"/>
              <w:rPr>
                <w:color w:val="auto"/>
              </w:rPr>
            </w:pPr>
            <w:r>
              <w:rPr>
                <w:color w:val="auto"/>
              </w:rPr>
              <w:t>砾石</w:t>
            </w:r>
          </w:p>
          <w:p w14:paraId="0A2A05D7">
            <w:pPr>
              <w:adjustRightInd w:val="0"/>
              <w:snapToGrid w:val="0"/>
              <w:jc w:val="center"/>
              <w:rPr>
                <w:color w:val="auto"/>
              </w:rPr>
            </w:pPr>
            <w:r>
              <w:rPr>
                <w:color w:val="auto"/>
              </w:rPr>
              <w:t>含量</w:t>
            </w:r>
          </w:p>
        </w:tc>
        <w:tc>
          <w:tcPr>
            <w:tcW w:w="1014" w:type="dxa"/>
            <w:tcBorders>
              <w:top w:val="single" w:color="000000" w:sz="4" w:space="0"/>
              <w:left w:val="single" w:color="000000" w:sz="4" w:space="0"/>
              <w:bottom w:val="single" w:color="000000" w:sz="4" w:space="0"/>
              <w:right w:val="single" w:color="000000" w:sz="4" w:space="0"/>
            </w:tcBorders>
            <w:vAlign w:val="center"/>
          </w:tcPr>
          <w:p w14:paraId="07726033">
            <w:pPr>
              <w:adjustRightInd w:val="0"/>
              <w:snapToGrid w:val="0"/>
              <w:jc w:val="center"/>
              <w:rPr>
                <w:color w:val="auto"/>
              </w:rPr>
            </w:pPr>
            <w:r>
              <w:rPr>
                <w:color w:val="auto"/>
              </w:rPr>
              <w:t>复垦</w:t>
            </w:r>
          </w:p>
          <w:p w14:paraId="76B838B0">
            <w:pPr>
              <w:adjustRightInd w:val="0"/>
              <w:snapToGrid w:val="0"/>
              <w:jc w:val="center"/>
              <w:rPr>
                <w:color w:val="auto"/>
              </w:rPr>
            </w:pPr>
            <w:r>
              <w:rPr>
                <w:color w:val="auto"/>
              </w:rPr>
              <w:t>难度</w:t>
            </w:r>
          </w:p>
        </w:tc>
        <w:tc>
          <w:tcPr>
            <w:tcW w:w="620" w:type="dxa"/>
            <w:vMerge w:val="continue"/>
            <w:tcBorders>
              <w:top w:val="single" w:color="000000" w:sz="4" w:space="0"/>
              <w:left w:val="single" w:color="000000" w:sz="4" w:space="0"/>
              <w:bottom w:val="single" w:color="000000" w:sz="4" w:space="0"/>
              <w:right w:val="single" w:color="000000" w:sz="4" w:space="0"/>
            </w:tcBorders>
            <w:vAlign w:val="center"/>
          </w:tcPr>
          <w:p w14:paraId="22358719">
            <w:pPr>
              <w:adjustRightInd w:val="0"/>
              <w:snapToGrid w:val="0"/>
              <w:jc w:val="center"/>
              <w:rPr>
                <w:color w:val="auto"/>
              </w:rPr>
            </w:pPr>
          </w:p>
        </w:tc>
        <w:tc>
          <w:tcPr>
            <w:tcW w:w="636" w:type="dxa"/>
            <w:vMerge w:val="continue"/>
            <w:tcBorders>
              <w:left w:val="single" w:color="000000" w:sz="4" w:space="0"/>
              <w:bottom w:val="single" w:color="000000" w:sz="4" w:space="0"/>
              <w:right w:val="single" w:color="000000" w:sz="4" w:space="0"/>
            </w:tcBorders>
            <w:vAlign w:val="center"/>
          </w:tcPr>
          <w:p w14:paraId="4262BCC5">
            <w:pPr>
              <w:adjustRightInd w:val="0"/>
              <w:snapToGrid w:val="0"/>
              <w:jc w:val="center"/>
              <w:rPr>
                <w:color w:val="auto"/>
              </w:rPr>
            </w:pPr>
          </w:p>
        </w:tc>
      </w:tr>
      <w:tr w14:paraId="098BFEDA">
        <w:tblPrEx>
          <w:tblCellMar>
            <w:top w:w="0" w:type="dxa"/>
            <w:left w:w="108" w:type="dxa"/>
            <w:bottom w:w="0" w:type="dxa"/>
            <w:right w:w="108" w:type="dxa"/>
          </w:tblCellMar>
        </w:tblPrEx>
        <w:trPr>
          <w:trHeight w:val="397" w:hRule="atLeast"/>
          <w:jc w:val="center"/>
        </w:trPr>
        <w:tc>
          <w:tcPr>
            <w:tcW w:w="1701" w:type="dxa"/>
            <w:tcBorders>
              <w:top w:val="single" w:color="000000" w:sz="4" w:space="0"/>
              <w:left w:val="single" w:color="000000" w:sz="4" w:space="0"/>
              <w:bottom w:val="single" w:color="000000" w:sz="4" w:space="0"/>
              <w:right w:val="single" w:color="000000" w:sz="4" w:space="0"/>
            </w:tcBorders>
            <w:vAlign w:val="center"/>
          </w:tcPr>
          <w:p w14:paraId="004BC09E">
            <w:pPr>
              <w:adjustRightInd w:val="0"/>
              <w:snapToGrid w:val="0"/>
              <w:jc w:val="center"/>
              <w:rPr>
                <w:rFonts w:hint="eastAsia" w:eastAsia="宋体"/>
                <w:color w:val="auto"/>
                <w:lang w:val="en-US" w:eastAsia="zh-CN"/>
              </w:rPr>
            </w:pPr>
            <w:r>
              <w:rPr>
                <w:rFonts w:hint="eastAsia"/>
                <w:color w:val="auto"/>
                <w:lang w:val="en-US" w:eastAsia="zh-CN"/>
              </w:rPr>
              <w:t>2</w:t>
            </w:r>
            <w:r>
              <w:rPr>
                <w:rFonts w:hint="eastAsia"/>
                <w:color w:val="auto"/>
              </w:rPr>
              <w:t>#废渣</w:t>
            </w:r>
            <w:r>
              <w:rPr>
                <w:rFonts w:hint="eastAsia"/>
                <w:color w:val="auto"/>
                <w:lang w:val="en-US" w:eastAsia="zh-CN"/>
              </w:rPr>
              <w:t>堆</w:t>
            </w:r>
          </w:p>
        </w:tc>
        <w:tc>
          <w:tcPr>
            <w:tcW w:w="846" w:type="dxa"/>
            <w:tcBorders>
              <w:top w:val="single" w:color="000000" w:sz="4" w:space="0"/>
              <w:left w:val="single" w:color="000000" w:sz="4" w:space="0"/>
              <w:bottom w:val="single" w:color="000000" w:sz="4" w:space="0"/>
              <w:right w:val="single" w:color="000000" w:sz="4" w:space="0"/>
            </w:tcBorders>
            <w:vAlign w:val="center"/>
          </w:tcPr>
          <w:p w14:paraId="24CAD2CB">
            <w:pPr>
              <w:adjustRightInd w:val="0"/>
              <w:snapToGrid w:val="0"/>
              <w:jc w:val="center"/>
              <w:rPr>
                <w:rFonts w:hint="default" w:eastAsia="宋体"/>
                <w:color w:val="auto"/>
                <w:lang w:val="en-US" w:eastAsia="zh-CN"/>
              </w:rPr>
            </w:pPr>
            <w:r>
              <w:rPr>
                <w:rFonts w:hint="eastAsia"/>
                <w:color w:val="auto"/>
                <w:lang w:val="en-US" w:eastAsia="zh-CN"/>
              </w:rPr>
              <w:t>3869</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0AE9ED4D">
            <w:pPr>
              <w:adjustRightInd w:val="0"/>
              <w:snapToGrid w:val="0"/>
              <w:jc w:val="center"/>
              <w:rPr>
                <w:color w:val="auto"/>
              </w:rPr>
            </w:pPr>
            <w:r>
              <w:rPr>
                <w:color w:val="auto"/>
              </w:rPr>
              <w:t>&gt;35°</w:t>
            </w: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23841B16">
            <w:pPr>
              <w:adjustRightInd w:val="0"/>
              <w:snapToGrid w:val="0"/>
              <w:jc w:val="center"/>
              <w:rPr>
                <w:color w:val="auto"/>
              </w:rPr>
            </w:pPr>
            <w:r>
              <w:rPr>
                <w:color w:val="auto"/>
              </w:rPr>
              <w:t>3-6m</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2C5544BA">
            <w:pPr>
              <w:adjustRightInd w:val="0"/>
              <w:snapToGrid w:val="0"/>
              <w:jc w:val="center"/>
              <w:rPr>
                <w:color w:val="auto"/>
              </w:rPr>
            </w:pPr>
            <w:r>
              <w:rPr>
                <w:color w:val="auto"/>
              </w:rPr>
              <w:t>稳定</w:t>
            </w:r>
          </w:p>
        </w:tc>
        <w:tc>
          <w:tcPr>
            <w:tcW w:w="1022" w:type="dxa"/>
            <w:tcBorders>
              <w:top w:val="single" w:color="000000" w:sz="4" w:space="0"/>
              <w:left w:val="single" w:color="000000" w:sz="4" w:space="0"/>
              <w:bottom w:val="single" w:color="000000" w:sz="4" w:space="0"/>
              <w:right w:val="single" w:color="000000" w:sz="4" w:space="0"/>
            </w:tcBorders>
            <w:noWrap/>
            <w:vAlign w:val="center"/>
          </w:tcPr>
          <w:p w14:paraId="4105133F">
            <w:pPr>
              <w:adjustRightInd w:val="0"/>
              <w:snapToGrid w:val="0"/>
              <w:jc w:val="center"/>
              <w:rPr>
                <w:color w:val="auto"/>
              </w:rPr>
            </w:pPr>
            <w:r>
              <w:rPr>
                <w:color w:val="auto"/>
              </w:rPr>
              <w:t>&gt;30%</w:t>
            </w:r>
          </w:p>
        </w:tc>
        <w:tc>
          <w:tcPr>
            <w:tcW w:w="1014" w:type="dxa"/>
            <w:tcBorders>
              <w:top w:val="single" w:color="000000" w:sz="4" w:space="0"/>
              <w:left w:val="single" w:color="000000" w:sz="4" w:space="0"/>
              <w:bottom w:val="single" w:color="000000" w:sz="4" w:space="0"/>
              <w:right w:val="single" w:color="000000" w:sz="4" w:space="0"/>
            </w:tcBorders>
            <w:noWrap/>
            <w:vAlign w:val="center"/>
          </w:tcPr>
          <w:p w14:paraId="5D96E571">
            <w:pPr>
              <w:adjustRightInd w:val="0"/>
              <w:snapToGrid w:val="0"/>
              <w:jc w:val="center"/>
              <w:rPr>
                <w:color w:val="auto"/>
              </w:rPr>
            </w:pPr>
            <w:r>
              <w:rPr>
                <w:rFonts w:hint="eastAsia"/>
                <w:color w:val="auto"/>
                <w:lang w:val="en-US" w:eastAsia="zh-CN"/>
              </w:rPr>
              <w:t>易</w:t>
            </w:r>
          </w:p>
        </w:tc>
        <w:tc>
          <w:tcPr>
            <w:tcW w:w="620" w:type="dxa"/>
            <w:tcBorders>
              <w:top w:val="single" w:color="000000" w:sz="4" w:space="0"/>
              <w:left w:val="single" w:color="000000" w:sz="4" w:space="0"/>
              <w:bottom w:val="single" w:color="000000" w:sz="4" w:space="0"/>
              <w:right w:val="single" w:color="000000" w:sz="4" w:space="0"/>
            </w:tcBorders>
            <w:vAlign w:val="center"/>
          </w:tcPr>
          <w:p w14:paraId="0845C0F8">
            <w:pPr>
              <w:adjustRightInd w:val="0"/>
              <w:snapToGrid w:val="0"/>
              <w:jc w:val="center"/>
              <w:rPr>
                <w:rFonts w:hint="default" w:eastAsia="宋体"/>
                <w:color w:val="auto"/>
                <w:lang w:val="en-US" w:eastAsia="zh-CN"/>
              </w:rPr>
            </w:pPr>
            <w:r>
              <w:rPr>
                <w:rFonts w:hint="eastAsia"/>
                <w:color w:val="auto"/>
                <w:lang w:val="en-US" w:eastAsia="zh-CN"/>
              </w:rPr>
              <w:t>1.8</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EF9881D">
            <w:pPr>
              <w:adjustRightInd w:val="0"/>
              <w:snapToGrid w:val="0"/>
              <w:jc w:val="center"/>
              <w:rPr>
                <w:color w:val="auto"/>
              </w:rPr>
            </w:pPr>
            <w:r>
              <w:rPr>
                <w:rFonts w:hint="eastAsia"/>
                <w:color w:val="auto"/>
                <w:lang w:val="en-US" w:eastAsia="zh-CN"/>
              </w:rPr>
              <w:t>中</w:t>
            </w:r>
            <w:r>
              <w:rPr>
                <w:color w:val="auto"/>
              </w:rPr>
              <w:t>度</w:t>
            </w:r>
          </w:p>
        </w:tc>
      </w:tr>
    </w:tbl>
    <w:p w14:paraId="0514B270">
      <w:pPr>
        <w:widowControl/>
        <w:spacing w:line="360" w:lineRule="auto"/>
        <w:ind w:firstLine="560" w:firstLineChars="200"/>
        <w:rPr>
          <w:rFonts w:hint="eastAsia" w:eastAsia="宋体"/>
          <w:color w:val="auto"/>
          <w:kern w:val="0"/>
          <w:sz w:val="28"/>
          <w:szCs w:val="28"/>
          <w:lang w:eastAsia="zh-CN"/>
        </w:rPr>
      </w:pPr>
      <w:r>
        <w:rPr>
          <w:color w:val="auto"/>
          <w:kern w:val="0"/>
          <w:sz w:val="28"/>
          <w:szCs w:val="28"/>
        </w:rPr>
        <w:t>（</w:t>
      </w:r>
      <w:r>
        <w:rPr>
          <w:rFonts w:hint="eastAsia"/>
          <w:color w:val="auto"/>
          <w:kern w:val="0"/>
          <w:sz w:val="28"/>
          <w:szCs w:val="28"/>
          <w:lang w:val="en-US" w:eastAsia="zh-CN"/>
        </w:rPr>
        <w:t>6</w:t>
      </w:r>
      <w:r>
        <w:rPr>
          <w:color w:val="auto"/>
          <w:kern w:val="0"/>
          <w:sz w:val="28"/>
          <w:szCs w:val="28"/>
        </w:rPr>
        <w:t>）</w:t>
      </w:r>
      <w:r>
        <w:rPr>
          <w:rFonts w:hint="eastAsia"/>
          <w:color w:val="auto"/>
          <w:kern w:val="0"/>
          <w:sz w:val="28"/>
          <w:szCs w:val="28"/>
          <w:lang w:val="en-US" w:eastAsia="zh-CN"/>
        </w:rPr>
        <w:t>3</w:t>
      </w:r>
      <w:r>
        <w:rPr>
          <w:rFonts w:hint="eastAsia"/>
          <w:color w:val="auto"/>
          <w:kern w:val="0"/>
          <w:sz w:val="28"/>
          <w:szCs w:val="28"/>
        </w:rPr>
        <w:t>#废渣</w:t>
      </w:r>
      <w:r>
        <w:rPr>
          <w:rFonts w:hint="eastAsia"/>
          <w:color w:val="auto"/>
          <w:kern w:val="0"/>
          <w:sz w:val="28"/>
          <w:szCs w:val="28"/>
          <w:lang w:val="en-US" w:eastAsia="zh-CN"/>
        </w:rPr>
        <w:t>堆</w:t>
      </w:r>
    </w:p>
    <w:p w14:paraId="722FA949">
      <w:pPr>
        <w:widowControl/>
        <w:spacing w:line="360" w:lineRule="auto"/>
        <w:ind w:firstLine="560" w:firstLineChars="200"/>
        <w:rPr>
          <w:color w:val="auto"/>
          <w:kern w:val="0"/>
          <w:sz w:val="28"/>
          <w:szCs w:val="28"/>
        </w:rPr>
      </w:pPr>
      <w:r>
        <w:rPr>
          <w:rFonts w:hint="eastAsia"/>
          <w:color w:val="auto"/>
          <w:kern w:val="0"/>
          <w:sz w:val="28"/>
          <w:szCs w:val="28"/>
        </w:rPr>
        <w:t>1#废渣</w:t>
      </w:r>
      <w:r>
        <w:rPr>
          <w:rFonts w:hint="eastAsia"/>
          <w:color w:val="auto"/>
          <w:kern w:val="0"/>
          <w:sz w:val="28"/>
          <w:szCs w:val="28"/>
          <w:lang w:val="en-US" w:eastAsia="zh-CN"/>
        </w:rPr>
        <w:t>堆</w:t>
      </w:r>
      <w:r>
        <w:rPr>
          <w:color w:val="auto"/>
          <w:kern w:val="0"/>
          <w:sz w:val="28"/>
          <w:szCs w:val="28"/>
        </w:rPr>
        <w:t>占地面积为</w:t>
      </w:r>
      <w:r>
        <w:rPr>
          <w:rFonts w:hint="eastAsia"/>
          <w:color w:val="auto"/>
          <w:kern w:val="0"/>
          <w:sz w:val="28"/>
          <w:szCs w:val="28"/>
          <w:lang w:val="en-US" w:eastAsia="zh-CN"/>
        </w:rPr>
        <w:t>965</w:t>
      </w:r>
      <w:r>
        <w:rPr>
          <w:color w:val="auto"/>
          <w:kern w:val="0"/>
          <w:sz w:val="28"/>
          <w:szCs w:val="28"/>
        </w:rPr>
        <w:t>m</w:t>
      </w:r>
      <w:r>
        <w:rPr>
          <w:color w:val="auto"/>
          <w:kern w:val="0"/>
          <w:sz w:val="28"/>
          <w:szCs w:val="28"/>
          <w:vertAlign w:val="superscript"/>
        </w:rPr>
        <w:t>2</w:t>
      </w:r>
      <w:r>
        <w:rPr>
          <w:color w:val="auto"/>
          <w:kern w:val="0"/>
          <w:sz w:val="28"/>
          <w:szCs w:val="28"/>
        </w:rPr>
        <w:t>，</w:t>
      </w:r>
      <w:r>
        <w:rPr>
          <w:rFonts w:hint="eastAsia"/>
          <w:color w:val="auto"/>
          <w:kern w:val="0"/>
          <w:sz w:val="28"/>
          <w:szCs w:val="28"/>
          <w:lang w:val="en-US" w:eastAsia="zh-CN"/>
        </w:rPr>
        <w:t>边坡</w:t>
      </w:r>
      <w:r>
        <w:rPr>
          <w:color w:val="auto"/>
          <w:kern w:val="0"/>
          <w:sz w:val="28"/>
          <w:szCs w:val="28"/>
        </w:rPr>
        <w:t>坡度</w:t>
      </w:r>
      <w:r>
        <w:rPr>
          <w:rFonts w:hint="eastAsia"/>
          <w:color w:val="auto"/>
          <w:kern w:val="0"/>
          <w:sz w:val="28"/>
          <w:szCs w:val="28"/>
          <w:lang w:val="en-US" w:eastAsia="zh-CN"/>
        </w:rPr>
        <w:t>40</w:t>
      </w:r>
      <w:r>
        <w:rPr>
          <w:color w:val="auto"/>
          <w:kern w:val="0"/>
          <w:sz w:val="28"/>
          <w:szCs w:val="28"/>
        </w:rPr>
        <w:t>°，</w:t>
      </w:r>
      <w:r>
        <w:rPr>
          <w:rFonts w:hint="eastAsia"/>
          <w:color w:val="auto"/>
          <w:kern w:val="0"/>
          <w:sz w:val="28"/>
          <w:szCs w:val="28"/>
          <w:lang w:val="en-US" w:eastAsia="zh-CN"/>
        </w:rPr>
        <w:t>高度5m，</w:t>
      </w:r>
      <w:r>
        <w:rPr>
          <w:color w:val="auto"/>
          <w:kern w:val="0"/>
          <w:sz w:val="28"/>
          <w:szCs w:val="28"/>
        </w:rPr>
        <w:t>砾石含量&gt;30%，复垦难度</w:t>
      </w:r>
      <w:r>
        <w:rPr>
          <w:rFonts w:hint="eastAsia"/>
          <w:color w:val="auto"/>
          <w:kern w:val="0"/>
          <w:sz w:val="28"/>
          <w:szCs w:val="28"/>
          <w:lang w:val="en-US" w:eastAsia="zh-CN"/>
        </w:rPr>
        <w:t>易</w:t>
      </w:r>
      <w:r>
        <w:rPr>
          <w:color w:val="auto"/>
          <w:kern w:val="0"/>
          <w:sz w:val="28"/>
          <w:szCs w:val="28"/>
        </w:rPr>
        <w:t>。破坏土地利用类型为</w:t>
      </w:r>
      <w:r>
        <w:rPr>
          <w:rFonts w:hint="eastAsia"/>
          <w:color w:val="auto"/>
          <w:kern w:val="0"/>
          <w:sz w:val="28"/>
          <w:szCs w:val="28"/>
          <w:lang w:val="en-US" w:eastAsia="zh-CN"/>
        </w:rPr>
        <w:t>其他草地117</w:t>
      </w:r>
      <w:r>
        <w:rPr>
          <w:color w:val="auto"/>
          <w:kern w:val="0"/>
          <w:sz w:val="28"/>
          <w:szCs w:val="28"/>
        </w:rPr>
        <w:t>m</w:t>
      </w:r>
      <w:r>
        <w:rPr>
          <w:color w:val="auto"/>
          <w:kern w:val="0"/>
          <w:sz w:val="28"/>
          <w:szCs w:val="28"/>
          <w:vertAlign w:val="superscript"/>
        </w:rPr>
        <w:t>2</w:t>
      </w:r>
      <w:r>
        <w:rPr>
          <w:color w:val="auto"/>
          <w:kern w:val="0"/>
          <w:sz w:val="28"/>
          <w:szCs w:val="28"/>
        </w:rPr>
        <w:t>，采矿用地</w:t>
      </w:r>
      <w:r>
        <w:rPr>
          <w:rFonts w:hint="eastAsia"/>
          <w:color w:val="auto"/>
          <w:kern w:val="0"/>
          <w:sz w:val="28"/>
          <w:szCs w:val="28"/>
          <w:lang w:val="en-US" w:eastAsia="zh-CN"/>
        </w:rPr>
        <w:t>3876</w:t>
      </w:r>
      <w:r>
        <w:rPr>
          <w:color w:val="auto"/>
          <w:kern w:val="0"/>
          <w:sz w:val="28"/>
          <w:szCs w:val="28"/>
        </w:rPr>
        <w:t>m</w:t>
      </w:r>
      <w:r>
        <w:rPr>
          <w:color w:val="auto"/>
          <w:kern w:val="0"/>
          <w:sz w:val="28"/>
          <w:szCs w:val="28"/>
          <w:vertAlign w:val="superscript"/>
        </w:rPr>
        <w:t>2</w:t>
      </w:r>
      <w:r>
        <w:rPr>
          <w:color w:val="auto"/>
          <w:kern w:val="0"/>
          <w:sz w:val="28"/>
          <w:szCs w:val="28"/>
        </w:rPr>
        <w:t>。现状损毁土地方式主要为占用。场地的建设导致原有土地改变，地表植被直接被破坏，地表原有功能丧失，对土地资源影响和破坏程度为</w:t>
      </w:r>
      <w:r>
        <w:rPr>
          <w:rFonts w:hint="eastAsia"/>
          <w:color w:val="auto"/>
          <w:kern w:val="0"/>
          <w:sz w:val="28"/>
          <w:szCs w:val="28"/>
          <w:lang w:val="en-US" w:eastAsia="zh-CN"/>
        </w:rPr>
        <w:t>中</w:t>
      </w:r>
      <w:r>
        <w:rPr>
          <w:color w:val="auto"/>
          <w:kern w:val="0"/>
          <w:sz w:val="28"/>
          <w:szCs w:val="28"/>
        </w:rPr>
        <w:t>度。</w:t>
      </w:r>
    </w:p>
    <w:p w14:paraId="07A07EC0">
      <w:pPr>
        <w:widowControl/>
        <w:snapToGrid w:val="0"/>
        <w:jc w:val="center"/>
        <w:rPr>
          <w:rFonts w:eastAsia="黑体"/>
          <w:bCs/>
          <w:color w:val="auto"/>
          <w:sz w:val="24"/>
          <w:szCs w:val="24"/>
        </w:rPr>
      </w:pPr>
      <w:r>
        <w:rPr>
          <w:rFonts w:eastAsia="黑体"/>
          <w:bCs/>
          <w:color w:val="auto"/>
          <w:sz w:val="24"/>
          <w:szCs w:val="24"/>
        </w:rPr>
        <w:t>表3-</w:t>
      </w:r>
      <w:r>
        <w:rPr>
          <w:rFonts w:hint="eastAsia" w:eastAsia="黑体"/>
          <w:bCs/>
          <w:color w:val="auto"/>
          <w:sz w:val="24"/>
          <w:szCs w:val="24"/>
          <w:lang w:val="en-US" w:eastAsia="zh-CN"/>
        </w:rPr>
        <w:t xml:space="preserve">20  </w:t>
      </w:r>
      <w:r>
        <w:rPr>
          <w:rFonts w:eastAsia="黑体"/>
          <w:bCs/>
          <w:color w:val="auto"/>
          <w:sz w:val="24"/>
          <w:szCs w:val="24"/>
        </w:rPr>
        <w:t>土地损毁程度评价表</w:t>
      </w:r>
    </w:p>
    <w:tbl>
      <w:tblPr>
        <w:tblStyle w:val="34"/>
        <w:tblW w:w="8680" w:type="dxa"/>
        <w:jc w:val="center"/>
        <w:tblLayout w:type="fixed"/>
        <w:tblCellMar>
          <w:top w:w="0" w:type="dxa"/>
          <w:left w:w="108" w:type="dxa"/>
          <w:bottom w:w="0" w:type="dxa"/>
          <w:right w:w="108" w:type="dxa"/>
        </w:tblCellMar>
      </w:tblPr>
      <w:tblGrid>
        <w:gridCol w:w="1701"/>
        <w:gridCol w:w="846"/>
        <w:gridCol w:w="992"/>
        <w:gridCol w:w="875"/>
        <w:gridCol w:w="974"/>
        <w:gridCol w:w="1022"/>
        <w:gridCol w:w="1014"/>
        <w:gridCol w:w="620"/>
        <w:gridCol w:w="636"/>
      </w:tblGrid>
      <w:tr w14:paraId="3EAB3BCE">
        <w:tblPrEx>
          <w:tblCellMar>
            <w:top w:w="0" w:type="dxa"/>
            <w:left w:w="108" w:type="dxa"/>
            <w:bottom w:w="0" w:type="dxa"/>
            <w:right w:w="108" w:type="dxa"/>
          </w:tblCellMar>
        </w:tblPrEx>
        <w:trPr>
          <w:trHeight w:val="197" w:hRule="atLeast"/>
          <w:tblHeader/>
          <w:jc w:val="center"/>
        </w:trPr>
        <w:tc>
          <w:tcPr>
            <w:tcW w:w="1701" w:type="dxa"/>
            <w:vMerge w:val="restart"/>
            <w:tcBorders>
              <w:top w:val="single" w:color="000000" w:sz="4" w:space="0"/>
              <w:left w:val="single" w:color="000000" w:sz="4" w:space="0"/>
              <w:bottom w:val="single" w:color="000000" w:sz="4" w:space="0"/>
              <w:right w:val="single" w:color="000000" w:sz="4" w:space="0"/>
            </w:tcBorders>
            <w:vAlign w:val="center"/>
          </w:tcPr>
          <w:p w14:paraId="1AEAB16A">
            <w:pPr>
              <w:adjustRightInd w:val="0"/>
              <w:snapToGrid w:val="0"/>
              <w:jc w:val="center"/>
              <w:rPr>
                <w:color w:val="auto"/>
              </w:rPr>
            </w:pPr>
            <w:r>
              <w:rPr>
                <w:color w:val="auto"/>
              </w:rPr>
              <w:t>破坏单元</w:t>
            </w:r>
          </w:p>
        </w:tc>
        <w:tc>
          <w:tcPr>
            <w:tcW w:w="5723" w:type="dxa"/>
            <w:gridSpan w:val="6"/>
            <w:tcBorders>
              <w:top w:val="single" w:color="000000" w:sz="4" w:space="0"/>
              <w:left w:val="single" w:color="000000" w:sz="4" w:space="0"/>
              <w:bottom w:val="single" w:color="000000" w:sz="4" w:space="0"/>
              <w:right w:val="single" w:color="000000" w:sz="4" w:space="0"/>
            </w:tcBorders>
            <w:vAlign w:val="center"/>
          </w:tcPr>
          <w:p w14:paraId="45E7391E">
            <w:pPr>
              <w:adjustRightInd w:val="0"/>
              <w:snapToGrid w:val="0"/>
              <w:jc w:val="center"/>
              <w:rPr>
                <w:color w:val="auto"/>
              </w:rPr>
            </w:pPr>
            <w:r>
              <w:rPr>
                <w:color w:val="auto"/>
              </w:rPr>
              <w:t>评价因子</w:t>
            </w:r>
          </w:p>
        </w:tc>
        <w:tc>
          <w:tcPr>
            <w:tcW w:w="620" w:type="dxa"/>
            <w:vMerge w:val="restart"/>
            <w:tcBorders>
              <w:top w:val="single" w:color="000000" w:sz="4" w:space="0"/>
              <w:left w:val="single" w:color="000000" w:sz="4" w:space="0"/>
              <w:bottom w:val="single" w:color="000000" w:sz="4" w:space="0"/>
              <w:right w:val="single" w:color="000000" w:sz="4" w:space="0"/>
            </w:tcBorders>
            <w:vAlign w:val="center"/>
          </w:tcPr>
          <w:p w14:paraId="158EA148">
            <w:pPr>
              <w:adjustRightInd w:val="0"/>
              <w:snapToGrid w:val="0"/>
              <w:jc w:val="center"/>
              <w:rPr>
                <w:color w:val="auto"/>
              </w:rPr>
            </w:pPr>
            <w:r>
              <w:rPr>
                <w:color w:val="auto"/>
              </w:rPr>
              <w:t>得分</w:t>
            </w:r>
          </w:p>
        </w:tc>
        <w:tc>
          <w:tcPr>
            <w:tcW w:w="636" w:type="dxa"/>
            <w:vMerge w:val="restart"/>
            <w:tcBorders>
              <w:top w:val="single" w:color="000000" w:sz="4" w:space="0"/>
              <w:left w:val="single" w:color="000000" w:sz="4" w:space="0"/>
              <w:right w:val="single" w:color="000000" w:sz="4" w:space="0"/>
            </w:tcBorders>
            <w:vAlign w:val="center"/>
          </w:tcPr>
          <w:p w14:paraId="5028FB99">
            <w:pPr>
              <w:adjustRightInd w:val="0"/>
              <w:snapToGrid w:val="0"/>
              <w:jc w:val="center"/>
              <w:rPr>
                <w:color w:val="auto"/>
              </w:rPr>
            </w:pPr>
            <w:r>
              <w:rPr>
                <w:color w:val="auto"/>
              </w:rPr>
              <w:t>损毁</w:t>
            </w:r>
          </w:p>
          <w:p w14:paraId="7DC87D35">
            <w:pPr>
              <w:adjustRightInd w:val="0"/>
              <w:snapToGrid w:val="0"/>
              <w:jc w:val="center"/>
              <w:rPr>
                <w:color w:val="auto"/>
              </w:rPr>
            </w:pPr>
            <w:r>
              <w:rPr>
                <w:color w:val="auto"/>
              </w:rPr>
              <w:t>程度</w:t>
            </w:r>
          </w:p>
        </w:tc>
      </w:tr>
      <w:tr w14:paraId="538ADB92">
        <w:tblPrEx>
          <w:tblCellMar>
            <w:top w:w="0" w:type="dxa"/>
            <w:left w:w="108" w:type="dxa"/>
            <w:bottom w:w="0" w:type="dxa"/>
            <w:right w:w="108" w:type="dxa"/>
          </w:tblCellMar>
        </w:tblPrEx>
        <w:trPr>
          <w:trHeight w:val="397" w:hRule="atLeast"/>
          <w:tblHeader/>
          <w:jc w:val="center"/>
        </w:trPr>
        <w:tc>
          <w:tcPr>
            <w:tcW w:w="1701" w:type="dxa"/>
            <w:vMerge w:val="continue"/>
            <w:tcBorders>
              <w:top w:val="single" w:color="000000" w:sz="4" w:space="0"/>
              <w:left w:val="single" w:color="000000" w:sz="4" w:space="0"/>
              <w:bottom w:val="single" w:color="000000" w:sz="4" w:space="0"/>
              <w:right w:val="single" w:color="000000" w:sz="4" w:space="0"/>
            </w:tcBorders>
            <w:vAlign w:val="center"/>
          </w:tcPr>
          <w:p w14:paraId="5448BE7E">
            <w:pPr>
              <w:adjustRightInd w:val="0"/>
              <w:snapToGrid w:val="0"/>
              <w:jc w:val="center"/>
              <w:rPr>
                <w:color w:val="auto"/>
              </w:rPr>
            </w:pPr>
          </w:p>
        </w:tc>
        <w:tc>
          <w:tcPr>
            <w:tcW w:w="846" w:type="dxa"/>
            <w:tcBorders>
              <w:top w:val="single" w:color="000000" w:sz="4" w:space="0"/>
              <w:left w:val="single" w:color="000000" w:sz="4" w:space="0"/>
              <w:bottom w:val="single" w:color="000000" w:sz="4" w:space="0"/>
              <w:right w:val="single" w:color="000000" w:sz="4" w:space="0"/>
            </w:tcBorders>
            <w:vAlign w:val="center"/>
          </w:tcPr>
          <w:p w14:paraId="2B1F3ACC">
            <w:pPr>
              <w:adjustRightInd w:val="0"/>
              <w:snapToGrid w:val="0"/>
              <w:jc w:val="center"/>
              <w:rPr>
                <w:color w:val="auto"/>
              </w:rPr>
            </w:pPr>
            <w:r>
              <w:rPr>
                <w:color w:val="auto"/>
              </w:rPr>
              <w:t>压占</w:t>
            </w:r>
          </w:p>
          <w:p w14:paraId="63AF7D58">
            <w:pPr>
              <w:adjustRightInd w:val="0"/>
              <w:snapToGrid w:val="0"/>
              <w:jc w:val="center"/>
              <w:rPr>
                <w:color w:val="auto"/>
              </w:rPr>
            </w:pPr>
            <w:r>
              <w:rPr>
                <w:color w:val="auto"/>
              </w:rPr>
              <w:t>面积</w:t>
            </w:r>
          </w:p>
        </w:tc>
        <w:tc>
          <w:tcPr>
            <w:tcW w:w="992" w:type="dxa"/>
            <w:tcBorders>
              <w:top w:val="single" w:color="000000" w:sz="4" w:space="0"/>
              <w:left w:val="single" w:color="000000" w:sz="4" w:space="0"/>
              <w:bottom w:val="single" w:color="000000" w:sz="4" w:space="0"/>
              <w:right w:val="single" w:color="000000" w:sz="4" w:space="0"/>
            </w:tcBorders>
            <w:vAlign w:val="center"/>
          </w:tcPr>
          <w:p w14:paraId="067E6CF0">
            <w:pPr>
              <w:adjustRightInd w:val="0"/>
              <w:snapToGrid w:val="0"/>
              <w:jc w:val="center"/>
              <w:rPr>
                <w:color w:val="auto"/>
              </w:rPr>
            </w:pPr>
            <w:r>
              <w:rPr>
                <w:color w:val="auto"/>
              </w:rPr>
              <w:t>边坡坡度</w:t>
            </w:r>
          </w:p>
        </w:tc>
        <w:tc>
          <w:tcPr>
            <w:tcW w:w="875" w:type="dxa"/>
            <w:tcBorders>
              <w:top w:val="single" w:color="000000" w:sz="4" w:space="0"/>
              <w:left w:val="single" w:color="000000" w:sz="4" w:space="0"/>
              <w:bottom w:val="single" w:color="000000" w:sz="4" w:space="0"/>
              <w:right w:val="single" w:color="000000" w:sz="4" w:space="0"/>
            </w:tcBorders>
            <w:vAlign w:val="center"/>
          </w:tcPr>
          <w:p w14:paraId="5A5B8AAB">
            <w:pPr>
              <w:adjustRightInd w:val="0"/>
              <w:snapToGrid w:val="0"/>
              <w:jc w:val="center"/>
              <w:rPr>
                <w:color w:val="auto"/>
              </w:rPr>
            </w:pPr>
            <w:r>
              <w:rPr>
                <w:color w:val="auto"/>
              </w:rPr>
              <w:t>排渣高度</w:t>
            </w:r>
          </w:p>
        </w:tc>
        <w:tc>
          <w:tcPr>
            <w:tcW w:w="974" w:type="dxa"/>
            <w:tcBorders>
              <w:top w:val="single" w:color="000000" w:sz="4" w:space="0"/>
              <w:left w:val="single" w:color="000000" w:sz="4" w:space="0"/>
              <w:bottom w:val="single" w:color="000000" w:sz="4" w:space="0"/>
              <w:right w:val="single" w:color="000000" w:sz="4" w:space="0"/>
            </w:tcBorders>
            <w:vAlign w:val="center"/>
          </w:tcPr>
          <w:p w14:paraId="28CF3E0C">
            <w:pPr>
              <w:adjustRightInd w:val="0"/>
              <w:snapToGrid w:val="0"/>
              <w:jc w:val="center"/>
              <w:rPr>
                <w:color w:val="auto"/>
              </w:rPr>
            </w:pPr>
            <w:r>
              <w:rPr>
                <w:color w:val="auto"/>
              </w:rPr>
              <w:t>土地稳定性</w:t>
            </w:r>
          </w:p>
        </w:tc>
        <w:tc>
          <w:tcPr>
            <w:tcW w:w="1022" w:type="dxa"/>
            <w:tcBorders>
              <w:top w:val="single" w:color="000000" w:sz="4" w:space="0"/>
              <w:left w:val="single" w:color="000000" w:sz="4" w:space="0"/>
              <w:bottom w:val="single" w:color="000000" w:sz="4" w:space="0"/>
              <w:right w:val="single" w:color="000000" w:sz="4" w:space="0"/>
            </w:tcBorders>
            <w:vAlign w:val="center"/>
          </w:tcPr>
          <w:p w14:paraId="2F2E43CF">
            <w:pPr>
              <w:adjustRightInd w:val="0"/>
              <w:snapToGrid w:val="0"/>
              <w:jc w:val="center"/>
              <w:rPr>
                <w:color w:val="auto"/>
              </w:rPr>
            </w:pPr>
            <w:r>
              <w:rPr>
                <w:color w:val="auto"/>
              </w:rPr>
              <w:t>砾石</w:t>
            </w:r>
          </w:p>
          <w:p w14:paraId="48B54651">
            <w:pPr>
              <w:adjustRightInd w:val="0"/>
              <w:snapToGrid w:val="0"/>
              <w:jc w:val="center"/>
              <w:rPr>
                <w:color w:val="auto"/>
              </w:rPr>
            </w:pPr>
            <w:r>
              <w:rPr>
                <w:color w:val="auto"/>
              </w:rPr>
              <w:t>含量</w:t>
            </w:r>
          </w:p>
        </w:tc>
        <w:tc>
          <w:tcPr>
            <w:tcW w:w="1014" w:type="dxa"/>
            <w:tcBorders>
              <w:top w:val="single" w:color="000000" w:sz="4" w:space="0"/>
              <w:left w:val="single" w:color="000000" w:sz="4" w:space="0"/>
              <w:bottom w:val="single" w:color="000000" w:sz="4" w:space="0"/>
              <w:right w:val="single" w:color="000000" w:sz="4" w:space="0"/>
            </w:tcBorders>
            <w:vAlign w:val="center"/>
          </w:tcPr>
          <w:p w14:paraId="1C0C9A7A">
            <w:pPr>
              <w:adjustRightInd w:val="0"/>
              <w:snapToGrid w:val="0"/>
              <w:jc w:val="center"/>
              <w:rPr>
                <w:color w:val="auto"/>
              </w:rPr>
            </w:pPr>
            <w:r>
              <w:rPr>
                <w:color w:val="auto"/>
              </w:rPr>
              <w:t>复垦</w:t>
            </w:r>
          </w:p>
          <w:p w14:paraId="23572EF5">
            <w:pPr>
              <w:adjustRightInd w:val="0"/>
              <w:snapToGrid w:val="0"/>
              <w:jc w:val="center"/>
              <w:rPr>
                <w:color w:val="auto"/>
              </w:rPr>
            </w:pPr>
            <w:r>
              <w:rPr>
                <w:color w:val="auto"/>
              </w:rPr>
              <w:t>难度</w:t>
            </w:r>
          </w:p>
        </w:tc>
        <w:tc>
          <w:tcPr>
            <w:tcW w:w="620" w:type="dxa"/>
            <w:vMerge w:val="continue"/>
            <w:tcBorders>
              <w:top w:val="single" w:color="000000" w:sz="4" w:space="0"/>
              <w:left w:val="single" w:color="000000" w:sz="4" w:space="0"/>
              <w:bottom w:val="single" w:color="000000" w:sz="4" w:space="0"/>
              <w:right w:val="single" w:color="000000" w:sz="4" w:space="0"/>
            </w:tcBorders>
            <w:vAlign w:val="center"/>
          </w:tcPr>
          <w:p w14:paraId="79D8F231">
            <w:pPr>
              <w:adjustRightInd w:val="0"/>
              <w:snapToGrid w:val="0"/>
              <w:jc w:val="center"/>
              <w:rPr>
                <w:color w:val="auto"/>
              </w:rPr>
            </w:pPr>
          </w:p>
        </w:tc>
        <w:tc>
          <w:tcPr>
            <w:tcW w:w="636" w:type="dxa"/>
            <w:vMerge w:val="continue"/>
            <w:tcBorders>
              <w:left w:val="single" w:color="000000" w:sz="4" w:space="0"/>
              <w:bottom w:val="single" w:color="000000" w:sz="4" w:space="0"/>
              <w:right w:val="single" w:color="000000" w:sz="4" w:space="0"/>
            </w:tcBorders>
            <w:vAlign w:val="center"/>
          </w:tcPr>
          <w:p w14:paraId="0CC8E68E">
            <w:pPr>
              <w:adjustRightInd w:val="0"/>
              <w:snapToGrid w:val="0"/>
              <w:jc w:val="center"/>
              <w:rPr>
                <w:color w:val="auto"/>
              </w:rPr>
            </w:pPr>
          </w:p>
        </w:tc>
      </w:tr>
      <w:tr w14:paraId="47D8F044">
        <w:tblPrEx>
          <w:tblCellMar>
            <w:top w:w="0" w:type="dxa"/>
            <w:left w:w="108" w:type="dxa"/>
            <w:bottom w:w="0" w:type="dxa"/>
            <w:right w:w="108" w:type="dxa"/>
          </w:tblCellMar>
        </w:tblPrEx>
        <w:trPr>
          <w:trHeight w:val="90" w:hRule="atLeast"/>
          <w:jc w:val="center"/>
        </w:trPr>
        <w:tc>
          <w:tcPr>
            <w:tcW w:w="1701" w:type="dxa"/>
            <w:tcBorders>
              <w:top w:val="single" w:color="000000" w:sz="4" w:space="0"/>
              <w:left w:val="single" w:color="000000" w:sz="4" w:space="0"/>
              <w:bottom w:val="single" w:color="000000" w:sz="4" w:space="0"/>
              <w:right w:val="single" w:color="000000" w:sz="4" w:space="0"/>
            </w:tcBorders>
            <w:vAlign w:val="center"/>
          </w:tcPr>
          <w:p w14:paraId="395863AB">
            <w:pPr>
              <w:adjustRightInd w:val="0"/>
              <w:snapToGrid w:val="0"/>
              <w:jc w:val="center"/>
              <w:rPr>
                <w:rFonts w:hint="eastAsia" w:eastAsia="宋体"/>
                <w:color w:val="auto"/>
                <w:lang w:val="en-US" w:eastAsia="zh-CN"/>
              </w:rPr>
            </w:pPr>
            <w:r>
              <w:rPr>
                <w:rFonts w:hint="eastAsia"/>
                <w:color w:val="auto"/>
                <w:lang w:val="en-US" w:eastAsia="zh-CN"/>
              </w:rPr>
              <w:t>3</w:t>
            </w:r>
            <w:r>
              <w:rPr>
                <w:rFonts w:hint="eastAsia"/>
                <w:color w:val="auto"/>
              </w:rPr>
              <w:t>#废渣</w:t>
            </w:r>
            <w:r>
              <w:rPr>
                <w:rFonts w:hint="eastAsia"/>
                <w:color w:val="auto"/>
                <w:lang w:val="en-US" w:eastAsia="zh-CN"/>
              </w:rPr>
              <w:t>堆</w:t>
            </w:r>
          </w:p>
        </w:tc>
        <w:tc>
          <w:tcPr>
            <w:tcW w:w="846" w:type="dxa"/>
            <w:tcBorders>
              <w:top w:val="single" w:color="000000" w:sz="4" w:space="0"/>
              <w:left w:val="single" w:color="000000" w:sz="4" w:space="0"/>
              <w:bottom w:val="single" w:color="000000" w:sz="4" w:space="0"/>
              <w:right w:val="single" w:color="000000" w:sz="4" w:space="0"/>
            </w:tcBorders>
            <w:vAlign w:val="center"/>
          </w:tcPr>
          <w:p w14:paraId="0A4EE2B6">
            <w:pPr>
              <w:adjustRightInd w:val="0"/>
              <w:snapToGrid w:val="0"/>
              <w:jc w:val="center"/>
              <w:rPr>
                <w:rFonts w:hint="default" w:eastAsia="宋体"/>
                <w:color w:val="auto"/>
                <w:lang w:val="en-US" w:eastAsia="zh-CN"/>
              </w:rPr>
            </w:pPr>
            <w:r>
              <w:rPr>
                <w:rFonts w:hint="eastAsia"/>
                <w:color w:val="auto"/>
                <w:lang w:val="en-US" w:eastAsia="zh-CN"/>
              </w:rPr>
              <w:t>3993</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4767BDB7">
            <w:pPr>
              <w:adjustRightInd w:val="0"/>
              <w:snapToGrid w:val="0"/>
              <w:jc w:val="center"/>
              <w:rPr>
                <w:color w:val="auto"/>
              </w:rPr>
            </w:pPr>
            <w:r>
              <w:rPr>
                <w:color w:val="auto"/>
              </w:rPr>
              <w:t>&gt;35°</w:t>
            </w: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1BC03FAD">
            <w:pPr>
              <w:adjustRightInd w:val="0"/>
              <w:snapToGrid w:val="0"/>
              <w:jc w:val="center"/>
              <w:rPr>
                <w:color w:val="auto"/>
              </w:rPr>
            </w:pPr>
            <w:r>
              <w:rPr>
                <w:color w:val="auto"/>
              </w:rPr>
              <w:t>3-6m</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4940FAF7">
            <w:pPr>
              <w:adjustRightInd w:val="0"/>
              <w:snapToGrid w:val="0"/>
              <w:jc w:val="center"/>
              <w:rPr>
                <w:color w:val="auto"/>
              </w:rPr>
            </w:pPr>
            <w:r>
              <w:rPr>
                <w:color w:val="auto"/>
              </w:rPr>
              <w:t>稳定</w:t>
            </w:r>
          </w:p>
        </w:tc>
        <w:tc>
          <w:tcPr>
            <w:tcW w:w="1022" w:type="dxa"/>
            <w:tcBorders>
              <w:top w:val="single" w:color="000000" w:sz="4" w:space="0"/>
              <w:left w:val="single" w:color="000000" w:sz="4" w:space="0"/>
              <w:bottom w:val="single" w:color="000000" w:sz="4" w:space="0"/>
              <w:right w:val="single" w:color="000000" w:sz="4" w:space="0"/>
            </w:tcBorders>
            <w:noWrap/>
            <w:vAlign w:val="center"/>
          </w:tcPr>
          <w:p w14:paraId="5B0CBDD1">
            <w:pPr>
              <w:adjustRightInd w:val="0"/>
              <w:snapToGrid w:val="0"/>
              <w:jc w:val="center"/>
              <w:rPr>
                <w:color w:val="auto"/>
              </w:rPr>
            </w:pPr>
            <w:r>
              <w:rPr>
                <w:color w:val="auto"/>
              </w:rPr>
              <w:t>&gt;30%</w:t>
            </w:r>
          </w:p>
        </w:tc>
        <w:tc>
          <w:tcPr>
            <w:tcW w:w="1014" w:type="dxa"/>
            <w:tcBorders>
              <w:top w:val="single" w:color="000000" w:sz="4" w:space="0"/>
              <w:left w:val="single" w:color="000000" w:sz="4" w:space="0"/>
              <w:bottom w:val="single" w:color="000000" w:sz="4" w:space="0"/>
              <w:right w:val="single" w:color="000000" w:sz="4" w:space="0"/>
            </w:tcBorders>
            <w:noWrap/>
            <w:vAlign w:val="center"/>
          </w:tcPr>
          <w:p w14:paraId="0FF1120D">
            <w:pPr>
              <w:adjustRightInd w:val="0"/>
              <w:snapToGrid w:val="0"/>
              <w:jc w:val="center"/>
              <w:rPr>
                <w:color w:val="auto"/>
              </w:rPr>
            </w:pPr>
            <w:r>
              <w:rPr>
                <w:rFonts w:hint="eastAsia"/>
                <w:color w:val="auto"/>
                <w:lang w:val="en-US" w:eastAsia="zh-CN"/>
              </w:rPr>
              <w:t>易</w:t>
            </w:r>
          </w:p>
        </w:tc>
        <w:tc>
          <w:tcPr>
            <w:tcW w:w="620" w:type="dxa"/>
            <w:tcBorders>
              <w:top w:val="single" w:color="000000" w:sz="4" w:space="0"/>
              <w:left w:val="single" w:color="000000" w:sz="4" w:space="0"/>
              <w:bottom w:val="single" w:color="000000" w:sz="4" w:space="0"/>
              <w:right w:val="single" w:color="000000" w:sz="4" w:space="0"/>
            </w:tcBorders>
            <w:vAlign w:val="center"/>
          </w:tcPr>
          <w:p w14:paraId="10EAA6CD">
            <w:pPr>
              <w:adjustRightInd w:val="0"/>
              <w:snapToGrid w:val="0"/>
              <w:jc w:val="center"/>
              <w:rPr>
                <w:rFonts w:hint="default" w:eastAsia="宋体"/>
                <w:color w:val="auto"/>
                <w:lang w:val="en-US" w:eastAsia="zh-CN"/>
              </w:rPr>
            </w:pPr>
            <w:r>
              <w:rPr>
                <w:rFonts w:hint="eastAsia"/>
                <w:color w:val="auto"/>
                <w:lang w:val="en-US" w:eastAsia="zh-CN"/>
              </w:rPr>
              <w:t>1.8</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42A07B79">
            <w:pPr>
              <w:adjustRightInd w:val="0"/>
              <w:snapToGrid w:val="0"/>
              <w:jc w:val="center"/>
              <w:rPr>
                <w:color w:val="auto"/>
              </w:rPr>
            </w:pPr>
            <w:r>
              <w:rPr>
                <w:rFonts w:hint="eastAsia"/>
                <w:color w:val="auto"/>
                <w:lang w:val="en-US" w:eastAsia="zh-CN"/>
              </w:rPr>
              <w:t>中</w:t>
            </w:r>
            <w:r>
              <w:rPr>
                <w:color w:val="auto"/>
              </w:rPr>
              <w:t>度</w:t>
            </w:r>
          </w:p>
        </w:tc>
      </w:tr>
    </w:tbl>
    <w:p w14:paraId="0D936AD6">
      <w:pPr>
        <w:widowControl/>
        <w:snapToGrid w:val="0"/>
        <w:jc w:val="both"/>
        <w:rPr>
          <w:rFonts w:eastAsia="黑体"/>
          <w:bCs/>
          <w:color w:val="auto"/>
          <w:szCs w:val="21"/>
        </w:rPr>
      </w:pPr>
    </w:p>
    <w:p w14:paraId="0742503F">
      <w:pPr>
        <w:widowControl/>
        <w:spacing w:line="360" w:lineRule="auto"/>
        <w:ind w:firstLine="560" w:firstLineChars="200"/>
        <w:rPr>
          <w:rFonts w:hint="eastAsia" w:eastAsia="宋体"/>
          <w:color w:val="auto"/>
          <w:kern w:val="0"/>
          <w:sz w:val="28"/>
          <w:szCs w:val="28"/>
          <w:lang w:val="en-US" w:eastAsia="zh-CN"/>
        </w:rPr>
      </w:pPr>
      <w:r>
        <w:rPr>
          <w:color w:val="auto"/>
          <w:kern w:val="0"/>
          <w:sz w:val="28"/>
          <w:szCs w:val="28"/>
        </w:rPr>
        <w:t>（</w:t>
      </w:r>
      <w:r>
        <w:rPr>
          <w:rFonts w:hint="eastAsia"/>
          <w:color w:val="auto"/>
          <w:kern w:val="0"/>
          <w:sz w:val="28"/>
          <w:szCs w:val="28"/>
          <w:lang w:val="en-US" w:eastAsia="zh-CN"/>
        </w:rPr>
        <w:t>7</w:t>
      </w:r>
      <w:r>
        <w:rPr>
          <w:color w:val="auto"/>
          <w:kern w:val="0"/>
          <w:sz w:val="28"/>
          <w:szCs w:val="28"/>
        </w:rPr>
        <w:t>）</w:t>
      </w:r>
      <w:r>
        <w:rPr>
          <w:rFonts w:hint="eastAsia"/>
          <w:color w:val="auto"/>
          <w:kern w:val="0"/>
          <w:sz w:val="28"/>
          <w:szCs w:val="28"/>
          <w:lang w:val="en-US" w:eastAsia="zh-CN"/>
        </w:rPr>
        <w:t>工业场地</w:t>
      </w:r>
    </w:p>
    <w:p w14:paraId="160D3C15">
      <w:pPr>
        <w:widowControl/>
        <w:spacing w:line="360" w:lineRule="auto"/>
        <w:ind w:firstLine="560" w:firstLineChars="200"/>
        <w:rPr>
          <w:color w:val="auto"/>
          <w:kern w:val="0"/>
          <w:sz w:val="28"/>
          <w:szCs w:val="28"/>
        </w:rPr>
      </w:pPr>
      <w:r>
        <w:rPr>
          <w:rFonts w:hint="eastAsia"/>
          <w:color w:val="auto"/>
          <w:kern w:val="0"/>
          <w:sz w:val="28"/>
          <w:szCs w:val="28"/>
          <w:lang w:val="en-US" w:eastAsia="zh-CN"/>
        </w:rPr>
        <w:t>工业场地</w:t>
      </w:r>
      <w:r>
        <w:rPr>
          <w:color w:val="auto"/>
          <w:kern w:val="0"/>
          <w:sz w:val="28"/>
          <w:szCs w:val="28"/>
        </w:rPr>
        <w:t>占地面积</w:t>
      </w:r>
      <w:r>
        <w:rPr>
          <w:rFonts w:hint="eastAsia"/>
          <w:color w:val="auto"/>
          <w:kern w:val="0"/>
          <w:sz w:val="28"/>
          <w:szCs w:val="28"/>
          <w:lang w:val="en-US" w:eastAsia="zh-CN"/>
        </w:rPr>
        <w:t>5425</w:t>
      </w:r>
      <w:r>
        <w:rPr>
          <w:color w:val="auto"/>
          <w:kern w:val="0"/>
          <w:sz w:val="28"/>
          <w:szCs w:val="28"/>
        </w:rPr>
        <w:t>m</w:t>
      </w:r>
      <w:r>
        <w:rPr>
          <w:color w:val="auto"/>
          <w:kern w:val="0"/>
          <w:sz w:val="28"/>
          <w:szCs w:val="28"/>
          <w:vertAlign w:val="superscript"/>
        </w:rPr>
        <w:t>2</w:t>
      </w:r>
      <w:r>
        <w:rPr>
          <w:color w:val="auto"/>
          <w:kern w:val="0"/>
          <w:sz w:val="28"/>
          <w:szCs w:val="28"/>
        </w:rPr>
        <w:t>，砾石含量&gt;</w:t>
      </w:r>
      <w:r>
        <w:rPr>
          <w:rFonts w:hint="eastAsia"/>
          <w:color w:val="auto"/>
          <w:kern w:val="0"/>
          <w:sz w:val="28"/>
          <w:szCs w:val="28"/>
          <w:lang w:val="en-US" w:eastAsia="zh-CN"/>
        </w:rPr>
        <w:t>30</w:t>
      </w:r>
      <w:r>
        <w:rPr>
          <w:color w:val="auto"/>
          <w:kern w:val="0"/>
          <w:sz w:val="28"/>
          <w:szCs w:val="28"/>
        </w:rPr>
        <w:t>%，复垦难度</w:t>
      </w:r>
      <w:r>
        <w:rPr>
          <w:rFonts w:hint="eastAsia"/>
          <w:color w:val="auto"/>
          <w:kern w:val="0"/>
          <w:sz w:val="28"/>
          <w:szCs w:val="28"/>
          <w:lang w:val="en-US" w:eastAsia="zh-CN"/>
        </w:rPr>
        <w:t>易</w:t>
      </w:r>
      <w:r>
        <w:rPr>
          <w:color w:val="auto"/>
          <w:kern w:val="0"/>
          <w:sz w:val="28"/>
          <w:szCs w:val="28"/>
        </w:rPr>
        <w:t>。破坏土地利用类型为</w:t>
      </w:r>
      <w:r>
        <w:rPr>
          <w:rFonts w:hint="eastAsia"/>
          <w:color w:val="auto"/>
          <w:kern w:val="0"/>
          <w:sz w:val="28"/>
          <w:szCs w:val="28"/>
          <w:lang w:val="en-US" w:eastAsia="zh-CN"/>
        </w:rPr>
        <w:t>采矿用地5425</w:t>
      </w:r>
      <w:r>
        <w:rPr>
          <w:color w:val="auto"/>
          <w:kern w:val="0"/>
          <w:sz w:val="28"/>
          <w:szCs w:val="28"/>
        </w:rPr>
        <w:t>m</w:t>
      </w:r>
      <w:r>
        <w:rPr>
          <w:color w:val="auto"/>
          <w:kern w:val="0"/>
          <w:sz w:val="28"/>
          <w:szCs w:val="28"/>
          <w:vertAlign w:val="superscript"/>
        </w:rPr>
        <w:t>2</w:t>
      </w:r>
      <w:r>
        <w:rPr>
          <w:color w:val="auto"/>
          <w:kern w:val="0"/>
          <w:sz w:val="28"/>
          <w:szCs w:val="28"/>
        </w:rPr>
        <w:t>。初期损毁时以挖损为主，现状损毁土地方式主要为占用。场地的建设导致原有土地改变，地表植被直接被破坏，地表原有功能丧失，对土地资源影响和破坏程度为中度。</w:t>
      </w:r>
    </w:p>
    <w:p w14:paraId="14C6B824">
      <w:pPr>
        <w:widowControl/>
        <w:snapToGrid w:val="0"/>
        <w:jc w:val="center"/>
        <w:rPr>
          <w:rFonts w:eastAsia="黑体"/>
          <w:bCs/>
          <w:color w:val="auto"/>
          <w:sz w:val="24"/>
          <w:szCs w:val="24"/>
        </w:rPr>
      </w:pPr>
      <w:r>
        <w:rPr>
          <w:rFonts w:eastAsia="黑体"/>
          <w:bCs/>
          <w:color w:val="auto"/>
          <w:sz w:val="24"/>
          <w:szCs w:val="24"/>
        </w:rPr>
        <w:t>表3-</w:t>
      </w:r>
      <w:r>
        <w:rPr>
          <w:rFonts w:hint="eastAsia" w:eastAsia="黑体"/>
          <w:bCs/>
          <w:color w:val="auto"/>
          <w:sz w:val="24"/>
          <w:szCs w:val="24"/>
          <w:lang w:val="en-US" w:eastAsia="zh-CN"/>
        </w:rPr>
        <w:t xml:space="preserve">21  </w:t>
      </w:r>
      <w:r>
        <w:rPr>
          <w:rFonts w:eastAsia="黑体"/>
          <w:bCs/>
          <w:color w:val="auto"/>
          <w:sz w:val="24"/>
          <w:szCs w:val="24"/>
        </w:rPr>
        <w:t>土地损毁程度评价表</w:t>
      </w:r>
    </w:p>
    <w:tbl>
      <w:tblPr>
        <w:tblStyle w:val="34"/>
        <w:tblW w:w="8680" w:type="dxa"/>
        <w:jc w:val="center"/>
        <w:tblLayout w:type="fixed"/>
        <w:tblCellMar>
          <w:top w:w="0" w:type="dxa"/>
          <w:left w:w="108" w:type="dxa"/>
          <w:bottom w:w="0" w:type="dxa"/>
          <w:right w:w="108" w:type="dxa"/>
        </w:tblCellMar>
      </w:tblPr>
      <w:tblGrid>
        <w:gridCol w:w="1701"/>
        <w:gridCol w:w="846"/>
        <w:gridCol w:w="992"/>
        <w:gridCol w:w="875"/>
        <w:gridCol w:w="974"/>
        <w:gridCol w:w="1022"/>
        <w:gridCol w:w="1014"/>
        <w:gridCol w:w="620"/>
        <w:gridCol w:w="636"/>
      </w:tblGrid>
      <w:tr w14:paraId="5F8992E5">
        <w:tblPrEx>
          <w:tblCellMar>
            <w:top w:w="0" w:type="dxa"/>
            <w:left w:w="108" w:type="dxa"/>
            <w:bottom w:w="0" w:type="dxa"/>
            <w:right w:w="108" w:type="dxa"/>
          </w:tblCellMar>
        </w:tblPrEx>
        <w:trPr>
          <w:trHeight w:val="90" w:hRule="atLeast"/>
          <w:tblHeader/>
          <w:jc w:val="center"/>
        </w:trPr>
        <w:tc>
          <w:tcPr>
            <w:tcW w:w="1701" w:type="dxa"/>
            <w:vMerge w:val="restart"/>
            <w:tcBorders>
              <w:top w:val="single" w:color="000000" w:sz="4" w:space="0"/>
              <w:left w:val="single" w:color="000000" w:sz="4" w:space="0"/>
              <w:bottom w:val="single" w:color="000000" w:sz="4" w:space="0"/>
              <w:right w:val="single" w:color="000000" w:sz="4" w:space="0"/>
            </w:tcBorders>
            <w:vAlign w:val="center"/>
          </w:tcPr>
          <w:p w14:paraId="2692EDA2">
            <w:pPr>
              <w:adjustRightInd w:val="0"/>
              <w:snapToGrid w:val="0"/>
              <w:jc w:val="center"/>
              <w:rPr>
                <w:color w:val="auto"/>
              </w:rPr>
            </w:pPr>
            <w:r>
              <w:rPr>
                <w:color w:val="auto"/>
              </w:rPr>
              <w:t>破坏单元</w:t>
            </w:r>
          </w:p>
        </w:tc>
        <w:tc>
          <w:tcPr>
            <w:tcW w:w="5723" w:type="dxa"/>
            <w:gridSpan w:val="6"/>
            <w:tcBorders>
              <w:top w:val="single" w:color="000000" w:sz="4" w:space="0"/>
              <w:left w:val="single" w:color="000000" w:sz="4" w:space="0"/>
              <w:bottom w:val="single" w:color="000000" w:sz="4" w:space="0"/>
              <w:right w:val="single" w:color="000000" w:sz="4" w:space="0"/>
            </w:tcBorders>
            <w:vAlign w:val="center"/>
          </w:tcPr>
          <w:p w14:paraId="6DB32E4D">
            <w:pPr>
              <w:adjustRightInd w:val="0"/>
              <w:snapToGrid w:val="0"/>
              <w:jc w:val="center"/>
              <w:rPr>
                <w:color w:val="auto"/>
              </w:rPr>
            </w:pPr>
            <w:r>
              <w:rPr>
                <w:color w:val="auto"/>
              </w:rPr>
              <w:t>评价因子</w:t>
            </w:r>
          </w:p>
        </w:tc>
        <w:tc>
          <w:tcPr>
            <w:tcW w:w="620" w:type="dxa"/>
            <w:vMerge w:val="restart"/>
            <w:tcBorders>
              <w:top w:val="single" w:color="000000" w:sz="4" w:space="0"/>
              <w:left w:val="single" w:color="000000" w:sz="4" w:space="0"/>
              <w:bottom w:val="single" w:color="000000" w:sz="4" w:space="0"/>
              <w:right w:val="single" w:color="000000" w:sz="4" w:space="0"/>
            </w:tcBorders>
            <w:vAlign w:val="center"/>
          </w:tcPr>
          <w:p w14:paraId="0E0420A2">
            <w:pPr>
              <w:adjustRightInd w:val="0"/>
              <w:snapToGrid w:val="0"/>
              <w:jc w:val="center"/>
              <w:rPr>
                <w:color w:val="auto"/>
              </w:rPr>
            </w:pPr>
            <w:r>
              <w:rPr>
                <w:color w:val="auto"/>
              </w:rPr>
              <w:t>得分</w:t>
            </w:r>
          </w:p>
        </w:tc>
        <w:tc>
          <w:tcPr>
            <w:tcW w:w="636" w:type="dxa"/>
            <w:vMerge w:val="restart"/>
            <w:tcBorders>
              <w:top w:val="single" w:color="000000" w:sz="4" w:space="0"/>
              <w:left w:val="single" w:color="000000" w:sz="4" w:space="0"/>
              <w:right w:val="single" w:color="000000" w:sz="4" w:space="0"/>
            </w:tcBorders>
            <w:vAlign w:val="center"/>
          </w:tcPr>
          <w:p w14:paraId="4F64A69D">
            <w:pPr>
              <w:adjustRightInd w:val="0"/>
              <w:snapToGrid w:val="0"/>
              <w:jc w:val="center"/>
              <w:rPr>
                <w:color w:val="auto"/>
              </w:rPr>
            </w:pPr>
            <w:r>
              <w:rPr>
                <w:color w:val="auto"/>
              </w:rPr>
              <w:t>损毁</w:t>
            </w:r>
          </w:p>
          <w:p w14:paraId="6358C4FA">
            <w:pPr>
              <w:adjustRightInd w:val="0"/>
              <w:snapToGrid w:val="0"/>
              <w:jc w:val="center"/>
              <w:rPr>
                <w:color w:val="auto"/>
              </w:rPr>
            </w:pPr>
            <w:r>
              <w:rPr>
                <w:color w:val="auto"/>
              </w:rPr>
              <w:t>程度</w:t>
            </w:r>
          </w:p>
        </w:tc>
      </w:tr>
      <w:tr w14:paraId="00FC2EFC">
        <w:tblPrEx>
          <w:tblCellMar>
            <w:top w:w="0" w:type="dxa"/>
            <w:left w:w="108" w:type="dxa"/>
            <w:bottom w:w="0" w:type="dxa"/>
            <w:right w:w="108" w:type="dxa"/>
          </w:tblCellMar>
        </w:tblPrEx>
        <w:trPr>
          <w:trHeight w:val="397" w:hRule="atLeast"/>
          <w:tblHeader/>
          <w:jc w:val="center"/>
        </w:trPr>
        <w:tc>
          <w:tcPr>
            <w:tcW w:w="1701" w:type="dxa"/>
            <w:vMerge w:val="continue"/>
            <w:tcBorders>
              <w:top w:val="single" w:color="000000" w:sz="4" w:space="0"/>
              <w:left w:val="single" w:color="000000" w:sz="4" w:space="0"/>
              <w:bottom w:val="single" w:color="000000" w:sz="4" w:space="0"/>
              <w:right w:val="single" w:color="000000" w:sz="4" w:space="0"/>
            </w:tcBorders>
            <w:vAlign w:val="center"/>
          </w:tcPr>
          <w:p w14:paraId="3BD5407F">
            <w:pPr>
              <w:adjustRightInd w:val="0"/>
              <w:snapToGrid w:val="0"/>
              <w:jc w:val="center"/>
              <w:rPr>
                <w:color w:val="auto"/>
              </w:rPr>
            </w:pPr>
          </w:p>
        </w:tc>
        <w:tc>
          <w:tcPr>
            <w:tcW w:w="846" w:type="dxa"/>
            <w:tcBorders>
              <w:top w:val="single" w:color="000000" w:sz="4" w:space="0"/>
              <w:left w:val="single" w:color="000000" w:sz="4" w:space="0"/>
              <w:bottom w:val="single" w:color="000000" w:sz="4" w:space="0"/>
              <w:right w:val="single" w:color="000000" w:sz="4" w:space="0"/>
            </w:tcBorders>
            <w:vAlign w:val="center"/>
          </w:tcPr>
          <w:p w14:paraId="7F1811CA">
            <w:pPr>
              <w:adjustRightInd w:val="0"/>
              <w:snapToGrid w:val="0"/>
              <w:jc w:val="center"/>
              <w:rPr>
                <w:color w:val="auto"/>
              </w:rPr>
            </w:pPr>
            <w:r>
              <w:rPr>
                <w:color w:val="auto"/>
              </w:rPr>
              <w:t>压占</w:t>
            </w:r>
          </w:p>
          <w:p w14:paraId="596F616D">
            <w:pPr>
              <w:adjustRightInd w:val="0"/>
              <w:snapToGrid w:val="0"/>
              <w:jc w:val="center"/>
              <w:rPr>
                <w:color w:val="auto"/>
              </w:rPr>
            </w:pPr>
            <w:r>
              <w:rPr>
                <w:color w:val="auto"/>
              </w:rPr>
              <w:t>面积</w:t>
            </w:r>
          </w:p>
        </w:tc>
        <w:tc>
          <w:tcPr>
            <w:tcW w:w="992" w:type="dxa"/>
            <w:tcBorders>
              <w:top w:val="single" w:color="000000" w:sz="4" w:space="0"/>
              <w:left w:val="single" w:color="000000" w:sz="4" w:space="0"/>
              <w:bottom w:val="single" w:color="000000" w:sz="4" w:space="0"/>
              <w:right w:val="single" w:color="000000" w:sz="4" w:space="0"/>
            </w:tcBorders>
            <w:vAlign w:val="center"/>
          </w:tcPr>
          <w:p w14:paraId="26DA782B">
            <w:pPr>
              <w:adjustRightInd w:val="0"/>
              <w:snapToGrid w:val="0"/>
              <w:jc w:val="center"/>
              <w:rPr>
                <w:color w:val="auto"/>
              </w:rPr>
            </w:pPr>
            <w:r>
              <w:rPr>
                <w:color w:val="auto"/>
              </w:rPr>
              <w:t>边坡</w:t>
            </w:r>
          </w:p>
          <w:p w14:paraId="20F973EF">
            <w:pPr>
              <w:adjustRightInd w:val="0"/>
              <w:snapToGrid w:val="0"/>
              <w:jc w:val="center"/>
              <w:rPr>
                <w:color w:val="auto"/>
              </w:rPr>
            </w:pPr>
            <w:r>
              <w:rPr>
                <w:color w:val="auto"/>
              </w:rPr>
              <w:t>坡度</w:t>
            </w:r>
          </w:p>
        </w:tc>
        <w:tc>
          <w:tcPr>
            <w:tcW w:w="875" w:type="dxa"/>
            <w:tcBorders>
              <w:top w:val="single" w:color="000000" w:sz="4" w:space="0"/>
              <w:left w:val="single" w:color="000000" w:sz="4" w:space="0"/>
              <w:bottom w:val="single" w:color="000000" w:sz="4" w:space="0"/>
              <w:right w:val="single" w:color="000000" w:sz="4" w:space="0"/>
            </w:tcBorders>
            <w:vAlign w:val="center"/>
          </w:tcPr>
          <w:p w14:paraId="05278660">
            <w:pPr>
              <w:adjustRightInd w:val="0"/>
              <w:snapToGrid w:val="0"/>
              <w:jc w:val="center"/>
              <w:rPr>
                <w:color w:val="auto"/>
              </w:rPr>
            </w:pPr>
            <w:r>
              <w:rPr>
                <w:color w:val="auto"/>
              </w:rPr>
              <w:t>排渣</w:t>
            </w:r>
          </w:p>
          <w:p w14:paraId="1CE1496E">
            <w:pPr>
              <w:adjustRightInd w:val="0"/>
              <w:snapToGrid w:val="0"/>
              <w:jc w:val="center"/>
              <w:rPr>
                <w:color w:val="auto"/>
              </w:rPr>
            </w:pPr>
            <w:r>
              <w:rPr>
                <w:color w:val="auto"/>
              </w:rPr>
              <w:t>高度</w:t>
            </w:r>
          </w:p>
        </w:tc>
        <w:tc>
          <w:tcPr>
            <w:tcW w:w="974" w:type="dxa"/>
            <w:tcBorders>
              <w:top w:val="single" w:color="000000" w:sz="4" w:space="0"/>
              <w:left w:val="single" w:color="000000" w:sz="4" w:space="0"/>
              <w:bottom w:val="single" w:color="000000" w:sz="4" w:space="0"/>
              <w:right w:val="single" w:color="000000" w:sz="4" w:space="0"/>
            </w:tcBorders>
            <w:vAlign w:val="center"/>
          </w:tcPr>
          <w:p w14:paraId="1C980295">
            <w:pPr>
              <w:adjustRightInd w:val="0"/>
              <w:snapToGrid w:val="0"/>
              <w:jc w:val="center"/>
              <w:rPr>
                <w:color w:val="auto"/>
              </w:rPr>
            </w:pPr>
            <w:r>
              <w:rPr>
                <w:color w:val="auto"/>
              </w:rPr>
              <w:t>土地</w:t>
            </w:r>
          </w:p>
          <w:p w14:paraId="09CABDE2">
            <w:pPr>
              <w:adjustRightInd w:val="0"/>
              <w:snapToGrid w:val="0"/>
              <w:jc w:val="center"/>
              <w:rPr>
                <w:color w:val="auto"/>
              </w:rPr>
            </w:pPr>
            <w:r>
              <w:rPr>
                <w:color w:val="auto"/>
              </w:rPr>
              <w:t>稳定性</w:t>
            </w:r>
          </w:p>
        </w:tc>
        <w:tc>
          <w:tcPr>
            <w:tcW w:w="1022" w:type="dxa"/>
            <w:tcBorders>
              <w:top w:val="single" w:color="000000" w:sz="4" w:space="0"/>
              <w:left w:val="single" w:color="000000" w:sz="4" w:space="0"/>
              <w:bottom w:val="single" w:color="000000" w:sz="4" w:space="0"/>
              <w:right w:val="single" w:color="000000" w:sz="4" w:space="0"/>
            </w:tcBorders>
            <w:vAlign w:val="center"/>
          </w:tcPr>
          <w:p w14:paraId="0F8ACA60">
            <w:pPr>
              <w:adjustRightInd w:val="0"/>
              <w:snapToGrid w:val="0"/>
              <w:jc w:val="center"/>
              <w:rPr>
                <w:color w:val="auto"/>
              </w:rPr>
            </w:pPr>
            <w:r>
              <w:rPr>
                <w:color w:val="auto"/>
              </w:rPr>
              <w:t>砾石</w:t>
            </w:r>
          </w:p>
          <w:p w14:paraId="41E32E11">
            <w:pPr>
              <w:adjustRightInd w:val="0"/>
              <w:snapToGrid w:val="0"/>
              <w:jc w:val="center"/>
              <w:rPr>
                <w:color w:val="auto"/>
              </w:rPr>
            </w:pPr>
            <w:r>
              <w:rPr>
                <w:color w:val="auto"/>
              </w:rPr>
              <w:t>含量</w:t>
            </w:r>
          </w:p>
        </w:tc>
        <w:tc>
          <w:tcPr>
            <w:tcW w:w="1014" w:type="dxa"/>
            <w:tcBorders>
              <w:top w:val="single" w:color="000000" w:sz="4" w:space="0"/>
              <w:left w:val="single" w:color="000000" w:sz="4" w:space="0"/>
              <w:bottom w:val="single" w:color="000000" w:sz="4" w:space="0"/>
              <w:right w:val="single" w:color="000000" w:sz="4" w:space="0"/>
            </w:tcBorders>
            <w:vAlign w:val="center"/>
          </w:tcPr>
          <w:p w14:paraId="62347EEC">
            <w:pPr>
              <w:adjustRightInd w:val="0"/>
              <w:snapToGrid w:val="0"/>
              <w:jc w:val="center"/>
              <w:rPr>
                <w:color w:val="auto"/>
              </w:rPr>
            </w:pPr>
            <w:r>
              <w:rPr>
                <w:color w:val="auto"/>
              </w:rPr>
              <w:t>复垦</w:t>
            </w:r>
          </w:p>
          <w:p w14:paraId="436B0709">
            <w:pPr>
              <w:adjustRightInd w:val="0"/>
              <w:snapToGrid w:val="0"/>
              <w:jc w:val="center"/>
              <w:rPr>
                <w:color w:val="auto"/>
              </w:rPr>
            </w:pPr>
            <w:r>
              <w:rPr>
                <w:color w:val="auto"/>
              </w:rPr>
              <w:t>难度</w:t>
            </w:r>
          </w:p>
        </w:tc>
        <w:tc>
          <w:tcPr>
            <w:tcW w:w="620" w:type="dxa"/>
            <w:vMerge w:val="continue"/>
            <w:tcBorders>
              <w:top w:val="single" w:color="000000" w:sz="4" w:space="0"/>
              <w:left w:val="single" w:color="000000" w:sz="4" w:space="0"/>
              <w:bottom w:val="single" w:color="000000" w:sz="4" w:space="0"/>
              <w:right w:val="single" w:color="000000" w:sz="4" w:space="0"/>
            </w:tcBorders>
            <w:vAlign w:val="center"/>
          </w:tcPr>
          <w:p w14:paraId="7BF9BB55">
            <w:pPr>
              <w:adjustRightInd w:val="0"/>
              <w:snapToGrid w:val="0"/>
              <w:jc w:val="center"/>
              <w:rPr>
                <w:color w:val="auto"/>
              </w:rPr>
            </w:pPr>
          </w:p>
        </w:tc>
        <w:tc>
          <w:tcPr>
            <w:tcW w:w="636" w:type="dxa"/>
            <w:vMerge w:val="continue"/>
            <w:tcBorders>
              <w:left w:val="single" w:color="000000" w:sz="4" w:space="0"/>
              <w:bottom w:val="single" w:color="000000" w:sz="4" w:space="0"/>
              <w:right w:val="single" w:color="000000" w:sz="4" w:space="0"/>
            </w:tcBorders>
            <w:vAlign w:val="center"/>
          </w:tcPr>
          <w:p w14:paraId="3694AEA1">
            <w:pPr>
              <w:adjustRightInd w:val="0"/>
              <w:snapToGrid w:val="0"/>
              <w:jc w:val="center"/>
              <w:rPr>
                <w:color w:val="auto"/>
              </w:rPr>
            </w:pPr>
          </w:p>
        </w:tc>
      </w:tr>
      <w:tr w14:paraId="7E94F069">
        <w:tblPrEx>
          <w:tblCellMar>
            <w:top w:w="0" w:type="dxa"/>
            <w:left w:w="108" w:type="dxa"/>
            <w:bottom w:w="0" w:type="dxa"/>
            <w:right w:w="108" w:type="dxa"/>
          </w:tblCellMar>
        </w:tblPrEx>
        <w:trPr>
          <w:trHeight w:val="167" w:hRule="atLeast"/>
          <w:jc w:val="center"/>
        </w:trPr>
        <w:tc>
          <w:tcPr>
            <w:tcW w:w="1701" w:type="dxa"/>
            <w:tcBorders>
              <w:top w:val="single" w:color="000000" w:sz="4" w:space="0"/>
              <w:left w:val="single" w:color="000000" w:sz="4" w:space="0"/>
              <w:bottom w:val="single" w:color="000000" w:sz="4" w:space="0"/>
              <w:right w:val="single" w:color="000000" w:sz="4" w:space="0"/>
            </w:tcBorders>
            <w:vAlign w:val="center"/>
          </w:tcPr>
          <w:p w14:paraId="65A31A83">
            <w:pPr>
              <w:adjustRightInd w:val="0"/>
              <w:snapToGrid w:val="0"/>
              <w:jc w:val="center"/>
              <w:rPr>
                <w:rFonts w:hint="eastAsia" w:eastAsia="宋体"/>
                <w:color w:val="auto"/>
                <w:lang w:eastAsia="zh-CN"/>
              </w:rPr>
            </w:pPr>
            <w:r>
              <w:rPr>
                <w:rFonts w:hint="eastAsia"/>
                <w:color w:val="auto"/>
                <w:lang w:val="en-US" w:eastAsia="zh-CN"/>
              </w:rPr>
              <w:t>工业场地</w:t>
            </w:r>
          </w:p>
        </w:tc>
        <w:tc>
          <w:tcPr>
            <w:tcW w:w="846" w:type="dxa"/>
            <w:tcBorders>
              <w:top w:val="single" w:color="000000" w:sz="4" w:space="0"/>
              <w:left w:val="single" w:color="000000" w:sz="4" w:space="0"/>
              <w:bottom w:val="single" w:color="000000" w:sz="4" w:space="0"/>
              <w:right w:val="single" w:color="000000" w:sz="4" w:space="0"/>
            </w:tcBorders>
            <w:vAlign w:val="center"/>
          </w:tcPr>
          <w:p w14:paraId="3D3D10CC">
            <w:pPr>
              <w:adjustRightInd w:val="0"/>
              <w:snapToGrid w:val="0"/>
              <w:jc w:val="center"/>
              <w:rPr>
                <w:rFonts w:hint="default" w:eastAsia="宋体"/>
                <w:color w:val="auto"/>
                <w:lang w:val="en-US" w:eastAsia="zh-CN"/>
              </w:rPr>
            </w:pPr>
            <w:r>
              <w:rPr>
                <w:rFonts w:hint="eastAsia"/>
                <w:color w:val="auto"/>
                <w:lang w:val="en-US" w:eastAsia="zh-CN"/>
              </w:rPr>
              <w:t>19125</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6ABA350D">
            <w:pPr>
              <w:adjustRightInd w:val="0"/>
              <w:snapToGrid w:val="0"/>
              <w:jc w:val="center"/>
              <w:rPr>
                <w:color w:val="auto"/>
              </w:rPr>
            </w:pPr>
            <w:r>
              <w:rPr>
                <w:color w:val="auto"/>
              </w:rPr>
              <w:t>&lt;25°</w:t>
            </w: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049236DA">
            <w:pPr>
              <w:adjustRightInd w:val="0"/>
              <w:snapToGrid w:val="0"/>
              <w:jc w:val="center"/>
              <w:rPr>
                <w:color w:val="auto"/>
              </w:rPr>
            </w:pPr>
            <w:r>
              <w:rPr>
                <w:color w:val="auto"/>
              </w:rPr>
              <w:t>3-6m</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784EF7B9">
            <w:pPr>
              <w:adjustRightInd w:val="0"/>
              <w:snapToGrid w:val="0"/>
              <w:jc w:val="center"/>
              <w:rPr>
                <w:color w:val="auto"/>
              </w:rPr>
            </w:pPr>
            <w:r>
              <w:rPr>
                <w:color w:val="auto"/>
              </w:rPr>
              <w:t>稳定</w:t>
            </w:r>
          </w:p>
        </w:tc>
        <w:tc>
          <w:tcPr>
            <w:tcW w:w="1022" w:type="dxa"/>
            <w:tcBorders>
              <w:top w:val="single" w:color="000000" w:sz="4" w:space="0"/>
              <w:left w:val="single" w:color="000000" w:sz="4" w:space="0"/>
              <w:bottom w:val="single" w:color="000000" w:sz="4" w:space="0"/>
              <w:right w:val="single" w:color="000000" w:sz="4" w:space="0"/>
            </w:tcBorders>
            <w:noWrap/>
            <w:vAlign w:val="center"/>
          </w:tcPr>
          <w:p w14:paraId="08826CB2">
            <w:pPr>
              <w:adjustRightInd w:val="0"/>
              <w:snapToGrid w:val="0"/>
              <w:jc w:val="center"/>
              <w:rPr>
                <w:color w:val="auto"/>
              </w:rPr>
            </w:pPr>
            <w:r>
              <w:rPr>
                <w:color w:val="auto"/>
              </w:rPr>
              <w:t>&gt;3</w:t>
            </w:r>
            <w:r>
              <w:rPr>
                <w:rFonts w:hint="eastAsia"/>
                <w:color w:val="auto"/>
                <w:lang w:val="en-US" w:eastAsia="zh-CN"/>
              </w:rPr>
              <w:t>0</w:t>
            </w:r>
            <w:r>
              <w:rPr>
                <w:color w:val="auto"/>
              </w:rPr>
              <w:t>%</w:t>
            </w:r>
          </w:p>
        </w:tc>
        <w:tc>
          <w:tcPr>
            <w:tcW w:w="1014" w:type="dxa"/>
            <w:tcBorders>
              <w:top w:val="single" w:color="000000" w:sz="4" w:space="0"/>
              <w:left w:val="single" w:color="000000" w:sz="4" w:space="0"/>
              <w:bottom w:val="single" w:color="000000" w:sz="4" w:space="0"/>
              <w:right w:val="single" w:color="000000" w:sz="4" w:space="0"/>
            </w:tcBorders>
            <w:noWrap/>
            <w:vAlign w:val="center"/>
          </w:tcPr>
          <w:p w14:paraId="0E909F24">
            <w:pPr>
              <w:adjustRightInd w:val="0"/>
              <w:snapToGrid w:val="0"/>
              <w:jc w:val="center"/>
              <w:rPr>
                <w:rFonts w:hint="eastAsia" w:eastAsia="宋体"/>
                <w:color w:val="auto"/>
                <w:lang w:eastAsia="zh-CN"/>
              </w:rPr>
            </w:pPr>
            <w:r>
              <w:rPr>
                <w:rFonts w:hint="eastAsia"/>
                <w:color w:val="auto"/>
                <w:lang w:val="en-US" w:eastAsia="zh-CN"/>
              </w:rPr>
              <w:t>易</w:t>
            </w:r>
          </w:p>
        </w:tc>
        <w:tc>
          <w:tcPr>
            <w:tcW w:w="620" w:type="dxa"/>
            <w:tcBorders>
              <w:top w:val="single" w:color="000000" w:sz="4" w:space="0"/>
              <w:left w:val="single" w:color="000000" w:sz="4" w:space="0"/>
              <w:bottom w:val="single" w:color="000000" w:sz="4" w:space="0"/>
              <w:right w:val="single" w:color="000000" w:sz="4" w:space="0"/>
            </w:tcBorders>
            <w:vAlign w:val="center"/>
          </w:tcPr>
          <w:p w14:paraId="5D35DD93">
            <w:pPr>
              <w:adjustRightInd w:val="0"/>
              <w:snapToGrid w:val="0"/>
              <w:jc w:val="center"/>
              <w:rPr>
                <w:rFonts w:hint="default" w:eastAsia="宋体"/>
                <w:color w:val="auto"/>
                <w:lang w:val="en-US" w:eastAsia="zh-CN"/>
              </w:rPr>
            </w:pPr>
            <w:r>
              <w:rPr>
                <w:rFonts w:hint="eastAsia"/>
                <w:color w:val="auto"/>
                <w:lang w:val="en-US" w:eastAsia="zh-CN"/>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68244C3">
            <w:pPr>
              <w:adjustRightInd w:val="0"/>
              <w:snapToGrid w:val="0"/>
              <w:jc w:val="center"/>
              <w:rPr>
                <w:color w:val="auto"/>
              </w:rPr>
            </w:pPr>
            <w:r>
              <w:rPr>
                <w:color w:val="auto"/>
              </w:rPr>
              <w:t>中度</w:t>
            </w:r>
          </w:p>
        </w:tc>
      </w:tr>
      <w:bookmarkEnd w:id="61"/>
    </w:tbl>
    <w:p w14:paraId="3ED716A2">
      <w:pPr>
        <w:widowControl/>
        <w:numPr>
          <w:ilvl w:val="0"/>
          <w:numId w:val="0"/>
        </w:numPr>
        <w:spacing w:line="360" w:lineRule="auto"/>
        <w:ind w:leftChars="200"/>
        <w:rPr>
          <w:rFonts w:hint="eastAsia"/>
          <w:color w:val="auto"/>
          <w:kern w:val="0"/>
          <w:sz w:val="28"/>
          <w:szCs w:val="28"/>
          <w:lang w:val="en-US" w:eastAsia="zh-CN"/>
        </w:rPr>
      </w:pPr>
      <w:r>
        <w:rPr>
          <w:rFonts w:hint="eastAsia"/>
          <w:color w:val="auto"/>
          <w:kern w:val="0"/>
          <w:sz w:val="28"/>
          <w:szCs w:val="28"/>
          <w:lang w:val="en-US" w:eastAsia="zh-CN"/>
        </w:rPr>
        <w:t>（8）办公生活区</w:t>
      </w:r>
    </w:p>
    <w:p w14:paraId="5AF0536F">
      <w:pPr>
        <w:widowControl/>
        <w:spacing w:line="360" w:lineRule="auto"/>
        <w:ind w:firstLine="560" w:firstLineChars="200"/>
        <w:rPr>
          <w:color w:val="auto"/>
          <w:kern w:val="0"/>
          <w:sz w:val="28"/>
          <w:szCs w:val="28"/>
        </w:rPr>
      </w:pPr>
      <w:r>
        <w:rPr>
          <w:rFonts w:hint="eastAsia"/>
          <w:color w:val="auto"/>
          <w:kern w:val="0"/>
          <w:sz w:val="28"/>
          <w:szCs w:val="28"/>
          <w:lang w:val="en-US" w:eastAsia="zh-CN"/>
        </w:rPr>
        <w:t>办公生活区</w:t>
      </w:r>
      <w:r>
        <w:rPr>
          <w:color w:val="auto"/>
          <w:kern w:val="0"/>
          <w:sz w:val="28"/>
          <w:szCs w:val="28"/>
        </w:rPr>
        <w:t>面积</w:t>
      </w:r>
      <w:r>
        <w:rPr>
          <w:rFonts w:hint="eastAsia"/>
          <w:color w:val="auto"/>
          <w:kern w:val="0"/>
          <w:sz w:val="28"/>
          <w:szCs w:val="28"/>
          <w:lang w:val="en-US" w:eastAsia="zh-CN"/>
        </w:rPr>
        <w:t>715</w:t>
      </w:r>
      <w:r>
        <w:rPr>
          <w:color w:val="auto"/>
          <w:kern w:val="0"/>
          <w:sz w:val="28"/>
          <w:szCs w:val="28"/>
        </w:rPr>
        <w:t>m</w:t>
      </w:r>
      <w:r>
        <w:rPr>
          <w:color w:val="auto"/>
          <w:kern w:val="0"/>
          <w:sz w:val="28"/>
          <w:szCs w:val="28"/>
          <w:vertAlign w:val="superscript"/>
        </w:rPr>
        <w:t>2</w:t>
      </w:r>
      <w:r>
        <w:rPr>
          <w:color w:val="auto"/>
          <w:kern w:val="0"/>
          <w:sz w:val="28"/>
          <w:szCs w:val="28"/>
        </w:rPr>
        <w:t>，砾石含量&gt;3</w:t>
      </w:r>
      <w:r>
        <w:rPr>
          <w:rFonts w:hint="eastAsia"/>
          <w:color w:val="auto"/>
          <w:kern w:val="0"/>
          <w:sz w:val="28"/>
          <w:szCs w:val="28"/>
          <w:lang w:val="en-US" w:eastAsia="zh-CN"/>
        </w:rPr>
        <w:t>0</w:t>
      </w:r>
      <w:r>
        <w:rPr>
          <w:color w:val="auto"/>
          <w:kern w:val="0"/>
          <w:sz w:val="28"/>
          <w:szCs w:val="28"/>
        </w:rPr>
        <w:t>%，复垦难度</w:t>
      </w:r>
      <w:r>
        <w:rPr>
          <w:rFonts w:hint="eastAsia"/>
          <w:color w:val="auto"/>
          <w:kern w:val="0"/>
          <w:sz w:val="28"/>
          <w:szCs w:val="28"/>
          <w:lang w:val="en-US" w:eastAsia="zh-CN"/>
        </w:rPr>
        <w:t>易</w:t>
      </w:r>
      <w:r>
        <w:rPr>
          <w:color w:val="auto"/>
          <w:kern w:val="0"/>
          <w:sz w:val="28"/>
          <w:szCs w:val="28"/>
        </w:rPr>
        <w:t>。破坏前土地利用类型为</w:t>
      </w:r>
      <w:r>
        <w:rPr>
          <w:rFonts w:hint="eastAsia"/>
          <w:color w:val="auto"/>
          <w:kern w:val="0"/>
          <w:sz w:val="28"/>
          <w:szCs w:val="28"/>
          <w:lang w:val="en-US" w:eastAsia="zh-CN"/>
        </w:rPr>
        <w:t>采矿用地715</w:t>
      </w:r>
      <w:r>
        <w:rPr>
          <w:color w:val="auto"/>
          <w:kern w:val="0"/>
          <w:sz w:val="28"/>
          <w:szCs w:val="28"/>
        </w:rPr>
        <w:t>m</w:t>
      </w:r>
      <w:r>
        <w:rPr>
          <w:color w:val="auto"/>
          <w:kern w:val="0"/>
          <w:sz w:val="28"/>
          <w:szCs w:val="28"/>
          <w:vertAlign w:val="superscript"/>
        </w:rPr>
        <w:t>2</w:t>
      </w:r>
      <w:r>
        <w:rPr>
          <w:rFonts w:hint="eastAsia"/>
          <w:color w:val="auto"/>
          <w:kern w:val="0"/>
          <w:sz w:val="28"/>
          <w:szCs w:val="28"/>
          <w:lang w:val="en-US" w:eastAsia="zh-CN"/>
        </w:rPr>
        <w:t>。</w:t>
      </w:r>
      <w:r>
        <w:rPr>
          <w:color w:val="auto"/>
          <w:kern w:val="0"/>
          <w:sz w:val="28"/>
          <w:szCs w:val="28"/>
        </w:rPr>
        <w:t>损毁类型为压占。场地的建设导致原有土地改变，地表植被直接被破坏，地表原有功能丧失，对土地资源影响和破坏程度为</w:t>
      </w:r>
      <w:r>
        <w:rPr>
          <w:rFonts w:hint="eastAsia"/>
          <w:color w:val="auto"/>
          <w:kern w:val="0"/>
          <w:sz w:val="28"/>
          <w:szCs w:val="28"/>
          <w:lang w:val="en-US" w:eastAsia="zh-CN"/>
        </w:rPr>
        <w:t>中</w:t>
      </w:r>
      <w:r>
        <w:rPr>
          <w:color w:val="auto"/>
          <w:kern w:val="0"/>
          <w:sz w:val="28"/>
          <w:szCs w:val="28"/>
        </w:rPr>
        <w:t>度。</w:t>
      </w:r>
    </w:p>
    <w:p w14:paraId="21B02F60">
      <w:pPr>
        <w:widowControl/>
        <w:snapToGrid w:val="0"/>
        <w:jc w:val="center"/>
        <w:rPr>
          <w:rFonts w:eastAsia="黑体"/>
          <w:bCs/>
          <w:color w:val="auto"/>
          <w:sz w:val="24"/>
          <w:szCs w:val="24"/>
        </w:rPr>
      </w:pPr>
      <w:r>
        <w:rPr>
          <w:rFonts w:eastAsia="黑体"/>
          <w:bCs/>
          <w:color w:val="auto"/>
          <w:sz w:val="24"/>
          <w:szCs w:val="24"/>
        </w:rPr>
        <w:t>表3-</w:t>
      </w:r>
      <w:r>
        <w:rPr>
          <w:rFonts w:hint="eastAsia" w:eastAsia="黑体"/>
          <w:bCs/>
          <w:color w:val="auto"/>
          <w:sz w:val="24"/>
          <w:szCs w:val="24"/>
          <w:lang w:val="en-US" w:eastAsia="zh-CN"/>
        </w:rPr>
        <w:t xml:space="preserve">22  </w:t>
      </w:r>
      <w:r>
        <w:rPr>
          <w:rFonts w:eastAsia="黑体"/>
          <w:bCs/>
          <w:color w:val="auto"/>
          <w:sz w:val="24"/>
          <w:szCs w:val="24"/>
        </w:rPr>
        <w:t>土地损毁程度评价表</w:t>
      </w:r>
    </w:p>
    <w:tbl>
      <w:tblPr>
        <w:tblStyle w:val="34"/>
        <w:tblW w:w="8680" w:type="dxa"/>
        <w:jc w:val="center"/>
        <w:tblLayout w:type="fixed"/>
        <w:tblCellMar>
          <w:top w:w="0" w:type="dxa"/>
          <w:left w:w="108" w:type="dxa"/>
          <w:bottom w:w="0" w:type="dxa"/>
          <w:right w:w="108" w:type="dxa"/>
        </w:tblCellMar>
      </w:tblPr>
      <w:tblGrid>
        <w:gridCol w:w="1701"/>
        <w:gridCol w:w="846"/>
        <w:gridCol w:w="992"/>
        <w:gridCol w:w="875"/>
        <w:gridCol w:w="974"/>
        <w:gridCol w:w="1022"/>
        <w:gridCol w:w="1014"/>
        <w:gridCol w:w="620"/>
        <w:gridCol w:w="636"/>
      </w:tblGrid>
      <w:tr w14:paraId="239CA66A">
        <w:tblPrEx>
          <w:tblCellMar>
            <w:top w:w="0" w:type="dxa"/>
            <w:left w:w="108" w:type="dxa"/>
            <w:bottom w:w="0" w:type="dxa"/>
            <w:right w:w="108" w:type="dxa"/>
          </w:tblCellMar>
        </w:tblPrEx>
        <w:trPr>
          <w:trHeight w:val="397" w:hRule="atLeast"/>
          <w:tblHeader/>
          <w:jc w:val="center"/>
        </w:trPr>
        <w:tc>
          <w:tcPr>
            <w:tcW w:w="1701" w:type="dxa"/>
            <w:vMerge w:val="restart"/>
            <w:tcBorders>
              <w:top w:val="single" w:color="000000" w:sz="4" w:space="0"/>
              <w:left w:val="single" w:color="000000" w:sz="4" w:space="0"/>
              <w:bottom w:val="single" w:color="000000" w:sz="4" w:space="0"/>
              <w:right w:val="single" w:color="000000" w:sz="4" w:space="0"/>
            </w:tcBorders>
            <w:vAlign w:val="center"/>
          </w:tcPr>
          <w:p w14:paraId="463D6DA1">
            <w:pPr>
              <w:adjustRightInd w:val="0"/>
              <w:snapToGrid w:val="0"/>
              <w:jc w:val="center"/>
              <w:rPr>
                <w:color w:val="auto"/>
              </w:rPr>
            </w:pPr>
            <w:r>
              <w:rPr>
                <w:color w:val="auto"/>
              </w:rPr>
              <w:t>破坏单元</w:t>
            </w:r>
          </w:p>
        </w:tc>
        <w:tc>
          <w:tcPr>
            <w:tcW w:w="5723" w:type="dxa"/>
            <w:gridSpan w:val="6"/>
            <w:tcBorders>
              <w:top w:val="single" w:color="000000" w:sz="4" w:space="0"/>
              <w:left w:val="single" w:color="000000" w:sz="4" w:space="0"/>
              <w:bottom w:val="single" w:color="000000" w:sz="4" w:space="0"/>
              <w:right w:val="single" w:color="000000" w:sz="4" w:space="0"/>
            </w:tcBorders>
            <w:vAlign w:val="center"/>
          </w:tcPr>
          <w:p w14:paraId="63877A26">
            <w:pPr>
              <w:adjustRightInd w:val="0"/>
              <w:snapToGrid w:val="0"/>
              <w:jc w:val="center"/>
              <w:rPr>
                <w:color w:val="auto"/>
              </w:rPr>
            </w:pPr>
            <w:r>
              <w:rPr>
                <w:color w:val="auto"/>
              </w:rPr>
              <w:t>评价因子</w:t>
            </w:r>
          </w:p>
        </w:tc>
        <w:tc>
          <w:tcPr>
            <w:tcW w:w="620" w:type="dxa"/>
            <w:vMerge w:val="restart"/>
            <w:tcBorders>
              <w:top w:val="single" w:color="000000" w:sz="4" w:space="0"/>
              <w:left w:val="single" w:color="000000" w:sz="4" w:space="0"/>
              <w:bottom w:val="single" w:color="000000" w:sz="4" w:space="0"/>
              <w:right w:val="single" w:color="000000" w:sz="4" w:space="0"/>
            </w:tcBorders>
            <w:vAlign w:val="center"/>
          </w:tcPr>
          <w:p w14:paraId="4DF59C00">
            <w:pPr>
              <w:adjustRightInd w:val="0"/>
              <w:snapToGrid w:val="0"/>
              <w:jc w:val="center"/>
              <w:rPr>
                <w:color w:val="auto"/>
              </w:rPr>
            </w:pPr>
            <w:r>
              <w:rPr>
                <w:color w:val="auto"/>
              </w:rPr>
              <w:t>得分</w:t>
            </w:r>
          </w:p>
        </w:tc>
        <w:tc>
          <w:tcPr>
            <w:tcW w:w="636" w:type="dxa"/>
            <w:vMerge w:val="restart"/>
            <w:tcBorders>
              <w:top w:val="single" w:color="000000" w:sz="4" w:space="0"/>
              <w:left w:val="single" w:color="000000" w:sz="4" w:space="0"/>
              <w:right w:val="single" w:color="000000" w:sz="4" w:space="0"/>
            </w:tcBorders>
            <w:vAlign w:val="center"/>
          </w:tcPr>
          <w:p w14:paraId="70F4FB86">
            <w:pPr>
              <w:adjustRightInd w:val="0"/>
              <w:snapToGrid w:val="0"/>
              <w:jc w:val="center"/>
              <w:rPr>
                <w:color w:val="auto"/>
              </w:rPr>
            </w:pPr>
            <w:r>
              <w:rPr>
                <w:color w:val="auto"/>
              </w:rPr>
              <w:t>损毁</w:t>
            </w:r>
          </w:p>
          <w:p w14:paraId="58A91DE5">
            <w:pPr>
              <w:adjustRightInd w:val="0"/>
              <w:snapToGrid w:val="0"/>
              <w:jc w:val="center"/>
              <w:rPr>
                <w:color w:val="auto"/>
              </w:rPr>
            </w:pPr>
            <w:r>
              <w:rPr>
                <w:color w:val="auto"/>
              </w:rPr>
              <w:t>程度</w:t>
            </w:r>
          </w:p>
        </w:tc>
      </w:tr>
      <w:tr w14:paraId="0BB3C0A3">
        <w:tblPrEx>
          <w:tblCellMar>
            <w:top w:w="0" w:type="dxa"/>
            <w:left w:w="108" w:type="dxa"/>
            <w:bottom w:w="0" w:type="dxa"/>
            <w:right w:w="108" w:type="dxa"/>
          </w:tblCellMar>
        </w:tblPrEx>
        <w:trPr>
          <w:trHeight w:val="397" w:hRule="atLeast"/>
          <w:tblHeader/>
          <w:jc w:val="center"/>
        </w:trPr>
        <w:tc>
          <w:tcPr>
            <w:tcW w:w="1701" w:type="dxa"/>
            <w:vMerge w:val="continue"/>
            <w:tcBorders>
              <w:top w:val="single" w:color="000000" w:sz="4" w:space="0"/>
              <w:left w:val="single" w:color="000000" w:sz="4" w:space="0"/>
              <w:bottom w:val="single" w:color="000000" w:sz="4" w:space="0"/>
              <w:right w:val="single" w:color="000000" w:sz="4" w:space="0"/>
            </w:tcBorders>
            <w:vAlign w:val="center"/>
          </w:tcPr>
          <w:p w14:paraId="5194BCCC">
            <w:pPr>
              <w:adjustRightInd w:val="0"/>
              <w:snapToGrid w:val="0"/>
              <w:jc w:val="center"/>
              <w:rPr>
                <w:color w:val="auto"/>
              </w:rPr>
            </w:pPr>
          </w:p>
        </w:tc>
        <w:tc>
          <w:tcPr>
            <w:tcW w:w="846" w:type="dxa"/>
            <w:tcBorders>
              <w:top w:val="single" w:color="000000" w:sz="4" w:space="0"/>
              <w:left w:val="single" w:color="000000" w:sz="4" w:space="0"/>
              <w:bottom w:val="single" w:color="000000" w:sz="4" w:space="0"/>
              <w:right w:val="single" w:color="000000" w:sz="4" w:space="0"/>
            </w:tcBorders>
            <w:vAlign w:val="center"/>
          </w:tcPr>
          <w:p w14:paraId="6689A423">
            <w:pPr>
              <w:adjustRightInd w:val="0"/>
              <w:snapToGrid w:val="0"/>
              <w:jc w:val="center"/>
              <w:rPr>
                <w:color w:val="auto"/>
              </w:rPr>
            </w:pPr>
            <w:r>
              <w:rPr>
                <w:color w:val="auto"/>
              </w:rPr>
              <w:t>压占</w:t>
            </w:r>
          </w:p>
          <w:p w14:paraId="68C037BB">
            <w:pPr>
              <w:adjustRightInd w:val="0"/>
              <w:snapToGrid w:val="0"/>
              <w:jc w:val="center"/>
              <w:rPr>
                <w:color w:val="auto"/>
              </w:rPr>
            </w:pPr>
            <w:r>
              <w:rPr>
                <w:color w:val="auto"/>
              </w:rPr>
              <w:t>面积</w:t>
            </w:r>
          </w:p>
        </w:tc>
        <w:tc>
          <w:tcPr>
            <w:tcW w:w="992" w:type="dxa"/>
            <w:tcBorders>
              <w:top w:val="single" w:color="000000" w:sz="4" w:space="0"/>
              <w:left w:val="single" w:color="000000" w:sz="4" w:space="0"/>
              <w:bottom w:val="single" w:color="000000" w:sz="4" w:space="0"/>
              <w:right w:val="single" w:color="000000" w:sz="4" w:space="0"/>
            </w:tcBorders>
            <w:vAlign w:val="center"/>
          </w:tcPr>
          <w:p w14:paraId="66FC5C59">
            <w:pPr>
              <w:adjustRightInd w:val="0"/>
              <w:snapToGrid w:val="0"/>
              <w:jc w:val="center"/>
              <w:rPr>
                <w:color w:val="auto"/>
              </w:rPr>
            </w:pPr>
            <w:r>
              <w:rPr>
                <w:color w:val="auto"/>
              </w:rPr>
              <w:t>边坡</w:t>
            </w:r>
          </w:p>
          <w:p w14:paraId="3253DA9D">
            <w:pPr>
              <w:adjustRightInd w:val="0"/>
              <w:snapToGrid w:val="0"/>
              <w:jc w:val="center"/>
              <w:rPr>
                <w:color w:val="auto"/>
              </w:rPr>
            </w:pPr>
            <w:r>
              <w:rPr>
                <w:color w:val="auto"/>
              </w:rPr>
              <w:t>坡度</w:t>
            </w:r>
          </w:p>
        </w:tc>
        <w:tc>
          <w:tcPr>
            <w:tcW w:w="875" w:type="dxa"/>
            <w:tcBorders>
              <w:top w:val="single" w:color="000000" w:sz="4" w:space="0"/>
              <w:left w:val="single" w:color="000000" w:sz="4" w:space="0"/>
              <w:bottom w:val="single" w:color="000000" w:sz="4" w:space="0"/>
              <w:right w:val="single" w:color="000000" w:sz="4" w:space="0"/>
            </w:tcBorders>
            <w:vAlign w:val="center"/>
          </w:tcPr>
          <w:p w14:paraId="63CB1D3E">
            <w:pPr>
              <w:adjustRightInd w:val="0"/>
              <w:snapToGrid w:val="0"/>
              <w:jc w:val="center"/>
              <w:rPr>
                <w:color w:val="auto"/>
              </w:rPr>
            </w:pPr>
            <w:r>
              <w:rPr>
                <w:color w:val="auto"/>
              </w:rPr>
              <w:t>排渣</w:t>
            </w:r>
          </w:p>
          <w:p w14:paraId="0EA4499E">
            <w:pPr>
              <w:adjustRightInd w:val="0"/>
              <w:snapToGrid w:val="0"/>
              <w:jc w:val="center"/>
              <w:rPr>
                <w:color w:val="auto"/>
              </w:rPr>
            </w:pPr>
            <w:r>
              <w:rPr>
                <w:color w:val="auto"/>
              </w:rPr>
              <w:t>高度</w:t>
            </w:r>
          </w:p>
        </w:tc>
        <w:tc>
          <w:tcPr>
            <w:tcW w:w="974" w:type="dxa"/>
            <w:tcBorders>
              <w:top w:val="single" w:color="000000" w:sz="4" w:space="0"/>
              <w:left w:val="single" w:color="000000" w:sz="4" w:space="0"/>
              <w:bottom w:val="single" w:color="000000" w:sz="4" w:space="0"/>
              <w:right w:val="single" w:color="000000" w:sz="4" w:space="0"/>
            </w:tcBorders>
            <w:vAlign w:val="center"/>
          </w:tcPr>
          <w:p w14:paraId="18C1A127">
            <w:pPr>
              <w:adjustRightInd w:val="0"/>
              <w:snapToGrid w:val="0"/>
              <w:jc w:val="center"/>
              <w:rPr>
                <w:color w:val="auto"/>
              </w:rPr>
            </w:pPr>
            <w:r>
              <w:rPr>
                <w:color w:val="auto"/>
              </w:rPr>
              <w:t>土地</w:t>
            </w:r>
          </w:p>
          <w:p w14:paraId="51BE3399">
            <w:pPr>
              <w:adjustRightInd w:val="0"/>
              <w:snapToGrid w:val="0"/>
              <w:jc w:val="center"/>
              <w:rPr>
                <w:color w:val="auto"/>
              </w:rPr>
            </w:pPr>
            <w:r>
              <w:rPr>
                <w:color w:val="auto"/>
              </w:rPr>
              <w:t>稳定性</w:t>
            </w:r>
          </w:p>
        </w:tc>
        <w:tc>
          <w:tcPr>
            <w:tcW w:w="1022" w:type="dxa"/>
            <w:tcBorders>
              <w:top w:val="single" w:color="000000" w:sz="4" w:space="0"/>
              <w:left w:val="single" w:color="000000" w:sz="4" w:space="0"/>
              <w:bottom w:val="single" w:color="000000" w:sz="4" w:space="0"/>
              <w:right w:val="single" w:color="000000" w:sz="4" w:space="0"/>
            </w:tcBorders>
            <w:vAlign w:val="center"/>
          </w:tcPr>
          <w:p w14:paraId="558421C8">
            <w:pPr>
              <w:adjustRightInd w:val="0"/>
              <w:snapToGrid w:val="0"/>
              <w:jc w:val="center"/>
              <w:rPr>
                <w:color w:val="auto"/>
              </w:rPr>
            </w:pPr>
            <w:r>
              <w:rPr>
                <w:color w:val="auto"/>
              </w:rPr>
              <w:t>砾石</w:t>
            </w:r>
          </w:p>
          <w:p w14:paraId="18CD7B4C">
            <w:pPr>
              <w:adjustRightInd w:val="0"/>
              <w:snapToGrid w:val="0"/>
              <w:jc w:val="center"/>
              <w:rPr>
                <w:color w:val="auto"/>
              </w:rPr>
            </w:pPr>
            <w:r>
              <w:rPr>
                <w:color w:val="auto"/>
              </w:rPr>
              <w:t>含量</w:t>
            </w:r>
          </w:p>
        </w:tc>
        <w:tc>
          <w:tcPr>
            <w:tcW w:w="1014" w:type="dxa"/>
            <w:tcBorders>
              <w:top w:val="single" w:color="000000" w:sz="4" w:space="0"/>
              <w:left w:val="single" w:color="000000" w:sz="4" w:space="0"/>
              <w:bottom w:val="single" w:color="000000" w:sz="4" w:space="0"/>
              <w:right w:val="single" w:color="000000" w:sz="4" w:space="0"/>
            </w:tcBorders>
            <w:vAlign w:val="center"/>
          </w:tcPr>
          <w:p w14:paraId="30D70F68">
            <w:pPr>
              <w:adjustRightInd w:val="0"/>
              <w:snapToGrid w:val="0"/>
              <w:jc w:val="center"/>
              <w:rPr>
                <w:color w:val="auto"/>
              </w:rPr>
            </w:pPr>
            <w:r>
              <w:rPr>
                <w:color w:val="auto"/>
              </w:rPr>
              <w:t>复垦</w:t>
            </w:r>
          </w:p>
          <w:p w14:paraId="18620744">
            <w:pPr>
              <w:adjustRightInd w:val="0"/>
              <w:snapToGrid w:val="0"/>
              <w:jc w:val="center"/>
              <w:rPr>
                <w:color w:val="auto"/>
              </w:rPr>
            </w:pPr>
            <w:r>
              <w:rPr>
                <w:color w:val="auto"/>
              </w:rPr>
              <w:t>难度</w:t>
            </w:r>
          </w:p>
        </w:tc>
        <w:tc>
          <w:tcPr>
            <w:tcW w:w="620" w:type="dxa"/>
            <w:vMerge w:val="continue"/>
            <w:tcBorders>
              <w:top w:val="single" w:color="000000" w:sz="4" w:space="0"/>
              <w:left w:val="single" w:color="000000" w:sz="4" w:space="0"/>
              <w:bottom w:val="single" w:color="000000" w:sz="4" w:space="0"/>
              <w:right w:val="single" w:color="000000" w:sz="4" w:space="0"/>
            </w:tcBorders>
            <w:vAlign w:val="center"/>
          </w:tcPr>
          <w:p w14:paraId="655D4ED4">
            <w:pPr>
              <w:adjustRightInd w:val="0"/>
              <w:snapToGrid w:val="0"/>
              <w:jc w:val="center"/>
              <w:rPr>
                <w:color w:val="auto"/>
              </w:rPr>
            </w:pPr>
          </w:p>
        </w:tc>
        <w:tc>
          <w:tcPr>
            <w:tcW w:w="636" w:type="dxa"/>
            <w:vMerge w:val="continue"/>
            <w:tcBorders>
              <w:left w:val="single" w:color="000000" w:sz="4" w:space="0"/>
              <w:bottom w:val="single" w:color="000000" w:sz="4" w:space="0"/>
              <w:right w:val="single" w:color="000000" w:sz="4" w:space="0"/>
            </w:tcBorders>
            <w:vAlign w:val="center"/>
          </w:tcPr>
          <w:p w14:paraId="5FCA4AC4">
            <w:pPr>
              <w:adjustRightInd w:val="0"/>
              <w:snapToGrid w:val="0"/>
              <w:jc w:val="center"/>
              <w:rPr>
                <w:color w:val="auto"/>
              </w:rPr>
            </w:pPr>
          </w:p>
        </w:tc>
      </w:tr>
      <w:tr w14:paraId="53D47072">
        <w:tblPrEx>
          <w:tblCellMar>
            <w:top w:w="0" w:type="dxa"/>
            <w:left w:w="108" w:type="dxa"/>
            <w:bottom w:w="0" w:type="dxa"/>
            <w:right w:w="108" w:type="dxa"/>
          </w:tblCellMar>
        </w:tblPrEx>
        <w:trPr>
          <w:trHeight w:val="397" w:hRule="atLeast"/>
          <w:jc w:val="center"/>
        </w:trPr>
        <w:tc>
          <w:tcPr>
            <w:tcW w:w="1701" w:type="dxa"/>
            <w:tcBorders>
              <w:top w:val="single" w:color="000000" w:sz="4" w:space="0"/>
              <w:left w:val="single" w:color="000000" w:sz="4" w:space="0"/>
              <w:bottom w:val="single" w:color="000000" w:sz="4" w:space="0"/>
              <w:right w:val="single" w:color="000000" w:sz="4" w:space="0"/>
            </w:tcBorders>
            <w:vAlign w:val="center"/>
          </w:tcPr>
          <w:p w14:paraId="17402DFB">
            <w:pPr>
              <w:adjustRightInd w:val="0"/>
              <w:snapToGrid w:val="0"/>
              <w:jc w:val="center"/>
              <w:rPr>
                <w:rFonts w:hint="eastAsia" w:eastAsia="宋体"/>
                <w:color w:val="auto"/>
                <w:lang w:eastAsia="zh-CN"/>
              </w:rPr>
            </w:pPr>
            <w:r>
              <w:rPr>
                <w:rFonts w:hint="eastAsia"/>
                <w:color w:val="auto"/>
                <w:lang w:val="en-US" w:eastAsia="zh-CN"/>
              </w:rPr>
              <w:t>办公生活区</w:t>
            </w:r>
          </w:p>
        </w:tc>
        <w:tc>
          <w:tcPr>
            <w:tcW w:w="846" w:type="dxa"/>
            <w:tcBorders>
              <w:top w:val="single" w:color="000000" w:sz="4" w:space="0"/>
              <w:left w:val="single" w:color="000000" w:sz="4" w:space="0"/>
              <w:bottom w:val="single" w:color="000000" w:sz="4" w:space="0"/>
              <w:right w:val="single" w:color="000000" w:sz="4" w:space="0"/>
            </w:tcBorders>
            <w:vAlign w:val="center"/>
          </w:tcPr>
          <w:p w14:paraId="516D5B90">
            <w:pPr>
              <w:adjustRightInd w:val="0"/>
              <w:snapToGrid w:val="0"/>
              <w:jc w:val="center"/>
              <w:rPr>
                <w:rFonts w:hint="default" w:eastAsia="宋体"/>
                <w:color w:val="auto"/>
                <w:lang w:val="en-US" w:eastAsia="zh-CN"/>
              </w:rPr>
            </w:pPr>
            <w:r>
              <w:rPr>
                <w:rFonts w:hint="eastAsia"/>
                <w:color w:val="auto"/>
                <w:lang w:val="en-US" w:eastAsia="zh-CN"/>
              </w:rPr>
              <w:t>715</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23F199AC">
            <w:pPr>
              <w:adjustRightInd w:val="0"/>
              <w:snapToGrid w:val="0"/>
              <w:jc w:val="center"/>
              <w:rPr>
                <w:color w:val="auto"/>
              </w:rPr>
            </w:pPr>
            <w:r>
              <w:rPr>
                <w:color w:val="auto"/>
              </w:rPr>
              <w:t>&lt;25°</w:t>
            </w: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20F708BD">
            <w:pPr>
              <w:adjustRightInd w:val="0"/>
              <w:snapToGrid w:val="0"/>
              <w:jc w:val="center"/>
              <w:rPr>
                <w:color w:val="auto"/>
              </w:rPr>
            </w:pPr>
            <w:r>
              <w:rPr>
                <w:color w:val="auto"/>
              </w:rPr>
              <w:t>3-6m</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33544184">
            <w:pPr>
              <w:adjustRightInd w:val="0"/>
              <w:snapToGrid w:val="0"/>
              <w:jc w:val="center"/>
              <w:rPr>
                <w:color w:val="auto"/>
              </w:rPr>
            </w:pPr>
            <w:r>
              <w:rPr>
                <w:color w:val="auto"/>
              </w:rPr>
              <w:t>稳定</w:t>
            </w:r>
          </w:p>
        </w:tc>
        <w:tc>
          <w:tcPr>
            <w:tcW w:w="1022" w:type="dxa"/>
            <w:tcBorders>
              <w:top w:val="single" w:color="000000" w:sz="4" w:space="0"/>
              <w:left w:val="single" w:color="000000" w:sz="4" w:space="0"/>
              <w:bottom w:val="single" w:color="000000" w:sz="4" w:space="0"/>
              <w:right w:val="single" w:color="000000" w:sz="4" w:space="0"/>
            </w:tcBorders>
            <w:noWrap/>
            <w:vAlign w:val="center"/>
          </w:tcPr>
          <w:p w14:paraId="346ED276">
            <w:pPr>
              <w:adjustRightInd w:val="0"/>
              <w:snapToGrid w:val="0"/>
              <w:jc w:val="center"/>
              <w:rPr>
                <w:color w:val="auto"/>
              </w:rPr>
            </w:pPr>
            <w:r>
              <w:rPr>
                <w:color w:val="auto"/>
              </w:rPr>
              <w:t>&gt;3</w:t>
            </w:r>
            <w:r>
              <w:rPr>
                <w:rFonts w:hint="eastAsia"/>
                <w:color w:val="auto"/>
                <w:lang w:val="en-US" w:eastAsia="zh-CN"/>
              </w:rPr>
              <w:t>0</w:t>
            </w:r>
            <w:r>
              <w:rPr>
                <w:color w:val="auto"/>
              </w:rPr>
              <w:t>%</w:t>
            </w:r>
          </w:p>
        </w:tc>
        <w:tc>
          <w:tcPr>
            <w:tcW w:w="1014" w:type="dxa"/>
            <w:tcBorders>
              <w:top w:val="single" w:color="000000" w:sz="4" w:space="0"/>
              <w:left w:val="single" w:color="000000" w:sz="4" w:space="0"/>
              <w:bottom w:val="single" w:color="000000" w:sz="4" w:space="0"/>
              <w:right w:val="single" w:color="000000" w:sz="4" w:space="0"/>
            </w:tcBorders>
            <w:noWrap/>
            <w:vAlign w:val="center"/>
          </w:tcPr>
          <w:p w14:paraId="307DE82E">
            <w:pPr>
              <w:adjustRightInd w:val="0"/>
              <w:snapToGrid w:val="0"/>
              <w:jc w:val="center"/>
              <w:rPr>
                <w:rFonts w:hint="eastAsia" w:eastAsia="宋体"/>
                <w:color w:val="auto"/>
                <w:lang w:eastAsia="zh-CN"/>
              </w:rPr>
            </w:pPr>
            <w:r>
              <w:rPr>
                <w:rFonts w:hint="eastAsia"/>
                <w:color w:val="auto"/>
                <w:lang w:val="en-US" w:eastAsia="zh-CN"/>
              </w:rPr>
              <w:t>易</w:t>
            </w:r>
          </w:p>
        </w:tc>
        <w:tc>
          <w:tcPr>
            <w:tcW w:w="620" w:type="dxa"/>
            <w:tcBorders>
              <w:top w:val="single" w:color="000000" w:sz="4" w:space="0"/>
              <w:left w:val="single" w:color="000000" w:sz="4" w:space="0"/>
              <w:bottom w:val="single" w:color="000000" w:sz="4" w:space="0"/>
              <w:right w:val="single" w:color="000000" w:sz="4" w:space="0"/>
            </w:tcBorders>
            <w:vAlign w:val="center"/>
          </w:tcPr>
          <w:p w14:paraId="598A3FFC">
            <w:pPr>
              <w:adjustRightInd w:val="0"/>
              <w:snapToGrid w:val="0"/>
              <w:jc w:val="center"/>
              <w:rPr>
                <w:rFonts w:hint="default" w:eastAsia="宋体"/>
                <w:color w:val="auto"/>
                <w:lang w:val="en-US" w:eastAsia="zh-CN"/>
              </w:rPr>
            </w:pPr>
            <w:r>
              <w:rPr>
                <w:rFonts w:hint="eastAsia"/>
                <w:color w:val="auto"/>
                <w:lang w:val="en-US" w:eastAsia="zh-CN"/>
              </w:rPr>
              <w:t>1.7</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1CC3266C">
            <w:pPr>
              <w:adjustRightInd w:val="0"/>
              <w:snapToGrid w:val="0"/>
              <w:jc w:val="center"/>
              <w:rPr>
                <w:color w:val="auto"/>
              </w:rPr>
            </w:pPr>
            <w:r>
              <w:rPr>
                <w:color w:val="auto"/>
              </w:rPr>
              <w:t>中度</w:t>
            </w:r>
          </w:p>
        </w:tc>
      </w:tr>
    </w:tbl>
    <w:p w14:paraId="0B23FE56">
      <w:pPr>
        <w:widowControl/>
        <w:spacing w:line="360" w:lineRule="auto"/>
        <w:ind w:firstLine="560" w:firstLineChars="200"/>
        <w:rPr>
          <w:color w:val="auto"/>
          <w:kern w:val="0"/>
          <w:sz w:val="28"/>
          <w:szCs w:val="28"/>
        </w:rPr>
      </w:pPr>
      <w:r>
        <w:rPr>
          <w:color w:val="auto"/>
          <w:kern w:val="0"/>
          <w:sz w:val="28"/>
          <w:szCs w:val="28"/>
        </w:rPr>
        <w:t>（</w:t>
      </w:r>
      <w:r>
        <w:rPr>
          <w:rFonts w:hint="eastAsia"/>
          <w:color w:val="auto"/>
          <w:kern w:val="0"/>
          <w:sz w:val="28"/>
          <w:szCs w:val="28"/>
          <w:lang w:val="en-US" w:eastAsia="zh-CN"/>
        </w:rPr>
        <w:t>9</w:t>
      </w:r>
      <w:r>
        <w:rPr>
          <w:color w:val="auto"/>
          <w:kern w:val="0"/>
          <w:sz w:val="28"/>
          <w:szCs w:val="28"/>
        </w:rPr>
        <w:t>）矿区道路</w:t>
      </w:r>
    </w:p>
    <w:p w14:paraId="7EE0F1EB">
      <w:pPr>
        <w:widowControl/>
        <w:spacing w:line="360" w:lineRule="auto"/>
        <w:ind w:firstLine="560" w:firstLineChars="200"/>
        <w:rPr>
          <w:color w:val="auto"/>
          <w:kern w:val="0"/>
          <w:sz w:val="28"/>
          <w:szCs w:val="28"/>
        </w:rPr>
      </w:pPr>
      <w:r>
        <w:rPr>
          <w:color w:val="auto"/>
          <w:kern w:val="0"/>
          <w:sz w:val="28"/>
          <w:szCs w:val="28"/>
        </w:rPr>
        <w:t>矿区道路面积</w:t>
      </w:r>
      <w:r>
        <w:rPr>
          <w:rFonts w:hint="eastAsia"/>
          <w:color w:val="auto"/>
          <w:kern w:val="0"/>
          <w:sz w:val="28"/>
          <w:szCs w:val="28"/>
          <w:lang w:val="en-US" w:eastAsia="zh-CN"/>
        </w:rPr>
        <w:t>8610</w:t>
      </w:r>
      <w:r>
        <w:rPr>
          <w:color w:val="auto"/>
          <w:kern w:val="0"/>
          <w:sz w:val="28"/>
          <w:szCs w:val="28"/>
        </w:rPr>
        <w:t>m</w:t>
      </w:r>
      <w:r>
        <w:rPr>
          <w:color w:val="auto"/>
          <w:kern w:val="0"/>
          <w:sz w:val="28"/>
          <w:szCs w:val="28"/>
          <w:vertAlign w:val="superscript"/>
        </w:rPr>
        <w:t>2</w:t>
      </w:r>
      <w:r>
        <w:rPr>
          <w:color w:val="auto"/>
          <w:kern w:val="0"/>
          <w:sz w:val="28"/>
          <w:szCs w:val="28"/>
        </w:rPr>
        <w:t>，砾石含量&gt;3</w:t>
      </w:r>
      <w:r>
        <w:rPr>
          <w:rFonts w:hint="eastAsia"/>
          <w:color w:val="auto"/>
          <w:kern w:val="0"/>
          <w:sz w:val="28"/>
          <w:szCs w:val="28"/>
          <w:lang w:val="en-US" w:eastAsia="zh-CN"/>
        </w:rPr>
        <w:t>0</w:t>
      </w:r>
      <w:r>
        <w:rPr>
          <w:color w:val="auto"/>
          <w:kern w:val="0"/>
          <w:sz w:val="28"/>
          <w:szCs w:val="28"/>
        </w:rPr>
        <w:t>%，复垦难度</w:t>
      </w:r>
      <w:r>
        <w:rPr>
          <w:rFonts w:hint="eastAsia"/>
          <w:color w:val="auto"/>
          <w:kern w:val="0"/>
          <w:sz w:val="28"/>
          <w:szCs w:val="28"/>
          <w:lang w:val="en-US" w:eastAsia="zh-CN"/>
        </w:rPr>
        <w:t>易</w:t>
      </w:r>
      <w:r>
        <w:rPr>
          <w:color w:val="auto"/>
          <w:kern w:val="0"/>
          <w:sz w:val="28"/>
          <w:szCs w:val="28"/>
        </w:rPr>
        <w:t>。破坏前土地利用类型为</w:t>
      </w:r>
      <w:r>
        <w:rPr>
          <w:rFonts w:hint="eastAsia"/>
          <w:color w:val="auto"/>
          <w:kern w:val="0"/>
          <w:sz w:val="28"/>
          <w:szCs w:val="28"/>
          <w:lang w:val="en-US" w:eastAsia="zh-CN"/>
        </w:rPr>
        <w:t>乔木林地78m</w:t>
      </w:r>
      <w:r>
        <w:rPr>
          <w:color w:val="auto"/>
          <w:kern w:val="0"/>
          <w:sz w:val="28"/>
          <w:szCs w:val="28"/>
          <w:vertAlign w:val="superscript"/>
        </w:rPr>
        <w:t>2</w:t>
      </w:r>
      <w:r>
        <w:rPr>
          <w:rFonts w:hint="eastAsia"/>
          <w:color w:val="auto"/>
          <w:kern w:val="0"/>
          <w:sz w:val="28"/>
          <w:szCs w:val="28"/>
          <w:lang w:eastAsia="zh-CN"/>
        </w:rPr>
        <w:t>、</w:t>
      </w:r>
      <w:r>
        <w:rPr>
          <w:rFonts w:hint="eastAsia"/>
          <w:color w:val="auto"/>
          <w:kern w:val="0"/>
          <w:sz w:val="28"/>
          <w:szCs w:val="28"/>
          <w:lang w:val="en-US" w:eastAsia="zh-CN"/>
        </w:rPr>
        <w:t>其他草地1462m</w:t>
      </w:r>
      <w:r>
        <w:rPr>
          <w:color w:val="auto"/>
          <w:kern w:val="0"/>
          <w:sz w:val="28"/>
          <w:szCs w:val="28"/>
          <w:vertAlign w:val="superscript"/>
        </w:rPr>
        <w:t>2</w:t>
      </w:r>
      <w:r>
        <w:rPr>
          <w:rFonts w:hint="eastAsia"/>
          <w:color w:val="auto"/>
          <w:kern w:val="0"/>
          <w:sz w:val="28"/>
          <w:szCs w:val="28"/>
          <w:lang w:eastAsia="zh-CN"/>
        </w:rPr>
        <w:t>、</w:t>
      </w:r>
      <w:r>
        <w:rPr>
          <w:rFonts w:hint="eastAsia"/>
          <w:color w:val="auto"/>
          <w:kern w:val="0"/>
          <w:sz w:val="28"/>
          <w:szCs w:val="28"/>
          <w:lang w:val="en-US" w:eastAsia="zh-CN"/>
        </w:rPr>
        <w:t>采矿用地6721</w:t>
      </w:r>
      <w:r>
        <w:rPr>
          <w:color w:val="auto"/>
          <w:kern w:val="0"/>
          <w:sz w:val="28"/>
          <w:szCs w:val="28"/>
        </w:rPr>
        <w:t>m</w:t>
      </w:r>
      <w:r>
        <w:rPr>
          <w:color w:val="auto"/>
          <w:kern w:val="0"/>
          <w:sz w:val="28"/>
          <w:szCs w:val="28"/>
          <w:vertAlign w:val="superscript"/>
        </w:rPr>
        <w:t>2</w:t>
      </w:r>
      <w:r>
        <w:rPr>
          <w:rFonts w:hint="eastAsia"/>
          <w:color w:val="auto"/>
          <w:kern w:val="0"/>
          <w:sz w:val="28"/>
          <w:szCs w:val="28"/>
          <w:lang w:eastAsia="zh-CN"/>
        </w:rPr>
        <w:t>、</w:t>
      </w:r>
      <w:r>
        <w:rPr>
          <w:rFonts w:hint="eastAsia"/>
          <w:color w:val="auto"/>
          <w:kern w:val="0"/>
          <w:sz w:val="28"/>
          <w:szCs w:val="28"/>
          <w:lang w:val="en-US" w:eastAsia="zh-CN"/>
        </w:rPr>
        <w:t>裸土地349m</w:t>
      </w:r>
      <w:r>
        <w:rPr>
          <w:color w:val="auto"/>
          <w:kern w:val="0"/>
          <w:sz w:val="28"/>
          <w:szCs w:val="28"/>
          <w:vertAlign w:val="superscript"/>
        </w:rPr>
        <w:t>2</w:t>
      </w:r>
      <w:r>
        <w:rPr>
          <w:rFonts w:hint="eastAsia"/>
          <w:color w:val="auto"/>
          <w:kern w:val="0"/>
          <w:sz w:val="28"/>
          <w:szCs w:val="28"/>
          <w:lang w:val="en-US" w:eastAsia="zh-CN"/>
        </w:rPr>
        <w:t>。</w:t>
      </w:r>
      <w:r>
        <w:rPr>
          <w:color w:val="auto"/>
          <w:kern w:val="0"/>
          <w:sz w:val="28"/>
          <w:szCs w:val="28"/>
        </w:rPr>
        <w:t>损毁类型为压占。场地的建设导致原有土地改变，地表植被直接被破坏，地表原有功能丧失，对土地资源影响和破坏程度为</w:t>
      </w:r>
      <w:r>
        <w:rPr>
          <w:rFonts w:hint="eastAsia"/>
          <w:color w:val="auto"/>
          <w:kern w:val="0"/>
          <w:sz w:val="28"/>
          <w:szCs w:val="28"/>
          <w:lang w:val="en-US" w:eastAsia="zh-CN"/>
        </w:rPr>
        <w:t>重</w:t>
      </w:r>
      <w:r>
        <w:rPr>
          <w:color w:val="auto"/>
          <w:kern w:val="0"/>
          <w:sz w:val="28"/>
          <w:szCs w:val="28"/>
        </w:rPr>
        <w:t>度。</w:t>
      </w:r>
    </w:p>
    <w:p w14:paraId="16ADCBEB">
      <w:pPr>
        <w:widowControl/>
        <w:snapToGrid w:val="0"/>
        <w:jc w:val="center"/>
        <w:rPr>
          <w:rFonts w:eastAsia="黑体"/>
          <w:bCs/>
          <w:color w:val="auto"/>
          <w:sz w:val="24"/>
          <w:szCs w:val="24"/>
        </w:rPr>
      </w:pPr>
      <w:bookmarkStart w:id="62" w:name="_Hlk221214647"/>
      <w:r>
        <w:rPr>
          <w:rFonts w:eastAsia="黑体"/>
          <w:bCs/>
          <w:color w:val="auto"/>
          <w:sz w:val="24"/>
          <w:szCs w:val="24"/>
        </w:rPr>
        <w:t>表3-</w:t>
      </w:r>
      <w:r>
        <w:rPr>
          <w:rFonts w:hint="eastAsia" w:eastAsia="黑体"/>
          <w:bCs/>
          <w:color w:val="auto"/>
          <w:sz w:val="24"/>
          <w:szCs w:val="24"/>
          <w:lang w:val="en-US" w:eastAsia="zh-CN"/>
        </w:rPr>
        <w:t xml:space="preserve">23  </w:t>
      </w:r>
      <w:r>
        <w:rPr>
          <w:rFonts w:eastAsia="黑体"/>
          <w:bCs/>
          <w:color w:val="auto"/>
          <w:sz w:val="24"/>
          <w:szCs w:val="24"/>
        </w:rPr>
        <w:t>土地损毁程度评价表</w:t>
      </w:r>
    </w:p>
    <w:bookmarkEnd w:id="62"/>
    <w:tbl>
      <w:tblPr>
        <w:tblStyle w:val="34"/>
        <w:tblW w:w="8680" w:type="dxa"/>
        <w:jc w:val="center"/>
        <w:tblLayout w:type="fixed"/>
        <w:tblCellMar>
          <w:top w:w="0" w:type="dxa"/>
          <w:left w:w="108" w:type="dxa"/>
          <w:bottom w:w="0" w:type="dxa"/>
          <w:right w:w="108" w:type="dxa"/>
        </w:tblCellMar>
      </w:tblPr>
      <w:tblGrid>
        <w:gridCol w:w="1365"/>
        <w:gridCol w:w="1182"/>
        <w:gridCol w:w="992"/>
        <w:gridCol w:w="875"/>
        <w:gridCol w:w="1110"/>
        <w:gridCol w:w="886"/>
        <w:gridCol w:w="1014"/>
        <w:gridCol w:w="620"/>
        <w:gridCol w:w="636"/>
      </w:tblGrid>
      <w:tr w14:paraId="74920E58">
        <w:tblPrEx>
          <w:tblCellMar>
            <w:top w:w="0" w:type="dxa"/>
            <w:left w:w="108" w:type="dxa"/>
            <w:bottom w:w="0" w:type="dxa"/>
            <w:right w:w="108" w:type="dxa"/>
          </w:tblCellMar>
        </w:tblPrEx>
        <w:trPr>
          <w:trHeight w:val="397" w:hRule="atLeast"/>
          <w:tblHeader/>
          <w:jc w:val="center"/>
        </w:trPr>
        <w:tc>
          <w:tcPr>
            <w:tcW w:w="1365" w:type="dxa"/>
            <w:vMerge w:val="restart"/>
            <w:tcBorders>
              <w:top w:val="single" w:color="000000" w:sz="4" w:space="0"/>
              <w:left w:val="single" w:color="000000" w:sz="4" w:space="0"/>
              <w:bottom w:val="single" w:color="000000" w:sz="4" w:space="0"/>
              <w:right w:val="single" w:color="000000" w:sz="4" w:space="0"/>
            </w:tcBorders>
            <w:vAlign w:val="center"/>
          </w:tcPr>
          <w:p w14:paraId="0067FB8A">
            <w:pPr>
              <w:spacing w:before="48" w:beforeLines="20" w:after="48" w:afterLines="20"/>
              <w:jc w:val="center"/>
              <w:rPr>
                <w:color w:val="auto"/>
              </w:rPr>
            </w:pPr>
            <w:r>
              <w:rPr>
                <w:color w:val="auto"/>
              </w:rPr>
              <w:t>破坏单元</w:t>
            </w:r>
          </w:p>
        </w:tc>
        <w:tc>
          <w:tcPr>
            <w:tcW w:w="6059" w:type="dxa"/>
            <w:gridSpan w:val="6"/>
            <w:tcBorders>
              <w:top w:val="single" w:color="000000" w:sz="4" w:space="0"/>
              <w:left w:val="single" w:color="000000" w:sz="4" w:space="0"/>
              <w:bottom w:val="single" w:color="000000" w:sz="4" w:space="0"/>
              <w:right w:val="single" w:color="000000" w:sz="4" w:space="0"/>
            </w:tcBorders>
            <w:vAlign w:val="center"/>
          </w:tcPr>
          <w:p w14:paraId="64026715">
            <w:pPr>
              <w:spacing w:before="48" w:beforeLines="20" w:after="48" w:afterLines="20"/>
              <w:jc w:val="center"/>
              <w:rPr>
                <w:color w:val="auto"/>
              </w:rPr>
            </w:pPr>
            <w:r>
              <w:rPr>
                <w:color w:val="auto"/>
              </w:rPr>
              <w:t>评价因子</w:t>
            </w:r>
          </w:p>
        </w:tc>
        <w:tc>
          <w:tcPr>
            <w:tcW w:w="620" w:type="dxa"/>
            <w:vMerge w:val="restart"/>
            <w:tcBorders>
              <w:top w:val="single" w:color="000000" w:sz="4" w:space="0"/>
              <w:left w:val="single" w:color="000000" w:sz="4" w:space="0"/>
              <w:bottom w:val="single" w:color="000000" w:sz="4" w:space="0"/>
              <w:right w:val="single" w:color="000000" w:sz="4" w:space="0"/>
            </w:tcBorders>
            <w:vAlign w:val="center"/>
          </w:tcPr>
          <w:p w14:paraId="7155202C">
            <w:pPr>
              <w:spacing w:before="48" w:beforeLines="20" w:after="48" w:afterLines="20"/>
              <w:jc w:val="center"/>
              <w:rPr>
                <w:color w:val="auto"/>
              </w:rPr>
            </w:pPr>
            <w:r>
              <w:rPr>
                <w:color w:val="auto"/>
              </w:rPr>
              <w:t>得分</w:t>
            </w:r>
          </w:p>
        </w:tc>
        <w:tc>
          <w:tcPr>
            <w:tcW w:w="636" w:type="dxa"/>
            <w:vMerge w:val="restart"/>
            <w:tcBorders>
              <w:top w:val="single" w:color="000000" w:sz="4" w:space="0"/>
              <w:left w:val="single" w:color="000000" w:sz="4" w:space="0"/>
              <w:right w:val="single" w:color="000000" w:sz="4" w:space="0"/>
            </w:tcBorders>
            <w:vAlign w:val="center"/>
          </w:tcPr>
          <w:p w14:paraId="76DDFE6C">
            <w:pPr>
              <w:spacing w:before="48" w:beforeLines="20" w:after="48" w:afterLines="20"/>
              <w:jc w:val="center"/>
              <w:rPr>
                <w:color w:val="auto"/>
              </w:rPr>
            </w:pPr>
            <w:r>
              <w:rPr>
                <w:color w:val="auto"/>
              </w:rPr>
              <w:t>损毁</w:t>
            </w:r>
          </w:p>
          <w:p w14:paraId="1E50F7C2">
            <w:pPr>
              <w:spacing w:before="48" w:beforeLines="20" w:after="48" w:afterLines="20"/>
              <w:jc w:val="center"/>
              <w:rPr>
                <w:color w:val="auto"/>
              </w:rPr>
            </w:pPr>
            <w:r>
              <w:rPr>
                <w:color w:val="auto"/>
              </w:rPr>
              <w:t>程度</w:t>
            </w:r>
          </w:p>
        </w:tc>
      </w:tr>
      <w:tr w14:paraId="6CAA33D4">
        <w:tblPrEx>
          <w:tblCellMar>
            <w:top w:w="0" w:type="dxa"/>
            <w:left w:w="108" w:type="dxa"/>
            <w:bottom w:w="0" w:type="dxa"/>
            <w:right w:w="108" w:type="dxa"/>
          </w:tblCellMar>
        </w:tblPrEx>
        <w:trPr>
          <w:trHeight w:val="397" w:hRule="atLeast"/>
          <w:tblHeader/>
          <w:jc w:val="center"/>
        </w:trPr>
        <w:tc>
          <w:tcPr>
            <w:tcW w:w="1365" w:type="dxa"/>
            <w:vMerge w:val="continue"/>
            <w:tcBorders>
              <w:top w:val="single" w:color="000000" w:sz="4" w:space="0"/>
              <w:left w:val="single" w:color="000000" w:sz="4" w:space="0"/>
              <w:bottom w:val="single" w:color="000000" w:sz="4" w:space="0"/>
              <w:right w:val="single" w:color="000000" w:sz="4" w:space="0"/>
            </w:tcBorders>
            <w:vAlign w:val="center"/>
          </w:tcPr>
          <w:p w14:paraId="5129290F">
            <w:pPr>
              <w:spacing w:before="48" w:beforeLines="20" w:after="48" w:afterLines="20"/>
              <w:jc w:val="center"/>
              <w:rPr>
                <w:color w:val="auto"/>
              </w:rPr>
            </w:pPr>
          </w:p>
        </w:tc>
        <w:tc>
          <w:tcPr>
            <w:tcW w:w="1182" w:type="dxa"/>
            <w:tcBorders>
              <w:top w:val="single" w:color="000000" w:sz="4" w:space="0"/>
              <w:left w:val="single" w:color="000000" w:sz="4" w:space="0"/>
              <w:bottom w:val="single" w:color="000000" w:sz="4" w:space="0"/>
              <w:right w:val="single" w:color="000000" w:sz="4" w:space="0"/>
            </w:tcBorders>
            <w:vAlign w:val="center"/>
          </w:tcPr>
          <w:p w14:paraId="356742D2">
            <w:pPr>
              <w:spacing w:before="48" w:beforeLines="20" w:after="48" w:afterLines="20"/>
              <w:jc w:val="center"/>
              <w:rPr>
                <w:color w:val="auto"/>
              </w:rPr>
            </w:pPr>
            <w:r>
              <w:rPr>
                <w:color w:val="auto"/>
              </w:rPr>
              <w:t>挖损</w:t>
            </w:r>
          </w:p>
          <w:p w14:paraId="766C7837">
            <w:pPr>
              <w:spacing w:before="48" w:beforeLines="20" w:after="48" w:afterLines="20"/>
              <w:jc w:val="center"/>
              <w:rPr>
                <w:color w:val="auto"/>
              </w:rPr>
            </w:pPr>
            <w:r>
              <w:rPr>
                <w:color w:val="auto"/>
              </w:rPr>
              <w:t>面积</w:t>
            </w:r>
          </w:p>
        </w:tc>
        <w:tc>
          <w:tcPr>
            <w:tcW w:w="992" w:type="dxa"/>
            <w:tcBorders>
              <w:top w:val="single" w:color="000000" w:sz="4" w:space="0"/>
              <w:left w:val="single" w:color="000000" w:sz="4" w:space="0"/>
              <w:bottom w:val="single" w:color="000000" w:sz="4" w:space="0"/>
              <w:right w:val="single" w:color="000000" w:sz="4" w:space="0"/>
            </w:tcBorders>
            <w:vAlign w:val="center"/>
          </w:tcPr>
          <w:p w14:paraId="5BD99881">
            <w:pPr>
              <w:spacing w:before="48" w:beforeLines="20" w:after="48" w:afterLines="20"/>
              <w:jc w:val="center"/>
              <w:rPr>
                <w:color w:val="auto"/>
              </w:rPr>
            </w:pPr>
            <w:r>
              <w:rPr>
                <w:color w:val="auto"/>
              </w:rPr>
              <w:t>挖损</w:t>
            </w:r>
          </w:p>
          <w:p w14:paraId="6B80C2D1">
            <w:pPr>
              <w:spacing w:before="48" w:beforeLines="20" w:after="48" w:afterLines="20"/>
              <w:jc w:val="center"/>
              <w:rPr>
                <w:color w:val="auto"/>
              </w:rPr>
            </w:pPr>
            <w:r>
              <w:rPr>
                <w:color w:val="auto"/>
              </w:rPr>
              <w:t>深度</w:t>
            </w:r>
          </w:p>
        </w:tc>
        <w:tc>
          <w:tcPr>
            <w:tcW w:w="875" w:type="dxa"/>
            <w:tcBorders>
              <w:top w:val="single" w:color="000000" w:sz="4" w:space="0"/>
              <w:left w:val="single" w:color="000000" w:sz="4" w:space="0"/>
              <w:bottom w:val="single" w:color="000000" w:sz="4" w:space="0"/>
              <w:right w:val="single" w:color="000000" w:sz="4" w:space="0"/>
            </w:tcBorders>
            <w:vAlign w:val="center"/>
          </w:tcPr>
          <w:p w14:paraId="01F0D0C3">
            <w:pPr>
              <w:spacing w:before="48" w:beforeLines="20" w:after="48" w:afterLines="20"/>
              <w:jc w:val="center"/>
              <w:rPr>
                <w:color w:val="auto"/>
              </w:rPr>
            </w:pPr>
            <w:r>
              <w:rPr>
                <w:color w:val="auto"/>
              </w:rPr>
              <w:t>挖损土层厚度</w:t>
            </w:r>
          </w:p>
        </w:tc>
        <w:tc>
          <w:tcPr>
            <w:tcW w:w="1110" w:type="dxa"/>
            <w:tcBorders>
              <w:top w:val="single" w:color="000000" w:sz="4" w:space="0"/>
              <w:left w:val="single" w:color="000000" w:sz="4" w:space="0"/>
              <w:bottom w:val="single" w:color="000000" w:sz="4" w:space="0"/>
              <w:right w:val="single" w:color="000000" w:sz="4" w:space="0"/>
            </w:tcBorders>
            <w:vAlign w:val="center"/>
          </w:tcPr>
          <w:p w14:paraId="17ED716E">
            <w:pPr>
              <w:spacing w:before="48" w:beforeLines="20" w:after="48" w:afterLines="20"/>
              <w:jc w:val="center"/>
              <w:rPr>
                <w:color w:val="auto"/>
              </w:rPr>
            </w:pPr>
            <w:r>
              <w:rPr>
                <w:color w:val="auto"/>
              </w:rPr>
              <w:t>积水</w:t>
            </w:r>
          </w:p>
          <w:p w14:paraId="7F69444F">
            <w:pPr>
              <w:spacing w:before="48" w:beforeLines="20" w:after="48" w:afterLines="20"/>
              <w:jc w:val="center"/>
              <w:rPr>
                <w:color w:val="auto"/>
              </w:rPr>
            </w:pPr>
            <w:r>
              <w:rPr>
                <w:color w:val="auto"/>
              </w:rPr>
              <w:t>情况</w:t>
            </w:r>
          </w:p>
        </w:tc>
        <w:tc>
          <w:tcPr>
            <w:tcW w:w="886" w:type="dxa"/>
            <w:tcBorders>
              <w:top w:val="single" w:color="000000" w:sz="4" w:space="0"/>
              <w:left w:val="single" w:color="000000" w:sz="4" w:space="0"/>
              <w:bottom w:val="single" w:color="000000" w:sz="4" w:space="0"/>
              <w:right w:val="single" w:color="000000" w:sz="4" w:space="0"/>
            </w:tcBorders>
            <w:vAlign w:val="center"/>
          </w:tcPr>
          <w:p w14:paraId="756D1D19">
            <w:pPr>
              <w:spacing w:before="48" w:beforeLines="20" w:after="48" w:afterLines="20"/>
              <w:jc w:val="center"/>
              <w:rPr>
                <w:color w:val="auto"/>
              </w:rPr>
            </w:pPr>
            <w:r>
              <w:rPr>
                <w:color w:val="auto"/>
              </w:rPr>
              <w:t>边坡</w:t>
            </w:r>
          </w:p>
          <w:p w14:paraId="04EC3C03">
            <w:pPr>
              <w:spacing w:before="48" w:beforeLines="20" w:after="48" w:afterLines="20"/>
              <w:jc w:val="center"/>
              <w:rPr>
                <w:color w:val="auto"/>
              </w:rPr>
            </w:pPr>
            <w:r>
              <w:rPr>
                <w:color w:val="auto"/>
              </w:rPr>
              <w:t>坡度</w:t>
            </w:r>
          </w:p>
        </w:tc>
        <w:tc>
          <w:tcPr>
            <w:tcW w:w="1014" w:type="dxa"/>
            <w:tcBorders>
              <w:top w:val="single" w:color="000000" w:sz="4" w:space="0"/>
              <w:left w:val="single" w:color="000000" w:sz="4" w:space="0"/>
              <w:bottom w:val="single" w:color="000000" w:sz="4" w:space="0"/>
              <w:right w:val="single" w:color="000000" w:sz="4" w:space="0"/>
            </w:tcBorders>
            <w:vAlign w:val="center"/>
          </w:tcPr>
          <w:p w14:paraId="4119E41C">
            <w:pPr>
              <w:spacing w:before="48" w:beforeLines="20" w:after="48" w:afterLines="20"/>
              <w:jc w:val="center"/>
              <w:rPr>
                <w:color w:val="auto"/>
              </w:rPr>
            </w:pPr>
            <w:r>
              <w:rPr>
                <w:color w:val="auto"/>
              </w:rPr>
              <w:t>边坡规整程度</w:t>
            </w:r>
          </w:p>
        </w:tc>
        <w:tc>
          <w:tcPr>
            <w:tcW w:w="620" w:type="dxa"/>
            <w:vMerge w:val="continue"/>
            <w:tcBorders>
              <w:top w:val="single" w:color="000000" w:sz="4" w:space="0"/>
              <w:left w:val="single" w:color="000000" w:sz="4" w:space="0"/>
              <w:bottom w:val="single" w:color="000000" w:sz="4" w:space="0"/>
              <w:right w:val="single" w:color="000000" w:sz="4" w:space="0"/>
            </w:tcBorders>
            <w:vAlign w:val="center"/>
          </w:tcPr>
          <w:p w14:paraId="052BF551">
            <w:pPr>
              <w:spacing w:before="48" w:beforeLines="20" w:after="48" w:afterLines="20"/>
              <w:jc w:val="center"/>
              <w:rPr>
                <w:color w:val="auto"/>
              </w:rPr>
            </w:pPr>
          </w:p>
        </w:tc>
        <w:tc>
          <w:tcPr>
            <w:tcW w:w="636" w:type="dxa"/>
            <w:vMerge w:val="continue"/>
            <w:tcBorders>
              <w:left w:val="single" w:color="000000" w:sz="4" w:space="0"/>
              <w:bottom w:val="single" w:color="000000" w:sz="4" w:space="0"/>
              <w:right w:val="single" w:color="000000" w:sz="4" w:space="0"/>
            </w:tcBorders>
            <w:vAlign w:val="center"/>
          </w:tcPr>
          <w:p w14:paraId="7DB18CD3">
            <w:pPr>
              <w:spacing w:before="48" w:beforeLines="20" w:after="48" w:afterLines="20"/>
              <w:jc w:val="center"/>
              <w:rPr>
                <w:color w:val="auto"/>
              </w:rPr>
            </w:pPr>
          </w:p>
        </w:tc>
      </w:tr>
      <w:tr w14:paraId="44D16FCB">
        <w:tblPrEx>
          <w:tblCellMar>
            <w:top w:w="0" w:type="dxa"/>
            <w:left w:w="108" w:type="dxa"/>
            <w:bottom w:w="0" w:type="dxa"/>
            <w:right w:w="108" w:type="dxa"/>
          </w:tblCellMar>
        </w:tblPrEx>
        <w:trPr>
          <w:trHeight w:val="397" w:hRule="atLeast"/>
          <w:jc w:val="center"/>
        </w:trPr>
        <w:tc>
          <w:tcPr>
            <w:tcW w:w="1365" w:type="dxa"/>
            <w:tcBorders>
              <w:top w:val="single" w:color="000000" w:sz="4" w:space="0"/>
              <w:left w:val="single" w:color="000000" w:sz="4" w:space="0"/>
              <w:bottom w:val="single" w:color="000000" w:sz="4" w:space="0"/>
              <w:right w:val="single" w:color="000000" w:sz="4" w:space="0"/>
            </w:tcBorders>
            <w:vAlign w:val="center"/>
          </w:tcPr>
          <w:p w14:paraId="3D779621">
            <w:pPr>
              <w:spacing w:before="48" w:beforeLines="20" w:after="48" w:afterLines="20"/>
              <w:jc w:val="center"/>
              <w:rPr>
                <w:rFonts w:hint="default" w:eastAsia="宋体"/>
                <w:color w:val="auto"/>
                <w:lang w:val="en-US" w:eastAsia="zh-CN"/>
              </w:rPr>
            </w:pPr>
            <w:r>
              <w:rPr>
                <w:rFonts w:hint="eastAsia"/>
                <w:color w:val="auto"/>
                <w:lang w:val="en-US" w:eastAsia="zh-CN"/>
              </w:rPr>
              <w:t>矿区道路</w:t>
            </w:r>
          </w:p>
        </w:tc>
        <w:tc>
          <w:tcPr>
            <w:tcW w:w="1182" w:type="dxa"/>
            <w:tcBorders>
              <w:top w:val="single" w:color="000000" w:sz="4" w:space="0"/>
              <w:left w:val="single" w:color="000000" w:sz="4" w:space="0"/>
              <w:bottom w:val="single" w:color="000000" w:sz="4" w:space="0"/>
              <w:right w:val="single" w:color="000000" w:sz="4" w:space="0"/>
            </w:tcBorders>
            <w:vAlign w:val="center"/>
          </w:tcPr>
          <w:p w14:paraId="5908A6D3">
            <w:pPr>
              <w:spacing w:before="48" w:beforeLines="20" w:after="48" w:afterLines="20"/>
              <w:jc w:val="center"/>
              <w:rPr>
                <w:rFonts w:hint="default" w:eastAsia="宋体"/>
                <w:color w:val="auto"/>
                <w:lang w:val="en-US" w:eastAsia="zh-CN"/>
              </w:rPr>
            </w:pPr>
            <w:r>
              <w:rPr>
                <w:rFonts w:hint="eastAsia"/>
                <w:color w:val="auto"/>
                <w:lang w:val="en-US" w:eastAsia="zh-CN"/>
              </w:rPr>
              <w:t>8610</w:t>
            </w:r>
          </w:p>
        </w:tc>
        <w:tc>
          <w:tcPr>
            <w:tcW w:w="992" w:type="dxa"/>
            <w:tcBorders>
              <w:top w:val="single" w:color="000000" w:sz="4" w:space="0"/>
              <w:left w:val="single" w:color="000000" w:sz="4" w:space="0"/>
              <w:bottom w:val="single" w:color="000000" w:sz="4" w:space="0"/>
              <w:right w:val="single" w:color="000000" w:sz="4" w:space="0"/>
            </w:tcBorders>
            <w:noWrap/>
          </w:tcPr>
          <w:p w14:paraId="1D0181D2">
            <w:pPr>
              <w:spacing w:before="48" w:beforeLines="20" w:after="48" w:afterLines="20"/>
              <w:jc w:val="center"/>
              <w:rPr>
                <w:color w:val="auto"/>
              </w:rPr>
            </w:pPr>
            <w:r>
              <w:rPr>
                <w:color w:val="auto"/>
              </w:rPr>
              <w:t>&gt;2.0m</w:t>
            </w:r>
          </w:p>
        </w:tc>
        <w:tc>
          <w:tcPr>
            <w:tcW w:w="875" w:type="dxa"/>
            <w:tcBorders>
              <w:top w:val="single" w:color="000000" w:sz="4" w:space="0"/>
              <w:left w:val="single" w:color="000000" w:sz="4" w:space="0"/>
              <w:bottom w:val="single" w:color="000000" w:sz="4" w:space="0"/>
              <w:right w:val="single" w:color="000000" w:sz="4" w:space="0"/>
            </w:tcBorders>
            <w:noWrap/>
          </w:tcPr>
          <w:p w14:paraId="12867BAD">
            <w:pPr>
              <w:spacing w:before="48" w:beforeLines="20" w:after="48" w:afterLines="20"/>
              <w:jc w:val="center"/>
              <w:rPr>
                <w:color w:val="auto"/>
              </w:rPr>
            </w:pPr>
            <w:r>
              <w:rPr>
                <w:color w:val="auto"/>
              </w:rPr>
              <w:t>&gt;50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0F339065">
            <w:pPr>
              <w:spacing w:before="48" w:beforeLines="20" w:after="48" w:afterLines="20"/>
              <w:jc w:val="center"/>
              <w:rPr>
                <w:color w:val="auto"/>
              </w:rPr>
            </w:pPr>
            <w:r>
              <w:rPr>
                <w:color w:val="auto"/>
              </w:rPr>
              <w:t>无积水</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1C7BD2CD">
            <w:pPr>
              <w:spacing w:before="48" w:beforeLines="20" w:after="48" w:afterLines="20"/>
              <w:jc w:val="center"/>
              <w:rPr>
                <w:color w:val="auto"/>
              </w:rPr>
            </w:pPr>
            <w:r>
              <w:rPr>
                <w:color w:val="auto"/>
              </w:rPr>
              <w:t>&gt;35°</w:t>
            </w:r>
          </w:p>
        </w:tc>
        <w:tc>
          <w:tcPr>
            <w:tcW w:w="1014" w:type="dxa"/>
            <w:tcBorders>
              <w:top w:val="single" w:color="000000" w:sz="4" w:space="0"/>
              <w:left w:val="single" w:color="000000" w:sz="4" w:space="0"/>
              <w:bottom w:val="single" w:color="000000" w:sz="4" w:space="0"/>
              <w:right w:val="single" w:color="000000" w:sz="4" w:space="0"/>
            </w:tcBorders>
            <w:noWrap/>
            <w:vAlign w:val="center"/>
          </w:tcPr>
          <w:p w14:paraId="53332E24">
            <w:pPr>
              <w:spacing w:before="48" w:beforeLines="20" w:after="48" w:afterLines="20"/>
              <w:jc w:val="center"/>
              <w:rPr>
                <w:color w:val="auto"/>
              </w:rPr>
            </w:pPr>
            <w:r>
              <w:rPr>
                <w:color w:val="auto"/>
              </w:rPr>
              <w:t>不规整</w:t>
            </w:r>
          </w:p>
        </w:tc>
        <w:tc>
          <w:tcPr>
            <w:tcW w:w="620" w:type="dxa"/>
            <w:tcBorders>
              <w:top w:val="single" w:color="000000" w:sz="4" w:space="0"/>
              <w:left w:val="single" w:color="000000" w:sz="4" w:space="0"/>
              <w:bottom w:val="single" w:color="000000" w:sz="4" w:space="0"/>
              <w:right w:val="single" w:color="000000" w:sz="4" w:space="0"/>
            </w:tcBorders>
            <w:vAlign w:val="center"/>
          </w:tcPr>
          <w:p w14:paraId="5631009C">
            <w:pPr>
              <w:spacing w:before="48" w:beforeLines="20" w:after="48" w:afterLines="20"/>
              <w:jc w:val="center"/>
              <w:rPr>
                <w:rFonts w:hint="default" w:eastAsia="宋体"/>
                <w:color w:val="auto"/>
                <w:lang w:val="en-US" w:eastAsia="zh-CN"/>
              </w:rPr>
            </w:pPr>
            <w:r>
              <w:rPr>
                <w:rFonts w:hint="eastAsia"/>
                <w:color w:val="auto"/>
                <w:lang w:val="en-US" w:eastAsia="zh-CN"/>
              </w:rPr>
              <w:t>1.9</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40D633D">
            <w:pPr>
              <w:spacing w:before="48" w:beforeLines="20" w:after="48" w:afterLines="20"/>
              <w:jc w:val="center"/>
              <w:rPr>
                <w:color w:val="auto"/>
              </w:rPr>
            </w:pPr>
            <w:r>
              <w:rPr>
                <w:rFonts w:hint="eastAsia"/>
                <w:color w:val="auto"/>
                <w:lang w:val="en-US" w:eastAsia="zh-CN"/>
              </w:rPr>
              <w:t>中</w:t>
            </w:r>
            <w:r>
              <w:rPr>
                <w:color w:val="auto"/>
              </w:rPr>
              <w:t>度</w:t>
            </w:r>
          </w:p>
        </w:tc>
      </w:tr>
    </w:tbl>
    <w:p w14:paraId="4941B11E">
      <w:pPr>
        <w:widowControl/>
        <w:spacing w:line="360" w:lineRule="auto"/>
        <w:ind w:firstLine="560" w:firstLineChars="200"/>
        <w:rPr>
          <w:rFonts w:hint="eastAsia"/>
          <w:color w:val="auto"/>
          <w:kern w:val="0"/>
          <w:sz w:val="28"/>
          <w:szCs w:val="28"/>
          <w:lang w:val="en-US" w:eastAsia="zh-CN"/>
        </w:rPr>
      </w:pPr>
      <w:r>
        <w:rPr>
          <w:rFonts w:hint="eastAsia"/>
          <w:color w:val="auto"/>
          <w:kern w:val="0"/>
          <w:sz w:val="28"/>
          <w:szCs w:val="28"/>
          <w:lang w:eastAsia="zh-CN"/>
        </w:rPr>
        <w:t>（</w:t>
      </w:r>
      <w:r>
        <w:rPr>
          <w:rFonts w:hint="eastAsia"/>
          <w:color w:val="auto"/>
          <w:kern w:val="0"/>
          <w:sz w:val="28"/>
          <w:szCs w:val="28"/>
          <w:lang w:val="en-US" w:eastAsia="zh-CN"/>
        </w:rPr>
        <w:t>10</w:t>
      </w:r>
      <w:r>
        <w:rPr>
          <w:rFonts w:hint="eastAsia"/>
          <w:color w:val="auto"/>
          <w:kern w:val="0"/>
          <w:sz w:val="28"/>
          <w:szCs w:val="28"/>
          <w:lang w:eastAsia="zh-CN"/>
        </w:rPr>
        <w:t>）</w:t>
      </w:r>
      <w:r>
        <w:rPr>
          <w:rFonts w:hint="eastAsia"/>
          <w:color w:val="auto"/>
          <w:kern w:val="0"/>
          <w:sz w:val="28"/>
          <w:szCs w:val="28"/>
          <w:lang w:val="en-US" w:eastAsia="zh-CN"/>
        </w:rPr>
        <w:t>变压器</w:t>
      </w:r>
    </w:p>
    <w:p w14:paraId="67EBB250">
      <w:pPr>
        <w:widowControl/>
        <w:spacing w:line="360" w:lineRule="auto"/>
        <w:ind w:firstLine="560" w:firstLineChars="200"/>
        <w:rPr>
          <w:color w:val="auto"/>
          <w:kern w:val="0"/>
          <w:sz w:val="28"/>
          <w:szCs w:val="28"/>
        </w:rPr>
      </w:pPr>
      <w:r>
        <w:rPr>
          <w:rFonts w:hint="eastAsia"/>
          <w:color w:val="auto"/>
          <w:kern w:val="0"/>
          <w:sz w:val="28"/>
          <w:szCs w:val="28"/>
          <w:lang w:val="en-US" w:eastAsia="zh-CN"/>
        </w:rPr>
        <w:t>变压器</w:t>
      </w:r>
      <w:r>
        <w:rPr>
          <w:color w:val="auto"/>
          <w:kern w:val="0"/>
          <w:sz w:val="28"/>
          <w:szCs w:val="28"/>
        </w:rPr>
        <w:t>面积</w:t>
      </w:r>
      <w:r>
        <w:rPr>
          <w:rFonts w:hint="eastAsia"/>
          <w:color w:val="auto"/>
          <w:kern w:val="0"/>
          <w:sz w:val="28"/>
          <w:szCs w:val="28"/>
          <w:lang w:val="en-US" w:eastAsia="zh-CN"/>
        </w:rPr>
        <w:t>18</w:t>
      </w:r>
      <w:r>
        <w:rPr>
          <w:color w:val="auto"/>
          <w:kern w:val="0"/>
          <w:sz w:val="28"/>
          <w:szCs w:val="28"/>
        </w:rPr>
        <w:t>m</w:t>
      </w:r>
      <w:r>
        <w:rPr>
          <w:color w:val="auto"/>
          <w:kern w:val="0"/>
          <w:sz w:val="28"/>
          <w:szCs w:val="28"/>
          <w:vertAlign w:val="superscript"/>
        </w:rPr>
        <w:t>2</w:t>
      </w:r>
      <w:r>
        <w:rPr>
          <w:color w:val="auto"/>
          <w:kern w:val="0"/>
          <w:sz w:val="28"/>
          <w:szCs w:val="28"/>
        </w:rPr>
        <w:t>，砾石含量&gt;3</w:t>
      </w:r>
      <w:r>
        <w:rPr>
          <w:rFonts w:hint="eastAsia"/>
          <w:color w:val="auto"/>
          <w:kern w:val="0"/>
          <w:sz w:val="28"/>
          <w:szCs w:val="28"/>
          <w:lang w:val="en-US" w:eastAsia="zh-CN"/>
        </w:rPr>
        <w:t>0</w:t>
      </w:r>
      <w:r>
        <w:rPr>
          <w:color w:val="auto"/>
          <w:kern w:val="0"/>
          <w:sz w:val="28"/>
          <w:szCs w:val="28"/>
        </w:rPr>
        <w:t>%，复垦难度</w:t>
      </w:r>
      <w:r>
        <w:rPr>
          <w:rFonts w:hint="eastAsia"/>
          <w:color w:val="auto"/>
          <w:kern w:val="0"/>
          <w:sz w:val="28"/>
          <w:szCs w:val="28"/>
          <w:lang w:val="en-US" w:eastAsia="zh-CN"/>
        </w:rPr>
        <w:t>易</w:t>
      </w:r>
      <w:r>
        <w:rPr>
          <w:color w:val="auto"/>
          <w:kern w:val="0"/>
          <w:sz w:val="28"/>
          <w:szCs w:val="28"/>
        </w:rPr>
        <w:t>。破坏前土地利用类型为</w:t>
      </w:r>
      <w:r>
        <w:rPr>
          <w:rFonts w:hint="eastAsia"/>
          <w:color w:val="auto"/>
          <w:kern w:val="0"/>
          <w:sz w:val="28"/>
          <w:szCs w:val="28"/>
          <w:lang w:val="en-US" w:eastAsia="zh-CN"/>
        </w:rPr>
        <w:t>采矿用地18</w:t>
      </w:r>
      <w:r>
        <w:rPr>
          <w:color w:val="auto"/>
          <w:kern w:val="0"/>
          <w:sz w:val="28"/>
          <w:szCs w:val="28"/>
        </w:rPr>
        <w:t>m</w:t>
      </w:r>
      <w:r>
        <w:rPr>
          <w:color w:val="auto"/>
          <w:kern w:val="0"/>
          <w:sz w:val="28"/>
          <w:szCs w:val="28"/>
          <w:vertAlign w:val="superscript"/>
        </w:rPr>
        <w:t>2</w:t>
      </w:r>
      <w:r>
        <w:rPr>
          <w:rFonts w:hint="eastAsia"/>
          <w:color w:val="auto"/>
          <w:kern w:val="0"/>
          <w:sz w:val="28"/>
          <w:szCs w:val="28"/>
          <w:lang w:val="en-US" w:eastAsia="zh-CN"/>
        </w:rPr>
        <w:t>。</w:t>
      </w:r>
      <w:r>
        <w:rPr>
          <w:color w:val="auto"/>
          <w:kern w:val="0"/>
          <w:sz w:val="28"/>
          <w:szCs w:val="28"/>
        </w:rPr>
        <w:t>损毁类型为压占。场地的建设导致原有土地改变，地表植被直接被破坏，地表原有功能丧失，对土地资源影响和破坏程度为</w:t>
      </w:r>
      <w:r>
        <w:rPr>
          <w:rFonts w:hint="eastAsia"/>
          <w:color w:val="auto"/>
          <w:kern w:val="0"/>
          <w:sz w:val="28"/>
          <w:szCs w:val="28"/>
          <w:lang w:val="en-US" w:eastAsia="zh-CN"/>
        </w:rPr>
        <w:t>中</w:t>
      </w:r>
      <w:r>
        <w:rPr>
          <w:color w:val="auto"/>
          <w:kern w:val="0"/>
          <w:sz w:val="28"/>
          <w:szCs w:val="28"/>
        </w:rPr>
        <w:t>度。</w:t>
      </w:r>
    </w:p>
    <w:p w14:paraId="00E5B689">
      <w:pPr>
        <w:widowControl/>
        <w:snapToGrid w:val="0"/>
        <w:jc w:val="center"/>
        <w:rPr>
          <w:rFonts w:eastAsia="黑体"/>
          <w:bCs/>
          <w:color w:val="auto"/>
          <w:sz w:val="24"/>
          <w:szCs w:val="24"/>
        </w:rPr>
      </w:pPr>
      <w:r>
        <w:rPr>
          <w:rFonts w:eastAsia="黑体"/>
          <w:bCs/>
          <w:color w:val="auto"/>
          <w:sz w:val="24"/>
          <w:szCs w:val="24"/>
        </w:rPr>
        <w:t>表3-</w:t>
      </w:r>
      <w:r>
        <w:rPr>
          <w:rFonts w:hint="eastAsia" w:eastAsia="黑体"/>
          <w:bCs/>
          <w:color w:val="auto"/>
          <w:sz w:val="24"/>
          <w:szCs w:val="24"/>
          <w:lang w:val="en-US" w:eastAsia="zh-CN"/>
        </w:rPr>
        <w:t xml:space="preserve">24  </w:t>
      </w:r>
      <w:r>
        <w:rPr>
          <w:rFonts w:eastAsia="黑体"/>
          <w:bCs/>
          <w:color w:val="auto"/>
          <w:sz w:val="24"/>
          <w:szCs w:val="24"/>
        </w:rPr>
        <w:t>土地损毁程度评价表</w:t>
      </w:r>
    </w:p>
    <w:tbl>
      <w:tblPr>
        <w:tblStyle w:val="34"/>
        <w:tblW w:w="8680" w:type="dxa"/>
        <w:jc w:val="center"/>
        <w:tblLayout w:type="fixed"/>
        <w:tblCellMar>
          <w:top w:w="0" w:type="dxa"/>
          <w:left w:w="108" w:type="dxa"/>
          <w:bottom w:w="0" w:type="dxa"/>
          <w:right w:w="108" w:type="dxa"/>
        </w:tblCellMar>
      </w:tblPr>
      <w:tblGrid>
        <w:gridCol w:w="1701"/>
        <w:gridCol w:w="846"/>
        <w:gridCol w:w="992"/>
        <w:gridCol w:w="875"/>
        <w:gridCol w:w="974"/>
        <w:gridCol w:w="1022"/>
        <w:gridCol w:w="1014"/>
        <w:gridCol w:w="620"/>
        <w:gridCol w:w="636"/>
      </w:tblGrid>
      <w:tr w14:paraId="031AC5E7">
        <w:tblPrEx>
          <w:tblCellMar>
            <w:top w:w="0" w:type="dxa"/>
            <w:left w:w="108" w:type="dxa"/>
            <w:bottom w:w="0" w:type="dxa"/>
            <w:right w:w="108" w:type="dxa"/>
          </w:tblCellMar>
        </w:tblPrEx>
        <w:trPr>
          <w:trHeight w:val="90" w:hRule="atLeast"/>
          <w:tblHeader/>
          <w:jc w:val="center"/>
        </w:trPr>
        <w:tc>
          <w:tcPr>
            <w:tcW w:w="1701" w:type="dxa"/>
            <w:vMerge w:val="restart"/>
            <w:tcBorders>
              <w:top w:val="single" w:color="000000" w:sz="4" w:space="0"/>
              <w:left w:val="single" w:color="000000" w:sz="4" w:space="0"/>
              <w:bottom w:val="single" w:color="000000" w:sz="4" w:space="0"/>
              <w:right w:val="single" w:color="000000" w:sz="4" w:space="0"/>
            </w:tcBorders>
            <w:vAlign w:val="center"/>
          </w:tcPr>
          <w:p w14:paraId="05CC12FE">
            <w:pPr>
              <w:adjustRightInd w:val="0"/>
              <w:snapToGrid w:val="0"/>
              <w:jc w:val="center"/>
              <w:rPr>
                <w:color w:val="auto"/>
              </w:rPr>
            </w:pPr>
            <w:r>
              <w:rPr>
                <w:color w:val="auto"/>
              </w:rPr>
              <w:t>破坏单元</w:t>
            </w:r>
          </w:p>
        </w:tc>
        <w:tc>
          <w:tcPr>
            <w:tcW w:w="5723" w:type="dxa"/>
            <w:gridSpan w:val="6"/>
            <w:tcBorders>
              <w:top w:val="single" w:color="000000" w:sz="4" w:space="0"/>
              <w:left w:val="single" w:color="000000" w:sz="4" w:space="0"/>
              <w:bottom w:val="single" w:color="000000" w:sz="4" w:space="0"/>
              <w:right w:val="single" w:color="000000" w:sz="4" w:space="0"/>
            </w:tcBorders>
            <w:vAlign w:val="center"/>
          </w:tcPr>
          <w:p w14:paraId="745675BE">
            <w:pPr>
              <w:adjustRightInd w:val="0"/>
              <w:snapToGrid w:val="0"/>
              <w:jc w:val="center"/>
              <w:rPr>
                <w:color w:val="auto"/>
              </w:rPr>
            </w:pPr>
            <w:r>
              <w:rPr>
                <w:color w:val="auto"/>
              </w:rPr>
              <w:t>评价因子</w:t>
            </w:r>
          </w:p>
        </w:tc>
        <w:tc>
          <w:tcPr>
            <w:tcW w:w="620" w:type="dxa"/>
            <w:vMerge w:val="restart"/>
            <w:tcBorders>
              <w:top w:val="single" w:color="000000" w:sz="4" w:space="0"/>
              <w:left w:val="single" w:color="000000" w:sz="4" w:space="0"/>
              <w:bottom w:val="single" w:color="000000" w:sz="4" w:space="0"/>
              <w:right w:val="single" w:color="000000" w:sz="4" w:space="0"/>
            </w:tcBorders>
            <w:vAlign w:val="center"/>
          </w:tcPr>
          <w:p w14:paraId="5D800C58">
            <w:pPr>
              <w:adjustRightInd w:val="0"/>
              <w:snapToGrid w:val="0"/>
              <w:jc w:val="center"/>
              <w:rPr>
                <w:color w:val="auto"/>
              </w:rPr>
            </w:pPr>
            <w:r>
              <w:rPr>
                <w:color w:val="auto"/>
              </w:rPr>
              <w:t>得分</w:t>
            </w:r>
          </w:p>
        </w:tc>
        <w:tc>
          <w:tcPr>
            <w:tcW w:w="636" w:type="dxa"/>
            <w:vMerge w:val="restart"/>
            <w:tcBorders>
              <w:top w:val="single" w:color="000000" w:sz="4" w:space="0"/>
              <w:left w:val="single" w:color="000000" w:sz="4" w:space="0"/>
              <w:right w:val="single" w:color="000000" w:sz="4" w:space="0"/>
            </w:tcBorders>
            <w:vAlign w:val="center"/>
          </w:tcPr>
          <w:p w14:paraId="2D471015">
            <w:pPr>
              <w:adjustRightInd w:val="0"/>
              <w:snapToGrid w:val="0"/>
              <w:jc w:val="center"/>
              <w:rPr>
                <w:color w:val="auto"/>
              </w:rPr>
            </w:pPr>
            <w:r>
              <w:rPr>
                <w:color w:val="auto"/>
              </w:rPr>
              <w:t>损毁</w:t>
            </w:r>
          </w:p>
          <w:p w14:paraId="3A40BCA0">
            <w:pPr>
              <w:adjustRightInd w:val="0"/>
              <w:snapToGrid w:val="0"/>
              <w:jc w:val="center"/>
              <w:rPr>
                <w:color w:val="auto"/>
              </w:rPr>
            </w:pPr>
            <w:r>
              <w:rPr>
                <w:color w:val="auto"/>
              </w:rPr>
              <w:t>程度</w:t>
            </w:r>
          </w:p>
        </w:tc>
      </w:tr>
      <w:tr w14:paraId="6B252337">
        <w:tblPrEx>
          <w:tblCellMar>
            <w:top w:w="0" w:type="dxa"/>
            <w:left w:w="108" w:type="dxa"/>
            <w:bottom w:w="0" w:type="dxa"/>
            <w:right w:w="108" w:type="dxa"/>
          </w:tblCellMar>
        </w:tblPrEx>
        <w:trPr>
          <w:trHeight w:val="397" w:hRule="atLeast"/>
          <w:tblHeader/>
          <w:jc w:val="center"/>
        </w:trPr>
        <w:tc>
          <w:tcPr>
            <w:tcW w:w="1701" w:type="dxa"/>
            <w:vMerge w:val="continue"/>
            <w:tcBorders>
              <w:top w:val="single" w:color="000000" w:sz="4" w:space="0"/>
              <w:left w:val="single" w:color="000000" w:sz="4" w:space="0"/>
              <w:bottom w:val="single" w:color="000000" w:sz="4" w:space="0"/>
              <w:right w:val="single" w:color="000000" w:sz="4" w:space="0"/>
            </w:tcBorders>
            <w:vAlign w:val="center"/>
          </w:tcPr>
          <w:p w14:paraId="7B1703BB">
            <w:pPr>
              <w:adjustRightInd w:val="0"/>
              <w:snapToGrid w:val="0"/>
              <w:jc w:val="center"/>
              <w:rPr>
                <w:color w:val="auto"/>
              </w:rPr>
            </w:pPr>
          </w:p>
        </w:tc>
        <w:tc>
          <w:tcPr>
            <w:tcW w:w="846" w:type="dxa"/>
            <w:tcBorders>
              <w:top w:val="single" w:color="000000" w:sz="4" w:space="0"/>
              <w:left w:val="single" w:color="000000" w:sz="4" w:space="0"/>
              <w:bottom w:val="single" w:color="000000" w:sz="4" w:space="0"/>
              <w:right w:val="single" w:color="000000" w:sz="4" w:space="0"/>
            </w:tcBorders>
            <w:vAlign w:val="center"/>
          </w:tcPr>
          <w:p w14:paraId="0A07EE31">
            <w:pPr>
              <w:adjustRightInd w:val="0"/>
              <w:snapToGrid w:val="0"/>
              <w:jc w:val="center"/>
              <w:rPr>
                <w:color w:val="auto"/>
              </w:rPr>
            </w:pPr>
            <w:r>
              <w:rPr>
                <w:color w:val="auto"/>
              </w:rPr>
              <w:t>压占</w:t>
            </w:r>
          </w:p>
          <w:p w14:paraId="1E86638F">
            <w:pPr>
              <w:adjustRightInd w:val="0"/>
              <w:snapToGrid w:val="0"/>
              <w:jc w:val="center"/>
              <w:rPr>
                <w:color w:val="auto"/>
              </w:rPr>
            </w:pPr>
            <w:r>
              <w:rPr>
                <w:color w:val="auto"/>
              </w:rPr>
              <w:t>面积</w:t>
            </w:r>
          </w:p>
        </w:tc>
        <w:tc>
          <w:tcPr>
            <w:tcW w:w="992" w:type="dxa"/>
            <w:tcBorders>
              <w:top w:val="single" w:color="000000" w:sz="4" w:space="0"/>
              <w:left w:val="single" w:color="000000" w:sz="4" w:space="0"/>
              <w:bottom w:val="single" w:color="000000" w:sz="4" w:space="0"/>
              <w:right w:val="single" w:color="000000" w:sz="4" w:space="0"/>
            </w:tcBorders>
            <w:vAlign w:val="center"/>
          </w:tcPr>
          <w:p w14:paraId="47E1BAD2">
            <w:pPr>
              <w:adjustRightInd w:val="0"/>
              <w:snapToGrid w:val="0"/>
              <w:jc w:val="center"/>
              <w:rPr>
                <w:color w:val="auto"/>
              </w:rPr>
            </w:pPr>
            <w:r>
              <w:rPr>
                <w:color w:val="auto"/>
              </w:rPr>
              <w:t>边坡</w:t>
            </w:r>
          </w:p>
          <w:p w14:paraId="63F76265">
            <w:pPr>
              <w:adjustRightInd w:val="0"/>
              <w:snapToGrid w:val="0"/>
              <w:jc w:val="center"/>
              <w:rPr>
                <w:color w:val="auto"/>
              </w:rPr>
            </w:pPr>
            <w:r>
              <w:rPr>
                <w:color w:val="auto"/>
              </w:rPr>
              <w:t>坡度</w:t>
            </w:r>
          </w:p>
        </w:tc>
        <w:tc>
          <w:tcPr>
            <w:tcW w:w="875" w:type="dxa"/>
            <w:tcBorders>
              <w:top w:val="single" w:color="000000" w:sz="4" w:space="0"/>
              <w:left w:val="single" w:color="000000" w:sz="4" w:space="0"/>
              <w:bottom w:val="single" w:color="000000" w:sz="4" w:space="0"/>
              <w:right w:val="single" w:color="000000" w:sz="4" w:space="0"/>
            </w:tcBorders>
            <w:vAlign w:val="center"/>
          </w:tcPr>
          <w:p w14:paraId="44B05E36">
            <w:pPr>
              <w:adjustRightInd w:val="0"/>
              <w:snapToGrid w:val="0"/>
              <w:jc w:val="center"/>
              <w:rPr>
                <w:color w:val="auto"/>
              </w:rPr>
            </w:pPr>
            <w:r>
              <w:rPr>
                <w:color w:val="auto"/>
              </w:rPr>
              <w:t>排渣</w:t>
            </w:r>
          </w:p>
          <w:p w14:paraId="34B988D1">
            <w:pPr>
              <w:adjustRightInd w:val="0"/>
              <w:snapToGrid w:val="0"/>
              <w:jc w:val="center"/>
              <w:rPr>
                <w:color w:val="auto"/>
              </w:rPr>
            </w:pPr>
            <w:r>
              <w:rPr>
                <w:color w:val="auto"/>
              </w:rPr>
              <w:t>高度</w:t>
            </w:r>
          </w:p>
        </w:tc>
        <w:tc>
          <w:tcPr>
            <w:tcW w:w="974" w:type="dxa"/>
            <w:tcBorders>
              <w:top w:val="single" w:color="000000" w:sz="4" w:space="0"/>
              <w:left w:val="single" w:color="000000" w:sz="4" w:space="0"/>
              <w:bottom w:val="single" w:color="000000" w:sz="4" w:space="0"/>
              <w:right w:val="single" w:color="000000" w:sz="4" w:space="0"/>
            </w:tcBorders>
            <w:vAlign w:val="center"/>
          </w:tcPr>
          <w:p w14:paraId="081CF103">
            <w:pPr>
              <w:adjustRightInd w:val="0"/>
              <w:snapToGrid w:val="0"/>
              <w:jc w:val="center"/>
              <w:rPr>
                <w:color w:val="auto"/>
              </w:rPr>
            </w:pPr>
            <w:r>
              <w:rPr>
                <w:color w:val="auto"/>
              </w:rPr>
              <w:t>土地</w:t>
            </w:r>
          </w:p>
          <w:p w14:paraId="3E89370F">
            <w:pPr>
              <w:adjustRightInd w:val="0"/>
              <w:snapToGrid w:val="0"/>
              <w:jc w:val="center"/>
              <w:rPr>
                <w:color w:val="auto"/>
              </w:rPr>
            </w:pPr>
            <w:r>
              <w:rPr>
                <w:color w:val="auto"/>
              </w:rPr>
              <w:t>稳定性</w:t>
            </w:r>
          </w:p>
        </w:tc>
        <w:tc>
          <w:tcPr>
            <w:tcW w:w="1022" w:type="dxa"/>
            <w:tcBorders>
              <w:top w:val="single" w:color="000000" w:sz="4" w:space="0"/>
              <w:left w:val="single" w:color="000000" w:sz="4" w:space="0"/>
              <w:bottom w:val="single" w:color="000000" w:sz="4" w:space="0"/>
              <w:right w:val="single" w:color="000000" w:sz="4" w:space="0"/>
            </w:tcBorders>
            <w:vAlign w:val="center"/>
          </w:tcPr>
          <w:p w14:paraId="02909A32">
            <w:pPr>
              <w:adjustRightInd w:val="0"/>
              <w:snapToGrid w:val="0"/>
              <w:jc w:val="center"/>
              <w:rPr>
                <w:color w:val="auto"/>
              </w:rPr>
            </w:pPr>
            <w:r>
              <w:rPr>
                <w:color w:val="auto"/>
              </w:rPr>
              <w:t>砾石</w:t>
            </w:r>
          </w:p>
          <w:p w14:paraId="04CF4036">
            <w:pPr>
              <w:adjustRightInd w:val="0"/>
              <w:snapToGrid w:val="0"/>
              <w:jc w:val="center"/>
              <w:rPr>
                <w:color w:val="auto"/>
              </w:rPr>
            </w:pPr>
            <w:r>
              <w:rPr>
                <w:color w:val="auto"/>
              </w:rPr>
              <w:t>含量</w:t>
            </w:r>
          </w:p>
        </w:tc>
        <w:tc>
          <w:tcPr>
            <w:tcW w:w="1014" w:type="dxa"/>
            <w:tcBorders>
              <w:top w:val="single" w:color="000000" w:sz="4" w:space="0"/>
              <w:left w:val="single" w:color="000000" w:sz="4" w:space="0"/>
              <w:bottom w:val="single" w:color="000000" w:sz="4" w:space="0"/>
              <w:right w:val="single" w:color="000000" w:sz="4" w:space="0"/>
            </w:tcBorders>
            <w:vAlign w:val="center"/>
          </w:tcPr>
          <w:p w14:paraId="2F5A4A81">
            <w:pPr>
              <w:adjustRightInd w:val="0"/>
              <w:snapToGrid w:val="0"/>
              <w:jc w:val="center"/>
              <w:rPr>
                <w:color w:val="auto"/>
              </w:rPr>
            </w:pPr>
            <w:r>
              <w:rPr>
                <w:color w:val="auto"/>
              </w:rPr>
              <w:t>复垦</w:t>
            </w:r>
          </w:p>
          <w:p w14:paraId="416B0335">
            <w:pPr>
              <w:adjustRightInd w:val="0"/>
              <w:snapToGrid w:val="0"/>
              <w:jc w:val="center"/>
              <w:rPr>
                <w:color w:val="auto"/>
              </w:rPr>
            </w:pPr>
            <w:r>
              <w:rPr>
                <w:color w:val="auto"/>
              </w:rPr>
              <w:t>难度</w:t>
            </w:r>
          </w:p>
        </w:tc>
        <w:tc>
          <w:tcPr>
            <w:tcW w:w="620" w:type="dxa"/>
            <w:vMerge w:val="continue"/>
            <w:tcBorders>
              <w:top w:val="single" w:color="000000" w:sz="4" w:space="0"/>
              <w:left w:val="single" w:color="000000" w:sz="4" w:space="0"/>
              <w:bottom w:val="single" w:color="000000" w:sz="4" w:space="0"/>
              <w:right w:val="single" w:color="000000" w:sz="4" w:space="0"/>
            </w:tcBorders>
            <w:vAlign w:val="center"/>
          </w:tcPr>
          <w:p w14:paraId="7B044159">
            <w:pPr>
              <w:adjustRightInd w:val="0"/>
              <w:snapToGrid w:val="0"/>
              <w:jc w:val="center"/>
              <w:rPr>
                <w:color w:val="auto"/>
              </w:rPr>
            </w:pPr>
          </w:p>
        </w:tc>
        <w:tc>
          <w:tcPr>
            <w:tcW w:w="636" w:type="dxa"/>
            <w:vMerge w:val="continue"/>
            <w:tcBorders>
              <w:left w:val="single" w:color="000000" w:sz="4" w:space="0"/>
              <w:bottom w:val="single" w:color="000000" w:sz="4" w:space="0"/>
              <w:right w:val="single" w:color="000000" w:sz="4" w:space="0"/>
            </w:tcBorders>
            <w:vAlign w:val="center"/>
          </w:tcPr>
          <w:p w14:paraId="2326E307">
            <w:pPr>
              <w:adjustRightInd w:val="0"/>
              <w:snapToGrid w:val="0"/>
              <w:jc w:val="center"/>
              <w:rPr>
                <w:color w:val="auto"/>
              </w:rPr>
            </w:pPr>
          </w:p>
        </w:tc>
      </w:tr>
      <w:tr w14:paraId="7D9AED09">
        <w:tblPrEx>
          <w:tblCellMar>
            <w:top w:w="0" w:type="dxa"/>
            <w:left w:w="108" w:type="dxa"/>
            <w:bottom w:w="0" w:type="dxa"/>
            <w:right w:w="108" w:type="dxa"/>
          </w:tblCellMar>
        </w:tblPrEx>
        <w:trPr>
          <w:trHeight w:val="90" w:hRule="atLeast"/>
          <w:jc w:val="center"/>
        </w:trPr>
        <w:tc>
          <w:tcPr>
            <w:tcW w:w="1701" w:type="dxa"/>
            <w:tcBorders>
              <w:top w:val="single" w:color="000000" w:sz="4" w:space="0"/>
              <w:left w:val="single" w:color="000000" w:sz="4" w:space="0"/>
              <w:bottom w:val="single" w:color="000000" w:sz="4" w:space="0"/>
              <w:right w:val="single" w:color="000000" w:sz="4" w:space="0"/>
            </w:tcBorders>
            <w:vAlign w:val="center"/>
          </w:tcPr>
          <w:p w14:paraId="5EDC2D25">
            <w:pPr>
              <w:adjustRightInd w:val="0"/>
              <w:snapToGrid w:val="0"/>
              <w:jc w:val="center"/>
              <w:rPr>
                <w:rFonts w:hint="eastAsia" w:eastAsia="宋体"/>
                <w:color w:val="auto"/>
                <w:lang w:eastAsia="zh-CN"/>
              </w:rPr>
            </w:pPr>
            <w:r>
              <w:rPr>
                <w:rFonts w:hint="eastAsia"/>
                <w:color w:val="auto"/>
                <w:lang w:val="en-US" w:eastAsia="zh-CN"/>
              </w:rPr>
              <w:t>变压器</w:t>
            </w:r>
          </w:p>
        </w:tc>
        <w:tc>
          <w:tcPr>
            <w:tcW w:w="846" w:type="dxa"/>
            <w:tcBorders>
              <w:top w:val="single" w:color="000000" w:sz="4" w:space="0"/>
              <w:left w:val="single" w:color="000000" w:sz="4" w:space="0"/>
              <w:bottom w:val="single" w:color="000000" w:sz="4" w:space="0"/>
              <w:right w:val="single" w:color="000000" w:sz="4" w:space="0"/>
            </w:tcBorders>
            <w:vAlign w:val="center"/>
          </w:tcPr>
          <w:p w14:paraId="7342D6BF">
            <w:pPr>
              <w:adjustRightInd w:val="0"/>
              <w:snapToGrid w:val="0"/>
              <w:jc w:val="center"/>
              <w:rPr>
                <w:rFonts w:hint="default" w:eastAsia="宋体"/>
                <w:color w:val="auto"/>
                <w:lang w:val="en-US" w:eastAsia="zh-CN"/>
              </w:rPr>
            </w:pPr>
            <w:r>
              <w:rPr>
                <w:rFonts w:hint="eastAsia"/>
                <w:color w:val="auto"/>
                <w:lang w:val="en-US" w:eastAsia="zh-CN"/>
              </w:rPr>
              <w:t>18</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3C758E81">
            <w:pPr>
              <w:adjustRightInd w:val="0"/>
              <w:snapToGrid w:val="0"/>
              <w:jc w:val="center"/>
              <w:rPr>
                <w:color w:val="auto"/>
              </w:rPr>
            </w:pPr>
            <w:r>
              <w:rPr>
                <w:color w:val="auto"/>
              </w:rPr>
              <w:t>&lt;25°</w:t>
            </w: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3D650B4B">
            <w:pPr>
              <w:adjustRightInd w:val="0"/>
              <w:snapToGrid w:val="0"/>
              <w:jc w:val="center"/>
              <w:rPr>
                <w:color w:val="auto"/>
              </w:rPr>
            </w:pPr>
            <w:r>
              <w:rPr>
                <w:color w:val="auto"/>
              </w:rPr>
              <w:t>3-6m</w:t>
            </w:r>
          </w:p>
        </w:tc>
        <w:tc>
          <w:tcPr>
            <w:tcW w:w="974" w:type="dxa"/>
            <w:tcBorders>
              <w:top w:val="single" w:color="000000" w:sz="4" w:space="0"/>
              <w:left w:val="single" w:color="000000" w:sz="4" w:space="0"/>
              <w:bottom w:val="single" w:color="000000" w:sz="4" w:space="0"/>
              <w:right w:val="single" w:color="000000" w:sz="4" w:space="0"/>
            </w:tcBorders>
            <w:noWrap/>
            <w:vAlign w:val="center"/>
          </w:tcPr>
          <w:p w14:paraId="335EBADE">
            <w:pPr>
              <w:adjustRightInd w:val="0"/>
              <w:snapToGrid w:val="0"/>
              <w:jc w:val="center"/>
              <w:rPr>
                <w:color w:val="auto"/>
              </w:rPr>
            </w:pPr>
            <w:r>
              <w:rPr>
                <w:color w:val="auto"/>
              </w:rPr>
              <w:t>稳定</w:t>
            </w:r>
          </w:p>
        </w:tc>
        <w:tc>
          <w:tcPr>
            <w:tcW w:w="1022" w:type="dxa"/>
            <w:tcBorders>
              <w:top w:val="single" w:color="000000" w:sz="4" w:space="0"/>
              <w:left w:val="single" w:color="000000" w:sz="4" w:space="0"/>
              <w:bottom w:val="single" w:color="000000" w:sz="4" w:space="0"/>
              <w:right w:val="single" w:color="000000" w:sz="4" w:space="0"/>
            </w:tcBorders>
            <w:noWrap/>
            <w:vAlign w:val="center"/>
          </w:tcPr>
          <w:p w14:paraId="299E5500">
            <w:pPr>
              <w:adjustRightInd w:val="0"/>
              <w:snapToGrid w:val="0"/>
              <w:jc w:val="center"/>
              <w:rPr>
                <w:color w:val="auto"/>
              </w:rPr>
            </w:pPr>
            <w:r>
              <w:rPr>
                <w:color w:val="auto"/>
              </w:rPr>
              <w:t>&gt;3</w:t>
            </w:r>
            <w:r>
              <w:rPr>
                <w:rFonts w:hint="eastAsia"/>
                <w:color w:val="auto"/>
                <w:lang w:val="en-US" w:eastAsia="zh-CN"/>
              </w:rPr>
              <w:t>0</w:t>
            </w:r>
            <w:r>
              <w:rPr>
                <w:color w:val="auto"/>
              </w:rPr>
              <w:t>%</w:t>
            </w:r>
          </w:p>
        </w:tc>
        <w:tc>
          <w:tcPr>
            <w:tcW w:w="1014" w:type="dxa"/>
            <w:tcBorders>
              <w:top w:val="single" w:color="000000" w:sz="4" w:space="0"/>
              <w:left w:val="single" w:color="000000" w:sz="4" w:space="0"/>
              <w:bottom w:val="single" w:color="000000" w:sz="4" w:space="0"/>
              <w:right w:val="single" w:color="000000" w:sz="4" w:space="0"/>
            </w:tcBorders>
            <w:noWrap/>
            <w:vAlign w:val="center"/>
          </w:tcPr>
          <w:p w14:paraId="699FA390">
            <w:pPr>
              <w:adjustRightInd w:val="0"/>
              <w:snapToGrid w:val="0"/>
              <w:jc w:val="center"/>
              <w:rPr>
                <w:rFonts w:hint="eastAsia" w:eastAsia="宋体"/>
                <w:color w:val="auto"/>
                <w:lang w:eastAsia="zh-CN"/>
              </w:rPr>
            </w:pPr>
            <w:r>
              <w:rPr>
                <w:rFonts w:hint="eastAsia"/>
                <w:color w:val="auto"/>
                <w:lang w:val="en-US" w:eastAsia="zh-CN"/>
              </w:rPr>
              <w:t>易</w:t>
            </w:r>
          </w:p>
        </w:tc>
        <w:tc>
          <w:tcPr>
            <w:tcW w:w="620" w:type="dxa"/>
            <w:tcBorders>
              <w:top w:val="single" w:color="000000" w:sz="4" w:space="0"/>
              <w:left w:val="single" w:color="000000" w:sz="4" w:space="0"/>
              <w:bottom w:val="single" w:color="000000" w:sz="4" w:space="0"/>
              <w:right w:val="single" w:color="000000" w:sz="4" w:space="0"/>
            </w:tcBorders>
            <w:vAlign w:val="center"/>
          </w:tcPr>
          <w:p w14:paraId="1A05F556">
            <w:pPr>
              <w:adjustRightInd w:val="0"/>
              <w:snapToGrid w:val="0"/>
              <w:jc w:val="center"/>
              <w:rPr>
                <w:rFonts w:hint="default" w:eastAsia="宋体"/>
                <w:color w:val="auto"/>
                <w:lang w:val="en-US" w:eastAsia="zh-CN"/>
              </w:rPr>
            </w:pPr>
            <w:r>
              <w:rPr>
                <w:rFonts w:hint="eastAsia"/>
                <w:color w:val="auto"/>
                <w:lang w:val="en-US" w:eastAsia="zh-CN"/>
              </w:rPr>
              <w:t>1.7</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B727E77">
            <w:pPr>
              <w:adjustRightInd w:val="0"/>
              <w:snapToGrid w:val="0"/>
              <w:jc w:val="center"/>
              <w:rPr>
                <w:color w:val="auto"/>
              </w:rPr>
            </w:pPr>
            <w:r>
              <w:rPr>
                <w:color w:val="auto"/>
              </w:rPr>
              <w:t>中度</w:t>
            </w:r>
          </w:p>
        </w:tc>
      </w:tr>
    </w:tbl>
    <w:p w14:paraId="5E974296">
      <w:pPr>
        <w:widowControl/>
        <w:spacing w:line="360" w:lineRule="auto"/>
        <w:ind w:firstLine="560" w:firstLineChars="200"/>
        <w:rPr>
          <w:color w:val="auto"/>
          <w:kern w:val="0"/>
          <w:sz w:val="28"/>
          <w:szCs w:val="28"/>
        </w:rPr>
      </w:pPr>
      <w:r>
        <w:rPr>
          <w:color w:val="auto"/>
          <w:kern w:val="0"/>
          <w:sz w:val="28"/>
          <w:szCs w:val="28"/>
        </w:rPr>
        <w:t>（</w:t>
      </w:r>
      <w:r>
        <w:rPr>
          <w:rFonts w:hint="eastAsia"/>
          <w:color w:val="auto"/>
          <w:kern w:val="0"/>
          <w:sz w:val="28"/>
          <w:szCs w:val="28"/>
          <w:lang w:val="en-US" w:eastAsia="zh-CN"/>
        </w:rPr>
        <w:t>11</w:t>
      </w:r>
      <w:r>
        <w:rPr>
          <w:color w:val="auto"/>
          <w:kern w:val="0"/>
          <w:sz w:val="28"/>
          <w:szCs w:val="28"/>
        </w:rPr>
        <w:t>）其他区域</w:t>
      </w:r>
    </w:p>
    <w:p w14:paraId="6BE26063">
      <w:pPr>
        <w:widowControl/>
        <w:spacing w:line="360" w:lineRule="auto"/>
        <w:ind w:firstLine="560" w:firstLineChars="200"/>
        <w:rPr>
          <w:bCs/>
          <w:color w:val="auto"/>
          <w:kern w:val="0"/>
          <w:sz w:val="28"/>
          <w:szCs w:val="28"/>
        </w:rPr>
      </w:pPr>
      <w:r>
        <w:rPr>
          <w:color w:val="auto"/>
          <w:kern w:val="0"/>
          <w:sz w:val="28"/>
          <w:szCs w:val="28"/>
        </w:rPr>
        <w:t>其他</w:t>
      </w:r>
      <w:r>
        <w:rPr>
          <w:bCs/>
          <w:color w:val="auto"/>
          <w:kern w:val="0"/>
          <w:sz w:val="28"/>
          <w:szCs w:val="28"/>
        </w:rPr>
        <w:t>扰动区</w:t>
      </w:r>
      <w:r>
        <w:rPr>
          <w:color w:val="auto"/>
          <w:kern w:val="0"/>
          <w:sz w:val="28"/>
          <w:szCs w:val="28"/>
        </w:rPr>
        <w:t>未改变原有土地或破坏地表植被，地表原有功能完整，</w:t>
      </w:r>
      <w:r>
        <w:rPr>
          <w:bCs/>
          <w:color w:val="auto"/>
          <w:kern w:val="0"/>
          <w:sz w:val="28"/>
          <w:szCs w:val="28"/>
        </w:rPr>
        <w:t>未对土地造成损毁。</w:t>
      </w:r>
    </w:p>
    <w:p w14:paraId="6698A562">
      <w:pPr>
        <w:widowControl/>
        <w:spacing w:line="360" w:lineRule="auto"/>
        <w:ind w:firstLine="560" w:firstLineChars="200"/>
        <w:rPr>
          <w:color w:val="auto"/>
          <w:kern w:val="0"/>
          <w:sz w:val="28"/>
          <w:szCs w:val="28"/>
        </w:rPr>
      </w:pPr>
      <w:bookmarkStart w:id="63" w:name="OLE_LINK375"/>
      <w:r>
        <w:rPr>
          <w:color w:val="auto"/>
          <w:kern w:val="0"/>
          <w:sz w:val="28"/>
          <w:szCs w:val="28"/>
        </w:rPr>
        <w:t>综上所述，已损毁土地面积</w:t>
      </w:r>
      <w:r>
        <w:rPr>
          <w:rFonts w:hint="eastAsia"/>
          <w:color w:val="auto"/>
          <w:kern w:val="0"/>
          <w:sz w:val="28"/>
          <w:szCs w:val="28"/>
          <w:lang w:val="en-US" w:eastAsia="zh-CN"/>
        </w:rPr>
        <w:t>77670</w:t>
      </w:r>
      <w:r>
        <w:rPr>
          <w:color w:val="auto"/>
          <w:kern w:val="0"/>
          <w:sz w:val="28"/>
          <w:szCs w:val="28"/>
        </w:rPr>
        <w:t>m</w:t>
      </w:r>
      <w:r>
        <w:rPr>
          <w:color w:val="auto"/>
          <w:kern w:val="0"/>
          <w:sz w:val="28"/>
          <w:szCs w:val="28"/>
          <w:vertAlign w:val="superscript"/>
        </w:rPr>
        <w:t>2</w:t>
      </w:r>
      <w:r>
        <w:rPr>
          <w:color w:val="auto"/>
          <w:kern w:val="0"/>
          <w:sz w:val="28"/>
          <w:szCs w:val="28"/>
        </w:rPr>
        <w:t>，损毁土地类型为</w:t>
      </w:r>
      <w:r>
        <w:rPr>
          <w:rFonts w:hint="eastAsia"/>
          <w:color w:val="auto"/>
          <w:kern w:val="0"/>
          <w:sz w:val="28"/>
          <w:szCs w:val="28"/>
        </w:rPr>
        <w:t>乔木林地</w:t>
      </w:r>
      <w:r>
        <w:rPr>
          <w:rFonts w:hint="eastAsia"/>
          <w:color w:val="auto"/>
          <w:kern w:val="0"/>
          <w:sz w:val="28"/>
          <w:szCs w:val="28"/>
        </w:rPr>
        <w:tab/>
      </w:r>
      <w:r>
        <w:rPr>
          <w:rFonts w:hint="eastAsia"/>
          <w:color w:val="auto"/>
          <w:kern w:val="0"/>
          <w:sz w:val="28"/>
          <w:szCs w:val="28"/>
          <w:lang w:val="en-US" w:eastAsia="zh-CN"/>
        </w:rPr>
        <w:t>78</w:t>
      </w:r>
      <w:r>
        <w:rPr>
          <w:color w:val="auto"/>
          <w:kern w:val="0"/>
          <w:sz w:val="28"/>
          <w:szCs w:val="28"/>
        </w:rPr>
        <w:t>m</w:t>
      </w:r>
      <w:r>
        <w:rPr>
          <w:color w:val="auto"/>
          <w:kern w:val="0"/>
          <w:sz w:val="28"/>
          <w:szCs w:val="28"/>
          <w:vertAlign w:val="superscript"/>
        </w:rPr>
        <w:t>2</w:t>
      </w:r>
      <w:r>
        <w:rPr>
          <w:rFonts w:hint="eastAsia"/>
          <w:color w:val="auto"/>
          <w:kern w:val="0"/>
          <w:sz w:val="28"/>
          <w:szCs w:val="28"/>
          <w:lang w:eastAsia="zh-CN"/>
        </w:rPr>
        <w:t>、</w:t>
      </w:r>
      <w:r>
        <w:rPr>
          <w:rFonts w:hint="eastAsia"/>
          <w:color w:val="auto"/>
          <w:kern w:val="0"/>
          <w:sz w:val="28"/>
          <w:szCs w:val="28"/>
        </w:rPr>
        <w:t>灌木林地</w:t>
      </w:r>
      <w:r>
        <w:rPr>
          <w:rFonts w:hint="eastAsia"/>
          <w:color w:val="auto"/>
          <w:kern w:val="0"/>
          <w:sz w:val="28"/>
          <w:szCs w:val="28"/>
          <w:lang w:val="en-US" w:eastAsia="zh-CN"/>
        </w:rPr>
        <w:t>418</w:t>
      </w:r>
      <w:r>
        <w:rPr>
          <w:color w:val="auto"/>
          <w:kern w:val="0"/>
          <w:sz w:val="28"/>
          <w:szCs w:val="28"/>
        </w:rPr>
        <w:t>m</w:t>
      </w:r>
      <w:r>
        <w:rPr>
          <w:color w:val="auto"/>
          <w:kern w:val="0"/>
          <w:sz w:val="28"/>
          <w:szCs w:val="28"/>
          <w:vertAlign w:val="superscript"/>
        </w:rPr>
        <w:t>2</w:t>
      </w:r>
      <w:r>
        <w:rPr>
          <w:rFonts w:hint="eastAsia"/>
          <w:color w:val="auto"/>
          <w:kern w:val="0"/>
          <w:sz w:val="28"/>
          <w:szCs w:val="28"/>
          <w:lang w:eastAsia="zh-CN"/>
        </w:rPr>
        <w:t>、</w:t>
      </w:r>
      <w:r>
        <w:rPr>
          <w:rFonts w:hint="eastAsia"/>
          <w:color w:val="auto"/>
          <w:kern w:val="0"/>
          <w:sz w:val="28"/>
          <w:szCs w:val="28"/>
        </w:rPr>
        <w:t>其他草地</w:t>
      </w:r>
      <w:r>
        <w:rPr>
          <w:rFonts w:hint="eastAsia"/>
          <w:color w:val="auto"/>
          <w:kern w:val="0"/>
          <w:sz w:val="28"/>
          <w:szCs w:val="28"/>
          <w:lang w:val="en-US" w:eastAsia="zh-CN"/>
        </w:rPr>
        <w:t>13978</w:t>
      </w:r>
      <w:r>
        <w:rPr>
          <w:color w:val="auto"/>
          <w:kern w:val="0"/>
          <w:sz w:val="28"/>
          <w:szCs w:val="28"/>
        </w:rPr>
        <w:t>m</w:t>
      </w:r>
      <w:r>
        <w:rPr>
          <w:color w:val="auto"/>
          <w:kern w:val="0"/>
          <w:sz w:val="28"/>
          <w:szCs w:val="28"/>
          <w:vertAlign w:val="superscript"/>
        </w:rPr>
        <w:t>2</w:t>
      </w:r>
      <w:r>
        <w:rPr>
          <w:rFonts w:hint="eastAsia"/>
          <w:color w:val="auto"/>
          <w:kern w:val="0"/>
          <w:sz w:val="28"/>
          <w:szCs w:val="28"/>
          <w:lang w:eastAsia="zh-CN"/>
        </w:rPr>
        <w:t>、</w:t>
      </w:r>
      <w:r>
        <w:rPr>
          <w:rFonts w:hint="eastAsia"/>
          <w:color w:val="auto"/>
          <w:kern w:val="0"/>
          <w:sz w:val="28"/>
          <w:szCs w:val="28"/>
        </w:rPr>
        <w:t>采矿用地</w:t>
      </w:r>
      <w:r>
        <w:rPr>
          <w:rFonts w:hint="eastAsia"/>
          <w:color w:val="auto"/>
          <w:kern w:val="0"/>
          <w:sz w:val="28"/>
          <w:szCs w:val="28"/>
          <w:lang w:val="en-US" w:eastAsia="zh-CN"/>
        </w:rPr>
        <w:t>67442</w:t>
      </w:r>
      <w:r>
        <w:rPr>
          <w:color w:val="auto"/>
          <w:kern w:val="0"/>
          <w:sz w:val="28"/>
          <w:szCs w:val="28"/>
        </w:rPr>
        <w:t>m</w:t>
      </w:r>
      <w:r>
        <w:rPr>
          <w:color w:val="auto"/>
          <w:kern w:val="0"/>
          <w:sz w:val="28"/>
          <w:szCs w:val="28"/>
          <w:vertAlign w:val="superscript"/>
        </w:rPr>
        <w:t>2</w:t>
      </w:r>
      <w:r>
        <w:rPr>
          <w:rFonts w:hint="eastAsia"/>
          <w:color w:val="auto"/>
          <w:kern w:val="0"/>
          <w:sz w:val="28"/>
          <w:szCs w:val="28"/>
          <w:lang w:eastAsia="zh-CN"/>
        </w:rPr>
        <w:t>、</w:t>
      </w:r>
      <w:r>
        <w:rPr>
          <w:rFonts w:hint="eastAsia"/>
          <w:color w:val="auto"/>
          <w:kern w:val="0"/>
          <w:sz w:val="28"/>
          <w:szCs w:val="28"/>
        </w:rPr>
        <w:t>裸土地</w:t>
      </w:r>
      <w:r>
        <w:rPr>
          <w:rFonts w:hint="eastAsia"/>
          <w:color w:val="auto"/>
          <w:kern w:val="0"/>
          <w:sz w:val="28"/>
          <w:szCs w:val="28"/>
          <w:lang w:val="en-US" w:eastAsia="zh-CN"/>
        </w:rPr>
        <w:t>349</w:t>
      </w:r>
      <w:r>
        <w:rPr>
          <w:color w:val="auto"/>
          <w:kern w:val="0"/>
          <w:sz w:val="28"/>
          <w:szCs w:val="28"/>
        </w:rPr>
        <w:t>m</w:t>
      </w:r>
      <w:r>
        <w:rPr>
          <w:color w:val="auto"/>
          <w:kern w:val="0"/>
          <w:sz w:val="28"/>
          <w:szCs w:val="28"/>
          <w:vertAlign w:val="superscript"/>
        </w:rPr>
        <w:t>2</w:t>
      </w:r>
      <w:r>
        <w:rPr>
          <w:color w:val="auto"/>
          <w:kern w:val="0"/>
          <w:sz w:val="28"/>
          <w:szCs w:val="28"/>
        </w:rPr>
        <w:t>。</w:t>
      </w:r>
      <w:bookmarkEnd w:id="63"/>
      <w:r>
        <w:rPr>
          <w:color w:val="auto"/>
          <w:kern w:val="0"/>
          <w:sz w:val="28"/>
          <w:szCs w:val="28"/>
        </w:rPr>
        <w:t>见下表：</w:t>
      </w:r>
    </w:p>
    <w:p w14:paraId="090D7E57">
      <w:pPr>
        <w:widowControl/>
        <w:spacing w:line="360" w:lineRule="auto"/>
        <w:ind w:firstLine="560" w:firstLineChars="200"/>
        <w:rPr>
          <w:color w:val="auto"/>
          <w:kern w:val="0"/>
          <w:sz w:val="28"/>
          <w:szCs w:val="28"/>
        </w:rPr>
        <w:sectPr>
          <w:headerReference r:id="rId12" w:type="default"/>
          <w:footerReference r:id="rId13" w:type="default"/>
          <w:pgSz w:w="11906" w:h="16838"/>
          <w:pgMar w:top="1219" w:right="1797" w:bottom="1440" w:left="1797" w:header="851" w:footer="992" w:gutter="0"/>
          <w:pgNumType w:fmt="decimal"/>
          <w:cols w:space="720" w:num="1"/>
          <w:docGrid w:linePitch="312" w:charSpace="0"/>
        </w:sectPr>
      </w:pPr>
    </w:p>
    <w:p w14:paraId="65B48BFF">
      <w:pPr>
        <w:widowControl/>
        <w:ind w:firstLine="480" w:firstLineChars="200"/>
        <w:jc w:val="center"/>
        <w:rPr>
          <w:rFonts w:hint="eastAsia" w:ascii="黑体" w:hAnsi="黑体" w:eastAsia="黑体" w:cs="宋体"/>
          <w:color w:val="auto"/>
          <w:kern w:val="0"/>
          <w:sz w:val="24"/>
          <w:szCs w:val="24"/>
        </w:rPr>
      </w:pPr>
      <w:bookmarkStart w:id="64" w:name="_Hlk220606233"/>
      <w:r>
        <w:rPr>
          <w:rFonts w:hint="eastAsia" w:ascii="黑体" w:hAnsi="黑体" w:eastAsia="黑体" w:cs="宋体"/>
          <w:color w:val="auto"/>
          <w:kern w:val="0"/>
          <w:sz w:val="24"/>
          <w:szCs w:val="24"/>
        </w:rPr>
        <w:t>表3-</w:t>
      </w:r>
      <w:r>
        <w:rPr>
          <w:rFonts w:hint="eastAsia" w:ascii="黑体" w:hAnsi="黑体" w:eastAsia="黑体" w:cs="宋体"/>
          <w:color w:val="auto"/>
          <w:kern w:val="0"/>
          <w:sz w:val="24"/>
          <w:szCs w:val="24"/>
          <w:lang w:val="en-US" w:eastAsia="zh-CN"/>
        </w:rPr>
        <w:t>25</w:t>
      </w:r>
      <w:r>
        <w:rPr>
          <w:rFonts w:hint="eastAsia" w:ascii="黑体" w:hAnsi="黑体" w:eastAsia="黑体" w:cs="宋体"/>
          <w:color w:val="auto"/>
          <w:kern w:val="0"/>
          <w:sz w:val="24"/>
          <w:szCs w:val="24"/>
        </w:rPr>
        <w:t xml:space="preserve">  已损毁土地资源统计表</w:t>
      </w:r>
    </w:p>
    <w:tbl>
      <w:tblPr>
        <w:tblStyle w:val="3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2196"/>
        <w:gridCol w:w="1527"/>
        <w:gridCol w:w="1531"/>
        <w:gridCol w:w="1871"/>
        <w:gridCol w:w="1842"/>
        <w:gridCol w:w="1318"/>
        <w:gridCol w:w="1219"/>
        <w:gridCol w:w="1188"/>
        <w:gridCol w:w="1471"/>
      </w:tblGrid>
      <w:tr w14:paraId="18BBF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jc w:val="center"/>
        </w:trPr>
        <w:tc>
          <w:tcPr>
            <w:tcW w:w="775" w:type="pct"/>
            <w:vMerge w:val="restart"/>
            <w:shd w:val="clear" w:color="auto" w:fill="auto"/>
            <w:noWrap/>
            <w:vAlign w:val="center"/>
          </w:tcPr>
          <w:p w14:paraId="338362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评估单元</w:t>
            </w:r>
          </w:p>
        </w:tc>
        <w:tc>
          <w:tcPr>
            <w:tcW w:w="1079" w:type="pct"/>
            <w:gridSpan w:val="2"/>
            <w:shd w:val="clear" w:color="auto" w:fill="auto"/>
            <w:noWrap/>
            <w:vAlign w:val="center"/>
          </w:tcPr>
          <w:p w14:paraId="1F1452F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0</w:t>
            </w:r>
            <w:r>
              <w:rPr>
                <w:rFonts w:hint="default" w:ascii="Times New Roman" w:hAnsi="Times New Roman" w:eastAsia="宋体" w:cs="Times New Roman"/>
                <w:i w:val="0"/>
                <w:iCs w:val="0"/>
                <w:color w:val="auto"/>
                <w:kern w:val="0"/>
                <w:sz w:val="21"/>
                <w:szCs w:val="21"/>
                <w:u w:val="none"/>
                <w:lang w:val="en-US" w:eastAsia="zh-CN" w:bidi="ar"/>
              </w:rPr>
              <w:t>3</w:t>
            </w:r>
          </w:p>
        </w:tc>
        <w:tc>
          <w:tcPr>
            <w:tcW w:w="660" w:type="pct"/>
            <w:shd w:val="clear" w:color="auto" w:fill="auto"/>
            <w:vAlign w:val="center"/>
          </w:tcPr>
          <w:p w14:paraId="6F81F96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0</w:t>
            </w:r>
            <w:r>
              <w:rPr>
                <w:rFonts w:hint="default" w:ascii="Times New Roman" w:hAnsi="Times New Roman" w:eastAsia="宋体" w:cs="Times New Roman"/>
                <w:i w:val="0"/>
                <w:iCs w:val="0"/>
                <w:color w:val="auto"/>
                <w:kern w:val="0"/>
                <w:sz w:val="21"/>
                <w:szCs w:val="21"/>
                <w:u w:val="none"/>
                <w:lang w:val="en-US" w:eastAsia="zh-CN" w:bidi="ar"/>
              </w:rPr>
              <w:t>4</w:t>
            </w:r>
          </w:p>
        </w:tc>
        <w:tc>
          <w:tcPr>
            <w:tcW w:w="650" w:type="pct"/>
            <w:shd w:val="clear" w:color="auto" w:fill="auto"/>
            <w:noWrap/>
            <w:vAlign w:val="center"/>
          </w:tcPr>
          <w:p w14:paraId="72A7920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0</w:t>
            </w:r>
            <w:r>
              <w:rPr>
                <w:rFonts w:hint="default" w:ascii="Times New Roman" w:hAnsi="Times New Roman" w:eastAsia="宋体" w:cs="Times New Roman"/>
                <w:i w:val="0"/>
                <w:iCs w:val="0"/>
                <w:color w:val="auto"/>
                <w:kern w:val="0"/>
                <w:sz w:val="21"/>
                <w:szCs w:val="21"/>
                <w:u w:val="none"/>
                <w:lang w:val="en-US" w:eastAsia="zh-CN" w:bidi="ar"/>
              </w:rPr>
              <w:t>6</w:t>
            </w:r>
          </w:p>
        </w:tc>
        <w:tc>
          <w:tcPr>
            <w:tcW w:w="465" w:type="pct"/>
            <w:shd w:val="clear" w:color="auto" w:fill="auto"/>
            <w:noWrap/>
            <w:vAlign w:val="center"/>
          </w:tcPr>
          <w:p w14:paraId="2734341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w:t>
            </w:r>
          </w:p>
        </w:tc>
        <w:tc>
          <w:tcPr>
            <w:tcW w:w="430" w:type="pct"/>
            <w:vMerge w:val="restart"/>
            <w:shd w:val="clear" w:color="auto" w:fill="auto"/>
            <w:vAlign w:val="center"/>
          </w:tcPr>
          <w:p w14:paraId="38BE59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合计</w:t>
            </w:r>
          </w:p>
        </w:tc>
        <w:tc>
          <w:tcPr>
            <w:tcW w:w="419" w:type="pct"/>
            <w:vMerge w:val="restart"/>
            <w:shd w:val="clear" w:color="auto" w:fill="auto"/>
            <w:vAlign w:val="center"/>
          </w:tcPr>
          <w:p w14:paraId="51ADA7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损毁方式</w:t>
            </w:r>
          </w:p>
        </w:tc>
        <w:tc>
          <w:tcPr>
            <w:tcW w:w="519" w:type="pct"/>
            <w:vMerge w:val="restart"/>
            <w:shd w:val="clear" w:color="auto" w:fill="auto"/>
            <w:vAlign w:val="center"/>
          </w:tcPr>
          <w:p w14:paraId="7A0997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损毁程度</w:t>
            </w:r>
          </w:p>
        </w:tc>
      </w:tr>
      <w:tr w14:paraId="69CF9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775" w:type="pct"/>
            <w:vMerge w:val="continue"/>
            <w:shd w:val="clear" w:color="auto" w:fill="auto"/>
            <w:noWrap/>
            <w:vAlign w:val="center"/>
          </w:tcPr>
          <w:p w14:paraId="0B9B756C">
            <w:pPr>
              <w:jc w:val="center"/>
              <w:rPr>
                <w:rFonts w:hint="eastAsia" w:ascii="宋体" w:hAnsi="宋体" w:eastAsia="宋体" w:cs="宋体"/>
                <w:i w:val="0"/>
                <w:iCs w:val="0"/>
                <w:color w:val="auto"/>
                <w:sz w:val="21"/>
                <w:szCs w:val="21"/>
                <w:u w:val="none"/>
              </w:rPr>
            </w:pPr>
          </w:p>
        </w:tc>
        <w:tc>
          <w:tcPr>
            <w:tcW w:w="1079" w:type="pct"/>
            <w:gridSpan w:val="2"/>
            <w:shd w:val="clear" w:color="auto" w:fill="auto"/>
            <w:vAlign w:val="center"/>
          </w:tcPr>
          <w:p w14:paraId="78C893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林地</w:t>
            </w:r>
          </w:p>
        </w:tc>
        <w:tc>
          <w:tcPr>
            <w:tcW w:w="660" w:type="pct"/>
            <w:shd w:val="clear" w:color="auto" w:fill="auto"/>
            <w:vAlign w:val="center"/>
          </w:tcPr>
          <w:p w14:paraId="24481F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草地</w:t>
            </w:r>
          </w:p>
        </w:tc>
        <w:tc>
          <w:tcPr>
            <w:tcW w:w="650" w:type="pct"/>
            <w:shd w:val="clear" w:color="auto" w:fill="auto"/>
            <w:noWrap/>
            <w:vAlign w:val="center"/>
          </w:tcPr>
          <w:p w14:paraId="2B429F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工况仓储用地</w:t>
            </w:r>
          </w:p>
        </w:tc>
        <w:tc>
          <w:tcPr>
            <w:tcW w:w="465" w:type="pct"/>
            <w:shd w:val="clear" w:color="auto" w:fill="auto"/>
            <w:noWrap/>
            <w:vAlign w:val="center"/>
          </w:tcPr>
          <w:p w14:paraId="51EE53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其他土地</w:t>
            </w:r>
          </w:p>
        </w:tc>
        <w:tc>
          <w:tcPr>
            <w:tcW w:w="430" w:type="pct"/>
            <w:vMerge w:val="continue"/>
            <w:shd w:val="clear" w:color="auto" w:fill="auto"/>
            <w:vAlign w:val="center"/>
          </w:tcPr>
          <w:p w14:paraId="23CFF436">
            <w:pPr>
              <w:jc w:val="center"/>
              <w:rPr>
                <w:rFonts w:hint="eastAsia" w:ascii="宋体" w:hAnsi="宋体" w:eastAsia="宋体" w:cs="宋体"/>
                <w:i w:val="0"/>
                <w:iCs w:val="0"/>
                <w:color w:val="auto"/>
                <w:sz w:val="21"/>
                <w:szCs w:val="21"/>
                <w:u w:val="none"/>
              </w:rPr>
            </w:pPr>
          </w:p>
        </w:tc>
        <w:tc>
          <w:tcPr>
            <w:tcW w:w="419" w:type="pct"/>
            <w:vMerge w:val="continue"/>
            <w:shd w:val="clear" w:color="auto" w:fill="auto"/>
            <w:vAlign w:val="center"/>
          </w:tcPr>
          <w:p w14:paraId="495D432B">
            <w:pPr>
              <w:jc w:val="center"/>
              <w:rPr>
                <w:rFonts w:hint="eastAsia" w:ascii="宋体" w:hAnsi="宋体" w:eastAsia="宋体" w:cs="宋体"/>
                <w:i w:val="0"/>
                <w:iCs w:val="0"/>
                <w:color w:val="auto"/>
                <w:sz w:val="21"/>
                <w:szCs w:val="21"/>
                <w:u w:val="none"/>
              </w:rPr>
            </w:pPr>
          </w:p>
        </w:tc>
        <w:tc>
          <w:tcPr>
            <w:tcW w:w="519" w:type="pct"/>
            <w:vMerge w:val="continue"/>
            <w:shd w:val="clear" w:color="auto" w:fill="auto"/>
            <w:vAlign w:val="center"/>
          </w:tcPr>
          <w:p w14:paraId="2C1E0D13">
            <w:pPr>
              <w:jc w:val="center"/>
              <w:rPr>
                <w:rFonts w:hint="eastAsia" w:ascii="宋体" w:hAnsi="宋体" w:eastAsia="宋体" w:cs="宋体"/>
                <w:i w:val="0"/>
                <w:iCs w:val="0"/>
                <w:color w:val="auto"/>
                <w:sz w:val="21"/>
                <w:szCs w:val="21"/>
                <w:u w:val="none"/>
              </w:rPr>
            </w:pPr>
          </w:p>
        </w:tc>
      </w:tr>
      <w:tr w14:paraId="3D571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775" w:type="pct"/>
            <w:vMerge w:val="continue"/>
            <w:shd w:val="clear" w:color="auto" w:fill="auto"/>
            <w:noWrap/>
            <w:vAlign w:val="center"/>
          </w:tcPr>
          <w:p w14:paraId="609A7A4A">
            <w:pPr>
              <w:jc w:val="center"/>
              <w:rPr>
                <w:rFonts w:hint="eastAsia" w:ascii="宋体" w:hAnsi="宋体" w:eastAsia="宋体" w:cs="宋体"/>
                <w:i w:val="0"/>
                <w:iCs w:val="0"/>
                <w:color w:val="auto"/>
                <w:sz w:val="21"/>
                <w:szCs w:val="21"/>
                <w:u w:val="none"/>
              </w:rPr>
            </w:pPr>
          </w:p>
        </w:tc>
        <w:tc>
          <w:tcPr>
            <w:tcW w:w="539" w:type="pct"/>
            <w:shd w:val="clear" w:color="auto" w:fill="auto"/>
            <w:noWrap/>
            <w:vAlign w:val="center"/>
          </w:tcPr>
          <w:p w14:paraId="59267C2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0</w:t>
            </w:r>
            <w:r>
              <w:rPr>
                <w:rFonts w:hint="default" w:ascii="Times New Roman" w:hAnsi="Times New Roman" w:eastAsia="宋体" w:cs="Times New Roman"/>
                <w:i w:val="0"/>
                <w:iCs w:val="0"/>
                <w:color w:val="auto"/>
                <w:kern w:val="0"/>
                <w:sz w:val="21"/>
                <w:szCs w:val="21"/>
                <w:u w:val="none"/>
                <w:lang w:val="en-US" w:eastAsia="zh-CN" w:bidi="ar"/>
              </w:rPr>
              <w:t>301</w:t>
            </w:r>
          </w:p>
        </w:tc>
        <w:tc>
          <w:tcPr>
            <w:tcW w:w="539" w:type="pct"/>
            <w:shd w:val="clear" w:color="auto" w:fill="auto"/>
            <w:noWrap/>
            <w:vAlign w:val="center"/>
          </w:tcPr>
          <w:p w14:paraId="73BDFEC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0</w:t>
            </w:r>
            <w:r>
              <w:rPr>
                <w:rFonts w:hint="default" w:ascii="Times New Roman" w:hAnsi="Times New Roman" w:eastAsia="宋体" w:cs="Times New Roman"/>
                <w:i w:val="0"/>
                <w:iCs w:val="0"/>
                <w:color w:val="auto"/>
                <w:kern w:val="0"/>
                <w:sz w:val="21"/>
                <w:szCs w:val="21"/>
                <w:u w:val="none"/>
                <w:lang w:val="en-US" w:eastAsia="zh-CN" w:bidi="ar"/>
              </w:rPr>
              <w:t>305</w:t>
            </w:r>
          </w:p>
        </w:tc>
        <w:tc>
          <w:tcPr>
            <w:tcW w:w="660" w:type="pct"/>
            <w:shd w:val="clear" w:color="auto" w:fill="auto"/>
            <w:noWrap/>
            <w:vAlign w:val="center"/>
          </w:tcPr>
          <w:p w14:paraId="5165A4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0</w:t>
            </w:r>
            <w:r>
              <w:rPr>
                <w:rFonts w:hint="default" w:ascii="Times New Roman" w:hAnsi="Times New Roman" w:eastAsia="宋体" w:cs="Times New Roman"/>
                <w:i w:val="0"/>
                <w:iCs w:val="0"/>
                <w:color w:val="auto"/>
                <w:kern w:val="0"/>
                <w:sz w:val="21"/>
                <w:szCs w:val="21"/>
                <w:u w:val="none"/>
                <w:lang w:val="en-US" w:eastAsia="zh-CN" w:bidi="ar"/>
              </w:rPr>
              <w:t>404</w:t>
            </w:r>
          </w:p>
        </w:tc>
        <w:tc>
          <w:tcPr>
            <w:tcW w:w="650" w:type="pct"/>
            <w:shd w:val="clear" w:color="auto" w:fill="auto"/>
            <w:noWrap/>
            <w:vAlign w:val="center"/>
          </w:tcPr>
          <w:p w14:paraId="00ACF8A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0</w:t>
            </w:r>
            <w:r>
              <w:rPr>
                <w:rFonts w:hint="default" w:ascii="Times New Roman" w:hAnsi="Times New Roman" w:eastAsia="宋体" w:cs="Times New Roman"/>
                <w:i w:val="0"/>
                <w:iCs w:val="0"/>
                <w:color w:val="auto"/>
                <w:kern w:val="0"/>
                <w:sz w:val="21"/>
                <w:szCs w:val="21"/>
                <w:u w:val="none"/>
                <w:lang w:val="en-US" w:eastAsia="zh-CN" w:bidi="ar"/>
              </w:rPr>
              <w:t>602</w:t>
            </w:r>
          </w:p>
        </w:tc>
        <w:tc>
          <w:tcPr>
            <w:tcW w:w="465" w:type="pct"/>
            <w:shd w:val="clear" w:color="auto" w:fill="auto"/>
            <w:noWrap/>
            <w:vAlign w:val="center"/>
          </w:tcPr>
          <w:p w14:paraId="7A1B33B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1206</w:t>
            </w:r>
          </w:p>
        </w:tc>
        <w:tc>
          <w:tcPr>
            <w:tcW w:w="430" w:type="pct"/>
            <w:vMerge w:val="continue"/>
            <w:shd w:val="clear" w:color="auto" w:fill="auto"/>
            <w:vAlign w:val="center"/>
          </w:tcPr>
          <w:p w14:paraId="4BB82D08">
            <w:pPr>
              <w:jc w:val="center"/>
              <w:rPr>
                <w:rFonts w:hint="eastAsia" w:ascii="宋体" w:hAnsi="宋体" w:eastAsia="宋体" w:cs="宋体"/>
                <w:i w:val="0"/>
                <w:iCs w:val="0"/>
                <w:color w:val="auto"/>
                <w:sz w:val="21"/>
                <w:szCs w:val="21"/>
                <w:u w:val="none"/>
              </w:rPr>
            </w:pPr>
          </w:p>
        </w:tc>
        <w:tc>
          <w:tcPr>
            <w:tcW w:w="419" w:type="pct"/>
            <w:vMerge w:val="continue"/>
            <w:shd w:val="clear" w:color="auto" w:fill="auto"/>
            <w:vAlign w:val="center"/>
          </w:tcPr>
          <w:p w14:paraId="75A47212">
            <w:pPr>
              <w:jc w:val="center"/>
              <w:rPr>
                <w:rFonts w:hint="eastAsia" w:ascii="宋体" w:hAnsi="宋体" w:eastAsia="宋体" w:cs="宋体"/>
                <w:i w:val="0"/>
                <w:iCs w:val="0"/>
                <w:color w:val="auto"/>
                <w:sz w:val="21"/>
                <w:szCs w:val="21"/>
                <w:u w:val="none"/>
              </w:rPr>
            </w:pPr>
          </w:p>
        </w:tc>
        <w:tc>
          <w:tcPr>
            <w:tcW w:w="519" w:type="pct"/>
            <w:vMerge w:val="continue"/>
            <w:shd w:val="clear" w:color="auto" w:fill="auto"/>
            <w:vAlign w:val="center"/>
          </w:tcPr>
          <w:p w14:paraId="5F822E1A">
            <w:pPr>
              <w:jc w:val="center"/>
              <w:rPr>
                <w:rFonts w:hint="eastAsia" w:ascii="宋体" w:hAnsi="宋体" w:eastAsia="宋体" w:cs="宋体"/>
                <w:i w:val="0"/>
                <w:iCs w:val="0"/>
                <w:color w:val="auto"/>
                <w:sz w:val="21"/>
                <w:szCs w:val="21"/>
                <w:u w:val="none"/>
              </w:rPr>
            </w:pPr>
          </w:p>
        </w:tc>
      </w:tr>
      <w:tr w14:paraId="6DF5A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75" w:type="pct"/>
            <w:vMerge w:val="continue"/>
            <w:shd w:val="clear" w:color="auto" w:fill="auto"/>
            <w:noWrap/>
            <w:vAlign w:val="center"/>
          </w:tcPr>
          <w:p w14:paraId="145E50DE">
            <w:pPr>
              <w:jc w:val="center"/>
              <w:rPr>
                <w:rFonts w:hint="eastAsia" w:ascii="宋体" w:hAnsi="宋体" w:eastAsia="宋体" w:cs="宋体"/>
                <w:i w:val="0"/>
                <w:iCs w:val="0"/>
                <w:color w:val="auto"/>
                <w:sz w:val="21"/>
                <w:szCs w:val="21"/>
                <w:u w:val="none"/>
              </w:rPr>
            </w:pPr>
          </w:p>
        </w:tc>
        <w:tc>
          <w:tcPr>
            <w:tcW w:w="539" w:type="pct"/>
            <w:shd w:val="clear" w:color="auto" w:fill="auto"/>
            <w:noWrap/>
            <w:vAlign w:val="center"/>
          </w:tcPr>
          <w:p w14:paraId="1A7638D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乔木林地</w:t>
            </w:r>
          </w:p>
        </w:tc>
        <w:tc>
          <w:tcPr>
            <w:tcW w:w="539" w:type="pct"/>
            <w:shd w:val="clear" w:color="auto" w:fill="auto"/>
            <w:noWrap/>
            <w:vAlign w:val="center"/>
          </w:tcPr>
          <w:p w14:paraId="1F6E6B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灌木林地</w:t>
            </w:r>
          </w:p>
        </w:tc>
        <w:tc>
          <w:tcPr>
            <w:tcW w:w="660" w:type="pct"/>
            <w:shd w:val="clear" w:color="auto" w:fill="auto"/>
            <w:noWrap/>
            <w:vAlign w:val="center"/>
          </w:tcPr>
          <w:p w14:paraId="45B394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其他草地</w:t>
            </w:r>
          </w:p>
        </w:tc>
        <w:tc>
          <w:tcPr>
            <w:tcW w:w="650" w:type="pct"/>
            <w:shd w:val="clear" w:color="auto" w:fill="auto"/>
            <w:noWrap/>
            <w:vAlign w:val="center"/>
          </w:tcPr>
          <w:p w14:paraId="6EB4F2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采矿用地</w:t>
            </w:r>
          </w:p>
        </w:tc>
        <w:tc>
          <w:tcPr>
            <w:tcW w:w="465" w:type="pct"/>
            <w:shd w:val="clear" w:color="auto" w:fill="auto"/>
            <w:noWrap/>
            <w:vAlign w:val="center"/>
          </w:tcPr>
          <w:p w14:paraId="35A81A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裸土地</w:t>
            </w:r>
          </w:p>
        </w:tc>
        <w:tc>
          <w:tcPr>
            <w:tcW w:w="430" w:type="pct"/>
            <w:shd w:val="clear" w:color="auto" w:fill="auto"/>
            <w:vAlign w:val="center"/>
          </w:tcPr>
          <w:p w14:paraId="5162DE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hm</w:t>
            </w:r>
            <w:r>
              <w:rPr>
                <w:rFonts w:hint="default" w:ascii="Times New Roman" w:hAnsi="Times New Roman" w:eastAsia="宋体" w:cs="Times New Roman"/>
                <w:i w:val="0"/>
                <w:iCs w:val="0"/>
                <w:color w:val="auto"/>
                <w:kern w:val="0"/>
                <w:sz w:val="21"/>
                <w:szCs w:val="21"/>
                <w:u w:val="none"/>
                <w:vertAlign w:val="superscript"/>
                <w:lang w:val="en-US" w:eastAsia="zh-CN" w:bidi="ar"/>
              </w:rPr>
              <w:t>2</w:t>
            </w:r>
          </w:p>
        </w:tc>
        <w:tc>
          <w:tcPr>
            <w:tcW w:w="419" w:type="pct"/>
            <w:vMerge w:val="continue"/>
            <w:shd w:val="clear" w:color="auto" w:fill="auto"/>
            <w:vAlign w:val="center"/>
          </w:tcPr>
          <w:p w14:paraId="43A2EA66">
            <w:pPr>
              <w:jc w:val="center"/>
              <w:rPr>
                <w:rFonts w:hint="eastAsia" w:ascii="宋体" w:hAnsi="宋体" w:eastAsia="宋体" w:cs="宋体"/>
                <w:i w:val="0"/>
                <w:iCs w:val="0"/>
                <w:color w:val="auto"/>
                <w:sz w:val="21"/>
                <w:szCs w:val="21"/>
                <w:u w:val="none"/>
              </w:rPr>
            </w:pPr>
          </w:p>
        </w:tc>
        <w:tc>
          <w:tcPr>
            <w:tcW w:w="519" w:type="pct"/>
            <w:vMerge w:val="continue"/>
            <w:shd w:val="clear" w:color="auto" w:fill="auto"/>
            <w:vAlign w:val="center"/>
          </w:tcPr>
          <w:p w14:paraId="005440E0">
            <w:pPr>
              <w:jc w:val="center"/>
              <w:rPr>
                <w:rFonts w:hint="eastAsia" w:ascii="宋体" w:hAnsi="宋体" w:eastAsia="宋体" w:cs="宋体"/>
                <w:i w:val="0"/>
                <w:iCs w:val="0"/>
                <w:color w:val="auto"/>
                <w:sz w:val="21"/>
                <w:szCs w:val="21"/>
                <w:u w:val="none"/>
              </w:rPr>
            </w:pPr>
          </w:p>
        </w:tc>
      </w:tr>
      <w:tr w14:paraId="4AD5C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775" w:type="pct"/>
            <w:shd w:val="clear" w:color="auto" w:fill="auto"/>
            <w:vAlign w:val="center"/>
          </w:tcPr>
          <w:p w14:paraId="0E9DBA0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露天采场</w:t>
            </w:r>
          </w:p>
        </w:tc>
        <w:tc>
          <w:tcPr>
            <w:tcW w:w="539" w:type="pct"/>
            <w:shd w:val="clear" w:color="auto" w:fill="auto"/>
            <w:noWrap/>
            <w:vAlign w:val="center"/>
          </w:tcPr>
          <w:p w14:paraId="128793DB">
            <w:pPr>
              <w:jc w:val="center"/>
              <w:rPr>
                <w:rFonts w:hint="default" w:ascii="Times New Roman" w:hAnsi="Times New Roman" w:eastAsia="宋体" w:cs="Times New Roman"/>
                <w:i w:val="0"/>
                <w:iCs w:val="0"/>
                <w:color w:val="auto"/>
                <w:sz w:val="21"/>
                <w:szCs w:val="21"/>
                <w:u w:val="none"/>
              </w:rPr>
            </w:pPr>
          </w:p>
        </w:tc>
        <w:tc>
          <w:tcPr>
            <w:tcW w:w="539" w:type="pct"/>
            <w:shd w:val="clear" w:color="auto" w:fill="auto"/>
            <w:noWrap/>
            <w:vAlign w:val="center"/>
          </w:tcPr>
          <w:p w14:paraId="51C098D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418</w:t>
            </w:r>
          </w:p>
        </w:tc>
        <w:tc>
          <w:tcPr>
            <w:tcW w:w="660" w:type="pct"/>
            <w:shd w:val="clear" w:color="auto" w:fill="auto"/>
            <w:noWrap/>
            <w:vAlign w:val="center"/>
          </w:tcPr>
          <w:p w14:paraId="5DDF85D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6734</w:t>
            </w:r>
          </w:p>
        </w:tc>
        <w:tc>
          <w:tcPr>
            <w:tcW w:w="650" w:type="pct"/>
            <w:shd w:val="clear" w:color="auto" w:fill="auto"/>
            <w:noWrap/>
            <w:vAlign w:val="center"/>
          </w:tcPr>
          <w:p w14:paraId="19CA936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28096</w:t>
            </w:r>
          </w:p>
        </w:tc>
        <w:tc>
          <w:tcPr>
            <w:tcW w:w="465" w:type="pct"/>
            <w:shd w:val="clear" w:color="auto" w:fill="auto"/>
            <w:noWrap/>
            <w:vAlign w:val="center"/>
          </w:tcPr>
          <w:p w14:paraId="58CCDD70">
            <w:pPr>
              <w:jc w:val="center"/>
              <w:rPr>
                <w:rFonts w:hint="default" w:ascii="Times New Roman" w:hAnsi="Times New Roman" w:eastAsia="宋体" w:cs="Times New Roman"/>
                <w:i w:val="0"/>
                <w:iCs w:val="0"/>
                <w:color w:val="auto"/>
                <w:sz w:val="21"/>
                <w:szCs w:val="21"/>
                <w:u w:val="none"/>
              </w:rPr>
            </w:pPr>
          </w:p>
        </w:tc>
        <w:tc>
          <w:tcPr>
            <w:tcW w:w="430" w:type="pct"/>
            <w:shd w:val="clear" w:color="auto" w:fill="auto"/>
            <w:noWrap/>
            <w:vAlign w:val="center"/>
          </w:tcPr>
          <w:p w14:paraId="16DAF38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3.5248</w:t>
            </w:r>
          </w:p>
        </w:tc>
        <w:tc>
          <w:tcPr>
            <w:tcW w:w="419" w:type="pct"/>
            <w:shd w:val="clear" w:color="auto" w:fill="auto"/>
            <w:vAlign w:val="center"/>
          </w:tcPr>
          <w:p w14:paraId="59DF54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挖损</w:t>
            </w:r>
          </w:p>
        </w:tc>
        <w:tc>
          <w:tcPr>
            <w:tcW w:w="519" w:type="pct"/>
            <w:shd w:val="clear" w:color="auto" w:fill="auto"/>
            <w:vAlign w:val="center"/>
          </w:tcPr>
          <w:p w14:paraId="70E1DF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重度</w:t>
            </w:r>
          </w:p>
        </w:tc>
      </w:tr>
      <w:tr w14:paraId="18B9E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775" w:type="pct"/>
            <w:shd w:val="clear" w:color="auto" w:fill="auto"/>
            <w:noWrap/>
            <w:vAlign w:val="center"/>
          </w:tcPr>
          <w:p w14:paraId="67EF07D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1#废石场</w:t>
            </w:r>
          </w:p>
        </w:tc>
        <w:tc>
          <w:tcPr>
            <w:tcW w:w="539" w:type="pct"/>
            <w:shd w:val="clear" w:color="auto" w:fill="auto"/>
            <w:noWrap/>
            <w:vAlign w:val="center"/>
          </w:tcPr>
          <w:p w14:paraId="4441AE1F">
            <w:pPr>
              <w:jc w:val="center"/>
              <w:rPr>
                <w:rFonts w:hint="default" w:ascii="Times New Roman" w:hAnsi="Times New Roman" w:eastAsia="宋体" w:cs="Times New Roman"/>
                <w:i w:val="0"/>
                <w:iCs w:val="0"/>
                <w:color w:val="auto"/>
                <w:sz w:val="21"/>
                <w:szCs w:val="21"/>
                <w:u w:val="none"/>
              </w:rPr>
            </w:pPr>
          </w:p>
        </w:tc>
        <w:tc>
          <w:tcPr>
            <w:tcW w:w="539" w:type="pct"/>
            <w:shd w:val="clear" w:color="auto" w:fill="auto"/>
            <w:noWrap/>
            <w:vAlign w:val="center"/>
          </w:tcPr>
          <w:p w14:paraId="41E2E8DC">
            <w:pPr>
              <w:jc w:val="center"/>
              <w:rPr>
                <w:rFonts w:hint="eastAsia" w:ascii="宋体" w:hAnsi="宋体" w:eastAsia="宋体" w:cs="宋体"/>
                <w:i w:val="0"/>
                <w:iCs w:val="0"/>
                <w:color w:val="auto"/>
                <w:sz w:val="22"/>
                <w:szCs w:val="22"/>
                <w:u w:val="none"/>
              </w:rPr>
            </w:pPr>
          </w:p>
        </w:tc>
        <w:tc>
          <w:tcPr>
            <w:tcW w:w="660" w:type="pct"/>
            <w:shd w:val="clear" w:color="auto" w:fill="auto"/>
            <w:noWrap/>
            <w:vAlign w:val="center"/>
          </w:tcPr>
          <w:p w14:paraId="1AD1C680">
            <w:pPr>
              <w:jc w:val="center"/>
              <w:rPr>
                <w:rFonts w:hint="eastAsia" w:ascii="宋体" w:hAnsi="宋体" w:eastAsia="宋体" w:cs="宋体"/>
                <w:i w:val="0"/>
                <w:iCs w:val="0"/>
                <w:color w:val="auto"/>
                <w:sz w:val="22"/>
                <w:szCs w:val="22"/>
                <w:u w:val="none"/>
              </w:rPr>
            </w:pPr>
          </w:p>
        </w:tc>
        <w:tc>
          <w:tcPr>
            <w:tcW w:w="650" w:type="pct"/>
            <w:shd w:val="clear" w:color="auto" w:fill="auto"/>
            <w:noWrap/>
            <w:vAlign w:val="center"/>
          </w:tcPr>
          <w:p w14:paraId="2C0C356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4811</w:t>
            </w:r>
          </w:p>
        </w:tc>
        <w:tc>
          <w:tcPr>
            <w:tcW w:w="465" w:type="pct"/>
            <w:shd w:val="clear" w:color="auto" w:fill="auto"/>
            <w:noWrap/>
            <w:vAlign w:val="center"/>
          </w:tcPr>
          <w:p w14:paraId="2657A9C4">
            <w:pPr>
              <w:jc w:val="center"/>
              <w:rPr>
                <w:rFonts w:hint="default" w:ascii="Times New Roman" w:hAnsi="Times New Roman" w:eastAsia="宋体" w:cs="Times New Roman"/>
                <w:i w:val="0"/>
                <w:iCs w:val="0"/>
                <w:color w:val="auto"/>
                <w:sz w:val="21"/>
                <w:szCs w:val="21"/>
                <w:u w:val="none"/>
              </w:rPr>
            </w:pPr>
          </w:p>
        </w:tc>
        <w:tc>
          <w:tcPr>
            <w:tcW w:w="430" w:type="pct"/>
            <w:shd w:val="clear" w:color="auto" w:fill="auto"/>
            <w:noWrap/>
            <w:vAlign w:val="center"/>
          </w:tcPr>
          <w:p w14:paraId="7340B50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0.4811</w:t>
            </w:r>
          </w:p>
        </w:tc>
        <w:tc>
          <w:tcPr>
            <w:tcW w:w="419" w:type="pct"/>
            <w:shd w:val="clear" w:color="auto" w:fill="auto"/>
            <w:vAlign w:val="center"/>
          </w:tcPr>
          <w:p w14:paraId="7687D9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压占</w:t>
            </w:r>
          </w:p>
        </w:tc>
        <w:tc>
          <w:tcPr>
            <w:tcW w:w="519" w:type="pct"/>
            <w:shd w:val="clear" w:color="auto" w:fill="auto"/>
            <w:vAlign w:val="center"/>
          </w:tcPr>
          <w:p w14:paraId="561138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中度</w:t>
            </w:r>
          </w:p>
        </w:tc>
      </w:tr>
      <w:tr w14:paraId="67BE9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775" w:type="pct"/>
            <w:shd w:val="clear" w:color="auto" w:fill="auto"/>
            <w:noWrap/>
            <w:vAlign w:val="center"/>
          </w:tcPr>
          <w:p w14:paraId="35B3DC4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2#废石场</w:t>
            </w:r>
          </w:p>
        </w:tc>
        <w:tc>
          <w:tcPr>
            <w:tcW w:w="539" w:type="pct"/>
            <w:shd w:val="clear" w:color="auto" w:fill="auto"/>
            <w:noWrap/>
            <w:vAlign w:val="center"/>
          </w:tcPr>
          <w:p w14:paraId="509330D9">
            <w:pPr>
              <w:jc w:val="center"/>
              <w:rPr>
                <w:rFonts w:hint="default" w:ascii="Times New Roman" w:hAnsi="Times New Roman" w:eastAsia="宋体" w:cs="Times New Roman"/>
                <w:i w:val="0"/>
                <w:iCs w:val="0"/>
                <w:color w:val="auto"/>
                <w:sz w:val="21"/>
                <w:szCs w:val="21"/>
                <w:u w:val="none"/>
              </w:rPr>
            </w:pPr>
          </w:p>
        </w:tc>
        <w:tc>
          <w:tcPr>
            <w:tcW w:w="539" w:type="pct"/>
            <w:shd w:val="clear" w:color="auto" w:fill="auto"/>
            <w:noWrap/>
            <w:vAlign w:val="center"/>
          </w:tcPr>
          <w:p w14:paraId="47392A73">
            <w:pPr>
              <w:jc w:val="center"/>
              <w:rPr>
                <w:rFonts w:hint="eastAsia" w:ascii="宋体" w:hAnsi="宋体" w:eastAsia="宋体" w:cs="宋体"/>
                <w:i w:val="0"/>
                <w:iCs w:val="0"/>
                <w:color w:val="auto"/>
                <w:sz w:val="22"/>
                <w:szCs w:val="22"/>
                <w:u w:val="none"/>
              </w:rPr>
            </w:pPr>
          </w:p>
        </w:tc>
        <w:tc>
          <w:tcPr>
            <w:tcW w:w="660" w:type="pct"/>
            <w:shd w:val="clear" w:color="auto" w:fill="auto"/>
            <w:noWrap/>
            <w:vAlign w:val="center"/>
          </w:tcPr>
          <w:p w14:paraId="7B2573D9">
            <w:pPr>
              <w:jc w:val="center"/>
              <w:rPr>
                <w:rFonts w:hint="eastAsia" w:ascii="宋体" w:hAnsi="宋体" w:eastAsia="宋体" w:cs="宋体"/>
                <w:i w:val="0"/>
                <w:iCs w:val="0"/>
                <w:color w:val="auto"/>
                <w:sz w:val="22"/>
                <w:szCs w:val="22"/>
                <w:u w:val="none"/>
              </w:rPr>
            </w:pPr>
          </w:p>
        </w:tc>
        <w:tc>
          <w:tcPr>
            <w:tcW w:w="650" w:type="pct"/>
            <w:shd w:val="clear" w:color="auto" w:fill="auto"/>
            <w:noWrap/>
            <w:vAlign w:val="center"/>
          </w:tcPr>
          <w:p w14:paraId="7608885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14034</w:t>
            </w:r>
          </w:p>
        </w:tc>
        <w:tc>
          <w:tcPr>
            <w:tcW w:w="465" w:type="pct"/>
            <w:shd w:val="clear" w:color="auto" w:fill="auto"/>
            <w:noWrap/>
            <w:vAlign w:val="center"/>
          </w:tcPr>
          <w:p w14:paraId="13D988A6">
            <w:pPr>
              <w:jc w:val="center"/>
              <w:rPr>
                <w:rFonts w:hint="default" w:ascii="Times New Roman" w:hAnsi="Times New Roman" w:eastAsia="宋体" w:cs="Times New Roman"/>
                <w:i w:val="0"/>
                <w:iCs w:val="0"/>
                <w:color w:val="auto"/>
                <w:sz w:val="21"/>
                <w:szCs w:val="21"/>
                <w:u w:val="none"/>
              </w:rPr>
            </w:pPr>
          </w:p>
        </w:tc>
        <w:tc>
          <w:tcPr>
            <w:tcW w:w="430" w:type="pct"/>
            <w:shd w:val="clear" w:color="auto" w:fill="auto"/>
            <w:noWrap/>
            <w:vAlign w:val="center"/>
          </w:tcPr>
          <w:p w14:paraId="3574234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1.4034</w:t>
            </w:r>
          </w:p>
        </w:tc>
        <w:tc>
          <w:tcPr>
            <w:tcW w:w="419" w:type="pct"/>
            <w:shd w:val="clear" w:color="auto" w:fill="auto"/>
            <w:vAlign w:val="center"/>
          </w:tcPr>
          <w:p w14:paraId="01F92E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压占</w:t>
            </w:r>
          </w:p>
        </w:tc>
        <w:tc>
          <w:tcPr>
            <w:tcW w:w="519" w:type="pct"/>
            <w:shd w:val="clear" w:color="auto" w:fill="auto"/>
            <w:vAlign w:val="center"/>
          </w:tcPr>
          <w:p w14:paraId="2B26FC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重度</w:t>
            </w:r>
          </w:p>
        </w:tc>
      </w:tr>
      <w:tr w14:paraId="777B7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775" w:type="pct"/>
            <w:shd w:val="clear" w:color="auto" w:fill="auto"/>
            <w:vAlign w:val="center"/>
          </w:tcPr>
          <w:p w14:paraId="39AC59C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1#废渣堆</w:t>
            </w:r>
          </w:p>
        </w:tc>
        <w:tc>
          <w:tcPr>
            <w:tcW w:w="539" w:type="pct"/>
            <w:shd w:val="clear" w:color="auto" w:fill="auto"/>
            <w:noWrap/>
            <w:vAlign w:val="center"/>
          </w:tcPr>
          <w:p w14:paraId="6CD11A04">
            <w:pPr>
              <w:jc w:val="center"/>
              <w:rPr>
                <w:rFonts w:hint="default" w:ascii="Times New Roman" w:hAnsi="Times New Roman" w:eastAsia="宋体" w:cs="Times New Roman"/>
                <w:i w:val="0"/>
                <w:iCs w:val="0"/>
                <w:color w:val="auto"/>
                <w:sz w:val="21"/>
                <w:szCs w:val="21"/>
                <w:u w:val="none"/>
              </w:rPr>
            </w:pPr>
          </w:p>
        </w:tc>
        <w:tc>
          <w:tcPr>
            <w:tcW w:w="539" w:type="pct"/>
            <w:shd w:val="clear" w:color="auto" w:fill="auto"/>
            <w:noWrap/>
            <w:vAlign w:val="center"/>
          </w:tcPr>
          <w:p w14:paraId="2C2AFA42">
            <w:pPr>
              <w:jc w:val="center"/>
              <w:rPr>
                <w:rFonts w:hint="eastAsia" w:ascii="宋体" w:hAnsi="宋体" w:eastAsia="宋体" w:cs="宋体"/>
                <w:i w:val="0"/>
                <w:iCs w:val="0"/>
                <w:color w:val="auto"/>
                <w:sz w:val="22"/>
                <w:szCs w:val="22"/>
                <w:u w:val="none"/>
              </w:rPr>
            </w:pPr>
          </w:p>
        </w:tc>
        <w:tc>
          <w:tcPr>
            <w:tcW w:w="660" w:type="pct"/>
            <w:shd w:val="clear" w:color="auto" w:fill="auto"/>
            <w:noWrap/>
            <w:vAlign w:val="center"/>
          </w:tcPr>
          <w:p w14:paraId="5F02D20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117</w:t>
            </w:r>
          </w:p>
        </w:tc>
        <w:tc>
          <w:tcPr>
            <w:tcW w:w="650" w:type="pct"/>
            <w:shd w:val="clear" w:color="auto" w:fill="auto"/>
            <w:noWrap/>
            <w:vAlign w:val="center"/>
          </w:tcPr>
          <w:p w14:paraId="7345268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3876</w:t>
            </w:r>
          </w:p>
        </w:tc>
        <w:tc>
          <w:tcPr>
            <w:tcW w:w="465" w:type="pct"/>
            <w:shd w:val="clear" w:color="auto" w:fill="auto"/>
            <w:noWrap/>
            <w:vAlign w:val="center"/>
          </w:tcPr>
          <w:p w14:paraId="656D499B">
            <w:pPr>
              <w:jc w:val="center"/>
              <w:rPr>
                <w:rFonts w:hint="default" w:ascii="Times New Roman" w:hAnsi="Times New Roman" w:eastAsia="宋体" w:cs="Times New Roman"/>
                <w:i w:val="0"/>
                <w:iCs w:val="0"/>
                <w:color w:val="auto"/>
                <w:sz w:val="21"/>
                <w:szCs w:val="21"/>
                <w:u w:val="none"/>
              </w:rPr>
            </w:pPr>
          </w:p>
        </w:tc>
        <w:tc>
          <w:tcPr>
            <w:tcW w:w="430" w:type="pct"/>
            <w:shd w:val="clear" w:color="auto" w:fill="auto"/>
            <w:noWrap/>
            <w:vAlign w:val="center"/>
          </w:tcPr>
          <w:p w14:paraId="6FA1085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0.3993</w:t>
            </w:r>
          </w:p>
        </w:tc>
        <w:tc>
          <w:tcPr>
            <w:tcW w:w="419" w:type="pct"/>
            <w:shd w:val="clear" w:color="auto" w:fill="auto"/>
            <w:vAlign w:val="center"/>
          </w:tcPr>
          <w:p w14:paraId="73184F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压占</w:t>
            </w:r>
          </w:p>
        </w:tc>
        <w:tc>
          <w:tcPr>
            <w:tcW w:w="519" w:type="pct"/>
            <w:shd w:val="clear" w:color="auto" w:fill="auto"/>
            <w:vAlign w:val="center"/>
          </w:tcPr>
          <w:p w14:paraId="4B6A5D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中度</w:t>
            </w:r>
          </w:p>
        </w:tc>
      </w:tr>
      <w:tr w14:paraId="19755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775" w:type="pct"/>
            <w:shd w:val="clear" w:color="auto" w:fill="auto"/>
            <w:vAlign w:val="center"/>
          </w:tcPr>
          <w:p w14:paraId="1418C22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2#废渣堆</w:t>
            </w:r>
          </w:p>
        </w:tc>
        <w:tc>
          <w:tcPr>
            <w:tcW w:w="539" w:type="pct"/>
            <w:shd w:val="clear" w:color="auto" w:fill="auto"/>
            <w:noWrap/>
            <w:vAlign w:val="center"/>
          </w:tcPr>
          <w:p w14:paraId="4D43D63E">
            <w:pPr>
              <w:jc w:val="center"/>
              <w:rPr>
                <w:rFonts w:hint="default" w:ascii="Times New Roman" w:hAnsi="Times New Roman" w:eastAsia="宋体" w:cs="Times New Roman"/>
                <w:i w:val="0"/>
                <w:iCs w:val="0"/>
                <w:color w:val="auto"/>
                <w:sz w:val="21"/>
                <w:szCs w:val="21"/>
                <w:u w:val="none"/>
              </w:rPr>
            </w:pPr>
          </w:p>
        </w:tc>
        <w:tc>
          <w:tcPr>
            <w:tcW w:w="539" w:type="pct"/>
            <w:shd w:val="clear" w:color="auto" w:fill="auto"/>
            <w:noWrap/>
            <w:vAlign w:val="center"/>
          </w:tcPr>
          <w:p w14:paraId="69C62F5E">
            <w:pPr>
              <w:jc w:val="center"/>
              <w:rPr>
                <w:rFonts w:hint="eastAsia" w:ascii="宋体" w:hAnsi="宋体" w:eastAsia="宋体" w:cs="宋体"/>
                <w:i w:val="0"/>
                <w:iCs w:val="0"/>
                <w:color w:val="auto"/>
                <w:sz w:val="22"/>
                <w:szCs w:val="22"/>
                <w:u w:val="none"/>
              </w:rPr>
            </w:pPr>
          </w:p>
        </w:tc>
        <w:tc>
          <w:tcPr>
            <w:tcW w:w="660" w:type="pct"/>
            <w:shd w:val="clear" w:color="auto" w:fill="auto"/>
            <w:noWrap/>
            <w:vAlign w:val="center"/>
          </w:tcPr>
          <w:p w14:paraId="3281304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156</w:t>
            </w:r>
          </w:p>
        </w:tc>
        <w:tc>
          <w:tcPr>
            <w:tcW w:w="650" w:type="pct"/>
            <w:shd w:val="clear" w:color="auto" w:fill="auto"/>
            <w:noWrap/>
            <w:vAlign w:val="center"/>
          </w:tcPr>
          <w:p w14:paraId="47152DE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3713</w:t>
            </w:r>
          </w:p>
        </w:tc>
        <w:tc>
          <w:tcPr>
            <w:tcW w:w="465" w:type="pct"/>
            <w:shd w:val="clear" w:color="auto" w:fill="auto"/>
            <w:noWrap/>
            <w:vAlign w:val="center"/>
          </w:tcPr>
          <w:p w14:paraId="33A3CD98">
            <w:pPr>
              <w:jc w:val="center"/>
              <w:rPr>
                <w:rFonts w:hint="default" w:ascii="Times New Roman" w:hAnsi="Times New Roman" w:eastAsia="宋体" w:cs="Times New Roman"/>
                <w:i w:val="0"/>
                <w:iCs w:val="0"/>
                <w:color w:val="auto"/>
                <w:sz w:val="21"/>
                <w:szCs w:val="21"/>
                <w:u w:val="none"/>
              </w:rPr>
            </w:pPr>
          </w:p>
        </w:tc>
        <w:tc>
          <w:tcPr>
            <w:tcW w:w="430" w:type="pct"/>
            <w:shd w:val="clear" w:color="auto" w:fill="auto"/>
            <w:noWrap/>
            <w:vAlign w:val="center"/>
          </w:tcPr>
          <w:p w14:paraId="2B2BED0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0.3869</w:t>
            </w:r>
          </w:p>
        </w:tc>
        <w:tc>
          <w:tcPr>
            <w:tcW w:w="419" w:type="pct"/>
            <w:shd w:val="clear" w:color="auto" w:fill="auto"/>
            <w:vAlign w:val="center"/>
          </w:tcPr>
          <w:p w14:paraId="37D1A3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压占</w:t>
            </w:r>
          </w:p>
        </w:tc>
        <w:tc>
          <w:tcPr>
            <w:tcW w:w="519" w:type="pct"/>
            <w:shd w:val="clear" w:color="auto" w:fill="auto"/>
            <w:vAlign w:val="center"/>
          </w:tcPr>
          <w:p w14:paraId="5C9403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中度</w:t>
            </w:r>
          </w:p>
        </w:tc>
      </w:tr>
      <w:tr w14:paraId="7C911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75" w:type="pct"/>
            <w:shd w:val="clear" w:color="auto" w:fill="auto"/>
            <w:vAlign w:val="center"/>
          </w:tcPr>
          <w:p w14:paraId="12B4976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3#废渣堆</w:t>
            </w:r>
          </w:p>
        </w:tc>
        <w:tc>
          <w:tcPr>
            <w:tcW w:w="539" w:type="pct"/>
            <w:shd w:val="clear" w:color="auto" w:fill="auto"/>
            <w:noWrap/>
            <w:vAlign w:val="center"/>
          </w:tcPr>
          <w:p w14:paraId="47E8FAD5">
            <w:pPr>
              <w:jc w:val="center"/>
              <w:rPr>
                <w:rFonts w:hint="default" w:ascii="Times New Roman" w:hAnsi="Times New Roman" w:eastAsia="宋体" w:cs="Times New Roman"/>
                <w:i w:val="0"/>
                <w:iCs w:val="0"/>
                <w:color w:val="auto"/>
                <w:sz w:val="21"/>
                <w:szCs w:val="21"/>
                <w:u w:val="none"/>
              </w:rPr>
            </w:pPr>
          </w:p>
        </w:tc>
        <w:tc>
          <w:tcPr>
            <w:tcW w:w="539" w:type="pct"/>
            <w:shd w:val="clear" w:color="auto" w:fill="auto"/>
            <w:noWrap/>
            <w:vAlign w:val="center"/>
          </w:tcPr>
          <w:p w14:paraId="2C403D2F">
            <w:pPr>
              <w:jc w:val="center"/>
              <w:rPr>
                <w:rFonts w:hint="eastAsia" w:ascii="宋体" w:hAnsi="宋体" w:eastAsia="宋体" w:cs="宋体"/>
                <w:i w:val="0"/>
                <w:iCs w:val="0"/>
                <w:color w:val="auto"/>
                <w:sz w:val="22"/>
                <w:szCs w:val="22"/>
                <w:u w:val="none"/>
              </w:rPr>
            </w:pPr>
          </w:p>
        </w:tc>
        <w:tc>
          <w:tcPr>
            <w:tcW w:w="660" w:type="pct"/>
            <w:shd w:val="clear" w:color="auto" w:fill="auto"/>
            <w:noWrap/>
            <w:vAlign w:val="center"/>
          </w:tcPr>
          <w:p w14:paraId="255390A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914</w:t>
            </w:r>
          </w:p>
        </w:tc>
        <w:tc>
          <w:tcPr>
            <w:tcW w:w="650" w:type="pct"/>
            <w:shd w:val="clear" w:color="auto" w:fill="auto"/>
            <w:noWrap/>
            <w:vAlign w:val="center"/>
          </w:tcPr>
          <w:p w14:paraId="51D68D9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51</w:t>
            </w:r>
          </w:p>
        </w:tc>
        <w:tc>
          <w:tcPr>
            <w:tcW w:w="465" w:type="pct"/>
            <w:shd w:val="clear" w:color="auto" w:fill="auto"/>
            <w:noWrap/>
            <w:vAlign w:val="center"/>
          </w:tcPr>
          <w:p w14:paraId="50599E70">
            <w:pPr>
              <w:jc w:val="center"/>
              <w:rPr>
                <w:rFonts w:hint="default" w:ascii="Times New Roman" w:hAnsi="Times New Roman" w:eastAsia="宋体" w:cs="Times New Roman"/>
                <w:i w:val="0"/>
                <w:iCs w:val="0"/>
                <w:color w:val="auto"/>
                <w:sz w:val="21"/>
                <w:szCs w:val="21"/>
                <w:u w:val="none"/>
              </w:rPr>
            </w:pPr>
          </w:p>
        </w:tc>
        <w:tc>
          <w:tcPr>
            <w:tcW w:w="430" w:type="pct"/>
            <w:shd w:val="clear" w:color="auto" w:fill="auto"/>
            <w:noWrap/>
            <w:vAlign w:val="center"/>
          </w:tcPr>
          <w:p w14:paraId="61576D1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0.0965</w:t>
            </w:r>
          </w:p>
        </w:tc>
        <w:tc>
          <w:tcPr>
            <w:tcW w:w="419" w:type="pct"/>
            <w:shd w:val="clear" w:color="auto" w:fill="auto"/>
            <w:vAlign w:val="center"/>
          </w:tcPr>
          <w:p w14:paraId="0EB10D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压占</w:t>
            </w:r>
          </w:p>
        </w:tc>
        <w:tc>
          <w:tcPr>
            <w:tcW w:w="519" w:type="pct"/>
            <w:shd w:val="clear" w:color="auto" w:fill="auto"/>
            <w:vAlign w:val="center"/>
          </w:tcPr>
          <w:p w14:paraId="51DC9E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中度</w:t>
            </w:r>
          </w:p>
        </w:tc>
      </w:tr>
      <w:tr w14:paraId="49A57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775" w:type="pct"/>
            <w:shd w:val="clear" w:color="auto" w:fill="auto"/>
            <w:vAlign w:val="center"/>
          </w:tcPr>
          <w:p w14:paraId="1BC435E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工业场地</w:t>
            </w:r>
          </w:p>
        </w:tc>
        <w:tc>
          <w:tcPr>
            <w:tcW w:w="539" w:type="pct"/>
            <w:shd w:val="clear" w:color="auto" w:fill="auto"/>
            <w:noWrap/>
            <w:vAlign w:val="center"/>
          </w:tcPr>
          <w:p w14:paraId="7A0ED4DF">
            <w:pPr>
              <w:jc w:val="center"/>
              <w:rPr>
                <w:rFonts w:hint="default" w:ascii="Times New Roman" w:hAnsi="Times New Roman" w:eastAsia="宋体" w:cs="Times New Roman"/>
                <w:i w:val="0"/>
                <w:iCs w:val="0"/>
                <w:color w:val="auto"/>
                <w:sz w:val="21"/>
                <w:szCs w:val="21"/>
                <w:u w:val="none"/>
              </w:rPr>
            </w:pPr>
          </w:p>
        </w:tc>
        <w:tc>
          <w:tcPr>
            <w:tcW w:w="539" w:type="pct"/>
            <w:shd w:val="clear" w:color="auto" w:fill="auto"/>
            <w:noWrap/>
            <w:vAlign w:val="center"/>
          </w:tcPr>
          <w:p w14:paraId="683C5E26">
            <w:pPr>
              <w:jc w:val="center"/>
              <w:rPr>
                <w:rFonts w:hint="eastAsia" w:ascii="宋体" w:hAnsi="宋体" w:eastAsia="宋体" w:cs="宋体"/>
                <w:i w:val="0"/>
                <w:iCs w:val="0"/>
                <w:color w:val="auto"/>
                <w:sz w:val="22"/>
                <w:szCs w:val="22"/>
                <w:u w:val="none"/>
              </w:rPr>
            </w:pPr>
          </w:p>
        </w:tc>
        <w:tc>
          <w:tcPr>
            <w:tcW w:w="660" w:type="pct"/>
            <w:shd w:val="clear" w:color="auto" w:fill="auto"/>
            <w:noWrap/>
            <w:vAlign w:val="center"/>
          </w:tcPr>
          <w:p w14:paraId="21C399A0">
            <w:pPr>
              <w:jc w:val="center"/>
              <w:rPr>
                <w:rFonts w:hint="eastAsia" w:ascii="宋体" w:hAnsi="宋体" w:eastAsia="宋体" w:cs="宋体"/>
                <w:i w:val="0"/>
                <w:iCs w:val="0"/>
                <w:color w:val="auto"/>
                <w:sz w:val="22"/>
                <w:szCs w:val="22"/>
                <w:u w:val="none"/>
              </w:rPr>
            </w:pPr>
          </w:p>
        </w:tc>
        <w:tc>
          <w:tcPr>
            <w:tcW w:w="650" w:type="pct"/>
            <w:shd w:val="clear" w:color="auto" w:fill="auto"/>
            <w:noWrap/>
            <w:vAlign w:val="center"/>
          </w:tcPr>
          <w:p w14:paraId="5F1FA3E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5425</w:t>
            </w:r>
          </w:p>
        </w:tc>
        <w:tc>
          <w:tcPr>
            <w:tcW w:w="465" w:type="pct"/>
            <w:shd w:val="clear" w:color="auto" w:fill="auto"/>
            <w:noWrap/>
            <w:vAlign w:val="center"/>
          </w:tcPr>
          <w:p w14:paraId="00180CDA">
            <w:pPr>
              <w:jc w:val="center"/>
              <w:rPr>
                <w:rFonts w:hint="default" w:ascii="Times New Roman" w:hAnsi="Times New Roman" w:eastAsia="宋体" w:cs="Times New Roman"/>
                <w:i w:val="0"/>
                <w:iCs w:val="0"/>
                <w:color w:val="auto"/>
                <w:sz w:val="21"/>
                <w:szCs w:val="21"/>
                <w:u w:val="none"/>
              </w:rPr>
            </w:pPr>
          </w:p>
        </w:tc>
        <w:tc>
          <w:tcPr>
            <w:tcW w:w="430" w:type="pct"/>
            <w:shd w:val="clear" w:color="auto" w:fill="auto"/>
            <w:noWrap/>
            <w:vAlign w:val="center"/>
          </w:tcPr>
          <w:p w14:paraId="1E0F79F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0.5425</w:t>
            </w:r>
          </w:p>
        </w:tc>
        <w:tc>
          <w:tcPr>
            <w:tcW w:w="419" w:type="pct"/>
            <w:shd w:val="clear" w:color="auto" w:fill="auto"/>
            <w:vAlign w:val="center"/>
          </w:tcPr>
          <w:p w14:paraId="603090C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压占</w:t>
            </w:r>
          </w:p>
        </w:tc>
        <w:tc>
          <w:tcPr>
            <w:tcW w:w="519" w:type="pct"/>
            <w:shd w:val="clear" w:color="auto" w:fill="auto"/>
            <w:vAlign w:val="center"/>
          </w:tcPr>
          <w:p w14:paraId="5A42D7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中度</w:t>
            </w:r>
          </w:p>
        </w:tc>
      </w:tr>
      <w:tr w14:paraId="611FD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775" w:type="pct"/>
            <w:shd w:val="clear" w:color="auto" w:fill="auto"/>
            <w:vAlign w:val="center"/>
          </w:tcPr>
          <w:p w14:paraId="03FEA83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办公生活区</w:t>
            </w:r>
          </w:p>
        </w:tc>
        <w:tc>
          <w:tcPr>
            <w:tcW w:w="539" w:type="pct"/>
            <w:shd w:val="clear" w:color="auto" w:fill="auto"/>
            <w:noWrap/>
            <w:vAlign w:val="center"/>
          </w:tcPr>
          <w:p w14:paraId="6EDFC18E">
            <w:pPr>
              <w:jc w:val="center"/>
              <w:rPr>
                <w:rFonts w:hint="default" w:ascii="Times New Roman" w:hAnsi="Times New Roman" w:eastAsia="宋体" w:cs="Times New Roman"/>
                <w:i w:val="0"/>
                <w:iCs w:val="0"/>
                <w:color w:val="auto"/>
                <w:sz w:val="21"/>
                <w:szCs w:val="21"/>
                <w:u w:val="none"/>
              </w:rPr>
            </w:pPr>
          </w:p>
        </w:tc>
        <w:tc>
          <w:tcPr>
            <w:tcW w:w="539" w:type="pct"/>
            <w:shd w:val="clear" w:color="auto" w:fill="auto"/>
            <w:noWrap/>
            <w:vAlign w:val="center"/>
          </w:tcPr>
          <w:p w14:paraId="20C9BF8D">
            <w:pPr>
              <w:jc w:val="center"/>
              <w:rPr>
                <w:rFonts w:hint="eastAsia" w:ascii="宋体" w:hAnsi="宋体" w:eastAsia="宋体" w:cs="宋体"/>
                <w:i w:val="0"/>
                <w:iCs w:val="0"/>
                <w:color w:val="auto"/>
                <w:sz w:val="22"/>
                <w:szCs w:val="22"/>
                <w:u w:val="none"/>
              </w:rPr>
            </w:pPr>
          </w:p>
        </w:tc>
        <w:tc>
          <w:tcPr>
            <w:tcW w:w="660" w:type="pct"/>
            <w:shd w:val="clear" w:color="auto" w:fill="auto"/>
            <w:noWrap/>
            <w:vAlign w:val="center"/>
          </w:tcPr>
          <w:p w14:paraId="7ED9C945">
            <w:pPr>
              <w:jc w:val="center"/>
              <w:rPr>
                <w:rFonts w:hint="eastAsia" w:ascii="宋体" w:hAnsi="宋体" w:eastAsia="宋体" w:cs="宋体"/>
                <w:i w:val="0"/>
                <w:iCs w:val="0"/>
                <w:color w:val="auto"/>
                <w:sz w:val="22"/>
                <w:szCs w:val="22"/>
                <w:u w:val="none"/>
              </w:rPr>
            </w:pPr>
          </w:p>
        </w:tc>
        <w:tc>
          <w:tcPr>
            <w:tcW w:w="650" w:type="pct"/>
            <w:shd w:val="clear" w:color="auto" w:fill="auto"/>
            <w:noWrap/>
            <w:vAlign w:val="center"/>
          </w:tcPr>
          <w:p w14:paraId="67DBE71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715</w:t>
            </w:r>
          </w:p>
        </w:tc>
        <w:tc>
          <w:tcPr>
            <w:tcW w:w="465" w:type="pct"/>
            <w:shd w:val="clear" w:color="auto" w:fill="auto"/>
            <w:noWrap/>
            <w:vAlign w:val="center"/>
          </w:tcPr>
          <w:p w14:paraId="464AD9AC">
            <w:pPr>
              <w:jc w:val="center"/>
              <w:rPr>
                <w:rFonts w:hint="default" w:ascii="Times New Roman" w:hAnsi="Times New Roman" w:eastAsia="宋体" w:cs="Times New Roman"/>
                <w:i w:val="0"/>
                <w:iCs w:val="0"/>
                <w:color w:val="auto"/>
                <w:sz w:val="21"/>
                <w:szCs w:val="21"/>
                <w:u w:val="none"/>
              </w:rPr>
            </w:pPr>
          </w:p>
        </w:tc>
        <w:tc>
          <w:tcPr>
            <w:tcW w:w="430" w:type="pct"/>
            <w:shd w:val="clear" w:color="auto" w:fill="auto"/>
            <w:noWrap/>
            <w:vAlign w:val="center"/>
          </w:tcPr>
          <w:p w14:paraId="1487F59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0.0715</w:t>
            </w:r>
          </w:p>
        </w:tc>
        <w:tc>
          <w:tcPr>
            <w:tcW w:w="419" w:type="pct"/>
            <w:shd w:val="clear" w:color="auto" w:fill="auto"/>
            <w:vAlign w:val="center"/>
          </w:tcPr>
          <w:p w14:paraId="45D4E4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压占</w:t>
            </w:r>
          </w:p>
        </w:tc>
        <w:tc>
          <w:tcPr>
            <w:tcW w:w="519" w:type="pct"/>
            <w:shd w:val="clear" w:color="auto" w:fill="auto"/>
            <w:vAlign w:val="center"/>
          </w:tcPr>
          <w:p w14:paraId="612939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中度</w:t>
            </w:r>
          </w:p>
        </w:tc>
      </w:tr>
      <w:tr w14:paraId="4C6FF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775" w:type="pct"/>
            <w:shd w:val="clear" w:color="auto" w:fill="auto"/>
            <w:vAlign w:val="center"/>
          </w:tcPr>
          <w:p w14:paraId="18675A3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矿区道路</w:t>
            </w:r>
          </w:p>
        </w:tc>
        <w:tc>
          <w:tcPr>
            <w:tcW w:w="539" w:type="pct"/>
            <w:shd w:val="clear" w:color="auto" w:fill="auto"/>
            <w:noWrap/>
            <w:vAlign w:val="center"/>
          </w:tcPr>
          <w:p w14:paraId="1786E40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78</w:t>
            </w:r>
          </w:p>
        </w:tc>
        <w:tc>
          <w:tcPr>
            <w:tcW w:w="539" w:type="pct"/>
            <w:shd w:val="clear" w:color="auto" w:fill="auto"/>
            <w:noWrap/>
            <w:vAlign w:val="center"/>
          </w:tcPr>
          <w:p w14:paraId="1CFD238D">
            <w:pPr>
              <w:jc w:val="center"/>
              <w:rPr>
                <w:rFonts w:hint="eastAsia" w:ascii="宋体" w:hAnsi="宋体" w:eastAsia="宋体" w:cs="宋体"/>
                <w:i w:val="0"/>
                <w:iCs w:val="0"/>
                <w:color w:val="auto"/>
                <w:sz w:val="22"/>
                <w:szCs w:val="22"/>
                <w:u w:val="none"/>
              </w:rPr>
            </w:pPr>
          </w:p>
        </w:tc>
        <w:tc>
          <w:tcPr>
            <w:tcW w:w="660" w:type="pct"/>
            <w:shd w:val="clear" w:color="auto" w:fill="auto"/>
            <w:noWrap/>
            <w:vAlign w:val="center"/>
          </w:tcPr>
          <w:p w14:paraId="63326CC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1462</w:t>
            </w:r>
          </w:p>
        </w:tc>
        <w:tc>
          <w:tcPr>
            <w:tcW w:w="650" w:type="pct"/>
            <w:shd w:val="clear" w:color="auto" w:fill="auto"/>
            <w:noWrap/>
            <w:vAlign w:val="center"/>
          </w:tcPr>
          <w:p w14:paraId="30D1AC5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6721</w:t>
            </w:r>
          </w:p>
        </w:tc>
        <w:tc>
          <w:tcPr>
            <w:tcW w:w="465" w:type="pct"/>
            <w:shd w:val="clear" w:color="auto" w:fill="auto"/>
            <w:noWrap/>
            <w:vAlign w:val="center"/>
          </w:tcPr>
          <w:p w14:paraId="5D7003C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349</w:t>
            </w:r>
          </w:p>
        </w:tc>
        <w:tc>
          <w:tcPr>
            <w:tcW w:w="430" w:type="pct"/>
            <w:shd w:val="clear" w:color="auto" w:fill="auto"/>
            <w:noWrap/>
            <w:vAlign w:val="center"/>
          </w:tcPr>
          <w:p w14:paraId="436D840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0.8610 </w:t>
            </w:r>
          </w:p>
        </w:tc>
        <w:tc>
          <w:tcPr>
            <w:tcW w:w="419" w:type="pct"/>
            <w:shd w:val="clear" w:color="auto" w:fill="auto"/>
            <w:vAlign w:val="center"/>
          </w:tcPr>
          <w:p w14:paraId="73CDA5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挖损</w:t>
            </w:r>
          </w:p>
        </w:tc>
        <w:tc>
          <w:tcPr>
            <w:tcW w:w="519" w:type="pct"/>
            <w:shd w:val="clear" w:color="auto" w:fill="auto"/>
            <w:vAlign w:val="center"/>
          </w:tcPr>
          <w:p w14:paraId="06CDB8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中度</w:t>
            </w:r>
          </w:p>
        </w:tc>
      </w:tr>
      <w:tr w14:paraId="57A36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775" w:type="pct"/>
            <w:shd w:val="clear" w:color="auto" w:fill="auto"/>
            <w:vAlign w:val="center"/>
          </w:tcPr>
          <w:p w14:paraId="5FA0036C">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变压器</w:t>
            </w:r>
          </w:p>
        </w:tc>
        <w:tc>
          <w:tcPr>
            <w:tcW w:w="539" w:type="pct"/>
            <w:shd w:val="clear" w:color="auto" w:fill="auto"/>
            <w:noWrap/>
            <w:vAlign w:val="center"/>
          </w:tcPr>
          <w:p w14:paraId="0192CDF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p>
        </w:tc>
        <w:tc>
          <w:tcPr>
            <w:tcW w:w="539" w:type="pct"/>
            <w:shd w:val="clear" w:color="auto" w:fill="auto"/>
            <w:noWrap/>
            <w:vAlign w:val="center"/>
          </w:tcPr>
          <w:p w14:paraId="5F341326">
            <w:pPr>
              <w:jc w:val="center"/>
              <w:rPr>
                <w:rFonts w:hint="eastAsia" w:ascii="宋体" w:hAnsi="宋体" w:eastAsia="宋体" w:cs="宋体"/>
                <w:i w:val="0"/>
                <w:iCs w:val="0"/>
                <w:color w:val="auto"/>
                <w:sz w:val="22"/>
                <w:szCs w:val="22"/>
                <w:u w:val="none"/>
              </w:rPr>
            </w:pPr>
          </w:p>
        </w:tc>
        <w:tc>
          <w:tcPr>
            <w:tcW w:w="660" w:type="pct"/>
            <w:shd w:val="clear" w:color="auto" w:fill="auto"/>
            <w:noWrap/>
            <w:vAlign w:val="center"/>
          </w:tcPr>
          <w:p w14:paraId="24AE106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650" w:type="pct"/>
            <w:shd w:val="clear" w:color="auto" w:fill="auto"/>
            <w:noWrap/>
            <w:vAlign w:val="center"/>
          </w:tcPr>
          <w:p w14:paraId="6A3F9A54">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18</w:t>
            </w:r>
          </w:p>
        </w:tc>
        <w:tc>
          <w:tcPr>
            <w:tcW w:w="465" w:type="pct"/>
            <w:shd w:val="clear" w:color="auto" w:fill="auto"/>
            <w:noWrap/>
            <w:vAlign w:val="center"/>
          </w:tcPr>
          <w:p w14:paraId="0ECAA2B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430" w:type="pct"/>
            <w:shd w:val="clear" w:color="auto" w:fill="auto"/>
            <w:noWrap/>
            <w:vAlign w:val="center"/>
          </w:tcPr>
          <w:p w14:paraId="42F9E0B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0.018</w:t>
            </w:r>
          </w:p>
        </w:tc>
        <w:tc>
          <w:tcPr>
            <w:tcW w:w="419" w:type="pct"/>
            <w:shd w:val="clear" w:color="auto" w:fill="auto"/>
            <w:vAlign w:val="center"/>
          </w:tcPr>
          <w:p w14:paraId="3F4EBAE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c>
          <w:tcPr>
            <w:tcW w:w="519" w:type="pct"/>
            <w:shd w:val="clear" w:color="auto" w:fill="auto"/>
            <w:vAlign w:val="center"/>
          </w:tcPr>
          <w:p w14:paraId="670439C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r>
      <w:tr w14:paraId="08549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775" w:type="pct"/>
            <w:shd w:val="clear" w:color="auto" w:fill="auto"/>
            <w:vAlign w:val="center"/>
          </w:tcPr>
          <w:p w14:paraId="1D1A456B">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合计</w:t>
            </w:r>
          </w:p>
        </w:tc>
        <w:tc>
          <w:tcPr>
            <w:tcW w:w="539" w:type="pct"/>
            <w:shd w:val="clear" w:color="auto" w:fill="auto"/>
            <w:noWrap/>
            <w:vAlign w:val="center"/>
          </w:tcPr>
          <w:p w14:paraId="57B8294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78</w:t>
            </w:r>
          </w:p>
        </w:tc>
        <w:tc>
          <w:tcPr>
            <w:tcW w:w="539" w:type="pct"/>
            <w:shd w:val="clear" w:color="auto" w:fill="auto"/>
            <w:noWrap/>
            <w:vAlign w:val="center"/>
          </w:tcPr>
          <w:p w14:paraId="0A86B76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418</w:t>
            </w:r>
          </w:p>
        </w:tc>
        <w:tc>
          <w:tcPr>
            <w:tcW w:w="660" w:type="pct"/>
            <w:shd w:val="clear" w:color="auto" w:fill="auto"/>
            <w:noWrap/>
            <w:vAlign w:val="center"/>
          </w:tcPr>
          <w:p w14:paraId="11F2F23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9383</w:t>
            </w:r>
          </w:p>
        </w:tc>
        <w:tc>
          <w:tcPr>
            <w:tcW w:w="650" w:type="pct"/>
            <w:shd w:val="clear" w:color="auto" w:fill="auto"/>
            <w:noWrap/>
            <w:vAlign w:val="center"/>
          </w:tcPr>
          <w:p w14:paraId="31C62B34">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lang w:val="en-US"/>
              </w:rPr>
            </w:pPr>
            <w:r>
              <w:rPr>
                <w:rFonts w:hint="eastAsia" w:ascii="Times New Roman" w:hAnsi="Times New Roman" w:eastAsia="宋体" w:cs="Times New Roman"/>
                <w:b/>
                <w:bCs/>
                <w:i w:val="0"/>
                <w:iCs w:val="0"/>
                <w:color w:val="auto"/>
                <w:kern w:val="0"/>
                <w:sz w:val="21"/>
                <w:szCs w:val="21"/>
                <w:u w:val="none"/>
                <w:lang w:val="en-US" w:eastAsia="zh-CN" w:bidi="ar"/>
              </w:rPr>
              <w:t>674</w:t>
            </w:r>
            <w:r>
              <w:rPr>
                <w:rFonts w:hint="eastAsia" w:cs="Times New Roman"/>
                <w:b/>
                <w:bCs/>
                <w:i w:val="0"/>
                <w:iCs w:val="0"/>
                <w:color w:val="auto"/>
                <w:kern w:val="0"/>
                <w:sz w:val="21"/>
                <w:szCs w:val="21"/>
                <w:u w:val="none"/>
                <w:lang w:val="en-US" w:eastAsia="zh-CN" w:bidi="ar"/>
              </w:rPr>
              <w:t>60</w:t>
            </w:r>
          </w:p>
        </w:tc>
        <w:tc>
          <w:tcPr>
            <w:tcW w:w="465" w:type="pct"/>
            <w:shd w:val="clear" w:color="auto" w:fill="auto"/>
            <w:noWrap/>
            <w:vAlign w:val="center"/>
          </w:tcPr>
          <w:p w14:paraId="013F6A1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349</w:t>
            </w:r>
          </w:p>
        </w:tc>
        <w:tc>
          <w:tcPr>
            <w:tcW w:w="430" w:type="pct"/>
            <w:shd w:val="clear" w:color="auto" w:fill="auto"/>
            <w:noWrap/>
            <w:vAlign w:val="center"/>
          </w:tcPr>
          <w:p w14:paraId="12C5825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7.76</w:t>
            </w:r>
            <w:r>
              <w:rPr>
                <w:rFonts w:hint="eastAsia" w:cs="Times New Roman"/>
                <w:b/>
                <w:bCs/>
                <w:i w:val="0"/>
                <w:iCs w:val="0"/>
                <w:color w:val="auto"/>
                <w:kern w:val="0"/>
                <w:sz w:val="21"/>
                <w:szCs w:val="21"/>
                <w:u w:val="none"/>
                <w:lang w:val="en-US" w:eastAsia="zh-CN" w:bidi="ar"/>
              </w:rPr>
              <w:t>88</w:t>
            </w:r>
            <w:r>
              <w:rPr>
                <w:rFonts w:hint="default" w:ascii="Times New Roman" w:hAnsi="Times New Roman" w:eastAsia="宋体" w:cs="Times New Roman"/>
                <w:b/>
                <w:bCs/>
                <w:i w:val="0"/>
                <w:iCs w:val="0"/>
                <w:color w:val="auto"/>
                <w:kern w:val="0"/>
                <w:sz w:val="21"/>
                <w:szCs w:val="21"/>
                <w:u w:val="none"/>
                <w:lang w:val="en-US" w:eastAsia="zh-CN" w:bidi="ar"/>
              </w:rPr>
              <w:t xml:space="preserve"> </w:t>
            </w:r>
          </w:p>
        </w:tc>
        <w:tc>
          <w:tcPr>
            <w:tcW w:w="419" w:type="pct"/>
            <w:shd w:val="clear" w:color="auto" w:fill="auto"/>
            <w:noWrap/>
            <w:vAlign w:val="center"/>
          </w:tcPr>
          <w:p w14:paraId="7FD3F15E">
            <w:pPr>
              <w:jc w:val="center"/>
              <w:rPr>
                <w:rFonts w:hint="default" w:ascii="Times New Roman" w:hAnsi="Times New Roman" w:eastAsia="宋体" w:cs="Times New Roman"/>
                <w:b/>
                <w:bCs/>
                <w:i w:val="0"/>
                <w:iCs w:val="0"/>
                <w:color w:val="auto"/>
                <w:sz w:val="21"/>
                <w:szCs w:val="21"/>
                <w:u w:val="none"/>
              </w:rPr>
            </w:pPr>
          </w:p>
        </w:tc>
        <w:tc>
          <w:tcPr>
            <w:tcW w:w="519" w:type="pct"/>
            <w:shd w:val="clear" w:color="auto" w:fill="auto"/>
            <w:noWrap/>
            <w:vAlign w:val="center"/>
          </w:tcPr>
          <w:p w14:paraId="7937A0C0">
            <w:pPr>
              <w:rPr>
                <w:rFonts w:hint="eastAsia" w:ascii="宋体" w:hAnsi="宋体" w:eastAsia="宋体" w:cs="宋体"/>
                <w:i w:val="0"/>
                <w:iCs w:val="0"/>
                <w:color w:val="auto"/>
                <w:sz w:val="22"/>
                <w:szCs w:val="22"/>
                <w:u w:val="none"/>
              </w:rPr>
            </w:pPr>
          </w:p>
        </w:tc>
      </w:tr>
    </w:tbl>
    <w:p w14:paraId="71B70171">
      <w:pPr>
        <w:widowControl/>
        <w:ind w:firstLine="480" w:firstLineChars="200"/>
        <w:jc w:val="center"/>
        <w:rPr>
          <w:rFonts w:hint="eastAsia" w:ascii="黑体" w:hAnsi="黑体" w:eastAsia="黑体" w:cs="宋体"/>
          <w:color w:val="auto"/>
          <w:kern w:val="0"/>
          <w:sz w:val="24"/>
          <w:szCs w:val="24"/>
        </w:rPr>
      </w:pPr>
    </w:p>
    <w:bookmarkEnd w:id="64"/>
    <w:p w14:paraId="14BF4AC2">
      <w:pPr>
        <w:widowControl/>
        <w:ind w:firstLine="480" w:firstLineChars="200"/>
        <w:jc w:val="center"/>
        <w:rPr>
          <w:rFonts w:hint="eastAsia" w:ascii="黑体" w:hAnsi="黑体" w:eastAsia="黑体" w:cs="宋体"/>
          <w:color w:val="auto"/>
          <w:kern w:val="0"/>
          <w:sz w:val="24"/>
          <w:szCs w:val="24"/>
        </w:rPr>
      </w:pPr>
    </w:p>
    <w:p w14:paraId="09A3ADF3">
      <w:pPr>
        <w:widowControl/>
        <w:ind w:firstLine="480" w:firstLineChars="200"/>
        <w:jc w:val="center"/>
        <w:rPr>
          <w:rFonts w:hint="eastAsia" w:ascii="黑体" w:hAnsi="黑体" w:eastAsia="黑体" w:cs="宋体"/>
          <w:color w:val="auto"/>
          <w:kern w:val="0"/>
          <w:sz w:val="24"/>
          <w:szCs w:val="24"/>
        </w:rPr>
        <w:sectPr>
          <w:pgSz w:w="16838" w:h="11906" w:orient="landscape"/>
          <w:pgMar w:top="1797" w:right="1219" w:bottom="1797" w:left="1440" w:header="851" w:footer="992" w:gutter="0"/>
          <w:pgNumType w:fmt="decimal"/>
          <w:cols w:space="720" w:num="1"/>
          <w:docGrid w:linePitch="312" w:charSpace="0"/>
        </w:sectPr>
      </w:pPr>
    </w:p>
    <w:p w14:paraId="675502F7">
      <w:pPr>
        <w:widowControl/>
        <w:spacing w:line="360" w:lineRule="auto"/>
        <w:ind w:firstLine="562" w:firstLineChars="200"/>
        <w:outlineLvl w:val="3"/>
        <w:rPr>
          <w:rFonts w:hint="eastAsia" w:ascii="宋体" w:hAnsi="宋体" w:cs="宋体"/>
          <w:b/>
          <w:bCs/>
          <w:snapToGrid w:val="0"/>
          <w:color w:val="auto"/>
          <w:sz w:val="28"/>
          <w:szCs w:val="28"/>
        </w:rPr>
      </w:pPr>
      <w:r>
        <w:rPr>
          <w:rFonts w:hint="eastAsia" w:ascii="宋体" w:hAnsi="宋体" w:cs="宋体"/>
          <w:b/>
          <w:bCs/>
          <w:snapToGrid w:val="0"/>
          <w:color w:val="auto"/>
          <w:sz w:val="28"/>
          <w:szCs w:val="28"/>
        </w:rPr>
        <w:t>（三）生态系统受损现状</w:t>
      </w:r>
    </w:p>
    <w:p w14:paraId="435FA6B5">
      <w:pPr>
        <w:widowControl/>
        <w:spacing w:line="360" w:lineRule="auto"/>
        <w:ind w:firstLine="562" w:firstLineChars="200"/>
        <w:rPr>
          <w:b/>
          <w:bCs/>
          <w:color w:val="auto"/>
          <w:kern w:val="0"/>
          <w:sz w:val="28"/>
          <w:szCs w:val="28"/>
        </w:rPr>
      </w:pPr>
      <w:bookmarkStart w:id="65" w:name="_Hlk221299823"/>
      <w:r>
        <w:rPr>
          <w:b/>
          <w:bCs/>
          <w:color w:val="auto"/>
          <w:kern w:val="0"/>
          <w:sz w:val="28"/>
          <w:szCs w:val="28"/>
        </w:rPr>
        <w:t>1、植被损毁</w:t>
      </w:r>
    </w:p>
    <w:p w14:paraId="19CC957B">
      <w:pPr>
        <w:spacing w:line="360" w:lineRule="auto"/>
        <w:ind w:firstLine="560" w:firstLineChars="200"/>
        <w:rPr>
          <w:rFonts w:eastAsiaTheme="minorEastAsia"/>
          <w:snapToGrid w:val="0"/>
          <w:color w:val="auto"/>
          <w:sz w:val="28"/>
          <w:szCs w:val="28"/>
        </w:rPr>
      </w:pPr>
      <w:r>
        <w:rPr>
          <w:color w:val="auto"/>
          <w:sz w:val="28"/>
          <w:szCs w:val="28"/>
          <w:lang w:bidi="en-US"/>
        </w:rPr>
        <w:t>通过遥感影像与实地植被状况调查，现状各单元场地</w:t>
      </w:r>
      <w:r>
        <w:rPr>
          <w:rFonts w:eastAsiaTheme="minorEastAsia"/>
          <w:snapToGrid w:val="0"/>
          <w:color w:val="auto"/>
          <w:sz w:val="28"/>
          <w:szCs w:val="28"/>
        </w:rPr>
        <w:t>植被覆盖度为</w:t>
      </w:r>
      <w:r>
        <w:rPr>
          <w:rFonts w:hint="eastAsia" w:eastAsiaTheme="minorEastAsia"/>
          <w:snapToGrid w:val="0"/>
          <w:color w:val="auto"/>
          <w:sz w:val="28"/>
          <w:szCs w:val="28"/>
          <w:lang w:val="en-US" w:eastAsia="zh-CN"/>
        </w:rPr>
        <w:t>＜10</w:t>
      </w:r>
      <w:r>
        <w:rPr>
          <w:rFonts w:eastAsiaTheme="minorEastAsia"/>
          <w:snapToGrid w:val="0"/>
          <w:color w:val="auto"/>
          <w:sz w:val="28"/>
          <w:szCs w:val="28"/>
        </w:rPr>
        <w:t>%，</w:t>
      </w:r>
      <w:r>
        <w:rPr>
          <w:color w:val="auto"/>
          <w:sz w:val="28"/>
          <w:szCs w:val="28"/>
          <w:lang w:bidi="en-US"/>
        </w:rPr>
        <w:t>主要损毁</w:t>
      </w:r>
      <w:r>
        <w:rPr>
          <w:rFonts w:hint="eastAsia"/>
          <w:color w:val="auto"/>
          <w:kern w:val="0"/>
          <w:sz w:val="28"/>
          <w:szCs w:val="28"/>
        </w:rPr>
        <w:t>乔木林地</w:t>
      </w:r>
      <w:r>
        <w:rPr>
          <w:rFonts w:hint="eastAsia"/>
          <w:color w:val="auto"/>
          <w:kern w:val="0"/>
          <w:sz w:val="28"/>
          <w:szCs w:val="28"/>
          <w:lang w:eastAsia="zh-CN"/>
        </w:rPr>
        <w:t>、</w:t>
      </w:r>
      <w:r>
        <w:rPr>
          <w:rFonts w:hint="eastAsia"/>
          <w:color w:val="auto"/>
          <w:kern w:val="0"/>
          <w:sz w:val="28"/>
          <w:szCs w:val="28"/>
        </w:rPr>
        <w:t>灌木林地</w:t>
      </w:r>
      <w:r>
        <w:rPr>
          <w:rFonts w:hint="eastAsia"/>
          <w:color w:val="auto"/>
          <w:kern w:val="0"/>
          <w:sz w:val="28"/>
          <w:szCs w:val="28"/>
          <w:lang w:eastAsia="zh-CN"/>
        </w:rPr>
        <w:t>、</w:t>
      </w:r>
      <w:r>
        <w:rPr>
          <w:rFonts w:hint="eastAsia"/>
          <w:color w:val="auto"/>
          <w:kern w:val="0"/>
          <w:sz w:val="28"/>
          <w:szCs w:val="28"/>
        </w:rPr>
        <w:t>其他草地</w:t>
      </w:r>
      <w:r>
        <w:rPr>
          <w:rFonts w:hint="eastAsia"/>
          <w:color w:val="auto"/>
          <w:kern w:val="0"/>
          <w:sz w:val="28"/>
          <w:szCs w:val="28"/>
          <w:lang w:eastAsia="zh-CN"/>
        </w:rPr>
        <w:t>、</w:t>
      </w:r>
      <w:r>
        <w:rPr>
          <w:rFonts w:hint="eastAsia"/>
          <w:color w:val="auto"/>
          <w:kern w:val="0"/>
          <w:sz w:val="28"/>
          <w:szCs w:val="28"/>
        </w:rPr>
        <w:t>采矿用地</w:t>
      </w:r>
      <w:r>
        <w:rPr>
          <w:rFonts w:hint="eastAsia"/>
          <w:color w:val="auto"/>
          <w:kern w:val="0"/>
          <w:sz w:val="28"/>
          <w:szCs w:val="28"/>
          <w:lang w:eastAsia="zh-CN"/>
        </w:rPr>
        <w:t>、</w:t>
      </w:r>
      <w:r>
        <w:rPr>
          <w:rFonts w:hint="eastAsia"/>
          <w:color w:val="auto"/>
          <w:kern w:val="0"/>
          <w:sz w:val="28"/>
          <w:szCs w:val="28"/>
        </w:rPr>
        <w:t>裸土地</w:t>
      </w:r>
      <w:r>
        <w:rPr>
          <w:color w:val="auto"/>
          <w:sz w:val="28"/>
          <w:szCs w:val="28"/>
          <w:lang w:bidi="en-US"/>
        </w:rPr>
        <w:t>，场地面积较大，对植被破坏范围较大，对生态系统有较严重的切割，植被修复需要</w:t>
      </w:r>
      <w:r>
        <w:rPr>
          <w:rFonts w:hint="eastAsia"/>
          <w:color w:val="auto"/>
          <w:sz w:val="28"/>
          <w:szCs w:val="28"/>
          <w:lang w:val="en-US" w:eastAsia="zh-CN" w:bidi="en-US"/>
        </w:rPr>
        <w:t>削坡、拆除、清运、</w:t>
      </w:r>
      <w:r>
        <w:rPr>
          <w:color w:val="auto"/>
          <w:sz w:val="28"/>
          <w:szCs w:val="28"/>
          <w:lang w:bidi="en-US"/>
        </w:rPr>
        <w:t>覆土后复垦修复，故认为上述场地对</w:t>
      </w:r>
      <w:r>
        <w:rPr>
          <w:color w:val="auto"/>
          <w:kern w:val="0"/>
          <w:sz w:val="28"/>
          <w:szCs w:val="28"/>
        </w:rPr>
        <w:t>植被损毁程度为“</w:t>
      </w:r>
      <w:r>
        <w:rPr>
          <w:rFonts w:hint="eastAsia"/>
          <w:color w:val="auto"/>
          <w:kern w:val="0"/>
          <w:sz w:val="28"/>
          <w:szCs w:val="28"/>
          <w:lang w:val="en-US" w:eastAsia="zh-CN"/>
        </w:rPr>
        <w:t>较</w:t>
      </w:r>
      <w:r>
        <w:rPr>
          <w:color w:val="auto"/>
          <w:kern w:val="0"/>
          <w:sz w:val="28"/>
          <w:szCs w:val="28"/>
        </w:rPr>
        <w:t>严重”。</w:t>
      </w:r>
    </w:p>
    <w:p w14:paraId="208914B5">
      <w:pPr>
        <w:spacing w:line="360" w:lineRule="auto"/>
        <w:ind w:firstLine="562" w:firstLineChars="200"/>
        <w:rPr>
          <w:b/>
          <w:bCs/>
          <w:color w:val="auto"/>
          <w:sz w:val="28"/>
          <w:szCs w:val="28"/>
          <w:lang w:bidi="en-US"/>
        </w:rPr>
      </w:pPr>
      <w:r>
        <w:rPr>
          <w:b/>
          <w:bCs/>
          <w:color w:val="auto"/>
          <w:kern w:val="0"/>
          <w:sz w:val="28"/>
          <w:szCs w:val="28"/>
        </w:rPr>
        <w:t>2、生物多样性丧失</w:t>
      </w:r>
    </w:p>
    <w:p w14:paraId="45EC1CD9">
      <w:pPr>
        <w:spacing w:line="360" w:lineRule="auto"/>
        <w:ind w:firstLine="560" w:firstLineChars="200"/>
        <w:rPr>
          <w:color w:val="auto"/>
          <w:sz w:val="28"/>
          <w:szCs w:val="28"/>
          <w:lang w:bidi="en-US"/>
        </w:rPr>
      </w:pPr>
      <w:r>
        <w:rPr>
          <w:color w:val="auto"/>
          <w:sz w:val="28"/>
          <w:szCs w:val="28"/>
          <w:lang w:bidi="en-US"/>
        </w:rPr>
        <w:t>矿区生态修复范围地处</w:t>
      </w:r>
      <w:r>
        <w:rPr>
          <w:rFonts w:hint="eastAsia"/>
          <w:color w:val="auto"/>
          <w:sz w:val="28"/>
          <w:szCs w:val="28"/>
          <w:lang w:val="en-US" w:eastAsia="zh-CN" w:bidi="en-US"/>
        </w:rPr>
        <w:t>低山</w:t>
      </w:r>
      <w:r>
        <w:rPr>
          <w:color w:val="auto"/>
          <w:sz w:val="28"/>
          <w:szCs w:val="28"/>
          <w:lang w:bidi="en-US"/>
        </w:rPr>
        <w:t>丘陵地段，自然植被发育</w:t>
      </w:r>
      <w:r>
        <w:rPr>
          <w:rFonts w:hint="eastAsia"/>
          <w:color w:val="auto"/>
          <w:sz w:val="28"/>
          <w:szCs w:val="28"/>
          <w:lang w:bidi="en-US"/>
        </w:rPr>
        <w:t>良好</w:t>
      </w:r>
      <w:r>
        <w:rPr>
          <w:color w:val="auto"/>
          <w:sz w:val="28"/>
          <w:szCs w:val="28"/>
          <w:lang w:bidi="en-US"/>
        </w:rPr>
        <w:t>，区域及外围</w:t>
      </w:r>
      <w:r>
        <w:rPr>
          <w:rFonts w:hint="eastAsia"/>
          <w:color w:val="auto"/>
          <w:sz w:val="28"/>
          <w:szCs w:val="28"/>
          <w:lang w:val="en-US" w:eastAsia="zh-CN" w:bidi="en-US"/>
        </w:rPr>
        <w:t>2</w:t>
      </w:r>
      <w:r>
        <w:rPr>
          <w:color w:val="auto"/>
          <w:sz w:val="28"/>
          <w:szCs w:val="28"/>
          <w:lang w:bidi="en-US"/>
        </w:rPr>
        <w:t>km内分布有自然沟谷、山地、农田等。此生境中野生动物主要为一些啮齿类哺乳动物，主要有：</w:t>
      </w:r>
      <w:r>
        <w:rPr>
          <w:rFonts w:hint="eastAsia"/>
          <w:color w:val="auto"/>
          <w:sz w:val="28"/>
          <w:szCs w:val="28"/>
          <w:lang w:bidi="en-US"/>
        </w:rPr>
        <w:t>鼹形田鼠</w:t>
      </w:r>
      <w:r>
        <w:rPr>
          <w:rFonts w:hint="eastAsia"/>
          <w:color w:val="auto"/>
          <w:sz w:val="28"/>
          <w:szCs w:val="28"/>
          <w:lang w:eastAsia="zh-CN" w:bidi="en-US"/>
        </w:rPr>
        <w:t>、</w:t>
      </w:r>
      <w:r>
        <w:rPr>
          <w:rFonts w:hint="eastAsia"/>
          <w:color w:val="auto"/>
          <w:sz w:val="28"/>
          <w:szCs w:val="28"/>
          <w:lang w:bidi="en-US"/>
        </w:rPr>
        <w:t>草原鼢鼠</w:t>
      </w:r>
      <w:r>
        <w:rPr>
          <w:color w:val="auto"/>
          <w:sz w:val="28"/>
          <w:szCs w:val="28"/>
          <w:lang w:bidi="en-US"/>
        </w:rPr>
        <w:t>等；</w:t>
      </w:r>
      <w:r>
        <w:rPr>
          <w:rFonts w:hint="eastAsia"/>
          <w:color w:val="auto"/>
          <w:sz w:val="28"/>
          <w:szCs w:val="28"/>
          <w:lang w:val="en-US" w:eastAsia="zh-CN" w:bidi="en-US"/>
        </w:rPr>
        <w:t>根</w:t>
      </w:r>
      <w:r>
        <w:rPr>
          <w:color w:val="auto"/>
          <w:sz w:val="28"/>
          <w:szCs w:val="28"/>
          <w:lang w:bidi="en-US"/>
        </w:rPr>
        <w:t>具初步调查该区域鸟类主要有</w:t>
      </w:r>
      <w:r>
        <w:rPr>
          <w:rFonts w:hint="eastAsia"/>
          <w:color w:val="auto"/>
          <w:sz w:val="28"/>
          <w:szCs w:val="28"/>
          <w:lang w:bidi="en-US"/>
        </w:rPr>
        <w:t>家麻雀</w:t>
      </w:r>
      <w:r>
        <w:rPr>
          <w:rFonts w:hint="eastAsia"/>
          <w:color w:val="auto"/>
          <w:sz w:val="28"/>
          <w:szCs w:val="28"/>
          <w:lang w:eastAsia="zh-CN" w:bidi="en-US"/>
        </w:rPr>
        <w:t>、</w:t>
      </w:r>
      <w:r>
        <w:rPr>
          <w:rFonts w:hint="eastAsia"/>
          <w:color w:val="auto"/>
          <w:sz w:val="28"/>
          <w:szCs w:val="28"/>
          <w:lang w:bidi="en-US"/>
        </w:rPr>
        <w:t>家燕</w:t>
      </w:r>
      <w:r>
        <w:rPr>
          <w:rFonts w:hint="eastAsia"/>
          <w:color w:val="auto"/>
          <w:sz w:val="28"/>
          <w:szCs w:val="28"/>
          <w:lang w:eastAsia="zh-CN" w:bidi="en-US"/>
        </w:rPr>
        <w:t>、</w:t>
      </w:r>
      <w:r>
        <w:rPr>
          <w:rFonts w:hint="eastAsia"/>
          <w:color w:val="auto"/>
          <w:sz w:val="28"/>
          <w:szCs w:val="28"/>
          <w:lang w:bidi="en-US"/>
        </w:rPr>
        <w:t>金腰燕</w:t>
      </w:r>
      <w:r>
        <w:rPr>
          <w:rFonts w:hint="eastAsia"/>
          <w:color w:val="auto"/>
          <w:sz w:val="28"/>
          <w:szCs w:val="28"/>
          <w:lang w:eastAsia="zh-CN" w:bidi="en-US"/>
        </w:rPr>
        <w:t>、</w:t>
      </w:r>
      <w:r>
        <w:rPr>
          <w:rFonts w:hint="eastAsia"/>
          <w:color w:val="auto"/>
          <w:sz w:val="28"/>
          <w:szCs w:val="28"/>
          <w:lang w:bidi="en-US"/>
        </w:rPr>
        <w:t>大山雀</w:t>
      </w:r>
      <w:r>
        <w:rPr>
          <w:rFonts w:hint="eastAsia"/>
          <w:color w:val="auto"/>
          <w:sz w:val="28"/>
          <w:szCs w:val="28"/>
          <w:lang w:eastAsia="zh-CN" w:bidi="en-US"/>
        </w:rPr>
        <w:t>、</w:t>
      </w:r>
      <w:r>
        <w:rPr>
          <w:rFonts w:hint="eastAsia"/>
          <w:color w:val="auto"/>
          <w:sz w:val="28"/>
          <w:szCs w:val="28"/>
          <w:lang w:bidi="en-US"/>
        </w:rPr>
        <w:t>大杜鹃</w:t>
      </w:r>
      <w:r>
        <w:rPr>
          <w:rFonts w:hint="eastAsia"/>
          <w:color w:val="auto"/>
          <w:sz w:val="28"/>
          <w:szCs w:val="28"/>
          <w:lang w:eastAsia="zh-CN" w:bidi="en-US"/>
        </w:rPr>
        <w:t>、</w:t>
      </w:r>
      <w:r>
        <w:rPr>
          <w:rFonts w:hint="eastAsia"/>
          <w:color w:val="auto"/>
          <w:sz w:val="28"/>
          <w:szCs w:val="28"/>
          <w:lang w:bidi="en-US"/>
        </w:rPr>
        <w:t>寒鸦</w:t>
      </w:r>
      <w:r>
        <w:rPr>
          <w:rFonts w:hint="eastAsia"/>
          <w:color w:val="auto"/>
          <w:sz w:val="28"/>
          <w:szCs w:val="28"/>
          <w:lang w:eastAsia="zh-CN" w:bidi="en-US"/>
        </w:rPr>
        <w:t>、</w:t>
      </w:r>
      <w:r>
        <w:rPr>
          <w:rFonts w:hint="eastAsia"/>
          <w:color w:val="auto"/>
          <w:sz w:val="28"/>
          <w:szCs w:val="28"/>
          <w:lang w:bidi="en-US"/>
        </w:rPr>
        <w:t>喜鹊</w:t>
      </w:r>
      <w:r>
        <w:rPr>
          <w:color w:val="auto"/>
          <w:sz w:val="28"/>
          <w:szCs w:val="28"/>
          <w:lang w:bidi="en-US"/>
        </w:rPr>
        <w:t>等。</w:t>
      </w:r>
    </w:p>
    <w:p w14:paraId="4C88AAAB">
      <w:pPr>
        <w:spacing w:line="360" w:lineRule="auto"/>
        <w:ind w:firstLine="560" w:firstLineChars="200"/>
        <w:rPr>
          <w:rFonts w:hint="eastAsia"/>
          <w:color w:val="auto"/>
          <w:sz w:val="28"/>
          <w:szCs w:val="28"/>
          <w:lang w:bidi="en-US"/>
        </w:rPr>
      </w:pPr>
      <w:r>
        <w:rPr>
          <w:rFonts w:hint="eastAsia"/>
          <w:color w:val="auto"/>
          <w:sz w:val="28"/>
          <w:szCs w:val="28"/>
          <w:lang w:eastAsia="zh-CN" w:bidi="en-US"/>
        </w:rPr>
        <w:t>（</w:t>
      </w:r>
      <w:r>
        <w:rPr>
          <w:rFonts w:hint="eastAsia"/>
          <w:color w:val="auto"/>
          <w:sz w:val="28"/>
          <w:szCs w:val="28"/>
          <w:lang w:val="en-US" w:eastAsia="zh-CN" w:bidi="en-US"/>
        </w:rPr>
        <w:t>1</w:t>
      </w:r>
      <w:r>
        <w:rPr>
          <w:rFonts w:hint="eastAsia"/>
          <w:color w:val="auto"/>
          <w:sz w:val="28"/>
          <w:szCs w:val="28"/>
          <w:lang w:eastAsia="zh-CN" w:bidi="en-US"/>
        </w:rPr>
        <w:t>）</w:t>
      </w:r>
      <w:r>
        <w:rPr>
          <w:rFonts w:hint="eastAsia"/>
          <w:color w:val="auto"/>
          <w:sz w:val="28"/>
          <w:szCs w:val="28"/>
          <w:lang w:bidi="en-US"/>
        </w:rPr>
        <w:t>环境破坏与人类活动</w:t>
      </w:r>
    </w:p>
    <w:p w14:paraId="27CD20AB">
      <w:pPr>
        <w:spacing w:line="360" w:lineRule="auto"/>
        <w:ind w:firstLine="560" w:firstLineChars="200"/>
        <w:rPr>
          <w:rFonts w:hint="eastAsia" w:asciiTheme="minorEastAsia" w:hAnsiTheme="minorEastAsia" w:eastAsiaTheme="minorEastAsia" w:cstheme="minorEastAsia"/>
          <w:i w:val="0"/>
          <w:iCs w:val="0"/>
          <w:caps w:val="0"/>
          <w:color w:val="auto"/>
          <w:spacing w:val="0"/>
          <w:sz w:val="28"/>
          <w:szCs w:val="28"/>
          <w:shd w:val="clear" w:fill="FFFFFF"/>
          <w:lang w:val="en-US" w:eastAsia="zh-CN"/>
        </w:rPr>
      </w:pPr>
      <w:r>
        <w:rPr>
          <w:rFonts w:hint="eastAsia" w:asciiTheme="minorEastAsia" w:hAnsiTheme="minorEastAsia" w:eastAsiaTheme="minorEastAsia" w:cstheme="minorEastAsia"/>
          <w:i w:val="0"/>
          <w:iCs w:val="0"/>
          <w:caps w:val="0"/>
          <w:color w:val="auto"/>
          <w:spacing w:val="0"/>
          <w:sz w:val="28"/>
          <w:szCs w:val="28"/>
          <w:shd w:val="clear" w:fill="FFFFFF"/>
        </w:rPr>
        <w:t>这是</w:t>
      </w:r>
      <w:r>
        <w:rPr>
          <w:rFonts w:hint="eastAsia"/>
          <w:color w:val="auto"/>
          <w:sz w:val="28"/>
          <w:szCs w:val="28"/>
          <w:lang w:bidi="en-US"/>
        </w:rPr>
        <w:t>生物多样性</w:t>
      </w:r>
      <w:r>
        <w:rPr>
          <w:rFonts w:hint="eastAsia" w:asciiTheme="minorEastAsia" w:hAnsiTheme="minorEastAsia" w:eastAsiaTheme="minorEastAsia" w:cstheme="minorEastAsia"/>
          <w:i w:val="0"/>
          <w:iCs w:val="0"/>
          <w:caps w:val="0"/>
          <w:color w:val="auto"/>
          <w:spacing w:val="0"/>
          <w:sz w:val="28"/>
          <w:szCs w:val="28"/>
          <w:shd w:val="clear" w:fill="FFFFFF"/>
        </w:rPr>
        <w:t>丧失的根本原因</w:t>
      </w:r>
      <w:r>
        <w:rPr>
          <w:rFonts w:hint="eastAsia" w:asciiTheme="minorEastAsia" w:hAnsiTheme="minorEastAsia" w:eastAsiaTheme="minorEastAsia" w:cstheme="minorEastAsia"/>
          <w:i w:val="0"/>
          <w:iCs w:val="0"/>
          <w:caps w:val="0"/>
          <w:color w:val="auto"/>
          <w:spacing w:val="0"/>
          <w:sz w:val="28"/>
          <w:szCs w:val="28"/>
          <w:shd w:val="clear" w:fill="FFFFFF"/>
          <w:lang w:eastAsia="zh-CN"/>
        </w:rPr>
        <w:t>，</w:t>
      </w:r>
      <w:r>
        <w:rPr>
          <w:rFonts w:hint="eastAsia" w:asciiTheme="minorEastAsia" w:hAnsiTheme="minorEastAsia" w:eastAsiaTheme="minorEastAsia" w:cstheme="minorEastAsia"/>
          <w:i w:val="0"/>
          <w:iCs w:val="0"/>
          <w:caps w:val="0"/>
          <w:color w:val="auto"/>
          <w:spacing w:val="0"/>
          <w:sz w:val="28"/>
          <w:szCs w:val="28"/>
          <w:shd w:val="clear" w:fill="FFFFFF"/>
        </w:rPr>
        <w:t>栖息地破碎化与栖息地完全丧失导致种群隔离，降低了基因交流，增加了物种的局部灭绝风险；丧失则直接消灭了物种的生存基础。</w:t>
      </w:r>
      <w:r>
        <w:rPr>
          <w:rFonts w:hint="eastAsia" w:asciiTheme="minorEastAsia" w:hAnsiTheme="minorEastAsia" w:eastAsiaTheme="minorEastAsia" w:cstheme="minorEastAsia"/>
          <w:i w:val="0"/>
          <w:iCs w:val="0"/>
          <w:caps w:val="0"/>
          <w:color w:val="auto"/>
          <w:spacing w:val="0"/>
          <w:sz w:val="28"/>
          <w:szCs w:val="28"/>
          <w:shd w:val="clear" w:fill="FFFFFF"/>
          <w:lang w:val="en-US" w:eastAsia="zh-CN"/>
        </w:rPr>
        <w:t>矿山建设将使动植物</w:t>
      </w:r>
      <w:r>
        <w:rPr>
          <w:rFonts w:hint="eastAsia" w:asciiTheme="minorEastAsia" w:hAnsiTheme="minorEastAsia" w:eastAsiaTheme="minorEastAsia" w:cstheme="minorEastAsia"/>
          <w:i w:val="0"/>
          <w:iCs w:val="0"/>
          <w:caps w:val="0"/>
          <w:color w:val="auto"/>
          <w:spacing w:val="0"/>
          <w:sz w:val="28"/>
          <w:szCs w:val="28"/>
          <w:shd w:val="clear" w:fill="FFFFFF"/>
        </w:rPr>
        <w:t>栖息地破碎化</w:t>
      </w:r>
      <w:r>
        <w:rPr>
          <w:rFonts w:hint="eastAsia" w:asciiTheme="minorEastAsia" w:hAnsiTheme="minorEastAsia" w:eastAsiaTheme="minorEastAsia" w:cstheme="minorEastAsia"/>
          <w:i w:val="0"/>
          <w:iCs w:val="0"/>
          <w:caps w:val="0"/>
          <w:color w:val="auto"/>
          <w:spacing w:val="0"/>
          <w:sz w:val="28"/>
          <w:szCs w:val="28"/>
          <w:shd w:val="clear" w:fill="FFFFFF"/>
          <w:lang w:val="en-US" w:eastAsia="zh-CN"/>
        </w:rPr>
        <w:t>甚至</w:t>
      </w:r>
      <w:r>
        <w:rPr>
          <w:rFonts w:hint="eastAsia" w:asciiTheme="minorEastAsia" w:hAnsiTheme="minorEastAsia" w:eastAsiaTheme="minorEastAsia" w:cstheme="minorEastAsia"/>
          <w:i w:val="0"/>
          <w:iCs w:val="0"/>
          <w:caps w:val="0"/>
          <w:color w:val="auto"/>
          <w:spacing w:val="0"/>
          <w:sz w:val="28"/>
          <w:szCs w:val="28"/>
          <w:shd w:val="clear" w:fill="FFFFFF"/>
        </w:rPr>
        <w:t>完全丧失</w:t>
      </w:r>
      <w:r>
        <w:rPr>
          <w:rFonts w:hint="eastAsia" w:asciiTheme="minorEastAsia" w:hAnsiTheme="minorEastAsia" w:eastAsiaTheme="minorEastAsia" w:cstheme="minorEastAsia"/>
          <w:i w:val="0"/>
          <w:iCs w:val="0"/>
          <w:caps w:val="0"/>
          <w:color w:val="auto"/>
          <w:spacing w:val="0"/>
          <w:sz w:val="28"/>
          <w:szCs w:val="28"/>
          <w:shd w:val="clear" w:fill="FFFFFF"/>
          <w:lang w:eastAsia="zh-CN"/>
        </w:rPr>
        <w:t>，</w:t>
      </w:r>
      <w:r>
        <w:rPr>
          <w:rFonts w:hint="eastAsia" w:asciiTheme="minorEastAsia" w:hAnsiTheme="minorEastAsia" w:eastAsiaTheme="minorEastAsia" w:cstheme="minorEastAsia"/>
          <w:i w:val="0"/>
          <w:iCs w:val="0"/>
          <w:caps w:val="0"/>
          <w:color w:val="auto"/>
          <w:spacing w:val="0"/>
          <w:sz w:val="28"/>
          <w:szCs w:val="28"/>
          <w:shd w:val="clear" w:fill="FFFFFF"/>
          <w:lang w:val="en-US" w:eastAsia="zh-CN"/>
        </w:rPr>
        <w:t>使场地内动植物</w:t>
      </w:r>
      <w:r>
        <w:rPr>
          <w:rFonts w:hint="eastAsia" w:asciiTheme="minorEastAsia" w:hAnsiTheme="minorEastAsia" w:eastAsiaTheme="minorEastAsia" w:cstheme="minorEastAsia"/>
          <w:i w:val="0"/>
          <w:iCs w:val="0"/>
          <w:caps w:val="0"/>
          <w:color w:val="auto"/>
          <w:spacing w:val="0"/>
          <w:sz w:val="28"/>
          <w:szCs w:val="28"/>
          <w:shd w:val="clear" w:fill="FFFFFF"/>
        </w:rPr>
        <w:t>灭绝</w:t>
      </w:r>
      <w:r>
        <w:rPr>
          <w:rFonts w:hint="eastAsia" w:asciiTheme="minorEastAsia" w:hAnsiTheme="minorEastAsia" w:eastAsiaTheme="minorEastAsia" w:cstheme="minorEastAsia"/>
          <w:i w:val="0"/>
          <w:iCs w:val="0"/>
          <w:caps w:val="0"/>
          <w:color w:val="auto"/>
          <w:spacing w:val="0"/>
          <w:sz w:val="28"/>
          <w:szCs w:val="28"/>
          <w:shd w:val="clear" w:fill="FFFFFF"/>
          <w:lang w:eastAsia="zh-CN"/>
        </w:rPr>
        <w:t>。</w:t>
      </w:r>
    </w:p>
    <w:p w14:paraId="384F5609">
      <w:pPr>
        <w:spacing w:line="360" w:lineRule="auto"/>
        <w:ind w:firstLine="560" w:firstLineChars="200"/>
        <w:rPr>
          <w:rFonts w:hint="eastAsia"/>
          <w:color w:val="auto"/>
          <w:sz w:val="28"/>
          <w:szCs w:val="28"/>
          <w:lang w:bidi="en-US"/>
        </w:rPr>
      </w:pPr>
      <w:r>
        <w:rPr>
          <w:rFonts w:hint="eastAsia"/>
          <w:color w:val="auto"/>
          <w:sz w:val="28"/>
          <w:szCs w:val="28"/>
          <w:lang w:eastAsia="zh-CN" w:bidi="en-US"/>
        </w:rPr>
        <w:t>（</w:t>
      </w:r>
      <w:r>
        <w:rPr>
          <w:rFonts w:hint="eastAsia"/>
          <w:color w:val="auto"/>
          <w:sz w:val="28"/>
          <w:szCs w:val="28"/>
          <w:lang w:val="en-US" w:eastAsia="zh-CN" w:bidi="en-US"/>
        </w:rPr>
        <w:t>2</w:t>
      </w:r>
      <w:r>
        <w:rPr>
          <w:rFonts w:hint="eastAsia"/>
          <w:color w:val="auto"/>
          <w:sz w:val="28"/>
          <w:szCs w:val="28"/>
          <w:lang w:eastAsia="zh-CN" w:bidi="en-US"/>
        </w:rPr>
        <w:t>）</w:t>
      </w:r>
      <w:r>
        <w:rPr>
          <w:rFonts w:hint="eastAsia"/>
          <w:color w:val="auto"/>
          <w:sz w:val="28"/>
          <w:szCs w:val="28"/>
          <w:lang w:bidi="en-US"/>
        </w:rPr>
        <w:t>初级生产力损失</w:t>
      </w:r>
    </w:p>
    <w:p w14:paraId="6CA8A540">
      <w:pPr>
        <w:spacing w:line="360" w:lineRule="auto"/>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i w:val="0"/>
          <w:iCs w:val="0"/>
          <w:caps w:val="0"/>
          <w:color w:val="auto"/>
          <w:spacing w:val="0"/>
          <w:sz w:val="28"/>
          <w:szCs w:val="28"/>
          <w:shd w:val="clear" w:fill="FFFFFF"/>
        </w:rPr>
        <w:t>初级生产力是生态系统能量流动的基础。其损失是生物多样性下降的关键机制。当人类活动（如砍伐、过度放牧）导致植被覆盖度下降，初级生产力随之降低。无法支撑高营养级的消费者（食草动物、顶级捕食者）。通常表现为“金字塔基座塌陷”，导致生态系统承载力下降，物种丰富度随之降低。</w:t>
      </w:r>
      <w:r>
        <w:rPr>
          <w:rFonts w:hint="eastAsia" w:asciiTheme="minorEastAsia" w:hAnsiTheme="minorEastAsia" w:eastAsiaTheme="minorEastAsia" w:cstheme="minorEastAsia"/>
          <w:i w:val="0"/>
          <w:iCs w:val="0"/>
          <w:caps w:val="0"/>
          <w:color w:val="auto"/>
          <w:spacing w:val="0"/>
          <w:sz w:val="28"/>
          <w:szCs w:val="28"/>
          <w:shd w:val="clear" w:fill="FFFFFF"/>
          <w:lang w:val="en-US" w:eastAsia="zh-CN"/>
        </w:rPr>
        <w:t>矿山建设扰乱了</w:t>
      </w:r>
      <w:r>
        <w:rPr>
          <w:rFonts w:hint="eastAsia" w:asciiTheme="minorEastAsia" w:hAnsiTheme="minorEastAsia" w:eastAsiaTheme="minorEastAsia" w:cstheme="minorEastAsia"/>
          <w:i w:val="0"/>
          <w:iCs w:val="0"/>
          <w:caps w:val="0"/>
          <w:color w:val="auto"/>
          <w:spacing w:val="0"/>
          <w:sz w:val="28"/>
          <w:szCs w:val="28"/>
          <w:shd w:val="clear" w:fill="FFFFFF"/>
        </w:rPr>
        <w:t>生态系统能量流动</w:t>
      </w:r>
      <w:r>
        <w:rPr>
          <w:rFonts w:hint="eastAsia" w:asciiTheme="minorEastAsia" w:hAnsiTheme="minorEastAsia" w:eastAsiaTheme="minorEastAsia" w:cstheme="minorEastAsia"/>
          <w:i w:val="0"/>
          <w:iCs w:val="0"/>
          <w:caps w:val="0"/>
          <w:color w:val="auto"/>
          <w:spacing w:val="0"/>
          <w:sz w:val="28"/>
          <w:szCs w:val="28"/>
          <w:shd w:val="clear" w:fill="FFFFFF"/>
          <w:lang w:eastAsia="zh-CN"/>
        </w:rPr>
        <w:t>，</w:t>
      </w:r>
      <w:r>
        <w:rPr>
          <w:rFonts w:hint="eastAsia" w:asciiTheme="minorEastAsia" w:hAnsiTheme="minorEastAsia" w:eastAsiaTheme="minorEastAsia" w:cstheme="minorEastAsia"/>
          <w:i w:val="0"/>
          <w:iCs w:val="0"/>
          <w:caps w:val="0"/>
          <w:color w:val="auto"/>
          <w:spacing w:val="0"/>
          <w:sz w:val="28"/>
          <w:szCs w:val="28"/>
          <w:shd w:val="clear" w:fill="FFFFFF"/>
          <w:lang w:val="en-US" w:eastAsia="zh-CN"/>
        </w:rPr>
        <w:t>将使区内生物多样性</w:t>
      </w:r>
      <w:r>
        <w:rPr>
          <w:rFonts w:hint="eastAsia" w:asciiTheme="minorEastAsia" w:hAnsiTheme="minorEastAsia" w:eastAsiaTheme="minorEastAsia" w:cstheme="minorEastAsia"/>
          <w:i w:val="0"/>
          <w:iCs w:val="0"/>
          <w:caps w:val="0"/>
          <w:color w:val="auto"/>
          <w:spacing w:val="0"/>
          <w:sz w:val="28"/>
          <w:szCs w:val="28"/>
          <w:shd w:val="clear" w:fill="FFFFFF"/>
        </w:rPr>
        <w:t>断崖式下降</w:t>
      </w:r>
      <w:r>
        <w:rPr>
          <w:rFonts w:hint="eastAsia" w:asciiTheme="minorEastAsia" w:hAnsiTheme="minorEastAsia" w:eastAsiaTheme="minorEastAsia" w:cstheme="minorEastAsia"/>
          <w:i w:val="0"/>
          <w:iCs w:val="0"/>
          <w:caps w:val="0"/>
          <w:color w:val="auto"/>
          <w:spacing w:val="0"/>
          <w:sz w:val="28"/>
          <w:szCs w:val="28"/>
          <w:shd w:val="clear" w:fill="FFFFFF"/>
          <w:lang w:eastAsia="zh-CN"/>
        </w:rPr>
        <w:t>。</w:t>
      </w:r>
    </w:p>
    <w:p w14:paraId="545A65EC">
      <w:pPr>
        <w:pStyle w:val="29"/>
        <w:keepNext w:val="0"/>
        <w:keepLines w:val="0"/>
        <w:widowControl/>
        <w:suppressLineNumbers w:val="0"/>
        <w:spacing w:before="0" w:beforeAutospacing="0" w:after="0" w:afterAutospacing="0" w:line="360" w:lineRule="auto"/>
        <w:ind w:right="0" w:firstLine="560" w:firstLineChars="200"/>
        <w:rPr>
          <w:rFonts w:hint="default" w:asciiTheme="minorEastAsia" w:hAnsiTheme="minorEastAsia" w:eastAsiaTheme="minorEastAsia" w:cstheme="minorEastAsia"/>
          <w:i w:val="0"/>
          <w:iCs w:val="0"/>
          <w:caps w:val="0"/>
          <w:color w:val="auto"/>
          <w:spacing w:val="0"/>
          <w:sz w:val="28"/>
          <w:szCs w:val="28"/>
          <w:shd w:val="clear" w:fill="FFFFFF"/>
          <w:lang w:val="en-US" w:eastAsia="zh-CN"/>
        </w:rPr>
      </w:pPr>
      <w:r>
        <w:rPr>
          <w:rFonts w:hint="eastAsia" w:asciiTheme="minorEastAsia" w:hAnsiTheme="minorEastAsia" w:eastAsiaTheme="minorEastAsia" w:cstheme="minorEastAsia"/>
          <w:i w:val="0"/>
          <w:iCs w:val="0"/>
          <w:caps w:val="0"/>
          <w:color w:val="auto"/>
          <w:spacing w:val="0"/>
          <w:sz w:val="28"/>
          <w:szCs w:val="28"/>
          <w:shd w:val="clear" w:fill="FFFFFF"/>
          <w:lang w:eastAsia="zh-CN"/>
        </w:rPr>
        <w:t>（</w:t>
      </w:r>
      <w:r>
        <w:rPr>
          <w:rFonts w:hint="eastAsia" w:asciiTheme="minorEastAsia" w:hAnsiTheme="minorEastAsia" w:eastAsiaTheme="minorEastAsia" w:cstheme="minorEastAsia"/>
          <w:i w:val="0"/>
          <w:iCs w:val="0"/>
          <w:caps w:val="0"/>
          <w:color w:val="auto"/>
          <w:spacing w:val="0"/>
          <w:sz w:val="28"/>
          <w:szCs w:val="28"/>
          <w:shd w:val="clear" w:fill="FFFFFF"/>
          <w:lang w:val="en-US" w:eastAsia="zh-CN"/>
        </w:rPr>
        <w:t>3</w:t>
      </w:r>
      <w:r>
        <w:rPr>
          <w:rFonts w:hint="eastAsia" w:asciiTheme="minorEastAsia" w:hAnsiTheme="minorEastAsia" w:eastAsiaTheme="minorEastAsia" w:cstheme="minorEastAsia"/>
          <w:i w:val="0"/>
          <w:iCs w:val="0"/>
          <w:caps w:val="0"/>
          <w:color w:val="auto"/>
          <w:spacing w:val="0"/>
          <w:sz w:val="28"/>
          <w:szCs w:val="28"/>
          <w:shd w:val="clear" w:fill="FFFFFF"/>
          <w:lang w:eastAsia="zh-CN"/>
        </w:rPr>
        <w:t>）</w:t>
      </w:r>
      <w:r>
        <w:rPr>
          <w:rFonts w:hint="eastAsia" w:asciiTheme="minorEastAsia" w:hAnsiTheme="minorEastAsia" w:eastAsiaTheme="minorEastAsia" w:cstheme="minorEastAsia"/>
          <w:i w:val="0"/>
          <w:iCs w:val="0"/>
          <w:caps w:val="0"/>
          <w:color w:val="auto"/>
          <w:spacing w:val="0"/>
          <w:sz w:val="28"/>
          <w:szCs w:val="28"/>
          <w:shd w:val="clear" w:fill="FFFFFF"/>
          <w:lang w:val="en-US" w:eastAsia="zh-CN"/>
        </w:rPr>
        <w:t>周边环境特征</w:t>
      </w:r>
    </w:p>
    <w:p w14:paraId="4B45AFA5">
      <w:pPr>
        <w:spacing w:line="360" w:lineRule="auto"/>
        <w:ind w:firstLine="560" w:firstLineChars="200"/>
        <w:rPr>
          <w:rFonts w:hint="eastAsia" w:eastAsiaTheme="minorEastAsia"/>
          <w:color w:val="auto"/>
          <w:sz w:val="28"/>
          <w:szCs w:val="28"/>
          <w:lang w:val="en-US" w:eastAsia="zh-CN" w:bidi="en-US"/>
        </w:rPr>
      </w:pPr>
      <w:r>
        <w:rPr>
          <w:color w:val="auto"/>
          <w:sz w:val="28"/>
          <w:szCs w:val="28"/>
          <w:lang w:bidi="en-US"/>
        </w:rPr>
        <w:t>矿区生态修复范围地处</w:t>
      </w:r>
      <w:r>
        <w:rPr>
          <w:rFonts w:hint="eastAsia" w:ascii="Times New Roman" w:hAnsi="Times New Roman" w:eastAsia="宋体" w:cs="Times New Roman"/>
          <w:color w:val="auto"/>
          <w:sz w:val="28"/>
          <w:szCs w:val="28"/>
        </w:rPr>
        <w:t>中低山区</w:t>
      </w:r>
      <w:r>
        <w:rPr>
          <w:color w:val="auto"/>
          <w:sz w:val="28"/>
          <w:szCs w:val="28"/>
          <w:lang w:bidi="en-US"/>
        </w:rPr>
        <w:t>，自然植被发育</w:t>
      </w:r>
      <w:r>
        <w:rPr>
          <w:rFonts w:hint="eastAsia"/>
          <w:color w:val="auto"/>
          <w:sz w:val="28"/>
          <w:szCs w:val="28"/>
          <w:lang w:bidi="en-US"/>
        </w:rPr>
        <w:t>良好</w:t>
      </w:r>
      <w:r>
        <w:rPr>
          <w:color w:val="auto"/>
          <w:sz w:val="28"/>
          <w:szCs w:val="28"/>
          <w:lang w:bidi="en-US"/>
        </w:rPr>
        <w:t>，</w:t>
      </w:r>
      <w:r>
        <w:rPr>
          <w:rFonts w:hint="eastAsia"/>
          <w:color w:val="auto"/>
          <w:sz w:val="28"/>
          <w:szCs w:val="28"/>
          <w:lang w:eastAsia="zh-CN" w:bidi="en-US"/>
        </w:rPr>
        <w:t>区域</w:t>
      </w:r>
      <w:r>
        <w:rPr>
          <w:color w:val="auto"/>
          <w:sz w:val="28"/>
          <w:szCs w:val="28"/>
          <w:lang w:bidi="en-US"/>
        </w:rPr>
        <w:t>分布有自然沟谷、山地、农田等</w:t>
      </w:r>
      <w:r>
        <w:rPr>
          <w:rFonts w:hint="eastAsia"/>
          <w:color w:val="auto"/>
          <w:sz w:val="28"/>
          <w:szCs w:val="28"/>
          <w:lang w:eastAsia="zh-CN" w:bidi="en-US"/>
        </w:rPr>
        <w:t>，</w:t>
      </w:r>
      <w:r>
        <w:rPr>
          <w:rFonts w:hint="eastAsia"/>
          <w:color w:val="auto"/>
          <w:sz w:val="28"/>
          <w:szCs w:val="28"/>
          <w:lang w:val="en-US" w:eastAsia="zh-CN" w:bidi="en-US"/>
        </w:rPr>
        <w:t>矿山建设使</w:t>
      </w:r>
      <w:r>
        <w:rPr>
          <w:rFonts w:hint="eastAsia" w:asciiTheme="minorEastAsia" w:hAnsiTheme="minorEastAsia" w:eastAsiaTheme="minorEastAsia" w:cstheme="minorEastAsia"/>
          <w:i w:val="0"/>
          <w:iCs w:val="0"/>
          <w:caps w:val="0"/>
          <w:color w:val="auto"/>
          <w:spacing w:val="0"/>
          <w:sz w:val="28"/>
          <w:szCs w:val="28"/>
          <w:shd w:val="clear" w:fill="FFFFFF"/>
        </w:rPr>
        <w:t>栖息地边缘与</w:t>
      </w:r>
      <w:r>
        <w:rPr>
          <w:rFonts w:hint="eastAsia" w:asciiTheme="minorEastAsia" w:hAnsiTheme="minorEastAsia" w:eastAsiaTheme="minorEastAsia" w:cstheme="minorEastAsia"/>
          <w:i w:val="0"/>
          <w:iCs w:val="0"/>
          <w:caps w:val="0"/>
          <w:color w:val="auto"/>
          <w:spacing w:val="0"/>
          <w:sz w:val="28"/>
          <w:szCs w:val="28"/>
          <w:shd w:val="clear" w:fill="FFFFFF"/>
          <w:lang w:val="en-US" w:eastAsia="zh-CN"/>
        </w:rPr>
        <w:t>矿区内</w:t>
      </w:r>
      <w:r>
        <w:rPr>
          <w:rFonts w:hint="eastAsia" w:asciiTheme="minorEastAsia" w:hAnsiTheme="minorEastAsia" w:eastAsiaTheme="minorEastAsia" w:cstheme="minorEastAsia"/>
          <w:i w:val="0"/>
          <w:iCs w:val="0"/>
          <w:caps w:val="0"/>
          <w:color w:val="auto"/>
          <w:spacing w:val="0"/>
          <w:sz w:val="28"/>
          <w:szCs w:val="28"/>
          <w:shd w:val="clear" w:fill="FFFFFF"/>
        </w:rPr>
        <w:t>部的差异</w:t>
      </w:r>
      <w:r>
        <w:rPr>
          <w:rFonts w:hint="eastAsia" w:asciiTheme="minorEastAsia" w:hAnsiTheme="minorEastAsia" w:eastAsiaTheme="minorEastAsia" w:cstheme="minorEastAsia"/>
          <w:i w:val="0"/>
          <w:iCs w:val="0"/>
          <w:caps w:val="0"/>
          <w:color w:val="auto"/>
          <w:spacing w:val="0"/>
          <w:sz w:val="28"/>
          <w:szCs w:val="28"/>
          <w:shd w:val="clear" w:fill="FFFFFF"/>
          <w:lang w:val="en-US" w:eastAsia="zh-CN"/>
        </w:rPr>
        <w:t>较大，</w:t>
      </w:r>
      <w:r>
        <w:rPr>
          <w:rFonts w:hint="eastAsia" w:asciiTheme="minorEastAsia" w:hAnsiTheme="minorEastAsia" w:eastAsiaTheme="minorEastAsia" w:cstheme="minorEastAsia"/>
          <w:i w:val="0"/>
          <w:iCs w:val="0"/>
          <w:caps w:val="0"/>
          <w:color w:val="auto"/>
          <w:spacing w:val="0"/>
          <w:sz w:val="28"/>
          <w:szCs w:val="28"/>
          <w:shd w:val="clear" w:fill="FFFFFF"/>
        </w:rPr>
        <w:t>人类活动频繁的周边环境会导致边缘温度升高、风力增大、光照增强，改变微气候，</w:t>
      </w:r>
      <w:r>
        <w:rPr>
          <w:rFonts w:hint="eastAsia" w:asciiTheme="minorEastAsia" w:hAnsiTheme="minorEastAsia" w:eastAsiaTheme="minorEastAsia" w:cstheme="minorEastAsia"/>
          <w:i w:val="0"/>
          <w:iCs w:val="0"/>
          <w:caps w:val="0"/>
          <w:color w:val="auto"/>
          <w:spacing w:val="0"/>
          <w:sz w:val="28"/>
          <w:szCs w:val="28"/>
          <w:shd w:val="clear" w:fill="FFFFFF"/>
          <w:lang w:val="en-US" w:eastAsia="zh-CN"/>
        </w:rPr>
        <w:t>改变矿区</w:t>
      </w:r>
      <w:r>
        <w:rPr>
          <w:rFonts w:hint="eastAsia" w:asciiTheme="minorEastAsia" w:hAnsiTheme="minorEastAsia" w:eastAsiaTheme="minorEastAsia" w:cstheme="minorEastAsia"/>
          <w:i w:val="0"/>
          <w:iCs w:val="0"/>
          <w:caps w:val="0"/>
          <w:color w:val="auto"/>
          <w:spacing w:val="0"/>
          <w:sz w:val="28"/>
          <w:szCs w:val="28"/>
          <w:shd w:val="clear" w:fill="FFFFFF"/>
        </w:rPr>
        <w:t>边缘栖息地</w:t>
      </w:r>
      <w:r>
        <w:rPr>
          <w:rFonts w:hint="eastAsia" w:asciiTheme="minorEastAsia" w:hAnsiTheme="minorEastAsia" w:eastAsiaTheme="minorEastAsia" w:cstheme="minorEastAsia"/>
          <w:i w:val="0"/>
          <w:iCs w:val="0"/>
          <w:caps w:val="0"/>
          <w:color w:val="auto"/>
          <w:spacing w:val="0"/>
          <w:sz w:val="28"/>
          <w:szCs w:val="28"/>
          <w:shd w:val="clear" w:fill="FFFFFF"/>
          <w:lang w:val="en-US" w:eastAsia="zh-CN"/>
        </w:rPr>
        <w:t>的自然环境，造成生物多样性下降</w:t>
      </w:r>
      <w:r>
        <w:rPr>
          <w:rFonts w:hint="eastAsia" w:asciiTheme="minorEastAsia" w:hAnsiTheme="minorEastAsia" w:eastAsiaTheme="minorEastAsia" w:cstheme="minorEastAsia"/>
          <w:i w:val="0"/>
          <w:iCs w:val="0"/>
          <w:caps w:val="0"/>
          <w:color w:val="auto"/>
          <w:spacing w:val="0"/>
          <w:sz w:val="28"/>
          <w:szCs w:val="28"/>
          <w:shd w:val="clear" w:fill="FFFFFF"/>
        </w:rPr>
        <w:t>。</w:t>
      </w:r>
    </w:p>
    <w:p w14:paraId="0C8948F6">
      <w:pPr>
        <w:spacing w:line="360" w:lineRule="auto"/>
        <w:ind w:firstLine="560" w:firstLineChars="200"/>
        <w:rPr>
          <w:color w:val="auto"/>
          <w:kern w:val="0"/>
          <w:sz w:val="28"/>
          <w:szCs w:val="28"/>
        </w:rPr>
      </w:pPr>
      <w:r>
        <w:rPr>
          <w:rFonts w:hint="eastAsia"/>
          <w:color w:val="auto"/>
          <w:sz w:val="28"/>
          <w:szCs w:val="28"/>
          <w:lang w:val="en-US" w:eastAsia="zh-CN" w:bidi="en-US"/>
        </w:rPr>
        <w:t>综合分析认为，</w:t>
      </w:r>
      <w:r>
        <w:rPr>
          <w:color w:val="auto"/>
          <w:sz w:val="28"/>
          <w:szCs w:val="28"/>
          <w:lang w:bidi="en-US"/>
        </w:rPr>
        <w:t>现状场地中</w:t>
      </w:r>
      <w:r>
        <w:rPr>
          <w:rFonts w:eastAsiaTheme="minorEastAsia"/>
          <w:snapToGrid w:val="0"/>
          <w:color w:val="auto"/>
          <w:sz w:val="28"/>
          <w:szCs w:val="28"/>
        </w:rPr>
        <w:t>植被覆盖</w:t>
      </w:r>
      <w:r>
        <w:rPr>
          <w:rFonts w:hint="eastAsia" w:eastAsiaTheme="minorEastAsia"/>
          <w:snapToGrid w:val="0"/>
          <w:color w:val="auto"/>
          <w:sz w:val="28"/>
          <w:szCs w:val="28"/>
          <w:lang w:val="en-US" w:eastAsia="zh-CN"/>
        </w:rPr>
        <w:t>度较低</w:t>
      </w:r>
      <w:r>
        <w:rPr>
          <w:rFonts w:eastAsiaTheme="minorEastAsia"/>
          <w:snapToGrid w:val="0"/>
          <w:color w:val="auto"/>
          <w:sz w:val="28"/>
          <w:szCs w:val="28"/>
        </w:rPr>
        <w:t>，导致大部分生物无栖息地，</w:t>
      </w:r>
      <w:r>
        <w:rPr>
          <w:rFonts w:hint="eastAsia" w:asciiTheme="minorEastAsia" w:hAnsiTheme="minorEastAsia" w:eastAsiaTheme="minorEastAsia" w:cstheme="minorEastAsia"/>
          <w:i w:val="0"/>
          <w:iCs w:val="0"/>
          <w:caps w:val="0"/>
          <w:color w:val="auto"/>
          <w:spacing w:val="0"/>
          <w:sz w:val="28"/>
          <w:szCs w:val="28"/>
          <w:shd w:val="clear" w:fill="FFFFFF"/>
          <w:lang w:val="en-US" w:eastAsia="zh-CN"/>
        </w:rPr>
        <w:t>矿山建设扰乱了</w:t>
      </w:r>
      <w:r>
        <w:rPr>
          <w:rFonts w:hint="eastAsia" w:asciiTheme="minorEastAsia" w:hAnsiTheme="minorEastAsia" w:eastAsiaTheme="minorEastAsia" w:cstheme="minorEastAsia"/>
          <w:i w:val="0"/>
          <w:iCs w:val="0"/>
          <w:caps w:val="0"/>
          <w:color w:val="auto"/>
          <w:spacing w:val="0"/>
          <w:sz w:val="28"/>
          <w:szCs w:val="28"/>
          <w:shd w:val="clear" w:fill="FFFFFF"/>
        </w:rPr>
        <w:t>生态系统能量流动</w:t>
      </w:r>
      <w:r>
        <w:rPr>
          <w:rFonts w:hint="eastAsia" w:asciiTheme="minorEastAsia" w:hAnsiTheme="minorEastAsia" w:eastAsiaTheme="minorEastAsia" w:cstheme="minorEastAsia"/>
          <w:i w:val="0"/>
          <w:iCs w:val="0"/>
          <w:caps w:val="0"/>
          <w:color w:val="auto"/>
          <w:spacing w:val="0"/>
          <w:sz w:val="28"/>
          <w:szCs w:val="28"/>
          <w:shd w:val="clear" w:fill="FFFFFF"/>
          <w:lang w:eastAsia="zh-CN"/>
        </w:rPr>
        <w:t>，</w:t>
      </w:r>
      <w:r>
        <w:rPr>
          <w:rFonts w:hint="eastAsia" w:asciiTheme="minorEastAsia" w:hAnsiTheme="minorEastAsia" w:eastAsiaTheme="minorEastAsia" w:cstheme="minorEastAsia"/>
          <w:i w:val="0"/>
          <w:iCs w:val="0"/>
          <w:caps w:val="0"/>
          <w:color w:val="auto"/>
          <w:spacing w:val="0"/>
          <w:sz w:val="28"/>
          <w:szCs w:val="28"/>
          <w:shd w:val="clear" w:fill="FFFFFF"/>
          <w:lang w:val="en-US" w:eastAsia="zh-CN"/>
        </w:rPr>
        <w:t>使矿区内生物多样性</w:t>
      </w:r>
      <w:r>
        <w:rPr>
          <w:rFonts w:hint="eastAsia" w:asciiTheme="minorEastAsia" w:hAnsiTheme="minorEastAsia" w:eastAsiaTheme="minorEastAsia" w:cstheme="minorEastAsia"/>
          <w:i w:val="0"/>
          <w:iCs w:val="0"/>
          <w:caps w:val="0"/>
          <w:color w:val="auto"/>
          <w:spacing w:val="0"/>
          <w:sz w:val="28"/>
          <w:szCs w:val="28"/>
          <w:shd w:val="clear" w:fill="FFFFFF"/>
        </w:rPr>
        <w:t>断崖式下降</w:t>
      </w:r>
      <w:r>
        <w:rPr>
          <w:rFonts w:hint="eastAsia" w:asciiTheme="minorEastAsia" w:hAnsiTheme="minorEastAsia" w:eastAsiaTheme="minorEastAsia" w:cstheme="minorEastAsia"/>
          <w:i w:val="0"/>
          <w:iCs w:val="0"/>
          <w:caps w:val="0"/>
          <w:color w:val="auto"/>
          <w:spacing w:val="0"/>
          <w:sz w:val="28"/>
          <w:szCs w:val="28"/>
          <w:shd w:val="clear" w:fill="FFFFFF"/>
          <w:lang w:eastAsia="zh-CN"/>
        </w:rPr>
        <w:t>，</w:t>
      </w:r>
      <w:r>
        <w:rPr>
          <w:color w:val="auto"/>
          <w:sz w:val="28"/>
          <w:szCs w:val="28"/>
          <w:lang w:bidi="en-US"/>
        </w:rPr>
        <w:t>故认为上述场地对</w:t>
      </w:r>
      <w:r>
        <w:rPr>
          <w:color w:val="auto"/>
          <w:kern w:val="0"/>
          <w:sz w:val="28"/>
          <w:szCs w:val="28"/>
        </w:rPr>
        <w:t>生物丧失程度为“</w:t>
      </w:r>
      <w:r>
        <w:rPr>
          <w:rFonts w:hint="eastAsia"/>
          <w:color w:val="auto"/>
          <w:kern w:val="0"/>
          <w:sz w:val="28"/>
          <w:szCs w:val="28"/>
          <w:lang w:val="en-US" w:eastAsia="zh-CN"/>
        </w:rPr>
        <w:t>较</w:t>
      </w:r>
      <w:r>
        <w:rPr>
          <w:color w:val="auto"/>
          <w:kern w:val="0"/>
          <w:sz w:val="28"/>
          <w:szCs w:val="28"/>
        </w:rPr>
        <w:t>严重”。</w:t>
      </w:r>
    </w:p>
    <w:p w14:paraId="750C649B">
      <w:pPr>
        <w:spacing w:line="360" w:lineRule="auto"/>
        <w:ind w:firstLine="562" w:firstLineChars="200"/>
        <w:rPr>
          <w:b/>
          <w:bCs/>
          <w:color w:val="auto"/>
          <w:sz w:val="28"/>
          <w:szCs w:val="28"/>
          <w:lang w:bidi="en-US"/>
        </w:rPr>
      </w:pPr>
      <w:r>
        <w:rPr>
          <w:b/>
          <w:bCs/>
          <w:color w:val="auto"/>
          <w:kern w:val="0"/>
          <w:sz w:val="28"/>
          <w:szCs w:val="28"/>
        </w:rPr>
        <w:t>3、水土流失问题</w:t>
      </w:r>
    </w:p>
    <w:p w14:paraId="094E0651">
      <w:pPr>
        <w:widowControl/>
        <w:spacing w:line="360" w:lineRule="auto"/>
        <w:ind w:firstLine="560" w:firstLineChars="200"/>
        <w:rPr>
          <w:rFonts w:hint="eastAsia" w:eastAsia="宋体"/>
          <w:color w:val="auto"/>
          <w:sz w:val="28"/>
          <w:szCs w:val="28"/>
          <w:lang w:eastAsia="zh-CN" w:bidi="en-US"/>
        </w:rPr>
      </w:pPr>
      <w:r>
        <w:rPr>
          <w:color w:val="auto"/>
          <w:sz w:val="28"/>
          <w:szCs w:val="28"/>
          <w:lang w:bidi="en-US"/>
        </w:rPr>
        <w:t>矿区生态修复范围内各单元场地</w:t>
      </w:r>
      <w:r>
        <w:rPr>
          <w:rFonts w:eastAsiaTheme="minorEastAsia"/>
          <w:snapToGrid w:val="0"/>
          <w:color w:val="auto"/>
          <w:sz w:val="28"/>
          <w:szCs w:val="28"/>
        </w:rPr>
        <w:t>植被覆盖</w:t>
      </w:r>
      <w:r>
        <w:rPr>
          <w:rFonts w:hint="eastAsia" w:eastAsiaTheme="minorEastAsia"/>
          <w:snapToGrid w:val="0"/>
          <w:color w:val="auto"/>
          <w:sz w:val="28"/>
          <w:szCs w:val="28"/>
          <w:lang w:val="en-US" w:eastAsia="zh-CN"/>
        </w:rPr>
        <w:t>度较低</w:t>
      </w:r>
      <w:r>
        <w:rPr>
          <w:rFonts w:eastAsiaTheme="minorEastAsia"/>
          <w:snapToGrid w:val="0"/>
          <w:color w:val="auto"/>
          <w:sz w:val="28"/>
          <w:szCs w:val="28"/>
        </w:rPr>
        <w:t>，</w:t>
      </w:r>
      <w:r>
        <w:rPr>
          <w:color w:val="auto"/>
          <w:sz w:val="28"/>
          <w:szCs w:val="28"/>
        </w:rPr>
        <w:t>破坏了原始地表植被，植被涵养水源功能受到损毁，地表裸露区域面积增加，降水冲刷、风蚀等加剧表层土壤流失，加重水土流失问题，因此认为上述场地对水土流失问题为“</w:t>
      </w:r>
      <w:r>
        <w:rPr>
          <w:rFonts w:hint="eastAsia"/>
          <w:color w:val="auto"/>
          <w:sz w:val="28"/>
          <w:szCs w:val="28"/>
          <w:lang w:val="en-US" w:eastAsia="zh-CN"/>
        </w:rPr>
        <w:t>较</w:t>
      </w:r>
      <w:r>
        <w:rPr>
          <w:color w:val="auto"/>
          <w:sz w:val="28"/>
          <w:szCs w:val="28"/>
        </w:rPr>
        <w:t>严重”</w:t>
      </w:r>
      <w:r>
        <w:rPr>
          <w:rFonts w:hint="eastAsia"/>
          <w:color w:val="auto"/>
          <w:sz w:val="28"/>
          <w:szCs w:val="28"/>
          <w:lang w:eastAsia="zh-CN"/>
        </w:rPr>
        <w:t>。</w:t>
      </w:r>
    </w:p>
    <w:bookmarkEnd w:id="65"/>
    <w:p w14:paraId="2E650CA3">
      <w:pPr>
        <w:widowControl/>
        <w:spacing w:line="360" w:lineRule="auto"/>
        <w:ind w:firstLine="562" w:firstLineChars="200"/>
        <w:rPr>
          <w:b/>
          <w:bCs/>
          <w:color w:val="auto"/>
          <w:sz w:val="28"/>
          <w:szCs w:val="28"/>
        </w:rPr>
      </w:pPr>
      <w:r>
        <w:rPr>
          <w:b/>
          <w:bCs/>
          <w:color w:val="auto"/>
          <w:sz w:val="28"/>
          <w:szCs w:val="28"/>
        </w:rPr>
        <w:t>4、</w:t>
      </w:r>
      <w:r>
        <w:rPr>
          <w:rFonts w:hint="eastAsia"/>
          <w:b/>
          <w:bCs/>
          <w:color w:val="auto"/>
          <w:sz w:val="28"/>
          <w:szCs w:val="28"/>
          <w:lang w:val="en-US" w:eastAsia="zh-CN"/>
        </w:rPr>
        <w:t>水环境、</w:t>
      </w:r>
      <w:r>
        <w:rPr>
          <w:b/>
          <w:bCs/>
          <w:color w:val="auto"/>
          <w:sz w:val="28"/>
          <w:szCs w:val="28"/>
        </w:rPr>
        <w:t>土壤污染</w:t>
      </w:r>
    </w:p>
    <w:p w14:paraId="405FE630">
      <w:pPr>
        <w:widowControl/>
        <w:spacing w:line="360" w:lineRule="auto"/>
        <w:ind w:firstLine="560" w:firstLineChars="200"/>
        <w:rPr>
          <w:rFonts w:hint="eastAsia"/>
          <w:color w:val="auto"/>
          <w:sz w:val="28"/>
          <w:szCs w:val="28"/>
          <w:lang w:bidi="en-US"/>
        </w:rPr>
      </w:pPr>
      <w:r>
        <w:rPr>
          <w:rFonts w:hint="eastAsia"/>
          <w:color w:val="auto"/>
          <w:sz w:val="28"/>
          <w:szCs w:val="28"/>
          <w:lang w:val="en-US" w:eastAsia="zh-CN" w:bidi="en-US"/>
        </w:rPr>
        <w:t>矿山采用露天开采，未破坏地下含水层，根据地质普查报告，该矿区凝灰岩矿的各项技术指标，均达到中华人民共和国国家标准（ＧＢ/Ｔ14685-2011）《建筑用卵石、碎石》的技术标准，不含有毒有害物质。综合分析，</w:t>
      </w:r>
      <w:r>
        <w:rPr>
          <w:rFonts w:hint="eastAsia"/>
          <w:color w:val="auto"/>
          <w:sz w:val="28"/>
          <w:szCs w:val="28"/>
          <w:lang w:bidi="en-US"/>
        </w:rPr>
        <w:t>对矿区生态修复影响范围</w:t>
      </w:r>
      <w:r>
        <w:rPr>
          <w:rFonts w:hint="eastAsia"/>
          <w:color w:val="auto"/>
          <w:sz w:val="28"/>
          <w:szCs w:val="28"/>
          <w:lang w:val="en-US" w:eastAsia="zh-CN" w:bidi="en-US"/>
        </w:rPr>
        <w:t>的</w:t>
      </w:r>
      <w:r>
        <w:rPr>
          <w:rFonts w:hint="eastAsia"/>
          <w:color w:val="auto"/>
          <w:sz w:val="28"/>
          <w:szCs w:val="28"/>
          <w:lang w:bidi="en-US"/>
        </w:rPr>
        <w:t>地下水、土壤</w:t>
      </w:r>
      <w:r>
        <w:rPr>
          <w:rFonts w:hint="eastAsia"/>
          <w:color w:val="auto"/>
          <w:sz w:val="28"/>
          <w:szCs w:val="28"/>
          <w:lang w:val="en-US" w:eastAsia="zh-CN" w:bidi="en-US"/>
        </w:rPr>
        <w:t>影响较轻</w:t>
      </w:r>
      <w:r>
        <w:rPr>
          <w:rFonts w:hint="eastAsia"/>
          <w:color w:val="auto"/>
          <w:sz w:val="28"/>
          <w:szCs w:val="28"/>
          <w:lang w:bidi="en-US"/>
        </w:rPr>
        <w:t>。</w:t>
      </w:r>
    </w:p>
    <w:p w14:paraId="47D2BB46">
      <w:pPr>
        <w:widowControl/>
        <w:spacing w:line="360" w:lineRule="auto"/>
        <w:ind w:firstLine="562" w:firstLineChars="200"/>
        <w:rPr>
          <w:b/>
          <w:bCs/>
          <w:color w:val="auto"/>
          <w:sz w:val="28"/>
          <w:szCs w:val="28"/>
        </w:rPr>
      </w:pPr>
      <w:bookmarkStart w:id="66" w:name="_Hlk220606142"/>
      <w:r>
        <w:rPr>
          <w:rFonts w:hint="eastAsia"/>
          <w:b/>
          <w:bCs/>
          <w:color w:val="auto"/>
          <w:sz w:val="28"/>
          <w:szCs w:val="28"/>
          <w:lang w:val="en-US" w:eastAsia="zh-CN"/>
        </w:rPr>
        <w:t>5</w:t>
      </w:r>
      <w:r>
        <w:rPr>
          <w:b/>
          <w:bCs/>
          <w:color w:val="auto"/>
          <w:sz w:val="28"/>
          <w:szCs w:val="28"/>
        </w:rPr>
        <w:t>、生态系统受损现状综合评价</w:t>
      </w:r>
    </w:p>
    <w:p w14:paraId="7A67522E">
      <w:pPr>
        <w:widowControl/>
        <w:spacing w:line="360" w:lineRule="auto"/>
        <w:ind w:firstLine="560" w:firstLineChars="200"/>
        <w:rPr>
          <w:color w:val="auto"/>
          <w:sz w:val="28"/>
          <w:szCs w:val="28"/>
        </w:rPr>
      </w:pPr>
      <w:r>
        <w:rPr>
          <w:color w:val="auto"/>
          <w:sz w:val="28"/>
          <w:szCs w:val="28"/>
        </w:rPr>
        <w:t>参照《矿区生态修复方案编制指南（临时）》等相关规范，评估认为矿区生态环境影响程度见表3</w:t>
      </w:r>
      <w:r>
        <w:rPr>
          <w:color w:val="auto"/>
          <w:sz w:val="28"/>
          <w:szCs w:val="28"/>
        </w:rPr>
        <w:noBreakHyphen/>
      </w:r>
      <w:r>
        <w:rPr>
          <w:rFonts w:hint="eastAsia"/>
          <w:color w:val="auto"/>
          <w:sz w:val="28"/>
          <w:szCs w:val="28"/>
          <w:lang w:val="en-US" w:eastAsia="zh-CN"/>
        </w:rPr>
        <w:t>25</w:t>
      </w:r>
      <w:r>
        <w:rPr>
          <w:color w:val="auto"/>
          <w:sz w:val="28"/>
          <w:szCs w:val="28"/>
        </w:rPr>
        <w:t>。</w:t>
      </w:r>
    </w:p>
    <w:p w14:paraId="74026EBD">
      <w:pPr>
        <w:widowControl/>
        <w:spacing w:line="240" w:lineRule="auto"/>
        <w:ind w:firstLine="480" w:firstLineChars="200"/>
        <w:jc w:val="center"/>
        <w:rPr>
          <w:rFonts w:hint="eastAsia" w:ascii="黑体" w:hAnsi="黑体" w:eastAsia="黑体" w:cs="宋体"/>
          <w:color w:val="auto"/>
          <w:kern w:val="0"/>
          <w:sz w:val="24"/>
          <w:szCs w:val="24"/>
        </w:rPr>
      </w:pPr>
      <w:r>
        <w:rPr>
          <w:rFonts w:hint="eastAsia" w:ascii="黑体" w:hAnsi="黑体" w:eastAsia="黑体" w:cs="宋体"/>
          <w:color w:val="auto"/>
          <w:kern w:val="0"/>
          <w:sz w:val="24"/>
          <w:szCs w:val="24"/>
        </w:rPr>
        <w:t>表3-</w:t>
      </w:r>
      <w:r>
        <w:rPr>
          <w:rFonts w:hint="eastAsia" w:ascii="黑体" w:hAnsi="黑体" w:eastAsia="黑体" w:cs="宋体"/>
          <w:color w:val="auto"/>
          <w:kern w:val="0"/>
          <w:sz w:val="24"/>
          <w:szCs w:val="24"/>
          <w:lang w:val="en-US" w:eastAsia="zh-CN"/>
        </w:rPr>
        <w:t xml:space="preserve">25  </w:t>
      </w:r>
      <w:r>
        <w:rPr>
          <w:rFonts w:hint="eastAsia" w:ascii="黑体" w:hAnsi="黑体" w:eastAsia="黑体" w:cs="宋体"/>
          <w:color w:val="auto"/>
          <w:kern w:val="0"/>
          <w:sz w:val="24"/>
          <w:szCs w:val="24"/>
        </w:rPr>
        <w:t>矿区生态受损程度现状综合评价表</w:t>
      </w:r>
    </w:p>
    <w:bookmarkEnd w:id="66"/>
    <w:p w14:paraId="3507583E">
      <w:pPr>
        <w:adjustRightInd w:val="0"/>
        <w:snapToGrid w:val="0"/>
        <w:spacing w:line="360" w:lineRule="auto"/>
        <w:ind w:firstLine="562" w:firstLineChars="200"/>
        <w:outlineLvl w:val="2"/>
        <w:rPr>
          <w:rFonts w:hint="eastAsia" w:ascii="宋体" w:hAnsi="宋体" w:cs="宋体"/>
          <w:b/>
          <w:bCs/>
          <w:snapToGrid w:val="0"/>
          <w:color w:val="auto"/>
          <w:sz w:val="28"/>
          <w:szCs w:val="28"/>
        </w:rPr>
      </w:pPr>
      <w:r>
        <w:rPr>
          <w:rFonts w:hint="eastAsia" w:ascii="宋体" w:hAnsi="宋体" w:cs="宋体"/>
          <w:b/>
          <w:bCs/>
          <w:snapToGrid w:val="0"/>
          <w:color w:val="auto"/>
          <w:sz w:val="28"/>
          <w:szCs w:val="28"/>
        </w:rPr>
        <w:t>三、受损预测</w:t>
      </w:r>
    </w:p>
    <w:p w14:paraId="7E64B670">
      <w:pPr>
        <w:spacing w:line="360" w:lineRule="auto"/>
        <w:ind w:firstLine="560" w:firstLineChars="200"/>
        <w:rPr>
          <w:rFonts w:hint="default" w:ascii="Times New Roman" w:hAnsi="Times New Roman" w:eastAsia="宋体" w:cs="Times New Roman"/>
          <w:color w:val="auto"/>
          <w:kern w:val="0"/>
          <w:sz w:val="28"/>
          <w:szCs w:val="28"/>
          <w:shd w:val="clear" w:color="auto" w:fill="FFFFFF"/>
          <w:lang w:val="en-US" w:eastAsia="zh-CN" w:bidi="ar-SA"/>
        </w:rPr>
      </w:pPr>
      <w:r>
        <w:rPr>
          <w:rFonts w:hint="eastAsia" w:ascii="Times New Roman" w:hAnsi="Times New Roman" w:eastAsia="宋体" w:cs="Times New Roman"/>
          <w:color w:val="auto"/>
          <w:kern w:val="0"/>
          <w:sz w:val="28"/>
          <w:szCs w:val="28"/>
          <w:shd w:val="clear" w:color="auto" w:fill="FFFFFF"/>
          <w:lang w:val="en-US" w:eastAsia="zh-CN" w:bidi="ar-SA"/>
        </w:rPr>
        <w:t>矿山已处于闭坑阶段</w:t>
      </w:r>
      <w:r>
        <w:rPr>
          <w:rFonts w:hint="eastAsia" w:cs="Times New Roman"/>
          <w:color w:val="auto"/>
          <w:kern w:val="0"/>
          <w:sz w:val="28"/>
          <w:szCs w:val="28"/>
          <w:shd w:val="clear" w:color="auto" w:fill="FFFFFF"/>
          <w:lang w:val="en-US" w:eastAsia="zh-CN" w:bidi="ar-SA"/>
        </w:rPr>
        <w:t>，预测矿山地质环境、土地资源损毁与生态系统受损与现状一致，不再赘述。</w:t>
      </w:r>
    </w:p>
    <w:p w14:paraId="78B7E2FE">
      <w:pPr>
        <w:adjustRightInd w:val="0"/>
        <w:snapToGrid w:val="0"/>
        <w:spacing w:line="360" w:lineRule="auto"/>
        <w:ind w:firstLine="562" w:firstLineChars="200"/>
        <w:outlineLvl w:val="2"/>
        <w:rPr>
          <w:b/>
          <w:bCs/>
          <w:snapToGrid w:val="0"/>
          <w:color w:val="auto"/>
          <w:sz w:val="28"/>
          <w:szCs w:val="28"/>
        </w:rPr>
      </w:pPr>
      <w:r>
        <w:rPr>
          <w:b/>
          <w:bCs/>
          <w:snapToGrid w:val="0"/>
          <w:color w:val="auto"/>
          <w:sz w:val="28"/>
          <w:szCs w:val="28"/>
        </w:rPr>
        <w:t>四、问题诊断评价结论</w:t>
      </w:r>
    </w:p>
    <w:p w14:paraId="418C114D">
      <w:pPr>
        <w:pStyle w:val="44"/>
        <w:spacing w:line="360" w:lineRule="auto"/>
        <w:ind w:firstLine="562" w:firstLineChars="200"/>
        <w:jc w:val="both"/>
        <w:rPr>
          <w:rFonts w:ascii="Times New Roman" w:cs="Times New Roman"/>
          <w:b/>
          <w:bCs/>
          <w:color w:val="auto"/>
          <w:sz w:val="28"/>
          <w:szCs w:val="28"/>
          <w:shd w:val="clear" w:color="auto" w:fill="FFFFFF"/>
        </w:rPr>
      </w:pPr>
      <w:r>
        <w:rPr>
          <w:rFonts w:hint="eastAsia" w:ascii="Times New Roman" w:cs="Times New Roman"/>
          <w:b/>
          <w:bCs/>
          <w:color w:val="auto"/>
          <w:sz w:val="28"/>
          <w:szCs w:val="28"/>
          <w:shd w:val="clear" w:color="auto" w:fill="FFFFFF"/>
        </w:rPr>
        <w:t>（一）</w:t>
      </w:r>
      <w:r>
        <w:rPr>
          <w:rFonts w:ascii="Times New Roman" w:cs="Times New Roman"/>
          <w:b/>
          <w:bCs/>
          <w:color w:val="auto"/>
          <w:sz w:val="28"/>
          <w:szCs w:val="28"/>
          <w:shd w:val="clear" w:color="auto" w:fill="FFFFFF"/>
        </w:rPr>
        <w:t>生态修复受损程度评价原则</w:t>
      </w:r>
    </w:p>
    <w:p w14:paraId="35808786">
      <w:pPr>
        <w:pStyle w:val="44"/>
        <w:spacing w:line="360" w:lineRule="auto"/>
        <w:ind w:firstLine="560" w:firstLineChars="200"/>
        <w:rPr>
          <w:rFonts w:ascii="Times New Roman" w:cs="Times New Roman"/>
          <w:color w:val="auto"/>
          <w:sz w:val="28"/>
          <w:szCs w:val="28"/>
          <w:shd w:val="clear" w:color="auto" w:fill="FFFFFF"/>
        </w:rPr>
      </w:pPr>
      <w:r>
        <w:rPr>
          <w:rFonts w:ascii="Times New Roman" w:cs="Times New Roman"/>
          <w:color w:val="auto"/>
          <w:sz w:val="28"/>
          <w:szCs w:val="28"/>
          <w:shd w:val="clear" w:color="auto" w:fill="FFFFFF"/>
        </w:rPr>
        <w:t>本次矿区生态修复主要侧重于矿山开采后对矿区地质环境、生态环境有影响的工业场地等重点部位进行恢复治理或保护，根据矿山开采设计、规划、矿区地质环境及生态环境问题的类型、规模和危害程度，矿区生态修复受损程度评价遵循以下原则：</w:t>
      </w:r>
    </w:p>
    <w:p w14:paraId="1EDBDD46">
      <w:pPr>
        <w:pStyle w:val="44"/>
        <w:spacing w:line="360" w:lineRule="auto"/>
        <w:ind w:firstLine="560" w:firstLineChars="200"/>
        <w:rPr>
          <w:rFonts w:ascii="Times New Roman" w:cs="Times New Roman"/>
          <w:color w:val="auto"/>
          <w:sz w:val="28"/>
          <w:szCs w:val="28"/>
          <w:shd w:val="clear" w:color="auto" w:fill="FFFFFF"/>
        </w:rPr>
      </w:pPr>
      <w:r>
        <w:rPr>
          <w:rFonts w:ascii="Times New Roman" w:cs="Times New Roman"/>
          <w:color w:val="auto"/>
          <w:sz w:val="28"/>
          <w:szCs w:val="28"/>
          <w:shd w:val="clear" w:color="auto" w:fill="FFFFFF"/>
        </w:rPr>
        <w:t>①矿区生态修复受损程度评价包括整个矿区地质环境、土地资源问题、生态环境影响的评价范围；</w:t>
      </w:r>
    </w:p>
    <w:p w14:paraId="73C485BE">
      <w:pPr>
        <w:pStyle w:val="44"/>
        <w:spacing w:line="360" w:lineRule="auto"/>
        <w:ind w:firstLine="560" w:firstLineChars="200"/>
        <w:rPr>
          <w:rFonts w:ascii="Times New Roman" w:cs="Times New Roman"/>
          <w:color w:val="auto"/>
          <w:sz w:val="28"/>
          <w:szCs w:val="28"/>
          <w:shd w:val="clear" w:color="auto" w:fill="FFFFFF"/>
        </w:rPr>
      </w:pPr>
      <w:r>
        <w:rPr>
          <w:rFonts w:ascii="Times New Roman" w:cs="Times New Roman"/>
          <w:color w:val="auto"/>
          <w:sz w:val="28"/>
          <w:szCs w:val="28"/>
          <w:shd w:val="clear" w:color="auto" w:fill="FFFFFF"/>
        </w:rPr>
        <w:t>②矿区生态修复因素包括矿山地质灾害、采矿活动对含水层的影响、采矿活动对地形地貌景观的破坏、土地损毁、采矿活动对水土环境污染的影响、采矿活动对生态破坏等，依据上述因素的危害或影响程度进行分区评价；</w:t>
      </w:r>
    </w:p>
    <w:p w14:paraId="554BB685">
      <w:pPr>
        <w:pStyle w:val="44"/>
        <w:spacing w:line="360" w:lineRule="auto"/>
        <w:ind w:firstLine="560" w:firstLineChars="200"/>
        <w:rPr>
          <w:rFonts w:ascii="Times New Roman" w:cs="Times New Roman"/>
          <w:color w:val="auto"/>
          <w:sz w:val="28"/>
          <w:szCs w:val="28"/>
          <w:shd w:val="clear" w:color="auto" w:fill="FFFFFF"/>
        </w:rPr>
      </w:pPr>
      <w:r>
        <w:rPr>
          <w:rFonts w:ascii="Times New Roman" w:cs="Times New Roman"/>
          <w:color w:val="auto"/>
          <w:sz w:val="28"/>
          <w:szCs w:val="28"/>
          <w:shd w:val="clear" w:color="auto" w:fill="FFFFFF"/>
        </w:rPr>
        <w:t>③坚持以矿区地质环境及矿区生态环境现状评估结果、预测评估结果作为分区主导因素的原则；</w:t>
      </w:r>
    </w:p>
    <w:p w14:paraId="54A5E6C1">
      <w:pPr>
        <w:pStyle w:val="44"/>
        <w:spacing w:line="360" w:lineRule="auto"/>
        <w:ind w:firstLine="560" w:firstLineChars="200"/>
        <w:rPr>
          <w:rFonts w:ascii="Times New Roman" w:cs="Times New Roman"/>
          <w:color w:val="auto"/>
          <w:sz w:val="28"/>
          <w:szCs w:val="28"/>
          <w:shd w:val="clear" w:color="auto" w:fill="FFFFFF"/>
        </w:rPr>
      </w:pPr>
      <w:r>
        <w:rPr>
          <w:rFonts w:ascii="Times New Roman" w:cs="Times New Roman"/>
          <w:color w:val="auto"/>
          <w:sz w:val="28"/>
          <w:szCs w:val="28"/>
          <w:shd w:val="clear" w:color="auto" w:fill="FFFFFF"/>
        </w:rPr>
        <w:t>④坚持“就大不就小、就高不就低、区内相似、区间相异”的原则；</w:t>
      </w:r>
    </w:p>
    <w:p w14:paraId="7B925D2A">
      <w:pPr>
        <w:pStyle w:val="44"/>
        <w:spacing w:line="360" w:lineRule="auto"/>
        <w:ind w:firstLine="560" w:firstLineChars="200"/>
        <w:rPr>
          <w:rFonts w:ascii="Times New Roman" w:cs="Times New Roman"/>
          <w:color w:val="auto"/>
          <w:sz w:val="28"/>
          <w:szCs w:val="28"/>
          <w:shd w:val="clear" w:color="auto" w:fill="FFFFFF"/>
        </w:rPr>
      </w:pPr>
      <w:r>
        <w:rPr>
          <w:rFonts w:ascii="Times New Roman" w:cs="Times New Roman"/>
          <w:color w:val="auto"/>
          <w:sz w:val="28"/>
          <w:szCs w:val="28"/>
          <w:shd w:val="clear" w:color="auto" w:fill="FFFFFF"/>
        </w:rPr>
        <w:t>⑤坚持“以人为本”搬迁避让与防治工程建设相结合的原则；</w:t>
      </w:r>
    </w:p>
    <w:p w14:paraId="390D1968">
      <w:pPr>
        <w:pStyle w:val="44"/>
        <w:spacing w:line="360" w:lineRule="auto"/>
        <w:ind w:firstLine="560" w:firstLineChars="200"/>
        <w:rPr>
          <w:rFonts w:ascii="Times New Roman" w:cs="Times New Roman"/>
          <w:color w:val="auto"/>
          <w:sz w:val="28"/>
          <w:szCs w:val="28"/>
          <w:shd w:val="clear" w:color="auto" w:fill="FFFFFF"/>
        </w:rPr>
      </w:pPr>
      <w:r>
        <w:rPr>
          <w:rFonts w:ascii="Times New Roman" w:cs="Times New Roman"/>
          <w:color w:val="auto"/>
          <w:sz w:val="28"/>
          <w:szCs w:val="28"/>
          <w:shd w:val="clear" w:color="auto" w:fill="FFFFFF"/>
        </w:rPr>
        <w:t>⑥坚持定性和定量相结合的原则；</w:t>
      </w:r>
    </w:p>
    <w:p w14:paraId="46947C14">
      <w:pPr>
        <w:pStyle w:val="44"/>
        <w:spacing w:line="360" w:lineRule="auto"/>
        <w:ind w:firstLine="560" w:firstLineChars="200"/>
        <w:jc w:val="both"/>
        <w:rPr>
          <w:rFonts w:ascii="Times New Roman" w:cs="Times New Roman"/>
          <w:color w:val="auto"/>
          <w:sz w:val="28"/>
          <w:szCs w:val="28"/>
          <w:shd w:val="clear" w:color="auto" w:fill="FFFFFF"/>
        </w:rPr>
      </w:pPr>
      <w:r>
        <w:rPr>
          <w:rFonts w:ascii="Times New Roman" w:cs="Times New Roman"/>
          <w:color w:val="auto"/>
          <w:sz w:val="28"/>
          <w:szCs w:val="28"/>
          <w:shd w:val="clear" w:color="auto" w:fill="FFFFFF"/>
        </w:rPr>
        <w:t>⑦依据《生态修复方案编制指南》，样表7的要求，评估区划分为矿区损毁程度重度、中度、轻度。</w:t>
      </w:r>
    </w:p>
    <w:p w14:paraId="4968E82D">
      <w:pPr>
        <w:pStyle w:val="44"/>
        <w:spacing w:line="360" w:lineRule="auto"/>
        <w:ind w:firstLine="562" w:firstLineChars="200"/>
        <w:jc w:val="both"/>
        <w:rPr>
          <w:rFonts w:ascii="Times New Roman" w:cs="Times New Roman"/>
          <w:color w:val="auto"/>
          <w:sz w:val="28"/>
          <w:szCs w:val="28"/>
          <w:shd w:val="clear" w:color="auto" w:fill="FFFFFF"/>
        </w:rPr>
      </w:pPr>
      <w:r>
        <w:rPr>
          <w:rFonts w:hint="eastAsia" w:ascii="Times New Roman" w:cs="Times New Roman"/>
          <w:b/>
          <w:bCs/>
          <w:color w:val="auto"/>
          <w:sz w:val="28"/>
          <w:szCs w:val="28"/>
          <w:shd w:val="clear" w:color="auto" w:fill="FFFFFF"/>
        </w:rPr>
        <w:t>（二）</w:t>
      </w:r>
      <w:r>
        <w:rPr>
          <w:rFonts w:ascii="Times New Roman" w:cs="Times New Roman"/>
          <w:b/>
          <w:bCs/>
          <w:color w:val="auto"/>
          <w:sz w:val="28"/>
          <w:szCs w:val="28"/>
          <w:shd w:val="clear" w:color="auto" w:fill="FFFFFF"/>
        </w:rPr>
        <w:t>评价结果</w:t>
      </w:r>
    </w:p>
    <w:p w14:paraId="07ED4282">
      <w:pPr>
        <w:pStyle w:val="44"/>
        <w:spacing w:line="360" w:lineRule="auto"/>
        <w:ind w:firstLine="560" w:firstLineChars="200"/>
        <w:jc w:val="both"/>
        <w:rPr>
          <w:rFonts w:ascii="Times New Roman" w:cs="Times New Roman"/>
          <w:color w:val="auto"/>
          <w:sz w:val="28"/>
          <w:szCs w:val="28"/>
          <w:shd w:val="clear" w:color="auto" w:fill="FFFFFF"/>
        </w:rPr>
      </w:pPr>
      <w:r>
        <w:rPr>
          <w:rFonts w:ascii="Times New Roman" w:cs="Times New Roman"/>
          <w:color w:val="auto"/>
          <w:sz w:val="28"/>
          <w:szCs w:val="28"/>
          <w:shd w:val="clear" w:color="auto" w:fill="FFFFFF"/>
        </w:rPr>
        <w:t>矿区生态修复分区应根据矿区地质环境影响与生态环境影响现状评估和预测评估结果，参照《矿区生态修复方案编制指南》（样表7），划分重度、中度、轻度。综合评价结果见表3-</w:t>
      </w:r>
      <w:r>
        <w:rPr>
          <w:rFonts w:hint="eastAsia" w:ascii="Times New Roman" w:cs="Times New Roman"/>
          <w:color w:val="auto"/>
          <w:sz w:val="28"/>
          <w:szCs w:val="28"/>
          <w:shd w:val="clear" w:color="auto" w:fill="FFFFFF"/>
          <w:lang w:val="en-US" w:eastAsia="zh-CN"/>
        </w:rPr>
        <w:t>26</w:t>
      </w:r>
      <w:r>
        <w:rPr>
          <w:rFonts w:ascii="Times New Roman" w:cs="Times New Roman"/>
          <w:color w:val="auto"/>
          <w:sz w:val="28"/>
          <w:szCs w:val="28"/>
          <w:shd w:val="clear" w:color="auto" w:fill="FFFFFF"/>
        </w:rPr>
        <w:t>。矿区生态破坏程度综合评价图见图3-5。</w:t>
      </w:r>
    </w:p>
    <w:p w14:paraId="0BC7B4E0">
      <w:pPr>
        <w:pStyle w:val="44"/>
        <w:spacing w:line="240" w:lineRule="auto"/>
        <w:ind w:firstLine="480" w:firstLineChars="200"/>
        <w:jc w:val="center"/>
        <w:rPr>
          <w:rFonts w:eastAsia="黑体"/>
          <w:color w:val="auto"/>
          <w:sz w:val="24"/>
          <w:szCs w:val="24"/>
        </w:rPr>
      </w:pPr>
      <w:r>
        <w:rPr>
          <w:rFonts w:eastAsia="黑体"/>
          <w:color w:val="auto"/>
          <w:sz w:val="24"/>
          <w:szCs w:val="24"/>
        </w:rPr>
        <w:t>表3-</w:t>
      </w:r>
      <w:r>
        <w:rPr>
          <w:rFonts w:hint="eastAsia" w:eastAsia="黑体"/>
          <w:color w:val="auto"/>
          <w:sz w:val="24"/>
          <w:szCs w:val="24"/>
          <w:lang w:val="en-US" w:eastAsia="zh-CN"/>
        </w:rPr>
        <w:t>26</w:t>
      </w:r>
      <w:r>
        <w:rPr>
          <w:rFonts w:eastAsia="黑体"/>
          <w:color w:val="auto"/>
          <w:sz w:val="24"/>
          <w:szCs w:val="24"/>
        </w:rPr>
        <w:t xml:space="preserve">  损毁程度综合评价表</w:t>
      </w:r>
    </w:p>
    <w:p w14:paraId="19B8065D">
      <w:pPr>
        <w:jc w:val="center"/>
        <w:rPr>
          <w:rFonts w:hint="eastAsia" w:ascii="宋体" w:hAnsi="宋体" w:cs="宋体"/>
          <w:b/>
          <w:bCs/>
          <w:color w:val="auto"/>
          <w:sz w:val="24"/>
          <w:szCs w:val="24"/>
        </w:rPr>
        <w:sectPr>
          <w:headerReference r:id="rId14" w:type="default"/>
          <w:footerReference r:id="rId15" w:type="default"/>
          <w:pgSz w:w="11906" w:h="16838"/>
          <w:pgMar w:top="1219" w:right="1797" w:bottom="1440" w:left="1797" w:header="851" w:footer="992" w:gutter="0"/>
          <w:pgNumType w:fmt="decimal"/>
          <w:cols w:space="720" w:num="1"/>
          <w:docGrid w:linePitch="312" w:charSpace="0"/>
        </w:sectPr>
      </w:pPr>
    </w:p>
    <w:p w14:paraId="7EA08286">
      <w:pPr>
        <w:ind w:left="-142" w:leftChars="-135" w:hanging="141" w:hangingChars="59"/>
        <w:jc w:val="center"/>
        <w:rPr>
          <w:rFonts w:hint="eastAsia" w:ascii="宋体" w:hAnsi="宋体" w:eastAsia="宋体" w:cs="宋体"/>
          <w:color w:val="auto"/>
          <w:sz w:val="24"/>
          <w:szCs w:val="24"/>
          <w:lang w:eastAsia="zh-CN"/>
        </w:rPr>
      </w:pPr>
      <w:r>
        <w:rPr>
          <w:rFonts w:hint="eastAsia" w:ascii="宋体" w:hAnsi="宋体" w:cs="宋体"/>
          <w:color w:val="auto"/>
          <w:sz w:val="24"/>
          <w:szCs w:val="24"/>
          <w:lang w:eastAsia="zh-CN"/>
        </w:rPr>
        <w:t xml:space="preserve">    </w:t>
      </w:r>
    </w:p>
    <w:p w14:paraId="12130BF0">
      <w:pPr>
        <w:pStyle w:val="3"/>
        <w:spacing w:before="120" w:beforeLines="50"/>
        <w:rPr>
          <w:color w:val="auto"/>
        </w:rPr>
      </w:pPr>
      <w:bookmarkStart w:id="67" w:name="_Toc31024"/>
      <w:r>
        <w:rPr>
          <w:rFonts w:hint="eastAsia"/>
          <w:color w:val="auto"/>
        </w:rPr>
        <w:t>第二节  生态修复可行性分析</w:t>
      </w:r>
      <w:bookmarkEnd w:id="67"/>
    </w:p>
    <w:p w14:paraId="7FBDB3C6">
      <w:pPr>
        <w:spacing w:line="360" w:lineRule="auto"/>
        <w:ind w:firstLine="562" w:firstLineChars="200"/>
        <w:outlineLvl w:val="2"/>
        <w:rPr>
          <w:rFonts w:hint="eastAsia" w:ascii="宋体" w:hAnsi="宋体" w:cs="宋体"/>
          <w:b/>
          <w:bCs/>
          <w:color w:val="auto"/>
          <w:sz w:val="28"/>
          <w:szCs w:val="28"/>
        </w:rPr>
      </w:pPr>
      <w:r>
        <w:rPr>
          <w:rFonts w:hint="eastAsia" w:ascii="宋体" w:hAnsi="宋体" w:cs="宋体"/>
          <w:b/>
          <w:bCs/>
          <w:color w:val="auto"/>
          <w:sz w:val="28"/>
          <w:szCs w:val="28"/>
        </w:rPr>
        <w:t>一、技术经济可行性分析</w:t>
      </w:r>
    </w:p>
    <w:p w14:paraId="2BA6BEF9">
      <w:pPr>
        <w:spacing w:line="360" w:lineRule="auto"/>
        <w:ind w:firstLine="562" w:firstLineChars="200"/>
        <w:outlineLvl w:val="3"/>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（一）地质环境治理可行性分析</w:t>
      </w:r>
    </w:p>
    <w:p w14:paraId="36F91CAA">
      <w:pPr>
        <w:spacing w:line="360" w:lineRule="auto"/>
        <w:ind w:firstLine="560" w:firstLineChars="200"/>
        <w:rPr>
          <w:rFonts w:eastAsiaTheme="minorEastAsia"/>
          <w:color w:val="auto"/>
          <w:sz w:val="28"/>
          <w:szCs w:val="28"/>
        </w:rPr>
      </w:pPr>
      <w:r>
        <w:rPr>
          <w:rFonts w:eastAsiaTheme="minorEastAsia"/>
          <w:color w:val="auto"/>
          <w:sz w:val="28"/>
          <w:szCs w:val="28"/>
        </w:rPr>
        <w:t>1、地质灾害防治可行性分析</w:t>
      </w:r>
    </w:p>
    <w:p w14:paraId="694D7A48">
      <w:pPr>
        <w:widowControl w:val="0"/>
        <w:spacing w:line="360" w:lineRule="auto"/>
        <w:ind w:firstLine="560" w:firstLineChars="200"/>
        <w:rPr>
          <w:rFonts w:hint="default" w:ascii="Times New Roman" w:hAnsi="Times New Roman" w:eastAsia="宋体" w:cs="Times New Roman"/>
          <w:b w:val="0"/>
          <w:bCs/>
          <w:color w:val="auto"/>
          <w:sz w:val="28"/>
          <w:szCs w:val="28"/>
          <w:highlight w:val="none"/>
          <w:lang w:eastAsia="zh-CN"/>
        </w:rPr>
      </w:pPr>
      <w:r>
        <w:rPr>
          <w:rFonts w:hint="default" w:ascii="Times New Roman" w:hAnsi="Times New Roman" w:eastAsia="宋体" w:cs="Times New Roman"/>
          <w:b w:val="0"/>
          <w:bCs/>
          <w:color w:val="auto"/>
          <w:sz w:val="28"/>
          <w:szCs w:val="28"/>
          <w:highlight w:val="none"/>
          <w:lang w:val="en-US" w:eastAsia="zh-CN"/>
        </w:rPr>
        <w:t>矿山主要地质灾害为露天开采引发的高陡边坡崩塌</w:t>
      </w:r>
      <w:r>
        <w:rPr>
          <w:rFonts w:hint="eastAsia" w:cs="Times New Roman"/>
          <w:b w:val="0"/>
          <w:bCs/>
          <w:color w:val="auto"/>
          <w:sz w:val="28"/>
          <w:szCs w:val="28"/>
          <w:highlight w:val="none"/>
          <w:lang w:val="en-US" w:eastAsia="zh-CN"/>
        </w:rPr>
        <w:t>，以及2#废石场内堆积的废石存在崩塌滑坡地质灾害</w:t>
      </w:r>
      <w:r>
        <w:rPr>
          <w:rFonts w:hint="default" w:ascii="Times New Roman" w:hAnsi="Times New Roman" w:eastAsia="宋体" w:cs="Times New Roman"/>
          <w:b w:val="0"/>
          <w:bCs/>
          <w:color w:val="auto"/>
          <w:sz w:val="28"/>
          <w:szCs w:val="28"/>
          <w:highlight w:val="none"/>
          <w:lang w:val="en-US" w:eastAsia="zh-CN"/>
        </w:rPr>
        <w:t>。针对采矿活动可能引发的边坡崩塌灾害，常用的防治措施为：对</w:t>
      </w:r>
      <w:r>
        <w:rPr>
          <w:rFonts w:hint="eastAsia" w:cs="Times New Roman"/>
          <w:b w:val="0"/>
          <w:bCs/>
          <w:color w:val="auto"/>
          <w:sz w:val="28"/>
          <w:szCs w:val="28"/>
          <w:highlight w:val="none"/>
          <w:lang w:val="en-US" w:eastAsia="zh-CN"/>
        </w:rPr>
        <w:t>高陡</w:t>
      </w:r>
      <w:r>
        <w:rPr>
          <w:rFonts w:hint="default" w:ascii="Times New Roman" w:hAnsi="Times New Roman" w:eastAsia="宋体" w:cs="Times New Roman"/>
          <w:b w:val="0"/>
          <w:bCs/>
          <w:color w:val="auto"/>
          <w:sz w:val="28"/>
          <w:szCs w:val="28"/>
          <w:highlight w:val="none"/>
          <w:lang w:val="en-US" w:eastAsia="zh-CN"/>
        </w:rPr>
        <w:t>边坡</w:t>
      </w:r>
      <w:r>
        <w:rPr>
          <w:rFonts w:hint="eastAsia" w:ascii="Times New Roman" w:hAnsi="Times New Roman" w:eastAsia="宋体" w:cs="Times New Roman"/>
          <w:b w:val="0"/>
          <w:bCs/>
          <w:color w:val="auto"/>
          <w:sz w:val="28"/>
          <w:szCs w:val="28"/>
          <w:highlight w:val="none"/>
          <w:lang w:val="en-US" w:eastAsia="zh-CN"/>
        </w:rPr>
        <w:t>进行</w:t>
      </w:r>
      <w:r>
        <w:rPr>
          <w:rFonts w:hint="eastAsia" w:cs="Times New Roman"/>
          <w:b w:val="0"/>
          <w:bCs/>
          <w:color w:val="auto"/>
          <w:sz w:val="28"/>
          <w:szCs w:val="28"/>
          <w:highlight w:val="none"/>
          <w:lang w:val="en-US" w:eastAsia="zh-CN"/>
        </w:rPr>
        <w:t>垫坡、对废石堆边坡废石清运治理措施</w:t>
      </w:r>
      <w:r>
        <w:rPr>
          <w:rFonts w:hint="eastAsia" w:ascii="Times New Roman" w:hAnsi="Times New Roman" w:eastAsia="宋体" w:cs="Times New Roman"/>
          <w:b w:val="0"/>
          <w:bCs/>
          <w:color w:val="auto"/>
          <w:sz w:val="28"/>
          <w:szCs w:val="28"/>
          <w:highlight w:val="none"/>
          <w:lang w:val="en-US" w:eastAsia="zh-CN"/>
        </w:rPr>
        <w:t>，</w:t>
      </w:r>
      <w:r>
        <w:rPr>
          <w:rFonts w:hint="default" w:ascii="Times New Roman" w:hAnsi="Times New Roman" w:eastAsia="宋体" w:cs="Times New Roman"/>
          <w:b w:val="0"/>
          <w:bCs/>
          <w:color w:val="auto"/>
          <w:sz w:val="28"/>
          <w:szCs w:val="28"/>
          <w:highlight w:val="none"/>
          <w:lang w:eastAsia="zh-CN"/>
        </w:rPr>
        <w:t>减少发生崩塌滑坡等地质灾害的可能性。</w:t>
      </w:r>
    </w:p>
    <w:p w14:paraId="090BAFCC">
      <w:pPr>
        <w:spacing w:line="360" w:lineRule="auto"/>
        <w:ind w:firstLine="560" w:firstLineChars="200"/>
        <w:rPr>
          <w:rFonts w:eastAsiaTheme="minorEastAsia"/>
          <w:color w:val="auto"/>
          <w:sz w:val="28"/>
          <w:szCs w:val="28"/>
        </w:rPr>
      </w:pPr>
      <w:r>
        <w:rPr>
          <w:rFonts w:hint="default" w:ascii="Times New Roman" w:hAnsi="Times New Roman" w:eastAsia="宋体" w:cs="Times New Roman"/>
          <w:b w:val="0"/>
          <w:bCs/>
          <w:color w:val="auto"/>
          <w:sz w:val="28"/>
          <w:szCs w:val="28"/>
          <w:highlight w:val="none"/>
          <w:lang w:val="en-US" w:eastAsia="zh-CN"/>
        </w:rPr>
        <w:t>针对</w:t>
      </w:r>
      <w:r>
        <w:rPr>
          <w:rFonts w:hint="eastAsia" w:cs="Times New Roman"/>
          <w:b w:val="0"/>
          <w:bCs/>
          <w:color w:val="auto"/>
          <w:sz w:val="28"/>
          <w:szCs w:val="28"/>
          <w:highlight w:val="none"/>
          <w:lang w:val="en-US" w:eastAsia="zh-CN"/>
        </w:rPr>
        <w:t>露天采场边坡</w:t>
      </w:r>
      <w:r>
        <w:rPr>
          <w:rFonts w:hint="default" w:ascii="Times New Roman" w:hAnsi="Times New Roman" w:eastAsia="宋体" w:cs="Times New Roman"/>
          <w:b w:val="0"/>
          <w:bCs/>
          <w:color w:val="auto"/>
          <w:sz w:val="28"/>
          <w:szCs w:val="28"/>
          <w:highlight w:val="none"/>
          <w:lang w:val="en-US" w:eastAsia="zh-CN"/>
        </w:rPr>
        <w:t>、</w:t>
      </w:r>
      <w:r>
        <w:rPr>
          <w:rFonts w:hint="eastAsia" w:cs="Times New Roman"/>
          <w:b w:val="0"/>
          <w:bCs/>
          <w:color w:val="auto"/>
          <w:sz w:val="28"/>
          <w:szCs w:val="28"/>
          <w:highlight w:val="none"/>
          <w:lang w:val="en-US" w:eastAsia="zh-CN"/>
        </w:rPr>
        <w:t>2#</w:t>
      </w:r>
      <w:r>
        <w:rPr>
          <w:rFonts w:hint="default" w:ascii="Times New Roman" w:hAnsi="Times New Roman" w:eastAsia="宋体" w:cs="Times New Roman"/>
          <w:b w:val="0"/>
          <w:bCs/>
          <w:color w:val="auto"/>
          <w:sz w:val="28"/>
          <w:szCs w:val="28"/>
          <w:highlight w:val="none"/>
          <w:lang w:val="en-US" w:eastAsia="zh-CN"/>
        </w:rPr>
        <w:t>废石场可能引发的边坡失稳</w:t>
      </w:r>
      <w:r>
        <w:rPr>
          <w:rFonts w:hint="eastAsia" w:cs="Times New Roman"/>
          <w:b w:val="0"/>
          <w:bCs/>
          <w:color w:val="auto"/>
          <w:sz w:val="28"/>
          <w:szCs w:val="28"/>
          <w:highlight w:val="none"/>
          <w:lang w:val="en-US" w:eastAsia="zh-CN"/>
        </w:rPr>
        <w:t>造成滑坡崩塌</w:t>
      </w:r>
      <w:r>
        <w:rPr>
          <w:rFonts w:hint="default" w:ascii="Times New Roman" w:hAnsi="Times New Roman" w:eastAsia="宋体" w:cs="Times New Roman"/>
          <w:b w:val="0"/>
          <w:bCs/>
          <w:color w:val="auto"/>
          <w:sz w:val="28"/>
          <w:szCs w:val="28"/>
          <w:highlight w:val="none"/>
          <w:lang w:val="en-US" w:eastAsia="zh-CN"/>
        </w:rPr>
        <w:t>等地质灾害，</w:t>
      </w:r>
      <w:r>
        <w:rPr>
          <w:rFonts w:hint="eastAsia" w:ascii="Times New Roman" w:hAnsi="Times New Roman" w:cs="Times New Roman"/>
          <w:b w:val="0"/>
          <w:bCs/>
          <w:color w:val="auto"/>
          <w:sz w:val="28"/>
          <w:szCs w:val="28"/>
          <w:highlight w:val="none"/>
          <w:lang w:val="en-US" w:eastAsia="zh-CN"/>
        </w:rPr>
        <w:t>对</w:t>
      </w:r>
      <w:r>
        <w:rPr>
          <w:rFonts w:hint="eastAsia" w:cs="Times New Roman"/>
          <w:b w:val="0"/>
          <w:bCs/>
          <w:color w:val="auto"/>
          <w:sz w:val="28"/>
          <w:szCs w:val="28"/>
          <w:highlight w:val="none"/>
          <w:lang w:val="en-US" w:eastAsia="zh-CN"/>
        </w:rPr>
        <w:t>露天采场边坡进行垫坡、2#</w:t>
      </w:r>
      <w:r>
        <w:rPr>
          <w:rFonts w:hint="default" w:ascii="Times New Roman" w:hAnsi="Times New Roman" w:eastAsia="宋体" w:cs="Times New Roman"/>
          <w:b w:val="0"/>
          <w:bCs/>
          <w:color w:val="auto"/>
          <w:sz w:val="28"/>
          <w:szCs w:val="28"/>
          <w:highlight w:val="none"/>
          <w:lang w:val="en-US" w:eastAsia="zh-CN"/>
        </w:rPr>
        <w:t>废石场</w:t>
      </w:r>
      <w:r>
        <w:rPr>
          <w:rFonts w:hint="eastAsia" w:ascii="Times New Roman" w:hAnsi="Times New Roman" w:cs="Times New Roman"/>
          <w:b w:val="0"/>
          <w:bCs/>
          <w:color w:val="auto"/>
          <w:sz w:val="28"/>
          <w:szCs w:val="28"/>
          <w:highlight w:val="none"/>
          <w:lang w:val="en-US" w:eastAsia="zh-CN"/>
        </w:rPr>
        <w:t>进行</w:t>
      </w:r>
      <w:r>
        <w:rPr>
          <w:rFonts w:hint="eastAsia" w:cs="Times New Roman"/>
          <w:b w:val="0"/>
          <w:bCs/>
          <w:color w:val="auto"/>
          <w:sz w:val="28"/>
          <w:szCs w:val="28"/>
          <w:highlight w:val="none"/>
          <w:lang w:val="en-US" w:eastAsia="zh-CN"/>
        </w:rPr>
        <w:t>清运</w:t>
      </w:r>
      <w:r>
        <w:rPr>
          <w:rFonts w:hint="default" w:ascii="Times New Roman" w:hAnsi="Times New Roman" w:eastAsia="宋体" w:cs="Times New Roman"/>
          <w:b w:val="0"/>
          <w:bCs/>
          <w:color w:val="auto"/>
          <w:sz w:val="28"/>
          <w:szCs w:val="28"/>
          <w:highlight w:val="none"/>
          <w:lang w:val="en-US" w:eastAsia="zh-CN"/>
        </w:rPr>
        <w:t>，</w:t>
      </w:r>
      <w:r>
        <w:rPr>
          <w:rFonts w:hint="eastAsia" w:ascii="Times New Roman" w:hAnsi="Times New Roman" w:cs="Times New Roman"/>
          <w:b w:val="0"/>
          <w:bCs/>
          <w:color w:val="auto"/>
          <w:sz w:val="28"/>
          <w:szCs w:val="28"/>
          <w:highlight w:val="none"/>
          <w:lang w:val="en-US" w:eastAsia="zh-CN"/>
        </w:rPr>
        <w:t>从而</w:t>
      </w:r>
      <w:r>
        <w:rPr>
          <w:rFonts w:hint="default" w:ascii="Times New Roman" w:hAnsi="Times New Roman" w:eastAsia="宋体" w:cs="Times New Roman"/>
          <w:b w:val="0"/>
          <w:bCs/>
          <w:color w:val="auto"/>
          <w:sz w:val="28"/>
          <w:szCs w:val="28"/>
          <w:highlight w:val="none"/>
          <w:lang w:val="en-US" w:eastAsia="zh-CN"/>
        </w:rPr>
        <w:t>防止坡面岩土体流失引发局部失稳。</w:t>
      </w:r>
    </w:p>
    <w:p w14:paraId="74194A1C">
      <w:pPr>
        <w:spacing w:line="360" w:lineRule="auto"/>
        <w:ind w:firstLine="560" w:firstLineChars="200"/>
        <w:rPr>
          <w:rFonts w:eastAsiaTheme="minorEastAsia"/>
          <w:color w:val="auto"/>
          <w:sz w:val="28"/>
          <w:szCs w:val="28"/>
        </w:rPr>
      </w:pPr>
      <w:r>
        <w:rPr>
          <w:rFonts w:eastAsiaTheme="minorEastAsia"/>
          <w:color w:val="auto"/>
          <w:sz w:val="28"/>
          <w:szCs w:val="28"/>
        </w:rPr>
        <w:t>矿山地质灾害</w:t>
      </w:r>
      <w:r>
        <w:rPr>
          <w:rFonts w:hint="eastAsia" w:eastAsiaTheme="minorEastAsia"/>
          <w:color w:val="auto"/>
          <w:sz w:val="28"/>
          <w:szCs w:val="28"/>
          <w:lang w:val="en-US" w:eastAsia="zh-CN"/>
        </w:rPr>
        <w:t>通过以上</w:t>
      </w:r>
      <w:r>
        <w:rPr>
          <w:rFonts w:eastAsiaTheme="minorEastAsia"/>
          <w:color w:val="auto"/>
          <w:sz w:val="28"/>
          <w:szCs w:val="28"/>
        </w:rPr>
        <w:t>治理</w:t>
      </w:r>
      <w:r>
        <w:rPr>
          <w:rFonts w:hint="eastAsia" w:eastAsiaTheme="minorEastAsia"/>
          <w:color w:val="auto"/>
          <w:sz w:val="28"/>
          <w:szCs w:val="28"/>
          <w:lang w:val="en-US" w:eastAsia="zh-CN"/>
        </w:rPr>
        <w:t>措施，</w:t>
      </w:r>
      <w:r>
        <w:rPr>
          <w:rFonts w:eastAsiaTheme="minorEastAsia"/>
          <w:color w:val="auto"/>
          <w:sz w:val="28"/>
          <w:szCs w:val="28"/>
        </w:rPr>
        <w:t>技术成熟可行，在技术上是有保障的、可行的。</w:t>
      </w:r>
    </w:p>
    <w:p w14:paraId="488501E0">
      <w:pPr>
        <w:spacing w:line="360" w:lineRule="auto"/>
        <w:ind w:firstLine="560" w:firstLineChars="200"/>
        <w:rPr>
          <w:rFonts w:eastAsiaTheme="minorEastAsia"/>
          <w:color w:val="auto"/>
          <w:sz w:val="28"/>
          <w:szCs w:val="28"/>
        </w:rPr>
      </w:pPr>
      <w:r>
        <w:rPr>
          <w:rFonts w:eastAsiaTheme="minorEastAsia"/>
          <w:color w:val="auto"/>
          <w:sz w:val="28"/>
          <w:szCs w:val="28"/>
        </w:rPr>
        <w:t>2、含水层防治技术可行性分析</w:t>
      </w:r>
    </w:p>
    <w:p w14:paraId="2B2C4FE0">
      <w:pPr>
        <w:spacing w:line="360" w:lineRule="auto"/>
        <w:ind w:firstLine="560" w:firstLineChars="200"/>
        <w:rPr>
          <w:rFonts w:eastAsiaTheme="minorEastAsia"/>
          <w:color w:val="auto"/>
          <w:sz w:val="28"/>
          <w:szCs w:val="28"/>
        </w:rPr>
      </w:pPr>
      <w:r>
        <w:rPr>
          <w:rFonts w:hint="eastAsia" w:eastAsiaTheme="minorEastAsia"/>
          <w:color w:val="auto"/>
          <w:sz w:val="28"/>
          <w:szCs w:val="28"/>
          <w:lang w:val="en-US" w:eastAsia="zh-CN"/>
        </w:rPr>
        <w:t>概况为露天开采，露天采场最低开采标高1011m</w:t>
      </w:r>
      <w:r>
        <w:rPr>
          <w:rFonts w:hint="eastAsia" w:ascii="Times New Roman" w:hAnsi="Times New Roman" w:cs="Times New Roman" w:eastAsiaTheme="minorEastAsia"/>
          <w:color w:val="auto"/>
          <w:sz w:val="28"/>
          <w:szCs w:val="28"/>
          <w:lang w:val="en-US" w:eastAsia="zh-CN"/>
        </w:rPr>
        <w:t>，</w:t>
      </w:r>
      <w:r>
        <w:rPr>
          <w:rFonts w:hint="default" w:ascii="Times New Roman" w:hAnsi="Times New Roman" w:cs="Times New Roman" w:eastAsiaTheme="minorEastAsia"/>
          <w:color w:val="auto"/>
          <w:sz w:val="28"/>
          <w:szCs w:val="28"/>
          <w:lang w:val="en-US" w:eastAsia="zh-CN"/>
        </w:rPr>
        <w:t>当地最低侵蚀基准面标高818m，地下水水位标高840m，</w:t>
      </w:r>
      <w:r>
        <w:rPr>
          <w:rFonts w:hint="eastAsia" w:ascii="Times New Roman" w:hAnsi="Times New Roman" w:cs="Times New Roman" w:eastAsiaTheme="minorEastAsia"/>
          <w:color w:val="auto"/>
          <w:sz w:val="28"/>
          <w:szCs w:val="28"/>
          <w:lang w:val="en-US" w:eastAsia="zh-CN"/>
        </w:rPr>
        <w:t>矿山开采未破坏含水层，矿山已不再继续生产，对</w:t>
      </w:r>
      <w:r>
        <w:rPr>
          <w:rFonts w:hint="eastAsia" w:ascii="宋体" w:hAnsi="宋体" w:cs="宋体"/>
          <w:color w:val="auto"/>
          <w:kern w:val="0"/>
          <w:sz w:val="28"/>
          <w:szCs w:val="28"/>
          <w:lang w:val="en-US" w:eastAsia="zh-CN" w:bidi="ar"/>
        </w:rPr>
        <w:t>含水层无影响，无需进行防治措施</w:t>
      </w:r>
      <w:r>
        <w:rPr>
          <w:color w:val="auto"/>
          <w:sz w:val="28"/>
          <w:szCs w:val="28"/>
        </w:rPr>
        <w:t>。</w:t>
      </w:r>
    </w:p>
    <w:p w14:paraId="423D9DCA">
      <w:pPr>
        <w:spacing w:line="360" w:lineRule="auto"/>
        <w:ind w:firstLine="560" w:firstLineChars="200"/>
        <w:rPr>
          <w:rFonts w:eastAsiaTheme="minorEastAsia"/>
          <w:color w:val="auto"/>
          <w:sz w:val="28"/>
          <w:szCs w:val="28"/>
        </w:rPr>
      </w:pPr>
      <w:r>
        <w:rPr>
          <w:rFonts w:eastAsiaTheme="minorEastAsia"/>
          <w:color w:val="auto"/>
          <w:sz w:val="28"/>
          <w:szCs w:val="28"/>
        </w:rPr>
        <w:t>3、地形地貌景观防治技术可行性分析</w:t>
      </w:r>
    </w:p>
    <w:p w14:paraId="50DB1530">
      <w:pPr>
        <w:spacing w:line="360" w:lineRule="auto"/>
        <w:ind w:firstLine="560" w:firstLineChars="200"/>
        <w:rPr>
          <w:rFonts w:eastAsiaTheme="minorEastAsia"/>
          <w:color w:val="auto"/>
          <w:sz w:val="28"/>
          <w:szCs w:val="28"/>
        </w:rPr>
      </w:pPr>
      <w:r>
        <w:rPr>
          <w:rFonts w:eastAsiaTheme="minorEastAsia"/>
          <w:color w:val="auto"/>
          <w:sz w:val="28"/>
          <w:szCs w:val="28"/>
        </w:rPr>
        <w:t>根据前文叙述，评估区不涉及各类自然保护区、人文景观和风景旅游区。矿山生产活动对原生的地形地貌景观影响和破坏程度较大，开采区对现有地表地形地貌景观影响严重。</w:t>
      </w:r>
    </w:p>
    <w:p w14:paraId="7FC8C539">
      <w:pPr>
        <w:widowControl/>
        <w:spacing w:line="360" w:lineRule="auto"/>
        <w:ind w:firstLine="560" w:firstLineChars="200"/>
        <w:rPr>
          <w:color w:val="auto"/>
          <w:kern w:val="0"/>
          <w:sz w:val="28"/>
          <w:szCs w:val="28"/>
        </w:rPr>
      </w:pPr>
      <w:r>
        <w:rPr>
          <w:color w:val="auto"/>
          <w:kern w:val="0"/>
          <w:sz w:val="28"/>
          <w:szCs w:val="28"/>
        </w:rPr>
        <w:t>对地形地貌景观的修复措施为：</w:t>
      </w:r>
    </w:p>
    <w:p w14:paraId="54432666">
      <w:pPr>
        <w:spacing w:line="360" w:lineRule="auto"/>
        <w:ind w:firstLine="560" w:firstLineChars="200"/>
        <w:rPr>
          <w:rFonts w:eastAsiaTheme="minorEastAsia"/>
          <w:color w:val="auto"/>
          <w:sz w:val="28"/>
          <w:szCs w:val="28"/>
        </w:rPr>
      </w:pPr>
      <w:r>
        <w:rPr>
          <w:rFonts w:eastAsiaTheme="minorEastAsia"/>
          <w:color w:val="auto"/>
          <w:sz w:val="28"/>
          <w:szCs w:val="28"/>
        </w:rPr>
        <w:t>①</w:t>
      </w:r>
      <w:r>
        <w:rPr>
          <w:rFonts w:hint="eastAsia" w:eastAsiaTheme="minorEastAsia"/>
          <w:color w:val="auto"/>
          <w:sz w:val="28"/>
          <w:szCs w:val="28"/>
          <w:lang w:val="en-US" w:eastAsia="zh-CN"/>
        </w:rPr>
        <w:t>露天采场边坡已形成2处台阶，但未覆土、恢复植被，本次生态修复设计对场地内孤立岩体进行清除，对场地内采坑进行回填，对采场高陡边坡垫坡，对边坡顶部尖角状坡面进行削坡取直，形成圆滑美观的坡面线，采取以上治理措施后，除垫坡后上部较陡部分外，整个场地进行覆土、恢复植被</w:t>
      </w:r>
      <w:r>
        <w:rPr>
          <w:rFonts w:eastAsiaTheme="minorEastAsia"/>
          <w:color w:val="auto"/>
          <w:sz w:val="28"/>
          <w:szCs w:val="28"/>
        </w:rPr>
        <w:t>；</w:t>
      </w:r>
    </w:p>
    <w:p w14:paraId="2F24F949">
      <w:pPr>
        <w:spacing w:line="360" w:lineRule="auto"/>
        <w:ind w:firstLine="560" w:firstLineChars="200"/>
        <w:rPr>
          <w:rFonts w:eastAsiaTheme="minorEastAsia"/>
          <w:color w:val="auto"/>
          <w:sz w:val="28"/>
          <w:szCs w:val="28"/>
        </w:rPr>
      </w:pPr>
      <w:r>
        <w:rPr>
          <w:rFonts w:eastAsiaTheme="minorEastAsia"/>
          <w:color w:val="auto"/>
          <w:sz w:val="28"/>
          <w:szCs w:val="28"/>
        </w:rPr>
        <w:t>②</w:t>
      </w:r>
      <w:r>
        <w:rPr>
          <w:rFonts w:hint="eastAsia" w:eastAsiaTheme="minorEastAsia"/>
          <w:color w:val="auto"/>
          <w:sz w:val="28"/>
          <w:szCs w:val="28"/>
          <w:lang w:val="en-US" w:eastAsia="zh-CN"/>
        </w:rPr>
        <w:t>设计对1#废石场边坡进行削坡压脚整形，减小边坡角度利于覆土，覆土后恢复植被</w:t>
      </w:r>
      <w:r>
        <w:rPr>
          <w:rFonts w:eastAsiaTheme="minorEastAsia"/>
          <w:color w:val="auto"/>
          <w:sz w:val="28"/>
          <w:szCs w:val="28"/>
        </w:rPr>
        <w:t>；</w:t>
      </w:r>
    </w:p>
    <w:p w14:paraId="387C4461">
      <w:pPr>
        <w:spacing w:line="360" w:lineRule="auto"/>
        <w:ind w:firstLine="560" w:firstLineChars="200"/>
        <w:rPr>
          <w:rFonts w:eastAsiaTheme="minorEastAsia"/>
          <w:color w:val="auto"/>
          <w:sz w:val="28"/>
          <w:szCs w:val="28"/>
        </w:rPr>
      </w:pPr>
      <w:r>
        <w:rPr>
          <w:rFonts w:eastAsiaTheme="minorEastAsia"/>
          <w:color w:val="auto"/>
          <w:sz w:val="28"/>
          <w:szCs w:val="28"/>
        </w:rPr>
        <w:t>③对</w:t>
      </w:r>
      <w:r>
        <w:rPr>
          <w:rFonts w:hint="eastAsia" w:eastAsiaTheme="minorEastAsia"/>
          <w:color w:val="auto"/>
          <w:sz w:val="28"/>
          <w:szCs w:val="28"/>
          <w:lang w:val="en-US" w:eastAsia="zh-CN"/>
        </w:rPr>
        <w:t>2#废石场地内堆积的废石进行清运至露天采场边坡垫坡使用，清运后的场地覆土后恢复植被</w:t>
      </w:r>
      <w:r>
        <w:rPr>
          <w:rFonts w:eastAsiaTheme="minorEastAsia"/>
          <w:color w:val="auto"/>
          <w:sz w:val="28"/>
          <w:szCs w:val="28"/>
        </w:rPr>
        <w:t>；</w:t>
      </w:r>
    </w:p>
    <w:p w14:paraId="1258156F">
      <w:pPr>
        <w:spacing w:line="360" w:lineRule="auto"/>
        <w:ind w:firstLine="560" w:firstLineChars="200"/>
        <w:rPr>
          <w:rFonts w:eastAsiaTheme="minorEastAsia"/>
          <w:color w:val="auto"/>
          <w:sz w:val="28"/>
          <w:szCs w:val="28"/>
        </w:rPr>
      </w:pPr>
      <w:r>
        <w:rPr>
          <w:rFonts w:eastAsiaTheme="minorEastAsia"/>
          <w:color w:val="auto"/>
          <w:sz w:val="28"/>
          <w:szCs w:val="28"/>
        </w:rPr>
        <w:t>④对</w:t>
      </w:r>
      <w:r>
        <w:rPr>
          <w:rFonts w:hint="eastAsia" w:eastAsiaTheme="minorEastAsia"/>
          <w:color w:val="auto"/>
          <w:sz w:val="28"/>
          <w:szCs w:val="28"/>
        </w:rPr>
        <w:t>1#</w:t>
      </w:r>
      <w:r>
        <w:rPr>
          <w:rFonts w:hint="eastAsia" w:eastAsiaTheme="minorEastAsia"/>
          <w:color w:val="auto"/>
          <w:sz w:val="28"/>
          <w:szCs w:val="28"/>
          <w:lang w:val="en-US" w:eastAsia="zh-CN"/>
        </w:rPr>
        <w:t>废渣堆</w:t>
      </w:r>
      <w:r>
        <w:rPr>
          <w:rFonts w:hint="eastAsia" w:eastAsiaTheme="minorEastAsia"/>
          <w:color w:val="auto"/>
          <w:sz w:val="28"/>
          <w:szCs w:val="28"/>
          <w:lang w:eastAsia="zh-CN"/>
        </w:rPr>
        <w:t>、</w:t>
      </w:r>
      <w:r>
        <w:rPr>
          <w:rFonts w:hint="eastAsia" w:eastAsiaTheme="minorEastAsia"/>
          <w:color w:val="auto"/>
          <w:sz w:val="28"/>
          <w:szCs w:val="28"/>
        </w:rPr>
        <w:t>2#</w:t>
      </w:r>
      <w:r>
        <w:rPr>
          <w:rFonts w:hint="eastAsia" w:eastAsiaTheme="minorEastAsia"/>
          <w:color w:val="auto"/>
          <w:sz w:val="28"/>
          <w:szCs w:val="28"/>
          <w:lang w:val="en-US" w:eastAsia="zh-CN"/>
        </w:rPr>
        <w:t>废渣堆</w:t>
      </w:r>
      <w:r>
        <w:rPr>
          <w:rFonts w:hint="eastAsia" w:eastAsiaTheme="minorEastAsia"/>
          <w:color w:val="auto"/>
          <w:sz w:val="28"/>
          <w:szCs w:val="28"/>
          <w:lang w:eastAsia="zh-CN"/>
        </w:rPr>
        <w:t>、</w:t>
      </w:r>
      <w:r>
        <w:rPr>
          <w:rFonts w:hint="eastAsia" w:eastAsiaTheme="minorEastAsia"/>
          <w:color w:val="auto"/>
          <w:sz w:val="28"/>
          <w:szCs w:val="28"/>
        </w:rPr>
        <w:t>3#</w:t>
      </w:r>
      <w:r>
        <w:rPr>
          <w:rFonts w:hint="eastAsia" w:eastAsiaTheme="minorEastAsia"/>
          <w:color w:val="auto"/>
          <w:sz w:val="28"/>
          <w:szCs w:val="28"/>
          <w:lang w:val="en-US" w:eastAsia="zh-CN"/>
        </w:rPr>
        <w:t>废渣堆进行削坡压脚整形，减小边坡角度利于覆土，覆土后恢复植被</w:t>
      </w:r>
      <w:r>
        <w:rPr>
          <w:rFonts w:eastAsiaTheme="minorEastAsia"/>
          <w:color w:val="auto"/>
          <w:sz w:val="28"/>
          <w:szCs w:val="28"/>
        </w:rPr>
        <w:t>；</w:t>
      </w:r>
    </w:p>
    <w:p w14:paraId="583AEEC8">
      <w:pPr>
        <w:widowControl/>
        <w:spacing w:line="360" w:lineRule="auto"/>
        <w:ind w:firstLine="560" w:firstLineChars="200"/>
        <w:rPr>
          <w:rFonts w:hint="eastAsia" w:eastAsiaTheme="minorEastAsia"/>
          <w:color w:val="auto"/>
          <w:kern w:val="0"/>
          <w:sz w:val="28"/>
          <w:szCs w:val="28"/>
          <w:lang w:eastAsia="zh-CN"/>
        </w:rPr>
      </w:pPr>
      <w:r>
        <w:rPr>
          <w:rFonts w:hint="eastAsia" w:eastAsiaTheme="minorEastAsia"/>
          <w:color w:val="auto"/>
          <w:sz w:val="28"/>
          <w:szCs w:val="28"/>
        </w:rPr>
        <w:t>⑤</w:t>
      </w:r>
      <w:r>
        <w:rPr>
          <w:color w:val="auto"/>
          <w:kern w:val="0"/>
          <w:sz w:val="28"/>
          <w:szCs w:val="28"/>
        </w:rPr>
        <w:t>对矿区道路</w:t>
      </w:r>
      <w:r>
        <w:rPr>
          <w:rFonts w:hint="eastAsia"/>
          <w:color w:val="auto"/>
          <w:kern w:val="0"/>
          <w:sz w:val="28"/>
          <w:szCs w:val="28"/>
          <w:lang w:val="en-US" w:eastAsia="zh-CN"/>
        </w:rPr>
        <w:t>边坡进行垫坡，对形成的马道进行回填，采取以上治理措施后</w:t>
      </w:r>
      <w:r>
        <w:rPr>
          <w:rFonts w:hint="eastAsia" w:eastAsiaTheme="minorEastAsia"/>
          <w:color w:val="auto"/>
          <w:sz w:val="28"/>
          <w:szCs w:val="28"/>
          <w:lang w:val="en-US" w:eastAsia="zh-CN"/>
        </w:rPr>
        <w:t>覆土、恢复植被</w:t>
      </w:r>
      <w:r>
        <w:rPr>
          <w:rFonts w:hint="eastAsia" w:eastAsiaTheme="minorEastAsia"/>
          <w:color w:val="auto"/>
          <w:kern w:val="0"/>
          <w:sz w:val="28"/>
          <w:szCs w:val="28"/>
          <w:lang w:eastAsia="zh-CN"/>
        </w:rPr>
        <w:t>；</w:t>
      </w:r>
    </w:p>
    <w:p w14:paraId="2709BBA1">
      <w:pPr>
        <w:spacing w:line="360" w:lineRule="auto"/>
        <w:ind w:firstLine="560" w:firstLineChars="200"/>
        <w:rPr>
          <w:rFonts w:hint="default" w:eastAsia="宋体"/>
          <w:color w:val="auto"/>
          <w:kern w:val="0"/>
          <w:sz w:val="28"/>
          <w:szCs w:val="28"/>
          <w:lang w:val="en-US" w:eastAsia="zh-CN"/>
        </w:rPr>
      </w:pPr>
      <w:r>
        <w:rPr>
          <w:rFonts w:hint="eastAsia"/>
          <w:color w:val="auto"/>
          <w:kern w:val="0"/>
          <w:sz w:val="28"/>
          <w:szCs w:val="28"/>
        </w:rPr>
        <w:t>⑥</w:t>
      </w:r>
      <w:r>
        <w:rPr>
          <w:rFonts w:hint="eastAsia"/>
          <w:color w:val="auto"/>
          <w:kern w:val="0"/>
          <w:sz w:val="28"/>
          <w:szCs w:val="28"/>
          <w:lang w:val="en-US" w:eastAsia="zh-CN"/>
        </w:rPr>
        <w:t>对工业场地内平台进行拆除、清运，边坡处进行垫坡，场内机械设备拆除清理，采取以上治理措施后场地进行覆土恢复植被；</w:t>
      </w:r>
    </w:p>
    <w:p w14:paraId="69558C0E">
      <w:pPr>
        <w:spacing w:line="360" w:lineRule="auto"/>
        <w:ind w:firstLine="560" w:firstLineChars="200"/>
        <w:rPr>
          <w:rFonts w:hint="eastAsia" w:eastAsiaTheme="minorEastAsia"/>
          <w:color w:val="auto"/>
          <w:kern w:val="0"/>
          <w:sz w:val="28"/>
          <w:szCs w:val="28"/>
          <w:lang w:eastAsia="zh-CN"/>
        </w:rPr>
      </w:pPr>
      <w:r>
        <w:rPr>
          <w:rFonts w:hint="eastAsia"/>
          <w:color w:val="auto"/>
          <w:kern w:val="0"/>
          <w:sz w:val="28"/>
          <w:szCs w:val="28"/>
          <w:lang w:val="en-US" w:eastAsia="zh-CN"/>
        </w:rPr>
        <w:t>⑦根据窑沟门村委会意见，办公生活区、变压器进行保留，不设计治理工程</w:t>
      </w:r>
      <w:r>
        <w:rPr>
          <w:rFonts w:hint="eastAsia" w:eastAsiaTheme="minorEastAsia"/>
          <w:color w:val="auto"/>
          <w:sz w:val="28"/>
          <w:szCs w:val="28"/>
          <w:lang w:val="en-US" w:eastAsia="zh-CN"/>
        </w:rPr>
        <w:t>措施；</w:t>
      </w:r>
    </w:p>
    <w:p w14:paraId="67E755FB">
      <w:pPr>
        <w:widowControl/>
        <w:spacing w:line="360" w:lineRule="auto"/>
        <w:ind w:firstLine="560" w:firstLineChars="200"/>
        <w:rPr>
          <w:color w:val="auto"/>
          <w:kern w:val="0"/>
          <w:sz w:val="28"/>
          <w:szCs w:val="28"/>
        </w:rPr>
      </w:pPr>
      <w:r>
        <w:rPr>
          <w:rFonts w:eastAsiaTheme="minorEastAsia"/>
          <w:color w:val="auto"/>
          <w:sz w:val="28"/>
          <w:szCs w:val="28"/>
        </w:rPr>
        <w:t>上述地形地貌景观损毁防治措施切实可行，同类矿山已有很多比较成熟的矿区生态修复技术与方法，因此，矿区地形地貌景观（地质遗迹、人文景观）治理技术可行。</w:t>
      </w:r>
    </w:p>
    <w:p w14:paraId="30DA6A88">
      <w:pPr>
        <w:widowControl/>
        <w:spacing w:line="360" w:lineRule="auto"/>
        <w:ind w:firstLine="560" w:firstLineChars="200"/>
        <w:rPr>
          <w:color w:val="auto"/>
          <w:kern w:val="0"/>
          <w:sz w:val="28"/>
          <w:szCs w:val="28"/>
        </w:rPr>
      </w:pPr>
      <w:r>
        <w:rPr>
          <w:color w:val="auto"/>
          <w:kern w:val="0"/>
          <w:sz w:val="28"/>
          <w:szCs w:val="28"/>
        </w:rPr>
        <w:t>4、地质环境治理经济可行性分析</w:t>
      </w:r>
    </w:p>
    <w:p w14:paraId="4635AFE8">
      <w:pPr>
        <w:widowControl/>
        <w:spacing w:line="360" w:lineRule="auto"/>
        <w:ind w:firstLine="560" w:firstLineChars="200"/>
        <w:rPr>
          <w:color w:val="auto"/>
          <w:kern w:val="0"/>
          <w:sz w:val="28"/>
          <w:szCs w:val="28"/>
        </w:rPr>
      </w:pPr>
      <w:r>
        <w:rPr>
          <w:rFonts w:hint="eastAsia"/>
          <w:color w:val="auto"/>
          <w:kern w:val="0"/>
          <w:sz w:val="28"/>
          <w:szCs w:val="28"/>
        </w:rPr>
        <w:t>通过上述地质环境治理工程，经估算，矿山地质环境治理总费用</w:t>
      </w:r>
      <w:r>
        <w:rPr>
          <w:rFonts w:hint="eastAsia" w:ascii="Times New Roman" w:hAnsi="Times New Roman" w:eastAsia="宋体" w:cs="Times New Roman"/>
          <w:color w:val="auto"/>
          <w:kern w:val="0"/>
          <w:sz w:val="28"/>
          <w:szCs w:val="28"/>
        </w:rPr>
        <w:t>为</w:t>
      </w:r>
      <w:r>
        <w:rPr>
          <w:rFonts w:hint="eastAsia" w:ascii="Times New Roman" w:hAnsi="Times New Roman" w:eastAsia="宋体" w:cs="Times New Roman"/>
          <w:color w:val="auto"/>
          <w:kern w:val="0"/>
          <w:sz w:val="28"/>
          <w:szCs w:val="28"/>
          <w:lang w:val="en-US" w:eastAsia="zh-CN"/>
        </w:rPr>
        <w:t>207.29</w:t>
      </w:r>
      <w:r>
        <w:rPr>
          <w:rFonts w:hint="eastAsia" w:ascii="Times New Roman" w:hAnsi="Times New Roman" w:eastAsia="宋体" w:cs="Times New Roman"/>
          <w:color w:val="auto"/>
          <w:kern w:val="0"/>
          <w:sz w:val="28"/>
          <w:szCs w:val="28"/>
        </w:rPr>
        <w:t>万元</w:t>
      </w:r>
      <w:r>
        <w:rPr>
          <w:rFonts w:hint="eastAsia"/>
          <w:color w:val="auto"/>
          <w:kern w:val="0"/>
          <w:sz w:val="28"/>
          <w:szCs w:val="28"/>
        </w:rPr>
        <w:t>，经费全部由矿山企业自筹。根据矿山提供的开发利用方案资料，企业达产年实现利税总额68.36万元，利润总额44.72万元，所得税按应税所得额的25%计为11.18万元，税后利润33.54万元</w:t>
      </w:r>
      <w:r>
        <w:rPr>
          <w:rFonts w:hint="eastAsia"/>
          <w:color w:val="auto"/>
          <w:kern w:val="0"/>
          <w:sz w:val="28"/>
          <w:szCs w:val="28"/>
          <w:lang w:eastAsia="zh-CN"/>
        </w:rPr>
        <w:t>，</w:t>
      </w:r>
      <w:r>
        <w:rPr>
          <w:rFonts w:hint="eastAsia"/>
          <w:color w:val="auto"/>
          <w:kern w:val="0"/>
          <w:sz w:val="28"/>
          <w:szCs w:val="28"/>
          <w:lang w:val="en-US" w:eastAsia="zh-CN"/>
        </w:rPr>
        <w:t>矿上已生产销售多年，</w:t>
      </w:r>
      <w:r>
        <w:rPr>
          <w:rFonts w:hint="eastAsia"/>
          <w:color w:val="auto"/>
          <w:kern w:val="0"/>
          <w:sz w:val="28"/>
          <w:szCs w:val="28"/>
        </w:rPr>
        <w:t>矿山地质环境治理工程在项目总投资中占比不大</w:t>
      </w:r>
      <w:r>
        <w:rPr>
          <w:rFonts w:hint="eastAsia"/>
          <w:color w:val="auto"/>
          <w:kern w:val="0"/>
          <w:sz w:val="28"/>
          <w:szCs w:val="28"/>
          <w:lang w:eastAsia="zh-CN"/>
        </w:rPr>
        <w:t>，</w:t>
      </w:r>
      <w:r>
        <w:rPr>
          <w:color w:val="auto"/>
          <w:kern w:val="0"/>
          <w:sz w:val="28"/>
          <w:szCs w:val="28"/>
        </w:rPr>
        <w:t>矿山企业有能力实施该工程。</w:t>
      </w:r>
    </w:p>
    <w:p w14:paraId="14AA4295">
      <w:pPr>
        <w:spacing w:line="360" w:lineRule="auto"/>
        <w:ind w:left="278" w:firstLine="562" w:firstLineChars="200"/>
        <w:outlineLvl w:val="3"/>
        <w:rPr>
          <w:rFonts w:eastAsiaTheme="minorEastAsia"/>
          <w:b/>
          <w:bCs/>
          <w:color w:val="auto"/>
          <w:sz w:val="28"/>
          <w:szCs w:val="28"/>
        </w:rPr>
      </w:pPr>
      <w:r>
        <w:rPr>
          <w:rFonts w:eastAsiaTheme="minorEastAsia"/>
          <w:b/>
          <w:bCs/>
          <w:color w:val="auto"/>
          <w:sz w:val="28"/>
          <w:szCs w:val="28"/>
        </w:rPr>
        <w:t>（二）土地复垦可行性分析</w:t>
      </w:r>
    </w:p>
    <w:p w14:paraId="62C905CD">
      <w:pPr>
        <w:widowControl/>
        <w:spacing w:line="360" w:lineRule="auto"/>
        <w:ind w:firstLine="560" w:firstLineChars="200"/>
        <w:rPr>
          <w:rFonts w:eastAsiaTheme="minorEastAsia"/>
          <w:color w:val="auto"/>
          <w:sz w:val="28"/>
          <w:szCs w:val="28"/>
        </w:rPr>
      </w:pPr>
      <w:r>
        <w:rPr>
          <w:rFonts w:eastAsiaTheme="minorEastAsia"/>
          <w:color w:val="auto"/>
          <w:sz w:val="28"/>
          <w:szCs w:val="28"/>
        </w:rPr>
        <w:t>根据前文土地损毁问题诊断评价结果，</w:t>
      </w:r>
      <w:r>
        <w:rPr>
          <w:rFonts w:hint="eastAsia" w:eastAsiaTheme="minorEastAsia"/>
          <w:color w:val="auto"/>
          <w:sz w:val="28"/>
          <w:szCs w:val="28"/>
        </w:rPr>
        <w:t>露天采场、</w:t>
      </w:r>
      <w:r>
        <w:rPr>
          <w:rFonts w:hint="eastAsia" w:eastAsiaTheme="minorEastAsia"/>
          <w:color w:val="auto"/>
          <w:sz w:val="28"/>
          <w:szCs w:val="28"/>
          <w:lang w:val="en-US" w:eastAsia="zh-CN"/>
        </w:rPr>
        <w:t>1#</w:t>
      </w:r>
      <w:r>
        <w:rPr>
          <w:rFonts w:hint="eastAsia" w:eastAsiaTheme="minorEastAsia"/>
          <w:color w:val="auto"/>
          <w:sz w:val="28"/>
          <w:szCs w:val="28"/>
        </w:rPr>
        <w:t>废石场、</w:t>
      </w:r>
      <w:r>
        <w:rPr>
          <w:rFonts w:hint="eastAsia" w:eastAsiaTheme="minorEastAsia"/>
          <w:color w:val="auto"/>
          <w:sz w:val="28"/>
          <w:szCs w:val="28"/>
          <w:lang w:val="en-US" w:eastAsia="zh-CN"/>
        </w:rPr>
        <w:t>2#废</w:t>
      </w:r>
      <w:r>
        <w:rPr>
          <w:rFonts w:hint="eastAsia" w:eastAsiaTheme="minorEastAsia"/>
          <w:color w:val="auto"/>
          <w:sz w:val="28"/>
          <w:szCs w:val="28"/>
        </w:rPr>
        <w:t>石场、1#废渣堆、2#废渣堆、3#废渣堆、</w:t>
      </w:r>
      <w:r>
        <w:rPr>
          <w:rFonts w:hint="eastAsia" w:eastAsiaTheme="minorEastAsia"/>
          <w:color w:val="auto"/>
          <w:sz w:val="28"/>
          <w:szCs w:val="28"/>
          <w:lang w:val="en-US" w:eastAsia="zh-CN"/>
        </w:rPr>
        <w:t>工业场地、</w:t>
      </w:r>
      <w:r>
        <w:rPr>
          <w:rFonts w:hint="eastAsia" w:eastAsiaTheme="minorEastAsia"/>
          <w:color w:val="auto"/>
          <w:sz w:val="28"/>
          <w:szCs w:val="28"/>
        </w:rPr>
        <w:t>矿区道路</w:t>
      </w:r>
      <w:r>
        <w:rPr>
          <w:rFonts w:eastAsiaTheme="minorEastAsia"/>
          <w:color w:val="auto"/>
          <w:sz w:val="28"/>
          <w:szCs w:val="28"/>
        </w:rPr>
        <w:t>等对土地损毁造成了损毁，表层土壤结构被彻底破坏，对损毁区域进行修复的主要工程为土壤重构、植被重建。</w:t>
      </w:r>
    </w:p>
    <w:p w14:paraId="54F061BD">
      <w:pPr>
        <w:widowControl/>
        <w:spacing w:line="360" w:lineRule="auto"/>
        <w:ind w:firstLine="560" w:firstLineChars="200"/>
        <w:rPr>
          <w:rFonts w:eastAsiaTheme="minorEastAsia"/>
          <w:color w:val="auto"/>
          <w:sz w:val="28"/>
          <w:szCs w:val="28"/>
        </w:rPr>
      </w:pPr>
      <w:r>
        <w:rPr>
          <w:rFonts w:eastAsiaTheme="minorEastAsia"/>
          <w:color w:val="auto"/>
          <w:sz w:val="28"/>
          <w:szCs w:val="28"/>
        </w:rPr>
        <w:t>其中土壤重构工程针对表层土壤彻底破坏的区域</w:t>
      </w:r>
      <w:r>
        <w:rPr>
          <w:rFonts w:hint="eastAsia" w:eastAsiaTheme="minorEastAsia"/>
          <w:color w:val="auto"/>
          <w:sz w:val="28"/>
          <w:szCs w:val="28"/>
          <w:lang w:eastAsia="zh-CN"/>
        </w:rPr>
        <w:t>，</w:t>
      </w:r>
      <w:r>
        <w:rPr>
          <w:rFonts w:eastAsiaTheme="minorEastAsia"/>
          <w:color w:val="auto"/>
          <w:sz w:val="28"/>
          <w:szCs w:val="28"/>
        </w:rPr>
        <w:t>主要土壤重构措施为覆土工程，满足植被生长条件的土壤重新覆于地表，并对土层进行施肥，有利于改善土壤的理化性质以及土壤圈的生态环境，创造植被恢复的条件。</w:t>
      </w:r>
    </w:p>
    <w:p w14:paraId="1CCDE6FC">
      <w:pPr>
        <w:spacing w:line="360" w:lineRule="auto"/>
        <w:ind w:firstLine="560" w:firstLineChars="200"/>
        <w:rPr>
          <w:rFonts w:eastAsiaTheme="minorEastAsia"/>
          <w:color w:val="auto"/>
          <w:sz w:val="28"/>
          <w:szCs w:val="28"/>
        </w:rPr>
      </w:pPr>
      <w:r>
        <w:rPr>
          <w:rFonts w:eastAsiaTheme="minorEastAsia"/>
          <w:color w:val="auto"/>
          <w:sz w:val="28"/>
          <w:szCs w:val="28"/>
        </w:rPr>
        <w:t>植被重建工程对土壤表面设计恢复植被，植被类型参照损毁区域原生的植被种类及周边区域的植被种类设计，并结合当地自然气候条件，土地利用现状及国土空间规划等相关规划实施，选择成活率高、易于管理、植种简单、适合当地植被生长的植被类型，方案设计以耐旱耐寒树苗、草籽采用人工撒播的方式进行植被重建。</w:t>
      </w:r>
    </w:p>
    <w:p w14:paraId="222317E8">
      <w:pPr>
        <w:spacing w:line="360" w:lineRule="auto"/>
        <w:ind w:firstLine="560" w:firstLineChars="200"/>
        <w:rPr>
          <w:rFonts w:eastAsiaTheme="minorEastAsia"/>
          <w:color w:val="auto"/>
          <w:sz w:val="28"/>
          <w:szCs w:val="28"/>
        </w:rPr>
      </w:pPr>
      <w:r>
        <w:rPr>
          <w:rFonts w:eastAsiaTheme="minorEastAsia"/>
          <w:color w:val="auto"/>
          <w:sz w:val="28"/>
          <w:szCs w:val="28"/>
        </w:rPr>
        <w:t>上述土地复垦技术中土壤重构工程与植被恢复措施均为常规施工项目，技术上比较成熟，应用比较普遍，操作难度简单，较容易达到治理目的，实施相对切实可行。</w:t>
      </w:r>
    </w:p>
    <w:p w14:paraId="5B5B91A7">
      <w:pPr>
        <w:widowControl/>
        <w:spacing w:line="360" w:lineRule="auto"/>
        <w:ind w:firstLine="560" w:firstLineChars="200"/>
        <w:rPr>
          <w:color w:val="auto"/>
          <w:kern w:val="0"/>
          <w:sz w:val="28"/>
          <w:szCs w:val="28"/>
        </w:rPr>
      </w:pPr>
      <w:r>
        <w:rPr>
          <w:rFonts w:hint="eastAsia"/>
          <w:color w:val="auto"/>
          <w:kern w:val="0"/>
          <w:sz w:val="28"/>
          <w:szCs w:val="28"/>
        </w:rPr>
        <w:t>经估算，矿山地质环境治理总费用为</w:t>
      </w:r>
      <w:r>
        <w:rPr>
          <w:rFonts w:hint="eastAsia" w:ascii="Times New Roman" w:hAnsi="Times New Roman" w:eastAsia="宋体" w:cs="Times New Roman"/>
          <w:color w:val="auto"/>
          <w:kern w:val="0"/>
          <w:sz w:val="28"/>
          <w:szCs w:val="28"/>
          <w:lang w:val="en-US" w:eastAsia="zh-CN"/>
        </w:rPr>
        <w:t>207.29</w:t>
      </w:r>
      <w:r>
        <w:rPr>
          <w:rFonts w:hint="eastAsia"/>
          <w:color w:val="auto"/>
          <w:kern w:val="0"/>
          <w:sz w:val="28"/>
          <w:szCs w:val="28"/>
        </w:rPr>
        <w:t>万元，经费全部由矿山企业自筹。根据矿山提供的开发利用方案资料，企业达产年实现利税总额68.36万元，利润总额44.72万元，所得税按应税所得额的25%计为11.18万元，税后利润33.54万元</w:t>
      </w:r>
      <w:r>
        <w:rPr>
          <w:rFonts w:hint="eastAsia"/>
          <w:color w:val="auto"/>
          <w:kern w:val="0"/>
          <w:sz w:val="28"/>
          <w:szCs w:val="28"/>
          <w:lang w:eastAsia="zh-CN"/>
        </w:rPr>
        <w:t>，</w:t>
      </w:r>
      <w:r>
        <w:rPr>
          <w:rFonts w:hint="eastAsia"/>
          <w:color w:val="auto"/>
          <w:kern w:val="0"/>
          <w:sz w:val="28"/>
          <w:szCs w:val="28"/>
          <w:lang w:val="en-US" w:eastAsia="zh-CN"/>
        </w:rPr>
        <w:t>矿上已生产销售多年，</w:t>
      </w:r>
      <w:r>
        <w:rPr>
          <w:rFonts w:hint="eastAsia"/>
          <w:color w:val="auto"/>
          <w:kern w:val="0"/>
          <w:sz w:val="28"/>
          <w:szCs w:val="28"/>
        </w:rPr>
        <w:t>矿山地质环境治理工程在项目总投资中占比不大</w:t>
      </w:r>
      <w:r>
        <w:rPr>
          <w:rFonts w:hint="eastAsia"/>
          <w:color w:val="auto"/>
          <w:kern w:val="0"/>
          <w:sz w:val="28"/>
          <w:szCs w:val="28"/>
          <w:lang w:eastAsia="zh-CN"/>
        </w:rPr>
        <w:t>，</w:t>
      </w:r>
      <w:r>
        <w:rPr>
          <w:color w:val="auto"/>
          <w:kern w:val="0"/>
          <w:sz w:val="28"/>
          <w:szCs w:val="28"/>
        </w:rPr>
        <w:t>矿山企业有能力实施该工程。</w:t>
      </w:r>
    </w:p>
    <w:p w14:paraId="68D32908">
      <w:pPr>
        <w:spacing w:line="360" w:lineRule="auto"/>
        <w:ind w:firstLine="562" w:firstLineChars="200"/>
        <w:outlineLvl w:val="3"/>
        <w:rPr>
          <w:rFonts w:eastAsiaTheme="minorEastAsia"/>
          <w:b/>
          <w:bCs/>
          <w:color w:val="auto"/>
          <w:sz w:val="28"/>
          <w:szCs w:val="28"/>
        </w:rPr>
      </w:pPr>
      <w:bookmarkStart w:id="68" w:name="_Hlk221370182"/>
      <w:r>
        <w:rPr>
          <w:rFonts w:eastAsiaTheme="minorEastAsia"/>
          <w:b/>
          <w:bCs/>
          <w:color w:val="auto"/>
          <w:sz w:val="28"/>
          <w:szCs w:val="28"/>
        </w:rPr>
        <w:t>（三）生态系统修复</w:t>
      </w:r>
      <w:bookmarkEnd w:id="68"/>
      <w:r>
        <w:rPr>
          <w:rFonts w:eastAsiaTheme="minorEastAsia"/>
          <w:b/>
          <w:bCs/>
          <w:color w:val="auto"/>
          <w:sz w:val="28"/>
          <w:szCs w:val="28"/>
        </w:rPr>
        <w:t>可行性分析</w:t>
      </w:r>
    </w:p>
    <w:p w14:paraId="07D9F7D1">
      <w:pPr>
        <w:spacing w:line="360" w:lineRule="auto"/>
        <w:ind w:firstLine="560" w:firstLineChars="200"/>
        <w:rPr>
          <w:rFonts w:eastAsiaTheme="minorEastAsia"/>
          <w:color w:val="auto"/>
          <w:sz w:val="28"/>
          <w:szCs w:val="28"/>
        </w:rPr>
      </w:pPr>
      <w:r>
        <w:rPr>
          <w:rFonts w:eastAsiaTheme="minorEastAsia"/>
          <w:color w:val="auto"/>
          <w:sz w:val="28"/>
          <w:szCs w:val="28"/>
        </w:rPr>
        <w:t>1、植被恢复技术可行性分析</w:t>
      </w:r>
    </w:p>
    <w:p w14:paraId="5004D395">
      <w:pPr>
        <w:spacing w:line="360" w:lineRule="auto"/>
        <w:ind w:firstLine="560" w:firstLineChars="200"/>
        <w:rPr>
          <w:rFonts w:eastAsiaTheme="minorEastAsia"/>
          <w:color w:val="auto"/>
          <w:sz w:val="28"/>
          <w:szCs w:val="28"/>
        </w:rPr>
      </w:pPr>
      <w:r>
        <w:rPr>
          <w:rFonts w:eastAsiaTheme="minorEastAsia"/>
          <w:color w:val="auto"/>
          <w:sz w:val="28"/>
          <w:szCs w:val="28"/>
        </w:rPr>
        <w:t>评估区损毁地类主要为林地、草地及采矿用地，结合矿山及周边矿山生态修复案例、周边地形地貌综合分析，矿山开采结束后，修复区经地貌重塑、土壤重构工程后，可以满足恢复林地</w:t>
      </w:r>
      <w:r>
        <w:rPr>
          <w:rFonts w:hint="eastAsia" w:eastAsiaTheme="minorEastAsia"/>
          <w:color w:val="auto"/>
          <w:sz w:val="28"/>
          <w:szCs w:val="28"/>
          <w:lang w:eastAsia="zh-CN"/>
        </w:rPr>
        <w:t>、</w:t>
      </w:r>
      <w:r>
        <w:rPr>
          <w:rFonts w:hint="eastAsia" w:eastAsiaTheme="minorEastAsia"/>
          <w:color w:val="auto"/>
          <w:sz w:val="28"/>
          <w:szCs w:val="28"/>
          <w:lang w:val="en-US" w:eastAsia="zh-CN"/>
        </w:rPr>
        <w:t>草地</w:t>
      </w:r>
      <w:r>
        <w:rPr>
          <w:rFonts w:eastAsiaTheme="minorEastAsia"/>
          <w:color w:val="auto"/>
          <w:sz w:val="28"/>
          <w:szCs w:val="28"/>
        </w:rPr>
        <w:t>要求，植被恢复技术可行。</w:t>
      </w:r>
    </w:p>
    <w:p w14:paraId="6435DFFB">
      <w:pPr>
        <w:spacing w:line="360" w:lineRule="auto"/>
        <w:ind w:firstLine="560" w:firstLineChars="200"/>
        <w:rPr>
          <w:rFonts w:eastAsiaTheme="minorEastAsia"/>
          <w:color w:val="auto"/>
          <w:sz w:val="28"/>
          <w:szCs w:val="28"/>
        </w:rPr>
      </w:pPr>
      <w:r>
        <w:rPr>
          <w:rFonts w:eastAsiaTheme="minorEastAsia"/>
          <w:color w:val="auto"/>
          <w:sz w:val="28"/>
          <w:szCs w:val="28"/>
        </w:rPr>
        <w:t>2、生物多样性恢复可行性</w:t>
      </w:r>
    </w:p>
    <w:p w14:paraId="01DE8CC2">
      <w:pPr>
        <w:spacing w:line="360" w:lineRule="auto"/>
        <w:ind w:firstLine="560" w:firstLineChars="200"/>
        <w:rPr>
          <w:rFonts w:eastAsiaTheme="minorEastAsia"/>
          <w:color w:val="auto"/>
          <w:sz w:val="28"/>
          <w:szCs w:val="28"/>
        </w:rPr>
      </w:pPr>
      <w:r>
        <w:rPr>
          <w:rFonts w:eastAsiaTheme="minorEastAsia"/>
          <w:color w:val="auto"/>
          <w:sz w:val="28"/>
          <w:szCs w:val="28"/>
        </w:rPr>
        <w:t>通过矿区植被重建，优先选择本地耐贫瘠的乡土乔木、灌木和草本植物，预计可在3-5年内形成稳定的植被覆盖层，逐步提升物种多样性。构建生态廊道，通过设置野生动物通道如涵洞，连接被道路或矿坑隔断的栖息地，促进物种迁移和交流，降低栖息地隔离的负面效应。土壤改良是植被恢复的基础，可通过施加有机肥改善土壤肥力，使用石灰中和酸性土壤，并种植特定的超富集植物，为后续植物定植创造有利条件。建立完善的监测体系是保障恢复效果的关键，利用红外相机监测野生动物活动，布设水质传感器跟踪污染变化，并定期评估物种丰富度、群落结构等生态指标，以便根据实际情况动态调整修复策略，确保生态系统恢复的稳定性和可持续性。</w:t>
      </w:r>
    </w:p>
    <w:p w14:paraId="51CAA985">
      <w:pPr>
        <w:spacing w:line="360" w:lineRule="auto"/>
        <w:ind w:firstLine="560" w:firstLineChars="200"/>
        <w:rPr>
          <w:rFonts w:eastAsiaTheme="minorEastAsia"/>
          <w:color w:val="auto"/>
          <w:sz w:val="28"/>
          <w:szCs w:val="28"/>
        </w:rPr>
      </w:pPr>
      <w:r>
        <w:rPr>
          <w:rFonts w:eastAsiaTheme="minorEastAsia"/>
          <w:color w:val="auto"/>
          <w:sz w:val="28"/>
          <w:szCs w:val="28"/>
        </w:rPr>
        <w:t>以上技术较成熟、可操作性强，因此，矿区生物多样性的恢复是可行的。</w:t>
      </w:r>
    </w:p>
    <w:p w14:paraId="66D63240">
      <w:pPr>
        <w:spacing w:line="360" w:lineRule="auto"/>
        <w:ind w:firstLine="560" w:firstLineChars="200"/>
        <w:rPr>
          <w:rFonts w:eastAsiaTheme="minorEastAsia"/>
          <w:color w:val="auto"/>
          <w:sz w:val="28"/>
          <w:szCs w:val="28"/>
        </w:rPr>
      </w:pPr>
      <w:r>
        <w:rPr>
          <w:rFonts w:eastAsiaTheme="minorEastAsia"/>
          <w:color w:val="auto"/>
          <w:sz w:val="28"/>
          <w:szCs w:val="28"/>
        </w:rPr>
        <w:t>3、水土流失恢复可行性</w:t>
      </w:r>
    </w:p>
    <w:p w14:paraId="4252B769">
      <w:pPr>
        <w:spacing w:line="360" w:lineRule="auto"/>
        <w:ind w:firstLine="560" w:firstLineChars="200"/>
        <w:rPr>
          <w:rFonts w:eastAsiaTheme="minorEastAsia"/>
          <w:color w:val="auto"/>
          <w:sz w:val="28"/>
          <w:szCs w:val="28"/>
        </w:rPr>
      </w:pPr>
      <w:r>
        <w:rPr>
          <w:rFonts w:eastAsiaTheme="minorEastAsia"/>
          <w:color w:val="auto"/>
          <w:sz w:val="28"/>
          <w:szCs w:val="28"/>
        </w:rPr>
        <w:t>针对水土流失问题，主要的工程措施为快速控制侵蚀的基础，包括对不稳定边坡进行加固，以及采用喷播技术（将草籽、粘合剂、肥料等混合喷覆于坡面）实现快速绿化覆盖。同时，建设完善的排水系统能有效减少地表径流对土壤的冲刷，引导水流有序排放。生物措施的核心在于利用植被固土保水，种植具有发达深根系的植物能有效增强土壤的抗侵蚀能力。在地表覆盖枯枝落叶或秸秆等有机物，可以减少水分蒸发，缓冲雨滴对土壤的直接冲击，并抑制土壤流失。管理措施强调科学规划和长期维护，需要划分生态恢复的优先区域，并建立长效的维护机制，定期巡查工程设施的有效性，及时进行维护。</w:t>
      </w:r>
    </w:p>
    <w:p w14:paraId="7A532224">
      <w:pPr>
        <w:spacing w:line="360" w:lineRule="auto"/>
        <w:ind w:firstLine="560" w:firstLineChars="200"/>
        <w:rPr>
          <w:rFonts w:eastAsiaTheme="minorEastAsia"/>
          <w:color w:val="auto"/>
          <w:sz w:val="28"/>
          <w:szCs w:val="28"/>
        </w:rPr>
      </w:pPr>
      <w:r>
        <w:rPr>
          <w:rFonts w:eastAsiaTheme="minorEastAsia"/>
          <w:color w:val="auto"/>
          <w:sz w:val="28"/>
          <w:szCs w:val="28"/>
        </w:rPr>
        <w:t>以上技术较成熟、可操作性强，同时</w:t>
      </w:r>
      <w:r>
        <w:rPr>
          <w:rFonts w:hint="eastAsia" w:eastAsiaTheme="minorEastAsia"/>
          <w:color w:val="auto"/>
          <w:sz w:val="28"/>
          <w:szCs w:val="28"/>
          <w:lang w:eastAsia="zh-CN"/>
        </w:rPr>
        <w:t>也是</w:t>
      </w:r>
      <w:r>
        <w:rPr>
          <w:rFonts w:eastAsiaTheme="minorEastAsia"/>
          <w:color w:val="auto"/>
          <w:sz w:val="28"/>
          <w:szCs w:val="28"/>
        </w:rPr>
        <w:t>矿山日常生产工作不可分割部分因此，矿区水土流失恢复是可行的。</w:t>
      </w:r>
    </w:p>
    <w:p w14:paraId="6251A79A">
      <w:pPr>
        <w:spacing w:line="360" w:lineRule="auto"/>
        <w:ind w:firstLine="560" w:firstLineChars="200"/>
        <w:rPr>
          <w:rFonts w:eastAsiaTheme="minorEastAsia"/>
          <w:color w:val="auto"/>
          <w:sz w:val="28"/>
          <w:szCs w:val="28"/>
        </w:rPr>
      </w:pPr>
      <w:r>
        <w:rPr>
          <w:rFonts w:eastAsiaTheme="minorEastAsia"/>
          <w:color w:val="auto"/>
          <w:sz w:val="28"/>
          <w:szCs w:val="28"/>
        </w:rPr>
        <w:t>4、水土环境污染防治可行性</w:t>
      </w:r>
    </w:p>
    <w:p w14:paraId="08867012">
      <w:pPr>
        <w:spacing w:line="360" w:lineRule="auto"/>
        <w:ind w:firstLine="560" w:firstLineChars="200"/>
        <w:rPr>
          <w:rFonts w:eastAsiaTheme="minorEastAsia"/>
          <w:color w:val="auto"/>
          <w:sz w:val="28"/>
          <w:szCs w:val="28"/>
        </w:rPr>
      </w:pPr>
      <w:r>
        <w:rPr>
          <w:rFonts w:eastAsiaTheme="minorEastAsia"/>
          <w:color w:val="auto"/>
          <w:sz w:val="28"/>
          <w:szCs w:val="28"/>
        </w:rPr>
        <w:t>由前文所述可知，矿山开采对水土环境污染较轻</w:t>
      </w:r>
      <w:r>
        <w:rPr>
          <w:rFonts w:hint="eastAsia" w:eastAsiaTheme="minorEastAsia"/>
          <w:color w:val="auto"/>
          <w:sz w:val="28"/>
          <w:szCs w:val="28"/>
          <w:lang w:eastAsia="zh-CN"/>
        </w:rPr>
        <w:t>。</w:t>
      </w:r>
    </w:p>
    <w:p w14:paraId="640501F0">
      <w:pPr>
        <w:spacing w:line="360" w:lineRule="auto"/>
        <w:ind w:firstLine="560" w:firstLineChars="200"/>
        <w:rPr>
          <w:rFonts w:eastAsiaTheme="minorEastAsia"/>
          <w:color w:val="auto"/>
          <w:sz w:val="28"/>
          <w:szCs w:val="28"/>
        </w:rPr>
      </w:pPr>
      <w:r>
        <w:rPr>
          <w:rFonts w:eastAsiaTheme="minorEastAsia"/>
          <w:color w:val="auto"/>
          <w:sz w:val="28"/>
          <w:szCs w:val="28"/>
        </w:rPr>
        <w:t>水土环境污染防治主要强调预防及监测等保护措施属于矿山主体工程，技术可行。</w:t>
      </w:r>
    </w:p>
    <w:p w14:paraId="6ACFA7D1">
      <w:pPr>
        <w:spacing w:line="360" w:lineRule="auto"/>
        <w:ind w:firstLine="560" w:firstLineChars="200"/>
        <w:rPr>
          <w:rFonts w:eastAsiaTheme="minorEastAsia"/>
          <w:color w:val="auto"/>
          <w:sz w:val="28"/>
          <w:szCs w:val="28"/>
        </w:rPr>
      </w:pPr>
      <w:r>
        <w:rPr>
          <w:rFonts w:eastAsiaTheme="minorEastAsia"/>
          <w:color w:val="auto"/>
          <w:sz w:val="28"/>
          <w:szCs w:val="28"/>
        </w:rPr>
        <w:t>5、矿区生态系统恢复经济可行性</w:t>
      </w:r>
    </w:p>
    <w:p w14:paraId="3B65FF60">
      <w:pPr>
        <w:spacing w:line="360" w:lineRule="auto"/>
        <w:ind w:firstLine="560" w:firstLineChars="200"/>
        <w:rPr>
          <w:rFonts w:eastAsiaTheme="minorEastAsia"/>
          <w:color w:val="auto"/>
          <w:sz w:val="28"/>
          <w:szCs w:val="28"/>
        </w:rPr>
      </w:pPr>
      <w:r>
        <w:rPr>
          <w:rFonts w:eastAsiaTheme="minorEastAsia"/>
          <w:color w:val="auto"/>
          <w:sz w:val="28"/>
          <w:szCs w:val="28"/>
        </w:rPr>
        <w:t>区生态系统恢复总面积</w:t>
      </w:r>
      <w:r>
        <w:rPr>
          <w:rFonts w:hint="eastAsia" w:eastAsiaTheme="minorEastAsia"/>
          <w:color w:val="auto"/>
          <w:sz w:val="28"/>
          <w:szCs w:val="28"/>
          <w:lang w:val="en-US" w:eastAsia="zh-CN"/>
        </w:rPr>
        <w:t>7.6955</w:t>
      </w:r>
      <w:r>
        <w:rPr>
          <w:rFonts w:eastAsiaTheme="minorEastAsia"/>
          <w:color w:val="auto"/>
          <w:sz w:val="28"/>
          <w:szCs w:val="28"/>
        </w:rPr>
        <w:t>hm</w:t>
      </w:r>
      <w:r>
        <w:rPr>
          <w:rFonts w:eastAsiaTheme="minorEastAsia"/>
          <w:color w:val="auto"/>
          <w:sz w:val="28"/>
          <w:szCs w:val="28"/>
          <w:vertAlign w:val="superscript"/>
        </w:rPr>
        <w:t>2</w:t>
      </w:r>
      <w:r>
        <w:rPr>
          <w:rFonts w:eastAsiaTheme="minorEastAsia"/>
          <w:color w:val="auto"/>
          <w:sz w:val="28"/>
          <w:szCs w:val="28"/>
        </w:rPr>
        <w:t>，</w:t>
      </w:r>
      <w:r>
        <w:rPr>
          <w:rFonts w:hint="eastAsia"/>
          <w:color w:val="auto"/>
          <w:kern w:val="0"/>
          <w:sz w:val="28"/>
          <w:szCs w:val="28"/>
        </w:rPr>
        <w:t>经估算，矿山地质环境治理总费用为</w:t>
      </w:r>
      <w:r>
        <w:rPr>
          <w:rFonts w:hint="eastAsia" w:ascii="Times New Roman" w:hAnsi="Times New Roman" w:eastAsia="宋体" w:cs="Times New Roman"/>
          <w:color w:val="auto"/>
          <w:kern w:val="0"/>
          <w:sz w:val="28"/>
          <w:szCs w:val="28"/>
          <w:lang w:val="en-US" w:eastAsia="zh-CN"/>
        </w:rPr>
        <w:t>207.29</w:t>
      </w:r>
      <w:r>
        <w:rPr>
          <w:rFonts w:hint="eastAsia"/>
          <w:color w:val="auto"/>
          <w:kern w:val="0"/>
          <w:sz w:val="28"/>
          <w:szCs w:val="28"/>
        </w:rPr>
        <w:t>万元，经费全部由矿山企业自筹。根据矿山提供的开发利用方案资料，企业达产年实现利税总额68.36万元，利润总额44.72万元，所得税按应税所得额的25%计为11.18万元，税后利润33.54万元</w:t>
      </w:r>
      <w:r>
        <w:rPr>
          <w:rFonts w:hint="eastAsia"/>
          <w:color w:val="auto"/>
          <w:kern w:val="0"/>
          <w:sz w:val="28"/>
          <w:szCs w:val="28"/>
          <w:lang w:eastAsia="zh-CN"/>
        </w:rPr>
        <w:t>，</w:t>
      </w:r>
      <w:r>
        <w:rPr>
          <w:rFonts w:hint="eastAsia"/>
          <w:color w:val="auto"/>
          <w:kern w:val="0"/>
          <w:sz w:val="28"/>
          <w:szCs w:val="28"/>
          <w:lang w:val="en-US" w:eastAsia="zh-CN"/>
        </w:rPr>
        <w:t>矿上已生产销售多年，</w:t>
      </w:r>
      <w:r>
        <w:rPr>
          <w:rFonts w:hint="eastAsia"/>
          <w:color w:val="auto"/>
          <w:kern w:val="0"/>
          <w:sz w:val="28"/>
          <w:szCs w:val="28"/>
        </w:rPr>
        <w:t>矿山地质环境治理工程在项目总投资中占比不大</w:t>
      </w:r>
      <w:r>
        <w:rPr>
          <w:rFonts w:hint="eastAsia"/>
          <w:color w:val="auto"/>
          <w:kern w:val="0"/>
          <w:sz w:val="28"/>
          <w:szCs w:val="28"/>
          <w:lang w:eastAsia="zh-CN"/>
        </w:rPr>
        <w:t>，</w:t>
      </w:r>
      <w:r>
        <w:rPr>
          <w:color w:val="auto"/>
          <w:kern w:val="0"/>
          <w:sz w:val="28"/>
          <w:szCs w:val="28"/>
        </w:rPr>
        <w:t>矿山企业有能力实施该工程。</w:t>
      </w:r>
    </w:p>
    <w:p w14:paraId="5302E8DB">
      <w:pPr>
        <w:spacing w:line="360" w:lineRule="auto"/>
        <w:ind w:firstLine="562" w:firstLineChars="200"/>
        <w:outlineLvl w:val="2"/>
        <w:rPr>
          <w:b/>
          <w:bCs/>
          <w:color w:val="auto"/>
          <w:sz w:val="28"/>
          <w:szCs w:val="28"/>
        </w:rPr>
      </w:pPr>
      <w:r>
        <w:rPr>
          <w:b/>
          <w:bCs/>
          <w:color w:val="auto"/>
          <w:sz w:val="28"/>
          <w:szCs w:val="28"/>
        </w:rPr>
        <w:t>二、目标方向可行性分析</w:t>
      </w:r>
    </w:p>
    <w:p w14:paraId="31ABF160">
      <w:pPr>
        <w:spacing w:line="360" w:lineRule="auto"/>
        <w:ind w:firstLine="562" w:firstLineChars="200"/>
        <w:outlineLvl w:val="3"/>
        <w:rPr>
          <w:color w:val="auto"/>
          <w:sz w:val="28"/>
          <w:szCs w:val="28"/>
        </w:rPr>
      </w:pPr>
      <w:r>
        <w:rPr>
          <w:b/>
          <w:bCs/>
          <w:color w:val="auto"/>
          <w:sz w:val="28"/>
          <w:szCs w:val="28"/>
        </w:rPr>
        <w:t>（一）参照生态系统确定</w:t>
      </w:r>
    </w:p>
    <w:p w14:paraId="2C57C538">
      <w:pPr>
        <w:spacing w:line="360" w:lineRule="auto"/>
        <w:ind w:firstLine="560" w:firstLineChars="200"/>
        <w:rPr>
          <w:color w:val="auto"/>
          <w:sz w:val="28"/>
          <w:szCs w:val="28"/>
        </w:rPr>
      </w:pPr>
      <w:r>
        <w:rPr>
          <w:color w:val="auto"/>
          <w:sz w:val="28"/>
          <w:szCs w:val="28"/>
        </w:rPr>
        <w:t>1、矿区自然条件分析</w:t>
      </w:r>
    </w:p>
    <w:p w14:paraId="3E35CAEA">
      <w:pPr>
        <w:spacing w:line="360" w:lineRule="auto"/>
        <w:ind w:firstLine="560" w:firstLineChars="200"/>
        <w:rPr>
          <w:color w:val="auto"/>
          <w:sz w:val="28"/>
          <w:szCs w:val="28"/>
        </w:rPr>
      </w:pPr>
      <w:r>
        <w:rPr>
          <w:color w:val="auto"/>
          <w:sz w:val="28"/>
          <w:szCs w:val="28"/>
        </w:rPr>
        <w:t>（1）气候与地形</w:t>
      </w:r>
    </w:p>
    <w:p w14:paraId="1D1B8007">
      <w:pPr>
        <w:spacing w:line="360" w:lineRule="auto"/>
        <w:ind w:firstLine="560" w:firstLineChars="200"/>
        <w:rPr>
          <w:rFonts w:hint="eastAsia" w:ascii="Times New Roman" w:hAnsi="Times New Roman" w:eastAsia="宋体" w:cs="Times New Roman"/>
          <w:color w:val="auto"/>
          <w:sz w:val="28"/>
          <w:szCs w:val="28"/>
        </w:rPr>
      </w:pPr>
      <w:r>
        <w:rPr>
          <w:color w:val="auto"/>
          <w:sz w:val="28"/>
          <w:szCs w:val="28"/>
        </w:rPr>
        <w:t>本区属中温带内陆季风气候，冬季寒冷，夏季燥热，春秋多风沙，6-10月为丰水期，5月、11月为平水期，1-4月与12月为枯水期。区内地势总体北高南低</w:t>
      </w:r>
      <w:r>
        <w:rPr>
          <w:rFonts w:hint="eastAsia"/>
          <w:color w:val="auto"/>
          <w:sz w:val="28"/>
          <w:szCs w:val="28"/>
          <w:lang w:eastAsia="zh-CN"/>
        </w:rPr>
        <w:t>，</w:t>
      </w:r>
      <w:r>
        <w:rPr>
          <w:color w:val="auto"/>
          <w:sz w:val="28"/>
          <w:szCs w:val="28"/>
        </w:rPr>
        <w:t>根据本区地貌形态特征，将矿区地貌类型划为低山区。</w:t>
      </w:r>
      <w:r>
        <w:rPr>
          <w:rFonts w:hint="eastAsia" w:ascii="Times New Roman" w:hAnsi="Times New Roman" w:cs="Times New Roman"/>
          <w:color w:val="auto"/>
          <w:sz w:val="28"/>
          <w:szCs w:val="28"/>
          <w:lang w:eastAsia="zh-CN"/>
        </w:rPr>
        <w:t>区内最高海拔1072m，最低海拔标高993m，最大高差79m。地势局部较陡，地形坡度20°-35°，沟谷较发育。断面呈“V”字型，沟宽50-120m。</w:t>
      </w:r>
    </w:p>
    <w:p w14:paraId="596D5802">
      <w:pPr>
        <w:spacing w:line="360" w:lineRule="auto"/>
        <w:ind w:firstLine="560" w:firstLineChars="200"/>
        <w:rPr>
          <w:color w:val="auto"/>
          <w:sz w:val="28"/>
          <w:szCs w:val="28"/>
        </w:rPr>
      </w:pPr>
      <w:r>
        <w:rPr>
          <w:color w:val="auto"/>
          <w:sz w:val="28"/>
          <w:szCs w:val="28"/>
        </w:rPr>
        <w:t>（2）矿区植被</w:t>
      </w:r>
    </w:p>
    <w:p w14:paraId="52D623F6">
      <w:pPr>
        <w:spacing w:line="360" w:lineRule="auto"/>
        <w:ind w:firstLine="544" w:firstLineChars="200"/>
        <w:rPr>
          <w:color w:val="auto"/>
          <w:sz w:val="28"/>
          <w:szCs w:val="28"/>
        </w:rPr>
      </w:pPr>
      <w:r>
        <w:rPr>
          <w:color w:val="auto"/>
          <w:spacing w:val="-4"/>
          <w:sz w:val="28"/>
          <w:szCs w:val="28"/>
        </w:rPr>
        <w:t>矿区内山体为低矮植被所覆盖，矿区植被类型属中温干旱气候森林草原植被类型。主要有</w:t>
      </w:r>
      <w:r>
        <w:rPr>
          <w:rFonts w:hint="eastAsia"/>
          <w:color w:val="auto"/>
          <w:sz w:val="28"/>
          <w:szCs w:val="28"/>
        </w:rPr>
        <w:t>山杨</w:t>
      </w:r>
      <w:r>
        <w:rPr>
          <w:rFonts w:hint="eastAsia"/>
          <w:color w:val="auto"/>
          <w:sz w:val="28"/>
          <w:szCs w:val="28"/>
          <w:lang w:eastAsia="zh-CN"/>
        </w:rPr>
        <w:t>、</w:t>
      </w:r>
      <w:r>
        <w:rPr>
          <w:rFonts w:hint="eastAsia"/>
          <w:color w:val="auto"/>
          <w:sz w:val="28"/>
          <w:szCs w:val="28"/>
        </w:rPr>
        <w:t>黄柳</w:t>
      </w:r>
      <w:r>
        <w:rPr>
          <w:rFonts w:hint="eastAsia"/>
          <w:color w:val="auto"/>
          <w:sz w:val="28"/>
          <w:szCs w:val="28"/>
          <w:lang w:eastAsia="zh-CN"/>
        </w:rPr>
        <w:t>、</w:t>
      </w:r>
      <w:r>
        <w:rPr>
          <w:rFonts w:hint="eastAsia"/>
          <w:color w:val="auto"/>
          <w:sz w:val="28"/>
          <w:szCs w:val="28"/>
        </w:rPr>
        <w:t>山杏</w:t>
      </w:r>
      <w:r>
        <w:rPr>
          <w:rFonts w:hint="eastAsia"/>
          <w:color w:val="auto"/>
          <w:sz w:val="28"/>
          <w:szCs w:val="28"/>
          <w:lang w:eastAsia="zh-CN"/>
        </w:rPr>
        <w:t>、</w:t>
      </w:r>
      <w:r>
        <w:rPr>
          <w:rFonts w:hint="eastAsia"/>
          <w:color w:val="auto"/>
          <w:sz w:val="28"/>
          <w:szCs w:val="28"/>
        </w:rPr>
        <w:t>胡枝子</w:t>
      </w:r>
      <w:r>
        <w:rPr>
          <w:rFonts w:hint="eastAsia"/>
          <w:color w:val="auto"/>
          <w:sz w:val="28"/>
          <w:szCs w:val="28"/>
          <w:lang w:eastAsia="zh-CN"/>
        </w:rPr>
        <w:t>、</w:t>
      </w:r>
      <w:r>
        <w:rPr>
          <w:rFonts w:hint="eastAsia"/>
          <w:color w:val="auto"/>
          <w:sz w:val="28"/>
          <w:szCs w:val="28"/>
        </w:rPr>
        <w:t>大针茅</w:t>
      </w:r>
      <w:r>
        <w:rPr>
          <w:rFonts w:hint="eastAsia"/>
          <w:color w:val="auto"/>
          <w:sz w:val="28"/>
          <w:szCs w:val="28"/>
          <w:lang w:eastAsia="zh-CN"/>
        </w:rPr>
        <w:t>、</w:t>
      </w:r>
      <w:r>
        <w:rPr>
          <w:rFonts w:hint="eastAsia"/>
          <w:color w:val="auto"/>
          <w:sz w:val="28"/>
          <w:szCs w:val="28"/>
        </w:rPr>
        <w:t>糙隐子草</w:t>
      </w:r>
      <w:r>
        <w:rPr>
          <w:rFonts w:hint="eastAsia"/>
          <w:color w:val="auto"/>
          <w:sz w:val="28"/>
          <w:szCs w:val="28"/>
          <w:lang w:eastAsia="zh-CN"/>
        </w:rPr>
        <w:t>、</w:t>
      </w:r>
      <w:r>
        <w:rPr>
          <w:rFonts w:hint="eastAsia"/>
          <w:color w:val="auto"/>
          <w:sz w:val="28"/>
          <w:szCs w:val="28"/>
        </w:rPr>
        <w:t>虎尾草</w:t>
      </w:r>
      <w:r>
        <w:rPr>
          <w:rFonts w:hint="eastAsia"/>
          <w:color w:val="auto"/>
          <w:sz w:val="28"/>
          <w:szCs w:val="28"/>
          <w:lang w:eastAsia="zh-CN"/>
        </w:rPr>
        <w:t>、</w:t>
      </w:r>
      <w:r>
        <w:rPr>
          <w:rFonts w:hint="eastAsia"/>
          <w:color w:val="auto"/>
          <w:sz w:val="28"/>
          <w:szCs w:val="28"/>
        </w:rPr>
        <w:t>赖草</w:t>
      </w:r>
      <w:r>
        <w:rPr>
          <w:rFonts w:hint="eastAsia"/>
          <w:color w:val="auto"/>
          <w:sz w:val="28"/>
          <w:szCs w:val="28"/>
          <w:lang w:eastAsia="zh-CN"/>
        </w:rPr>
        <w:t>、</w:t>
      </w:r>
      <w:r>
        <w:rPr>
          <w:rFonts w:hint="eastAsia"/>
          <w:color w:val="auto"/>
          <w:sz w:val="28"/>
          <w:szCs w:val="28"/>
        </w:rPr>
        <w:t>狗尾草</w:t>
      </w:r>
      <w:r>
        <w:rPr>
          <w:rFonts w:hint="eastAsia"/>
          <w:color w:val="auto"/>
          <w:sz w:val="28"/>
          <w:szCs w:val="28"/>
          <w:lang w:eastAsia="zh-CN"/>
        </w:rPr>
        <w:t>、</w:t>
      </w:r>
      <w:r>
        <w:rPr>
          <w:rFonts w:hint="eastAsia"/>
          <w:color w:val="auto"/>
          <w:sz w:val="28"/>
          <w:szCs w:val="28"/>
        </w:rPr>
        <w:t>虎尾草</w:t>
      </w:r>
      <w:r>
        <w:rPr>
          <w:rFonts w:hint="eastAsia"/>
          <w:color w:val="auto"/>
          <w:sz w:val="28"/>
          <w:szCs w:val="28"/>
          <w:lang w:eastAsia="zh-CN"/>
        </w:rPr>
        <w:t>、</w:t>
      </w:r>
      <w:r>
        <w:rPr>
          <w:rFonts w:hint="eastAsia"/>
          <w:color w:val="auto"/>
          <w:sz w:val="28"/>
          <w:szCs w:val="28"/>
        </w:rPr>
        <w:t>冠芒草</w:t>
      </w:r>
      <w:r>
        <w:rPr>
          <w:rFonts w:hint="eastAsia"/>
          <w:color w:val="auto"/>
          <w:sz w:val="28"/>
          <w:szCs w:val="28"/>
          <w:lang w:eastAsia="zh-CN"/>
        </w:rPr>
        <w:t>、</w:t>
      </w:r>
      <w:r>
        <w:rPr>
          <w:rFonts w:hint="eastAsia"/>
          <w:color w:val="auto"/>
          <w:sz w:val="28"/>
          <w:szCs w:val="28"/>
        </w:rPr>
        <w:t>麻黄</w:t>
      </w:r>
      <w:r>
        <w:rPr>
          <w:rFonts w:hint="eastAsia"/>
          <w:color w:val="auto"/>
          <w:sz w:val="28"/>
          <w:szCs w:val="28"/>
          <w:lang w:eastAsia="zh-CN"/>
        </w:rPr>
        <w:t>、</w:t>
      </w:r>
      <w:r>
        <w:rPr>
          <w:rFonts w:hint="eastAsia"/>
          <w:color w:val="auto"/>
          <w:sz w:val="28"/>
          <w:szCs w:val="28"/>
        </w:rPr>
        <w:t>猪毛菜</w:t>
      </w:r>
      <w:r>
        <w:rPr>
          <w:rFonts w:hint="eastAsia"/>
          <w:color w:val="auto"/>
          <w:sz w:val="28"/>
          <w:szCs w:val="28"/>
          <w:lang w:eastAsia="zh-CN"/>
        </w:rPr>
        <w:t>、</w:t>
      </w:r>
      <w:r>
        <w:rPr>
          <w:rFonts w:hint="eastAsia"/>
          <w:color w:val="auto"/>
          <w:sz w:val="28"/>
          <w:szCs w:val="28"/>
        </w:rPr>
        <w:t>叉分蓼</w:t>
      </w:r>
      <w:r>
        <w:rPr>
          <w:color w:val="auto"/>
          <w:spacing w:val="-4"/>
          <w:sz w:val="28"/>
          <w:szCs w:val="28"/>
        </w:rPr>
        <w:t>等，草本高度5-40cm，灌丛高40-50cm，矿区植被发育较好，</w:t>
      </w:r>
      <w:r>
        <w:rPr>
          <w:color w:val="auto"/>
          <w:sz w:val="28"/>
          <w:szCs w:val="28"/>
        </w:rPr>
        <w:t>根据</w:t>
      </w:r>
      <w:r>
        <w:rPr>
          <w:color w:val="auto"/>
          <w:sz w:val="28"/>
          <w:szCs w:val="28"/>
          <w:lang w:bidi="en-US"/>
        </w:rPr>
        <w:t>遥感影像提取归一化植被覆盖度统计，</w:t>
      </w:r>
      <w:r>
        <w:rPr>
          <w:rFonts w:hint="eastAsia"/>
          <w:color w:val="auto"/>
          <w:sz w:val="28"/>
          <w:szCs w:val="28"/>
          <w:lang w:bidi="en-US"/>
        </w:rPr>
        <w:t>矿区现状已破坏场地整体植被覆盖度为</w:t>
      </w:r>
      <w:r>
        <w:rPr>
          <w:rFonts w:hint="eastAsia"/>
          <w:color w:val="auto"/>
          <w:sz w:val="28"/>
          <w:szCs w:val="28"/>
          <w:lang w:val="en-US" w:eastAsia="zh-CN" w:bidi="en-US"/>
        </w:rPr>
        <w:t>0</w:t>
      </w:r>
      <w:r>
        <w:rPr>
          <w:rFonts w:hint="eastAsia"/>
          <w:color w:val="auto"/>
          <w:sz w:val="28"/>
          <w:szCs w:val="28"/>
          <w:lang w:bidi="en-US"/>
        </w:rPr>
        <w:t>-</w:t>
      </w:r>
      <w:r>
        <w:rPr>
          <w:rFonts w:hint="eastAsia"/>
          <w:color w:val="auto"/>
          <w:sz w:val="28"/>
          <w:szCs w:val="28"/>
          <w:lang w:val="en-US" w:eastAsia="zh-CN" w:bidi="en-US"/>
        </w:rPr>
        <w:t>1</w:t>
      </w:r>
      <w:r>
        <w:rPr>
          <w:rFonts w:hint="eastAsia"/>
          <w:color w:val="auto"/>
          <w:sz w:val="28"/>
          <w:szCs w:val="28"/>
          <w:lang w:bidi="en-US"/>
        </w:rPr>
        <w:t>0%，整体植被覆盖度30-40%，其他未破坏场地整体植被覆盖度为40-50%。</w:t>
      </w:r>
    </w:p>
    <w:p w14:paraId="7C2E6908">
      <w:pPr>
        <w:spacing w:line="360" w:lineRule="auto"/>
        <w:ind w:firstLine="560" w:firstLineChars="200"/>
        <w:rPr>
          <w:color w:val="auto"/>
          <w:sz w:val="28"/>
          <w:szCs w:val="28"/>
        </w:rPr>
      </w:pPr>
      <w:r>
        <w:rPr>
          <w:color w:val="auto"/>
          <w:sz w:val="28"/>
          <w:szCs w:val="28"/>
        </w:rPr>
        <w:t>（3）土壤环境</w:t>
      </w:r>
    </w:p>
    <w:p w14:paraId="774F0C83">
      <w:pPr>
        <w:spacing w:line="360" w:lineRule="auto"/>
        <w:ind w:firstLine="560" w:firstLineChars="200"/>
        <w:rPr>
          <w:rFonts w:hint="eastAsia" w:eastAsia="宋体"/>
          <w:color w:val="auto"/>
          <w:sz w:val="28"/>
          <w:szCs w:val="28"/>
          <w:lang w:eastAsia="zh-CN"/>
        </w:rPr>
      </w:pPr>
      <w:r>
        <w:rPr>
          <w:color w:val="auto"/>
          <w:sz w:val="28"/>
          <w:szCs w:val="28"/>
        </w:rPr>
        <w:t>矿区土壤主要为</w:t>
      </w:r>
      <w:r>
        <w:rPr>
          <w:rFonts w:hint="eastAsia"/>
          <w:color w:val="auto"/>
          <w:sz w:val="28"/>
          <w:szCs w:val="28"/>
        </w:rPr>
        <w:t>棕壤土</w:t>
      </w:r>
      <w:r>
        <w:rPr>
          <w:color w:val="auto"/>
          <w:sz w:val="28"/>
          <w:szCs w:val="28"/>
        </w:rPr>
        <w:t>，土层厚</w:t>
      </w:r>
      <w:r>
        <w:rPr>
          <w:rFonts w:hint="eastAsia"/>
          <w:color w:val="auto"/>
          <w:sz w:val="28"/>
          <w:szCs w:val="28"/>
        </w:rPr>
        <w:t>0.1-</w:t>
      </w:r>
      <w:r>
        <w:rPr>
          <w:rFonts w:hint="eastAsia"/>
          <w:color w:val="auto"/>
          <w:sz w:val="28"/>
          <w:szCs w:val="28"/>
          <w:lang w:val="en-US" w:eastAsia="zh-CN"/>
        </w:rPr>
        <w:t>1.0</w:t>
      </w:r>
      <w:r>
        <w:rPr>
          <w:color w:val="auto"/>
          <w:sz w:val="28"/>
          <w:szCs w:val="28"/>
        </w:rPr>
        <w:t>m，</w:t>
      </w:r>
      <w:r>
        <w:rPr>
          <w:rFonts w:hint="eastAsia"/>
          <w:color w:val="auto"/>
          <w:sz w:val="28"/>
          <w:szCs w:val="28"/>
        </w:rPr>
        <w:t>土壤质地为轻壤，土质较为疏松，多孔，</w:t>
      </w:r>
      <w:r>
        <w:rPr>
          <w:color w:val="auto"/>
          <w:sz w:val="28"/>
          <w:szCs w:val="28"/>
        </w:rPr>
        <w:t>粘粒成分含量较低，土壤的抗蚀性和抗冲性较弱</w:t>
      </w:r>
      <w:r>
        <w:rPr>
          <w:rFonts w:hint="eastAsia"/>
          <w:color w:val="auto"/>
          <w:sz w:val="28"/>
          <w:szCs w:val="28"/>
        </w:rPr>
        <w:t>。</w:t>
      </w:r>
      <w:r>
        <w:rPr>
          <w:color w:val="auto"/>
          <w:sz w:val="28"/>
          <w:szCs w:val="28"/>
        </w:rPr>
        <w:t>有机质含量</w:t>
      </w:r>
      <w:r>
        <w:rPr>
          <w:rFonts w:hint="eastAsia"/>
          <w:color w:val="auto"/>
          <w:sz w:val="28"/>
          <w:szCs w:val="28"/>
        </w:rPr>
        <w:t>2.0</w:t>
      </w:r>
      <w:r>
        <w:rPr>
          <w:color w:val="auto"/>
          <w:sz w:val="28"/>
          <w:szCs w:val="28"/>
        </w:rPr>
        <w:t>%—</w:t>
      </w:r>
      <w:r>
        <w:rPr>
          <w:rFonts w:hint="eastAsia"/>
          <w:color w:val="auto"/>
          <w:sz w:val="28"/>
          <w:szCs w:val="28"/>
        </w:rPr>
        <w:t>3.0</w:t>
      </w:r>
      <w:r>
        <w:rPr>
          <w:color w:val="auto"/>
          <w:sz w:val="28"/>
          <w:szCs w:val="28"/>
        </w:rPr>
        <w:t>%，PH值为7～8.5之间</w:t>
      </w:r>
      <w:r>
        <w:rPr>
          <w:rFonts w:hint="eastAsia"/>
          <w:color w:val="auto"/>
          <w:sz w:val="28"/>
          <w:szCs w:val="28"/>
        </w:rPr>
        <w:t>。</w:t>
      </w:r>
      <w:r>
        <w:rPr>
          <w:color w:val="auto"/>
          <w:sz w:val="28"/>
          <w:szCs w:val="28"/>
        </w:rPr>
        <w:t>土壤容重约1.</w:t>
      </w:r>
      <w:r>
        <w:rPr>
          <w:rFonts w:hint="eastAsia"/>
          <w:color w:val="auto"/>
          <w:sz w:val="28"/>
          <w:szCs w:val="28"/>
        </w:rPr>
        <w:t>25</w:t>
      </w:r>
      <w:r>
        <w:rPr>
          <w:color w:val="auto"/>
          <w:sz w:val="28"/>
          <w:szCs w:val="28"/>
        </w:rPr>
        <w:t>g/cm</w:t>
      </w:r>
      <w:r>
        <w:rPr>
          <w:color w:val="auto"/>
          <w:sz w:val="28"/>
          <w:szCs w:val="28"/>
          <w:vertAlign w:val="superscript"/>
        </w:rPr>
        <w:t>3</w:t>
      </w:r>
      <w:r>
        <w:rPr>
          <w:rFonts w:hint="eastAsia"/>
          <w:color w:val="auto"/>
          <w:sz w:val="28"/>
          <w:szCs w:val="28"/>
          <w:vertAlign w:val="baseline"/>
          <w:lang w:eastAsia="zh-CN"/>
        </w:rPr>
        <w:t>。</w:t>
      </w:r>
    </w:p>
    <w:p w14:paraId="2E9FF866">
      <w:pPr>
        <w:spacing w:line="360" w:lineRule="auto"/>
        <w:ind w:firstLine="560" w:firstLineChars="200"/>
        <w:rPr>
          <w:color w:val="auto"/>
          <w:sz w:val="28"/>
          <w:szCs w:val="28"/>
        </w:rPr>
      </w:pPr>
      <w:r>
        <w:rPr>
          <w:color w:val="auto"/>
          <w:sz w:val="28"/>
          <w:szCs w:val="28"/>
        </w:rPr>
        <w:t>2、矿区周边的生态系统</w:t>
      </w:r>
    </w:p>
    <w:p w14:paraId="4A092FCE">
      <w:pPr>
        <w:spacing w:line="360" w:lineRule="auto"/>
        <w:ind w:firstLine="560" w:firstLineChars="200"/>
        <w:rPr>
          <w:color w:val="auto"/>
          <w:sz w:val="28"/>
          <w:szCs w:val="28"/>
        </w:rPr>
      </w:pPr>
      <w:r>
        <w:rPr>
          <w:color w:val="auto"/>
          <w:sz w:val="28"/>
          <w:szCs w:val="28"/>
        </w:rPr>
        <w:t>矿区周边未受损生态系统主要为</w:t>
      </w:r>
      <w:r>
        <w:rPr>
          <w:rFonts w:hint="eastAsia"/>
          <w:color w:val="auto"/>
          <w:sz w:val="28"/>
          <w:szCs w:val="28"/>
          <w:lang w:val="en-US" w:eastAsia="zh-CN"/>
        </w:rPr>
        <w:t>草原</w:t>
      </w:r>
      <w:r>
        <w:rPr>
          <w:color w:val="auto"/>
          <w:sz w:val="28"/>
          <w:szCs w:val="28"/>
        </w:rPr>
        <w:t>生态系统</w:t>
      </w:r>
      <w:r>
        <w:rPr>
          <w:rFonts w:hint="eastAsia"/>
          <w:color w:val="auto"/>
          <w:sz w:val="28"/>
          <w:szCs w:val="28"/>
          <w:lang w:val="en-US" w:eastAsia="zh-CN"/>
        </w:rPr>
        <w:t>、</w:t>
      </w:r>
      <w:r>
        <w:rPr>
          <w:color w:val="auto"/>
          <w:sz w:val="28"/>
          <w:szCs w:val="28"/>
        </w:rPr>
        <w:t>森林山体生态系统，根据《赤峰市国土空间总体规划（2021-2035年）》、《赤峰市生态环境保护“十四五”规划》等相关规划，矿山及周边为矿业生产活动区，土地类型以林地、草地为主，根据季节变化主要植物群落相应变化，生态结构角为单一。区内无珍贵动物栖息地，无动物迁徙路线途经本区。</w:t>
      </w:r>
    </w:p>
    <w:p w14:paraId="51EEF750">
      <w:pPr>
        <w:spacing w:line="360" w:lineRule="auto"/>
        <w:ind w:firstLine="560" w:firstLineChars="200"/>
        <w:rPr>
          <w:color w:val="auto"/>
          <w:sz w:val="28"/>
          <w:szCs w:val="28"/>
        </w:rPr>
      </w:pPr>
      <w:r>
        <w:rPr>
          <w:color w:val="auto"/>
          <w:sz w:val="28"/>
          <w:szCs w:val="28"/>
        </w:rPr>
        <w:t>经现场实地调查，矿区周边未受损的生态系统主要为森林山体生态系统</w:t>
      </w:r>
      <w:r>
        <w:rPr>
          <w:rFonts w:hint="eastAsia"/>
          <w:color w:val="auto"/>
          <w:sz w:val="28"/>
          <w:szCs w:val="28"/>
          <w:lang w:val="en-US" w:eastAsia="zh-CN"/>
        </w:rPr>
        <w:t>和</w:t>
      </w:r>
      <w:r>
        <w:rPr>
          <w:rFonts w:hint="eastAsia"/>
          <w:color w:val="auto"/>
          <w:sz w:val="28"/>
          <w:szCs w:val="28"/>
        </w:rPr>
        <w:t>草原</w:t>
      </w:r>
      <w:r>
        <w:rPr>
          <w:color w:val="auto"/>
          <w:sz w:val="28"/>
          <w:szCs w:val="28"/>
        </w:rPr>
        <w:t>生态系统。</w:t>
      </w:r>
    </w:p>
    <w:p w14:paraId="00AEF8DC">
      <w:pPr>
        <w:spacing w:line="360" w:lineRule="auto"/>
        <w:ind w:firstLine="560" w:firstLineChars="200"/>
        <w:rPr>
          <w:color w:val="auto"/>
          <w:sz w:val="28"/>
          <w:szCs w:val="28"/>
        </w:rPr>
      </w:pPr>
      <w:r>
        <w:rPr>
          <w:color w:val="auto"/>
          <w:sz w:val="28"/>
          <w:szCs w:val="28"/>
        </w:rPr>
        <w:t>（</w:t>
      </w:r>
      <w:r>
        <w:rPr>
          <w:rFonts w:hint="eastAsia"/>
          <w:color w:val="auto"/>
          <w:sz w:val="28"/>
          <w:szCs w:val="28"/>
          <w:lang w:val="en-US" w:eastAsia="zh-CN"/>
        </w:rPr>
        <w:t>1</w:t>
      </w:r>
      <w:r>
        <w:rPr>
          <w:color w:val="auto"/>
          <w:sz w:val="28"/>
          <w:szCs w:val="28"/>
        </w:rPr>
        <w:t>）森林山体生态系统</w:t>
      </w:r>
    </w:p>
    <w:p w14:paraId="538DC1C0">
      <w:pPr>
        <w:spacing w:line="360" w:lineRule="auto"/>
        <w:ind w:firstLine="560" w:firstLineChars="200"/>
        <w:rPr>
          <w:color w:val="auto"/>
          <w:sz w:val="28"/>
          <w:szCs w:val="28"/>
        </w:rPr>
      </w:pPr>
      <w:r>
        <w:rPr>
          <w:color w:val="auto"/>
          <w:sz w:val="28"/>
          <w:szCs w:val="28"/>
        </w:rPr>
        <w:t>评估区周边分布自然生长的森林生态系统。树种多为</w:t>
      </w:r>
      <w:r>
        <w:rPr>
          <w:rFonts w:hint="eastAsia"/>
          <w:color w:val="auto"/>
          <w:sz w:val="28"/>
          <w:szCs w:val="28"/>
        </w:rPr>
        <w:t>山杨</w:t>
      </w:r>
      <w:r>
        <w:rPr>
          <w:rFonts w:hint="eastAsia"/>
          <w:color w:val="auto"/>
          <w:sz w:val="28"/>
          <w:szCs w:val="28"/>
          <w:lang w:eastAsia="zh-CN"/>
        </w:rPr>
        <w:t>、</w:t>
      </w:r>
      <w:r>
        <w:rPr>
          <w:rFonts w:hint="eastAsia"/>
          <w:color w:val="auto"/>
          <w:sz w:val="28"/>
          <w:szCs w:val="28"/>
        </w:rPr>
        <w:t>黄柳</w:t>
      </w:r>
      <w:r>
        <w:rPr>
          <w:rFonts w:hint="eastAsia"/>
          <w:color w:val="auto"/>
          <w:sz w:val="28"/>
          <w:szCs w:val="28"/>
          <w:lang w:eastAsia="zh-CN"/>
        </w:rPr>
        <w:t>、</w:t>
      </w:r>
      <w:r>
        <w:rPr>
          <w:rFonts w:hint="eastAsia"/>
          <w:color w:val="auto"/>
          <w:sz w:val="28"/>
          <w:szCs w:val="28"/>
        </w:rPr>
        <w:t>山杏</w:t>
      </w:r>
      <w:r>
        <w:rPr>
          <w:rFonts w:hint="eastAsia"/>
          <w:color w:val="auto"/>
          <w:sz w:val="28"/>
          <w:szCs w:val="28"/>
          <w:lang w:eastAsia="zh-CN"/>
        </w:rPr>
        <w:t>、</w:t>
      </w:r>
      <w:r>
        <w:rPr>
          <w:rFonts w:hint="eastAsia"/>
          <w:color w:val="auto"/>
          <w:sz w:val="28"/>
          <w:szCs w:val="28"/>
        </w:rPr>
        <w:t>胡枝</w:t>
      </w:r>
      <w:r>
        <w:rPr>
          <w:color w:val="auto"/>
          <w:sz w:val="28"/>
          <w:szCs w:val="28"/>
        </w:rPr>
        <w:t>等适应当地气候的树种为主，同时栖息着鸟类、林下昆虫等动物，既发挥着保持水土、净化空气的生态作用，森林生态系统占评估区总面积的</w:t>
      </w:r>
      <w:r>
        <w:rPr>
          <w:rFonts w:hint="eastAsia"/>
          <w:color w:val="auto"/>
          <w:sz w:val="28"/>
          <w:szCs w:val="28"/>
          <w:lang w:val="en-US" w:eastAsia="zh-CN"/>
        </w:rPr>
        <w:t>3.98</w:t>
      </w:r>
      <w:r>
        <w:rPr>
          <w:color w:val="auto"/>
          <w:sz w:val="28"/>
          <w:szCs w:val="28"/>
        </w:rPr>
        <w:t>%。</w:t>
      </w:r>
    </w:p>
    <w:p w14:paraId="004EB494">
      <w:pPr>
        <w:spacing w:line="360" w:lineRule="auto"/>
        <w:ind w:firstLine="560" w:firstLineChars="200"/>
        <w:rPr>
          <w:color w:val="auto"/>
          <w:sz w:val="28"/>
          <w:szCs w:val="28"/>
        </w:rPr>
      </w:pPr>
      <w:r>
        <w:rPr>
          <w:color w:val="auto"/>
          <w:sz w:val="28"/>
          <w:szCs w:val="28"/>
        </w:rPr>
        <w:t>损毁土地复垦修复为林地后，林地发达的根系能固定土壤、减少水土流失，还能可净化周边空气，修复矿区自身生态，形成生态屏障。</w:t>
      </w:r>
    </w:p>
    <w:p w14:paraId="676283F3">
      <w:pPr>
        <w:spacing w:line="360" w:lineRule="auto"/>
        <w:ind w:firstLine="560" w:firstLineChars="200"/>
        <w:rPr>
          <w:rFonts w:hint="eastAsia"/>
          <w:color w:val="auto"/>
          <w:sz w:val="28"/>
          <w:szCs w:val="28"/>
          <w:lang w:eastAsia="zh-CN"/>
        </w:rPr>
      </w:pPr>
      <w:r>
        <w:rPr>
          <w:rFonts w:hint="eastAsia"/>
          <w:color w:val="auto"/>
          <w:sz w:val="28"/>
          <w:szCs w:val="28"/>
          <w:lang w:eastAsia="zh-CN"/>
        </w:rPr>
        <w:t>（</w:t>
      </w:r>
      <w:r>
        <w:rPr>
          <w:rFonts w:hint="eastAsia"/>
          <w:color w:val="auto"/>
          <w:sz w:val="28"/>
          <w:szCs w:val="28"/>
          <w:lang w:val="en-US" w:eastAsia="zh-CN"/>
        </w:rPr>
        <w:t>2</w:t>
      </w:r>
      <w:r>
        <w:rPr>
          <w:rFonts w:hint="eastAsia"/>
          <w:color w:val="auto"/>
          <w:sz w:val="28"/>
          <w:szCs w:val="28"/>
          <w:lang w:eastAsia="zh-CN"/>
        </w:rPr>
        <w:t>）</w:t>
      </w:r>
      <w:r>
        <w:rPr>
          <w:rFonts w:hint="eastAsia"/>
          <w:color w:val="auto"/>
          <w:sz w:val="28"/>
          <w:szCs w:val="28"/>
        </w:rPr>
        <w:t>草原</w:t>
      </w:r>
      <w:r>
        <w:rPr>
          <w:color w:val="auto"/>
          <w:sz w:val="28"/>
          <w:szCs w:val="28"/>
        </w:rPr>
        <w:t>生态系统</w:t>
      </w:r>
    </w:p>
    <w:p w14:paraId="495D3D2C">
      <w:pPr>
        <w:spacing w:line="360" w:lineRule="auto"/>
        <w:ind w:firstLine="560" w:firstLineChars="200"/>
        <w:rPr>
          <w:color w:val="auto"/>
          <w:sz w:val="28"/>
          <w:szCs w:val="28"/>
        </w:rPr>
      </w:pPr>
      <w:r>
        <w:rPr>
          <w:color w:val="auto"/>
          <w:sz w:val="28"/>
          <w:szCs w:val="28"/>
        </w:rPr>
        <w:t>评估区周边分布自然生长的</w:t>
      </w:r>
      <w:r>
        <w:rPr>
          <w:rFonts w:hint="eastAsia"/>
          <w:color w:val="auto"/>
          <w:sz w:val="28"/>
          <w:szCs w:val="28"/>
        </w:rPr>
        <w:t>草原</w:t>
      </w:r>
      <w:r>
        <w:rPr>
          <w:color w:val="auto"/>
          <w:sz w:val="28"/>
          <w:szCs w:val="28"/>
        </w:rPr>
        <w:t>生态系统。</w:t>
      </w:r>
      <w:r>
        <w:rPr>
          <w:rFonts w:hint="eastAsia"/>
          <w:color w:val="auto"/>
          <w:sz w:val="28"/>
          <w:szCs w:val="28"/>
        </w:rPr>
        <w:t>草</w:t>
      </w:r>
      <w:r>
        <w:rPr>
          <w:color w:val="auto"/>
          <w:sz w:val="28"/>
          <w:szCs w:val="28"/>
        </w:rPr>
        <w:t>种多为</w:t>
      </w:r>
      <w:r>
        <w:rPr>
          <w:rFonts w:hint="eastAsia"/>
          <w:color w:val="auto"/>
          <w:sz w:val="28"/>
          <w:szCs w:val="28"/>
        </w:rPr>
        <w:t>大针茅</w:t>
      </w:r>
      <w:r>
        <w:rPr>
          <w:rFonts w:hint="eastAsia"/>
          <w:color w:val="auto"/>
          <w:sz w:val="28"/>
          <w:szCs w:val="28"/>
          <w:lang w:eastAsia="zh-CN"/>
        </w:rPr>
        <w:t>、</w:t>
      </w:r>
      <w:r>
        <w:rPr>
          <w:rFonts w:hint="eastAsia"/>
          <w:color w:val="auto"/>
          <w:sz w:val="28"/>
          <w:szCs w:val="28"/>
        </w:rPr>
        <w:t>糙隐子草</w:t>
      </w:r>
      <w:r>
        <w:rPr>
          <w:rFonts w:hint="eastAsia"/>
          <w:color w:val="auto"/>
          <w:sz w:val="28"/>
          <w:szCs w:val="28"/>
          <w:lang w:eastAsia="zh-CN"/>
        </w:rPr>
        <w:t>、</w:t>
      </w:r>
      <w:r>
        <w:rPr>
          <w:rFonts w:hint="eastAsia"/>
          <w:color w:val="auto"/>
          <w:sz w:val="28"/>
          <w:szCs w:val="28"/>
        </w:rPr>
        <w:t>虎尾草</w:t>
      </w:r>
      <w:r>
        <w:rPr>
          <w:rFonts w:hint="eastAsia"/>
          <w:color w:val="auto"/>
          <w:sz w:val="28"/>
          <w:szCs w:val="28"/>
          <w:lang w:eastAsia="zh-CN"/>
        </w:rPr>
        <w:t>、</w:t>
      </w:r>
      <w:r>
        <w:rPr>
          <w:rFonts w:hint="eastAsia"/>
          <w:color w:val="auto"/>
          <w:sz w:val="28"/>
          <w:szCs w:val="28"/>
        </w:rPr>
        <w:t>赖草</w:t>
      </w:r>
      <w:r>
        <w:rPr>
          <w:rFonts w:hint="eastAsia"/>
          <w:color w:val="auto"/>
          <w:sz w:val="28"/>
          <w:szCs w:val="28"/>
          <w:lang w:eastAsia="zh-CN"/>
        </w:rPr>
        <w:t>、</w:t>
      </w:r>
      <w:r>
        <w:rPr>
          <w:rFonts w:hint="eastAsia"/>
          <w:color w:val="auto"/>
          <w:sz w:val="28"/>
          <w:szCs w:val="28"/>
        </w:rPr>
        <w:t>狗尾草</w:t>
      </w:r>
      <w:r>
        <w:rPr>
          <w:rFonts w:hint="eastAsia"/>
          <w:color w:val="auto"/>
          <w:sz w:val="28"/>
          <w:szCs w:val="28"/>
          <w:lang w:eastAsia="zh-CN"/>
        </w:rPr>
        <w:t>、</w:t>
      </w:r>
      <w:r>
        <w:rPr>
          <w:rFonts w:hint="eastAsia"/>
          <w:color w:val="auto"/>
          <w:sz w:val="28"/>
          <w:szCs w:val="28"/>
        </w:rPr>
        <w:t>虎尾草</w:t>
      </w:r>
      <w:r>
        <w:rPr>
          <w:rFonts w:hint="eastAsia"/>
          <w:color w:val="auto"/>
          <w:sz w:val="28"/>
          <w:szCs w:val="28"/>
          <w:lang w:eastAsia="zh-CN"/>
        </w:rPr>
        <w:t>、</w:t>
      </w:r>
      <w:r>
        <w:rPr>
          <w:rFonts w:hint="eastAsia"/>
          <w:color w:val="auto"/>
          <w:sz w:val="28"/>
          <w:szCs w:val="28"/>
        </w:rPr>
        <w:t>冠芒草</w:t>
      </w:r>
      <w:r>
        <w:rPr>
          <w:rFonts w:hint="eastAsia"/>
          <w:color w:val="auto"/>
          <w:sz w:val="28"/>
          <w:szCs w:val="28"/>
          <w:lang w:eastAsia="zh-CN"/>
        </w:rPr>
        <w:t>、</w:t>
      </w:r>
      <w:r>
        <w:rPr>
          <w:rFonts w:hint="eastAsia"/>
          <w:color w:val="auto"/>
          <w:sz w:val="28"/>
          <w:szCs w:val="28"/>
        </w:rPr>
        <w:t>麻黄</w:t>
      </w:r>
      <w:r>
        <w:rPr>
          <w:rFonts w:hint="eastAsia"/>
          <w:color w:val="auto"/>
          <w:sz w:val="28"/>
          <w:szCs w:val="28"/>
          <w:lang w:eastAsia="zh-CN"/>
        </w:rPr>
        <w:t>、</w:t>
      </w:r>
      <w:r>
        <w:rPr>
          <w:rFonts w:hint="eastAsia"/>
          <w:color w:val="auto"/>
          <w:sz w:val="28"/>
          <w:szCs w:val="28"/>
        </w:rPr>
        <w:t>猪毛菜</w:t>
      </w:r>
      <w:r>
        <w:rPr>
          <w:rFonts w:hint="eastAsia"/>
          <w:color w:val="auto"/>
          <w:sz w:val="28"/>
          <w:szCs w:val="28"/>
          <w:lang w:eastAsia="zh-CN"/>
        </w:rPr>
        <w:t>、</w:t>
      </w:r>
      <w:r>
        <w:rPr>
          <w:rFonts w:hint="eastAsia"/>
          <w:color w:val="auto"/>
          <w:sz w:val="28"/>
          <w:szCs w:val="28"/>
        </w:rPr>
        <w:t>叉分蓼</w:t>
      </w:r>
      <w:r>
        <w:rPr>
          <w:color w:val="auto"/>
          <w:sz w:val="28"/>
          <w:szCs w:val="28"/>
        </w:rPr>
        <w:t>等适应当地气候的</w:t>
      </w:r>
      <w:r>
        <w:rPr>
          <w:rFonts w:hint="eastAsia"/>
          <w:color w:val="auto"/>
          <w:sz w:val="28"/>
          <w:szCs w:val="28"/>
        </w:rPr>
        <w:t>草</w:t>
      </w:r>
      <w:r>
        <w:rPr>
          <w:color w:val="auto"/>
          <w:sz w:val="28"/>
          <w:szCs w:val="28"/>
        </w:rPr>
        <w:t>种为主</w:t>
      </w:r>
      <w:r>
        <w:rPr>
          <w:rFonts w:hint="eastAsia"/>
          <w:color w:val="auto"/>
          <w:sz w:val="28"/>
          <w:szCs w:val="28"/>
          <w:lang w:eastAsia="zh-CN"/>
        </w:rPr>
        <w:t>，</w:t>
      </w:r>
      <w:r>
        <w:rPr>
          <w:color w:val="auto"/>
          <w:sz w:val="28"/>
          <w:szCs w:val="28"/>
        </w:rPr>
        <w:t>既发挥着保持水土、净化空气的生态作用，</w:t>
      </w:r>
      <w:r>
        <w:rPr>
          <w:rFonts w:hint="eastAsia"/>
          <w:color w:val="auto"/>
          <w:sz w:val="28"/>
          <w:szCs w:val="28"/>
        </w:rPr>
        <w:t>草原</w:t>
      </w:r>
      <w:r>
        <w:rPr>
          <w:color w:val="auto"/>
          <w:sz w:val="28"/>
          <w:szCs w:val="28"/>
        </w:rPr>
        <w:t>生态系统占评估区总面积的</w:t>
      </w:r>
      <w:r>
        <w:rPr>
          <w:rFonts w:hint="eastAsia"/>
          <w:color w:val="auto"/>
          <w:sz w:val="28"/>
          <w:szCs w:val="28"/>
          <w:lang w:val="en-US" w:eastAsia="zh-CN"/>
        </w:rPr>
        <w:t>25.16</w:t>
      </w:r>
      <w:r>
        <w:rPr>
          <w:color w:val="auto"/>
          <w:sz w:val="28"/>
          <w:szCs w:val="28"/>
        </w:rPr>
        <w:t>%。</w:t>
      </w:r>
    </w:p>
    <w:p w14:paraId="6BD84455">
      <w:pPr>
        <w:spacing w:line="360" w:lineRule="auto"/>
        <w:ind w:firstLine="560" w:firstLineChars="200"/>
        <w:rPr>
          <w:color w:val="auto"/>
          <w:sz w:val="28"/>
          <w:szCs w:val="28"/>
        </w:rPr>
      </w:pPr>
      <w:r>
        <w:rPr>
          <w:color w:val="auto"/>
          <w:sz w:val="28"/>
          <w:szCs w:val="28"/>
        </w:rPr>
        <w:t>损毁土地复垦修复为</w:t>
      </w:r>
      <w:r>
        <w:rPr>
          <w:rFonts w:hint="eastAsia"/>
          <w:color w:val="auto"/>
          <w:sz w:val="28"/>
          <w:szCs w:val="28"/>
        </w:rPr>
        <w:t>草</w:t>
      </w:r>
      <w:r>
        <w:rPr>
          <w:color w:val="auto"/>
          <w:sz w:val="28"/>
          <w:szCs w:val="28"/>
        </w:rPr>
        <w:t>地后，</w:t>
      </w:r>
      <w:r>
        <w:rPr>
          <w:rFonts w:hint="eastAsia"/>
          <w:color w:val="auto"/>
          <w:sz w:val="28"/>
          <w:szCs w:val="28"/>
        </w:rPr>
        <w:t>草</w:t>
      </w:r>
      <w:r>
        <w:rPr>
          <w:color w:val="auto"/>
          <w:sz w:val="28"/>
          <w:szCs w:val="28"/>
        </w:rPr>
        <w:t>地发达的根系能固定土壤、减少水土流失，还能可净化周边空气，修复矿区自身生态，形成生态屏障。</w:t>
      </w:r>
    </w:p>
    <w:p w14:paraId="66939C45">
      <w:pPr>
        <w:spacing w:line="360" w:lineRule="auto"/>
        <w:ind w:firstLine="562" w:firstLineChars="200"/>
        <w:outlineLvl w:val="3"/>
        <w:rPr>
          <w:rFonts w:hint="eastAsia" w:ascii="宋体" w:hAnsi="宋体" w:cs="宋体"/>
          <w:color w:val="auto"/>
          <w:sz w:val="28"/>
          <w:szCs w:val="28"/>
        </w:rPr>
      </w:pPr>
      <w:r>
        <w:rPr>
          <w:rFonts w:hint="eastAsia" w:ascii="宋体" w:hAnsi="宋体" w:cs="宋体"/>
          <w:b/>
          <w:bCs/>
          <w:color w:val="auto"/>
          <w:sz w:val="28"/>
          <w:szCs w:val="28"/>
        </w:rPr>
        <w:t>（二）复垦修复方向</w:t>
      </w:r>
    </w:p>
    <w:p w14:paraId="47DEF615">
      <w:pPr>
        <w:spacing w:line="360" w:lineRule="auto"/>
        <w:ind w:firstLine="560" w:firstLineChars="200"/>
        <w:rPr>
          <w:rFonts w:eastAsiaTheme="minorEastAsia"/>
          <w:color w:val="auto"/>
          <w:sz w:val="28"/>
          <w:szCs w:val="28"/>
        </w:rPr>
      </w:pPr>
      <w:r>
        <w:rPr>
          <w:rFonts w:eastAsiaTheme="minorEastAsia"/>
          <w:color w:val="auto"/>
          <w:sz w:val="28"/>
          <w:szCs w:val="28"/>
        </w:rPr>
        <w:t>1、土地复垦适宜性评价</w:t>
      </w:r>
    </w:p>
    <w:p w14:paraId="4F935680">
      <w:pPr>
        <w:spacing w:line="360" w:lineRule="auto"/>
        <w:ind w:firstLine="560" w:firstLineChars="200"/>
        <w:rPr>
          <w:rFonts w:eastAsiaTheme="minorEastAsia"/>
          <w:color w:val="auto"/>
          <w:sz w:val="28"/>
          <w:szCs w:val="28"/>
        </w:rPr>
      </w:pPr>
      <w:r>
        <w:rPr>
          <w:rFonts w:eastAsiaTheme="minorEastAsia"/>
          <w:color w:val="auto"/>
          <w:sz w:val="28"/>
          <w:szCs w:val="28"/>
        </w:rPr>
        <w:t>（1）评价原则</w:t>
      </w:r>
    </w:p>
    <w:p w14:paraId="626A424B">
      <w:pPr>
        <w:spacing w:line="360" w:lineRule="auto"/>
        <w:ind w:firstLine="560" w:firstLineChars="200"/>
        <w:rPr>
          <w:rFonts w:eastAsiaTheme="minorEastAsia"/>
          <w:color w:val="auto"/>
          <w:sz w:val="28"/>
          <w:szCs w:val="28"/>
        </w:rPr>
      </w:pPr>
      <w:r>
        <w:rPr>
          <w:rFonts w:eastAsiaTheme="minorEastAsia"/>
          <w:color w:val="auto"/>
          <w:sz w:val="28"/>
          <w:szCs w:val="28"/>
        </w:rPr>
        <w:t>①符合国土空间规划，并与其他规划相协调</w:t>
      </w:r>
    </w:p>
    <w:p w14:paraId="217E1043">
      <w:pPr>
        <w:spacing w:line="360" w:lineRule="auto"/>
        <w:ind w:firstLine="560" w:firstLineChars="200"/>
        <w:rPr>
          <w:rFonts w:eastAsiaTheme="minorEastAsia"/>
          <w:color w:val="auto"/>
          <w:sz w:val="28"/>
          <w:szCs w:val="28"/>
        </w:rPr>
      </w:pPr>
      <w:r>
        <w:rPr>
          <w:rFonts w:eastAsiaTheme="minorEastAsia"/>
          <w:color w:val="auto"/>
          <w:sz w:val="28"/>
          <w:szCs w:val="28"/>
        </w:rPr>
        <w:t>复垦修复应符合《松山区国土空间规划（2021-2035年）》，避免盲目投资、过度超前浪费土地资源，符合规划分区管控。</w:t>
      </w:r>
    </w:p>
    <w:p w14:paraId="7C42AC15">
      <w:pPr>
        <w:spacing w:line="360" w:lineRule="auto"/>
        <w:ind w:firstLine="560" w:firstLineChars="200"/>
        <w:rPr>
          <w:rFonts w:eastAsiaTheme="minorEastAsia"/>
          <w:color w:val="auto"/>
          <w:sz w:val="28"/>
          <w:szCs w:val="28"/>
        </w:rPr>
      </w:pPr>
      <w:r>
        <w:rPr>
          <w:rFonts w:eastAsiaTheme="minorEastAsia"/>
          <w:color w:val="auto"/>
          <w:sz w:val="28"/>
          <w:szCs w:val="28"/>
        </w:rPr>
        <w:t>②因地制宜、农用地优先的原则</w:t>
      </w:r>
    </w:p>
    <w:p w14:paraId="24D0A85A">
      <w:pPr>
        <w:spacing w:line="360" w:lineRule="auto"/>
        <w:ind w:firstLine="560" w:firstLineChars="200"/>
        <w:rPr>
          <w:rFonts w:eastAsiaTheme="minorEastAsia"/>
          <w:color w:val="auto"/>
          <w:sz w:val="28"/>
          <w:szCs w:val="28"/>
        </w:rPr>
      </w:pPr>
      <w:r>
        <w:rPr>
          <w:rFonts w:eastAsiaTheme="minorEastAsia"/>
          <w:color w:val="auto"/>
          <w:sz w:val="28"/>
          <w:szCs w:val="28"/>
        </w:rPr>
        <w:t>土地利用方式必须与周边生态环境特征相适应。根据被损毁前后土地拥有的基础设施，因地制宜，宜农则农，宜林则林，宜牧则牧，宜渔则渔。</w:t>
      </w:r>
    </w:p>
    <w:p w14:paraId="73D74EF2">
      <w:pPr>
        <w:spacing w:line="360" w:lineRule="auto"/>
        <w:ind w:firstLine="560" w:firstLineChars="200"/>
        <w:rPr>
          <w:rFonts w:eastAsiaTheme="minorEastAsia"/>
          <w:color w:val="auto"/>
          <w:sz w:val="28"/>
          <w:szCs w:val="28"/>
        </w:rPr>
      </w:pPr>
      <w:r>
        <w:rPr>
          <w:rFonts w:eastAsiaTheme="minorEastAsia"/>
          <w:color w:val="auto"/>
          <w:sz w:val="28"/>
          <w:szCs w:val="28"/>
        </w:rPr>
        <w:t>③综合效益最佳原则</w:t>
      </w:r>
    </w:p>
    <w:p w14:paraId="25FC9A58">
      <w:pPr>
        <w:spacing w:line="360" w:lineRule="auto"/>
        <w:ind w:firstLine="560" w:firstLineChars="200"/>
        <w:rPr>
          <w:rFonts w:eastAsiaTheme="minorEastAsia"/>
          <w:color w:val="auto"/>
          <w:sz w:val="28"/>
          <w:szCs w:val="28"/>
        </w:rPr>
      </w:pPr>
      <w:r>
        <w:rPr>
          <w:rFonts w:eastAsiaTheme="minorEastAsia"/>
          <w:color w:val="auto"/>
          <w:sz w:val="28"/>
          <w:szCs w:val="28"/>
        </w:rPr>
        <w:t>在确定生态修复方向时，首先考虑可行性和综合效益，选择最佳的生态修复方向，根据生态状况是否适宜修复为某种用途的土地，或以最小的投入取得最佳的经济效益、社会效益和生态效益。考虑到生产建设项目对评估区及周围环境造成的影响，重点考虑生态效益，以恢复生态环境功能为主。</w:t>
      </w:r>
    </w:p>
    <w:p w14:paraId="66B9E255">
      <w:pPr>
        <w:spacing w:line="360" w:lineRule="auto"/>
        <w:ind w:firstLine="560" w:firstLineChars="200"/>
        <w:rPr>
          <w:rFonts w:eastAsiaTheme="minorEastAsia"/>
          <w:color w:val="auto"/>
          <w:sz w:val="28"/>
          <w:szCs w:val="28"/>
        </w:rPr>
      </w:pPr>
      <w:r>
        <w:rPr>
          <w:rFonts w:eastAsiaTheme="minorEastAsia"/>
          <w:color w:val="auto"/>
          <w:sz w:val="28"/>
          <w:szCs w:val="28"/>
        </w:rPr>
        <w:t>④主导限制因素与综合平衡原则</w:t>
      </w:r>
    </w:p>
    <w:p w14:paraId="042CB1D9">
      <w:pPr>
        <w:spacing w:line="360" w:lineRule="auto"/>
        <w:ind w:firstLine="560" w:firstLineChars="200"/>
        <w:rPr>
          <w:rFonts w:eastAsiaTheme="minorEastAsia"/>
          <w:color w:val="auto"/>
          <w:sz w:val="28"/>
          <w:szCs w:val="28"/>
        </w:rPr>
      </w:pPr>
      <w:r>
        <w:rPr>
          <w:rFonts w:eastAsiaTheme="minorEastAsia"/>
          <w:color w:val="auto"/>
          <w:sz w:val="28"/>
          <w:szCs w:val="28"/>
        </w:rPr>
        <w:t>影响损毁土地生态修复的因素很多，如积水、土源、土壤肥力、坡度以及灌排条件等。根据评估区自然环境、土地利用现状和土地损毁情况，分析影响损毁土地生态修复的主导性限制因素，同时也应兼顾其他限制因素。</w:t>
      </w:r>
    </w:p>
    <w:p w14:paraId="41AF7293">
      <w:pPr>
        <w:spacing w:line="360" w:lineRule="auto"/>
        <w:ind w:firstLine="560" w:firstLineChars="200"/>
        <w:rPr>
          <w:rFonts w:eastAsiaTheme="minorEastAsia"/>
          <w:color w:val="auto"/>
          <w:sz w:val="28"/>
          <w:szCs w:val="28"/>
        </w:rPr>
      </w:pPr>
      <w:r>
        <w:rPr>
          <w:rFonts w:eastAsiaTheme="minorEastAsia"/>
          <w:color w:val="auto"/>
          <w:sz w:val="28"/>
          <w:szCs w:val="28"/>
        </w:rPr>
        <w:t>⑤生态修复后土地可持续利用原则</w:t>
      </w:r>
    </w:p>
    <w:p w14:paraId="02CB59B5">
      <w:pPr>
        <w:spacing w:line="360" w:lineRule="auto"/>
        <w:ind w:firstLine="560" w:firstLineChars="200"/>
        <w:rPr>
          <w:rFonts w:eastAsiaTheme="minorEastAsia"/>
          <w:color w:val="auto"/>
          <w:sz w:val="28"/>
          <w:szCs w:val="28"/>
        </w:rPr>
      </w:pPr>
      <w:r>
        <w:rPr>
          <w:rFonts w:eastAsiaTheme="minorEastAsia"/>
          <w:color w:val="auto"/>
          <w:sz w:val="28"/>
          <w:szCs w:val="28"/>
        </w:rPr>
        <w:t>土地损毁是一个动态过程，复垦修复的适宜性也随损毁等级与损毁过程而变化，具有动态性，在进行复垦修复土地的适宜性评价时，应考虑矿区工农业发展的前景、科技进步以及生产和生活水平所带来的社会需求的变化，确定复垦修复方向。复垦修复后的土地应既能满足保护生物多样性和生态环境的需要，又能满足人类对土地的需求，应保证生态安全和人类社会可持续发展。</w:t>
      </w:r>
    </w:p>
    <w:p w14:paraId="4E3D223C">
      <w:pPr>
        <w:spacing w:line="360" w:lineRule="auto"/>
        <w:ind w:firstLine="560" w:firstLineChars="200"/>
        <w:rPr>
          <w:rFonts w:eastAsiaTheme="minorEastAsia"/>
          <w:color w:val="auto"/>
          <w:sz w:val="28"/>
          <w:szCs w:val="28"/>
        </w:rPr>
      </w:pPr>
      <w:r>
        <w:rPr>
          <w:rFonts w:eastAsiaTheme="minorEastAsia"/>
          <w:color w:val="auto"/>
          <w:sz w:val="28"/>
          <w:szCs w:val="28"/>
        </w:rPr>
        <w:t>⑥经济可行与技术合理性原则</w:t>
      </w:r>
    </w:p>
    <w:p w14:paraId="1A573B75">
      <w:pPr>
        <w:spacing w:line="360" w:lineRule="auto"/>
        <w:ind w:firstLine="560" w:firstLineChars="200"/>
        <w:rPr>
          <w:rFonts w:eastAsiaTheme="minorEastAsia"/>
          <w:color w:val="auto"/>
          <w:sz w:val="28"/>
          <w:szCs w:val="28"/>
        </w:rPr>
      </w:pPr>
      <w:r>
        <w:rPr>
          <w:rFonts w:eastAsiaTheme="minorEastAsia"/>
          <w:color w:val="auto"/>
          <w:sz w:val="28"/>
          <w:szCs w:val="28"/>
        </w:rPr>
        <w:t>复垦修复所需的费用应在保证修复目标完整、效果达到复垦修复标准的前提下，兼顾复垦修复成本，尽可能减轻企业负担。复垦修复技术应能满足复垦修复工作顺利开展、效果达到复垦修复标准的要求。</w:t>
      </w:r>
    </w:p>
    <w:p w14:paraId="1F90B1F3">
      <w:pPr>
        <w:spacing w:line="360" w:lineRule="auto"/>
        <w:ind w:firstLine="560" w:firstLineChars="200"/>
        <w:rPr>
          <w:rFonts w:eastAsiaTheme="minorEastAsia"/>
          <w:color w:val="auto"/>
          <w:sz w:val="28"/>
          <w:szCs w:val="28"/>
        </w:rPr>
      </w:pPr>
      <w:r>
        <w:rPr>
          <w:rFonts w:eastAsiaTheme="minorEastAsia"/>
          <w:color w:val="auto"/>
          <w:sz w:val="28"/>
          <w:szCs w:val="28"/>
        </w:rPr>
        <w:t>⑦社会因素和经济因素相结合原则</w:t>
      </w:r>
    </w:p>
    <w:p w14:paraId="0D0784D5">
      <w:pPr>
        <w:spacing w:line="360" w:lineRule="auto"/>
        <w:ind w:firstLine="560" w:firstLineChars="200"/>
        <w:rPr>
          <w:rFonts w:eastAsiaTheme="minorEastAsia"/>
          <w:color w:val="auto"/>
          <w:sz w:val="28"/>
          <w:szCs w:val="28"/>
        </w:rPr>
      </w:pPr>
      <w:r>
        <w:rPr>
          <w:rFonts w:eastAsiaTheme="minorEastAsia"/>
          <w:color w:val="auto"/>
          <w:sz w:val="28"/>
          <w:szCs w:val="28"/>
        </w:rPr>
        <w:t>在进行生态修复适宜性评价时，既要考虑它的自然属性（如土壤、气候、地貌、水资源等），也要考虑它的社会经济属性（如种植习惯、业主意愿、社会需求、生产力水平和生产布局等）。</w:t>
      </w:r>
    </w:p>
    <w:p w14:paraId="747F92C7">
      <w:pPr>
        <w:spacing w:line="360" w:lineRule="auto"/>
        <w:ind w:firstLine="560" w:firstLineChars="200"/>
        <w:rPr>
          <w:rFonts w:eastAsiaTheme="minorEastAsia"/>
          <w:color w:val="auto"/>
          <w:sz w:val="28"/>
          <w:szCs w:val="28"/>
        </w:rPr>
      </w:pPr>
      <w:r>
        <w:rPr>
          <w:rFonts w:eastAsiaTheme="minorEastAsia"/>
          <w:color w:val="auto"/>
          <w:sz w:val="28"/>
          <w:szCs w:val="28"/>
        </w:rPr>
        <w:t>（2）复垦修复单元的划分</w:t>
      </w:r>
    </w:p>
    <w:p w14:paraId="5D2ECD5C">
      <w:pPr>
        <w:spacing w:line="360" w:lineRule="auto"/>
        <w:ind w:firstLine="560" w:firstLineChars="200"/>
        <w:rPr>
          <w:rFonts w:eastAsiaTheme="minorEastAsia"/>
          <w:color w:val="auto"/>
          <w:sz w:val="28"/>
          <w:szCs w:val="28"/>
        </w:rPr>
      </w:pPr>
      <w:r>
        <w:rPr>
          <w:rFonts w:eastAsiaTheme="minorEastAsia"/>
          <w:color w:val="auto"/>
          <w:sz w:val="28"/>
          <w:szCs w:val="28"/>
        </w:rPr>
        <w:t>复垦修复单元是适宜性评价的基本单元，同一评价单元内的土地特征、复垦修复利用方向、复垦修复措施应基本一致。对农林牧业利用类型的适宜性和适宜程度及其地域分布状况，都是通过评价单元及其组合状况来反映的。评价单元的划分与确定应在遵循评价原则的前提下，根据评价区的具体情况来决定。</w:t>
      </w:r>
    </w:p>
    <w:p w14:paraId="67892001">
      <w:pPr>
        <w:spacing w:line="360" w:lineRule="auto"/>
        <w:ind w:firstLine="560" w:firstLineChars="200"/>
        <w:rPr>
          <w:rFonts w:hint="eastAsia" w:eastAsia="宋体"/>
          <w:color w:val="auto"/>
          <w:sz w:val="28"/>
          <w:szCs w:val="28"/>
          <w:lang w:eastAsia="zh-CN"/>
        </w:rPr>
      </w:pPr>
      <w:r>
        <w:rPr>
          <w:rFonts w:eastAsiaTheme="minorEastAsia"/>
          <w:color w:val="auto"/>
          <w:sz w:val="28"/>
          <w:szCs w:val="28"/>
        </w:rPr>
        <w:t>根据矿山实际情况，本项目复垦修复单元共有</w:t>
      </w:r>
      <w:r>
        <w:rPr>
          <w:rFonts w:hint="eastAsia" w:eastAsiaTheme="minorEastAsia"/>
          <w:color w:val="auto"/>
          <w:sz w:val="28"/>
          <w:szCs w:val="28"/>
        </w:rPr>
        <w:t>露天采场、</w:t>
      </w:r>
      <w:r>
        <w:rPr>
          <w:rFonts w:hint="eastAsia" w:eastAsiaTheme="minorEastAsia"/>
          <w:color w:val="auto"/>
          <w:sz w:val="28"/>
          <w:szCs w:val="28"/>
          <w:lang w:val="en-US" w:eastAsia="zh-CN"/>
        </w:rPr>
        <w:t>1#</w:t>
      </w:r>
      <w:r>
        <w:rPr>
          <w:rFonts w:hint="eastAsia" w:eastAsiaTheme="minorEastAsia"/>
          <w:color w:val="auto"/>
          <w:sz w:val="28"/>
          <w:szCs w:val="28"/>
        </w:rPr>
        <w:t>废石场、</w:t>
      </w:r>
      <w:r>
        <w:rPr>
          <w:rFonts w:hint="eastAsia" w:eastAsiaTheme="minorEastAsia"/>
          <w:color w:val="auto"/>
          <w:sz w:val="28"/>
          <w:szCs w:val="28"/>
          <w:lang w:val="en-US" w:eastAsia="zh-CN"/>
        </w:rPr>
        <w:t>2#废石</w:t>
      </w:r>
      <w:r>
        <w:rPr>
          <w:rFonts w:hint="eastAsia" w:eastAsiaTheme="minorEastAsia"/>
          <w:color w:val="auto"/>
          <w:sz w:val="28"/>
          <w:szCs w:val="28"/>
        </w:rPr>
        <w:t>场、1#废渣堆、2#废渣堆、3#废渣堆、</w:t>
      </w:r>
      <w:r>
        <w:rPr>
          <w:rFonts w:hint="eastAsia" w:eastAsiaTheme="minorEastAsia"/>
          <w:color w:val="auto"/>
          <w:sz w:val="28"/>
          <w:szCs w:val="28"/>
          <w:lang w:val="en-US" w:eastAsia="zh-CN"/>
        </w:rPr>
        <w:t>工业场地、</w:t>
      </w:r>
      <w:r>
        <w:rPr>
          <w:rFonts w:hint="eastAsia" w:eastAsiaTheme="minorEastAsia"/>
          <w:color w:val="auto"/>
          <w:sz w:val="28"/>
          <w:szCs w:val="28"/>
        </w:rPr>
        <w:t>矿区道路</w:t>
      </w:r>
      <w:r>
        <w:rPr>
          <w:rFonts w:hint="eastAsia" w:eastAsiaTheme="minorEastAsia"/>
          <w:color w:val="auto"/>
          <w:sz w:val="28"/>
          <w:szCs w:val="28"/>
          <w:lang w:val="en-US" w:eastAsia="zh-CN"/>
        </w:rPr>
        <w:t>8</w:t>
      </w:r>
      <w:r>
        <w:rPr>
          <w:color w:val="auto"/>
          <w:kern w:val="0"/>
          <w:sz w:val="28"/>
          <w:szCs w:val="28"/>
        </w:rPr>
        <w:t>个评价单元</w:t>
      </w:r>
      <w:r>
        <w:rPr>
          <w:rFonts w:hint="eastAsia"/>
          <w:color w:val="auto"/>
          <w:kern w:val="0"/>
          <w:sz w:val="28"/>
          <w:szCs w:val="28"/>
          <w:lang w:eastAsia="zh-CN"/>
        </w:rPr>
        <w:t>。</w:t>
      </w:r>
    </w:p>
    <w:p w14:paraId="2D77F20F">
      <w:pPr>
        <w:spacing w:line="360" w:lineRule="auto"/>
        <w:ind w:firstLine="560" w:firstLineChars="200"/>
        <w:rPr>
          <w:color w:val="auto"/>
          <w:sz w:val="28"/>
          <w:szCs w:val="28"/>
        </w:rPr>
      </w:pPr>
      <w:r>
        <w:rPr>
          <w:color w:val="auto"/>
          <w:sz w:val="28"/>
          <w:szCs w:val="28"/>
        </w:rPr>
        <w:t>通过上述定性分析，可以确定土地复垦初步方向为</w:t>
      </w:r>
      <w:r>
        <w:rPr>
          <w:rFonts w:hint="eastAsia"/>
          <w:color w:val="auto"/>
          <w:sz w:val="28"/>
          <w:szCs w:val="28"/>
          <w:lang w:val="en-US" w:eastAsia="zh-CN"/>
        </w:rPr>
        <w:t>林地、</w:t>
      </w:r>
      <w:r>
        <w:rPr>
          <w:color w:val="auto"/>
          <w:sz w:val="28"/>
          <w:szCs w:val="28"/>
        </w:rPr>
        <w:t>草地。该复垦方向与当地自然生态环境相适应，与复垦区相关政策一致，具有经济、社会和群众基础，有利于最大限度的发挥该复垦项目的综合和长远效益，使经济效益、社会效益和环境效益相统一。评价单元的划分见表3-</w:t>
      </w:r>
      <w:r>
        <w:rPr>
          <w:rFonts w:hint="eastAsia"/>
          <w:color w:val="auto"/>
          <w:sz w:val="28"/>
          <w:szCs w:val="28"/>
          <w:lang w:val="en-US" w:eastAsia="zh-CN"/>
        </w:rPr>
        <w:t>27</w:t>
      </w:r>
      <w:r>
        <w:rPr>
          <w:color w:val="auto"/>
          <w:sz w:val="28"/>
          <w:szCs w:val="28"/>
        </w:rPr>
        <w:t>。</w:t>
      </w:r>
    </w:p>
    <w:p w14:paraId="6D8DF473">
      <w:pPr>
        <w:pStyle w:val="71"/>
        <w:rPr>
          <w:rFonts w:ascii="Times New Roman" w:hAnsi="Times New Roman" w:eastAsia="黑体" w:cs="Times New Roman"/>
          <w:color w:val="auto"/>
          <w:sz w:val="24"/>
          <w:szCs w:val="24"/>
        </w:rPr>
      </w:pPr>
      <w:r>
        <w:rPr>
          <w:rFonts w:ascii="Times New Roman" w:hAnsi="Times New Roman" w:eastAsia="黑体" w:cs="Times New Roman"/>
          <w:color w:val="auto"/>
          <w:sz w:val="24"/>
          <w:szCs w:val="24"/>
        </w:rPr>
        <w:t>表3</w:t>
      </w:r>
      <w:r>
        <w:rPr>
          <w:rFonts w:hint="eastAsia" w:ascii="Times New Roman" w:hAnsi="Times New Roman" w:eastAsia="黑体" w:cs="Times New Roman"/>
          <w:color w:val="auto"/>
          <w:sz w:val="24"/>
          <w:szCs w:val="24"/>
          <w:lang w:val="en-US" w:eastAsia="zh-CN"/>
        </w:rPr>
        <w:t>-27</w:t>
      </w:r>
      <w:r>
        <w:rPr>
          <w:rFonts w:ascii="Times New Roman" w:hAnsi="Times New Roman" w:eastAsia="黑体" w:cs="Times New Roman"/>
          <w:color w:val="auto"/>
          <w:sz w:val="24"/>
          <w:szCs w:val="24"/>
        </w:rPr>
        <w:t xml:space="preserve">  评价单元划分表</w:t>
      </w:r>
    </w:p>
    <w:tbl>
      <w:tblPr>
        <w:tblStyle w:val="34"/>
        <w:tblW w:w="830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95"/>
        <w:gridCol w:w="1943"/>
        <w:gridCol w:w="1581"/>
        <w:gridCol w:w="1795"/>
        <w:gridCol w:w="1795"/>
      </w:tblGrid>
      <w:tr w14:paraId="5E0F7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4C25F">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A2A309">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评价单元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6901A1">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面积</w:t>
            </w:r>
            <w:r>
              <w:rPr>
                <w:rFonts w:hint="default" w:ascii="Times New Roman" w:hAnsi="Times New Roman" w:eastAsia="宋体" w:cs="Times New Roman"/>
                <w:b/>
                <w:bCs/>
                <w:i w:val="0"/>
                <w:iCs w:val="0"/>
                <w:color w:val="auto"/>
                <w:kern w:val="0"/>
                <w:sz w:val="21"/>
                <w:szCs w:val="21"/>
                <w:u w:val="none"/>
                <w:lang w:val="en-US" w:eastAsia="zh-CN" w:bidi="ar"/>
              </w:rPr>
              <w:t>m</w:t>
            </w:r>
            <w:r>
              <w:rPr>
                <w:rFonts w:hint="default" w:ascii="Times New Roman" w:hAnsi="Times New Roman" w:eastAsia="宋体" w:cs="Times New Roman"/>
                <w:b/>
                <w:bCs/>
                <w:i w:val="0"/>
                <w:iCs w:val="0"/>
                <w:color w:val="auto"/>
                <w:kern w:val="0"/>
                <w:sz w:val="21"/>
                <w:szCs w:val="21"/>
                <w:u w:val="none"/>
                <w:vertAlign w:val="superscript"/>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A2F8E">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损毁类型</w:t>
            </w:r>
          </w:p>
        </w:tc>
        <w:tc>
          <w:tcPr>
            <w:tcW w:w="1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3DCA0">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损毁程度</w:t>
            </w:r>
          </w:p>
        </w:tc>
      </w:tr>
      <w:tr w14:paraId="648B3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DF69F">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D07C7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露天采场</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9C06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35248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77F81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挖损</w:t>
            </w:r>
          </w:p>
        </w:tc>
        <w:tc>
          <w:tcPr>
            <w:tcW w:w="1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30FF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重度</w:t>
            </w:r>
          </w:p>
        </w:tc>
      </w:tr>
      <w:tr w14:paraId="381EB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F7D91">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96F3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cs="宋体"/>
                <w:i w:val="0"/>
                <w:iCs w:val="0"/>
                <w:color w:val="auto"/>
                <w:kern w:val="0"/>
                <w:sz w:val="20"/>
                <w:szCs w:val="20"/>
                <w:u w:val="none"/>
                <w:lang w:val="en-US" w:eastAsia="zh-CN" w:bidi="ar"/>
              </w:rPr>
              <w:t>1#</w:t>
            </w:r>
            <w:r>
              <w:rPr>
                <w:rFonts w:hint="eastAsia" w:ascii="宋体" w:hAnsi="宋体" w:eastAsia="宋体" w:cs="宋体"/>
                <w:i w:val="0"/>
                <w:iCs w:val="0"/>
                <w:color w:val="auto"/>
                <w:kern w:val="0"/>
                <w:sz w:val="20"/>
                <w:szCs w:val="20"/>
                <w:u w:val="none"/>
                <w:lang w:val="en-US" w:eastAsia="zh-CN" w:bidi="ar"/>
              </w:rPr>
              <w:t>废石场</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D6E5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4811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5FE92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压占</w:t>
            </w:r>
          </w:p>
        </w:tc>
        <w:tc>
          <w:tcPr>
            <w:tcW w:w="1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A472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中度</w:t>
            </w:r>
          </w:p>
        </w:tc>
      </w:tr>
      <w:tr w14:paraId="0EF7C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0CB68">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BEB4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cs="宋体"/>
                <w:i w:val="0"/>
                <w:iCs w:val="0"/>
                <w:color w:val="auto"/>
                <w:kern w:val="0"/>
                <w:sz w:val="20"/>
                <w:szCs w:val="20"/>
                <w:u w:val="none"/>
                <w:lang w:val="en-US" w:eastAsia="zh-CN" w:bidi="ar"/>
              </w:rPr>
              <w:t>2#废</w:t>
            </w:r>
            <w:r>
              <w:rPr>
                <w:rFonts w:hint="eastAsia" w:ascii="宋体" w:hAnsi="宋体" w:eastAsia="宋体" w:cs="宋体"/>
                <w:i w:val="0"/>
                <w:iCs w:val="0"/>
                <w:color w:val="auto"/>
                <w:kern w:val="0"/>
                <w:sz w:val="20"/>
                <w:szCs w:val="20"/>
                <w:u w:val="none"/>
                <w:lang w:val="en-US" w:eastAsia="zh-CN" w:bidi="ar"/>
              </w:rPr>
              <w:t>石场</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FF17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lang w:val="en-US"/>
              </w:rPr>
            </w:pPr>
            <w:r>
              <w:rPr>
                <w:rFonts w:hint="eastAsia" w:cs="Times New Roman"/>
                <w:i w:val="0"/>
                <w:iCs w:val="0"/>
                <w:color w:val="auto"/>
                <w:kern w:val="0"/>
                <w:sz w:val="20"/>
                <w:szCs w:val="20"/>
                <w:u w:val="none"/>
                <w:lang w:val="en-US" w:eastAsia="zh-CN" w:bidi="ar"/>
              </w:rPr>
              <w:t>14034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FADC5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压占</w:t>
            </w:r>
          </w:p>
        </w:tc>
        <w:tc>
          <w:tcPr>
            <w:tcW w:w="1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4DB6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重度</w:t>
            </w:r>
          </w:p>
        </w:tc>
      </w:tr>
      <w:tr w14:paraId="66C89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EF269">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9D6B4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1#废渣堆</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9132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3993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C9275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压占</w:t>
            </w:r>
          </w:p>
        </w:tc>
        <w:tc>
          <w:tcPr>
            <w:tcW w:w="1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DF31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中度</w:t>
            </w:r>
          </w:p>
        </w:tc>
      </w:tr>
      <w:tr w14:paraId="16453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90D09">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DDE94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2#废渣堆</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AAE5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3869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62361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压占</w:t>
            </w:r>
          </w:p>
        </w:tc>
        <w:tc>
          <w:tcPr>
            <w:tcW w:w="1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6228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中度</w:t>
            </w:r>
          </w:p>
        </w:tc>
      </w:tr>
      <w:tr w14:paraId="43525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CB63C">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1E96D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3#废渣堆</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2237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965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7DB3A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压占</w:t>
            </w:r>
          </w:p>
        </w:tc>
        <w:tc>
          <w:tcPr>
            <w:tcW w:w="1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15C9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中度</w:t>
            </w:r>
          </w:p>
        </w:tc>
      </w:tr>
      <w:tr w14:paraId="57F6E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48EE7">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1D3DA0">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工业场地</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F883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cs="Times New Roman"/>
                <w:i w:val="0"/>
                <w:iCs w:val="0"/>
                <w:color w:val="auto"/>
                <w:kern w:val="0"/>
                <w:sz w:val="20"/>
                <w:szCs w:val="20"/>
                <w:u w:val="none"/>
                <w:lang w:val="en-US" w:eastAsia="zh-CN" w:bidi="ar"/>
              </w:rPr>
              <w:t>5425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4CEF68">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压占</w:t>
            </w:r>
            <w:r>
              <w:rPr>
                <w:rFonts w:hint="eastAsia" w:ascii="宋体" w:hAnsi="宋体" w:cs="宋体"/>
                <w:i w:val="0"/>
                <w:iCs w:val="0"/>
                <w:color w:val="auto"/>
                <w:kern w:val="0"/>
                <w:sz w:val="21"/>
                <w:szCs w:val="21"/>
                <w:u w:val="none"/>
                <w:lang w:val="en-US" w:eastAsia="zh-CN" w:bidi="ar"/>
              </w:rPr>
              <w:t>/挖损</w:t>
            </w:r>
          </w:p>
        </w:tc>
        <w:tc>
          <w:tcPr>
            <w:tcW w:w="1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0907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中度</w:t>
            </w:r>
          </w:p>
        </w:tc>
      </w:tr>
      <w:tr w14:paraId="50D1C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7B8DC">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kern w:val="0"/>
                <w:sz w:val="21"/>
                <w:szCs w:val="21"/>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E7382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矿区道路</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617E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lang w:val="en-US"/>
              </w:rPr>
            </w:pPr>
            <w:r>
              <w:rPr>
                <w:rFonts w:hint="eastAsia" w:cs="Times New Roman"/>
                <w:i w:val="0"/>
                <w:iCs w:val="0"/>
                <w:color w:val="auto"/>
                <w:kern w:val="0"/>
                <w:sz w:val="20"/>
                <w:szCs w:val="20"/>
                <w:u w:val="none"/>
                <w:lang w:val="en-US" w:eastAsia="zh-CN" w:bidi="ar"/>
              </w:rPr>
              <w:t>8610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5DC91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压占</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挖损</w:t>
            </w:r>
          </w:p>
        </w:tc>
        <w:tc>
          <w:tcPr>
            <w:tcW w:w="1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EF4C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中度</w:t>
            </w:r>
          </w:p>
        </w:tc>
      </w:tr>
      <w:tr w14:paraId="692C2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1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4C071">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合计</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35B75">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u w:val="none"/>
                <w:lang w:val="en-US"/>
              </w:rPr>
            </w:pPr>
            <w:r>
              <w:rPr>
                <w:rFonts w:hint="eastAsia" w:cs="Times New Roman"/>
                <w:b/>
                <w:bCs/>
                <w:i w:val="0"/>
                <w:iCs w:val="0"/>
                <w:color w:val="auto"/>
                <w:kern w:val="0"/>
                <w:sz w:val="21"/>
                <w:szCs w:val="21"/>
                <w:u w:val="none"/>
                <w:lang w:val="en-US" w:eastAsia="zh-CN" w:bidi="ar"/>
              </w:rPr>
              <w:t>76955</w:t>
            </w:r>
          </w:p>
        </w:tc>
        <w:tc>
          <w:tcPr>
            <w:tcW w:w="1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F3E43">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w:t>
            </w:r>
          </w:p>
        </w:tc>
        <w:tc>
          <w:tcPr>
            <w:tcW w:w="1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3538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w:t>
            </w:r>
          </w:p>
        </w:tc>
      </w:tr>
    </w:tbl>
    <w:p w14:paraId="69722E83">
      <w:pPr>
        <w:spacing w:line="360" w:lineRule="auto"/>
        <w:ind w:firstLine="560" w:firstLineChars="200"/>
        <w:rPr>
          <w:rFonts w:eastAsiaTheme="minorEastAsia"/>
          <w:color w:val="auto"/>
          <w:sz w:val="28"/>
          <w:szCs w:val="28"/>
        </w:rPr>
      </w:pPr>
      <w:r>
        <w:rPr>
          <w:color w:val="auto"/>
          <w:sz w:val="28"/>
          <w:szCs w:val="28"/>
        </w:rPr>
        <w:t>（3）评价因素等级标准的确定</w:t>
      </w:r>
    </w:p>
    <w:p w14:paraId="5C6F5671">
      <w:pPr>
        <w:spacing w:line="360" w:lineRule="auto"/>
        <w:ind w:firstLine="560" w:firstLineChars="200"/>
        <w:rPr>
          <w:color w:val="auto"/>
          <w:sz w:val="28"/>
          <w:szCs w:val="28"/>
        </w:rPr>
      </w:pPr>
      <w:r>
        <w:rPr>
          <w:color w:val="auto"/>
          <w:sz w:val="28"/>
          <w:szCs w:val="28"/>
        </w:rPr>
        <w:t>根据初步确定的复垦修复方向，结合复垦修复单元的特点，选取破坏后影响土地利用的主导因素，构建评价指标体系及标准。</w:t>
      </w:r>
    </w:p>
    <w:p w14:paraId="36541ABF">
      <w:pPr>
        <w:spacing w:line="360" w:lineRule="auto"/>
        <w:ind w:firstLine="560" w:firstLineChars="200"/>
        <w:rPr>
          <w:color w:val="auto"/>
          <w:sz w:val="28"/>
          <w:szCs w:val="28"/>
        </w:rPr>
      </w:pPr>
      <w:r>
        <w:rPr>
          <w:color w:val="auto"/>
          <w:sz w:val="28"/>
          <w:szCs w:val="28"/>
        </w:rPr>
        <w:t>根据评估区自然环境特征，结合矿山土地破坏特点、地类等有关指标，本方案复垦修复适宜性评价限制因子选取主要考虑以下几个方面指标：矿区土地破坏类型和破坏程度、土地破坏前的土地利用状况、破坏土地复垦修复的客观条件。</w:t>
      </w:r>
    </w:p>
    <w:p w14:paraId="5392E83A">
      <w:pPr>
        <w:spacing w:line="360" w:lineRule="auto"/>
        <w:ind w:firstLine="560" w:firstLineChars="200"/>
        <w:rPr>
          <w:color w:val="auto"/>
          <w:sz w:val="28"/>
          <w:szCs w:val="28"/>
        </w:rPr>
      </w:pPr>
      <w:r>
        <w:rPr>
          <w:color w:val="auto"/>
          <w:sz w:val="28"/>
          <w:szCs w:val="28"/>
        </w:rPr>
        <w:t>根据《土地复垦质量控制标准》（TD/T 1036-2013）和相关政策法规，同时借鉴同类矿山土地复垦适宜性评价中参评因素属性及权重的确定方法，把土地复垦适宜性评价等级数确定为4级标准，分别定为：一级（比较适宜）、二级（勉强适宜）、三级（不适宜）、四级（难利用）。参评因素应选择对土地利用影响明显且相对稳定的因素。通过将参评因素状态值对农、林、牧的影响状况及改良程度的难易与各地区的自然条件进行比照，进一步对复垦区的土地适宜性影响明显的因子进行等级划分，得出各因子权重。</w:t>
      </w:r>
    </w:p>
    <w:p w14:paraId="45E3E6EA">
      <w:pPr>
        <w:pStyle w:val="69"/>
        <w:spacing w:line="360" w:lineRule="auto"/>
        <w:ind w:firstLine="560"/>
        <w:rPr>
          <w:rFonts w:eastAsia="宋体"/>
          <w:color w:val="auto"/>
          <w:spacing w:val="-4"/>
          <w:szCs w:val="28"/>
        </w:rPr>
      </w:pPr>
      <w:r>
        <w:rPr>
          <w:rFonts w:eastAsia="宋体"/>
          <w:color w:val="auto"/>
          <w:szCs w:val="28"/>
        </w:rPr>
        <w:t>本方案选出7项参评因子，包括地形坡度、有效土层厚度、土壤有机质、土壤质地、损毁程度、降雨量、区位条件（道路设施）</w:t>
      </w:r>
      <w:r>
        <w:rPr>
          <w:rFonts w:eastAsia="宋体"/>
          <w:color w:val="auto"/>
          <w:spacing w:val="-4"/>
          <w:szCs w:val="28"/>
        </w:rPr>
        <w:t>。各参评因素的分级指标见表</w:t>
      </w:r>
      <w:r>
        <w:rPr>
          <w:rFonts w:eastAsia="宋体"/>
          <w:color w:val="auto"/>
          <w:spacing w:val="-4"/>
          <w:szCs w:val="28"/>
          <w:lang w:val="en-US"/>
        </w:rPr>
        <w:t>3-</w:t>
      </w:r>
      <w:r>
        <w:rPr>
          <w:rFonts w:hint="eastAsia" w:eastAsia="宋体"/>
          <w:color w:val="auto"/>
          <w:spacing w:val="-4"/>
          <w:szCs w:val="28"/>
          <w:lang w:val="en-US" w:eastAsia="zh-CN"/>
        </w:rPr>
        <w:t>28</w:t>
      </w:r>
      <w:r>
        <w:rPr>
          <w:rFonts w:eastAsia="宋体"/>
          <w:color w:val="auto"/>
          <w:spacing w:val="-4"/>
          <w:szCs w:val="28"/>
        </w:rPr>
        <w:t>。</w:t>
      </w:r>
    </w:p>
    <w:p w14:paraId="531E83C9">
      <w:pPr>
        <w:pStyle w:val="71"/>
        <w:rPr>
          <w:rFonts w:ascii="Times New Roman" w:hAnsi="Times New Roman" w:eastAsia="黑体" w:cs="Times New Roman"/>
          <w:color w:val="auto"/>
          <w:sz w:val="24"/>
          <w:szCs w:val="24"/>
        </w:rPr>
      </w:pPr>
      <w:r>
        <w:rPr>
          <w:rFonts w:ascii="Times New Roman" w:hAnsi="Times New Roman" w:eastAsia="黑体" w:cs="Times New Roman"/>
          <w:color w:val="auto"/>
          <w:sz w:val="24"/>
          <w:szCs w:val="24"/>
        </w:rPr>
        <w:t>表3-</w:t>
      </w:r>
      <w:r>
        <w:rPr>
          <w:rFonts w:hint="eastAsia" w:ascii="Times New Roman" w:hAnsi="Times New Roman" w:eastAsia="黑体" w:cs="Times New Roman"/>
          <w:color w:val="auto"/>
          <w:sz w:val="24"/>
          <w:szCs w:val="24"/>
          <w:lang w:val="en-US" w:eastAsia="zh-CN"/>
        </w:rPr>
        <w:t>28</w:t>
      </w:r>
      <w:r>
        <w:rPr>
          <w:rFonts w:ascii="Times New Roman" w:hAnsi="Times New Roman" w:eastAsia="黑体" w:cs="Times New Roman"/>
          <w:color w:val="auto"/>
          <w:sz w:val="24"/>
          <w:szCs w:val="24"/>
        </w:rPr>
        <w:t xml:space="preserve">  拟复垦土地适宜性评价的参评因子、权重及等级表</w:t>
      </w:r>
    </w:p>
    <w:tbl>
      <w:tblPr>
        <w:tblStyle w:val="34"/>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1899"/>
        <w:gridCol w:w="646"/>
        <w:gridCol w:w="1333"/>
        <w:gridCol w:w="1627"/>
        <w:gridCol w:w="1296"/>
        <w:gridCol w:w="1507"/>
      </w:tblGrid>
      <w:tr w14:paraId="662F1A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1143" w:type="pct"/>
            <w:vMerge w:val="restart"/>
            <w:vAlign w:val="center"/>
          </w:tcPr>
          <w:p w14:paraId="54B29B9F">
            <w:pPr>
              <w:adjustRightInd w:val="0"/>
              <w:snapToGrid w:val="0"/>
              <w:jc w:val="center"/>
              <w:rPr>
                <w:color w:val="auto"/>
              </w:rPr>
            </w:pPr>
            <w:r>
              <w:rPr>
                <w:color w:val="auto"/>
              </w:rPr>
              <w:t>评价因子</w:t>
            </w:r>
          </w:p>
        </w:tc>
        <w:tc>
          <w:tcPr>
            <w:tcW w:w="389" w:type="pct"/>
            <w:vMerge w:val="restart"/>
            <w:vAlign w:val="center"/>
          </w:tcPr>
          <w:p w14:paraId="6309084A">
            <w:pPr>
              <w:adjustRightInd w:val="0"/>
              <w:snapToGrid w:val="0"/>
              <w:jc w:val="center"/>
              <w:rPr>
                <w:color w:val="auto"/>
              </w:rPr>
            </w:pPr>
            <w:r>
              <w:rPr>
                <w:color w:val="auto"/>
              </w:rPr>
              <w:t>权重</w:t>
            </w:r>
          </w:p>
        </w:tc>
        <w:tc>
          <w:tcPr>
            <w:tcW w:w="3468" w:type="pct"/>
            <w:gridSpan w:val="4"/>
            <w:vAlign w:val="center"/>
          </w:tcPr>
          <w:p w14:paraId="6C8FDD71">
            <w:pPr>
              <w:adjustRightInd w:val="0"/>
              <w:snapToGrid w:val="0"/>
              <w:jc w:val="center"/>
              <w:rPr>
                <w:color w:val="auto"/>
              </w:rPr>
            </w:pPr>
            <w:r>
              <w:rPr>
                <w:color w:val="auto"/>
              </w:rPr>
              <w:t>等级</w:t>
            </w:r>
          </w:p>
        </w:tc>
      </w:tr>
      <w:tr w14:paraId="62C085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1143" w:type="pct"/>
            <w:vMerge w:val="continue"/>
            <w:vAlign w:val="center"/>
          </w:tcPr>
          <w:p w14:paraId="38215A51">
            <w:pPr>
              <w:adjustRightInd w:val="0"/>
              <w:snapToGrid w:val="0"/>
              <w:jc w:val="center"/>
              <w:rPr>
                <w:color w:val="auto"/>
              </w:rPr>
            </w:pPr>
          </w:p>
        </w:tc>
        <w:tc>
          <w:tcPr>
            <w:tcW w:w="389" w:type="pct"/>
            <w:vMerge w:val="continue"/>
            <w:vAlign w:val="center"/>
          </w:tcPr>
          <w:p w14:paraId="72929BDB">
            <w:pPr>
              <w:adjustRightInd w:val="0"/>
              <w:snapToGrid w:val="0"/>
              <w:jc w:val="center"/>
              <w:rPr>
                <w:color w:val="auto"/>
              </w:rPr>
            </w:pPr>
          </w:p>
        </w:tc>
        <w:tc>
          <w:tcPr>
            <w:tcW w:w="802" w:type="pct"/>
            <w:vAlign w:val="center"/>
          </w:tcPr>
          <w:p w14:paraId="7D7216DE">
            <w:pPr>
              <w:adjustRightInd w:val="0"/>
              <w:snapToGrid w:val="0"/>
              <w:jc w:val="center"/>
              <w:rPr>
                <w:color w:val="auto"/>
              </w:rPr>
            </w:pPr>
            <w:r>
              <w:rPr>
                <w:color w:val="auto"/>
              </w:rPr>
              <w:t>一级</w:t>
            </w:r>
          </w:p>
          <w:p w14:paraId="1CE43BA9">
            <w:pPr>
              <w:adjustRightInd w:val="0"/>
              <w:snapToGrid w:val="0"/>
              <w:jc w:val="center"/>
              <w:rPr>
                <w:color w:val="auto"/>
              </w:rPr>
            </w:pPr>
            <w:r>
              <w:rPr>
                <w:color w:val="auto"/>
              </w:rPr>
              <w:t>（4分）</w:t>
            </w:r>
          </w:p>
        </w:tc>
        <w:tc>
          <w:tcPr>
            <w:tcW w:w="979" w:type="pct"/>
            <w:vAlign w:val="center"/>
          </w:tcPr>
          <w:p w14:paraId="7AD1835B">
            <w:pPr>
              <w:adjustRightInd w:val="0"/>
              <w:snapToGrid w:val="0"/>
              <w:jc w:val="center"/>
              <w:rPr>
                <w:color w:val="auto"/>
              </w:rPr>
            </w:pPr>
            <w:r>
              <w:rPr>
                <w:color w:val="auto"/>
              </w:rPr>
              <w:t>二级</w:t>
            </w:r>
          </w:p>
          <w:p w14:paraId="52A92667">
            <w:pPr>
              <w:adjustRightInd w:val="0"/>
              <w:snapToGrid w:val="0"/>
              <w:jc w:val="center"/>
              <w:rPr>
                <w:color w:val="auto"/>
              </w:rPr>
            </w:pPr>
            <w:r>
              <w:rPr>
                <w:color w:val="auto"/>
              </w:rPr>
              <w:t>（3分）</w:t>
            </w:r>
          </w:p>
        </w:tc>
        <w:tc>
          <w:tcPr>
            <w:tcW w:w="780" w:type="pct"/>
            <w:vAlign w:val="center"/>
          </w:tcPr>
          <w:p w14:paraId="3E33306F">
            <w:pPr>
              <w:adjustRightInd w:val="0"/>
              <w:snapToGrid w:val="0"/>
              <w:jc w:val="center"/>
              <w:rPr>
                <w:color w:val="auto"/>
              </w:rPr>
            </w:pPr>
            <w:r>
              <w:rPr>
                <w:color w:val="auto"/>
              </w:rPr>
              <w:t>三级</w:t>
            </w:r>
          </w:p>
          <w:p w14:paraId="4CD5E532">
            <w:pPr>
              <w:adjustRightInd w:val="0"/>
              <w:snapToGrid w:val="0"/>
              <w:jc w:val="center"/>
              <w:rPr>
                <w:color w:val="auto"/>
              </w:rPr>
            </w:pPr>
            <w:r>
              <w:rPr>
                <w:color w:val="auto"/>
              </w:rPr>
              <w:t>（2分）</w:t>
            </w:r>
          </w:p>
        </w:tc>
        <w:tc>
          <w:tcPr>
            <w:tcW w:w="906" w:type="pct"/>
            <w:vAlign w:val="center"/>
          </w:tcPr>
          <w:p w14:paraId="44C684F5">
            <w:pPr>
              <w:adjustRightInd w:val="0"/>
              <w:snapToGrid w:val="0"/>
              <w:jc w:val="center"/>
              <w:rPr>
                <w:color w:val="auto"/>
              </w:rPr>
            </w:pPr>
            <w:r>
              <w:rPr>
                <w:color w:val="auto"/>
              </w:rPr>
              <w:t>四级</w:t>
            </w:r>
          </w:p>
          <w:p w14:paraId="0EE78406">
            <w:pPr>
              <w:adjustRightInd w:val="0"/>
              <w:snapToGrid w:val="0"/>
              <w:jc w:val="center"/>
              <w:rPr>
                <w:color w:val="auto"/>
              </w:rPr>
            </w:pPr>
            <w:r>
              <w:rPr>
                <w:color w:val="auto"/>
              </w:rPr>
              <w:t>（1分）</w:t>
            </w:r>
          </w:p>
        </w:tc>
      </w:tr>
      <w:tr w14:paraId="5F1C1A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1143" w:type="pct"/>
            <w:vAlign w:val="center"/>
          </w:tcPr>
          <w:p w14:paraId="0ED0C5AC">
            <w:pPr>
              <w:adjustRightInd w:val="0"/>
              <w:snapToGrid w:val="0"/>
              <w:jc w:val="center"/>
              <w:rPr>
                <w:color w:val="auto"/>
              </w:rPr>
            </w:pPr>
            <w:r>
              <w:rPr>
                <w:color w:val="auto"/>
              </w:rPr>
              <w:t>有效土层厚度</w:t>
            </w:r>
          </w:p>
        </w:tc>
        <w:tc>
          <w:tcPr>
            <w:tcW w:w="389" w:type="pct"/>
            <w:vAlign w:val="center"/>
          </w:tcPr>
          <w:p w14:paraId="7A3C2196">
            <w:pPr>
              <w:adjustRightInd w:val="0"/>
              <w:snapToGrid w:val="0"/>
              <w:jc w:val="center"/>
              <w:rPr>
                <w:color w:val="auto"/>
              </w:rPr>
            </w:pPr>
            <w:r>
              <w:rPr>
                <w:color w:val="auto"/>
              </w:rPr>
              <w:t>0.20</w:t>
            </w:r>
          </w:p>
        </w:tc>
        <w:tc>
          <w:tcPr>
            <w:tcW w:w="802" w:type="pct"/>
            <w:vAlign w:val="center"/>
          </w:tcPr>
          <w:p w14:paraId="6FE169FB">
            <w:pPr>
              <w:adjustRightInd w:val="0"/>
              <w:snapToGrid w:val="0"/>
              <w:jc w:val="center"/>
              <w:rPr>
                <w:color w:val="auto"/>
              </w:rPr>
            </w:pPr>
            <w:r>
              <w:rPr>
                <w:color w:val="auto"/>
              </w:rPr>
              <w:t>＞100cm</w:t>
            </w:r>
          </w:p>
        </w:tc>
        <w:tc>
          <w:tcPr>
            <w:tcW w:w="979" w:type="pct"/>
            <w:vAlign w:val="center"/>
          </w:tcPr>
          <w:p w14:paraId="35ABB101">
            <w:pPr>
              <w:adjustRightInd w:val="0"/>
              <w:snapToGrid w:val="0"/>
              <w:jc w:val="center"/>
              <w:rPr>
                <w:color w:val="auto"/>
              </w:rPr>
            </w:pPr>
            <w:r>
              <w:rPr>
                <w:color w:val="auto"/>
              </w:rPr>
              <w:t>70-100cm</w:t>
            </w:r>
          </w:p>
        </w:tc>
        <w:tc>
          <w:tcPr>
            <w:tcW w:w="780" w:type="pct"/>
            <w:vAlign w:val="center"/>
          </w:tcPr>
          <w:p w14:paraId="16B23FB8">
            <w:pPr>
              <w:adjustRightInd w:val="0"/>
              <w:snapToGrid w:val="0"/>
              <w:jc w:val="center"/>
              <w:rPr>
                <w:color w:val="auto"/>
              </w:rPr>
            </w:pPr>
            <w:r>
              <w:rPr>
                <w:color w:val="auto"/>
              </w:rPr>
              <w:t>50-70cm</w:t>
            </w:r>
          </w:p>
        </w:tc>
        <w:tc>
          <w:tcPr>
            <w:tcW w:w="906" w:type="pct"/>
            <w:vAlign w:val="center"/>
          </w:tcPr>
          <w:p w14:paraId="4F432CD7">
            <w:pPr>
              <w:adjustRightInd w:val="0"/>
              <w:snapToGrid w:val="0"/>
              <w:jc w:val="center"/>
              <w:rPr>
                <w:color w:val="auto"/>
              </w:rPr>
            </w:pPr>
            <w:r>
              <w:rPr>
                <w:color w:val="auto"/>
              </w:rPr>
              <w:t>30-50cm</w:t>
            </w:r>
          </w:p>
        </w:tc>
      </w:tr>
      <w:tr w14:paraId="36B521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1143" w:type="pct"/>
            <w:vAlign w:val="center"/>
          </w:tcPr>
          <w:p w14:paraId="542CF91E">
            <w:pPr>
              <w:adjustRightInd w:val="0"/>
              <w:snapToGrid w:val="0"/>
              <w:jc w:val="center"/>
              <w:rPr>
                <w:color w:val="auto"/>
              </w:rPr>
            </w:pPr>
            <w:r>
              <w:rPr>
                <w:color w:val="auto"/>
              </w:rPr>
              <w:t>土壤质地</w:t>
            </w:r>
          </w:p>
        </w:tc>
        <w:tc>
          <w:tcPr>
            <w:tcW w:w="389" w:type="pct"/>
            <w:vAlign w:val="center"/>
          </w:tcPr>
          <w:p w14:paraId="5C5DD3BB">
            <w:pPr>
              <w:adjustRightInd w:val="0"/>
              <w:snapToGrid w:val="0"/>
              <w:jc w:val="center"/>
              <w:rPr>
                <w:color w:val="auto"/>
              </w:rPr>
            </w:pPr>
            <w:r>
              <w:rPr>
                <w:color w:val="auto"/>
              </w:rPr>
              <w:t>0.15</w:t>
            </w:r>
          </w:p>
        </w:tc>
        <w:tc>
          <w:tcPr>
            <w:tcW w:w="802" w:type="pct"/>
            <w:vAlign w:val="center"/>
          </w:tcPr>
          <w:p w14:paraId="169092FD">
            <w:pPr>
              <w:adjustRightInd w:val="0"/>
              <w:snapToGrid w:val="0"/>
              <w:jc w:val="center"/>
              <w:rPr>
                <w:color w:val="auto"/>
              </w:rPr>
            </w:pPr>
            <w:r>
              <w:rPr>
                <w:color w:val="auto"/>
              </w:rPr>
              <w:t>壤质</w:t>
            </w:r>
          </w:p>
        </w:tc>
        <w:tc>
          <w:tcPr>
            <w:tcW w:w="979" w:type="pct"/>
            <w:vAlign w:val="center"/>
          </w:tcPr>
          <w:p w14:paraId="4363B686">
            <w:pPr>
              <w:adjustRightInd w:val="0"/>
              <w:snapToGrid w:val="0"/>
              <w:jc w:val="center"/>
              <w:rPr>
                <w:color w:val="auto"/>
              </w:rPr>
            </w:pPr>
            <w:r>
              <w:rPr>
                <w:color w:val="auto"/>
              </w:rPr>
              <w:t>砂壤质、粘质</w:t>
            </w:r>
          </w:p>
        </w:tc>
        <w:tc>
          <w:tcPr>
            <w:tcW w:w="780" w:type="pct"/>
            <w:vAlign w:val="center"/>
          </w:tcPr>
          <w:p w14:paraId="635DF883">
            <w:pPr>
              <w:adjustRightInd w:val="0"/>
              <w:snapToGrid w:val="0"/>
              <w:jc w:val="center"/>
              <w:rPr>
                <w:color w:val="auto"/>
              </w:rPr>
            </w:pPr>
            <w:r>
              <w:rPr>
                <w:color w:val="auto"/>
              </w:rPr>
              <w:t>沙土</w:t>
            </w:r>
          </w:p>
        </w:tc>
        <w:tc>
          <w:tcPr>
            <w:tcW w:w="906" w:type="pct"/>
            <w:vAlign w:val="center"/>
          </w:tcPr>
          <w:p w14:paraId="27139E85">
            <w:pPr>
              <w:adjustRightInd w:val="0"/>
              <w:snapToGrid w:val="0"/>
              <w:jc w:val="center"/>
              <w:rPr>
                <w:color w:val="auto"/>
              </w:rPr>
            </w:pPr>
            <w:r>
              <w:rPr>
                <w:color w:val="auto"/>
              </w:rPr>
              <w:t>砂砾质、砾质</w:t>
            </w:r>
          </w:p>
        </w:tc>
      </w:tr>
      <w:tr w14:paraId="31FE76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1143" w:type="pct"/>
            <w:vAlign w:val="center"/>
          </w:tcPr>
          <w:p w14:paraId="5DD2BC0F">
            <w:pPr>
              <w:adjustRightInd w:val="0"/>
              <w:snapToGrid w:val="0"/>
              <w:rPr>
                <w:color w:val="auto"/>
              </w:rPr>
            </w:pPr>
            <w:r>
              <w:rPr>
                <w:color w:val="auto"/>
              </w:rPr>
              <w:t>土壤有机质（g/kg）</w:t>
            </w:r>
          </w:p>
        </w:tc>
        <w:tc>
          <w:tcPr>
            <w:tcW w:w="389" w:type="pct"/>
            <w:vAlign w:val="center"/>
          </w:tcPr>
          <w:p w14:paraId="78856AC1">
            <w:pPr>
              <w:adjustRightInd w:val="0"/>
              <w:snapToGrid w:val="0"/>
              <w:jc w:val="center"/>
              <w:rPr>
                <w:color w:val="auto"/>
              </w:rPr>
            </w:pPr>
            <w:r>
              <w:rPr>
                <w:color w:val="auto"/>
              </w:rPr>
              <w:t>0.15</w:t>
            </w:r>
          </w:p>
        </w:tc>
        <w:tc>
          <w:tcPr>
            <w:tcW w:w="802" w:type="pct"/>
            <w:vAlign w:val="center"/>
          </w:tcPr>
          <w:p w14:paraId="315D701D">
            <w:pPr>
              <w:adjustRightInd w:val="0"/>
              <w:snapToGrid w:val="0"/>
              <w:jc w:val="center"/>
              <w:rPr>
                <w:color w:val="auto"/>
              </w:rPr>
            </w:pPr>
            <w:r>
              <w:rPr>
                <w:color w:val="auto"/>
              </w:rPr>
              <w:t>＞12</w:t>
            </w:r>
          </w:p>
        </w:tc>
        <w:tc>
          <w:tcPr>
            <w:tcW w:w="979" w:type="pct"/>
            <w:vAlign w:val="center"/>
          </w:tcPr>
          <w:p w14:paraId="68A2E811">
            <w:pPr>
              <w:adjustRightInd w:val="0"/>
              <w:snapToGrid w:val="0"/>
              <w:jc w:val="center"/>
              <w:rPr>
                <w:color w:val="auto"/>
              </w:rPr>
            </w:pPr>
            <w:r>
              <w:rPr>
                <w:color w:val="auto"/>
              </w:rPr>
              <w:t>12-8</w:t>
            </w:r>
          </w:p>
        </w:tc>
        <w:tc>
          <w:tcPr>
            <w:tcW w:w="780" w:type="pct"/>
            <w:vAlign w:val="center"/>
          </w:tcPr>
          <w:p w14:paraId="4CADC4B8">
            <w:pPr>
              <w:adjustRightInd w:val="0"/>
              <w:snapToGrid w:val="0"/>
              <w:jc w:val="center"/>
              <w:rPr>
                <w:color w:val="auto"/>
              </w:rPr>
            </w:pPr>
            <w:r>
              <w:rPr>
                <w:color w:val="auto"/>
              </w:rPr>
              <w:t>8-4</w:t>
            </w:r>
          </w:p>
        </w:tc>
        <w:tc>
          <w:tcPr>
            <w:tcW w:w="906" w:type="pct"/>
            <w:vAlign w:val="center"/>
          </w:tcPr>
          <w:p w14:paraId="416099F1">
            <w:pPr>
              <w:adjustRightInd w:val="0"/>
              <w:snapToGrid w:val="0"/>
              <w:jc w:val="center"/>
              <w:rPr>
                <w:color w:val="auto"/>
              </w:rPr>
            </w:pPr>
            <w:r>
              <w:rPr>
                <w:color w:val="auto"/>
              </w:rPr>
              <w:t>＜4</w:t>
            </w:r>
          </w:p>
        </w:tc>
      </w:tr>
      <w:tr w14:paraId="1091B0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1143" w:type="pct"/>
            <w:vAlign w:val="center"/>
          </w:tcPr>
          <w:p w14:paraId="0A23AF1F">
            <w:pPr>
              <w:adjustRightInd w:val="0"/>
              <w:snapToGrid w:val="0"/>
              <w:jc w:val="center"/>
              <w:rPr>
                <w:color w:val="auto"/>
              </w:rPr>
            </w:pPr>
            <w:r>
              <w:rPr>
                <w:color w:val="auto"/>
              </w:rPr>
              <w:t>地形坡度</w:t>
            </w:r>
          </w:p>
        </w:tc>
        <w:tc>
          <w:tcPr>
            <w:tcW w:w="389" w:type="pct"/>
            <w:vAlign w:val="center"/>
          </w:tcPr>
          <w:p w14:paraId="1601E4C6">
            <w:pPr>
              <w:adjustRightInd w:val="0"/>
              <w:snapToGrid w:val="0"/>
              <w:jc w:val="center"/>
              <w:rPr>
                <w:color w:val="auto"/>
              </w:rPr>
            </w:pPr>
            <w:r>
              <w:rPr>
                <w:color w:val="auto"/>
              </w:rPr>
              <w:t>0.15</w:t>
            </w:r>
          </w:p>
        </w:tc>
        <w:tc>
          <w:tcPr>
            <w:tcW w:w="802" w:type="pct"/>
            <w:vAlign w:val="center"/>
          </w:tcPr>
          <w:p w14:paraId="61B22F5C">
            <w:pPr>
              <w:adjustRightInd w:val="0"/>
              <w:snapToGrid w:val="0"/>
              <w:jc w:val="center"/>
              <w:rPr>
                <w:color w:val="auto"/>
              </w:rPr>
            </w:pPr>
            <w:r>
              <w:rPr>
                <w:color w:val="auto"/>
              </w:rPr>
              <w:t>＜2°</w:t>
            </w:r>
          </w:p>
        </w:tc>
        <w:tc>
          <w:tcPr>
            <w:tcW w:w="979" w:type="pct"/>
            <w:vAlign w:val="center"/>
          </w:tcPr>
          <w:p w14:paraId="0BCFB571">
            <w:pPr>
              <w:adjustRightInd w:val="0"/>
              <w:snapToGrid w:val="0"/>
              <w:jc w:val="center"/>
              <w:rPr>
                <w:color w:val="auto"/>
              </w:rPr>
            </w:pPr>
            <w:r>
              <w:rPr>
                <w:color w:val="auto"/>
              </w:rPr>
              <w:t>2-6°</w:t>
            </w:r>
          </w:p>
        </w:tc>
        <w:tc>
          <w:tcPr>
            <w:tcW w:w="780" w:type="pct"/>
            <w:vAlign w:val="center"/>
          </w:tcPr>
          <w:p w14:paraId="3A705B6F">
            <w:pPr>
              <w:adjustRightInd w:val="0"/>
              <w:snapToGrid w:val="0"/>
              <w:jc w:val="center"/>
              <w:rPr>
                <w:color w:val="auto"/>
              </w:rPr>
            </w:pPr>
            <w:r>
              <w:rPr>
                <w:color w:val="auto"/>
              </w:rPr>
              <w:t>6-15°</w:t>
            </w:r>
          </w:p>
        </w:tc>
        <w:tc>
          <w:tcPr>
            <w:tcW w:w="906" w:type="pct"/>
            <w:vAlign w:val="center"/>
          </w:tcPr>
          <w:p w14:paraId="037091B0">
            <w:pPr>
              <w:adjustRightInd w:val="0"/>
              <w:snapToGrid w:val="0"/>
              <w:jc w:val="center"/>
              <w:rPr>
                <w:color w:val="auto"/>
              </w:rPr>
            </w:pPr>
            <w:r>
              <w:rPr>
                <w:color w:val="auto"/>
              </w:rPr>
              <w:t>＞15°</w:t>
            </w:r>
          </w:p>
        </w:tc>
      </w:tr>
      <w:tr w14:paraId="4C69D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1143" w:type="pct"/>
            <w:vAlign w:val="center"/>
          </w:tcPr>
          <w:p w14:paraId="4033CF57">
            <w:pPr>
              <w:adjustRightInd w:val="0"/>
              <w:snapToGrid w:val="0"/>
              <w:jc w:val="center"/>
              <w:rPr>
                <w:color w:val="auto"/>
              </w:rPr>
            </w:pPr>
            <w:r>
              <w:rPr>
                <w:color w:val="auto"/>
              </w:rPr>
              <w:t>降雨量</w:t>
            </w:r>
          </w:p>
        </w:tc>
        <w:tc>
          <w:tcPr>
            <w:tcW w:w="389" w:type="pct"/>
            <w:vAlign w:val="center"/>
          </w:tcPr>
          <w:p w14:paraId="1EA60510">
            <w:pPr>
              <w:adjustRightInd w:val="0"/>
              <w:snapToGrid w:val="0"/>
              <w:jc w:val="center"/>
              <w:rPr>
                <w:color w:val="auto"/>
              </w:rPr>
            </w:pPr>
            <w:r>
              <w:rPr>
                <w:color w:val="auto"/>
              </w:rPr>
              <w:t>0.10</w:t>
            </w:r>
          </w:p>
        </w:tc>
        <w:tc>
          <w:tcPr>
            <w:tcW w:w="802" w:type="pct"/>
            <w:vAlign w:val="center"/>
          </w:tcPr>
          <w:p w14:paraId="621D0316">
            <w:pPr>
              <w:adjustRightInd w:val="0"/>
              <w:snapToGrid w:val="0"/>
              <w:jc w:val="center"/>
              <w:rPr>
                <w:color w:val="auto"/>
              </w:rPr>
            </w:pPr>
            <w:r>
              <w:rPr>
                <w:color w:val="auto"/>
              </w:rPr>
              <w:t>＞400mm</w:t>
            </w:r>
          </w:p>
        </w:tc>
        <w:tc>
          <w:tcPr>
            <w:tcW w:w="979" w:type="pct"/>
            <w:vAlign w:val="center"/>
          </w:tcPr>
          <w:p w14:paraId="0E0C5FC0">
            <w:pPr>
              <w:adjustRightInd w:val="0"/>
              <w:snapToGrid w:val="0"/>
              <w:jc w:val="center"/>
              <w:rPr>
                <w:color w:val="auto"/>
              </w:rPr>
            </w:pPr>
            <w:r>
              <w:rPr>
                <w:color w:val="auto"/>
              </w:rPr>
              <w:t>400-300mm</w:t>
            </w:r>
          </w:p>
        </w:tc>
        <w:tc>
          <w:tcPr>
            <w:tcW w:w="780" w:type="pct"/>
            <w:vAlign w:val="center"/>
          </w:tcPr>
          <w:p w14:paraId="0BC20CCA">
            <w:pPr>
              <w:adjustRightInd w:val="0"/>
              <w:snapToGrid w:val="0"/>
              <w:jc w:val="center"/>
              <w:rPr>
                <w:color w:val="auto"/>
              </w:rPr>
            </w:pPr>
            <w:r>
              <w:rPr>
                <w:color w:val="auto"/>
              </w:rPr>
              <w:t>300-200mm</w:t>
            </w:r>
          </w:p>
        </w:tc>
        <w:tc>
          <w:tcPr>
            <w:tcW w:w="906" w:type="pct"/>
            <w:vAlign w:val="center"/>
          </w:tcPr>
          <w:p w14:paraId="2E71522A">
            <w:pPr>
              <w:adjustRightInd w:val="0"/>
              <w:snapToGrid w:val="0"/>
              <w:jc w:val="center"/>
              <w:rPr>
                <w:color w:val="auto"/>
              </w:rPr>
            </w:pPr>
            <w:r>
              <w:rPr>
                <w:color w:val="auto"/>
              </w:rPr>
              <w:t>＜200mm</w:t>
            </w:r>
          </w:p>
        </w:tc>
      </w:tr>
      <w:tr w14:paraId="7A5951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1143" w:type="pct"/>
            <w:vAlign w:val="center"/>
          </w:tcPr>
          <w:p w14:paraId="12B3B58C">
            <w:pPr>
              <w:adjustRightInd w:val="0"/>
              <w:snapToGrid w:val="0"/>
              <w:jc w:val="center"/>
              <w:rPr>
                <w:color w:val="auto"/>
              </w:rPr>
            </w:pPr>
            <w:r>
              <w:rPr>
                <w:color w:val="auto"/>
              </w:rPr>
              <w:t>损毁程度</w:t>
            </w:r>
          </w:p>
        </w:tc>
        <w:tc>
          <w:tcPr>
            <w:tcW w:w="389" w:type="pct"/>
            <w:vAlign w:val="center"/>
          </w:tcPr>
          <w:p w14:paraId="13487C9A">
            <w:pPr>
              <w:adjustRightInd w:val="0"/>
              <w:snapToGrid w:val="0"/>
              <w:jc w:val="center"/>
              <w:rPr>
                <w:color w:val="auto"/>
              </w:rPr>
            </w:pPr>
            <w:r>
              <w:rPr>
                <w:color w:val="auto"/>
              </w:rPr>
              <w:t>0.15</w:t>
            </w:r>
          </w:p>
        </w:tc>
        <w:tc>
          <w:tcPr>
            <w:tcW w:w="802" w:type="pct"/>
            <w:vAlign w:val="center"/>
          </w:tcPr>
          <w:p w14:paraId="5EE0D106">
            <w:pPr>
              <w:adjustRightInd w:val="0"/>
              <w:snapToGrid w:val="0"/>
              <w:jc w:val="center"/>
              <w:rPr>
                <w:color w:val="auto"/>
              </w:rPr>
            </w:pPr>
            <w:r>
              <w:rPr>
                <w:color w:val="auto"/>
              </w:rPr>
              <w:t>轻微</w:t>
            </w:r>
          </w:p>
        </w:tc>
        <w:tc>
          <w:tcPr>
            <w:tcW w:w="979" w:type="pct"/>
            <w:vAlign w:val="center"/>
          </w:tcPr>
          <w:p w14:paraId="71BFAC0B">
            <w:pPr>
              <w:adjustRightInd w:val="0"/>
              <w:snapToGrid w:val="0"/>
              <w:jc w:val="center"/>
              <w:rPr>
                <w:color w:val="auto"/>
              </w:rPr>
            </w:pPr>
            <w:r>
              <w:rPr>
                <w:color w:val="auto"/>
              </w:rPr>
              <w:t>轻度</w:t>
            </w:r>
          </w:p>
        </w:tc>
        <w:tc>
          <w:tcPr>
            <w:tcW w:w="780" w:type="pct"/>
            <w:vAlign w:val="center"/>
          </w:tcPr>
          <w:p w14:paraId="61380C2B">
            <w:pPr>
              <w:adjustRightInd w:val="0"/>
              <w:snapToGrid w:val="0"/>
              <w:jc w:val="center"/>
              <w:rPr>
                <w:color w:val="auto"/>
              </w:rPr>
            </w:pPr>
            <w:r>
              <w:rPr>
                <w:color w:val="auto"/>
              </w:rPr>
              <w:t>中度</w:t>
            </w:r>
          </w:p>
        </w:tc>
        <w:tc>
          <w:tcPr>
            <w:tcW w:w="906" w:type="pct"/>
            <w:vAlign w:val="center"/>
          </w:tcPr>
          <w:p w14:paraId="3E37B64C">
            <w:pPr>
              <w:adjustRightInd w:val="0"/>
              <w:snapToGrid w:val="0"/>
              <w:jc w:val="center"/>
              <w:rPr>
                <w:color w:val="auto"/>
              </w:rPr>
            </w:pPr>
            <w:r>
              <w:rPr>
                <w:color w:val="auto"/>
              </w:rPr>
              <w:t>重度</w:t>
            </w:r>
          </w:p>
        </w:tc>
      </w:tr>
      <w:tr w14:paraId="269CA4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97" w:hRule="atLeast"/>
          <w:jc w:val="center"/>
        </w:trPr>
        <w:tc>
          <w:tcPr>
            <w:tcW w:w="1143" w:type="pct"/>
            <w:vAlign w:val="center"/>
          </w:tcPr>
          <w:p w14:paraId="4FA90CDF">
            <w:pPr>
              <w:adjustRightInd w:val="0"/>
              <w:snapToGrid w:val="0"/>
              <w:jc w:val="center"/>
              <w:rPr>
                <w:color w:val="auto"/>
              </w:rPr>
            </w:pPr>
            <w:r>
              <w:rPr>
                <w:color w:val="auto"/>
              </w:rPr>
              <w:t>区位条件</w:t>
            </w:r>
          </w:p>
        </w:tc>
        <w:tc>
          <w:tcPr>
            <w:tcW w:w="389" w:type="pct"/>
            <w:vAlign w:val="center"/>
          </w:tcPr>
          <w:p w14:paraId="235FB921">
            <w:pPr>
              <w:adjustRightInd w:val="0"/>
              <w:snapToGrid w:val="0"/>
              <w:jc w:val="center"/>
              <w:rPr>
                <w:color w:val="auto"/>
              </w:rPr>
            </w:pPr>
            <w:r>
              <w:rPr>
                <w:color w:val="auto"/>
              </w:rPr>
              <w:t>0.10</w:t>
            </w:r>
          </w:p>
        </w:tc>
        <w:tc>
          <w:tcPr>
            <w:tcW w:w="802" w:type="pct"/>
            <w:vAlign w:val="center"/>
          </w:tcPr>
          <w:p w14:paraId="2A4DF2F8">
            <w:pPr>
              <w:adjustRightInd w:val="0"/>
              <w:snapToGrid w:val="0"/>
              <w:jc w:val="center"/>
              <w:rPr>
                <w:color w:val="auto"/>
              </w:rPr>
            </w:pPr>
            <w:r>
              <w:rPr>
                <w:color w:val="auto"/>
              </w:rPr>
              <w:t>优越</w:t>
            </w:r>
          </w:p>
        </w:tc>
        <w:tc>
          <w:tcPr>
            <w:tcW w:w="979" w:type="pct"/>
            <w:vAlign w:val="center"/>
          </w:tcPr>
          <w:p w14:paraId="0B6ECE9E">
            <w:pPr>
              <w:adjustRightInd w:val="0"/>
              <w:snapToGrid w:val="0"/>
              <w:jc w:val="center"/>
              <w:rPr>
                <w:color w:val="auto"/>
              </w:rPr>
            </w:pPr>
            <w:r>
              <w:rPr>
                <w:color w:val="auto"/>
              </w:rPr>
              <w:t>良好</w:t>
            </w:r>
          </w:p>
        </w:tc>
        <w:tc>
          <w:tcPr>
            <w:tcW w:w="780" w:type="pct"/>
            <w:vAlign w:val="center"/>
          </w:tcPr>
          <w:p w14:paraId="34F9318E">
            <w:pPr>
              <w:adjustRightInd w:val="0"/>
              <w:snapToGrid w:val="0"/>
              <w:jc w:val="center"/>
              <w:rPr>
                <w:color w:val="auto"/>
              </w:rPr>
            </w:pPr>
            <w:r>
              <w:rPr>
                <w:color w:val="auto"/>
              </w:rPr>
              <w:t>一般</w:t>
            </w:r>
          </w:p>
        </w:tc>
        <w:tc>
          <w:tcPr>
            <w:tcW w:w="906" w:type="pct"/>
            <w:vAlign w:val="center"/>
          </w:tcPr>
          <w:p w14:paraId="56EEEA3A">
            <w:pPr>
              <w:adjustRightInd w:val="0"/>
              <w:snapToGrid w:val="0"/>
              <w:jc w:val="center"/>
              <w:rPr>
                <w:color w:val="auto"/>
              </w:rPr>
            </w:pPr>
            <w:r>
              <w:rPr>
                <w:color w:val="auto"/>
              </w:rPr>
              <w:t>不良</w:t>
            </w:r>
          </w:p>
        </w:tc>
      </w:tr>
    </w:tbl>
    <w:p w14:paraId="62600F94">
      <w:pPr>
        <w:pStyle w:val="69"/>
        <w:spacing w:before="240" w:beforeLines="100" w:line="360" w:lineRule="auto"/>
        <w:ind w:firstLine="560"/>
        <w:rPr>
          <w:rFonts w:hint="eastAsia" w:eastAsia="宋体"/>
          <w:color w:val="auto"/>
          <w:szCs w:val="28"/>
          <w:lang w:eastAsia="zh-CN"/>
        </w:rPr>
      </w:pPr>
      <w:r>
        <w:rPr>
          <w:rFonts w:eastAsia="宋体"/>
          <w:color w:val="auto"/>
          <w:szCs w:val="28"/>
        </w:rPr>
        <w:t>设每一评价单元有n个单因子加权评价指数，则加权指数和可表示为：</w:t>
      </w:r>
      <w:r>
        <w:rPr>
          <w:rFonts w:hint="eastAsia" w:eastAsia="宋体"/>
          <w:color w:val="auto"/>
          <w:position w:val="-28"/>
          <w:szCs w:val="28"/>
          <w:lang w:eastAsia="zh-CN"/>
        </w:rPr>
        <w:t xml:space="preserve">    </w:t>
      </w:r>
    </w:p>
    <w:p w14:paraId="1A428060">
      <w:pPr>
        <w:pStyle w:val="125"/>
        <w:ind w:firstLine="560"/>
        <w:rPr>
          <w:rFonts w:ascii="Times New Roman" w:hAnsi="Times New Roman"/>
          <w:color w:val="auto"/>
          <w:sz w:val="28"/>
          <w:szCs w:val="28"/>
        </w:rPr>
      </w:pPr>
      <w:r>
        <w:rPr>
          <w:rFonts w:ascii="Times New Roman" w:hAnsi="Times New Roman"/>
          <w:color w:val="auto"/>
          <w:sz w:val="28"/>
          <w:szCs w:val="28"/>
        </w:rPr>
        <w:t>其中：式中：</w:t>
      </w:r>
    </w:p>
    <w:p w14:paraId="0443B407">
      <w:pPr>
        <w:pStyle w:val="125"/>
        <w:ind w:firstLine="560"/>
        <w:rPr>
          <w:rFonts w:ascii="Times New Roman" w:hAnsi="Times New Roman"/>
          <w:color w:val="auto"/>
          <w:sz w:val="28"/>
          <w:szCs w:val="28"/>
        </w:rPr>
      </w:pPr>
      <w:r>
        <w:rPr>
          <w:rFonts w:hint="eastAsia" w:ascii="Times New Roman" w:hAnsi="Times New Roman"/>
          <w:color w:val="auto"/>
          <w:sz w:val="28"/>
          <w:szCs w:val="28"/>
          <w:lang w:eastAsia="zh-CN"/>
        </w:rPr>
        <w:t xml:space="preserve">    </w:t>
      </w:r>
      <w:r>
        <w:rPr>
          <w:rFonts w:ascii="Times New Roman" w:hAnsi="Times New Roman"/>
          <w:color w:val="auto"/>
          <w:sz w:val="28"/>
          <w:szCs w:val="28"/>
        </w:rPr>
        <w:t>—第</w:t>
      </w:r>
      <w:r>
        <w:rPr>
          <w:rFonts w:hint="eastAsia" w:ascii="Times New Roman" w:hAnsi="Times New Roman"/>
          <w:color w:val="auto"/>
          <w:sz w:val="28"/>
          <w:szCs w:val="28"/>
          <w:lang w:eastAsia="zh-CN"/>
        </w:rPr>
        <w:t xml:space="preserve">    </w:t>
      </w:r>
      <w:r>
        <w:rPr>
          <w:rFonts w:ascii="Times New Roman" w:hAnsi="Times New Roman"/>
          <w:color w:val="auto"/>
          <w:sz w:val="28"/>
          <w:szCs w:val="28"/>
        </w:rPr>
        <w:t>单元的综合得分；</w:t>
      </w:r>
    </w:p>
    <w:p w14:paraId="345E1928">
      <w:pPr>
        <w:pStyle w:val="125"/>
        <w:ind w:firstLine="560"/>
        <w:rPr>
          <w:rFonts w:ascii="Times New Roman" w:hAnsi="Times New Roman"/>
          <w:color w:val="auto"/>
          <w:sz w:val="28"/>
          <w:szCs w:val="28"/>
        </w:rPr>
      </w:pPr>
      <w:r>
        <w:rPr>
          <w:rFonts w:hint="eastAsia" w:ascii="Times New Roman" w:hAnsi="Times New Roman"/>
          <w:color w:val="auto"/>
          <w:sz w:val="28"/>
          <w:szCs w:val="28"/>
          <w:lang w:eastAsia="zh-CN"/>
        </w:rPr>
        <w:t xml:space="preserve">    </w:t>
      </w:r>
      <w:r>
        <w:rPr>
          <w:rFonts w:ascii="Times New Roman" w:hAnsi="Times New Roman"/>
          <w:color w:val="auto"/>
          <w:sz w:val="28"/>
          <w:szCs w:val="28"/>
        </w:rPr>
        <w:t>—第</w:t>
      </w:r>
      <w:r>
        <w:rPr>
          <w:rFonts w:hint="eastAsia" w:ascii="Times New Roman" w:hAnsi="Times New Roman"/>
          <w:color w:val="auto"/>
          <w:position w:val="-6"/>
          <w:sz w:val="28"/>
          <w:szCs w:val="28"/>
          <w:lang w:eastAsia="zh-CN"/>
        </w:rPr>
        <w:t xml:space="preserve">    </w:t>
      </w:r>
      <w:r>
        <w:rPr>
          <w:rFonts w:ascii="Times New Roman" w:hAnsi="Times New Roman"/>
          <w:color w:val="auto"/>
          <w:sz w:val="28"/>
          <w:szCs w:val="28"/>
        </w:rPr>
        <w:t>个参评因子的等级指数；</w:t>
      </w:r>
    </w:p>
    <w:p w14:paraId="18F7D83E">
      <w:pPr>
        <w:pStyle w:val="125"/>
        <w:ind w:firstLine="560"/>
        <w:rPr>
          <w:rFonts w:ascii="Times New Roman" w:hAnsi="Times New Roman"/>
          <w:color w:val="auto"/>
          <w:sz w:val="28"/>
          <w:szCs w:val="28"/>
        </w:rPr>
      </w:pPr>
      <w:r>
        <w:rPr>
          <w:rFonts w:hint="eastAsia" w:ascii="Times New Roman" w:hAnsi="Times New Roman"/>
          <w:color w:val="auto"/>
          <w:position w:val="-12"/>
          <w:sz w:val="28"/>
          <w:szCs w:val="28"/>
          <w:lang w:eastAsia="zh-CN"/>
        </w:rPr>
        <w:t xml:space="preserve">    </w:t>
      </w:r>
      <w:r>
        <w:rPr>
          <w:rFonts w:ascii="Times New Roman" w:hAnsi="Times New Roman"/>
          <w:color w:val="auto"/>
          <w:sz w:val="28"/>
          <w:szCs w:val="28"/>
        </w:rPr>
        <w:t>—第</w:t>
      </w:r>
      <w:r>
        <w:rPr>
          <w:rFonts w:hint="eastAsia" w:ascii="Times New Roman" w:hAnsi="Times New Roman"/>
          <w:color w:val="auto"/>
          <w:position w:val="-6"/>
          <w:sz w:val="28"/>
          <w:szCs w:val="28"/>
          <w:lang w:eastAsia="zh-CN"/>
        </w:rPr>
        <w:t xml:space="preserve">    </w:t>
      </w:r>
      <w:r>
        <w:rPr>
          <w:rFonts w:ascii="Times New Roman" w:hAnsi="Times New Roman"/>
          <w:color w:val="auto"/>
          <w:sz w:val="28"/>
          <w:szCs w:val="28"/>
        </w:rPr>
        <w:t>个参评因子的权重值；</w:t>
      </w:r>
    </w:p>
    <w:p w14:paraId="772F8BA7">
      <w:pPr>
        <w:pStyle w:val="125"/>
        <w:ind w:firstLine="560"/>
        <w:rPr>
          <w:rFonts w:ascii="Times New Roman" w:hAnsi="Times New Roman"/>
          <w:color w:val="auto"/>
          <w:sz w:val="28"/>
          <w:szCs w:val="28"/>
        </w:rPr>
      </w:pPr>
      <w:r>
        <w:rPr>
          <w:rFonts w:hint="eastAsia" w:ascii="Times New Roman" w:hAnsi="Times New Roman"/>
          <w:color w:val="auto"/>
          <w:sz w:val="28"/>
          <w:szCs w:val="28"/>
          <w:lang w:eastAsia="zh-CN"/>
        </w:rPr>
        <w:t xml:space="preserve">    </w:t>
      </w:r>
      <w:r>
        <w:rPr>
          <w:rFonts w:ascii="Times New Roman" w:hAnsi="Times New Roman"/>
          <w:color w:val="auto"/>
          <w:sz w:val="28"/>
          <w:szCs w:val="28"/>
        </w:rPr>
        <w:t>—参评因子的个数。</w:t>
      </w:r>
    </w:p>
    <w:p w14:paraId="760D6A4B">
      <w:pPr>
        <w:pStyle w:val="69"/>
        <w:spacing w:line="360" w:lineRule="auto"/>
        <w:ind w:firstLine="560"/>
        <w:rPr>
          <w:rFonts w:eastAsia="宋体"/>
          <w:color w:val="auto"/>
          <w:szCs w:val="28"/>
        </w:rPr>
      </w:pPr>
      <w:r>
        <w:rPr>
          <w:rFonts w:eastAsia="宋体"/>
          <w:color w:val="auto"/>
          <w:szCs w:val="28"/>
        </w:rPr>
        <w:t>根据加权值与复垦方向对照表，确定拟复垦土地的复垦方向，加权值与复垦方向见表</w:t>
      </w:r>
      <w:r>
        <w:rPr>
          <w:rFonts w:eastAsia="宋体"/>
          <w:color w:val="auto"/>
          <w:szCs w:val="28"/>
          <w:lang w:val="en-US"/>
        </w:rPr>
        <w:t>3-</w:t>
      </w:r>
      <w:r>
        <w:rPr>
          <w:rFonts w:hint="eastAsia" w:eastAsia="宋体"/>
          <w:color w:val="auto"/>
          <w:szCs w:val="28"/>
          <w:lang w:val="en-US" w:eastAsia="zh-CN"/>
        </w:rPr>
        <w:t>2</w:t>
      </w:r>
      <w:r>
        <w:rPr>
          <w:rFonts w:eastAsia="宋体"/>
          <w:color w:val="auto"/>
          <w:szCs w:val="28"/>
        </w:rPr>
        <w:t>。</w:t>
      </w:r>
    </w:p>
    <w:p w14:paraId="7BB3BD59">
      <w:pPr>
        <w:pStyle w:val="71"/>
        <w:rPr>
          <w:rFonts w:ascii="Times New Roman" w:hAnsi="Times New Roman" w:eastAsia="黑体" w:cs="Times New Roman"/>
          <w:color w:val="auto"/>
          <w:sz w:val="24"/>
          <w:szCs w:val="24"/>
        </w:rPr>
      </w:pPr>
      <w:r>
        <w:rPr>
          <w:rFonts w:ascii="Times New Roman" w:hAnsi="Times New Roman" w:eastAsia="黑体" w:cs="Times New Roman"/>
          <w:color w:val="auto"/>
          <w:sz w:val="24"/>
          <w:szCs w:val="24"/>
        </w:rPr>
        <w:t>表3-</w:t>
      </w:r>
      <w:r>
        <w:rPr>
          <w:rFonts w:hint="eastAsia" w:ascii="Times New Roman" w:hAnsi="Times New Roman" w:eastAsia="黑体" w:cs="Times New Roman"/>
          <w:color w:val="auto"/>
          <w:sz w:val="24"/>
          <w:szCs w:val="24"/>
          <w:lang w:val="en-US" w:eastAsia="zh-CN"/>
        </w:rPr>
        <w:t>29</w:t>
      </w:r>
      <w:r>
        <w:rPr>
          <w:rFonts w:ascii="Times New Roman" w:hAnsi="Times New Roman" w:eastAsia="黑体" w:cs="Times New Roman"/>
          <w:color w:val="auto"/>
          <w:sz w:val="24"/>
          <w:szCs w:val="24"/>
        </w:rPr>
        <w:t xml:space="preserve">  加权值与复垦方向对照表</w:t>
      </w:r>
    </w:p>
    <w:tbl>
      <w:tblPr>
        <w:tblStyle w:val="34"/>
        <w:tblW w:w="499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748"/>
        <w:gridCol w:w="3136"/>
        <w:gridCol w:w="2094"/>
        <w:gridCol w:w="1313"/>
      </w:tblGrid>
      <w:tr w14:paraId="55447C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054" w:type="pct"/>
            <w:tcBorders>
              <w:top w:val="single" w:color="auto" w:sz="2" w:space="0"/>
              <w:left w:val="single" w:color="auto" w:sz="2" w:space="0"/>
              <w:bottom w:val="single" w:color="auto" w:sz="2" w:space="0"/>
              <w:right w:val="single" w:color="auto" w:sz="2" w:space="0"/>
            </w:tcBorders>
            <w:vAlign w:val="center"/>
          </w:tcPr>
          <w:p w14:paraId="3973F425">
            <w:pPr>
              <w:jc w:val="center"/>
              <w:rPr>
                <w:color w:val="auto"/>
                <w:szCs w:val="21"/>
                <w:lang w:val="zh-CN"/>
              </w:rPr>
            </w:pPr>
            <w:r>
              <w:rPr>
                <w:color w:val="auto"/>
                <w:szCs w:val="21"/>
                <w:lang w:val="zh-CN"/>
              </w:rPr>
              <w:t>复垦方向</w:t>
            </w:r>
          </w:p>
        </w:tc>
        <w:tc>
          <w:tcPr>
            <w:tcW w:w="1891" w:type="pct"/>
            <w:tcBorders>
              <w:top w:val="single" w:color="auto" w:sz="2" w:space="0"/>
              <w:left w:val="single" w:color="auto" w:sz="2" w:space="0"/>
              <w:bottom w:val="single" w:color="auto" w:sz="2" w:space="0"/>
              <w:right w:val="single" w:color="auto" w:sz="2" w:space="0"/>
            </w:tcBorders>
            <w:vAlign w:val="center"/>
          </w:tcPr>
          <w:p w14:paraId="306A102D">
            <w:pPr>
              <w:jc w:val="center"/>
              <w:rPr>
                <w:color w:val="auto"/>
                <w:szCs w:val="21"/>
                <w:lang w:val="zh-CN"/>
              </w:rPr>
            </w:pPr>
            <w:r>
              <w:rPr>
                <w:color w:val="auto"/>
                <w:szCs w:val="21"/>
                <w:lang w:val="zh-CN"/>
              </w:rPr>
              <w:t>耕地、林地、草地</w:t>
            </w:r>
          </w:p>
        </w:tc>
        <w:tc>
          <w:tcPr>
            <w:tcW w:w="1263" w:type="pct"/>
            <w:tcBorders>
              <w:top w:val="single" w:color="auto" w:sz="2" w:space="0"/>
              <w:left w:val="single" w:color="auto" w:sz="2" w:space="0"/>
              <w:bottom w:val="single" w:color="auto" w:sz="2" w:space="0"/>
              <w:right w:val="single" w:color="auto" w:sz="2" w:space="0"/>
            </w:tcBorders>
            <w:vAlign w:val="center"/>
          </w:tcPr>
          <w:p w14:paraId="6FFB54ED">
            <w:pPr>
              <w:jc w:val="center"/>
              <w:rPr>
                <w:color w:val="auto"/>
                <w:szCs w:val="21"/>
                <w:lang w:val="zh-CN"/>
              </w:rPr>
            </w:pPr>
            <w:r>
              <w:rPr>
                <w:color w:val="auto"/>
                <w:szCs w:val="21"/>
                <w:lang w:val="zh-CN"/>
              </w:rPr>
              <w:t>林地、草地</w:t>
            </w:r>
          </w:p>
        </w:tc>
        <w:tc>
          <w:tcPr>
            <w:tcW w:w="792" w:type="pct"/>
            <w:tcBorders>
              <w:top w:val="single" w:color="auto" w:sz="2" w:space="0"/>
              <w:left w:val="single" w:color="auto" w:sz="2" w:space="0"/>
              <w:bottom w:val="single" w:color="auto" w:sz="2" w:space="0"/>
              <w:right w:val="single" w:color="auto" w:sz="2" w:space="0"/>
            </w:tcBorders>
            <w:vAlign w:val="center"/>
          </w:tcPr>
          <w:p w14:paraId="17F60C59">
            <w:pPr>
              <w:jc w:val="center"/>
              <w:rPr>
                <w:color w:val="auto"/>
                <w:szCs w:val="21"/>
                <w:lang w:val="zh-CN"/>
              </w:rPr>
            </w:pPr>
            <w:r>
              <w:rPr>
                <w:color w:val="auto"/>
                <w:szCs w:val="21"/>
                <w:lang w:val="zh-CN"/>
              </w:rPr>
              <w:t>草地</w:t>
            </w:r>
          </w:p>
        </w:tc>
      </w:tr>
      <w:tr w14:paraId="5460331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054" w:type="pct"/>
            <w:tcBorders>
              <w:top w:val="single" w:color="auto" w:sz="2" w:space="0"/>
              <w:left w:val="single" w:color="auto" w:sz="2" w:space="0"/>
              <w:bottom w:val="single" w:color="auto" w:sz="2" w:space="0"/>
              <w:right w:val="single" w:color="auto" w:sz="2" w:space="0"/>
            </w:tcBorders>
            <w:vAlign w:val="center"/>
          </w:tcPr>
          <w:p w14:paraId="3F72204C">
            <w:pPr>
              <w:jc w:val="center"/>
              <w:rPr>
                <w:color w:val="auto"/>
                <w:szCs w:val="21"/>
                <w:lang w:val="zh-CN"/>
              </w:rPr>
            </w:pPr>
            <w:r>
              <w:rPr>
                <w:color w:val="auto"/>
                <w:szCs w:val="21"/>
                <w:lang w:val="zh-CN"/>
              </w:rPr>
              <w:t>加权值</w:t>
            </w:r>
          </w:p>
        </w:tc>
        <w:tc>
          <w:tcPr>
            <w:tcW w:w="1891" w:type="pct"/>
            <w:tcBorders>
              <w:top w:val="single" w:color="auto" w:sz="2" w:space="0"/>
              <w:left w:val="single" w:color="auto" w:sz="2" w:space="0"/>
              <w:bottom w:val="single" w:color="auto" w:sz="2" w:space="0"/>
              <w:right w:val="single" w:color="auto" w:sz="2" w:space="0"/>
            </w:tcBorders>
            <w:vAlign w:val="center"/>
          </w:tcPr>
          <w:p w14:paraId="184DE1F2">
            <w:pPr>
              <w:jc w:val="center"/>
              <w:rPr>
                <w:color w:val="auto"/>
                <w:szCs w:val="21"/>
                <w:lang w:val="zh-CN"/>
              </w:rPr>
            </w:pPr>
            <w:r>
              <w:rPr>
                <w:color w:val="auto"/>
                <w:szCs w:val="21"/>
                <w:lang w:val="zh-CN"/>
              </w:rPr>
              <w:t>＞3.00</w:t>
            </w:r>
          </w:p>
        </w:tc>
        <w:tc>
          <w:tcPr>
            <w:tcW w:w="1263" w:type="pct"/>
            <w:tcBorders>
              <w:top w:val="single" w:color="auto" w:sz="2" w:space="0"/>
              <w:left w:val="single" w:color="auto" w:sz="2" w:space="0"/>
              <w:bottom w:val="single" w:color="auto" w:sz="2" w:space="0"/>
              <w:right w:val="single" w:color="auto" w:sz="2" w:space="0"/>
            </w:tcBorders>
            <w:vAlign w:val="center"/>
          </w:tcPr>
          <w:p w14:paraId="7EE1CEB0">
            <w:pPr>
              <w:jc w:val="center"/>
              <w:rPr>
                <w:color w:val="auto"/>
                <w:szCs w:val="21"/>
                <w:lang w:val="zh-CN"/>
              </w:rPr>
            </w:pPr>
            <w:r>
              <w:rPr>
                <w:color w:val="auto"/>
                <w:szCs w:val="21"/>
                <w:lang w:val="zh-CN"/>
              </w:rPr>
              <w:t>2.00-3.00</w:t>
            </w:r>
          </w:p>
        </w:tc>
        <w:tc>
          <w:tcPr>
            <w:tcW w:w="792" w:type="pct"/>
            <w:tcBorders>
              <w:top w:val="single" w:color="auto" w:sz="2" w:space="0"/>
              <w:left w:val="single" w:color="auto" w:sz="2" w:space="0"/>
              <w:bottom w:val="single" w:color="auto" w:sz="2" w:space="0"/>
              <w:right w:val="single" w:color="auto" w:sz="2" w:space="0"/>
            </w:tcBorders>
            <w:vAlign w:val="center"/>
          </w:tcPr>
          <w:p w14:paraId="37C3249B">
            <w:pPr>
              <w:jc w:val="center"/>
              <w:rPr>
                <w:color w:val="auto"/>
                <w:szCs w:val="21"/>
                <w:lang w:val="zh-CN"/>
              </w:rPr>
            </w:pPr>
            <w:r>
              <w:rPr>
                <w:color w:val="auto"/>
                <w:szCs w:val="21"/>
                <w:lang w:val="zh-CN"/>
              </w:rPr>
              <w:t>＜2.00</w:t>
            </w:r>
          </w:p>
        </w:tc>
      </w:tr>
    </w:tbl>
    <w:p w14:paraId="0994B899">
      <w:pPr>
        <w:pStyle w:val="71"/>
        <w:rPr>
          <w:rFonts w:ascii="Times New Roman" w:hAnsi="Times New Roman" w:eastAsia="黑体" w:cs="Times New Roman"/>
          <w:color w:val="auto"/>
          <w:sz w:val="20"/>
        </w:rPr>
      </w:pPr>
    </w:p>
    <w:p w14:paraId="297A84C0">
      <w:pPr>
        <w:spacing w:line="360" w:lineRule="auto"/>
        <w:ind w:firstLine="560" w:firstLineChars="200"/>
        <w:rPr>
          <w:rFonts w:eastAsiaTheme="minorEastAsia"/>
          <w:color w:val="auto"/>
          <w:sz w:val="28"/>
          <w:szCs w:val="28"/>
        </w:rPr>
      </w:pPr>
      <w:r>
        <w:rPr>
          <w:color w:val="auto"/>
          <w:sz w:val="28"/>
          <w:szCs w:val="28"/>
        </w:rPr>
        <w:t>（4）评价单元土地质量状况</w:t>
      </w:r>
    </w:p>
    <w:p w14:paraId="5C4371F2">
      <w:pPr>
        <w:spacing w:line="360" w:lineRule="auto"/>
        <w:ind w:firstLine="560" w:firstLineChars="200"/>
        <w:rPr>
          <w:color w:val="auto"/>
          <w:sz w:val="28"/>
          <w:szCs w:val="28"/>
        </w:rPr>
      </w:pPr>
      <w:r>
        <w:rPr>
          <w:color w:val="auto"/>
          <w:sz w:val="28"/>
          <w:szCs w:val="28"/>
        </w:rPr>
        <w:t>根据评价单元土地质量，对照拟复垦土地适宜性评价的参评因子、权重及等级表，计算出各评价单元的适宜性评价加权值，根据加权值对照表加权值与复垦方向对照表，确定各个评价单元的复垦方向。各评价单元土地质量见表3-</w:t>
      </w:r>
      <w:r>
        <w:rPr>
          <w:rFonts w:hint="eastAsia"/>
          <w:color w:val="auto"/>
          <w:sz w:val="28"/>
          <w:szCs w:val="28"/>
          <w:lang w:val="en-US" w:eastAsia="zh-CN"/>
        </w:rPr>
        <w:t>30</w:t>
      </w:r>
      <w:r>
        <w:rPr>
          <w:color w:val="auto"/>
          <w:sz w:val="28"/>
          <w:szCs w:val="28"/>
        </w:rPr>
        <w:t>。</w:t>
      </w:r>
    </w:p>
    <w:p w14:paraId="61419EE5">
      <w:pPr>
        <w:pStyle w:val="71"/>
        <w:rPr>
          <w:rFonts w:ascii="Times New Roman" w:hAnsi="Times New Roman" w:eastAsia="黑体" w:cs="Times New Roman"/>
          <w:color w:val="auto"/>
          <w:sz w:val="24"/>
          <w:szCs w:val="24"/>
        </w:rPr>
      </w:pPr>
    </w:p>
    <w:p w14:paraId="22773399">
      <w:pPr>
        <w:pStyle w:val="71"/>
        <w:rPr>
          <w:rFonts w:ascii="Times New Roman" w:hAnsi="Times New Roman" w:eastAsia="黑体" w:cs="Times New Roman"/>
          <w:color w:val="auto"/>
          <w:sz w:val="24"/>
          <w:szCs w:val="24"/>
        </w:rPr>
      </w:pPr>
      <w:r>
        <w:rPr>
          <w:rFonts w:ascii="Times New Roman" w:hAnsi="Times New Roman" w:eastAsia="黑体" w:cs="Times New Roman"/>
          <w:color w:val="auto"/>
          <w:sz w:val="24"/>
          <w:szCs w:val="24"/>
        </w:rPr>
        <w:t>表3-</w:t>
      </w:r>
      <w:r>
        <w:rPr>
          <w:rFonts w:hint="eastAsia" w:ascii="Times New Roman" w:hAnsi="Times New Roman" w:eastAsia="黑体" w:cs="Times New Roman"/>
          <w:color w:val="auto"/>
          <w:sz w:val="24"/>
          <w:szCs w:val="24"/>
          <w:lang w:val="en-US" w:eastAsia="zh-CN"/>
        </w:rPr>
        <w:t>30</w:t>
      </w:r>
      <w:r>
        <w:rPr>
          <w:rFonts w:ascii="Times New Roman" w:hAnsi="Times New Roman" w:eastAsia="黑体" w:cs="Times New Roman"/>
          <w:color w:val="auto"/>
          <w:sz w:val="24"/>
          <w:szCs w:val="24"/>
        </w:rPr>
        <w:t xml:space="preserve">  各评价单元土地质量表</w:t>
      </w:r>
    </w:p>
    <w:tbl>
      <w:tblPr>
        <w:tblStyle w:val="34"/>
        <w:tblW w:w="485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197"/>
        <w:gridCol w:w="997"/>
        <w:gridCol w:w="1330"/>
        <w:gridCol w:w="1189"/>
        <w:gridCol w:w="942"/>
        <w:gridCol w:w="1055"/>
        <w:gridCol w:w="708"/>
        <w:gridCol w:w="642"/>
      </w:tblGrid>
      <w:tr w14:paraId="16427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742" w:type="pct"/>
            <w:shd w:val="clear" w:color="auto" w:fill="auto"/>
            <w:vAlign w:val="center"/>
          </w:tcPr>
          <w:p w14:paraId="376493D2">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评价单元</w:t>
            </w:r>
          </w:p>
        </w:tc>
        <w:tc>
          <w:tcPr>
            <w:tcW w:w="618" w:type="pct"/>
            <w:shd w:val="clear" w:color="auto" w:fill="auto"/>
            <w:vAlign w:val="center"/>
          </w:tcPr>
          <w:p w14:paraId="0E852F9A">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有效土层厚度</w:t>
            </w:r>
          </w:p>
        </w:tc>
        <w:tc>
          <w:tcPr>
            <w:tcW w:w="824" w:type="pct"/>
            <w:shd w:val="clear" w:color="auto" w:fill="auto"/>
            <w:vAlign w:val="center"/>
          </w:tcPr>
          <w:p w14:paraId="66B40103">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土壤质地</w:t>
            </w:r>
          </w:p>
        </w:tc>
        <w:tc>
          <w:tcPr>
            <w:tcW w:w="737" w:type="pct"/>
            <w:shd w:val="clear" w:color="auto" w:fill="auto"/>
            <w:vAlign w:val="center"/>
          </w:tcPr>
          <w:p w14:paraId="40F83685">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土壤有机质</w:t>
            </w:r>
            <w:r>
              <w:rPr>
                <w:rFonts w:hint="default" w:ascii="Times New Roman" w:hAnsi="Times New Roman" w:eastAsia="宋体" w:cs="Times New Roman"/>
                <w:b/>
                <w:bCs/>
                <w:i w:val="0"/>
                <w:iCs w:val="0"/>
                <w:color w:val="auto"/>
                <w:kern w:val="0"/>
                <w:sz w:val="18"/>
                <w:szCs w:val="18"/>
                <w:u w:val="none"/>
                <w:lang w:val="en-US" w:eastAsia="zh-CN" w:bidi="ar"/>
              </w:rPr>
              <w:t>/</w:t>
            </w:r>
            <w:r>
              <w:rPr>
                <w:rFonts w:hint="eastAsia" w:ascii="宋体" w:hAnsi="宋体" w:eastAsia="宋体" w:cs="宋体"/>
                <w:b/>
                <w:bCs/>
                <w:i w:val="0"/>
                <w:iCs w:val="0"/>
                <w:color w:val="auto"/>
                <w:kern w:val="0"/>
                <w:sz w:val="18"/>
                <w:szCs w:val="18"/>
                <w:u w:val="none"/>
                <w:lang w:val="en-US" w:eastAsia="zh-CN" w:bidi="ar"/>
              </w:rPr>
              <w:t>（</w:t>
            </w:r>
            <w:r>
              <w:rPr>
                <w:rFonts w:hint="default" w:ascii="Times New Roman" w:hAnsi="Times New Roman" w:eastAsia="宋体" w:cs="Times New Roman"/>
                <w:b/>
                <w:bCs/>
                <w:i w:val="0"/>
                <w:iCs w:val="0"/>
                <w:color w:val="auto"/>
                <w:kern w:val="0"/>
                <w:sz w:val="18"/>
                <w:szCs w:val="18"/>
                <w:u w:val="none"/>
                <w:lang w:val="en-US" w:eastAsia="zh-CN" w:bidi="ar"/>
              </w:rPr>
              <w:t>g·kg-1</w:t>
            </w:r>
            <w:r>
              <w:rPr>
                <w:rFonts w:hint="eastAsia" w:ascii="宋体" w:hAnsi="宋体" w:eastAsia="宋体" w:cs="宋体"/>
                <w:b/>
                <w:bCs/>
                <w:i w:val="0"/>
                <w:iCs w:val="0"/>
                <w:color w:val="auto"/>
                <w:kern w:val="0"/>
                <w:sz w:val="18"/>
                <w:szCs w:val="18"/>
                <w:u w:val="none"/>
                <w:lang w:val="en-US" w:eastAsia="zh-CN" w:bidi="ar"/>
              </w:rPr>
              <w:t>）</w:t>
            </w:r>
          </w:p>
        </w:tc>
        <w:tc>
          <w:tcPr>
            <w:tcW w:w="584" w:type="pct"/>
            <w:shd w:val="clear" w:color="auto" w:fill="auto"/>
            <w:vAlign w:val="center"/>
          </w:tcPr>
          <w:p w14:paraId="1BCFB1AD">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地形坡度</w:t>
            </w:r>
          </w:p>
        </w:tc>
        <w:tc>
          <w:tcPr>
            <w:tcW w:w="654" w:type="pct"/>
            <w:shd w:val="clear" w:color="auto" w:fill="auto"/>
            <w:vAlign w:val="center"/>
          </w:tcPr>
          <w:p w14:paraId="240D7E59">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降雨量</w:t>
            </w:r>
          </w:p>
        </w:tc>
        <w:tc>
          <w:tcPr>
            <w:tcW w:w="439" w:type="pct"/>
            <w:shd w:val="clear" w:color="auto" w:fill="auto"/>
            <w:vAlign w:val="center"/>
          </w:tcPr>
          <w:p w14:paraId="57436224">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损毁程度</w:t>
            </w:r>
          </w:p>
        </w:tc>
        <w:tc>
          <w:tcPr>
            <w:tcW w:w="397" w:type="pct"/>
            <w:shd w:val="clear" w:color="auto" w:fill="auto"/>
            <w:vAlign w:val="center"/>
          </w:tcPr>
          <w:p w14:paraId="44A3390E">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区位条件</w:t>
            </w:r>
          </w:p>
        </w:tc>
      </w:tr>
      <w:tr w14:paraId="4823C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742" w:type="pct"/>
            <w:shd w:val="clear" w:color="auto" w:fill="auto"/>
            <w:vAlign w:val="center"/>
          </w:tcPr>
          <w:p w14:paraId="2158531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露天采场</w:t>
            </w:r>
          </w:p>
        </w:tc>
        <w:tc>
          <w:tcPr>
            <w:tcW w:w="618" w:type="pct"/>
            <w:shd w:val="clear" w:color="auto" w:fill="auto"/>
            <w:noWrap/>
            <w:vAlign w:val="center"/>
          </w:tcPr>
          <w:p w14:paraId="14C54B9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30-50cm</w:t>
            </w:r>
          </w:p>
        </w:tc>
        <w:tc>
          <w:tcPr>
            <w:tcW w:w="824" w:type="pct"/>
            <w:shd w:val="clear" w:color="auto" w:fill="auto"/>
            <w:noWrap/>
            <w:vAlign w:val="center"/>
          </w:tcPr>
          <w:p w14:paraId="10AD8BD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砂壤质、粘质</w:t>
            </w:r>
          </w:p>
        </w:tc>
        <w:tc>
          <w:tcPr>
            <w:tcW w:w="737" w:type="pct"/>
            <w:shd w:val="clear" w:color="auto" w:fill="auto"/>
            <w:noWrap/>
            <w:vAlign w:val="center"/>
          </w:tcPr>
          <w:p w14:paraId="11F219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12</w:t>
            </w:r>
          </w:p>
        </w:tc>
        <w:tc>
          <w:tcPr>
            <w:tcW w:w="584" w:type="pct"/>
            <w:shd w:val="clear" w:color="auto" w:fill="auto"/>
            <w:noWrap/>
            <w:vAlign w:val="center"/>
          </w:tcPr>
          <w:p w14:paraId="2E621D73">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15°</w:t>
            </w:r>
          </w:p>
        </w:tc>
        <w:tc>
          <w:tcPr>
            <w:tcW w:w="654" w:type="pct"/>
            <w:shd w:val="clear" w:color="auto" w:fill="auto"/>
            <w:noWrap/>
            <w:vAlign w:val="center"/>
          </w:tcPr>
          <w:p w14:paraId="6C71C13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r>
              <w:rPr>
                <w:rFonts w:hint="default" w:ascii="Times New Roman" w:hAnsi="Times New Roman" w:eastAsia="宋体" w:cs="Times New Roman"/>
                <w:i w:val="0"/>
                <w:iCs w:val="0"/>
                <w:color w:val="auto"/>
                <w:kern w:val="0"/>
                <w:sz w:val="18"/>
                <w:szCs w:val="18"/>
                <w:u w:val="none"/>
                <w:lang w:val="en-US" w:eastAsia="zh-CN" w:bidi="ar"/>
              </w:rPr>
              <w:t>400mm</w:t>
            </w:r>
          </w:p>
        </w:tc>
        <w:tc>
          <w:tcPr>
            <w:tcW w:w="439" w:type="pct"/>
            <w:shd w:val="clear" w:color="auto" w:fill="auto"/>
            <w:noWrap/>
            <w:vAlign w:val="center"/>
          </w:tcPr>
          <w:p w14:paraId="330B0D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重度</w:t>
            </w:r>
          </w:p>
        </w:tc>
        <w:tc>
          <w:tcPr>
            <w:tcW w:w="397" w:type="pct"/>
            <w:shd w:val="clear" w:color="auto" w:fill="auto"/>
            <w:noWrap/>
            <w:vAlign w:val="center"/>
          </w:tcPr>
          <w:p w14:paraId="7088D19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一般</w:t>
            </w:r>
          </w:p>
        </w:tc>
      </w:tr>
      <w:tr w14:paraId="33E60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742" w:type="pct"/>
            <w:shd w:val="clear" w:color="auto" w:fill="auto"/>
            <w:noWrap/>
            <w:vAlign w:val="center"/>
          </w:tcPr>
          <w:p w14:paraId="491ED43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cs="宋体"/>
                <w:i w:val="0"/>
                <w:iCs w:val="0"/>
                <w:color w:val="auto"/>
                <w:kern w:val="0"/>
                <w:sz w:val="20"/>
                <w:szCs w:val="20"/>
                <w:u w:val="none"/>
                <w:lang w:val="en-US" w:eastAsia="zh-CN" w:bidi="ar"/>
              </w:rPr>
              <w:t>1#</w:t>
            </w:r>
            <w:r>
              <w:rPr>
                <w:rFonts w:hint="eastAsia" w:ascii="宋体" w:hAnsi="宋体" w:eastAsia="宋体" w:cs="宋体"/>
                <w:i w:val="0"/>
                <w:iCs w:val="0"/>
                <w:color w:val="auto"/>
                <w:kern w:val="0"/>
                <w:sz w:val="20"/>
                <w:szCs w:val="20"/>
                <w:u w:val="none"/>
                <w:lang w:val="en-US" w:eastAsia="zh-CN" w:bidi="ar"/>
              </w:rPr>
              <w:t>废石场</w:t>
            </w:r>
          </w:p>
        </w:tc>
        <w:tc>
          <w:tcPr>
            <w:tcW w:w="618" w:type="pct"/>
            <w:shd w:val="clear" w:color="auto" w:fill="auto"/>
            <w:noWrap/>
            <w:vAlign w:val="center"/>
          </w:tcPr>
          <w:p w14:paraId="17EB992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30-50cm</w:t>
            </w:r>
          </w:p>
        </w:tc>
        <w:tc>
          <w:tcPr>
            <w:tcW w:w="824" w:type="pct"/>
            <w:shd w:val="clear" w:color="auto" w:fill="auto"/>
            <w:noWrap/>
            <w:vAlign w:val="center"/>
          </w:tcPr>
          <w:p w14:paraId="6C26A72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砂壤质、粘质</w:t>
            </w:r>
          </w:p>
        </w:tc>
        <w:tc>
          <w:tcPr>
            <w:tcW w:w="737" w:type="pct"/>
            <w:shd w:val="clear" w:color="auto" w:fill="auto"/>
            <w:noWrap/>
            <w:vAlign w:val="center"/>
          </w:tcPr>
          <w:p w14:paraId="40B131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c>
          <w:tcPr>
            <w:tcW w:w="584" w:type="pct"/>
            <w:shd w:val="clear" w:color="auto" w:fill="auto"/>
            <w:noWrap/>
            <w:vAlign w:val="center"/>
          </w:tcPr>
          <w:p w14:paraId="0472BEA3">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w:t>
            </w:r>
          </w:p>
        </w:tc>
        <w:tc>
          <w:tcPr>
            <w:tcW w:w="654" w:type="pct"/>
            <w:shd w:val="clear" w:color="auto" w:fill="auto"/>
            <w:noWrap/>
            <w:vAlign w:val="center"/>
          </w:tcPr>
          <w:p w14:paraId="22B487C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r>
              <w:rPr>
                <w:rFonts w:hint="default" w:ascii="Times New Roman" w:hAnsi="Times New Roman" w:eastAsia="宋体" w:cs="Times New Roman"/>
                <w:i w:val="0"/>
                <w:iCs w:val="0"/>
                <w:color w:val="auto"/>
                <w:kern w:val="0"/>
                <w:sz w:val="18"/>
                <w:szCs w:val="18"/>
                <w:u w:val="none"/>
                <w:lang w:val="en-US" w:eastAsia="zh-CN" w:bidi="ar"/>
              </w:rPr>
              <w:t>400mm</w:t>
            </w:r>
          </w:p>
        </w:tc>
        <w:tc>
          <w:tcPr>
            <w:tcW w:w="439" w:type="pct"/>
            <w:shd w:val="clear" w:color="auto" w:fill="auto"/>
            <w:noWrap/>
            <w:vAlign w:val="center"/>
          </w:tcPr>
          <w:p w14:paraId="2D2E34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中度</w:t>
            </w:r>
          </w:p>
        </w:tc>
        <w:tc>
          <w:tcPr>
            <w:tcW w:w="397" w:type="pct"/>
            <w:shd w:val="clear" w:color="auto" w:fill="auto"/>
            <w:noWrap/>
            <w:vAlign w:val="center"/>
          </w:tcPr>
          <w:p w14:paraId="7AE3612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一般</w:t>
            </w:r>
          </w:p>
        </w:tc>
      </w:tr>
      <w:tr w14:paraId="2E765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742" w:type="pct"/>
            <w:shd w:val="clear" w:color="auto" w:fill="auto"/>
            <w:noWrap/>
            <w:vAlign w:val="center"/>
          </w:tcPr>
          <w:p w14:paraId="4B25943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cs="宋体"/>
                <w:i w:val="0"/>
                <w:iCs w:val="0"/>
                <w:color w:val="auto"/>
                <w:kern w:val="0"/>
                <w:sz w:val="20"/>
                <w:szCs w:val="20"/>
                <w:u w:val="none"/>
                <w:lang w:val="en-US" w:eastAsia="zh-CN" w:bidi="ar"/>
              </w:rPr>
              <w:t>2#废</w:t>
            </w:r>
            <w:r>
              <w:rPr>
                <w:rFonts w:hint="eastAsia" w:ascii="宋体" w:hAnsi="宋体" w:eastAsia="宋体" w:cs="宋体"/>
                <w:i w:val="0"/>
                <w:iCs w:val="0"/>
                <w:color w:val="auto"/>
                <w:kern w:val="0"/>
                <w:sz w:val="20"/>
                <w:szCs w:val="20"/>
                <w:u w:val="none"/>
                <w:lang w:val="en-US" w:eastAsia="zh-CN" w:bidi="ar"/>
              </w:rPr>
              <w:t>石场</w:t>
            </w:r>
          </w:p>
        </w:tc>
        <w:tc>
          <w:tcPr>
            <w:tcW w:w="618" w:type="pct"/>
            <w:shd w:val="clear" w:color="auto" w:fill="auto"/>
            <w:noWrap/>
            <w:vAlign w:val="center"/>
          </w:tcPr>
          <w:p w14:paraId="1D6C31D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30-50cm</w:t>
            </w:r>
          </w:p>
        </w:tc>
        <w:tc>
          <w:tcPr>
            <w:tcW w:w="824" w:type="pct"/>
            <w:shd w:val="clear" w:color="auto" w:fill="auto"/>
            <w:noWrap/>
            <w:vAlign w:val="center"/>
          </w:tcPr>
          <w:p w14:paraId="0311569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砂壤质、粘质</w:t>
            </w:r>
          </w:p>
        </w:tc>
        <w:tc>
          <w:tcPr>
            <w:tcW w:w="737" w:type="pct"/>
            <w:shd w:val="clear" w:color="auto" w:fill="auto"/>
            <w:noWrap/>
            <w:vAlign w:val="center"/>
          </w:tcPr>
          <w:p w14:paraId="59C115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12</w:t>
            </w:r>
          </w:p>
        </w:tc>
        <w:tc>
          <w:tcPr>
            <w:tcW w:w="584" w:type="pct"/>
            <w:shd w:val="clear" w:color="auto" w:fill="auto"/>
            <w:noWrap/>
            <w:vAlign w:val="center"/>
          </w:tcPr>
          <w:p w14:paraId="5789C6F7">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15°</w:t>
            </w:r>
          </w:p>
        </w:tc>
        <w:tc>
          <w:tcPr>
            <w:tcW w:w="654" w:type="pct"/>
            <w:shd w:val="clear" w:color="auto" w:fill="auto"/>
            <w:noWrap/>
            <w:vAlign w:val="top"/>
          </w:tcPr>
          <w:p w14:paraId="15F6A2C0">
            <w:pPr>
              <w:keepNext w:val="0"/>
              <w:keepLines w:val="0"/>
              <w:widowControl/>
              <w:suppressLineNumbers w:val="0"/>
              <w:jc w:val="center"/>
              <w:textAlignment w:val="top"/>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r>
              <w:rPr>
                <w:rFonts w:hint="default" w:ascii="Times New Roman" w:hAnsi="Times New Roman" w:eastAsia="宋体" w:cs="Times New Roman"/>
                <w:i w:val="0"/>
                <w:iCs w:val="0"/>
                <w:color w:val="auto"/>
                <w:kern w:val="0"/>
                <w:sz w:val="18"/>
                <w:szCs w:val="18"/>
                <w:u w:val="none"/>
                <w:lang w:val="en-US" w:eastAsia="zh-CN" w:bidi="ar"/>
              </w:rPr>
              <w:t>400mm</w:t>
            </w:r>
          </w:p>
        </w:tc>
        <w:tc>
          <w:tcPr>
            <w:tcW w:w="439" w:type="pct"/>
            <w:shd w:val="clear" w:color="auto" w:fill="auto"/>
            <w:noWrap/>
            <w:vAlign w:val="center"/>
          </w:tcPr>
          <w:p w14:paraId="09F5B4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重度</w:t>
            </w:r>
          </w:p>
        </w:tc>
        <w:tc>
          <w:tcPr>
            <w:tcW w:w="397" w:type="pct"/>
            <w:shd w:val="clear" w:color="auto" w:fill="auto"/>
            <w:noWrap/>
            <w:vAlign w:val="center"/>
          </w:tcPr>
          <w:p w14:paraId="2EC816E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一般</w:t>
            </w:r>
          </w:p>
        </w:tc>
      </w:tr>
      <w:tr w14:paraId="6221C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742" w:type="pct"/>
            <w:shd w:val="clear" w:color="auto" w:fill="auto"/>
            <w:vAlign w:val="center"/>
          </w:tcPr>
          <w:p w14:paraId="77E17FA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1#废渣堆</w:t>
            </w:r>
          </w:p>
        </w:tc>
        <w:tc>
          <w:tcPr>
            <w:tcW w:w="618" w:type="pct"/>
            <w:shd w:val="clear" w:color="auto" w:fill="auto"/>
            <w:noWrap/>
            <w:vAlign w:val="center"/>
          </w:tcPr>
          <w:p w14:paraId="5505AE3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30-50cm</w:t>
            </w:r>
          </w:p>
        </w:tc>
        <w:tc>
          <w:tcPr>
            <w:tcW w:w="824" w:type="pct"/>
            <w:shd w:val="clear" w:color="auto" w:fill="auto"/>
            <w:noWrap/>
            <w:vAlign w:val="center"/>
          </w:tcPr>
          <w:p w14:paraId="6FF8996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砂壤质、粘质</w:t>
            </w:r>
          </w:p>
        </w:tc>
        <w:tc>
          <w:tcPr>
            <w:tcW w:w="737" w:type="pct"/>
            <w:shd w:val="clear" w:color="auto" w:fill="auto"/>
            <w:noWrap/>
            <w:vAlign w:val="center"/>
          </w:tcPr>
          <w:p w14:paraId="430CDB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c>
          <w:tcPr>
            <w:tcW w:w="584" w:type="pct"/>
            <w:shd w:val="clear" w:color="auto" w:fill="auto"/>
            <w:noWrap/>
            <w:vAlign w:val="center"/>
          </w:tcPr>
          <w:p w14:paraId="4021EDE1">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w:t>
            </w:r>
          </w:p>
        </w:tc>
        <w:tc>
          <w:tcPr>
            <w:tcW w:w="654" w:type="pct"/>
            <w:shd w:val="clear" w:color="auto" w:fill="auto"/>
            <w:noWrap/>
            <w:vAlign w:val="top"/>
          </w:tcPr>
          <w:p w14:paraId="6A679662">
            <w:pPr>
              <w:keepNext w:val="0"/>
              <w:keepLines w:val="0"/>
              <w:widowControl/>
              <w:suppressLineNumbers w:val="0"/>
              <w:jc w:val="center"/>
              <w:textAlignment w:val="top"/>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r>
              <w:rPr>
                <w:rFonts w:hint="default" w:ascii="Times New Roman" w:hAnsi="Times New Roman" w:eastAsia="宋体" w:cs="Times New Roman"/>
                <w:i w:val="0"/>
                <w:iCs w:val="0"/>
                <w:color w:val="auto"/>
                <w:kern w:val="0"/>
                <w:sz w:val="18"/>
                <w:szCs w:val="18"/>
                <w:u w:val="none"/>
                <w:lang w:val="en-US" w:eastAsia="zh-CN" w:bidi="ar"/>
              </w:rPr>
              <w:t>400mm</w:t>
            </w:r>
          </w:p>
        </w:tc>
        <w:tc>
          <w:tcPr>
            <w:tcW w:w="439" w:type="pct"/>
            <w:shd w:val="clear" w:color="auto" w:fill="auto"/>
            <w:noWrap/>
            <w:vAlign w:val="center"/>
          </w:tcPr>
          <w:p w14:paraId="5A5B05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中度</w:t>
            </w:r>
          </w:p>
        </w:tc>
        <w:tc>
          <w:tcPr>
            <w:tcW w:w="397" w:type="pct"/>
            <w:shd w:val="clear" w:color="auto" w:fill="auto"/>
            <w:noWrap/>
            <w:vAlign w:val="center"/>
          </w:tcPr>
          <w:p w14:paraId="49E93C9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一般</w:t>
            </w:r>
          </w:p>
        </w:tc>
      </w:tr>
      <w:tr w14:paraId="2A41C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742" w:type="pct"/>
            <w:shd w:val="clear" w:color="auto" w:fill="auto"/>
            <w:vAlign w:val="center"/>
          </w:tcPr>
          <w:p w14:paraId="0987672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2#废渣堆</w:t>
            </w:r>
          </w:p>
        </w:tc>
        <w:tc>
          <w:tcPr>
            <w:tcW w:w="618" w:type="pct"/>
            <w:shd w:val="clear" w:color="auto" w:fill="auto"/>
            <w:noWrap/>
            <w:vAlign w:val="center"/>
          </w:tcPr>
          <w:p w14:paraId="5D5DCBE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30-50cm</w:t>
            </w:r>
          </w:p>
        </w:tc>
        <w:tc>
          <w:tcPr>
            <w:tcW w:w="824" w:type="pct"/>
            <w:shd w:val="clear" w:color="auto" w:fill="auto"/>
            <w:noWrap/>
            <w:vAlign w:val="center"/>
          </w:tcPr>
          <w:p w14:paraId="0ED7D73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砂壤质、粘质</w:t>
            </w:r>
          </w:p>
        </w:tc>
        <w:tc>
          <w:tcPr>
            <w:tcW w:w="737" w:type="pct"/>
            <w:shd w:val="clear" w:color="auto" w:fill="auto"/>
            <w:noWrap/>
            <w:vAlign w:val="center"/>
          </w:tcPr>
          <w:p w14:paraId="113FF6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12</w:t>
            </w:r>
          </w:p>
        </w:tc>
        <w:tc>
          <w:tcPr>
            <w:tcW w:w="584" w:type="pct"/>
            <w:shd w:val="clear" w:color="auto" w:fill="auto"/>
            <w:noWrap/>
            <w:vAlign w:val="center"/>
          </w:tcPr>
          <w:p w14:paraId="7B93E1E1">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15°</w:t>
            </w:r>
          </w:p>
        </w:tc>
        <w:tc>
          <w:tcPr>
            <w:tcW w:w="654" w:type="pct"/>
            <w:shd w:val="clear" w:color="auto" w:fill="auto"/>
            <w:noWrap/>
            <w:vAlign w:val="top"/>
          </w:tcPr>
          <w:p w14:paraId="44EC3BF0">
            <w:pPr>
              <w:keepNext w:val="0"/>
              <w:keepLines w:val="0"/>
              <w:widowControl/>
              <w:suppressLineNumbers w:val="0"/>
              <w:jc w:val="center"/>
              <w:textAlignment w:val="top"/>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r>
              <w:rPr>
                <w:rFonts w:hint="default" w:ascii="Times New Roman" w:hAnsi="Times New Roman" w:eastAsia="宋体" w:cs="Times New Roman"/>
                <w:i w:val="0"/>
                <w:iCs w:val="0"/>
                <w:color w:val="auto"/>
                <w:kern w:val="0"/>
                <w:sz w:val="18"/>
                <w:szCs w:val="18"/>
                <w:u w:val="none"/>
                <w:lang w:val="en-US" w:eastAsia="zh-CN" w:bidi="ar"/>
              </w:rPr>
              <w:t>400mm</w:t>
            </w:r>
          </w:p>
        </w:tc>
        <w:tc>
          <w:tcPr>
            <w:tcW w:w="439" w:type="pct"/>
            <w:shd w:val="clear" w:color="auto" w:fill="auto"/>
            <w:noWrap/>
            <w:vAlign w:val="center"/>
          </w:tcPr>
          <w:p w14:paraId="43404B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中度</w:t>
            </w:r>
          </w:p>
        </w:tc>
        <w:tc>
          <w:tcPr>
            <w:tcW w:w="397" w:type="pct"/>
            <w:shd w:val="clear" w:color="auto" w:fill="auto"/>
            <w:noWrap/>
            <w:vAlign w:val="center"/>
          </w:tcPr>
          <w:p w14:paraId="252E7A9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一般</w:t>
            </w:r>
          </w:p>
        </w:tc>
      </w:tr>
      <w:tr w14:paraId="5F00E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742" w:type="pct"/>
            <w:shd w:val="clear" w:color="auto" w:fill="auto"/>
            <w:vAlign w:val="center"/>
          </w:tcPr>
          <w:p w14:paraId="0F25BD0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3#废渣堆</w:t>
            </w:r>
          </w:p>
        </w:tc>
        <w:tc>
          <w:tcPr>
            <w:tcW w:w="618" w:type="pct"/>
            <w:shd w:val="clear" w:color="auto" w:fill="auto"/>
            <w:noWrap/>
            <w:vAlign w:val="center"/>
          </w:tcPr>
          <w:p w14:paraId="2E7C9D7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30-50cm</w:t>
            </w:r>
          </w:p>
        </w:tc>
        <w:tc>
          <w:tcPr>
            <w:tcW w:w="824" w:type="pct"/>
            <w:shd w:val="clear" w:color="auto" w:fill="auto"/>
            <w:noWrap/>
            <w:vAlign w:val="center"/>
          </w:tcPr>
          <w:p w14:paraId="312BE56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砂壤质、粘质</w:t>
            </w:r>
          </w:p>
        </w:tc>
        <w:tc>
          <w:tcPr>
            <w:tcW w:w="737" w:type="pct"/>
            <w:shd w:val="clear" w:color="auto" w:fill="auto"/>
            <w:noWrap/>
            <w:vAlign w:val="center"/>
          </w:tcPr>
          <w:p w14:paraId="4BC028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c>
          <w:tcPr>
            <w:tcW w:w="584" w:type="pct"/>
            <w:shd w:val="clear" w:color="auto" w:fill="auto"/>
            <w:noWrap/>
            <w:vAlign w:val="center"/>
          </w:tcPr>
          <w:p w14:paraId="4BB990F3">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w:t>
            </w:r>
          </w:p>
        </w:tc>
        <w:tc>
          <w:tcPr>
            <w:tcW w:w="654" w:type="pct"/>
            <w:shd w:val="clear" w:color="auto" w:fill="auto"/>
            <w:noWrap/>
            <w:vAlign w:val="top"/>
          </w:tcPr>
          <w:p w14:paraId="2D06B0D0">
            <w:pPr>
              <w:keepNext w:val="0"/>
              <w:keepLines w:val="0"/>
              <w:widowControl/>
              <w:suppressLineNumbers w:val="0"/>
              <w:jc w:val="center"/>
              <w:textAlignment w:val="top"/>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r>
              <w:rPr>
                <w:rFonts w:hint="default" w:ascii="Times New Roman" w:hAnsi="Times New Roman" w:eastAsia="宋体" w:cs="Times New Roman"/>
                <w:i w:val="0"/>
                <w:iCs w:val="0"/>
                <w:color w:val="auto"/>
                <w:kern w:val="0"/>
                <w:sz w:val="18"/>
                <w:szCs w:val="18"/>
                <w:u w:val="none"/>
                <w:lang w:val="en-US" w:eastAsia="zh-CN" w:bidi="ar"/>
              </w:rPr>
              <w:t>400mm</w:t>
            </w:r>
          </w:p>
        </w:tc>
        <w:tc>
          <w:tcPr>
            <w:tcW w:w="439" w:type="pct"/>
            <w:shd w:val="clear" w:color="auto" w:fill="auto"/>
            <w:noWrap/>
            <w:vAlign w:val="center"/>
          </w:tcPr>
          <w:p w14:paraId="643B47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中度</w:t>
            </w:r>
          </w:p>
        </w:tc>
        <w:tc>
          <w:tcPr>
            <w:tcW w:w="397" w:type="pct"/>
            <w:shd w:val="clear" w:color="auto" w:fill="auto"/>
            <w:noWrap/>
            <w:vAlign w:val="center"/>
          </w:tcPr>
          <w:p w14:paraId="12D2308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一般</w:t>
            </w:r>
          </w:p>
        </w:tc>
      </w:tr>
      <w:tr w14:paraId="3E5FD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742" w:type="pct"/>
            <w:shd w:val="clear" w:color="auto" w:fill="auto"/>
            <w:vAlign w:val="center"/>
          </w:tcPr>
          <w:p w14:paraId="557ADF69">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工业场地</w:t>
            </w:r>
          </w:p>
        </w:tc>
        <w:tc>
          <w:tcPr>
            <w:tcW w:w="618" w:type="pct"/>
            <w:shd w:val="clear" w:color="auto" w:fill="auto"/>
            <w:noWrap/>
            <w:vAlign w:val="center"/>
          </w:tcPr>
          <w:p w14:paraId="0EEB7ED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30-50cm</w:t>
            </w:r>
          </w:p>
        </w:tc>
        <w:tc>
          <w:tcPr>
            <w:tcW w:w="824" w:type="pct"/>
            <w:shd w:val="clear" w:color="auto" w:fill="auto"/>
            <w:noWrap/>
            <w:vAlign w:val="center"/>
          </w:tcPr>
          <w:p w14:paraId="21D1B423">
            <w:pPr>
              <w:keepNext w:val="0"/>
              <w:keepLines w:val="0"/>
              <w:widowControl/>
              <w:suppressLineNumbers w:val="0"/>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砂壤质、粘质</w:t>
            </w:r>
          </w:p>
        </w:tc>
        <w:tc>
          <w:tcPr>
            <w:tcW w:w="737" w:type="pct"/>
            <w:shd w:val="clear" w:color="auto" w:fill="auto"/>
            <w:noWrap/>
            <w:vAlign w:val="center"/>
          </w:tcPr>
          <w:p w14:paraId="63CB04FE">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＞12</w:t>
            </w:r>
          </w:p>
        </w:tc>
        <w:tc>
          <w:tcPr>
            <w:tcW w:w="584" w:type="pct"/>
            <w:shd w:val="clear" w:color="auto" w:fill="auto"/>
            <w:noWrap/>
            <w:vAlign w:val="center"/>
          </w:tcPr>
          <w:p w14:paraId="203F5685">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w:t>
            </w:r>
          </w:p>
        </w:tc>
        <w:tc>
          <w:tcPr>
            <w:tcW w:w="654" w:type="pct"/>
            <w:shd w:val="clear" w:color="auto" w:fill="auto"/>
            <w:noWrap/>
            <w:vAlign w:val="top"/>
          </w:tcPr>
          <w:p w14:paraId="54798D26">
            <w:pPr>
              <w:keepNext w:val="0"/>
              <w:keepLines w:val="0"/>
              <w:widowControl/>
              <w:suppressLineNumbers w:val="0"/>
              <w:jc w:val="center"/>
              <w:textAlignment w:val="top"/>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w:t>
            </w:r>
            <w:r>
              <w:rPr>
                <w:rFonts w:hint="default" w:ascii="Times New Roman" w:hAnsi="Times New Roman" w:eastAsia="宋体" w:cs="Times New Roman"/>
                <w:i w:val="0"/>
                <w:iCs w:val="0"/>
                <w:color w:val="auto"/>
                <w:kern w:val="0"/>
                <w:sz w:val="18"/>
                <w:szCs w:val="18"/>
                <w:u w:val="none"/>
                <w:lang w:val="en-US" w:eastAsia="zh-CN" w:bidi="ar"/>
              </w:rPr>
              <w:t>400mm</w:t>
            </w:r>
          </w:p>
        </w:tc>
        <w:tc>
          <w:tcPr>
            <w:tcW w:w="439" w:type="pct"/>
            <w:shd w:val="clear" w:color="auto" w:fill="auto"/>
            <w:noWrap/>
            <w:vAlign w:val="center"/>
          </w:tcPr>
          <w:p w14:paraId="62A11862">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中度</w:t>
            </w:r>
          </w:p>
        </w:tc>
        <w:tc>
          <w:tcPr>
            <w:tcW w:w="397" w:type="pct"/>
            <w:shd w:val="clear" w:color="auto" w:fill="auto"/>
            <w:noWrap/>
            <w:vAlign w:val="center"/>
          </w:tcPr>
          <w:p w14:paraId="64144EBF">
            <w:pPr>
              <w:keepNext w:val="0"/>
              <w:keepLines w:val="0"/>
              <w:widowControl/>
              <w:suppressLineNumbers w:val="0"/>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一般</w:t>
            </w:r>
          </w:p>
        </w:tc>
      </w:tr>
      <w:tr w14:paraId="6DD00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742" w:type="pct"/>
            <w:shd w:val="clear" w:color="auto" w:fill="auto"/>
            <w:vAlign w:val="center"/>
          </w:tcPr>
          <w:p w14:paraId="118F148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矿区道路</w:t>
            </w:r>
          </w:p>
        </w:tc>
        <w:tc>
          <w:tcPr>
            <w:tcW w:w="618" w:type="pct"/>
            <w:shd w:val="clear" w:color="auto" w:fill="auto"/>
            <w:noWrap/>
            <w:vAlign w:val="center"/>
          </w:tcPr>
          <w:p w14:paraId="32A2F72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30-50cm</w:t>
            </w:r>
          </w:p>
        </w:tc>
        <w:tc>
          <w:tcPr>
            <w:tcW w:w="824" w:type="pct"/>
            <w:shd w:val="clear" w:color="auto" w:fill="auto"/>
            <w:noWrap/>
            <w:vAlign w:val="center"/>
          </w:tcPr>
          <w:p w14:paraId="102CE69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砂壤质、粘质</w:t>
            </w:r>
          </w:p>
        </w:tc>
        <w:tc>
          <w:tcPr>
            <w:tcW w:w="737" w:type="pct"/>
            <w:shd w:val="clear" w:color="auto" w:fill="auto"/>
            <w:noWrap/>
            <w:vAlign w:val="center"/>
          </w:tcPr>
          <w:p w14:paraId="5D9C55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c>
          <w:tcPr>
            <w:tcW w:w="584" w:type="pct"/>
            <w:shd w:val="clear" w:color="auto" w:fill="auto"/>
            <w:noWrap/>
            <w:vAlign w:val="center"/>
          </w:tcPr>
          <w:p w14:paraId="34FE69EE">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2°</w:t>
            </w:r>
          </w:p>
        </w:tc>
        <w:tc>
          <w:tcPr>
            <w:tcW w:w="654" w:type="pct"/>
            <w:shd w:val="clear" w:color="auto" w:fill="auto"/>
            <w:noWrap/>
            <w:vAlign w:val="top"/>
          </w:tcPr>
          <w:p w14:paraId="6D6C0021">
            <w:pPr>
              <w:keepNext w:val="0"/>
              <w:keepLines w:val="0"/>
              <w:widowControl/>
              <w:suppressLineNumbers w:val="0"/>
              <w:jc w:val="center"/>
              <w:textAlignment w:val="top"/>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w:t>
            </w:r>
            <w:r>
              <w:rPr>
                <w:rFonts w:hint="default" w:ascii="Times New Roman" w:hAnsi="Times New Roman" w:eastAsia="宋体" w:cs="Times New Roman"/>
                <w:i w:val="0"/>
                <w:iCs w:val="0"/>
                <w:color w:val="auto"/>
                <w:kern w:val="0"/>
                <w:sz w:val="18"/>
                <w:szCs w:val="18"/>
                <w:u w:val="none"/>
                <w:lang w:val="en-US" w:eastAsia="zh-CN" w:bidi="ar"/>
              </w:rPr>
              <w:t>400mm</w:t>
            </w:r>
          </w:p>
        </w:tc>
        <w:tc>
          <w:tcPr>
            <w:tcW w:w="439" w:type="pct"/>
            <w:shd w:val="clear" w:color="auto" w:fill="auto"/>
            <w:noWrap/>
            <w:vAlign w:val="center"/>
          </w:tcPr>
          <w:p w14:paraId="786216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中度</w:t>
            </w:r>
          </w:p>
        </w:tc>
        <w:tc>
          <w:tcPr>
            <w:tcW w:w="397" w:type="pct"/>
            <w:shd w:val="clear" w:color="auto" w:fill="auto"/>
            <w:noWrap/>
            <w:vAlign w:val="center"/>
          </w:tcPr>
          <w:p w14:paraId="3866292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一般</w:t>
            </w:r>
          </w:p>
        </w:tc>
      </w:tr>
    </w:tbl>
    <w:p w14:paraId="04A514D1">
      <w:pPr>
        <w:pStyle w:val="71"/>
        <w:rPr>
          <w:rFonts w:ascii="Times New Roman" w:hAnsi="Times New Roman" w:eastAsia="黑体" w:cs="Times New Roman"/>
          <w:color w:val="auto"/>
          <w:sz w:val="24"/>
          <w:szCs w:val="24"/>
        </w:rPr>
      </w:pPr>
    </w:p>
    <w:p w14:paraId="78ABC9F6">
      <w:pPr>
        <w:spacing w:line="360" w:lineRule="auto"/>
        <w:ind w:firstLine="548" w:firstLineChars="196"/>
        <w:rPr>
          <w:rFonts w:eastAsiaTheme="minorEastAsia"/>
          <w:color w:val="auto"/>
          <w:sz w:val="28"/>
          <w:szCs w:val="28"/>
        </w:rPr>
      </w:pPr>
      <w:r>
        <w:rPr>
          <w:color w:val="auto"/>
          <w:sz w:val="28"/>
          <w:szCs w:val="28"/>
        </w:rPr>
        <w:t>（5）评价等级及土地复垦适宜性评价结果</w:t>
      </w:r>
    </w:p>
    <w:p w14:paraId="716FD455">
      <w:pPr>
        <w:spacing w:line="360" w:lineRule="auto"/>
        <w:ind w:firstLine="548" w:firstLineChars="196"/>
        <w:rPr>
          <w:color w:val="auto"/>
          <w:sz w:val="28"/>
          <w:szCs w:val="28"/>
        </w:rPr>
      </w:pPr>
      <w:r>
        <w:rPr>
          <w:color w:val="auto"/>
          <w:sz w:val="28"/>
          <w:szCs w:val="28"/>
        </w:rPr>
        <w:t>在进行加权值计算和复垦方向评价时，预测地面塌陷区与其他场地重叠时，单独对场地进行加权值的计算，评价单元适宜性评价加权值及土地复垦结构调整表见表3-</w:t>
      </w:r>
      <w:r>
        <w:rPr>
          <w:rFonts w:hint="eastAsia"/>
          <w:color w:val="auto"/>
          <w:sz w:val="28"/>
          <w:szCs w:val="28"/>
          <w:lang w:val="en-US" w:eastAsia="zh-CN"/>
        </w:rPr>
        <w:t>31</w:t>
      </w:r>
      <w:r>
        <w:rPr>
          <w:color w:val="auto"/>
          <w:sz w:val="28"/>
          <w:szCs w:val="28"/>
        </w:rPr>
        <w:t>。</w:t>
      </w:r>
    </w:p>
    <w:p w14:paraId="6A31A55B">
      <w:pPr>
        <w:pStyle w:val="71"/>
        <w:rPr>
          <w:rFonts w:ascii="Times New Roman" w:hAnsi="Times New Roman" w:eastAsia="黑体" w:cs="Times New Roman"/>
          <w:color w:val="auto"/>
          <w:sz w:val="24"/>
          <w:szCs w:val="24"/>
        </w:rPr>
      </w:pPr>
      <w:r>
        <w:rPr>
          <w:rFonts w:ascii="Times New Roman" w:hAnsi="Times New Roman" w:eastAsia="黑体" w:cs="Times New Roman"/>
          <w:color w:val="auto"/>
          <w:sz w:val="24"/>
          <w:szCs w:val="24"/>
        </w:rPr>
        <w:t>表3-</w:t>
      </w:r>
      <w:r>
        <w:rPr>
          <w:rFonts w:hint="eastAsia" w:ascii="Times New Roman" w:hAnsi="Times New Roman" w:eastAsia="黑体" w:cs="Times New Roman"/>
          <w:color w:val="auto"/>
          <w:sz w:val="24"/>
          <w:szCs w:val="24"/>
          <w:lang w:val="en-US" w:eastAsia="zh-CN"/>
        </w:rPr>
        <w:t>31</w:t>
      </w:r>
      <w:r>
        <w:rPr>
          <w:rFonts w:ascii="Times New Roman" w:hAnsi="Times New Roman" w:eastAsia="黑体" w:cs="Times New Roman"/>
          <w:color w:val="auto"/>
          <w:sz w:val="24"/>
          <w:szCs w:val="24"/>
        </w:rPr>
        <w:t xml:space="preserve">  评价单元适宜性评价加权值及土地复垦结构调整表</w:t>
      </w:r>
    </w:p>
    <w:tbl>
      <w:tblPr>
        <w:tblStyle w:val="34"/>
        <w:tblW w:w="830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75"/>
        <w:gridCol w:w="1911"/>
        <w:gridCol w:w="2437"/>
        <w:gridCol w:w="2386"/>
      </w:tblGrid>
      <w:tr w14:paraId="4203C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BFAC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评价单元</w:t>
            </w:r>
          </w:p>
        </w:tc>
        <w:tc>
          <w:tcPr>
            <w:tcW w:w="19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8A79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单元面积（</w:t>
            </w: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2</w:t>
            </w:r>
            <w:r>
              <w:rPr>
                <w:rFonts w:hint="eastAsia" w:ascii="宋体" w:hAnsi="宋体" w:eastAsia="宋体" w:cs="宋体"/>
                <w:i w:val="0"/>
                <w:iCs w:val="0"/>
                <w:color w:val="auto"/>
                <w:kern w:val="0"/>
                <w:sz w:val="21"/>
                <w:szCs w:val="21"/>
                <w:u w:val="none"/>
                <w:lang w:val="en-US" w:eastAsia="zh-CN" w:bidi="ar"/>
              </w:rPr>
              <w:t>）</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891F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复垦方向</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8169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复垦面积（</w:t>
            </w: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2</w:t>
            </w:r>
            <w:r>
              <w:rPr>
                <w:rFonts w:hint="eastAsia" w:ascii="宋体" w:hAnsi="宋体" w:eastAsia="宋体" w:cs="宋体"/>
                <w:i w:val="0"/>
                <w:iCs w:val="0"/>
                <w:color w:val="auto"/>
                <w:kern w:val="0"/>
                <w:sz w:val="21"/>
                <w:szCs w:val="21"/>
                <w:u w:val="none"/>
                <w:lang w:val="en-US" w:eastAsia="zh-CN" w:bidi="ar"/>
              </w:rPr>
              <w:t>）</w:t>
            </w:r>
          </w:p>
        </w:tc>
      </w:tr>
      <w:tr w14:paraId="273B9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2ECA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露天采场</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66D1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35248</w:t>
            </w:r>
          </w:p>
        </w:tc>
        <w:tc>
          <w:tcPr>
            <w:tcW w:w="2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EE91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林地、草地</w:t>
            </w:r>
          </w:p>
        </w:tc>
        <w:tc>
          <w:tcPr>
            <w:tcW w:w="2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3ABC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35248</w:t>
            </w:r>
          </w:p>
        </w:tc>
      </w:tr>
      <w:tr w14:paraId="3576A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C698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cs="宋体"/>
                <w:i w:val="0"/>
                <w:iCs w:val="0"/>
                <w:color w:val="auto"/>
                <w:kern w:val="0"/>
                <w:sz w:val="20"/>
                <w:szCs w:val="20"/>
                <w:u w:val="none"/>
                <w:lang w:val="en-US" w:eastAsia="zh-CN" w:bidi="ar"/>
              </w:rPr>
              <w:t>1#</w:t>
            </w:r>
            <w:r>
              <w:rPr>
                <w:rFonts w:hint="eastAsia" w:ascii="宋体" w:hAnsi="宋体" w:eastAsia="宋体" w:cs="宋体"/>
                <w:i w:val="0"/>
                <w:iCs w:val="0"/>
                <w:color w:val="auto"/>
                <w:kern w:val="0"/>
                <w:sz w:val="20"/>
                <w:szCs w:val="20"/>
                <w:u w:val="none"/>
                <w:lang w:val="en-US" w:eastAsia="zh-CN" w:bidi="ar"/>
              </w:rPr>
              <w:t>废石场</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26A6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4811</w:t>
            </w:r>
          </w:p>
        </w:tc>
        <w:tc>
          <w:tcPr>
            <w:tcW w:w="2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83AF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林地、草地</w:t>
            </w:r>
          </w:p>
        </w:tc>
        <w:tc>
          <w:tcPr>
            <w:tcW w:w="2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2C18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4811</w:t>
            </w:r>
          </w:p>
        </w:tc>
      </w:tr>
      <w:tr w14:paraId="0597F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48B7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cs="宋体"/>
                <w:i w:val="0"/>
                <w:iCs w:val="0"/>
                <w:color w:val="auto"/>
                <w:kern w:val="0"/>
                <w:sz w:val="20"/>
                <w:szCs w:val="20"/>
                <w:u w:val="none"/>
                <w:lang w:val="en-US" w:eastAsia="zh-CN" w:bidi="ar"/>
              </w:rPr>
              <w:t>2#废</w:t>
            </w:r>
            <w:r>
              <w:rPr>
                <w:rFonts w:hint="eastAsia" w:ascii="宋体" w:hAnsi="宋体" w:eastAsia="宋体" w:cs="宋体"/>
                <w:i w:val="0"/>
                <w:iCs w:val="0"/>
                <w:color w:val="auto"/>
                <w:kern w:val="0"/>
                <w:sz w:val="20"/>
                <w:szCs w:val="20"/>
                <w:u w:val="none"/>
                <w:lang w:val="en-US" w:eastAsia="zh-CN" w:bidi="ar"/>
              </w:rPr>
              <w:t>石场</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FFF5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lang w:val="en-US"/>
              </w:rPr>
            </w:pPr>
            <w:r>
              <w:rPr>
                <w:rFonts w:hint="eastAsia" w:cs="Times New Roman"/>
                <w:i w:val="0"/>
                <w:iCs w:val="0"/>
                <w:color w:val="auto"/>
                <w:kern w:val="0"/>
                <w:sz w:val="20"/>
                <w:szCs w:val="20"/>
                <w:u w:val="none"/>
                <w:lang w:val="en-US" w:eastAsia="zh-CN" w:bidi="ar"/>
              </w:rPr>
              <w:t>14034</w:t>
            </w:r>
          </w:p>
        </w:tc>
        <w:tc>
          <w:tcPr>
            <w:tcW w:w="2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E996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林地、草地</w:t>
            </w:r>
          </w:p>
        </w:tc>
        <w:tc>
          <w:tcPr>
            <w:tcW w:w="2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A409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lang w:val="en-US"/>
              </w:rPr>
            </w:pPr>
            <w:r>
              <w:rPr>
                <w:rFonts w:hint="eastAsia" w:cs="Times New Roman"/>
                <w:i w:val="0"/>
                <w:iCs w:val="0"/>
                <w:color w:val="auto"/>
                <w:kern w:val="0"/>
                <w:sz w:val="20"/>
                <w:szCs w:val="20"/>
                <w:u w:val="none"/>
                <w:lang w:val="en-US" w:eastAsia="zh-CN" w:bidi="ar"/>
              </w:rPr>
              <w:t>14034</w:t>
            </w:r>
          </w:p>
        </w:tc>
      </w:tr>
      <w:tr w14:paraId="446BE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AB87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1#废渣堆</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3F65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3993</w:t>
            </w:r>
          </w:p>
        </w:tc>
        <w:tc>
          <w:tcPr>
            <w:tcW w:w="2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5B68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林地、草地</w:t>
            </w:r>
          </w:p>
        </w:tc>
        <w:tc>
          <w:tcPr>
            <w:tcW w:w="2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0780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3993</w:t>
            </w:r>
          </w:p>
        </w:tc>
      </w:tr>
      <w:tr w14:paraId="1D5B7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9715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2#废渣堆</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F27A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3869</w:t>
            </w:r>
          </w:p>
        </w:tc>
        <w:tc>
          <w:tcPr>
            <w:tcW w:w="2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236E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林地、草地</w:t>
            </w:r>
          </w:p>
        </w:tc>
        <w:tc>
          <w:tcPr>
            <w:tcW w:w="2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2CE6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3869</w:t>
            </w:r>
          </w:p>
        </w:tc>
      </w:tr>
      <w:tr w14:paraId="52CCE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16E3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3#废渣堆</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8CB9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965</w:t>
            </w:r>
          </w:p>
        </w:tc>
        <w:tc>
          <w:tcPr>
            <w:tcW w:w="2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EF4D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林地、草地</w:t>
            </w:r>
          </w:p>
        </w:tc>
        <w:tc>
          <w:tcPr>
            <w:tcW w:w="2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9855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965</w:t>
            </w:r>
          </w:p>
        </w:tc>
      </w:tr>
      <w:tr w14:paraId="18146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DC0A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工业场地</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7EEB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cs="Times New Roman"/>
                <w:i w:val="0"/>
                <w:iCs w:val="0"/>
                <w:color w:val="auto"/>
                <w:kern w:val="0"/>
                <w:sz w:val="20"/>
                <w:szCs w:val="20"/>
                <w:u w:val="none"/>
                <w:lang w:val="en-US" w:eastAsia="zh-CN" w:bidi="ar"/>
              </w:rPr>
              <w:t>5425</w:t>
            </w:r>
          </w:p>
        </w:tc>
        <w:tc>
          <w:tcPr>
            <w:tcW w:w="2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622F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林地、草地</w:t>
            </w:r>
          </w:p>
        </w:tc>
        <w:tc>
          <w:tcPr>
            <w:tcW w:w="2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7E0A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cs="Times New Roman"/>
                <w:i w:val="0"/>
                <w:iCs w:val="0"/>
                <w:color w:val="auto"/>
                <w:kern w:val="0"/>
                <w:sz w:val="20"/>
                <w:szCs w:val="20"/>
                <w:u w:val="none"/>
                <w:lang w:val="en-US" w:eastAsia="zh-CN" w:bidi="ar"/>
              </w:rPr>
              <w:t>5425</w:t>
            </w:r>
          </w:p>
        </w:tc>
      </w:tr>
      <w:tr w14:paraId="467E2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E93B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矿区道路</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C0C2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lang w:val="en-US"/>
              </w:rPr>
            </w:pPr>
            <w:r>
              <w:rPr>
                <w:rFonts w:hint="eastAsia" w:cs="Times New Roman"/>
                <w:i w:val="0"/>
                <w:iCs w:val="0"/>
                <w:color w:val="auto"/>
                <w:kern w:val="0"/>
                <w:sz w:val="20"/>
                <w:szCs w:val="20"/>
                <w:u w:val="none"/>
                <w:lang w:val="en-US" w:eastAsia="zh-CN" w:bidi="ar"/>
              </w:rPr>
              <w:t>8610</w:t>
            </w:r>
          </w:p>
        </w:tc>
        <w:tc>
          <w:tcPr>
            <w:tcW w:w="2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616F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林地、草地</w:t>
            </w:r>
          </w:p>
        </w:tc>
        <w:tc>
          <w:tcPr>
            <w:tcW w:w="2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6967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lang w:val="en-US"/>
              </w:rPr>
            </w:pPr>
            <w:r>
              <w:rPr>
                <w:rFonts w:hint="eastAsia" w:cs="Times New Roman"/>
                <w:i w:val="0"/>
                <w:iCs w:val="0"/>
                <w:color w:val="auto"/>
                <w:kern w:val="0"/>
                <w:sz w:val="20"/>
                <w:szCs w:val="20"/>
                <w:u w:val="none"/>
                <w:lang w:val="en-US" w:eastAsia="zh-CN" w:bidi="ar"/>
              </w:rPr>
              <w:t>8610</w:t>
            </w:r>
          </w:p>
        </w:tc>
      </w:tr>
    </w:tbl>
    <w:p w14:paraId="2094FFEE">
      <w:pPr>
        <w:pStyle w:val="71"/>
        <w:spacing w:line="360" w:lineRule="auto"/>
        <w:jc w:val="left"/>
        <w:rPr>
          <w:rFonts w:hint="default" w:ascii="Times New Roman" w:hAnsi="Times New Roman" w:eastAsia="黑体" w:cs="Times New Roman"/>
          <w:color w:val="auto"/>
          <w:sz w:val="21"/>
          <w:szCs w:val="21"/>
          <w:lang w:val="en-US" w:eastAsia="zh-CN"/>
        </w:rPr>
      </w:pPr>
      <w:r>
        <w:rPr>
          <w:rFonts w:hint="eastAsia" w:ascii="Times New Roman" w:hAnsi="Times New Roman" w:eastAsia="黑体" w:cs="Times New Roman"/>
          <w:color w:val="auto"/>
          <w:sz w:val="21"/>
          <w:szCs w:val="21"/>
          <w:lang w:val="en-US" w:eastAsia="zh-CN"/>
        </w:rPr>
        <w:t>注：办公生活区、变压器窑沟门村要求保留，村集体使用。</w:t>
      </w:r>
    </w:p>
    <w:p w14:paraId="0546270B">
      <w:pPr>
        <w:spacing w:line="360" w:lineRule="auto"/>
        <w:ind w:firstLine="560" w:firstLineChars="200"/>
        <w:rPr>
          <w:rFonts w:eastAsiaTheme="minorEastAsia"/>
          <w:color w:val="auto"/>
          <w:sz w:val="28"/>
          <w:szCs w:val="28"/>
        </w:rPr>
      </w:pPr>
      <w:r>
        <w:rPr>
          <w:rFonts w:eastAsiaTheme="minorEastAsia"/>
          <w:color w:val="auto"/>
          <w:sz w:val="28"/>
          <w:szCs w:val="28"/>
        </w:rPr>
        <w:t>依据适宜性等级评定结果，对于多宜性的评价单元，综合分析复垦区自然条件和社会条件，结合公众意见和政策因素，并考虑工程施工难易程度以及技术可行性等方面的因素，结合采区的生态环境特点、植被类型，根据因地制宜的原则，复垦后土地可持续利用原则以及综合效益等原则，复垦方向为</w:t>
      </w:r>
      <w:r>
        <w:rPr>
          <w:rFonts w:hint="eastAsia" w:eastAsiaTheme="minorEastAsia"/>
          <w:color w:val="auto"/>
          <w:sz w:val="28"/>
          <w:szCs w:val="28"/>
          <w:lang w:val="en-US" w:eastAsia="zh-CN"/>
        </w:rPr>
        <w:t>乔</w:t>
      </w:r>
      <w:r>
        <w:rPr>
          <w:rFonts w:eastAsiaTheme="minorEastAsia"/>
          <w:color w:val="auto"/>
          <w:sz w:val="28"/>
          <w:szCs w:val="28"/>
        </w:rPr>
        <w:t>木林地和</w:t>
      </w:r>
      <w:r>
        <w:rPr>
          <w:rFonts w:hint="eastAsia" w:eastAsiaTheme="minorEastAsia"/>
          <w:color w:val="auto"/>
          <w:sz w:val="28"/>
          <w:szCs w:val="28"/>
          <w:lang w:val="en-US" w:eastAsia="zh-CN"/>
        </w:rPr>
        <w:t>其他</w:t>
      </w:r>
      <w:r>
        <w:rPr>
          <w:rFonts w:eastAsiaTheme="minorEastAsia"/>
          <w:color w:val="auto"/>
          <w:sz w:val="28"/>
          <w:szCs w:val="28"/>
        </w:rPr>
        <w:t>草地。</w:t>
      </w:r>
    </w:p>
    <w:p w14:paraId="6F5472C9">
      <w:pPr>
        <w:pStyle w:val="69"/>
        <w:spacing w:line="360" w:lineRule="auto"/>
        <w:ind w:firstLine="560"/>
        <w:rPr>
          <w:rFonts w:eastAsia="宋体"/>
          <w:color w:val="auto"/>
          <w:szCs w:val="28"/>
          <w:lang w:val="en-US"/>
        </w:rPr>
      </w:pPr>
      <w:r>
        <w:rPr>
          <w:rFonts w:eastAsia="宋体"/>
          <w:color w:val="auto"/>
          <w:szCs w:val="28"/>
          <w:lang w:val="en-US"/>
        </w:rPr>
        <w:t>（6）最终复垦方向确定</w:t>
      </w:r>
    </w:p>
    <w:p w14:paraId="15C48627">
      <w:pPr>
        <w:spacing w:line="360" w:lineRule="auto"/>
        <w:ind w:firstLine="560" w:firstLineChars="200"/>
        <w:rPr>
          <w:rFonts w:eastAsiaTheme="minorEastAsia"/>
          <w:snapToGrid w:val="0"/>
          <w:color w:val="auto"/>
          <w:sz w:val="28"/>
          <w:szCs w:val="28"/>
        </w:rPr>
      </w:pPr>
      <w:r>
        <w:rPr>
          <w:rFonts w:eastAsiaTheme="minorEastAsia"/>
          <w:snapToGrid w:val="0"/>
          <w:color w:val="auto"/>
          <w:sz w:val="28"/>
          <w:szCs w:val="28"/>
        </w:rPr>
        <w:t>根据选定的参照生态系统为目标，结合松山区国土空间规划、公众参与意见及当地社会经济因素等确定最终复垦修复方向。</w:t>
      </w:r>
    </w:p>
    <w:p w14:paraId="2F5B46D5">
      <w:pPr>
        <w:spacing w:line="360" w:lineRule="auto"/>
        <w:ind w:firstLine="560" w:firstLineChars="200"/>
        <w:rPr>
          <w:rFonts w:eastAsiaTheme="minorEastAsia"/>
          <w:snapToGrid w:val="0"/>
          <w:color w:val="auto"/>
          <w:sz w:val="28"/>
          <w:szCs w:val="28"/>
        </w:rPr>
      </w:pPr>
      <w:r>
        <w:rPr>
          <w:rFonts w:eastAsiaTheme="minorEastAsia"/>
          <w:snapToGrid w:val="0"/>
          <w:color w:val="auto"/>
          <w:sz w:val="28"/>
          <w:szCs w:val="28"/>
        </w:rPr>
        <w:t>①国土空间规划</w:t>
      </w:r>
    </w:p>
    <w:p w14:paraId="5BB929DA">
      <w:pPr>
        <w:spacing w:line="360" w:lineRule="auto"/>
        <w:ind w:firstLine="560" w:firstLineChars="200"/>
        <w:rPr>
          <w:rFonts w:eastAsiaTheme="minorEastAsia"/>
          <w:snapToGrid w:val="0"/>
          <w:color w:val="auto"/>
          <w:sz w:val="28"/>
          <w:szCs w:val="28"/>
        </w:rPr>
      </w:pPr>
      <w:r>
        <w:rPr>
          <w:rFonts w:eastAsiaTheme="minorEastAsia"/>
          <w:snapToGrid w:val="0"/>
          <w:color w:val="auto"/>
          <w:sz w:val="28"/>
          <w:szCs w:val="28"/>
        </w:rPr>
        <w:t>根据《松山区国土空间总体规划（2021-2035年）》，松山区初头朗镇处于低山丘陵区，构建森林山体生态系统，以自然修复和人工种植相结合的方式增加植物多样性，合理增加林地面积。从国土空间规划角度考虑，复垦修复方向以林地</w:t>
      </w:r>
      <w:r>
        <w:rPr>
          <w:rFonts w:hint="eastAsia" w:eastAsiaTheme="minorEastAsia"/>
          <w:snapToGrid w:val="0"/>
          <w:color w:val="auto"/>
          <w:sz w:val="28"/>
          <w:szCs w:val="28"/>
          <w:lang w:eastAsia="zh-CN"/>
        </w:rPr>
        <w:t>、</w:t>
      </w:r>
      <w:r>
        <w:rPr>
          <w:rFonts w:hint="eastAsia" w:eastAsiaTheme="minorEastAsia"/>
          <w:snapToGrid w:val="0"/>
          <w:color w:val="auto"/>
          <w:sz w:val="28"/>
          <w:szCs w:val="28"/>
          <w:lang w:val="en-US" w:eastAsia="zh-CN"/>
        </w:rPr>
        <w:t>草地</w:t>
      </w:r>
      <w:r>
        <w:rPr>
          <w:rFonts w:eastAsiaTheme="minorEastAsia"/>
          <w:snapToGrid w:val="0"/>
          <w:color w:val="auto"/>
          <w:sz w:val="28"/>
          <w:szCs w:val="28"/>
        </w:rPr>
        <w:t>为主。</w:t>
      </w:r>
    </w:p>
    <w:p w14:paraId="69876D2E">
      <w:pPr>
        <w:spacing w:line="360" w:lineRule="auto"/>
        <w:ind w:firstLine="560" w:firstLineChars="200"/>
        <w:rPr>
          <w:rFonts w:eastAsiaTheme="minorEastAsia"/>
          <w:snapToGrid w:val="0"/>
          <w:color w:val="auto"/>
          <w:sz w:val="28"/>
          <w:szCs w:val="28"/>
        </w:rPr>
      </w:pPr>
      <w:r>
        <w:rPr>
          <w:rFonts w:eastAsiaTheme="minorEastAsia"/>
          <w:snapToGrid w:val="0"/>
          <w:color w:val="auto"/>
          <w:sz w:val="28"/>
          <w:szCs w:val="28"/>
        </w:rPr>
        <w:t>（2）公众参与意见</w:t>
      </w:r>
    </w:p>
    <w:p w14:paraId="0B746783">
      <w:pPr>
        <w:spacing w:line="360" w:lineRule="auto"/>
        <w:ind w:firstLine="560" w:firstLineChars="200"/>
        <w:rPr>
          <w:rFonts w:eastAsiaTheme="minorEastAsia"/>
          <w:snapToGrid w:val="0"/>
          <w:color w:val="auto"/>
          <w:sz w:val="28"/>
          <w:szCs w:val="28"/>
        </w:rPr>
      </w:pPr>
      <w:r>
        <w:rPr>
          <w:rFonts w:eastAsiaTheme="minorEastAsia"/>
          <w:snapToGrid w:val="0"/>
          <w:color w:val="auto"/>
          <w:sz w:val="28"/>
          <w:szCs w:val="28"/>
        </w:rPr>
        <w:t>根据对矿区所在地村民进行问卷调查</w:t>
      </w:r>
      <w:r>
        <w:rPr>
          <w:rFonts w:hint="eastAsia" w:eastAsiaTheme="minorEastAsia"/>
          <w:snapToGrid w:val="0"/>
          <w:color w:val="auto"/>
          <w:sz w:val="28"/>
          <w:szCs w:val="28"/>
          <w:lang w:val="en-US" w:eastAsia="zh-CN"/>
        </w:rPr>
        <w:t>及村民代表会议</w:t>
      </w:r>
      <w:r>
        <w:rPr>
          <w:rFonts w:eastAsiaTheme="minorEastAsia"/>
          <w:snapToGrid w:val="0"/>
          <w:color w:val="auto"/>
          <w:sz w:val="28"/>
          <w:szCs w:val="28"/>
        </w:rPr>
        <w:t>，村民中多数人认为复垦修复方向应以生态利用、保持良好的生态环境为主，宜耕则耕，宜林则林，并与周边土地利用类型相一致，考虑公众参与意见，复垦修复方向以林地</w:t>
      </w:r>
      <w:r>
        <w:rPr>
          <w:rFonts w:hint="eastAsia" w:eastAsiaTheme="minorEastAsia"/>
          <w:snapToGrid w:val="0"/>
          <w:color w:val="auto"/>
          <w:sz w:val="28"/>
          <w:szCs w:val="28"/>
          <w:lang w:eastAsia="zh-CN"/>
        </w:rPr>
        <w:t>、</w:t>
      </w:r>
      <w:r>
        <w:rPr>
          <w:rFonts w:hint="eastAsia" w:eastAsiaTheme="minorEastAsia"/>
          <w:snapToGrid w:val="0"/>
          <w:color w:val="auto"/>
          <w:sz w:val="28"/>
          <w:szCs w:val="28"/>
          <w:lang w:val="en-US" w:eastAsia="zh-CN"/>
        </w:rPr>
        <w:t>草地</w:t>
      </w:r>
      <w:r>
        <w:rPr>
          <w:rFonts w:eastAsiaTheme="minorEastAsia"/>
          <w:snapToGrid w:val="0"/>
          <w:color w:val="auto"/>
          <w:sz w:val="28"/>
          <w:szCs w:val="28"/>
        </w:rPr>
        <w:t>为主。</w:t>
      </w:r>
    </w:p>
    <w:p w14:paraId="0BB3D25A">
      <w:pPr>
        <w:spacing w:line="360" w:lineRule="auto"/>
        <w:ind w:firstLine="560" w:firstLineChars="200"/>
        <w:rPr>
          <w:rFonts w:eastAsiaTheme="minorEastAsia"/>
          <w:snapToGrid w:val="0"/>
          <w:color w:val="auto"/>
          <w:sz w:val="28"/>
          <w:szCs w:val="28"/>
        </w:rPr>
      </w:pPr>
      <w:r>
        <w:rPr>
          <w:rFonts w:eastAsiaTheme="minorEastAsia"/>
          <w:snapToGrid w:val="0"/>
          <w:color w:val="auto"/>
          <w:sz w:val="28"/>
          <w:szCs w:val="28"/>
        </w:rPr>
        <w:t>综合考虑以上因素，最终确定</w:t>
      </w:r>
      <w:r>
        <w:rPr>
          <w:rFonts w:hint="eastAsia" w:eastAsiaTheme="minorEastAsia"/>
          <w:snapToGrid w:val="0"/>
          <w:color w:val="auto"/>
          <w:sz w:val="28"/>
          <w:szCs w:val="28"/>
          <w:lang w:val="en-US" w:eastAsia="zh-CN"/>
        </w:rPr>
        <w:t>3#废渣堆复垦为林地，其他单元复垦为草地</w:t>
      </w:r>
      <w:r>
        <w:rPr>
          <w:rFonts w:eastAsiaTheme="minorEastAsia"/>
          <w:snapToGrid w:val="0"/>
          <w:color w:val="auto"/>
          <w:sz w:val="28"/>
          <w:szCs w:val="28"/>
        </w:rPr>
        <w:t>。</w:t>
      </w:r>
    </w:p>
    <w:p w14:paraId="778ED48A">
      <w:pPr>
        <w:tabs>
          <w:tab w:val="left" w:pos="1300"/>
        </w:tabs>
        <w:spacing w:line="360" w:lineRule="auto"/>
        <w:ind w:firstLine="560" w:firstLineChars="200"/>
        <w:rPr>
          <w:color w:val="auto"/>
          <w:sz w:val="28"/>
          <w:szCs w:val="28"/>
        </w:rPr>
      </w:pPr>
      <w:r>
        <w:rPr>
          <w:color w:val="auto"/>
          <w:sz w:val="28"/>
          <w:szCs w:val="28"/>
        </w:rPr>
        <w:t>2、周边矿山生态修复工作案例分析</w:t>
      </w:r>
    </w:p>
    <w:p w14:paraId="3D7CB568">
      <w:pPr>
        <w:tabs>
          <w:tab w:val="left" w:pos="1300"/>
        </w:tabs>
        <w:spacing w:line="360" w:lineRule="auto"/>
        <w:ind w:firstLine="560" w:firstLineChars="200"/>
        <w:rPr>
          <w:color w:val="auto"/>
          <w:sz w:val="28"/>
          <w:szCs w:val="28"/>
        </w:rPr>
      </w:pPr>
      <w:r>
        <w:rPr>
          <w:color w:val="auto"/>
          <w:sz w:val="28"/>
          <w:szCs w:val="28"/>
        </w:rPr>
        <w:t>本方案根据地理位置</w:t>
      </w:r>
      <w:r>
        <w:rPr>
          <w:rFonts w:hint="eastAsia"/>
          <w:color w:val="auto"/>
          <w:sz w:val="28"/>
          <w:szCs w:val="28"/>
          <w:lang w:eastAsia="zh-CN"/>
        </w:rPr>
        <w:t>、</w:t>
      </w:r>
      <w:r>
        <w:rPr>
          <w:rFonts w:hint="eastAsia"/>
          <w:color w:val="auto"/>
          <w:sz w:val="28"/>
          <w:szCs w:val="28"/>
          <w:lang w:val="en-US" w:eastAsia="zh-CN"/>
        </w:rPr>
        <w:t>以及对废渣堆、废石场的治理方式</w:t>
      </w:r>
      <w:r>
        <w:rPr>
          <w:color w:val="auto"/>
          <w:sz w:val="28"/>
          <w:szCs w:val="28"/>
        </w:rPr>
        <w:t>，选取赤峰市金昊矿业有限责任公司胡采沟矿区铜钼矿为例，对地质环境治理与土地复垦方法、效果及资金投入情况进行对比分析，下面对案例进行分析。</w:t>
      </w:r>
    </w:p>
    <w:p w14:paraId="7448399C">
      <w:pPr>
        <w:widowControl/>
        <w:spacing w:line="360" w:lineRule="auto"/>
        <w:ind w:firstLine="560" w:firstLineChars="200"/>
        <w:rPr>
          <w:color w:val="auto"/>
          <w:sz w:val="28"/>
          <w:szCs w:val="28"/>
        </w:rPr>
      </w:pPr>
      <w:r>
        <w:rPr>
          <w:color w:val="auto"/>
          <w:sz w:val="28"/>
          <w:szCs w:val="28"/>
        </w:rPr>
        <w:t>（1）矿山概况</w:t>
      </w:r>
    </w:p>
    <w:p w14:paraId="11D705EB">
      <w:pPr>
        <w:widowControl/>
        <w:spacing w:line="360" w:lineRule="auto"/>
        <w:ind w:firstLine="560" w:firstLineChars="200"/>
        <w:rPr>
          <w:color w:val="auto"/>
          <w:sz w:val="28"/>
          <w:szCs w:val="28"/>
        </w:rPr>
      </w:pPr>
      <w:r>
        <w:rPr>
          <w:color w:val="auto"/>
          <w:sz w:val="28"/>
          <w:szCs w:val="28"/>
        </w:rPr>
        <w:t>赤峰市金昊矿业有限责任公司胡采沟矿区铜钼矿位于本矿区</w:t>
      </w:r>
      <w:r>
        <w:rPr>
          <w:rFonts w:hint="eastAsia"/>
          <w:color w:val="auto"/>
          <w:sz w:val="28"/>
          <w:szCs w:val="28"/>
          <w:lang w:val="en-US" w:eastAsia="zh-CN"/>
        </w:rPr>
        <w:t>北</w:t>
      </w:r>
      <w:r>
        <w:rPr>
          <w:color w:val="auto"/>
          <w:sz w:val="28"/>
          <w:szCs w:val="28"/>
        </w:rPr>
        <w:t>侧，直线距离约为</w:t>
      </w:r>
      <w:r>
        <w:rPr>
          <w:rFonts w:hint="eastAsia"/>
          <w:color w:val="auto"/>
          <w:sz w:val="28"/>
          <w:szCs w:val="28"/>
          <w:lang w:val="en-US" w:eastAsia="zh-CN"/>
        </w:rPr>
        <w:t>10km</w:t>
      </w:r>
      <w:r>
        <w:rPr>
          <w:color w:val="auto"/>
          <w:sz w:val="28"/>
          <w:szCs w:val="28"/>
        </w:rPr>
        <w:t>，行政区划隶属于赤峰市松山区</w:t>
      </w:r>
      <w:r>
        <w:rPr>
          <w:rFonts w:hint="eastAsia"/>
          <w:color w:val="auto"/>
          <w:sz w:val="28"/>
          <w:szCs w:val="28"/>
          <w:lang w:val="en-US" w:eastAsia="zh-CN"/>
        </w:rPr>
        <w:t>初头朗镇</w:t>
      </w:r>
      <w:r>
        <w:rPr>
          <w:color w:val="auto"/>
          <w:sz w:val="28"/>
          <w:szCs w:val="28"/>
        </w:rPr>
        <w:t>。矿山设计生产能力4.5×10</w:t>
      </w:r>
      <w:r>
        <w:rPr>
          <w:color w:val="auto"/>
          <w:sz w:val="28"/>
          <w:szCs w:val="28"/>
          <w:vertAlign w:val="superscript"/>
        </w:rPr>
        <w:t>4</w:t>
      </w:r>
      <w:r>
        <w:rPr>
          <w:color w:val="auto"/>
          <w:sz w:val="28"/>
          <w:szCs w:val="28"/>
        </w:rPr>
        <w:t>t/a，总服务年限3.48a。</w:t>
      </w:r>
    </w:p>
    <w:p w14:paraId="010ABFBF">
      <w:pPr>
        <w:widowControl/>
        <w:spacing w:line="360" w:lineRule="auto"/>
        <w:ind w:firstLine="560" w:firstLineChars="200"/>
        <w:rPr>
          <w:color w:val="auto"/>
          <w:sz w:val="28"/>
          <w:szCs w:val="28"/>
        </w:rPr>
      </w:pPr>
      <w:r>
        <w:rPr>
          <w:color w:val="auto"/>
          <w:sz w:val="28"/>
          <w:szCs w:val="28"/>
        </w:rPr>
        <w:t>（2）矿山环境保护与综合治理方案概述</w:t>
      </w:r>
    </w:p>
    <w:p w14:paraId="146ABEC8">
      <w:pPr>
        <w:widowControl/>
        <w:spacing w:line="360" w:lineRule="auto"/>
        <w:ind w:firstLine="560" w:firstLineChars="200"/>
        <w:rPr>
          <w:color w:val="auto"/>
          <w:sz w:val="28"/>
          <w:szCs w:val="28"/>
        </w:rPr>
      </w:pPr>
      <w:r>
        <w:rPr>
          <w:color w:val="auto"/>
          <w:sz w:val="28"/>
          <w:szCs w:val="28"/>
        </w:rPr>
        <w:t>该矿山2019年7月通过了辽宁省化工地质勘查院2016年1月编制的《赤峰市金昊矿业有限责任公司胡采沟矿区铜钼矿矿山地质环境保护与治理恢复方案》确定的首期治理工程现场验收。</w:t>
      </w:r>
    </w:p>
    <w:p w14:paraId="5E25C191">
      <w:pPr>
        <w:widowControl/>
        <w:spacing w:line="360" w:lineRule="auto"/>
        <w:ind w:firstLine="560" w:firstLineChars="200"/>
        <w:rPr>
          <w:color w:val="auto"/>
          <w:sz w:val="28"/>
          <w:szCs w:val="28"/>
        </w:rPr>
      </w:pPr>
      <w:r>
        <w:rPr>
          <w:color w:val="auto"/>
          <w:sz w:val="28"/>
          <w:szCs w:val="28"/>
        </w:rPr>
        <w:t>①矿山地质环境问题</w:t>
      </w:r>
    </w:p>
    <w:p w14:paraId="697FC4E2">
      <w:pPr>
        <w:widowControl/>
        <w:spacing w:line="360" w:lineRule="auto"/>
        <w:ind w:firstLine="560" w:firstLineChars="200"/>
        <w:rPr>
          <w:color w:val="auto"/>
          <w:sz w:val="28"/>
          <w:szCs w:val="28"/>
        </w:rPr>
      </w:pPr>
      <w:r>
        <w:rPr>
          <w:color w:val="auto"/>
          <w:sz w:val="28"/>
          <w:szCs w:val="28"/>
        </w:rPr>
        <w:t>赤峰市金昊矿业有限责任公司胡采沟矿区铜钼矿存在的主要矿山地质环境问题为2处竖井、3处废渣、1处斜井、1处平硐、4处工业广场、2处卷扬机房、3处仓库、2处办公生活区、炸药库、看护房、矿区道路、碎矿房、矿部、预测塌陷区等单元占用、破坏土地资源，影响地形地貌景观。</w:t>
      </w:r>
    </w:p>
    <w:p w14:paraId="65B0F528">
      <w:pPr>
        <w:widowControl/>
        <w:spacing w:line="360" w:lineRule="auto"/>
        <w:ind w:firstLine="560" w:firstLineChars="200"/>
        <w:rPr>
          <w:color w:val="auto"/>
          <w:sz w:val="28"/>
          <w:szCs w:val="28"/>
        </w:rPr>
      </w:pPr>
      <w:r>
        <w:rPr>
          <w:color w:val="auto"/>
          <w:kern w:val="0"/>
          <w:sz w:val="28"/>
          <w:szCs w:val="28"/>
        </w:rPr>
        <w:t>②复垦方向和工程措施</w:t>
      </w:r>
    </w:p>
    <w:p w14:paraId="50B9DE51">
      <w:pPr>
        <w:widowControl/>
        <w:spacing w:line="360" w:lineRule="auto"/>
        <w:ind w:firstLine="560" w:firstLineChars="200"/>
        <w:rPr>
          <w:color w:val="auto"/>
          <w:sz w:val="28"/>
          <w:szCs w:val="28"/>
        </w:rPr>
      </w:pPr>
      <w:r>
        <w:rPr>
          <w:color w:val="auto"/>
          <w:sz w:val="28"/>
          <w:szCs w:val="28"/>
        </w:rPr>
        <w:t>矿山地质环境保护与土地复垦工程为对预测地面塌陷范围设置网围栏、监测标桩进行防护与监测：对竖井1回填、封堵、植树、种草；对废渣堆l清运、整平、植树、种草；对工业广场1、工业广场2切坡处堆坡、覆土、翻耕、植树、种草；对卷扬机房1、仓库1、炸药库、看护房l拆除清远、翻耕、植树、种草：对办公生活区l拆除清运、切坡堆坡、翻耕、植树、种草；对矿区道路1切坡处堆坡、翻耕、覆土、植树、种草。</w:t>
      </w:r>
    </w:p>
    <w:p w14:paraId="05929AA7">
      <w:pPr>
        <w:widowControl/>
        <w:spacing w:line="360" w:lineRule="auto"/>
        <w:ind w:firstLine="560" w:firstLineChars="200"/>
        <w:rPr>
          <w:color w:val="auto"/>
          <w:sz w:val="28"/>
          <w:szCs w:val="28"/>
        </w:rPr>
      </w:pPr>
      <w:r>
        <w:rPr>
          <w:color w:val="auto"/>
          <w:sz w:val="28"/>
          <w:szCs w:val="28"/>
        </w:rPr>
        <w:t>③复垦效果</w:t>
      </w:r>
    </w:p>
    <w:p w14:paraId="6443A83F">
      <w:pPr>
        <w:widowControl/>
        <w:spacing w:line="360" w:lineRule="auto"/>
        <w:ind w:firstLine="560" w:firstLineChars="200"/>
        <w:rPr>
          <w:color w:val="auto"/>
          <w:sz w:val="28"/>
          <w:szCs w:val="28"/>
        </w:rPr>
      </w:pPr>
      <w:r>
        <w:rPr>
          <w:color w:val="auto"/>
          <w:sz w:val="28"/>
          <w:szCs w:val="28"/>
        </w:rPr>
        <w:t>矿山主要完成的治理工程为完成竖井废石场渣堆治理、完成了工业广场1内的竖井1井架、卷扬机房1、仓库1、办公生活区1的拆除清运与场地翻耕、植树、种草；矿山已在第一分期完成废渣堆l的就地整平后栽植了松树，由于堆坡的物源缺失矿山未实施边坡堆坡，但对边坡进行了简易削坡，基本消除了地质灾害隐患。矿区治理工程照片见照片3-</w:t>
      </w:r>
      <w:r>
        <w:rPr>
          <w:rFonts w:hint="eastAsia"/>
          <w:color w:val="auto"/>
          <w:sz w:val="28"/>
          <w:szCs w:val="28"/>
          <w:lang w:val="en-US" w:eastAsia="zh-CN"/>
        </w:rPr>
        <w:t>15</w:t>
      </w:r>
      <w:r>
        <w:rPr>
          <w:color w:val="auto"/>
          <w:sz w:val="28"/>
          <w:szCs w:val="28"/>
        </w:rPr>
        <w:t>至3-</w:t>
      </w:r>
      <w:r>
        <w:rPr>
          <w:rFonts w:hint="eastAsia"/>
          <w:color w:val="auto"/>
          <w:sz w:val="28"/>
          <w:szCs w:val="28"/>
          <w:lang w:val="en-US" w:eastAsia="zh-CN"/>
        </w:rPr>
        <w:t>17</w:t>
      </w:r>
      <w:r>
        <w:rPr>
          <w:color w:val="auto"/>
          <w:sz w:val="28"/>
          <w:szCs w:val="28"/>
        </w:rPr>
        <w:t>。</w:t>
      </w:r>
    </w:p>
    <w:p w14:paraId="129A5FD7">
      <w:pPr>
        <w:pStyle w:val="71"/>
        <w:rPr>
          <w:rFonts w:hint="eastAsia" w:ascii="Times New Roman" w:hAnsi="Times New Roman" w:eastAsia="宋体" w:cs="Times New Roman"/>
          <w:color w:val="auto"/>
          <w:sz w:val="28"/>
          <w:szCs w:val="28"/>
          <w:lang w:eastAsia="zh-CN"/>
        </w:rPr>
      </w:pPr>
      <w:r>
        <w:rPr>
          <w:rFonts w:hint="eastAsia" w:ascii="Times New Roman" w:hAnsi="Times New Roman" w:cs="Times New Roman"/>
          <w:color w:val="auto"/>
          <w:sz w:val="28"/>
          <w:szCs w:val="28"/>
          <w:lang w:eastAsia="zh-CN"/>
        </w:rPr>
        <w:t xml:space="preserve">    </w:t>
      </w:r>
    </w:p>
    <w:p w14:paraId="475B849C">
      <w:pPr>
        <w:pStyle w:val="71"/>
        <w:rPr>
          <w:rFonts w:ascii="Times New Roman" w:hAnsi="Times New Roman" w:eastAsia="黑体" w:cs="Times New Roman"/>
          <w:color w:val="auto"/>
          <w:sz w:val="24"/>
          <w:szCs w:val="24"/>
        </w:rPr>
      </w:pPr>
      <w:r>
        <w:rPr>
          <w:rFonts w:ascii="Times New Roman" w:hAnsi="Times New Roman" w:eastAsia="黑体" w:cs="Times New Roman"/>
          <w:color w:val="auto"/>
          <w:sz w:val="24"/>
          <w:szCs w:val="24"/>
        </w:rPr>
        <w:t>照片3-</w:t>
      </w:r>
      <w:r>
        <w:rPr>
          <w:rFonts w:hint="eastAsia" w:ascii="Times New Roman" w:hAnsi="Times New Roman" w:eastAsia="黑体" w:cs="Times New Roman"/>
          <w:color w:val="auto"/>
          <w:sz w:val="24"/>
          <w:szCs w:val="24"/>
          <w:lang w:val="en-US" w:eastAsia="zh-CN"/>
        </w:rPr>
        <w:t>15</w:t>
      </w:r>
      <w:r>
        <w:rPr>
          <w:rFonts w:ascii="Times New Roman" w:hAnsi="Times New Roman" w:eastAsia="黑体" w:cs="Times New Roman"/>
          <w:color w:val="auto"/>
          <w:sz w:val="24"/>
          <w:szCs w:val="24"/>
        </w:rPr>
        <w:t xml:space="preserve">  胡采沟矿区铜钼矿竖井废石场渣堆2治理前</w:t>
      </w:r>
    </w:p>
    <w:p w14:paraId="1CFB35C8">
      <w:pPr>
        <w:pStyle w:val="71"/>
        <w:rPr>
          <w:rFonts w:hint="eastAsia" w:ascii="Times New Roman" w:hAnsi="Times New Roman" w:eastAsia="宋体" w:cs="Times New Roman"/>
          <w:b/>
          <w:bCs/>
          <w:color w:val="auto"/>
          <w:sz w:val="28"/>
          <w:szCs w:val="28"/>
          <w:lang w:eastAsia="zh-CN"/>
        </w:rPr>
      </w:pPr>
      <w:r>
        <w:rPr>
          <w:rFonts w:hint="eastAsia" w:ascii="Times New Roman" w:hAnsi="Times New Roman" w:cs="Times New Roman"/>
          <w:b/>
          <w:bCs/>
          <w:color w:val="auto"/>
          <w:sz w:val="28"/>
          <w:szCs w:val="28"/>
          <w:lang w:eastAsia="zh-CN"/>
        </w:rPr>
        <w:t xml:space="preserve">    </w:t>
      </w:r>
    </w:p>
    <w:p w14:paraId="6C4AFCB7">
      <w:pPr>
        <w:pStyle w:val="71"/>
        <w:rPr>
          <w:rFonts w:ascii="Times New Roman" w:hAnsi="Times New Roman" w:eastAsia="黑体" w:cs="Times New Roman"/>
          <w:color w:val="auto"/>
          <w:sz w:val="24"/>
          <w:szCs w:val="24"/>
        </w:rPr>
      </w:pPr>
      <w:r>
        <w:rPr>
          <w:rFonts w:ascii="Times New Roman" w:hAnsi="Times New Roman" w:eastAsia="黑体" w:cs="Times New Roman"/>
          <w:color w:val="auto"/>
          <w:sz w:val="24"/>
          <w:szCs w:val="24"/>
        </w:rPr>
        <w:t>照片3-</w:t>
      </w:r>
      <w:r>
        <w:rPr>
          <w:rFonts w:hint="eastAsia" w:ascii="Times New Roman" w:hAnsi="Times New Roman" w:eastAsia="黑体" w:cs="Times New Roman"/>
          <w:color w:val="auto"/>
          <w:sz w:val="24"/>
          <w:szCs w:val="24"/>
          <w:lang w:val="en-US" w:eastAsia="zh-CN"/>
        </w:rPr>
        <w:t>16</w:t>
      </w:r>
      <w:r>
        <w:rPr>
          <w:rFonts w:ascii="Times New Roman" w:hAnsi="Times New Roman" w:eastAsia="黑体" w:cs="Times New Roman"/>
          <w:color w:val="auto"/>
          <w:sz w:val="24"/>
          <w:szCs w:val="24"/>
        </w:rPr>
        <w:t xml:space="preserve"> 胡采沟矿区铜钼矿竖井废石场渣堆2治理后</w:t>
      </w:r>
    </w:p>
    <w:p w14:paraId="13CDE820">
      <w:pPr>
        <w:pStyle w:val="71"/>
        <w:rPr>
          <w:rFonts w:hint="eastAsia" w:ascii="Times New Roman" w:hAnsi="Times New Roman" w:eastAsia="宋体" w:cs="Times New Roman"/>
          <w:b/>
          <w:bCs/>
          <w:color w:val="auto"/>
          <w:sz w:val="28"/>
          <w:szCs w:val="28"/>
          <w:lang w:eastAsia="zh-CN"/>
        </w:rPr>
      </w:pPr>
      <w:r>
        <w:rPr>
          <w:rFonts w:hint="eastAsia" w:ascii="Times New Roman" w:hAnsi="Times New Roman" w:cs="Times New Roman"/>
          <w:b/>
          <w:bCs/>
          <w:color w:val="auto"/>
          <w:sz w:val="28"/>
          <w:szCs w:val="28"/>
          <w:lang w:eastAsia="zh-CN"/>
        </w:rPr>
        <w:t xml:space="preserve">    </w:t>
      </w:r>
    </w:p>
    <w:p w14:paraId="5D4EDFFA">
      <w:pPr>
        <w:pStyle w:val="71"/>
        <w:rPr>
          <w:rFonts w:ascii="Times New Roman" w:hAnsi="Times New Roman" w:eastAsia="黑体" w:cs="Times New Roman"/>
          <w:color w:val="auto"/>
          <w:sz w:val="24"/>
          <w:szCs w:val="24"/>
        </w:rPr>
      </w:pPr>
      <w:r>
        <w:rPr>
          <w:rFonts w:ascii="Times New Roman" w:hAnsi="Times New Roman" w:eastAsia="黑体" w:cs="Times New Roman"/>
          <w:color w:val="auto"/>
          <w:sz w:val="24"/>
          <w:szCs w:val="24"/>
        </w:rPr>
        <w:t>照片3-</w:t>
      </w:r>
      <w:r>
        <w:rPr>
          <w:rFonts w:hint="eastAsia" w:ascii="Times New Roman" w:hAnsi="Times New Roman" w:eastAsia="黑体" w:cs="Times New Roman"/>
          <w:color w:val="auto"/>
          <w:sz w:val="24"/>
          <w:szCs w:val="24"/>
          <w:lang w:val="en-US" w:eastAsia="zh-CN"/>
        </w:rPr>
        <w:t xml:space="preserve">17  </w:t>
      </w:r>
      <w:r>
        <w:rPr>
          <w:rFonts w:ascii="Times New Roman" w:hAnsi="Times New Roman" w:eastAsia="黑体" w:cs="Times New Roman"/>
          <w:color w:val="auto"/>
          <w:sz w:val="24"/>
          <w:szCs w:val="24"/>
        </w:rPr>
        <w:t>胡采沟矿区铜钼矿竖井1场地的废渣堆l治理效果照片</w:t>
      </w:r>
    </w:p>
    <w:p w14:paraId="35F3572F">
      <w:pPr>
        <w:pStyle w:val="71"/>
        <w:rPr>
          <w:rFonts w:hint="eastAsia" w:ascii="Times New Roman" w:hAnsi="Times New Roman" w:eastAsia="宋体" w:cs="Times New Roman"/>
          <w:color w:val="auto"/>
          <w:sz w:val="28"/>
          <w:szCs w:val="28"/>
          <w:lang w:eastAsia="zh-CN"/>
        </w:rPr>
      </w:pPr>
      <w:r>
        <w:rPr>
          <w:rFonts w:hint="eastAsia" w:ascii="Times New Roman" w:hAnsi="Times New Roman" w:cs="Times New Roman"/>
          <w:color w:val="auto"/>
          <w:sz w:val="28"/>
          <w:szCs w:val="28"/>
          <w:lang w:eastAsia="zh-CN"/>
        </w:rPr>
        <w:t xml:space="preserve">    </w:t>
      </w:r>
    </w:p>
    <w:p w14:paraId="536465FD">
      <w:pPr>
        <w:pStyle w:val="71"/>
        <w:spacing w:line="360" w:lineRule="auto"/>
        <w:rPr>
          <w:rFonts w:ascii="Times New Roman" w:hAnsi="Times New Roman" w:eastAsia="黑体" w:cs="Times New Roman"/>
          <w:color w:val="auto"/>
          <w:sz w:val="24"/>
          <w:szCs w:val="24"/>
        </w:rPr>
      </w:pPr>
      <w:r>
        <w:rPr>
          <w:rFonts w:ascii="Times New Roman" w:hAnsi="Times New Roman" w:eastAsia="黑体" w:cs="Times New Roman"/>
          <w:color w:val="auto"/>
          <w:sz w:val="24"/>
          <w:szCs w:val="24"/>
        </w:rPr>
        <w:t>照片3-</w:t>
      </w:r>
      <w:r>
        <w:rPr>
          <w:rFonts w:hint="eastAsia" w:ascii="Times New Roman" w:hAnsi="Times New Roman" w:eastAsia="黑体" w:cs="Times New Roman"/>
          <w:color w:val="auto"/>
          <w:sz w:val="24"/>
          <w:szCs w:val="24"/>
          <w:lang w:val="en-US" w:eastAsia="zh-CN"/>
        </w:rPr>
        <w:t xml:space="preserve">18  </w:t>
      </w:r>
      <w:r>
        <w:rPr>
          <w:rFonts w:ascii="Times New Roman" w:hAnsi="Times New Roman" w:eastAsia="黑体" w:cs="Times New Roman"/>
          <w:color w:val="auto"/>
          <w:sz w:val="24"/>
          <w:szCs w:val="24"/>
        </w:rPr>
        <w:t>工业广场2场地种草效果照片</w:t>
      </w:r>
    </w:p>
    <w:p w14:paraId="4DA9726D">
      <w:pPr>
        <w:widowControl/>
        <w:spacing w:line="360" w:lineRule="auto"/>
        <w:ind w:firstLine="560" w:firstLineChars="200"/>
        <w:rPr>
          <w:color w:val="auto"/>
          <w:sz w:val="28"/>
          <w:szCs w:val="28"/>
        </w:rPr>
      </w:pPr>
      <w:r>
        <w:rPr>
          <w:color w:val="auto"/>
          <w:sz w:val="28"/>
          <w:szCs w:val="28"/>
        </w:rPr>
        <w:t>（3）胡采沟矿区铜钼矿矿矿区与本矿区类比参照</w:t>
      </w:r>
    </w:p>
    <w:p w14:paraId="78979F6E">
      <w:pPr>
        <w:spacing w:line="360" w:lineRule="auto"/>
        <w:ind w:firstLine="560" w:firstLineChars="200"/>
        <w:rPr>
          <w:color w:val="auto"/>
          <w:sz w:val="28"/>
          <w:szCs w:val="28"/>
        </w:rPr>
      </w:pPr>
      <w:r>
        <w:rPr>
          <w:color w:val="auto"/>
          <w:sz w:val="28"/>
          <w:szCs w:val="28"/>
        </w:rPr>
        <w:t>胡采沟矿区铜钼矿与</w:t>
      </w:r>
      <w:r>
        <w:rPr>
          <w:rFonts w:hint="eastAsia" w:ascii="Times New Roman" w:hAnsi="Times New Roman" w:eastAsia="宋体" w:cs="Times New Roman"/>
          <w:color w:val="auto"/>
          <w:sz w:val="28"/>
          <w:szCs w:val="28"/>
        </w:rPr>
        <w:t>窑沟门</w:t>
      </w:r>
      <w:r>
        <w:rPr>
          <w:rFonts w:ascii="Times New Roman" w:hAnsi="Times New Roman" w:eastAsia="宋体" w:cs="Times New Roman"/>
          <w:color w:val="auto"/>
          <w:sz w:val="28"/>
          <w:szCs w:val="28"/>
        </w:rPr>
        <w:t>碎石矿</w:t>
      </w:r>
      <w:r>
        <w:rPr>
          <w:color w:val="auto"/>
          <w:sz w:val="28"/>
          <w:szCs w:val="28"/>
        </w:rPr>
        <w:t>自然气候、地理位置、地形地貌、土壤植被等相差不多，场地设置和施工条件类似。该矿区土地复垦方案中的措施效果良好，经济可行，相应场地的恢复治理和复垦提供参考，尤其边坡与工业场地的治理可供本矿区参考，有较强的参考价值。</w:t>
      </w:r>
    </w:p>
    <w:p w14:paraId="6BCC2503">
      <w:pPr>
        <w:pStyle w:val="69"/>
        <w:spacing w:line="360" w:lineRule="auto"/>
        <w:ind w:firstLine="560"/>
        <w:rPr>
          <w:rFonts w:eastAsiaTheme="minorEastAsia"/>
          <w:color w:val="auto"/>
          <w:szCs w:val="28"/>
        </w:rPr>
      </w:pPr>
      <w:r>
        <w:rPr>
          <w:rFonts w:eastAsia="宋体"/>
          <w:color w:val="auto"/>
          <w:szCs w:val="28"/>
          <w:lang w:val="en-US"/>
        </w:rPr>
        <w:t>3、水土资源平衡分析</w:t>
      </w:r>
    </w:p>
    <w:p w14:paraId="11B4CD38">
      <w:pPr>
        <w:pStyle w:val="69"/>
        <w:spacing w:line="360" w:lineRule="auto"/>
        <w:ind w:firstLine="560"/>
        <w:rPr>
          <w:rFonts w:eastAsia="宋体"/>
          <w:color w:val="auto"/>
          <w:szCs w:val="28"/>
        </w:rPr>
      </w:pPr>
      <w:r>
        <w:rPr>
          <w:rFonts w:eastAsia="宋体"/>
          <w:color w:val="auto"/>
          <w:szCs w:val="28"/>
          <w:lang w:val="en-US"/>
        </w:rPr>
        <w:t>（1）</w:t>
      </w:r>
      <w:r>
        <w:rPr>
          <w:rFonts w:eastAsia="宋体"/>
          <w:color w:val="auto"/>
          <w:szCs w:val="28"/>
        </w:rPr>
        <w:t>土方平衡分析</w:t>
      </w:r>
    </w:p>
    <w:p w14:paraId="60318AD3">
      <w:pPr>
        <w:spacing w:line="360" w:lineRule="auto"/>
        <w:ind w:firstLine="560" w:firstLineChars="200"/>
        <w:rPr>
          <w:color w:val="auto"/>
          <w:sz w:val="28"/>
          <w:szCs w:val="28"/>
        </w:rPr>
      </w:pPr>
      <w:r>
        <w:rPr>
          <w:color w:val="auto"/>
          <w:sz w:val="28"/>
          <w:szCs w:val="28"/>
        </w:rPr>
        <w:t>①复垦需土量</w:t>
      </w:r>
    </w:p>
    <w:p w14:paraId="67A7A44E">
      <w:pPr>
        <w:spacing w:line="360" w:lineRule="auto"/>
        <w:ind w:firstLine="560" w:firstLineChars="200"/>
        <w:rPr>
          <w:color w:val="auto"/>
          <w:sz w:val="28"/>
          <w:szCs w:val="28"/>
        </w:rPr>
      </w:pPr>
      <w:r>
        <w:rPr>
          <w:color w:val="auto"/>
          <w:sz w:val="28"/>
          <w:szCs w:val="28"/>
        </w:rPr>
        <w:t>评估区复垦责任区面积</w:t>
      </w:r>
      <w:r>
        <w:rPr>
          <w:rFonts w:hint="eastAsia"/>
          <w:color w:val="auto"/>
          <w:sz w:val="28"/>
          <w:szCs w:val="28"/>
          <w:lang w:val="en-US" w:eastAsia="zh-CN"/>
        </w:rPr>
        <w:t>76955</w:t>
      </w:r>
      <w:r>
        <w:rPr>
          <w:color w:val="auto"/>
          <w:sz w:val="28"/>
          <w:szCs w:val="28"/>
        </w:rPr>
        <w:t>m</w:t>
      </w:r>
      <w:r>
        <w:rPr>
          <w:color w:val="auto"/>
          <w:sz w:val="28"/>
          <w:szCs w:val="28"/>
          <w:vertAlign w:val="superscript"/>
        </w:rPr>
        <w:t>2</w:t>
      </w:r>
      <w:r>
        <w:rPr>
          <w:color w:val="auto"/>
          <w:sz w:val="28"/>
          <w:szCs w:val="28"/>
        </w:rPr>
        <w:t>，</w:t>
      </w:r>
      <w:r>
        <w:rPr>
          <w:rFonts w:hint="eastAsia"/>
          <w:color w:val="auto"/>
          <w:sz w:val="28"/>
          <w:szCs w:val="28"/>
          <w:lang w:val="en-US" w:eastAsia="zh-CN"/>
        </w:rPr>
        <w:t>3#废渣堆</w:t>
      </w:r>
      <w:r>
        <w:rPr>
          <w:color w:val="auto"/>
          <w:sz w:val="28"/>
          <w:szCs w:val="28"/>
        </w:rPr>
        <w:t>复垦</w:t>
      </w:r>
      <w:r>
        <w:rPr>
          <w:rFonts w:hint="eastAsia"/>
          <w:color w:val="auto"/>
          <w:sz w:val="28"/>
          <w:szCs w:val="28"/>
          <w:lang w:val="en-US" w:eastAsia="zh-CN"/>
        </w:rPr>
        <w:t>为</w:t>
      </w:r>
      <w:r>
        <w:rPr>
          <w:color w:val="auto"/>
          <w:sz w:val="28"/>
          <w:szCs w:val="28"/>
        </w:rPr>
        <w:t>林地</w:t>
      </w:r>
      <w:r>
        <w:rPr>
          <w:rFonts w:hint="eastAsia"/>
          <w:color w:val="auto"/>
          <w:sz w:val="28"/>
          <w:szCs w:val="28"/>
          <w:lang w:val="en-US" w:eastAsia="zh-CN"/>
        </w:rPr>
        <w:t>覆土厚度0.5m</w:t>
      </w:r>
      <w:r>
        <w:rPr>
          <w:color w:val="auto"/>
          <w:sz w:val="28"/>
          <w:szCs w:val="28"/>
        </w:rPr>
        <w:t>，</w:t>
      </w:r>
      <w:r>
        <w:rPr>
          <w:rFonts w:hint="eastAsia"/>
          <w:color w:val="auto"/>
          <w:sz w:val="28"/>
          <w:szCs w:val="28"/>
          <w:lang w:val="en-US" w:eastAsia="zh-CN"/>
        </w:rPr>
        <w:t>其他场地</w:t>
      </w:r>
      <w:r>
        <w:rPr>
          <w:color w:val="auto"/>
          <w:sz w:val="28"/>
          <w:szCs w:val="28"/>
        </w:rPr>
        <w:t>复垦草地覆土厚度0.3m，合计共需覆土</w:t>
      </w:r>
      <w:r>
        <w:rPr>
          <w:rFonts w:hint="eastAsia"/>
          <w:color w:val="auto"/>
          <w:sz w:val="28"/>
          <w:szCs w:val="28"/>
          <w:lang w:val="en-US" w:eastAsia="zh-CN"/>
        </w:rPr>
        <w:t>20692</w:t>
      </w:r>
      <w:r>
        <w:rPr>
          <w:color w:val="auto"/>
          <w:sz w:val="28"/>
          <w:szCs w:val="28"/>
        </w:rPr>
        <w:t>m</w:t>
      </w:r>
      <w:r>
        <w:rPr>
          <w:color w:val="auto"/>
          <w:sz w:val="28"/>
          <w:szCs w:val="28"/>
          <w:vertAlign w:val="superscript"/>
        </w:rPr>
        <w:t>3</w:t>
      </w:r>
      <w:r>
        <w:rPr>
          <w:color w:val="auto"/>
          <w:sz w:val="28"/>
          <w:szCs w:val="28"/>
        </w:rPr>
        <w:t>（需求量见表3-</w:t>
      </w:r>
      <w:r>
        <w:rPr>
          <w:rFonts w:hint="eastAsia"/>
          <w:color w:val="auto"/>
          <w:sz w:val="28"/>
          <w:szCs w:val="28"/>
          <w:lang w:val="en-US" w:eastAsia="zh-CN"/>
        </w:rPr>
        <w:t>32</w:t>
      </w:r>
      <w:r>
        <w:rPr>
          <w:color w:val="auto"/>
          <w:sz w:val="28"/>
          <w:szCs w:val="28"/>
        </w:rPr>
        <w:t>）。</w:t>
      </w:r>
    </w:p>
    <w:p w14:paraId="25573481">
      <w:pPr>
        <w:widowControl/>
        <w:jc w:val="center"/>
        <w:rPr>
          <w:rFonts w:eastAsia="黑体"/>
          <w:color w:val="auto"/>
          <w:kern w:val="0"/>
          <w:sz w:val="24"/>
          <w:szCs w:val="24"/>
          <w:vertAlign w:val="superscript"/>
        </w:rPr>
      </w:pPr>
      <w:r>
        <w:rPr>
          <w:rFonts w:eastAsia="黑体"/>
          <w:color w:val="auto"/>
          <w:kern w:val="0"/>
          <w:sz w:val="24"/>
          <w:szCs w:val="24"/>
        </w:rPr>
        <w:t>表3-</w:t>
      </w:r>
      <w:r>
        <w:rPr>
          <w:rFonts w:hint="eastAsia" w:eastAsia="黑体"/>
          <w:color w:val="auto"/>
          <w:kern w:val="0"/>
          <w:sz w:val="24"/>
          <w:szCs w:val="24"/>
          <w:lang w:val="en-US" w:eastAsia="zh-CN"/>
        </w:rPr>
        <w:t>32</w:t>
      </w:r>
      <w:r>
        <w:rPr>
          <w:rFonts w:eastAsia="黑体"/>
          <w:color w:val="auto"/>
          <w:kern w:val="0"/>
          <w:sz w:val="24"/>
          <w:szCs w:val="24"/>
        </w:rPr>
        <w:t xml:space="preserve">  复垦需土量计算表</w:t>
      </w:r>
    </w:p>
    <w:tbl>
      <w:tblPr>
        <w:tblStyle w:val="34"/>
        <w:tblW w:w="869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443"/>
        <w:gridCol w:w="1040"/>
        <w:gridCol w:w="1190"/>
        <w:gridCol w:w="940"/>
        <w:gridCol w:w="860"/>
        <w:gridCol w:w="1170"/>
        <w:gridCol w:w="1090"/>
        <w:gridCol w:w="957"/>
      </w:tblGrid>
      <w:tr w14:paraId="3AB38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blHeader/>
        </w:trPr>
        <w:tc>
          <w:tcPr>
            <w:tcW w:w="1443" w:type="dxa"/>
            <w:vMerge w:val="restart"/>
            <w:shd w:val="clear" w:color="auto" w:fill="auto"/>
            <w:vAlign w:val="center"/>
          </w:tcPr>
          <w:p w14:paraId="3ACC811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现状单元</w:t>
            </w:r>
          </w:p>
        </w:tc>
        <w:tc>
          <w:tcPr>
            <w:tcW w:w="1040" w:type="dxa"/>
            <w:shd w:val="clear" w:color="auto" w:fill="auto"/>
            <w:vAlign w:val="center"/>
          </w:tcPr>
          <w:p w14:paraId="2EDCE8D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损毁面积</w:t>
            </w:r>
          </w:p>
        </w:tc>
        <w:tc>
          <w:tcPr>
            <w:tcW w:w="1190" w:type="dxa"/>
            <w:vMerge w:val="restart"/>
            <w:shd w:val="clear" w:color="auto" w:fill="auto"/>
            <w:vAlign w:val="center"/>
          </w:tcPr>
          <w:p w14:paraId="6C10579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地类名称</w:t>
            </w:r>
          </w:p>
        </w:tc>
        <w:tc>
          <w:tcPr>
            <w:tcW w:w="940" w:type="dxa"/>
            <w:shd w:val="clear" w:color="auto" w:fill="auto"/>
            <w:vAlign w:val="center"/>
          </w:tcPr>
          <w:p w14:paraId="2694167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面积</w:t>
            </w:r>
          </w:p>
        </w:tc>
        <w:tc>
          <w:tcPr>
            <w:tcW w:w="860" w:type="dxa"/>
            <w:vMerge w:val="restart"/>
            <w:shd w:val="clear" w:color="auto" w:fill="auto"/>
            <w:vAlign w:val="center"/>
          </w:tcPr>
          <w:p w14:paraId="27D97168">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复垦</w:t>
            </w:r>
          </w:p>
          <w:p w14:paraId="69C2FD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方向</w:t>
            </w:r>
          </w:p>
        </w:tc>
        <w:tc>
          <w:tcPr>
            <w:tcW w:w="1170" w:type="dxa"/>
            <w:shd w:val="clear" w:color="auto" w:fill="auto"/>
            <w:vAlign w:val="center"/>
          </w:tcPr>
          <w:p w14:paraId="64A6F8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复垦面积</w:t>
            </w:r>
          </w:p>
        </w:tc>
        <w:tc>
          <w:tcPr>
            <w:tcW w:w="1090" w:type="dxa"/>
            <w:shd w:val="clear" w:color="auto" w:fill="auto"/>
            <w:vAlign w:val="center"/>
          </w:tcPr>
          <w:p w14:paraId="3EC73E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覆土厚度</w:t>
            </w:r>
          </w:p>
        </w:tc>
        <w:tc>
          <w:tcPr>
            <w:tcW w:w="957" w:type="dxa"/>
            <w:shd w:val="clear" w:color="auto" w:fill="auto"/>
            <w:vAlign w:val="center"/>
          </w:tcPr>
          <w:p w14:paraId="45AD75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需土量</w:t>
            </w:r>
          </w:p>
        </w:tc>
      </w:tr>
      <w:tr w14:paraId="1C9C4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blHeader/>
        </w:trPr>
        <w:tc>
          <w:tcPr>
            <w:tcW w:w="1443" w:type="dxa"/>
            <w:vMerge w:val="continue"/>
            <w:shd w:val="clear" w:color="auto" w:fill="auto"/>
            <w:vAlign w:val="center"/>
          </w:tcPr>
          <w:p w14:paraId="2F63A815">
            <w:pPr>
              <w:jc w:val="center"/>
              <w:rPr>
                <w:rFonts w:hint="eastAsia" w:ascii="宋体" w:hAnsi="宋体" w:eastAsia="宋体" w:cs="宋体"/>
                <w:i w:val="0"/>
                <w:iCs w:val="0"/>
                <w:color w:val="auto"/>
                <w:sz w:val="20"/>
                <w:szCs w:val="20"/>
                <w:u w:val="none"/>
              </w:rPr>
            </w:pPr>
          </w:p>
        </w:tc>
        <w:tc>
          <w:tcPr>
            <w:tcW w:w="1040" w:type="dxa"/>
            <w:shd w:val="clear" w:color="auto" w:fill="auto"/>
            <w:vAlign w:val="center"/>
          </w:tcPr>
          <w:p w14:paraId="72B8700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（m</w:t>
            </w:r>
            <w:r>
              <w:rPr>
                <w:rFonts w:hint="eastAsia" w:ascii="宋体" w:hAnsi="宋体" w:eastAsia="宋体" w:cs="宋体"/>
                <w:i w:val="0"/>
                <w:iCs w:val="0"/>
                <w:color w:val="auto"/>
                <w:kern w:val="0"/>
                <w:sz w:val="20"/>
                <w:szCs w:val="20"/>
                <w:u w:val="none"/>
                <w:vertAlign w:val="superscript"/>
                <w:lang w:val="en-US" w:eastAsia="zh-CN" w:bidi="ar"/>
              </w:rPr>
              <w:t>2</w:t>
            </w:r>
            <w:r>
              <w:rPr>
                <w:rFonts w:hint="eastAsia" w:ascii="宋体" w:hAnsi="宋体" w:eastAsia="宋体" w:cs="宋体"/>
                <w:i w:val="0"/>
                <w:iCs w:val="0"/>
                <w:color w:val="auto"/>
                <w:kern w:val="0"/>
                <w:sz w:val="20"/>
                <w:szCs w:val="20"/>
                <w:u w:val="none"/>
                <w:lang w:val="en-US" w:eastAsia="zh-CN" w:bidi="ar"/>
              </w:rPr>
              <w:t>）</w:t>
            </w:r>
          </w:p>
        </w:tc>
        <w:tc>
          <w:tcPr>
            <w:tcW w:w="1190" w:type="dxa"/>
            <w:vMerge w:val="continue"/>
            <w:shd w:val="clear" w:color="auto" w:fill="auto"/>
            <w:vAlign w:val="center"/>
          </w:tcPr>
          <w:p w14:paraId="284F8CC0">
            <w:pPr>
              <w:jc w:val="center"/>
              <w:rPr>
                <w:rFonts w:hint="eastAsia" w:ascii="宋体" w:hAnsi="宋体" w:eastAsia="宋体" w:cs="宋体"/>
                <w:i w:val="0"/>
                <w:iCs w:val="0"/>
                <w:color w:val="auto"/>
                <w:sz w:val="20"/>
                <w:szCs w:val="20"/>
                <w:u w:val="none"/>
              </w:rPr>
            </w:pPr>
          </w:p>
        </w:tc>
        <w:tc>
          <w:tcPr>
            <w:tcW w:w="940" w:type="dxa"/>
            <w:shd w:val="clear" w:color="auto" w:fill="auto"/>
            <w:vAlign w:val="center"/>
          </w:tcPr>
          <w:p w14:paraId="7998603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（m</w:t>
            </w:r>
            <w:r>
              <w:rPr>
                <w:rFonts w:hint="eastAsia" w:ascii="宋体" w:hAnsi="宋体" w:eastAsia="宋体" w:cs="宋体"/>
                <w:i w:val="0"/>
                <w:iCs w:val="0"/>
                <w:color w:val="auto"/>
                <w:kern w:val="0"/>
                <w:sz w:val="20"/>
                <w:szCs w:val="20"/>
                <w:u w:val="none"/>
                <w:vertAlign w:val="superscript"/>
                <w:lang w:val="en-US" w:eastAsia="zh-CN" w:bidi="ar"/>
              </w:rPr>
              <w:t>2</w:t>
            </w:r>
            <w:r>
              <w:rPr>
                <w:rFonts w:hint="eastAsia" w:ascii="宋体" w:hAnsi="宋体" w:eastAsia="宋体" w:cs="宋体"/>
                <w:i w:val="0"/>
                <w:iCs w:val="0"/>
                <w:color w:val="auto"/>
                <w:kern w:val="0"/>
                <w:sz w:val="20"/>
                <w:szCs w:val="20"/>
                <w:u w:val="none"/>
                <w:lang w:val="en-US" w:eastAsia="zh-CN" w:bidi="ar"/>
              </w:rPr>
              <w:t>）</w:t>
            </w:r>
          </w:p>
        </w:tc>
        <w:tc>
          <w:tcPr>
            <w:tcW w:w="860" w:type="dxa"/>
            <w:vMerge w:val="continue"/>
            <w:shd w:val="clear" w:color="auto" w:fill="auto"/>
            <w:vAlign w:val="center"/>
          </w:tcPr>
          <w:p w14:paraId="48DBC8D6">
            <w:pPr>
              <w:jc w:val="center"/>
              <w:rPr>
                <w:rFonts w:hint="eastAsia" w:ascii="宋体" w:hAnsi="宋体" w:eastAsia="宋体" w:cs="宋体"/>
                <w:i w:val="0"/>
                <w:iCs w:val="0"/>
                <w:color w:val="auto"/>
                <w:sz w:val="21"/>
                <w:szCs w:val="21"/>
                <w:u w:val="none"/>
              </w:rPr>
            </w:pPr>
          </w:p>
        </w:tc>
        <w:tc>
          <w:tcPr>
            <w:tcW w:w="1170" w:type="dxa"/>
            <w:shd w:val="clear" w:color="auto" w:fill="auto"/>
            <w:vAlign w:val="center"/>
          </w:tcPr>
          <w:p w14:paraId="6D7DF83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2</w:t>
            </w:r>
            <w:r>
              <w:rPr>
                <w:rFonts w:hint="default" w:ascii="Times New Roman" w:hAnsi="Times New Roman" w:eastAsia="宋体" w:cs="Times New Roman"/>
                <w:i w:val="0"/>
                <w:iCs w:val="0"/>
                <w:color w:val="auto"/>
                <w:kern w:val="0"/>
                <w:sz w:val="21"/>
                <w:szCs w:val="21"/>
                <w:u w:val="none"/>
                <w:lang w:val="en-US" w:eastAsia="zh-CN" w:bidi="ar"/>
              </w:rPr>
              <w:t>)</w:t>
            </w:r>
          </w:p>
        </w:tc>
        <w:tc>
          <w:tcPr>
            <w:tcW w:w="1090" w:type="dxa"/>
            <w:shd w:val="clear" w:color="auto" w:fill="auto"/>
            <w:vAlign w:val="center"/>
          </w:tcPr>
          <w:p w14:paraId="52B95E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m</w:t>
            </w:r>
            <w:r>
              <w:rPr>
                <w:rFonts w:hint="eastAsia" w:ascii="宋体" w:hAnsi="宋体" w:eastAsia="宋体" w:cs="宋体"/>
                <w:i w:val="0"/>
                <w:iCs w:val="0"/>
                <w:color w:val="auto"/>
                <w:kern w:val="0"/>
                <w:sz w:val="21"/>
                <w:szCs w:val="21"/>
                <w:u w:val="none"/>
                <w:lang w:val="en-US" w:eastAsia="zh-CN" w:bidi="ar"/>
              </w:rPr>
              <w:t>）</w:t>
            </w:r>
          </w:p>
        </w:tc>
        <w:tc>
          <w:tcPr>
            <w:tcW w:w="957" w:type="dxa"/>
            <w:shd w:val="clear" w:color="auto" w:fill="auto"/>
            <w:vAlign w:val="center"/>
          </w:tcPr>
          <w:p w14:paraId="668DFE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eastAsia" w:ascii="宋体" w:hAnsi="宋体" w:eastAsia="宋体" w:cs="宋体"/>
                <w:i w:val="0"/>
                <w:iCs w:val="0"/>
                <w:color w:val="auto"/>
                <w:kern w:val="0"/>
                <w:sz w:val="21"/>
                <w:szCs w:val="21"/>
                <w:u w:val="none"/>
                <w:lang w:val="en-US" w:eastAsia="zh-CN" w:bidi="ar"/>
              </w:rPr>
              <w:t>）</w:t>
            </w:r>
          </w:p>
        </w:tc>
      </w:tr>
      <w:tr w14:paraId="74430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43" w:type="dxa"/>
            <w:vMerge w:val="restart"/>
            <w:shd w:val="clear" w:color="auto" w:fill="auto"/>
            <w:vAlign w:val="center"/>
          </w:tcPr>
          <w:p w14:paraId="61888A9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露天采场</w:t>
            </w:r>
          </w:p>
        </w:tc>
        <w:tc>
          <w:tcPr>
            <w:tcW w:w="1040" w:type="dxa"/>
            <w:vMerge w:val="restart"/>
            <w:shd w:val="clear" w:color="auto" w:fill="auto"/>
            <w:vAlign w:val="center"/>
          </w:tcPr>
          <w:p w14:paraId="4D5FE9D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35248</w:t>
            </w:r>
          </w:p>
        </w:tc>
        <w:tc>
          <w:tcPr>
            <w:tcW w:w="1190" w:type="dxa"/>
            <w:shd w:val="clear" w:color="auto" w:fill="auto"/>
            <w:noWrap/>
            <w:vAlign w:val="center"/>
          </w:tcPr>
          <w:p w14:paraId="52D758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灌木林地</w:t>
            </w:r>
          </w:p>
        </w:tc>
        <w:tc>
          <w:tcPr>
            <w:tcW w:w="940" w:type="dxa"/>
            <w:shd w:val="clear" w:color="auto" w:fill="auto"/>
            <w:vAlign w:val="center"/>
          </w:tcPr>
          <w:p w14:paraId="1D9AC0F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418</w:t>
            </w:r>
          </w:p>
        </w:tc>
        <w:tc>
          <w:tcPr>
            <w:tcW w:w="860" w:type="dxa"/>
            <w:vMerge w:val="restart"/>
            <w:shd w:val="clear" w:color="auto" w:fill="auto"/>
            <w:noWrap/>
            <w:vAlign w:val="center"/>
          </w:tcPr>
          <w:p w14:paraId="3991E90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草地</w:t>
            </w:r>
          </w:p>
        </w:tc>
        <w:tc>
          <w:tcPr>
            <w:tcW w:w="1170" w:type="dxa"/>
            <w:vMerge w:val="restart"/>
            <w:shd w:val="clear" w:color="auto" w:fill="auto"/>
            <w:vAlign w:val="center"/>
          </w:tcPr>
          <w:p w14:paraId="01AFC20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35248</w:t>
            </w:r>
          </w:p>
        </w:tc>
        <w:tc>
          <w:tcPr>
            <w:tcW w:w="1090" w:type="dxa"/>
            <w:vMerge w:val="restart"/>
            <w:shd w:val="clear" w:color="auto" w:fill="auto"/>
            <w:noWrap/>
            <w:vAlign w:val="center"/>
          </w:tcPr>
          <w:p w14:paraId="549CC90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0.3</w:t>
            </w:r>
          </w:p>
        </w:tc>
        <w:tc>
          <w:tcPr>
            <w:tcW w:w="957" w:type="dxa"/>
            <w:vMerge w:val="restart"/>
            <w:shd w:val="clear" w:color="auto" w:fill="auto"/>
            <w:noWrap/>
            <w:vAlign w:val="center"/>
          </w:tcPr>
          <w:p w14:paraId="2C9B2B6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10574 </w:t>
            </w:r>
          </w:p>
        </w:tc>
      </w:tr>
      <w:tr w14:paraId="042B9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43" w:type="dxa"/>
            <w:vMerge w:val="continue"/>
            <w:shd w:val="clear" w:color="auto" w:fill="auto"/>
            <w:vAlign w:val="center"/>
          </w:tcPr>
          <w:p w14:paraId="61BD013B">
            <w:pPr>
              <w:jc w:val="center"/>
              <w:rPr>
                <w:rFonts w:hint="eastAsia" w:ascii="宋体" w:hAnsi="宋体" w:eastAsia="宋体" w:cs="宋体"/>
                <w:i w:val="0"/>
                <w:iCs w:val="0"/>
                <w:color w:val="auto"/>
                <w:sz w:val="20"/>
                <w:szCs w:val="20"/>
                <w:u w:val="none"/>
              </w:rPr>
            </w:pPr>
          </w:p>
        </w:tc>
        <w:tc>
          <w:tcPr>
            <w:tcW w:w="1040" w:type="dxa"/>
            <w:vMerge w:val="continue"/>
            <w:shd w:val="clear" w:color="auto" w:fill="auto"/>
            <w:vAlign w:val="center"/>
          </w:tcPr>
          <w:p w14:paraId="4088000C">
            <w:pPr>
              <w:jc w:val="center"/>
              <w:rPr>
                <w:rFonts w:hint="eastAsia" w:ascii="宋体" w:hAnsi="宋体" w:eastAsia="宋体" w:cs="宋体"/>
                <w:i w:val="0"/>
                <w:iCs w:val="0"/>
                <w:color w:val="auto"/>
                <w:sz w:val="20"/>
                <w:szCs w:val="20"/>
                <w:u w:val="none"/>
              </w:rPr>
            </w:pPr>
          </w:p>
        </w:tc>
        <w:tc>
          <w:tcPr>
            <w:tcW w:w="1190" w:type="dxa"/>
            <w:shd w:val="clear" w:color="auto" w:fill="auto"/>
            <w:vAlign w:val="center"/>
          </w:tcPr>
          <w:p w14:paraId="27D5573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其他草地</w:t>
            </w:r>
          </w:p>
        </w:tc>
        <w:tc>
          <w:tcPr>
            <w:tcW w:w="940" w:type="dxa"/>
            <w:shd w:val="clear" w:color="auto" w:fill="auto"/>
            <w:vAlign w:val="center"/>
          </w:tcPr>
          <w:p w14:paraId="136D56B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6734</w:t>
            </w:r>
          </w:p>
        </w:tc>
        <w:tc>
          <w:tcPr>
            <w:tcW w:w="860" w:type="dxa"/>
            <w:vMerge w:val="continue"/>
            <w:shd w:val="clear" w:color="auto" w:fill="auto"/>
            <w:noWrap/>
            <w:vAlign w:val="center"/>
          </w:tcPr>
          <w:p w14:paraId="59E7C1BC">
            <w:pPr>
              <w:jc w:val="center"/>
              <w:rPr>
                <w:rFonts w:hint="eastAsia" w:ascii="宋体" w:hAnsi="宋体" w:eastAsia="宋体" w:cs="宋体"/>
                <w:i w:val="0"/>
                <w:iCs w:val="0"/>
                <w:color w:val="auto"/>
                <w:sz w:val="22"/>
                <w:szCs w:val="22"/>
                <w:u w:val="none"/>
              </w:rPr>
            </w:pPr>
          </w:p>
        </w:tc>
        <w:tc>
          <w:tcPr>
            <w:tcW w:w="1170" w:type="dxa"/>
            <w:vMerge w:val="continue"/>
            <w:shd w:val="clear" w:color="auto" w:fill="auto"/>
            <w:vAlign w:val="center"/>
          </w:tcPr>
          <w:p w14:paraId="684BA454">
            <w:pPr>
              <w:jc w:val="center"/>
              <w:rPr>
                <w:rFonts w:hint="eastAsia" w:ascii="宋体" w:hAnsi="宋体" w:eastAsia="宋体" w:cs="宋体"/>
                <w:i w:val="0"/>
                <w:iCs w:val="0"/>
                <w:color w:val="auto"/>
                <w:sz w:val="20"/>
                <w:szCs w:val="20"/>
                <w:u w:val="none"/>
              </w:rPr>
            </w:pPr>
          </w:p>
        </w:tc>
        <w:tc>
          <w:tcPr>
            <w:tcW w:w="1090" w:type="dxa"/>
            <w:vMerge w:val="continue"/>
            <w:shd w:val="clear" w:color="auto" w:fill="auto"/>
            <w:noWrap/>
            <w:vAlign w:val="center"/>
          </w:tcPr>
          <w:p w14:paraId="6534C838">
            <w:pPr>
              <w:jc w:val="center"/>
              <w:rPr>
                <w:rFonts w:hint="eastAsia" w:ascii="宋体" w:hAnsi="宋体" w:eastAsia="宋体" w:cs="宋体"/>
                <w:i w:val="0"/>
                <w:iCs w:val="0"/>
                <w:color w:val="auto"/>
                <w:sz w:val="22"/>
                <w:szCs w:val="22"/>
                <w:u w:val="none"/>
              </w:rPr>
            </w:pPr>
          </w:p>
        </w:tc>
        <w:tc>
          <w:tcPr>
            <w:tcW w:w="957" w:type="dxa"/>
            <w:vMerge w:val="continue"/>
            <w:shd w:val="clear" w:color="auto" w:fill="auto"/>
            <w:noWrap/>
            <w:vAlign w:val="center"/>
          </w:tcPr>
          <w:p w14:paraId="725B5BF0">
            <w:pPr>
              <w:jc w:val="center"/>
              <w:rPr>
                <w:rFonts w:hint="eastAsia" w:ascii="宋体" w:hAnsi="宋体" w:eastAsia="宋体" w:cs="宋体"/>
                <w:i w:val="0"/>
                <w:iCs w:val="0"/>
                <w:color w:val="auto"/>
                <w:sz w:val="22"/>
                <w:szCs w:val="22"/>
                <w:u w:val="none"/>
              </w:rPr>
            </w:pPr>
          </w:p>
        </w:tc>
      </w:tr>
      <w:tr w14:paraId="065D7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43" w:type="dxa"/>
            <w:vMerge w:val="continue"/>
            <w:shd w:val="clear" w:color="auto" w:fill="auto"/>
            <w:vAlign w:val="center"/>
          </w:tcPr>
          <w:p w14:paraId="6B9A57B9">
            <w:pPr>
              <w:jc w:val="center"/>
              <w:rPr>
                <w:rFonts w:hint="eastAsia" w:ascii="宋体" w:hAnsi="宋体" w:eastAsia="宋体" w:cs="宋体"/>
                <w:i w:val="0"/>
                <w:iCs w:val="0"/>
                <w:color w:val="auto"/>
                <w:sz w:val="20"/>
                <w:szCs w:val="20"/>
                <w:u w:val="none"/>
              </w:rPr>
            </w:pPr>
          </w:p>
        </w:tc>
        <w:tc>
          <w:tcPr>
            <w:tcW w:w="1040" w:type="dxa"/>
            <w:vMerge w:val="continue"/>
            <w:shd w:val="clear" w:color="auto" w:fill="auto"/>
            <w:vAlign w:val="center"/>
          </w:tcPr>
          <w:p w14:paraId="6118799F">
            <w:pPr>
              <w:jc w:val="center"/>
              <w:rPr>
                <w:rFonts w:hint="eastAsia" w:ascii="宋体" w:hAnsi="宋体" w:eastAsia="宋体" w:cs="宋体"/>
                <w:i w:val="0"/>
                <w:iCs w:val="0"/>
                <w:color w:val="auto"/>
                <w:sz w:val="20"/>
                <w:szCs w:val="20"/>
                <w:u w:val="none"/>
              </w:rPr>
            </w:pPr>
          </w:p>
        </w:tc>
        <w:tc>
          <w:tcPr>
            <w:tcW w:w="1190" w:type="dxa"/>
            <w:shd w:val="clear" w:color="auto" w:fill="auto"/>
            <w:noWrap/>
            <w:vAlign w:val="center"/>
          </w:tcPr>
          <w:p w14:paraId="56F974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采矿用地</w:t>
            </w:r>
          </w:p>
        </w:tc>
        <w:tc>
          <w:tcPr>
            <w:tcW w:w="940" w:type="dxa"/>
            <w:shd w:val="clear" w:color="auto" w:fill="auto"/>
            <w:vAlign w:val="center"/>
          </w:tcPr>
          <w:p w14:paraId="2E2081B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28096</w:t>
            </w:r>
          </w:p>
        </w:tc>
        <w:tc>
          <w:tcPr>
            <w:tcW w:w="860" w:type="dxa"/>
            <w:vMerge w:val="continue"/>
            <w:shd w:val="clear" w:color="auto" w:fill="auto"/>
            <w:noWrap/>
            <w:vAlign w:val="center"/>
          </w:tcPr>
          <w:p w14:paraId="4D627603">
            <w:pPr>
              <w:jc w:val="center"/>
              <w:rPr>
                <w:rFonts w:hint="eastAsia" w:ascii="宋体" w:hAnsi="宋体" w:eastAsia="宋体" w:cs="宋体"/>
                <w:i w:val="0"/>
                <w:iCs w:val="0"/>
                <w:color w:val="auto"/>
                <w:sz w:val="22"/>
                <w:szCs w:val="22"/>
                <w:u w:val="none"/>
              </w:rPr>
            </w:pPr>
          </w:p>
        </w:tc>
        <w:tc>
          <w:tcPr>
            <w:tcW w:w="1170" w:type="dxa"/>
            <w:vMerge w:val="continue"/>
            <w:shd w:val="clear" w:color="auto" w:fill="auto"/>
            <w:vAlign w:val="center"/>
          </w:tcPr>
          <w:p w14:paraId="0AA7AA6A">
            <w:pPr>
              <w:jc w:val="center"/>
              <w:rPr>
                <w:rFonts w:hint="eastAsia" w:ascii="宋体" w:hAnsi="宋体" w:eastAsia="宋体" w:cs="宋体"/>
                <w:i w:val="0"/>
                <w:iCs w:val="0"/>
                <w:color w:val="auto"/>
                <w:sz w:val="20"/>
                <w:szCs w:val="20"/>
                <w:u w:val="none"/>
              </w:rPr>
            </w:pPr>
          </w:p>
        </w:tc>
        <w:tc>
          <w:tcPr>
            <w:tcW w:w="1090" w:type="dxa"/>
            <w:vMerge w:val="continue"/>
            <w:shd w:val="clear" w:color="auto" w:fill="auto"/>
            <w:noWrap/>
            <w:vAlign w:val="center"/>
          </w:tcPr>
          <w:p w14:paraId="2A0499A8">
            <w:pPr>
              <w:jc w:val="center"/>
              <w:rPr>
                <w:rFonts w:hint="eastAsia" w:ascii="宋体" w:hAnsi="宋体" w:eastAsia="宋体" w:cs="宋体"/>
                <w:i w:val="0"/>
                <w:iCs w:val="0"/>
                <w:color w:val="auto"/>
                <w:sz w:val="22"/>
                <w:szCs w:val="22"/>
                <w:u w:val="none"/>
              </w:rPr>
            </w:pPr>
          </w:p>
        </w:tc>
        <w:tc>
          <w:tcPr>
            <w:tcW w:w="957" w:type="dxa"/>
            <w:vMerge w:val="continue"/>
            <w:shd w:val="clear" w:color="auto" w:fill="auto"/>
            <w:noWrap/>
            <w:vAlign w:val="center"/>
          </w:tcPr>
          <w:p w14:paraId="5C0914BC">
            <w:pPr>
              <w:jc w:val="center"/>
              <w:rPr>
                <w:rFonts w:hint="eastAsia" w:ascii="宋体" w:hAnsi="宋体" w:eastAsia="宋体" w:cs="宋体"/>
                <w:i w:val="0"/>
                <w:iCs w:val="0"/>
                <w:color w:val="auto"/>
                <w:sz w:val="22"/>
                <w:szCs w:val="22"/>
                <w:u w:val="none"/>
              </w:rPr>
            </w:pPr>
          </w:p>
        </w:tc>
      </w:tr>
      <w:tr w14:paraId="37742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43" w:type="dxa"/>
            <w:shd w:val="clear" w:color="auto" w:fill="auto"/>
            <w:noWrap/>
            <w:vAlign w:val="center"/>
          </w:tcPr>
          <w:p w14:paraId="6955288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1#废石场</w:t>
            </w:r>
          </w:p>
        </w:tc>
        <w:tc>
          <w:tcPr>
            <w:tcW w:w="1040" w:type="dxa"/>
            <w:shd w:val="clear" w:color="auto" w:fill="auto"/>
            <w:vAlign w:val="center"/>
          </w:tcPr>
          <w:p w14:paraId="6A2EC59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4811</w:t>
            </w:r>
          </w:p>
        </w:tc>
        <w:tc>
          <w:tcPr>
            <w:tcW w:w="1190" w:type="dxa"/>
            <w:shd w:val="clear" w:color="auto" w:fill="auto"/>
            <w:noWrap/>
            <w:vAlign w:val="center"/>
          </w:tcPr>
          <w:p w14:paraId="1DCAEA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采矿用地</w:t>
            </w:r>
          </w:p>
        </w:tc>
        <w:tc>
          <w:tcPr>
            <w:tcW w:w="940" w:type="dxa"/>
            <w:shd w:val="clear" w:color="auto" w:fill="auto"/>
            <w:vAlign w:val="center"/>
          </w:tcPr>
          <w:p w14:paraId="15EBCC1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39077</w:t>
            </w:r>
          </w:p>
        </w:tc>
        <w:tc>
          <w:tcPr>
            <w:tcW w:w="860" w:type="dxa"/>
            <w:shd w:val="clear" w:color="auto" w:fill="auto"/>
            <w:noWrap/>
            <w:vAlign w:val="center"/>
          </w:tcPr>
          <w:p w14:paraId="440A83F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草地</w:t>
            </w:r>
          </w:p>
        </w:tc>
        <w:tc>
          <w:tcPr>
            <w:tcW w:w="1170" w:type="dxa"/>
            <w:shd w:val="clear" w:color="auto" w:fill="auto"/>
            <w:vAlign w:val="center"/>
          </w:tcPr>
          <w:p w14:paraId="767FD9F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4811</w:t>
            </w:r>
          </w:p>
        </w:tc>
        <w:tc>
          <w:tcPr>
            <w:tcW w:w="1090" w:type="dxa"/>
            <w:shd w:val="clear" w:color="auto" w:fill="auto"/>
            <w:noWrap/>
            <w:vAlign w:val="center"/>
          </w:tcPr>
          <w:p w14:paraId="277B40E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0.3</w:t>
            </w:r>
          </w:p>
        </w:tc>
        <w:tc>
          <w:tcPr>
            <w:tcW w:w="957" w:type="dxa"/>
            <w:shd w:val="clear" w:color="auto" w:fill="auto"/>
            <w:noWrap/>
            <w:vAlign w:val="center"/>
          </w:tcPr>
          <w:p w14:paraId="33CE466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1443 </w:t>
            </w:r>
          </w:p>
        </w:tc>
      </w:tr>
      <w:tr w14:paraId="39130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443" w:type="dxa"/>
            <w:shd w:val="clear" w:color="auto" w:fill="auto"/>
            <w:noWrap/>
            <w:vAlign w:val="center"/>
          </w:tcPr>
          <w:p w14:paraId="51D3C49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2#废石场</w:t>
            </w:r>
          </w:p>
        </w:tc>
        <w:tc>
          <w:tcPr>
            <w:tcW w:w="1040" w:type="dxa"/>
            <w:shd w:val="clear" w:color="auto" w:fill="auto"/>
            <w:vAlign w:val="center"/>
          </w:tcPr>
          <w:p w14:paraId="35421A8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14034</w:t>
            </w:r>
          </w:p>
        </w:tc>
        <w:tc>
          <w:tcPr>
            <w:tcW w:w="1190" w:type="dxa"/>
            <w:shd w:val="clear" w:color="auto" w:fill="auto"/>
            <w:noWrap/>
            <w:vAlign w:val="center"/>
          </w:tcPr>
          <w:p w14:paraId="3D432E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采矿用地</w:t>
            </w:r>
          </w:p>
        </w:tc>
        <w:tc>
          <w:tcPr>
            <w:tcW w:w="940" w:type="dxa"/>
            <w:shd w:val="clear" w:color="auto" w:fill="auto"/>
            <w:vAlign w:val="center"/>
          </w:tcPr>
          <w:p w14:paraId="1ACEE7D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13697</w:t>
            </w:r>
          </w:p>
        </w:tc>
        <w:tc>
          <w:tcPr>
            <w:tcW w:w="860" w:type="dxa"/>
            <w:shd w:val="clear" w:color="auto" w:fill="auto"/>
            <w:noWrap/>
            <w:vAlign w:val="center"/>
          </w:tcPr>
          <w:p w14:paraId="67AA8C3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草地</w:t>
            </w:r>
          </w:p>
        </w:tc>
        <w:tc>
          <w:tcPr>
            <w:tcW w:w="1170" w:type="dxa"/>
            <w:shd w:val="clear" w:color="auto" w:fill="auto"/>
            <w:vAlign w:val="center"/>
          </w:tcPr>
          <w:p w14:paraId="47C760A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11106</w:t>
            </w:r>
          </w:p>
        </w:tc>
        <w:tc>
          <w:tcPr>
            <w:tcW w:w="1090" w:type="dxa"/>
            <w:shd w:val="clear" w:color="auto" w:fill="auto"/>
            <w:noWrap/>
            <w:vAlign w:val="center"/>
          </w:tcPr>
          <w:p w14:paraId="166028E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0.3</w:t>
            </w:r>
          </w:p>
        </w:tc>
        <w:tc>
          <w:tcPr>
            <w:tcW w:w="957" w:type="dxa"/>
            <w:shd w:val="clear" w:color="auto" w:fill="auto"/>
            <w:noWrap/>
            <w:vAlign w:val="center"/>
          </w:tcPr>
          <w:p w14:paraId="3BF6718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3332 </w:t>
            </w:r>
          </w:p>
        </w:tc>
      </w:tr>
      <w:tr w14:paraId="6703D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43" w:type="dxa"/>
            <w:vMerge w:val="restart"/>
            <w:shd w:val="clear" w:color="auto" w:fill="auto"/>
            <w:vAlign w:val="center"/>
          </w:tcPr>
          <w:p w14:paraId="5DAE355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1#废渣堆</w:t>
            </w:r>
          </w:p>
        </w:tc>
        <w:tc>
          <w:tcPr>
            <w:tcW w:w="1040" w:type="dxa"/>
            <w:vMerge w:val="restart"/>
            <w:shd w:val="clear" w:color="auto" w:fill="auto"/>
            <w:vAlign w:val="center"/>
          </w:tcPr>
          <w:p w14:paraId="7BB6606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3993</w:t>
            </w:r>
          </w:p>
        </w:tc>
        <w:tc>
          <w:tcPr>
            <w:tcW w:w="1190" w:type="dxa"/>
            <w:shd w:val="clear" w:color="auto" w:fill="auto"/>
            <w:vAlign w:val="center"/>
          </w:tcPr>
          <w:p w14:paraId="33832EF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其他草地</w:t>
            </w:r>
          </w:p>
        </w:tc>
        <w:tc>
          <w:tcPr>
            <w:tcW w:w="940" w:type="dxa"/>
            <w:shd w:val="clear" w:color="auto" w:fill="auto"/>
            <w:vAlign w:val="center"/>
          </w:tcPr>
          <w:p w14:paraId="7A17159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117</w:t>
            </w:r>
          </w:p>
        </w:tc>
        <w:tc>
          <w:tcPr>
            <w:tcW w:w="860" w:type="dxa"/>
            <w:shd w:val="clear" w:color="auto" w:fill="auto"/>
            <w:noWrap/>
            <w:vAlign w:val="center"/>
          </w:tcPr>
          <w:p w14:paraId="5DD9212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草地</w:t>
            </w:r>
          </w:p>
        </w:tc>
        <w:tc>
          <w:tcPr>
            <w:tcW w:w="1170" w:type="dxa"/>
            <w:vMerge w:val="restart"/>
            <w:shd w:val="clear" w:color="auto" w:fill="auto"/>
            <w:noWrap/>
            <w:vAlign w:val="center"/>
          </w:tcPr>
          <w:p w14:paraId="19D884D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3993</w:t>
            </w:r>
          </w:p>
        </w:tc>
        <w:tc>
          <w:tcPr>
            <w:tcW w:w="1090" w:type="dxa"/>
            <w:vMerge w:val="restart"/>
            <w:shd w:val="clear" w:color="auto" w:fill="auto"/>
            <w:noWrap/>
            <w:vAlign w:val="center"/>
          </w:tcPr>
          <w:p w14:paraId="3799CF9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0.3</w:t>
            </w:r>
          </w:p>
        </w:tc>
        <w:tc>
          <w:tcPr>
            <w:tcW w:w="957" w:type="dxa"/>
            <w:vMerge w:val="restart"/>
            <w:shd w:val="clear" w:color="auto" w:fill="auto"/>
            <w:noWrap/>
            <w:vAlign w:val="center"/>
          </w:tcPr>
          <w:p w14:paraId="047B8D0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1198 </w:t>
            </w:r>
          </w:p>
        </w:tc>
      </w:tr>
      <w:tr w14:paraId="4D414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443" w:type="dxa"/>
            <w:vMerge w:val="continue"/>
            <w:shd w:val="clear" w:color="auto" w:fill="auto"/>
            <w:vAlign w:val="center"/>
          </w:tcPr>
          <w:p w14:paraId="6197315D">
            <w:pPr>
              <w:jc w:val="center"/>
              <w:rPr>
                <w:rFonts w:hint="eastAsia" w:ascii="宋体" w:hAnsi="宋体" w:eastAsia="宋体" w:cs="宋体"/>
                <w:i w:val="0"/>
                <w:iCs w:val="0"/>
                <w:color w:val="auto"/>
                <w:sz w:val="20"/>
                <w:szCs w:val="20"/>
                <w:u w:val="none"/>
              </w:rPr>
            </w:pPr>
          </w:p>
        </w:tc>
        <w:tc>
          <w:tcPr>
            <w:tcW w:w="1040" w:type="dxa"/>
            <w:vMerge w:val="continue"/>
            <w:shd w:val="clear" w:color="auto" w:fill="auto"/>
            <w:vAlign w:val="center"/>
          </w:tcPr>
          <w:p w14:paraId="52F63ADD">
            <w:pPr>
              <w:jc w:val="center"/>
              <w:rPr>
                <w:rFonts w:hint="eastAsia" w:ascii="宋体" w:hAnsi="宋体" w:eastAsia="宋体" w:cs="宋体"/>
                <w:i w:val="0"/>
                <w:iCs w:val="0"/>
                <w:color w:val="auto"/>
                <w:sz w:val="20"/>
                <w:szCs w:val="20"/>
                <w:u w:val="none"/>
              </w:rPr>
            </w:pPr>
          </w:p>
        </w:tc>
        <w:tc>
          <w:tcPr>
            <w:tcW w:w="1190" w:type="dxa"/>
            <w:shd w:val="clear" w:color="auto" w:fill="auto"/>
            <w:noWrap/>
            <w:vAlign w:val="center"/>
          </w:tcPr>
          <w:p w14:paraId="4162C0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采矿用地</w:t>
            </w:r>
          </w:p>
        </w:tc>
        <w:tc>
          <w:tcPr>
            <w:tcW w:w="940" w:type="dxa"/>
            <w:shd w:val="clear" w:color="auto" w:fill="auto"/>
            <w:vAlign w:val="center"/>
          </w:tcPr>
          <w:p w14:paraId="04A0187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3876</w:t>
            </w:r>
          </w:p>
        </w:tc>
        <w:tc>
          <w:tcPr>
            <w:tcW w:w="860" w:type="dxa"/>
            <w:shd w:val="clear" w:color="auto" w:fill="auto"/>
            <w:noWrap/>
            <w:vAlign w:val="center"/>
          </w:tcPr>
          <w:p w14:paraId="758AF15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草地</w:t>
            </w:r>
          </w:p>
        </w:tc>
        <w:tc>
          <w:tcPr>
            <w:tcW w:w="1170" w:type="dxa"/>
            <w:vMerge w:val="continue"/>
            <w:shd w:val="clear" w:color="auto" w:fill="auto"/>
            <w:noWrap/>
            <w:vAlign w:val="center"/>
          </w:tcPr>
          <w:p w14:paraId="282B9F14">
            <w:pPr>
              <w:jc w:val="center"/>
              <w:rPr>
                <w:rFonts w:hint="eastAsia" w:ascii="宋体" w:hAnsi="宋体" w:eastAsia="宋体" w:cs="宋体"/>
                <w:i w:val="0"/>
                <w:iCs w:val="0"/>
                <w:color w:val="auto"/>
                <w:sz w:val="22"/>
                <w:szCs w:val="22"/>
                <w:u w:val="none"/>
              </w:rPr>
            </w:pPr>
          </w:p>
        </w:tc>
        <w:tc>
          <w:tcPr>
            <w:tcW w:w="1090" w:type="dxa"/>
            <w:vMerge w:val="continue"/>
            <w:shd w:val="clear" w:color="auto" w:fill="auto"/>
            <w:noWrap/>
            <w:vAlign w:val="center"/>
          </w:tcPr>
          <w:p w14:paraId="270C3FEA">
            <w:pPr>
              <w:jc w:val="center"/>
              <w:rPr>
                <w:rFonts w:hint="eastAsia" w:ascii="宋体" w:hAnsi="宋体" w:eastAsia="宋体" w:cs="宋体"/>
                <w:i w:val="0"/>
                <w:iCs w:val="0"/>
                <w:color w:val="auto"/>
                <w:sz w:val="22"/>
                <w:szCs w:val="22"/>
                <w:u w:val="none"/>
              </w:rPr>
            </w:pPr>
          </w:p>
        </w:tc>
        <w:tc>
          <w:tcPr>
            <w:tcW w:w="957" w:type="dxa"/>
            <w:vMerge w:val="continue"/>
            <w:shd w:val="clear" w:color="auto" w:fill="auto"/>
            <w:noWrap/>
            <w:vAlign w:val="center"/>
          </w:tcPr>
          <w:p w14:paraId="6B5010BA">
            <w:pPr>
              <w:jc w:val="center"/>
              <w:rPr>
                <w:rFonts w:hint="eastAsia" w:ascii="宋体" w:hAnsi="宋体" w:eastAsia="宋体" w:cs="宋体"/>
                <w:i w:val="0"/>
                <w:iCs w:val="0"/>
                <w:color w:val="auto"/>
                <w:sz w:val="22"/>
                <w:szCs w:val="22"/>
                <w:u w:val="none"/>
              </w:rPr>
            </w:pPr>
          </w:p>
        </w:tc>
      </w:tr>
      <w:tr w14:paraId="5AB78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43" w:type="dxa"/>
            <w:vMerge w:val="restart"/>
            <w:shd w:val="clear" w:color="auto" w:fill="auto"/>
            <w:vAlign w:val="center"/>
          </w:tcPr>
          <w:p w14:paraId="389724C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2#废渣堆</w:t>
            </w:r>
          </w:p>
        </w:tc>
        <w:tc>
          <w:tcPr>
            <w:tcW w:w="1040" w:type="dxa"/>
            <w:vMerge w:val="restart"/>
            <w:shd w:val="clear" w:color="auto" w:fill="auto"/>
            <w:vAlign w:val="center"/>
          </w:tcPr>
          <w:p w14:paraId="556BF94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3869</w:t>
            </w:r>
          </w:p>
        </w:tc>
        <w:tc>
          <w:tcPr>
            <w:tcW w:w="1190" w:type="dxa"/>
            <w:shd w:val="clear" w:color="auto" w:fill="auto"/>
            <w:vAlign w:val="center"/>
          </w:tcPr>
          <w:p w14:paraId="63601DF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其他草地</w:t>
            </w:r>
          </w:p>
        </w:tc>
        <w:tc>
          <w:tcPr>
            <w:tcW w:w="940" w:type="dxa"/>
            <w:shd w:val="clear" w:color="auto" w:fill="auto"/>
            <w:vAlign w:val="center"/>
          </w:tcPr>
          <w:p w14:paraId="44181FA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156</w:t>
            </w:r>
          </w:p>
        </w:tc>
        <w:tc>
          <w:tcPr>
            <w:tcW w:w="860" w:type="dxa"/>
            <w:vMerge w:val="restart"/>
            <w:shd w:val="clear" w:color="auto" w:fill="auto"/>
            <w:noWrap/>
            <w:vAlign w:val="center"/>
          </w:tcPr>
          <w:p w14:paraId="7E6B089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草地</w:t>
            </w:r>
          </w:p>
        </w:tc>
        <w:tc>
          <w:tcPr>
            <w:tcW w:w="1170" w:type="dxa"/>
            <w:vMerge w:val="restart"/>
            <w:shd w:val="clear" w:color="auto" w:fill="auto"/>
            <w:noWrap/>
            <w:vAlign w:val="center"/>
          </w:tcPr>
          <w:p w14:paraId="778C51A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3869</w:t>
            </w:r>
          </w:p>
        </w:tc>
        <w:tc>
          <w:tcPr>
            <w:tcW w:w="1090" w:type="dxa"/>
            <w:vMerge w:val="restart"/>
            <w:shd w:val="clear" w:color="auto" w:fill="auto"/>
            <w:noWrap/>
            <w:vAlign w:val="center"/>
          </w:tcPr>
          <w:p w14:paraId="0550663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0.3</w:t>
            </w:r>
          </w:p>
        </w:tc>
        <w:tc>
          <w:tcPr>
            <w:tcW w:w="957" w:type="dxa"/>
            <w:vMerge w:val="restart"/>
            <w:shd w:val="clear" w:color="auto" w:fill="auto"/>
            <w:noWrap/>
            <w:vAlign w:val="center"/>
          </w:tcPr>
          <w:p w14:paraId="1241FAA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1161 </w:t>
            </w:r>
          </w:p>
        </w:tc>
      </w:tr>
      <w:tr w14:paraId="057BB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1443" w:type="dxa"/>
            <w:vMerge w:val="continue"/>
            <w:shd w:val="clear" w:color="auto" w:fill="auto"/>
            <w:vAlign w:val="center"/>
          </w:tcPr>
          <w:p w14:paraId="7A6F82DA">
            <w:pPr>
              <w:jc w:val="center"/>
              <w:rPr>
                <w:rFonts w:hint="eastAsia" w:ascii="宋体" w:hAnsi="宋体" w:eastAsia="宋体" w:cs="宋体"/>
                <w:i w:val="0"/>
                <w:iCs w:val="0"/>
                <w:color w:val="auto"/>
                <w:sz w:val="20"/>
                <w:szCs w:val="20"/>
                <w:u w:val="none"/>
              </w:rPr>
            </w:pPr>
          </w:p>
        </w:tc>
        <w:tc>
          <w:tcPr>
            <w:tcW w:w="1040" w:type="dxa"/>
            <w:vMerge w:val="continue"/>
            <w:shd w:val="clear" w:color="auto" w:fill="auto"/>
            <w:vAlign w:val="center"/>
          </w:tcPr>
          <w:p w14:paraId="42139E94">
            <w:pPr>
              <w:jc w:val="center"/>
              <w:rPr>
                <w:rFonts w:hint="eastAsia" w:ascii="宋体" w:hAnsi="宋体" w:eastAsia="宋体" w:cs="宋体"/>
                <w:i w:val="0"/>
                <w:iCs w:val="0"/>
                <w:color w:val="auto"/>
                <w:sz w:val="20"/>
                <w:szCs w:val="20"/>
                <w:u w:val="none"/>
              </w:rPr>
            </w:pPr>
          </w:p>
        </w:tc>
        <w:tc>
          <w:tcPr>
            <w:tcW w:w="1190" w:type="dxa"/>
            <w:shd w:val="clear" w:color="auto" w:fill="auto"/>
            <w:noWrap/>
            <w:vAlign w:val="center"/>
          </w:tcPr>
          <w:p w14:paraId="7C2927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采矿用地</w:t>
            </w:r>
          </w:p>
        </w:tc>
        <w:tc>
          <w:tcPr>
            <w:tcW w:w="940" w:type="dxa"/>
            <w:shd w:val="clear" w:color="auto" w:fill="auto"/>
            <w:vAlign w:val="center"/>
          </w:tcPr>
          <w:p w14:paraId="6FDBBFE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3713</w:t>
            </w:r>
          </w:p>
        </w:tc>
        <w:tc>
          <w:tcPr>
            <w:tcW w:w="860" w:type="dxa"/>
            <w:vMerge w:val="continue"/>
            <w:shd w:val="clear" w:color="auto" w:fill="auto"/>
            <w:noWrap/>
            <w:vAlign w:val="center"/>
          </w:tcPr>
          <w:p w14:paraId="2384C614">
            <w:pPr>
              <w:jc w:val="center"/>
              <w:rPr>
                <w:rFonts w:hint="eastAsia" w:ascii="宋体" w:hAnsi="宋体" w:eastAsia="宋体" w:cs="宋体"/>
                <w:i w:val="0"/>
                <w:iCs w:val="0"/>
                <w:color w:val="auto"/>
                <w:sz w:val="22"/>
                <w:szCs w:val="22"/>
                <w:u w:val="none"/>
              </w:rPr>
            </w:pPr>
          </w:p>
        </w:tc>
        <w:tc>
          <w:tcPr>
            <w:tcW w:w="1170" w:type="dxa"/>
            <w:vMerge w:val="continue"/>
            <w:shd w:val="clear" w:color="auto" w:fill="auto"/>
            <w:noWrap/>
            <w:vAlign w:val="center"/>
          </w:tcPr>
          <w:p w14:paraId="6C216CC5">
            <w:pPr>
              <w:jc w:val="center"/>
              <w:rPr>
                <w:rFonts w:hint="eastAsia" w:ascii="宋体" w:hAnsi="宋体" w:eastAsia="宋体" w:cs="宋体"/>
                <w:i w:val="0"/>
                <w:iCs w:val="0"/>
                <w:color w:val="auto"/>
                <w:sz w:val="22"/>
                <w:szCs w:val="22"/>
                <w:u w:val="none"/>
              </w:rPr>
            </w:pPr>
          </w:p>
        </w:tc>
        <w:tc>
          <w:tcPr>
            <w:tcW w:w="1090" w:type="dxa"/>
            <w:vMerge w:val="continue"/>
            <w:shd w:val="clear" w:color="auto" w:fill="auto"/>
            <w:noWrap/>
            <w:vAlign w:val="center"/>
          </w:tcPr>
          <w:p w14:paraId="424146D8">
            <w:pPr>
              <w:jc w:val="center"/>
              <w:rPr>
                <w:rFonts w:hint="eastAsia" w:ascii="宋体" w:hAnsi="宋体" w:eastAsia="宋体" w:cs="宋体"/>
                <w:i w:val="0"/>
                <w:iCs w:val="0"/>
                <w:color w:val="auto"/>
                <w:sz w:val="22"/>
                <w:szCs w:val="22"/>
                <w:u w:val="none"/>
              </w:rPr>
            </w:pPr>
          </w:p>
        </w:tc>
        <w:tc>
          <w:tcPr>
            <w:tcW w:w="957" w:type="dxa"/>
            <w:vMerge w:val="continue"/>
            <w:shd w:val="clear" w:color="auto" w:fill="auto"/>
            <w:noWrap/>
            <w:vAlign w:val="center"/>
          </w:tcPr>
          <w:p w14:paraId="67950906">
            <w:pPr>
              <w:jc w:val="center"/>
              <w:rPr>
                <w:rFonts w:hint="eastAsia" w:ascii="宋体" w:hAnsi="宋体" w:eastAsia="宋体" w:cs="宋体"/>
                <w:i w:val="0"/>
                <w:iCs w:val="0"/>
                <w:color w:val="auto"/>
                <w:sz w:val="22"/>
                <w:szCs w:val="22"/>
                <w:u w:val="none"/>
              </w:rPr>
            </w:pPr>
          </w:p>
        </w:tc>
      </w:tr>
      <w:tr w14:paraId="20D7C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43" w:type="dxa"/>
            <w:vMerge w:val="restart"/>
            <w:shd w:val="clear" w:color="auto" w:fill="auto"/>
            <w:vAlign w:val="center"/>
          </w:tcPr>
          <w:p w14:paraId="28947B8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3#废渣堆</w:t>
            </w:r>
          </w:p>
        </w:tc>
        <w:tc>
          <w:tcPr>
            <w:tcW w:w="1040" w:type="dxa"/>
            <w:vMerge w:val="restart"/>
            <w:shd w:val="clear" w:color="auto" w:fill="auto"/>
            <w:noWrap/>
            <w:vAlign w:val="center"/>
          </w:tcPr>
          <w:p w14:paraId="741BFFA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965</w:t>
            </w:r>
          </w:p>
        </w:tc>
        <w:tc>
          <w:tcPr>
            <w:tcW w:w="1190" w:type="dxa"/>
            <w:shd w:val="clear" w:color="auto" w:fill="auto"/>
            <w:vAlign w:val="center"/>
          </w:tcPr>
          <w:p w14:paraId="013FC80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其他草地</w:t>
            </w:r>
          </w:p>
        </w:tc>
        <w:tc>
          <w:tcPr>
            <w:tcW w:w="940" w:type="dxa"/>
            <w:shd w:val="clear" w:color="auto" w:fill="auto"/>
            <w:vAlign w:val="center"/>
          </w:tcPr>
          <w:p w14:paraId="7956D80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914</w:t>
            </w:r>
          </w:p>
        </w:tc>
        <w:tc>
          <w:tcPr>
            <w:tcW w:w="860" w:type="dxa"/>
            <w:vMerge w:val="restart"/>
            <w:shd w:val="clear" w:color="auto" w:fill="auto"/>
            <w:noWrap/>
            <w:vAlign w:val="center"/>
          </w:tcPr>
          <w:p w14:paraId="1442CB0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林地</w:t>
            </w:r>
          </w:p>
        </w:tc>
        <w:tc>
          <w:tcPr>
            <w:tcW w:w="1170" w:type="dxa"/>
            <w:vMerge w:val="restart"/>
            <w:shd w:val="clear" w:color="auto" w:fill="auto"/>
            <w:noWrap/>
            <w:vAlign w:val="center"/>
          </w:tcPr>
          <w:p w14:paraId="490F4DA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965</w:t>
            </w:r>
          </w:p>
        </w:tc>
        <w:tc>
          <w:tcPr>
            <w:tcW w:w="1090" w:type="dxa"/>
            <w:vMerge w:val="restart"/>
            <w:shd w:val="clear" w:color="auto" w:fill="auto"/>
            <w:noWrap/>
            <w:vAlign w:val="center"/>
          </w:tcPr>
          <w:p w14:paraId="3BE980A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w:t>
            </w:r>
          </w:p>
        </w:tc>
        <w:tc>
          <w:tcPr>
            <w:tcW w:w="957" w:type="dxa"/>
            <w:vMerge w:val="restart"/>
            <w:shd w:val="clear" w:color="auto" w:fill="auto"/>
            <w:noWrap/>
            <w:vAlign w:val="center"/>
          </w:tcPr>
          <w:p w14:paraId="6BEEF22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483 </w:t>
            </w:r>
          </w:p>
        </w:tc>
      </w:tr>
      <w:tr w14:paraId="50E85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43" w:type="dxa"/>
            <w:vMerge w:val="continue"/>
            <w:shd w:val="clear" w:color="auto" w:fill="auto"/>
            <w:vAlign w:val="center"/>
          </w:tcPr>
          <w:p w14:paraId="60E852F6">
            <w:pPr>
              <w:jc w:val="center"/>
              <w:rPr>
                <w:rFonts w:hint="eastAsia" w:ascii="宋体" w:hAnsi="宋体" w:eastAsia="宋体" w:cs="宋体"/>
                <w:i w:val="0"/>
                <w:iCs w:val="0"/>
                <w:color w:val="auto"/>
                <w:sz w:val="20"/>
                <w:szCs w:val="20"/>
                <w:u w:val="none"/>
              </w:rPr>
            </w:pPr>
          </w:p>
        </w:tc>
        <w:tc>
          <w:tcPr>
            <w:tcW w:w="1040" w:type="dxa"/>
            <w:vMerge w:val="continue"/>
            <w:shd w:val="clear" w:color="auto" w:fill="auto"/>
            <w:noWrap/>
            <w:vAlign w:val="center"/>
          </w:tcPr>
          <w:p w14:paraId="12FCC8F3">
            <w:pPr>
              <w:jc w:val="center"/>
              <w:rPr>
                <w:rFonts w:hint="default" w:ascii="Times New Roman" w:hAnsi="Times New Roman" w:eastAsia="宋体" w:cs="Times New Roman"/>
                <w:i w:val="0"/>
                <w:iCs w:val="0"/>
                <w:color w:val="auto"/>
                <w:sz w:val="20"/>
                <w:szCs w:val="20"/>
                <w:u w:val="none"/>
              </w:rPr>
            </w:pPr>
          </w:p>
        </w:tc>
        <w:tc>
          <w:tcPr>
            <w:tcW w:w="1190" w:type="dxa"/>
            <w:shd w:val="clear" w:color="auto" w:fill="auto"/>
            <w:noWrap/>
            <w:vAlign w:val="center"/>
          </w:tcPr>
          <w:p w14:paraId="11974E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采矿用地</w:t>
            </w:r>
          </w:p>
        </w:tc>
        <w:tc>
          <w:tcPr>
            <w:tcW w:w="940" w:type="dxa"/>
            <w:shd w:val="clear" w:color="auto" w:fill="auto"/>
            <w:vAlign w:val="center"/>
          </w:tcPr>
          <w:p w14:paraId="730DB6C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51</w:t>
            </w:r>
          </w:p>
        </w:tc>
        <w:tc>
          <w:tcPr>
            <w:tcW w:w="860" w:type="dxa"/>
            <w:vMerge w:val="continue"/>
            <w:shd w:val="clear" w:color="auto" w:fill="auto"/>
            <w:noWrap/>
            <w:vAlign w:val="center"/>
          </w:tcPr>
          <w:p w14:paraId="32393743">
            <w:pPr>
              <w:jc w:val="center"/>
              <w:rPr>
                <w:rFonts w:hint="eastAsia" w:ascii="宋体" w:hAnsi="宋体" w:eastAsia="宋体" w:cs="宋体"/>
                <w:i w:val="0"/>
                <w:iCs w:val="0"/>
                <w:color w:val="auto"/>
                <w:sz w:val="22"/>
                <w:szCs w:val="22"/>
                <w:u w:val="none"/>
              </w:rPr>
            </w:pPr>
          </w:p>
        </w:tc>
        <w:tc>
          <w:tcPr>
            <w:tcW w:w="1170" w:type="dxa"/>
            <w:vMerge w:val="continue"/>
            <w:shd w:val="clear" w:color="auto" w:fill="auto"/>
            <w:noWrap/>
            <w:vAlign w:val="center"/>
          </w:tcPr>
          <w:p w14:paraId="33B5D5F8">
            <w:pPr>
              <w:jc w:val="center"/>
              <w:rPr>
                <w:rFonts w:hint="eastAsia" w:ascii="宋体" w:hAnsi="宋体" w:eastAsia="宋体" w:cs="宋体"/>
                <w:i w:val="0"/>
                <w:iCs w:val="0"/>
                <w:color w:val="auto"/>
                <w:sz w:val="22"/>
                <w:szCs w:val="22"/>
                <w:u w:val="none"/>
              </w:rPr>
            </w:pPr>
          </w:p>
        </w:tc>
        <w:tc>
          <w:tcPr>
            <w:tcW w:w="1090" w:type="dxa"/>
            <w:vMerge w:val="continue"/>
            <w:shd w:val="clear" w:color="auto" w:fill="auto"/>
            <w:noWrap/>
            <w:vAlign w:val="center"/>
          </w:tcPr>
          <w:p w14:paraId="45F22538">
            <w:pPr>
              <w:jc w:val="center"/>
              <w:rPr>
                <w:rFonts w:hint="eastAsia" w:ascii="宋体" w:hAnsi="宋体" w:eastAsia="宋体" w:cs="宋体"/>
                <w:i w:val="0"/>
                <w:iCs w:val="0"/>
                <w:color w:val="auto"/>
                <w:sz w:val="22"/>
                <w:szCs w:val="22"/>
                <w:u w:val="none"/>
              </w:rPr>
            </w:pPr>
          </w:p>
        </w:tc>
        <w:tc>
          <w:tcPr>
            <w:tcW w:w="957" w:type="dxa"/>
            <w:vMerge w:val="continue"/>
            <w:shd w:val="clear" w:color="auto" w:fill="auto"/>
            <w:noWrap/>
            <w:vAlign w:val="center"/>
          </w:tcPr>
          <w:p w14:paraId="565C51F7">
            <w:pPr>
              <w:jc w:val="center"/>
              <w:rPr>
                <w:rFonts w:hint="eastAsia" w:ascii="宋体" w:hAnsi="宋体" w:eastAsia="宋体" w:cs="宋体"/>
                <w:i w:val="0"/>
                <w:iCs w:val="0"/>
                <w:color w:val="auto"/>
                <w:sz w:val="22"/>
                <w:szCs w:val="22"/>
                <w:u w:val="none"/>
              </w:rPr>
            </w:pPr>
          </w:p>
        </w:tc>
      </w:tr>
      <w:tr w14:paraId="22D79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443" w:type="dxa"/>
            <w:shd w:val="clear" w:color="auto" w:fill="auto"/>
            <w:vAlign w:val="center"/>
          </w:tcPr>
          <w:p w14:paraId="75A53CA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工业场地</w:t>
            </w:r>
          </w:p>
        </w:tc>
        <w:tc>
          <w:tcPr>
            <w:tcW w:w="1040" w:type="dxa"/>
            <w:shd w:val="clear" w:color="auto" w:fill="auto"/>
            <w:noWrap/>
            <w:vAlign w:val="center"/>
          </w:tcPr>
          <w:p w14:paraId="3951F64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5425</w:t>
            </w:r>
          </w:p>
        </w:tc>
        <w:tc>
          <w:tcPr>
            <w:tcW w:w="1190" w:type="dxa"/>
            <w:shd w:val="clear" w:color="auto" w:fill="auto"/>
            <w:noWrap/>
            <w:vAlign w:val="center"/>
          </w:tcPr>
          <w:p w14:paraId="1C08A1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采矿用地</w:t>
            </w:r>
          </w:p>
        </w:tc>
        <w:tc>
          <w:tcPr>
            <w:tcW w:w="940" w:type="dxa"/>
            <w:shd w:val="clear" w:color="auto" w:fill="auto"/>
            <w:vAlign w:val="center"/>
          </w:tcPr>
          <w:p w14:paraId="2FB2861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5425</w:t>
            </w:r>
          </w:p>
        </w:tc>
        <w:tc>
          <w:tcPr>
            <w:tcW w:w="860" w:type="dxa"/>
            <w:shd w:val="clear" w:color="auto" w:fill="auto"/>
            <w:noWrap/>
            <w:vAlign w:val="center"/>
          </w:tcPr>
          <w:p w14:paraId="236AF40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草地</w:t>
            </w:r>
          </w:p>
        </w:tc>
        <w:tc>
          <w:tcPr>
            <w:tcW w:w="1170" w:type="dxa"/>
            <w:shd w:val="clear" w:color="auto" w:fill="auto"/>
            <w:noWrap/>
            <w:vAlign w:val="center"/>
          </w:tcPr>
          <w:p w14:paraId="2964D70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5425</w:t>
            </w:r>
          </w:p>
        </w:tc>
        <w:tc>
          <w:tcPr>
            <w:tcW w:w="1090" w:type="dxa"/>
            <w:shd w:val="clear" w:color="auto" w:fill="auto"/>
            <w:noWrap/>
            <w:vAlign w:val="center"/>
          </w:tcPr>
          <w:p w14:paraId="7760910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0.3</w:t>
            </w:r>
          </w:p>
        </w:tc>
        <w:tc>
          <w:tcPr>
            <w:tcW w:w="957" w:type="dxa"/>
            <w:shd w:val="clear" w:color="auto" w:fill="auto"/>
            <w:noWrap/>
            <w:vAlign w:val="center"/>
          </w:tcPr>
          <w:p w14:paraId="5B139E6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1628 </w:t>
            </w:r>
          </w:p>
        </w:tc>
      </w:tr>
      <w:tr w14:paraId="6AAAB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43" w:type="dxa"/>
            <w:vMerge w:val="restart"/>
            <w:shd w:val="clear" w:color="auto" w:fill="auto"/>
            <w:vAlign w:val="center"/>
          </w:tcPr>
          <w:p w14:paraId="534E4CA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矿区道路</w:t>
            </w:r>
          </w:p>
        </w:tc>
        <w:tc>
          <w:tcPr>
            <w:tcW w:w="1040" w:type="dxa"/>
            <w:vMerge w:val="restart"/>
            <w:shd w:val="clear" w:color="auto" w:fill="auto"/>
            <w:noWrap/>
            <w:vAlign w:val="center"/>
          </w:tcPr>
          <w:p w14:paraId="18B0A63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8610</w:t>
            </w:r>
          </w:p>
        </w:tc>
        <w:tc>
          <w:tcPr>
            <w:tcW w:w="1190" w:type="dxa"/>
            <w:shd w:val="clear" w:color="auto" w:fill="auto"/>
            <w:vAlign w:val="center"/>
          </w:tcPr>
          <w:p w14:paraId="33A3A8C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乔木林地</w:t>
            </w:r>
          </w:p>
        </w:tc>
        <w:tc>
          <w:tcPr>
            <w:tcW w:w="940" w:type="dxa"/>
            <w:shd w:val="clear" w:color="auto" w:fill="auto"/>
            <w:noWrap/>
            <w:vAlign w:val="center"/>
          </w:tcPr>
          <w:p w14:paraId="26E6CB0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78</w:t>
            </w:r>
          </w:p>
        </w:tc>
        <w:tc>
          <w:tcPr>
            <w:tcW w:w="860" w:type="dxa"/>
            <w:vMerge w:val="restart"/>
            <w:shd w:val="clear" w:color="auto" w:fill="auto"/>
            <w:noWrap/>
            <w:vAlign w:val="center"/>
          </w:tcPr>
          <w:p w14:paraId="3AE51BE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草地</w:t>
            </w:r>
          </w:p>
        </w:tc>
        <w:tc>
          <w:tcPr>
            <w:tcW w:w="1170" w:type="dxa"/>
            <w:vMerge w:val="restart"/>
            <w:shd w:val="clear" w:color="auto" w:fill="auto"/>
            <w:noWrap/>
            <w:vAlign w:val="center"/>
          </w:tcPr>
          <w:p w14:paraId="6CA91B0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8610</w:t>
            </w:r>
          </w:p>
        </w:tc>
        <w:tc>
          <w:tcPr>
            <w:tcW w:w="1090" w:type="dxa"/>
            <w:vMerge w:val="restart"/>
            <w:shd w:val="clear" w:color="auto" w:fill="auto"/>
            <w:noWrap/>
            <w:vAlign w:val="center"/>
          </w:tcPr>
          <w:p w14:paraId="55B386A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0.3</w:t>
            </w:r>
          </w:p>
        </w:tc>
        <w:tc>
          <w:tcPr>
            <w:tcW w:w="957" w:type="dxa"/>
            <w:vMerge w:val="restart"/>
            <w:shd w:val="clear" w:color="auto" w:fill="auto"/>
            <w:noWrap/>
            <w:vAlign w:val="center"/>
          </w:tcPr>
          <w:p w14:paraId="0BA6DFF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2583 </w:t>
            </w:r>
          </w:p>
        </w:tc>
      </w:tr>
      <w:tr w14:paraId="1CA02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43" w:type="dxa"/>
            <w:vMerge w:val="continue"/>
            <w:shd w:val="clear" w:color="auto" w:fill="auto"/>
            <w:vAlign w:val="center"/>
          </w:tcPr>
          <w:p w14:paraId="237E4DA8">
            <w:pPr>
              <w:jc w:val="center"/>
              <w:rPr>
                <w:rFonts w:hint="eastAsia" w:ascii="宋体" w:hAnsi="宋体" w:eastAsia="宋体" w:cs="宋体"/>
                <w:i w:val="0"/>
                <w:iCs w:val="0"/>
                <w:color w:val="auto"/>
                <w:sz w:val="20"/>
                <w:szCs w:val="20"/>
                <w:u w:val="none"/>
              </w:rPr>
            </w:pPr>
          </w:p>
        </w:tc>
        <w:tc>
          <w:tcPr>
            <w:tcW w:w="1040" w:type="dxa"/>
            <w:vMerge w:val="continue"/>
            <w:shd w:val="clear" w:color="auto" w:fill="auto"/>
            <w:noWrap/>
            <w:vAlign w:val="center"/>
          </w:tcPr>
          <w:p w14:paraId="70B78724">
            <w:pPr>
              <w:jc w:val="center"/>
              <w:rPr>
                <w:rFonts w:hint="eastAsia" w:ascii="宋体" w:hAnsi="宋体" w:eastAsia="宋体" w:cs="宋体"/>
                <w:i w:val="0"/>
                <w:iCs w:val="0"/>
                <w:color w:val="auto"/>
                <w:sz w:val="22"/>
                <w:szCs w:val="22"/>
                <w:u w:val="none"/>
              </w:rPr>
            </w:pPr>
          </w:p>
        </w:tc>
        <w:tc>
          <w:tcPr>
            <w:tcW w:w="1190" w:type="dxa"/>
            <w:shd w:val="clear" w:color="auto" w:fill="auto"/>
            <w:vAlign w:val="center"/>
          </w:tcPr>
          <w:p w14:paraId="460CFBD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其他草地</w:t>
            </w:r>
          </w:p>
        </w:tc>
        <w:tc>
          <w:tcPr>
            <w:tcW w:w="940" w:type="dxa"/>
            <w:shd w:val="clear" w:color="auto" w:fill="auto"/>
            <w:noWrap/>
            <w:vAlign w:val="center"/>
          </w:tcPr>
          <w:p w14:paraId="37B21A1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1462</w:t>
            </w:r>
          </w:p>
        </w:tc>
        <w:tc>
          <w:tcPr>
            <w:tcW w:w="860" w:type="dxa"/>
            <w:vMerge w:val="continue"/>
            <w:shd w:val="clear" w:color="auto" w:fill="auto"/>
            <w:noWrap/>
            <w:vAlign w:val="center"/>
          </w:tcPr>
          <w:p w14:paraId="07C6D24E">
            <w:pPr>
              <w:jc w:val="center"/>
              <w:rPr>
                <w:rFonts w:hint="eastAsia" w:ascii="宋体" w:hAnsi="宋体" w:eastAsia="宋体" w:cs="宋体"/>
                <w:i w:val="0"/>
                <w:iCs w:val="0"/>
                <w:color w:val="auto"/>
                <w:sz w:val="22"/>
                <w:szCs w:val="22"/>
                <w:u w:val="none"/>
              </w:rPr>
            </w:pPr>
          </w:p>
        </w:tc>
        <w:tc>
          <w:tcPr>
            <w:tcW w:w="1170" w:type="dxa"/>
            <w:vMerge w:val="continue"/>
            <w:shd w:val="clear" w:color="auto" w:fill="auto"/>
            <w:noWrap/>
            <w:vAlign w:val="center"/>
          </w:tcPr>
          <w:p w14:paraId="61670397">
            <w:pPr>
              <w:jc w:val="center"/>
              <w:rPr>
                <w:rFonts w:hint="eastAsia" w:ascii="宋体" w:hAnsi="宋体" w:eastAsia="宋体" w:cs="宋体"/>
                <w:i w:val="0"/>
                <w:iCs w:val="0"/>
                <w:color w:val="auto"/>
                <w:sz w:val="22"/>
                <w:szCs w:val="22"/>
                <w:u w:val="none"/>
              </w:rPr>
            </w:pPr>
          </w:p>
        </w:tc>
        <w:tc>
          <w:tcPr>
            <w:tcW w:w="1090" w:type="dxa"/>
            <w:vMerge w:val="continue"/>
            <w:shd w:val="clear" w:color="auto" w:fill="auto"/>
            <w:noWrap/>
            <w:vAlign w:val="center"/>
          </w:tcPr>
          <w:p w14:paraId="018F70FB">
            <w:pPr>
              <w:jc w:val="center"/>
              <w:rPr>
                <w:rFonts w:hint="eastAsia" w:ascii="宋体" w:hAnsi="宋体" w:eastAsia="宋体" w:cs="宋体"/>
                <w:i w:val="0"/>
                <w:iCs w:val="0"/>
                <w:color w:val="auto"/>
                <w:sz w:val="22"/>
                <w:szCs w:val="22"/>
                <w:u w:val="none"/>
              </w:rPr>
            </w:pPr>
          </w:p>
        </w:tc>
        <w:tc>
          <w:tcPr>
            <w:tcW w:w="957" w:type="dxa"/>
            <w:vMerge w:val="continue"/>
            <w:shd w:val="clear" w:color="auto" w:fill="auto"/>
            <w:noWrap/>
            <w:vAlign w:val="center"/>
          </w:tcPr>
          <w:p w14:paraId="60DCA9DD">
            <w:pPr>
              <w:jc w:val="center"/>
              <w:rPr>
                <w:rFonts w:hint="eastAsia" w:ascii="宋体" w:hAnsi="宋体" w:eastAsia="宋体" w:cs="宋体"/>
                <w:i w:val="0"/>
                <w:iCs w:val="0"/>
                <w:color w:val="auto"/>
                <w:sz w:val="22"/>
                <w:szCs w:val="22"/>
                <w:u w:val="none"/>
              </w:rPr>
            </w:pPr>
          </w:p>
        </w:tc>
      </w:tr>
      <w:tr w14:paraId="2C193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43" w:type="dxa"/>
            <w:vMerge w:val="continue"/>
            <w:shd w:val="clear" w:color="auto" w:fill="auto"/>
            <w:vAlign w:val="center"/>
          </w:tcPr>
          <w:p w14:paraId="74C1A20D">
            <w:pPr>
              <w:jc w:val="center"/>
              <w:rPr>
                <w:rFonts w:hint="eastAsia" w:ascii="宋体" w:hAnsi="宋体" w:eastAsia="宋体" w:cs="宋体"/>
                <w:i w:val="0"/>
                <w:iCs w:val="0"/>
                <w:color w:val="auto"/>
                <w:sz w:val="20"/>
                <w:szCs w:val="20"/>
                <w:u w:val="none"/>
              </w:rPr>
            </w:pPr>
          </w:p>
        </w:tc>
        <w:tc>
          <w:tcPr>
            <w:tcW w:w="1040" w:type="dxa"/>
            <w:vMerge w:val="continue"/>
            <w:shd w:val="clear" w:color="auto" w:fill="auto"/>
            <w:noWrap/>
            <w:vAlign w:val="center"/>
          </w:tcPr>
          <w:p w14:paraId="2CF76911">
            <w:pPr>
              <w:jc w:val="center"/>
              <w:rPr>
                <w:rFonts w:hint="eastAsia" w:ascii="宋体" w:hAnsi="宋体" w:eastAsia="宋体" w:cs="宋体"/>
                <w:i w:val="0"/>
                <w:iCs w:val="0"/>
                <w:color w:val="auto"/>
                <w:sz w:val="22"/>
                <w:szCs w:val="22"/>
                <w:u w:val="none"/>
              </w:rPr>
            </w:pPr>
          </w:p>
        </w:tc>
        <w:tc>
          <w:tcPr>
            <w:tcW w:w="1190" w:type="dxa"/>
            <w:shd w:val="clear" w:color="auto" w:fill="auto"/>
            <w:vAlign w:val="center"/>
          </w:tcPr>
          <w:p w14:paraId="672410D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采矿用地</w:t>
            </w:r>
          </w:p>
        </w:tc>
        <w:tc>
          <w:tcPr>
            <w:tcW w:w="940" w:type="dxa"/>
            <w:shd w:val="clear" w:color="auto" w:fill="auto"/>
            <w:noWrap/>
            <w:vAlign w:val="center"/>
          </w:tcPr>
          <w:p w14:paraId="6E7829D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6721</w:t>
            </w:r>
          </w:p>
        </w:tc>
        <w:tc>
          <w:tcPr>
            <w:tcW w:w="860" w:type="dxa"/>
            <w:vMerge w:val="continue"/>
            <w:shd w:val="clear" w:color="auto" w:fill="auto"/>
            <w:noWrap/>
            <w:vAlign w:val="center"/>
          </w:tcPr>
          <w:p w14:paraId="31D3FF66">
            <w:pPr>
              <w:jc w:val="center"/>
              <w:rPr>
                <w:rFonts w:hint="eastAsia" w:ascii="宋体" w:hAnsi="宋体" w:eastAsia="宋体" w:cs="宋体"/>
                <w:i w:val="0"/>
                <w:iCs w:val="0"/>
                <w:color w:val="auto"/>
                <w:sz w:val="22"/>
                <w:szCs w:val="22"/>
                <w:u w:val="none"/>
              </w:rPr>
            </w:pPr>
          </w:p>
        </w:tc>
        <w:tc>
          <w:tcPr>
            <w:tcW w:w="1170" w:type="dxa"/>
            <w:vMerge w:val="continue"/>
            <w:shd w:val="clear" w:color="auto" w:fill="auto"/>
            <w:noWrap/>
            <w:vAlign w:val="center"/>
          </w:tcPr>
          <w:p w14:paraId="45EEC355">
            <w:pPr>
              <w:jc w:val="center"/>
              <w:rPr>
                <w:rFonts w:hint="eastAsia" w:ascii="宋体" w:hAnsi="宋体" w:eastAsia="宋体" w:cs="宋体"/>
                <w:i w:val="0"/>
                <w:iCs w:val="0"/>
                <w:color w:val="auto"/>
                <w:sz w:val="22"/>
                <w:szCs w:val="22"/>
                <w:u w:val="none"/>
              </w:rPr>
            </w:pPr>
          </w:p>
        </w:tc>
        <w:tc>
          <w:tcPr>
            <w:tcW w:w="1090" w:type="dxa"/>
            <w:vMerge w:val="continue"/>
            <w:shd w:val="clear" w:color="auto" w:fill="auto"/>
            <w:noWrap/>
            <w:vAlign w:val="center"/>
          </w:tcPr>
          <w:p w14:paraId="64B578F1">
            <w:pPr>
              <w:jc w:val="center"/>
              <w:rPr>
                <w:rFonts w:hint="eastAsia" w:ascii="宋体" w:hAnsi="宋体" w:eastAsia="宋体" w:cs="宋体"/>
                <w:i w:val="0"/>
                <w:iCs w:val="0"/>
                <w:color w:val="auto"/>
                <w:sz w:val="22"/>
                <w:szCs w:val="22"/>
                <w:u w:val="none"/>
              </w:rPr>
            </w:pPr>
          </w:p>
        </w:tc>
        <w:tc>
          <w:tcPr>
            <w:tcW w:w="957" w:type="dxa"/>
            <w:vMerge w:val="continue"/>
            <w:shd w:val="clear" w:color="auto" w:fill="auto"/>
            <w:noWrap/>
            <w:vAlign w:val="center"/>
          </w:tcPr>
          <w:p w14:paraId="45911C8B">
            <w:pPr>
              <w:jc w:val="center"/>
              <w:rPr>
                <w:rFonts w:hint="eastAsia" w:ascii="宋体" w:hAnsi="宋体" w:eastAsia="宋体" w:cs="宋体"/>
                <w:i w:val="0"/>
                <w:iCs w:val="0"/>
                <w:color w:val="auto"/>
                <w:sz w:val="22"/>
                <w:szCs w:val="22"/>
                <w:u w:val="none"/>
              </w:rPr>
            </w:pPr>
          </w:p>
        </w:tc>
      </w:tr>
      <w:tr w14:paraId="23067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43" w:type="dxa"/>
            <w:vMerge w:val="continue"/>
            <w:shd w:val="clear" w:color="auto" w:fill="auto"/>
            <w:vAlign w:val="center"/>
          </w:tcPr>
          <w:p w14:paraId="04AF451D">
            <w:pPr>
              <w:jc w:val="center"/>
              <w:rPr>
                <w:rFonts w:hint="eastAsia" w:ascii="宋体" w:hAnsi="宋体" w:eastAsia="宋体" w:cs="宋体"/>
                <w:i w:val="0"/>
                <w:iCs w:val="0"/>
                <w:color w:val="auto"/>
                <w:sz w:val="20"/>
                <w:szCs w:val="20"/>
                <w:u w:val="none"/>
              </w:rPr>
            </w:pPr>
          </w:p>
        </w:tc>
        <w:tc>
          <w:tcPr>
            <w:tcW w:w="1040" w:type="dxa"/>
            <w:vMerge w:val="continue"/>
            <w:shd w:val="clear" w:color="auto" w:fill="auto"/>
            <w:noWrap/>
            <w:vAlign w:val="center"/>
          </w:tcPr>
          <w:p w14:paraId="52B80C13">
            <w:pPr>
              <w:jc w:val="center"/>
              <w:rPr>
                <w:rFonts w:hint="eastAsia" w:ascii="宋体" w:hAnsi="宋体" w:eastAsia="宋体" w:cs="宋体"/>
                <w:i w:val="0"/>
                <w:iCs w:val="0"/>
                <w:color w:val="auto"/>
                <w:sz w:val="22"/>
                <w:szCs w:val="22"/>
                <w:u w:val="none"/>
              </w:rPr>
            </w:pPr>
          </w:p>
        </w:tc>
        <w:tc>
          <w:tcPr>
            <w:tcW w:w="1190" w:type="dxa"/>
            <w:shd w:val="clear" w:color="auto" w:fill="auto"/>
            <w:vAlign w:val="center"/>
          </w:tcPr>
          <w:p w14:paraId="4B0369D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裸土地</w:t>
            </w:r>
          </w:p>
        </w:tc>
        <w:tc>
          <w:tcPr>
            <w:tcW w:w="940" w:type="dxa"/>
            <w:shd w:val="clear" w:color="auto" w:fill="auto"/>
            <w:noWrap/>
            <w:vAlign w:val="center"/>
          </w:tcPr>
          <w:p w14:paraId="2069CDC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349</w:t>
            </w:r>
          </w:p>
        </w:tc>
        <w:tc>
          <w:tcPr>
            <w:tcW w:w="860" w:type="dxa"/>
            <w:vMerge w:val="continue"/>
            <w:shd w:val="clear" w:color="auto" w:fill="auto"/>
            <w:noWrap/>
            <w:vAlign w:val="center"/>
          </w:tcPr>
          <w:p w14:paraId="57ECD001">
            <w:pPr>
              <w:jc w:val="center"/>
              <w:rPr>
                <w:rFonts w:hint="eastAsia" w:ascii="宋体" w:hAnsi="宋体" w:eastAsia="宋体" w:cs="宋体"/>
                <w:i w:val="0"/>
                <w:iCs w:val="0"/>
                <w:color w:val="auto"/>
                <w:sz w:val="22"/>
                <w:szCs w:val="22"/>
                <w:u w:val="none"/>
              </w:rPr>
            </w:pPr>
          </w:p>
        </w:tc>
        <w:tc>
          <w:tcPr>
            <w:tcW w:w="1170" w:type="dxa"/>
            <w:vMerge w:val="continue"/>
            <w:shd w:val="clear" w:color="auto" w:fill="auto"/>
            <w:noWrap/>
            <w:vAlign w:val="center"/>
          </w:tcPr>
          <w:p w14:paraId="56540C06">
            <w:pPr>
              <w:jc w:val="center"/>
              <w:rPr>
                <w:rFonts w:hint="eastAsia" w:ascii="宋体" w:hAnsi="宋体" w:eastAsia="宋体" w:cs="宋体"/>
                <w:i w:val="0"/>
                <w:iCs w:val="0"/>
                <w:color w:val="auto"/>
                <w:sz w:val="22"/>
                <w:szCs w:val="22"/>
                <w:u w:val="none"/>
              </w:rPr>
            </w:pPr>
          </w:p>
        </w:tc>
        <w:tc>
          <w:tcPr>
            <w:tcW w:w="1090" w:type="dxa"/>
            <w:vMerge w:val="continue"/>
            <w:shd w:val="clear" w:color="auto" w:fill="auto"/>
            <w:noWrap/>
            <w:vAlign w:val="center"/>
          </w:tcPr>
          <w:p w14:paraId="16985C15">
            <w:pPr>
              <w:jc w:val="center"/>
              <w:rPr>
                <w:rFonts w:hint="eastAsia" w:ascii="宋体" w:hAnsi="宋体" w:eastAsia="宋体" w:cs="宋体"/>
                <w:i w:val="0"/>
                <w:iCs w:val="0"/>
                <w:color w:val="auto"/>
                <w:sz w:val="22"/>
                <w:szCs w:val="22"/>
                <w:u w:val="none"/>
              </w:rPr>
            </w:pPr>
          </w:p>
        </w:tc>
        <w:tc>
          <w:tcPr>
            <w:tcW w:w="957" w:type="dxa"/>
            <w:vMerge w:val="continue"/>
            <w:shd w:val="clear" w:color="auto" w:fill="auto"/>
            <w:noWrap/>
            <w:vAlign w:val="center"/>
          </w:tcPr>
          <w:p w14:paraId="2DDA0A0C">
            <w:pPr>
              <w:jc w:val="center"/>
              <w:rPr>
                <w:rFonts w:hint="eastAsia" w:ascii="宋体" w:hAnsi="宋体" w:eastAsia="宋体" w:cs="宋体"/>
                <w:i w:val="0"/>
                <w:iCs w:val="0"/>
                <w:color w:val="auto"/>
                <w:sz w:val="22"/>
                <w:szCs w:val="22"/>
                <w:u w:val="none"/>
              </w:rPr>
            </w:pPr>
          </w:p>
        </w:tc>
      </w:tr>
      <w:tr w14:paraId="458E5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43" w:type="dxa"/>
            <w:shd w:val="clear" w:color="auto" w:fill="auto"/>
            <w:noWrap/>
            <w:vAlign w:val="center"/>
          </w:tcPr>
          <w:p w14:paraId="3FDEB43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合计</w:t>
            </w:r>
          </w:p>
        </w:tc>
        <w:tc>
          <w:tcPr>
            <w:tcW w:w="1040" w:type="dxa"/>
            <w:shd w:val="clear" w:color="auto" w:fill="auto"/>
            <w:noWrap/>
            <w:vAlign w:val="center"/>
          </w:tcPr>
          <w:p w14:paraId="620687E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76955</w:t>
            </w:r>
          </w:p>
        </w:tc>
        <w:tc>
          <w:tcPr>
            <w:tcW w:w="1190" w:type="dxa"/>
            <w:shd w:val="clear" w:color="auto" w:fill="auto"/>
            <w:noWrap/>
            <w:vAlign w:val="center"/>
          </w:tcPr>
          <w:p w14:paraId="628C8039">
            <w:pPr>
              <w:jc w:val="center"/>
              <w:rPr>
                <w:rFonts w:hint="eastAsia" w:ascii="宋体" w:hAnsi="宋体" w:eastAsia="宋体" w:cs="宋体"/>
                <w:i w:val="0"/>
                <w:iCs w:val="0"/>
                <w:color w:val="auto"/>
                <w:sz w:val="20"/>
                <w:szCs w:val="20"/>
                <w:u w:val="none"/>
              </w:rPr>
            </w:pPr>
          </w:p>
        </w:tc>
        <w:tc>
          <w:tcPr>
            <w:tcW w:w="940" w:type="dxa"/>
            <w:shd w:val="clear" w:color="auto" w:fill="auto"/>
            <w:noWrap/>
            <w:vAlign w:val="center"/>
          </w:tcPr>
          <w:p w14:paraId="0097F5F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113474</w:t>
            </w:r>
          </w:p>
        </w:tc>
        <w:tc>
          <w:tcPr>
            <w:tcW w:w="860" w:type="dxa"/>
            <w:shd w:val="clear" w:color="auto" w:fill="auto"/>
            <w:noWrap/>
            <w:vAlign w:val="center"/>
          </w:tcPr>
          <w:p w14:paraId="7BE2CAE4">
            <w:pPr>
              <w:jc w:val="center"/>
              <w:rPr>
                <w:rFonts w:hint="eastAsia" w:ascii="宋体" w:hAnsi="宋体" w:eastAsia="宋体" w:cs="宋体"/>
                <w:i w:val="0"/>
                <w:iCs w:val="0"/>
                <w:color w:val="auto"/>
                <w:sz w:val="22"/>
                <w:szCs w:val="22"/>
                <w:u w:val="none"/>
              </w:rPr>
            </w:pPr>
          </w:p>
        </w:tc>
        <w:tc>
          <w:tcPr>
            <w:tcW w:w="1170" w:type="dxa"/>
            <w:shd w:val="clear" w:color="auto" w:fill="auto"/>
            <w:noWrap/>
            <w:vAlign w:val="center"/>
          </w:tcPr>
          <w:p w14:paraId="35632D5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113474</w:t>
            </w:r>
          </w:p>
        </w:tc>
        <w:tc>
          <w:tcPr>
            <w:tcW w:w="1090" w:type="dxa"/>
            <w:shd w:val="clear" w:color="auto" w:fill="auto"/>
            <w:noWrap/>
            <w:vAlign w:val="center"/>
          </w:tcPr>
          <w:p w14:paraId="478ED23E">
            <w:pPr>
              <w:jc w:val="center"/>
              <w:rPr>
                <w:rFonts w:hint="eastAsia" w:ascii="宋体" w:hAnsi="宋体" w:eastAsia="宋体" w:cs="宋体"/>
                <w:i w:val="0"/>
                <w:iCs w:val="0"/>
                <w:color w:val="auto"/>
                <w:sz w:val="22"/>
                <w:szCs w:val="22"/>
                <w:u w:val="none"/>
              </w:rPr>
            </w:pPr>
          </w:p>
        </w:tc>
        <w:tc>
          <w:tcPr>
            <w:tcW w:w="957" w:type="dxa"/>
            <w:shd w:val="clear" w:color="auto" w:fill="auto"/>
            <w:noWrap/>
            <w:vAlign w:val="center"/>
          </w:tcPr>
          <w:p w14:paraId="3206DAA2">
            <w:pPr>
              <w:keepNext w:val="0"/>
              <w:keepLines w:val="0"/>
              <w:widowControl/>
              <w:suppressLineNumbers w:val="0"/>
              <w:jc w:val="center"/>
              <w:textAlignment w:val="center"/>
              <w:rPr>
                <w:rFonts w:hint="default" w:ascii="宋体" w:hAnsi="宋体" w:eastAsia="宋体" w:cs="宋体"/>
                <w:i w:val="0"/>
                <w:iCs w:val="0"/>
                <w:color w:val="auto"/>
                <w:sz w:val="22"/>
                <w:szCs w:val="22"/>
                <w:u w:val="none"/>
                <w:lang w:val="en-US"/>
              </w:rPr>
            </w:pPr>
            <w:r>
              <w:rPr>
                <w:rFonts w:hint="eastAsia" w:ascii="宋体" w:hAnsi="宋体" w:cs="宋体"/>
                <w:i w:val="0"/>
                <w:iCs w:val="0"/>
                <w:color w:val="auto"/>
                <w:kern w:val="0"/>
                <w:sz w:val="22"/>
                <w:szCs w:val="22"/>
                <w:u w:val="none"/>
                <w:lang w:val="en-US" w:eastAsia="zh-CN" w:bidi="ar"/>
              </w:rPr>
              <w:t>20692</w:t>
            </w:r>
          </w:p>
        </w:tc>
      </w:tr>
    </w:tbl>
    <w:p w14:paraId="092CD776">
      <w:pPr>
        <w:widowControl/>
        <w:adjustRightInd w:val="0"/>
        <w:snapToGrid w:val="0"/>
        <w:jc w:val="center"/>
        <w:rPr>
          <w:color w:val="auto"/>
          <w:kern w:val="0"/>
          <w:sz w:val="24"/>
          <w:szCs w:val="24"/>
        </w:rPr>
      </w:pPr>
    </w:p>
    <w:p w14:paraId="185286F0">
      <w:pPr>
        <w:pStyle w:val="69"/>
        <w:spacing w:before="120" w:beforeLines="50" w:line="360" w:lineRule="auto"/>
        <w:ind w:firstLine="544"/>
        <w:rPr>
          <w:rFonts w:eastAsia="宋体"/>
          <w:color w:val="auto"/>
          <w:spacing w:val="-4"/>
          <w:szCs w:val="28"/>
        </w:rPr>
      </w:pPr>
      <w:r>
        <w:rPr>
          <w:rFonts w:eastAsia="宋体"/>
          <w:color w:val="auto"/>
          <w:spacing w:val="-4"/>
          <w:szCs w:val="28"/>
        </w:rPr>
        <w:t>②土源供应分析</w:t>
      </w:r>
    </w:p>
    <w:p w14:paraId="6E2BAC16">
      <w:pPr>
        <w:pStyle w:val="69"/>
        <w:spacing w:line="360" w:lineRule="auto"/>
        <w:rPr>
          <w:rFonts w:hint="eastAsia" w:eastAsia="宋体"/>
          <w:color w:val="auto"/>
          <w:spacing w:val="-4"/>
          <w:szCs w:val="28"/>
          <w:lang w:val="en-US" w:eastAsia="zh-CN"/>
        </w:rPr>
      </w:pPr>
      <w:bookmarkStart w:id="69" w:name="_Hlk218879505"/>
      <w:r>
        <w:rPr>
          <w:rFonts w:eastAsia="宋体"/>
          <w:color w:val="auto"/>
          <w:spacing w:val="-4"/>
          <w:szCs w:val="28"/>
        </w:rPr>
        <w:t>矿山采用露天开采，开采前剥离</w:t>
      </w:r>
      <w:r>
        <w:rPr>
          <w:rFonts w:hint="eastAsia" w:eastAsia="宋体"/>
          <w:color w:val="auto"/>
          <w:spacing w:val="-4"/>
          <w:szCs w:val="28"/>
          <w:lang w:val="en-US" w:eastAsia="zh-CN"/>
        </w:rPr>
        <w:t>的</w:t>
      </w:r>
      <w:r>
        <w:rPr>
          <w:rFonts w:hint="eastAsia" w:eastAsia="宋体"/>
          <w:color w:val="auto"/>
          <w:spacing w:val="-4"/>
          <w:szCs w:val="28"/>
        </w:rPr>
        <w:t>表土</w:t>
      </w:r>
      <w:r>
        <w:rPr>
          <w:rFonts w:hint="eastAsia" w:eastAsia="宋体"/>
          <w:color w:val="auto"/>
          <w:spacing w:val="-4"/>
          <w:szCs w:val="28"/>
          <w:lang w:val="en-US" w:eastAsia="zh-CN"/>
        </w:rPr>
        <w:t>已不存在</w:t>
      </w:r>
      <w:r>
        <w:rPr>
          <w:rFonts w:eastAsia="宋体"/>
          <w:color w:val="auto"/>
          <w:spacing w:val="-4"/>
          <w:szCs w:val="28"/>
        </w:rPr>
        <w:t>，</w:t>
      </w:r>
      <w:r>
        <w:rPr>
          <w:rFonts w:hint="eastAsia" w:eastAsia="宋体"/>
          <w:color w:val="auto"/>
          <w:spacing w:val="-4"/>
          <w:szCs w:val="28"/>
          <w:lang w:val="en-US" w:eastAsia="zh-CN"/>
        </w:rPr>
        <w:t>本次矿区生态修复工作中</w:t>
      </w:r>
      <w:r>
        <w:rPr>
          <w:rFonts w:hint="eastAsia" w:eastAsia="宋体"/>
          <w:color w:val="auto"/>
          <w:spacing w:val="-4"/>
          <w:szCs w:val="28"/>
        </w:rPr>
        <w:t>覆土</w:t>
      </w:r>
      <w:r>
        <w:rPr>
          <w:rFonts w:hint="eastAsia" w:eastAsia="宋体"/>
          <w:color w:val="auto"/>
          <w:spacing w:val="-4"/>
          <w:szCs w:val="28"/>
          <w:lang w:val="en-US" w:eastAsia="zh-CN"/>
        </w:rPr>
        <w:t>所需的土方量需外购。</w:t>
      </w:r>
    </w:p>
    <w:bookmarkEnd w:id="69"/>
    <w:p w14:paraId="7B0191E2">
      <w:pPr>
        <w:pStyle w:val="69"/>
        <w:spacing w:line="360" w:lineRule="auto"/>
        <w:ind w:firstLine="560"/>
        <w:rPr>
          <w:rFonts w:eastAsia="宋体"/>
          <w:color w:val="auto"/>
          <w:szCs w:val="28"/>
        </w:rPr>
      </w:pPr>
      <w:r>
        <w:rPr>
          <w:rFonts w:eastAsia="宋体"/>
          <w:color w:val="auto"/>
          <w:szCs w:val="28"/>
          <w:lang w:val="en-US"/>
        </w:rPr>
        <w:t>（</w:t>
      </w:r>
      <w:r>
        <w:rPr>
          <w:rFonts w:hint="eastAsia" w:eastAsia="宋体"/>
          <w:color w:val="auto"/>
          <w:szCs w:val="28"/>
          <w:lang w:val="en-US" w:eastAsia="zh-CN"/>
        </w:rPr>
        <w:t>2</w:t>
      </w:r>
      <w:r>
        <w:rPr>
          <w:rFonts w:eastAsia="宋体"/>
          <w:color w:val="auto"/>
          <w:szCs w:val="28"/>
          <w:lang w:val="en-US"/>
        </w:rPr>
        <w:t>）</w:t>
      </w:r>
      <w:r>
        <w:rPr>
          <w:rFonts w:hint="eastAsia" w:eastAsia="宋体"/>
          <w:color w:val="auto"/>
          <w:szCs w:val="28"/>
          <w:lang w:val="en-US" w:eastAsia="zh-CN"/>
        </w:rPr>
        <w:t>石</w:t>
      </w:r>
      <w:r>
        <w:rPr>
          <w:rFonts w:eastAsia="宋体"/>
          <w:color w:val="auto"/>
          <w:szCs w:val="28"/>
        </w:rPr>
        <w:t>方平衡分析</w:t>
      </w:r>
    </w:p>
    <w:p w14:paraId="46CF5F56">
      <w:pPr>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①</w:t>
      </w:r>
      <w:r>
        <w:rPr>
          <w:rFonts w:hint="eastAsia" w:ascii="宋体" w:hAnsi="宋体" w:eastAsia="宋体" w:cs="宋体"/>
          <w:color w:val="auto"/>
          <w:sz w:val="28"/>
          <w:szCs w:val="28"/>
          <w:lang w:val="en-US" w:eastAsia="zh-CN"/>
        </w:rPr>
        <w:t>回填</w:t>
      </w:r>
      <w:r>
        <w:rPr>
          <w:rFonts w:hint="eastAsia" w:ascii="宋体" w:hAnsi="宋体" w:cs="宋体"/>
          <w:color w:val="auto"/>
          <w:sz w:val="28"/>
          <w:szCs w:val="28"/>
          <w:lang w:val="en-US" w:eastAsia="zh-CN"/>
        </w:rPr>
        <w:t>、垫坡</w:t>
      </w:r>
      <w:r>
        <w:rPr>
          <w:rFonts w:hint="eastAsia" w:ascii="宋体" w:hAnsi="宋体" w:eastAsia="宋体" w:cs="宋体"/>
          <w:color w:val="auto"/>
          <w:sz w:val="28"/>
          <w:szCs w:val="28"/>
          <w:lang w:val="en-US" w:eastAsia="zh-CN"/>
        </w:rPr>
        <w:t>需石方</w:t>
      </w:r>
      <w:r>
        <w:rPr>
          <w:rFonts w:hint="eastAsia" w:ascii="宋体" w:hAnsi="宋体" w:eastAsia="宋体" w:cs="宋体"/>
          <w:color w:val="auto"/>
          <w:sz w:val="28"/>
          <w:szCs w:val="28"/>
        </w:rPr>
        <w:t>土量</w:t>
      </w:r>
    </w:p>
    <w:p w14:paraId="379CB651">
      <w:pPr>
        <w:pStyle w:val="69"/>
        <w:spacing w:line="360" w:lineRule="auto"/>
        <w:rPr>
          <w:rFonts w:hint="eastAsia" w:ascii="宋体" w:hAnsi="宋体" w:eastAsia="宋体" w:cs="宋体"/>
          <w:color w:val="auto"/>
          <w:sz w:val="28"/>
          <w:szCs w:val="28"/>
          <w:vertAlign w:val="baseline"/>
          <w:lang w:eastAsia="zh-CN"/>
        </w:rPr>
      </w:pPr>
      <w:r>
        <w:rPr>
          <w:rFonts w:hint="eastAsia" w:ascii="宋体" w:hAnsi="宋体" w:eastAsia="宋体" w:cs="宋体"/>
          <w:color w:val="auto"/>
          <w:sz w:val="28"/>
          <w:szCs w:val="28"/>
          <w:lang w:val="en-US" w:eastAsia="zh-CN"/>
        </w:rPr>
        <w:t>需回填、垫坡场地为露天采场内采坑、边坡、2#废石场内边坡、矿区道路边坡及马道，</w:t>
      </w:r>
      <w:r>
        <w:rPr>
          <w:rFonts w:hint="eastAsia" w:ascii="宋体" w:hAnsi="宋体" w:eastAsia="宋体" w:cs="宋体"/>
          <w:color w:val="auto"/>
          <w:sz w:val="28"/>
          <w:szCs w:val="28"/>
        </w:rPr>
        <w:t>共需</w:t>
      </w:r>
      <w:r>
        <w:rPr>
          <w:rFonts w:hint="eastAsia" w:ascii="宋体" w:hAnsi="宋体" w:eastAsia="宋体" w:cs="宋体"/>
          <w:color w:val="auto"/>
          <w:sz w:val="28"/>
          <w:szCs w:val="28"/>
          <w:lang w:val="en-US" w:eastAsia="zh-CN"/>
        </w:rPr>
        <w:t>石方43591</w:t>
      </w:r>
      <w:r>
        <w:rPr>
          <w:rFonts w:hint="eastAsia" w:ascii="宋体" w:hAnsi="宋体" w:eastAsia="宋体" w:cs="宋体"/>
          <w:color w:val="auto"/>
          <w:sz w:val="28"/>
          <w:szCs w:val="28"/>
        </w:rPr>
        <w:t>m</w:t>
      </w:r>
      <w:r>
        <w:rPr>
          <w:rFonts w:hint="eastAsia" w:ascii="宋体" w:hAnsi="宋体" w:eastAsia="宋体" w:cs="宋体"/>
          <w:color w:val="auto"/>
          <w:sz w:val="28"/>
          <w:szCs w:val="28"/>
          <w:vertAlign w:val="superscript"/>
        </w:rPr>
        <w:t>3</w:t>
      </w:r>
      <w:r>
        <w:rPr>
          <w:rFonts w:hint="eastAsia" w:ascii="宋体" w:hAnsi="宋体" w:eastAsia="宋体" w:cs="宋体"/>
          <w:color w:val="auto"/>
          <w:sz w:val="28"/>
          <w:szCs w:val="28"/>
          <w:vertAlign w:val="baseline"/>
          <w:lang w:eastAsia="zh-CN"/>
        </w:rPr>
        <w:t>。</w:t>
      </w:r>
    </w:p>
    <w:p w14:paraId="350B04BF">
      <w:pPr>
        <w:pStyle w:val="69"/>
        <w:spacing w:before="120" w:beforeLines="50" w:line="360" w:lineRule="auto"/>
        <w:ind w:firstLine="544"/>
        <w:rPr>
          <w:rFonts w:eastAsia="宋体"/>
          <w:color w:val="auto"/>
          <w:spacing w:val="-4"/>
          <w:szCs w:val="28"/>
        </w:rPr>
      </w:pPr>
      <w:r>
        <w:rPr>
          <w:rFonts w:eastAsia="宋体"/>
          <w:color w:val="auto"/>
          <w:spacing w:val="-4"/>
          <w:szCs w:val="28"/>
        </w:rPr>
        <w:t>②</w:t>
      </w:r>
      <w:r>
        <w:rPr>
          <w:rFonts w:hint="eastAsia" w:eastAsia="宋体"/>
          <w:color w:val="auto"/>
          <w:spacing w:val="-4"/>
          <w:szCs w:val="28"/>
          <w:lang w:val="en-US" w:eastAsia="zh-CN"/>
        </w:rPr>
        <w:t>石方</w:t>
      </w:r>
      <w:r>
        <w:rPr>
          <w:rFonts w:eastAsia="宋体"/>
          <w:color w:val="auto"/>
          <w:spacing w:val="-4"/>
          <w:szCs w:val="28"/>
        </w:rPr>
        <w:t>供应分析</w:t>
      </w:r>
    </w:p>
    <w:p w14:paraId="4F14B753">
      <w:pPr>
        <w:pStyle w:val="69"/>
        <w:spacing w:line="360" w:lineRule="auto"/>
        <w:rPr>
          <w:rFonts w:hint="eastAsia" w:ascii="宋体" w:hAnsi="宋体" w:eastAsia="宋体" w:cs="宋体"/>
          <w:color w:val="auto"/>
          <w:sz w:val="28"/>
          <w:szCs w:val="28"/>
          <w:lang w:val="en-US" w:eastAsia="zh-CN"/>
        </w:rPr>
      </w:pPr>
      <w:r>
        <w:rPr>
          <w:rFonts w:hint="eastAsia" w:eastAsia="宋体"/>
          <w:color w:val="auto"/>
          <w:spacing w:val="-4"/>
          <w:szCs w:val="28"/>
          <w:lang w:val="en-US" w:eastAsia="zh-CN"/>
        </w:rPr>
        <w:t>露天采场内孤岩体清除可产生石方19200m</w:t>
      </w:r>
      <w:r>
        <w:rPr>
          <w:rFonts w:hint="eastAsia" w:eastAsia="宋体"/>
          <w:color w:val="auto"/>
          <w:spacing w:val="-4"/>
          <w:szCs w:val="28"/>
          <w:vertAlign w:val="superscript"/>
          <w:lang w:val="en-US" w:eastAsia="zh-CN"/>
        </w:rPr>
        <w:t>3</w:t>
      </w:r>
      <w:r>
        <w:rPr>
          <w:rFonts w:hint="eastAsia" w:eastAsia="宋体"/>
          <w:color w:val="auto"/>
          <w:spacing w:val="-4"/>
          <w:szCs w:val="28"/>
          <w:lang w:val="en-US" w:eastAsia="zh-CN"/>
        </w:rPr>
        <w:t>，2#废石场清运废石量24403m</w:t>
      </w:r>
      <w:r>
        <w:rPr>
          <w:rFonts w:hint="eastAsia" w:eastAsia="宋体"/>
          <w:color w:val="auto"/>
          <w:spacing w:val="-4"/>
          <w:szCs w:val="28"/>
          <w:vertAlign w:val="superscript"/>
          <w:lang w:val="en-US" w:eastAsia="zh-CN"/>
        </w:rPr>
        <w:t>3</w:t>
      </w:r>
      <w:r>
        <w:rPr>
          <w:rFonts w:hint="eastAsia" w:eastAsia="宋体"/>
          <w:color w:val="auto"/>
          <w:spacing w:val="-4"/>
          <w:szCs w:val="28"/>
          <w:lang w:val="en-US" w:eastAsia="zh-CN"/>
        </w:rPr>
        <w:t>，工业场地拆除浆砌石平台可产生废石150m</w:t>
      </w:r>
      <w:r>
        <w:rPr>
          <w:rFonts w:hint="eastAsia" w:eastAsia="宋体"/>
          <w:color w:val="auto"/>
          <w:spacing w:val="-4"/>
          <w:szCs w:val="28"/>
          <w:vertAlign w:val="superscript"/>
          <w:lang w:val="en-US" w:eastAsia="zh-CN"/>
        </w:rPr>
        <w:t>3</w:t>
      </w:r>
      <w:r>
        <w:rPr>
          <w:rFonts w:hint="eastAsia" w:eastAsia="宋体"/>
          <w:color w:val="auto"/>
          <w:spacing w:val="-4"/>
          <w:szCs w:val="28"/>
          <w:lang w:val="en-US" w:eastAsia="zh-CN"/>
        </w:rPr>
        <w:t>，合计可产生废石43603m</w:t>
      </w:r>
      <w:r>
        <w:rPr>
          <w:rFonts w:hint="eastAsia" w:eastAsia="宋体"/>
          <w:color w:val="auto"/>
          <w:spacing w:val="-4"/>
          <w:szCs w:val="28"/>
          <w:vertAlign w:val="superscript"/>
          <w:lang w:val="en-US" w:eastAsia="zh-CN"/>
        </w:rPr>
        <w:t>3</w:t>
      </w:r>
      <w:r>
        <w:rPr>
          <w:rFonts w:hint="eastAsia" w:eastAsia="宋体"/>
          <w:color w:val="auto"/>
          <w:spacing w:val="-4"/>
          <w:szCs w:val="28"/>
          <w:lang w:val="en-US" w:eastAsia="zh-CN"/>
        </w:rPr>
        <w:t>，可满足</w:t>
      </w:r>
      <w:r>
        <w:rPr>
          <w:rFonts w:hint="eastAsia" w:ascii="宋体" w:hAnsi="宋体" w:eastAsia="宋体" w:cs="宋体"/>
          <w:color w:val="auto"/>
          <w:sz w:val="28"/>
          <w:szCs w:val="28"/>
          <w:lang w:val="en-US" w:eastAsia="zh-CN"/>
        </w:rPr>
        <w:t>本次生态修复回填、垫坡所需。</w:t>
      </w:r>
    </w:p>
    <w:p w14:paraId="6D78A8ED">
      <w:pPr>
        <w:widowControl/>
        <w:jc w:val="center"/>
        <w:rPr>
          <w:rFonts w:hint="eastAsia" w:eastAsia="宋体"/>
          <w:color w:val="auto"/>
          <w:kern w:val="0"/>
          <w:sz w:val="24"/>
          <w:szCs w:val="24"/>
          <w:lang w:val="en-US" w:eastAsia="zh-CN"/>
        </w:rPr>
      </w:pPr>
      <w:r>
        <w:rPr>
          <w:rFonts w:hint="eastAsia" w:eastAsia="黑体"/>
          <w:color w:val="auto"/>
          <w:kern w:val="0"/>
          <w:sz w:val="24"/>
          <w:szCs w:val="24"/>
          <w:lang w:val="en-US" w:eastAsia="zh-CN"/>
        </w:rPr>
        <w:t>表3-33  石方平衡分析表</w:t>
      </w:r>
    </w:p>
    <w:tbl>
      <w:tblPr>
        <w:tblStyle w:val="34"/>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66"/>
        <w:gridCol w:w="2911"/>
        <w:gridCol w:w="2932"/>
      </w:tblGrid>
      <w:tr w14:paraId="7D228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CF3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治理单元</w:t>
            </w:r>
          </w:p>
        </w:tc>
        <w:tc>
          <w:tcPr>
            <w:tcW w:w="17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4AB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需求方量（m</w:t>
            </w:r>
            <w:r>
              <w:rPr>
                <w:rFonts w:hint="eastAsia" w:ascii="宋体" w:hAnsi="宋体" w:eastAsia="宋体" w:cs="宋体"/>
                <w:i w:val="0"/>
                <w:iCs w:val="0"/>
                <w:color w:val="000000"/>
                <w:kern w:val="0"/>
                <w:sz w:val="22"/>
                <w:szCs w:val="22"/>
                <w:u w:val="none"/>
                <w:vertAlign w:val="superscript"/>
                <w:lang w:val="en-US" w:eastAsia="zh-CN" w:bidi="ar"/>
              </w:rPr>
              <w:t>3</w:t>
            </w:r>
            <w:r>
              <w:rPr>
                <w:rFonts w:hint="eastAsia" w:ascii="宋体" w:hAnsi="宋体" w:eastAsia="宋体" w:cs="宋体"/>
                <w:i w:val="0"/>
                <w:iCs w:val="0"/>
                <w:color w:val="000000"/>
                <w:kern w:val="0"/>
                <w:sz w:val="22"/>
                <w:szCs w:val="22"/>
                <w:u w:val="none"/>
                <w:lang w:val="en-US" w:eastAsia="zh-CN" w:bidi="ar"/>
              </w:rPr>
              <w:t>）</w:t>
            </w:r>
          </w:p>
        </w:tc>
        <w:tc>
          <w:tcPr>
            <w:tcW w:w="17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160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w:t>
            </w:r>
            <w:r>
              <w:rPr>
                <w:rFonts w:eastAsia="宋体"/>
                <w:color w:val="auto"/>
                <w:spacing w:val="-4"/>
                <w:szCs w:val="28"/>
              </w:rPr>
              <w:t>应</w:t>
            </w:r>
            <w:r>
              <w:rPr>
                <w:rFonts w:hint="eastAsia" w:ascii="宋体" w:hAnsi="宋体" w:eastAsia="宋体" w:cs="宋体"/>
                <w:i w:val="0"/>
                <w:iCs w:val="0"/>
                <w:color w:val="000000"/>
                <w:kern w:val="0"/>
                <w:sz w:val="22"/>
                <w:szCs w:val="22"/>
                <w:u w:val="none"/>
                <w:lang w:val="en-US" w:eastAsia="zh-CN" w:bidi="ar"/>
              </w:rPr>
              <w:t>方量（m</w:t>
            </w:r>
            <w:r>
              <w:rPr>
                <w:rFonts w:hint="eastAsia" w:ascii="宋体" w:hAnsi="宋体" w:eastAsia="宋体" w:cs="宋体"/>
                <w:i w:val="0"/>
                <w:iCs w:val="0"/>
                <w:color w:val="000000"/>
                <w:kern w:val="0"/>
                <w:sz w:val="22"/>
                <w:szCs w:val="22"/>
                <w:u w:val="none"/>
                <w:vertAlign w:val="superscript"/>
                <w:lang w:val="en-US" w:eastAsia="zh-CN" w:bidi="ar"/>
              </w:rPr>
              <w:t>3</w:t>
            </w:r>
            <w:r>
              <w:rPr>
                <w:rFonts w:hint="eastAsia" w:ascii="宋体" w:hAnsi="宋体" w:eastAsia="宋体" w:cs="宋体"/>
                <w:i w:val="0"/>
                <w:iCs w:val="0"/>
                <w:color w:val="000000"/>
                <w:kern w:val="0"/>
                <w:sz w:val="22"/>
                <w:szCs w:val="22"/>
                <w:u w:val="none"/>
                <w:lang w:val="en-US" w:eastAsia="zh-CN" w:bidi="ar"/>
              </w:rPr>
              <w:t>）</w:t>
            </w:r>
          </w:p>
        </w:tc>
      </w:tr>
      <w:tr w14:paraId="2C491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201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露天采场</w:t>
            </w:r>
          </w:p>
        </w:tc>
        <w:tc>
          <w:tcPr>
            <w:tcW w:w="17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AB0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41785</w:t>
            </w:r>
          </w:p>
        </w:tc>
        <w:tc>
          <w:tcPr>
            <w:tcW w:w="17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E5F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19200</w:t>
            </w:r>
          </w:p>
        </w:tc>
      </w:tr>
      <w:tr w14:paraId="236AA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260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2#废石场</w:t>
            </w:r>
          </w:p>
        </w:tc>
        <w:tc>
          <w:tcPr>
            <w:tcW w:w="17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8F8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846</w:t>
            </w:r>
          </w:p>
        </w:tc>
        <w:tc>
          <w:tcPr>
            <w:tcW w:w="17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EA3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24253</w:t>
            </w:r>
          </w:p>
        </w:tc>
      </w:tr>
      <w:tr w14:paraId="46523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F6C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工业场地</w:t>
            </w:r>
          </w:p>
        </w:tc>
        <w:tc>
          <w:tcPr>
            <w:tcW w:w="17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C5C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7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206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r>
      <w:tr w14:paraId="47518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823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矿区道路</w:t>
            </w:r>
          </w:p>
        </w:tc>
        <w:tc>
          <w:tcPr>
            <w:tcW w:w="17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3D5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w:t>
            </w:r>
          </w:p>
        </w:tc>
        <w:tc>
          <w:tcPr>
            <w:tcW w:w="17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A12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48835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570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7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BA9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42791</w:t>
            </w:r>
          </w:p>
        </w:tc>
        <w:tc>
          <w:tcPr>
            <w:tcW w:w="17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05D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43603</w:t>
            </w:r>
          </w:p>
        </w:tc>
      </w:tr>
    </w:tbl>
    <w:p w14:paraId="0413124F">
      <w:pPr>
        <w:pStyle w:val="69"/>
        <w:spacing w:line="360" w:lineRule="auto"/>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从表3-33可知，供应方量大于需求方量812m</w:t>
      </w:r>
      <w:r>
        <w:rPr>
          <w:rFonts w:hint="eastAsia" w:ascii="宋体" w:hAnsi="宋体" w:eastAsia="宋体" w:cs="宋体"/>
          <w:color w:val="auto"/>
          <w:sz w:val="28"/>
          <w:szCs w:val="28"/>
          <w:vertAlign w:val="superscript"/>
          <w:lang w:val="en-US" w:eastAsia="zh-CN"/>
        </w:rPr>
        <w:t>3</w:t>
      </w:r>
      <w:r>
        <w:rPr>
          <w:rFonts w:hint="eastAsia" w:ascii="宋体" w:hAnsi="宋体" w:eastAsia="宋体" w:cs="宋体"/>
          <w:color w:val="auto"/>
          <w:sz w:val="28"/>
          <w:szCs w:val="28"/>
          <w:lang w:val="en-US" w:eastAsia="zh-CN"/>
        </w:rPr>
        <w:t>，多余方量可用于露天采场垫坡使用，不外运，提高生态修复治理效果。</w:t>
      </w:r>
    </w:p>
    <w:p w14:paraId="34FFE0F9">
      <w:pPr>
        <w:tabs>
          <w:tab w:val="left" w:pos="1300"/>
        </w:tabs>
        <w:spacing w:line="360" w:lineRule="auto"/>
        <w:ind w:firstLine="560" w:firstLineChars="200"/>
        <w:rPr>
          <w:color w:val="auto"/>
          <w:sz w:val="28"/>
          <w:szCs w:val="28"/>
        </w:rPr>
      </w:pPr>
      <w:r>
        <w:rPr>
          <w:color w:val="auto"/>
          <w:kern w:val="0"/>
          <w:sz w:val="28"/>
          <w:szCs w:val="28"/>
        </w:rPr>
        <w:t>（</w:t>
      </w:r>
      <w:r>
        <w:rPr>
          <w:rFonts w:hint="eastAsia"/>
          <w:color w:val="auto"/>
          <w:kern w:val="0"/>
          <w:sz w:val="28"/>
          <w:szCs w:val="28"/>
          <w:lang w:val="en-US" w:eastAsia="zh-CN"/>
        </w:rPr>
        <w:t>3</w:t>
      </w:r>
      <w:r>
        <w:rPr>
          <w:color w:val="auto"/>
          <w:kern w:val="0"/>
          <w:sz w:val="28"/>
          <w:szCs w:val="28"/>
        </w:rPr>
        <w:t>）水资源平衡分析</w:t>
      </w:r>
    </w:p>
    <w:p w14:paraId="482FBAF0">
      <w:pPr>
        <w:tabs>
          <w:tab w:val="left" w:pos="1300"/>
        </w:tabs>
        <w:spacing w:line="360" w:lineRule="auto"/>
        <w:ind w:firstLine="560" w:firstLineChars="200"/>
        <w:rPr>
          <w:color w:val="auto"/>
          <w:sz w:val="28"/>
          <w:szCs w:val="28"/>
        </w:rPr>
      </w:pPr>
      <w:bookmarkStart w:id="70" w:name="_Toc37947574"/>
      <w:bookmarkStart w:id="71" w:name="_Toc18660176"/>
      <w:r>
        <w:rPr>
          <w:rFonts w:hint="eastAsia"/>
          <w:color w:val="auto"/>
          <w:kern w:val="0"/>
          <w:sz w:val="28"/>
          <w:szCs w:val="28"/>
        </w:rPr>
        <w:t>①</w:t>
      </w:r>
      <w:r>
        <w:rPr>
          <w:color w:val="auto"/>
          <w:kern w:val="0"/>
          <w:sz w:val="28"/>
          <w:szCs w:val="28"/>
        </w:rPr>
        <w:t>供水量分析</w:t>
      </w:r>
    </w:p>
    <w:p w14:paraId="40D8EFB7">
      <w:pPr>
        <w:tabs>
          <w:tab w:val="left" w:pos="1300"/>
        </w:tabs>
        <w:spacing w:line="360" w:lineRule="auto"/>
        <w:ind w:firstLine="560" w:firstLineChars="200"/>
        <w:rPr>
          <w:color w:val="auto"/>
          <w:sz w:val="28"/>
          <w:szCs w:val="28"/>
        </w:rPr>
      </w:pPr>
      <w:r>
        <w:rPr>
          <w:rFonts w:hint="eastAsia"/>
          <w:color w:val="auto"/>
          <w:sz w:val="28"/>
          <w:szCs w:val="28"/>
        </w:rPr>
        <w:t>矿山生活用水取自矿山</w:t>
      </w:r>
      <w:r>
        <w:rPr>
          <w:rFonts w:hint="eastAsia"/>
          <w:color w:val="auto"/>
          <w:sz w:val="28"/>
          <w:szCs w:val="28"/>
          <w:lang w:val="en-US" w:eastAsia="zh-CN"/>
        </w:rPr>
        <w:t>西北</w:t>
      </w:r>
      <w:r>
        <w:rPr>
          <w:rFonts w:hint="eastAsia" w:ascii="Times New Roman" w:hAnsi="Times New Roman" w:cs="Times New Roman"/>
          <w:color w:val="auto"/>
          <w:sz w:val="28"/>
          <w:szCs w:val="28"/>
          <w:lang w:val="en-US" w:eastAsia="zh-CN"/>
        </w:rPr>
        <w:t>部</w:t>
      </w:r>
      <w:r>
        <w:rPr>
          <w:rFonts w:hint="eastAsia" w:ascii="Times New Roman" w:hAnsi="Times New Roman" w:cs="Times New Roman"/>
          <w:color w:val="auto"/>
          <w:sz w:val="28"/>
          <w:szCs w:val="28"/>
          <w:lang w:eastAsia="zh-CN"/>
        </w:rPr>
        <w:t>蒙古塔布乌苏</w:t>
      </w:r>
      <w:r>
        <w:rPr>
          <w:rFonts w:hint="eastAsia" w:ascii="Times New Roman" w:hAnsi="Times New Roman" w:cs="Times New Roman"/>
          <w:color w:val="auto"/>
          <w:sz w:val="28"/>
          <w:szCs w:val="28"/>
        </w:rPr>
        <w:t>村</w:t>
      </w:r>
      <w:r>
        <w:rPr>
          <w:rFonts w:hint="eastAsia" w:ascii="Times New Roman" w:hAnsi="Times New Roman" w:cs="Times New Roman"/>
          <w:color w:val="auto"/>
          <w:sz w:val="28"/>
          <w:szCs w:val="28"/>
          <w:lang w:val="en-US" w:eastAsia="zh-CN"/>
        </w:rPr>
        <w:t>村民</w:t>
      </w:r>
      <w:r>
        <w:rPr>
          <w:rFonts w:hint="eastAsia" w:ascii="Times New Roman" w:hAnsi="Times New Roman" w:cs="Times New Roman"/>
          <w:color w:val="auto"/>
          <w:sz w:val="28"/>
          <w:szCs w:val="28"/>
        </w:rPr>
        <w:t>自</w:t>
      </w:r>
      <w:r>
        <w:rPr>
          <w:rFonts w:hint="eastAsia"/>
          <w:color w:val="auto"/>
          <w:sz w:val="28"/>
          <w:szCs w:val="28"/>
        </w:rPr>
        <w:t>建水井，水井深10-15m，</w:t>
      </w:r>
      <w:r>
        <w:rPr>
          <w:rFonts w:hint="eastAsia"/>
          <w:color w:val="auto"/>
          <w:sz w:val="28"/>
          <w:szCs w:val="28"/>
          <w:lang w:val="en-US" w:eastAsia="zh-CN"/>
        </w:rPr>
        <w:t>出水量可达200m</w:t>
      </w:r>
      <w:r>
        <w:rPr>
          <w:rFonts w:hint="eastAsia"/>
          <w:color w:val="auto"/>
          <w:sz w:val="28"/>
          <w:szCs w:val="28"/>
          <w:vertAlign w:val="superscript"/>
          <w:lang w:val="en-US" w:eastAsia="zh-CN"/>
        </w:rPr>
        <w:t>3/</w:t>
      </w:r>
      <w:r>
        <w:rPr>
          <w:rFonts w:hint="eastAsia"/>
          <w:color w:val="auto"/>
          <w:sz w:val="28"/>
          <w:szCs w:val="28"/>
          <w:lang w:val="en-US" w:eastAsia="zh-CN"/>
        </w:rPr>
        <w:t>d，</w:t>
      </w:r>
      <w:r>
        <w:rPr>
          <w:rFonts w:hint="eastAsia"/>
          <w:color w:val="auto"/>
          <w:sz w:val="28"/>
          <w:szCs w:val="28"/>
        </w:rPr>
        <w:t>水质中等，符合居民用水标准。基本能够满足矿山生活用水；</w:t>
      </w:r>
      <w:r>
        <w:rPr>
          <w:rFonts w:hint="eastAsia"/>
          <w:color w:val="auto"/>
          <w:sz w:val="28"/>
          <w:szCs w:val="28"/>
          <w:lang w:val="en-US" w:eastAsia="zh-CN"/>
        </w:rPr>
        <w:t>该井可作为生态修复植被管护灌溉使用</w:t>
      </w:r>
      <w:r>
        <w:rPr>
          <w:rFonts w:hint="eastAsia"/>
          <w:color w:val="auto"/>
          <w:sz w:val="28"/>
          <w:szCs w:val="28"/>
        </w:rPr>
        <w:t>。</w:t>
      </w:r>
    </w:p>
    <w:p w14:paraId="76042270">
      <w:pPr>
        <w:tabs>
          <w:tab w:val="left" w:pos="1300"/>
        </w:tabs>
        <w:spacing w:line="360" w:lineRule="auto"/>
        <w:ind w:firstLine="560" w:firstLineChars="200"/>
        <w:rPr>
          <w:color w:val="auto"/>
          <w:sz w:val="28"/>
          <w:szCs w:val="28"/>
        </w:rPr>
      </w:pPr>
      <w:r>
        <w:rPr>
          <w:rFonts w:hint="eastAsia"/>
          <w:color w:val="auto"/>
          <w:kern w:val="0"/>
          <w:sz w:val="28"/>
          <w:szCs w:val="28"/>
        </w:rPr>
        <w:t>②</w:t>
      </w:r>
      <w:r>
        <w:rPr>
          <w:color w:val="auto"/>
          <w:kern w:val="0"/>
          <w:sz w:val="28"/>
          <w:szCs w:val="28"/>
        </w:rPr>
        <w:t>用水量分析</w:t>
      </w:r>
    </w:p>
    <w:p w14:paraId="6DB9F0FC">
      <w:pPr>
        <w:tabs>
          <w:tab w:val="left" w:pos="1300"/>
        </w:tabs>
        <w:spacing w:line="360" w:lineRule="auto"/>
        <w:ind w:firstLine="560" w:firstLineChars="200"/>
        <w:rPr>
          <w:color w:val="auto"/>
          <w:sz w:val="28"/>
          <w:szCs w:val="28"/>
        </w:rPr>
      </w:pPr>
      <w:r>
        <w:rPr>
          <w:color w:val="auto"/>
          <w:sz w:val="28"/>
          <w:szCs w:val="28"/>
        </w:rPr>
        <w:t>本矿区复垦责任区内主要复垦单元为</w:t>
      </w:r>
      <w:r>
        <w:rPr>
          <w:rFonts w:hint="eastAsia"/>
          <w:color w:val="auto"/>
          <w:sz w:val="28"/>
          <w:szCs w:val="28"/>
          <w:lang w:val="en-US" w:eastAsia="zh-CN"/>
        </w:rPr>
        <w:t>林地和</w:t>
      </w:r>
      <w:r>
        <w:rPr>
          <w:color w:val="auto"/>
          <w:sz w:val="28"/>
          <w:szCs w:val="28"/>
        </w:rPr>
        <w:t>草地，复垦面积</w:t>
      </w:r>
      <w:r>
        <w:rPr>
          <w:rFonts w:hint="eastAsia"/>
          <w:color w:val="auto"/>
          <w:sz w:val="28"/>
          <w:szCs w:val="28"/>
          <w:lang w:val="en-US" w:eastAsia="zh-CN"/>
        </w:rPr>
        <w:t>7.6955</w:t>
      </w:r>
      <w:r>
        <w:rPr>
          <w:color w:val="auto"/>
          <w:sz w:val="28"/>
          <w:szCs w:val="28"/>
        </w:rPr>
        <w:t>hm</w:t>
      </w:r>
      <w:r>
        <w:rPr>
          <w:color w:val="auto"/>
          <w:sz w:val="28"/>
          <w:szCs w:val="28"/>
          <w:vertAlign w:val="superscript"/>
        </w:rPr>
        <w:t>2</w:t>
      </w:r>
      <w:r>
        <w:rPr>
          <w:color w:val="auto"/>
          <w:sz w:val="28"/>
          <w:szCs w:val="28"/>
        </w:rPr>
        <w:t>，根据《内蒙古自治区行业用水定额》（</w:t>
      </w:r>
      <w:r>
        <w:rPr>
          <w:rFonts w:hint="eastAsia"/>
          <w:color w:val="auto"/>
          <w:sz w:val="28"/>
          <w:szCs w:val="28"/>
        </w:rPr>
        <w:t>DB15/T 385-2025</w:t>
      </w:r>
      <w:r>
        <w:rPr>
          <w:color w:val="auto"/>
          <w:sz w:val="28"/>
          <w:szCs w:val="28"/>
        </w:rPr>
        <w:t>）,生态用水定额</w:t>
      </w:r>
      <w:r>
        <w:rPr>
          <w:rFonts w:hint="eastAsia"/>
          <w:color w:val="auto"/>
          <w:sz w:val="28"/>
          <w:szCs w:val="28"/>
          <w:lang w:eastAsia="zh-CN"/>
        </w:rPr>
        <w:t>，</w:t>
      </w:r>
      <w:r>
        <w:rPr>
          <w:color w:val="auto"/>
          <w:sz w:val="28"/>
          <w:szCs w:val="28"/>
        </w:rPr>
        <w:t>矿区总灌溉保证率75%，赤峰市定额值为2200立方米/公顷。矿区总复垦面积为</w:t>
      </w:r>
      <w:r>
        <w:rPr>
          <w:rFonts w:hint="eastAsia"/>
          <w:color w:val="auto"/>
          <w:sz w:val="28"/>
          <w:szCs w:val="28"/>
          <w:lang w:val="en-US" w:eastAsia="zh-CN"/>
        </w:rPr>
        <w:t>7.6955</w:t>
      </w:r>
      <w:r>
        <w:rPr>
          <w:color w:val="auto"/>
          <w:sz w:val="28"/>
          <w:szCs w:val="28"/>
        </w:rPr>
        <w:t>hm</w:t>
      </w:r>
      <w:r>
        <w:rPr>
          <w:color w:val="auto"/>
          <w:sz w:val="28"/>
          <w:szCs w:val="28"/>
          <w:vertAlign w:val="superscript"/>
        </w:rPr>
        <w:t>2</w:t>
      </w:r>
      <w:r>
        <w:rPr>
          <w:color w:val="auto"/>
          <w:sz w:val="28"/>
          <w:szCs w:val="28"/>
        </w:rPr>
        <w:t>，总用水方量为</w:t>
      </w:r>
      <w:r>
        <w:rPr>
          <w:rFonts w:hint="eastAsia"/>
          <w:color w:val="auto"/>
          <w:sz w:val="28"/>
          <w:szCs w:val="28"/>
          <w:lang w:val="en-US" w:eastAsia="zh-CN"/>
        </w:rPr>
        <w:t>12698</w:t>
      </w:r>
      <w:r>
        <w:rPr>
          <w:color w:val="auto"/>
          <w:sz w:val="28"/>
          <w:szCs w:val="28"/>
        </w:rPr>
        <w:t>m</w:t>
      </w:r>
      <w:r>
        <w:rPr>
          <w:color w:val="auto"/>
          <w:sz w:val="28"/>
          <w:szCs w:val="28"/>
          <w:vertAlign w:val="superscript"/>
        </w:rPr>
        <w:t>3</w:t>
      </w:r>
      <w:r>
        <w:rPr>
          <w:color w:val="auto"/>
          <w:sz w:val="28"/>
          <w:szCs w:val="28"/>
        </w:rPr>
        <w:t>，总灌溉年数为</w:t>
      </w:r>
      <w:r>
        <w:rPr>
          <w:rFonts w:hint="eastAsia"/>
          <w:color w:val="auto"/>
          <w:sz w:val="28"/>
          <w:szCs w:val="28"/>
          <w:lang w:val="en-US" w:eastAsia="zh-CN"/>
        </w:rPr>
        <w:t>2</w:t>
      </w:r>
      <w:r>
        <w:rPr>
          <w:color w:val="auto"/>
          <w:sz w:val="28"/>
          <w:szCs w:val="28"/>
        </w:rPr>
        <w:t>年，则每年灌溉需水量为</w:t>
      </w:r>
      <w:r>
        <w:rPr>
          <w:rFonts w:hint="eastAsia"/>
          <w:color w:val="auto"/>
          <w:sz w:val="28"/>
          <w:szCs w:val="28"/>
          <w:lang w:val="en-US" w:eastAsia="zh-CN"/>
        </w:rPr>
        <w:t>6349</w:t>
      </w:r>
      <w:r>
        <w:rPr>
          <w:color w:val="auto"/>
          <w:sz w:val="28"/>
          <w:szCs w:val="28"/>
        </w:rPr>
        <w:t>m</w:t>
      </w:r>
      <w:r>
        <w:rPr>
          <w:color w:val="auto"/>
          <w:sz w:val="28"/>
          <w:szCs w:val="28"/>
          <w:vertAlign w:val="superscript"/>
        </w:rPr>
        <w:t>3</w:t>
      </w:r>
      <w:r>
        <w:rPr>
          <w:color w:val="auto"/>
          <w:sz w:val="28"/>
          <w:szCs w:val="28"/>
        </w:rPr>
        <w:t>，每年春季返青期及秋季各进行灌溉1次，每次灌溉需水量为</w:t>
      </w:r>
      <w:r>
        <w:rPr>
          <w:rFonts w:hint="eastAsia"/>
          <w:color w:val="auto"/>
          <w:sz w:val="28"/>
          <w:szCs w:val="28"/>
          <w:lang w:val="en-US" w:eastAsia="zh-CN"/>
        </w:rPr>
        <w:t>3175</w:t>
      </w:r>
      <w:r>
        <w:rPr>
          <w:color w:val="auto"/>
          <w:sz w:val="28"/>
          <w:szCs w:val="28"/>
        </w:rPr>
        <w:t>m</w:t>
      </w:r>
      <w:r>
        <w:rPr>
          <w:color w:val="auto"/>
          <w:sz w:val="28"/>
          <w:szCs w:val="28"/>
          <w:vertAlign w:val="superscript"/>
        </w:rPr>
        <w:t>3</w:t>
      </w:r>
      <w:r>
        <w:rPr>
          <w:color w:val="auto"/>
          <w:sz w:val="28"/>
          <w:szCs w:val="28"/>
        </w:rPr>
        <w:t>，</w:t>
      </w:r>
      <w:r>
        <w:rPr>
          <w:rFonts w:hint="eastAsia" w:ascii="Times New Roman" w:hAnsi="Times New Roman" w:cs="Times New Roman"/>
          <w:color w:val="auto"/>
          <w:sz w:val="28"/>
          <w:szCs w:val="28"/>
          <w:lang w:eastAsia="zh-CN"/>
        </w:rPr>
        <w:t>蒙古塔布乌苏</w:t>
      </w:r>
      <w:r>
        <w:rPr>
          <w:rFonts w:hint="eastAsia" w:ascii="Times New Roman" w:hAnsi="Times New Roman" w:cs="Times New Roman"/>
          <w:color w:val="auto"/>
          <w:sz w:val="28"/>
          <w:szCs w:val="28"/>
        </w:rPr>
        <w:t>村</w:t>
      </w:r>
      <w:r>
        <w:rPr>
          <w:rFonts w:hint="eastAsia" w:ascii="Times New Roman" w:hAnsi="Times New Roman" w:cs="Times New Roman"/>
          <w:color w:val="auto"/>
          <w:sz w:val="28"/>
          <w:szCs w:val="28"/>
          <w:lang w:val="en-US" w:eastAsia="zh-CN"/>
        </w:rPr>
        <w:t>村民</w:t>
      </w:r>
      <w:r>
        <w:rPr>
          <w:rFonts w:hint="eastAsia" w:ascii="Times New Roman" w:hAnsi="Times New Roman" w:cs="Times New Roman"/>
          <w:color w:val="auto"/>
          <w:sz w:val="28"/>
          <w:szCs w:val="28"/>
        </w:rPr>
        <w:t>自</w:t>
      </w:r>
      <w:r>
        <w:rPr>
          <w:rFonts w:hint="eastAsia"/>
          <w:color w:val="auto"/>
          <w:sz w:val="28"/>
          <w:szCs w:val="28"/>
        </w:rPr>
        <w:t>建水井</w:t>
      </w:r>
      <w:r>
        <w:rPr>
          <w:rFonts w:hint="eastAsia"/>
          <w:color w:val="auto"/>
          <w:sz w:val="28"/>
          <w:szCs w:val="28"/>
          <w:lang w:val="en-US" w:eastAsia="zh-CN"/>
        </w:rPr>
        <w:t>可</w:t>
      </w:r>
      <w:r>
        <w:rPr>
          <w:color w:val="auto"/>
          <w:sz w:val="28"/>
          <w:szCs w:val="28"/>
        </w:rPr>
        <w:t>满足灌溉需水量。</w:t>
      </w:r>
    </w:p>
    <w:p w14:paraId="44197F95">
      <w:pPr>
        <w:widowControl/>
        <w:spacing w:line="360" w:lineRule="auto"/>
        <w:ind w:firstLine="560" w:firstLineChars="200"/>
        <w:rPr>
          <w:color w:val="auto"/>
          <w:kern w:val="0"/>
          <w:sz w:val="28"/>
          <w:szCs w:val="28"/>
        </w:rPr>
      </w:pPr>
      <w:r>
        <w:rPr>
          <w:color w:val="auto"/>
          <w:kern w:val="0"/>
          <w:sz w:val="28"/>
          <w:szCs w:val="28"/>
        </w:rPr>
        <w:t>复垦</w:t>
      </w:r>
      <w:r>
        <w:rPr>
          <w:color w:val="auto"/>
          <w:sz w:val="28"/>
          <w:szCs w:val="28"/>
        </w:rPr>
        <w:t>季节选择春季，植物休眠期需水量少，有利于成活。鉴于草地生长初期需要一定的灌溉措施来保证成活率，期间需经历3年时间，待复垦稳定后可转为依靠自然降水，所以初期灌溉用水均为矿区统一用水，灌溉方式为人工洒水</w:t>
      </w:r>
      <w:r>
        <w:rPr>
          <w:color w:val="auto"/>
          <w:kern w:val="0"/>
          <w:sz w:val="28"/>
          <w:szCs w:val="28"/>
        </w:rPr>
        <w:t>。</w:t>
      </w:r>
    </w:p>
    <w:p w14:paraId="0B654AD3">
      <w:pPr>
        <w:spacing w:line="360" w:lineRule="auto"/>
        <w:ind w:firstLine="562" w:firstLineChars="200"/>
        <w:outlineLvl w:val="3"/>
        <w:rPr>
          <w:rFonts w:hint="eastAsia" w:ascii="宋体" w:hAnsi="宋体" w:cs="宋体"/>
          <w:b/>
          <w:bCs/>
          <w:color w:val="auto"/>
          <w:sz w:val="28"/>
          <w:szCs w:val="28"/>
        </w:rPr>
      </w:pPr>
      <w:r>
        <w:rPr>
          <w:rFonts w:hint="eastAsia" w:ascii="宋体" w:hAnsi="宋体" w:cs="宋体"/>
          <w:b/>
          <w:bCs/>
          <w:color w:val="auto"/>
          <w:sz w:val="28"/>
          <w:szCs w:val="28"/>
        </w:rPr>
        <w:t>（三）土地复垦质量要求</w:t>
      </w:r>
      <w:bookmarkEnd w:id="70"/>
      <w:bookmarkEnd w:id="71"/>
    </w:p>
    <w:p w14:paraId="04594416">
      <w:pPr>
        <w:widowControl/>
        <w:spacing w:line="360" w:lineRule="auto"/>
        <w:ind w:firstLine="560" w:firstLineChars="200"/>
        <w:rPr>
          <w:color w:val="auto"/>
          <w:kern w:val="0"/>
          <w:sz w:val="28"/>
          <w:szCs w:val="28"/>
        </w:rPr>
      </w:pPr>
      <w:r>
        <w:rPr>
          <w:color w:val="auto"/>
          <w:kern w:val="0"/>
          <w:sz w:val="28"/>
          <w:szCs w:val="28"/>
        </w:rPr>
        <w:t>参照《土地复垦质量控制标准》（TD/T 1036-2013），矿区位于</w:t>
      </w:r>
      <w:r>
        <w:rPr>
          <w:rFonts w:hint="eastAsia"/>
          <w:color w:val="auto"/>
          <w:kern w:val="0"/>
          <w:sz w:val="28"/>
          <w:szCs w:val="28"/>
          <w:lang w:val="en-US" w:eastAsia="zh-CN"/>
        </w:rPr>
        <w:t>北方草</w:t>
      </w:r>
      <w:r>
        <w:rPr>
          <w:color w:val="auto"/>
          <w:kern w:val="0"/>
          <w:sz w:val="28"/>
          <w:szCs w:val="28"/>
        </w:rPr>
        <w:t>原土地，根据《土地复垦质量控制标准》中“表D.</w:t>
      </w:r>
      <w:r>
        <w:rPr>
          <w:rFonts w:hint="eastAsia"/>
          <w:color w:val="auto"/>
          <w:kern w:val="0"/>
          <w:sz w:val="28"/>
          <w:szCs w:val="28"/>
          <w:lang w:val="en-US" w:eastAsia="zh-CN"/>
        </w:rPr>
        <w:t>6北方草原区</w:t>
      </w:r>
      <w:r>
        <w:rPr>
          <w:color w:val="auto"/>
          <w:kern w:val="0"/>
          <w:sz w:val="28"/>
          <w:szCs w:val="28"/>
        </w:rPr>
        <w:t>土地复垦质量控制标准”，各土地复垦质量控制标准如下：</w:t>
      </w:r>
    </w:p>
    <w:p w14:paraId="500FD50F">
      <w:pPr>
        <w:pStyle w:val="71"/>
        <w:rPr>
          <w:rFonts w:ascii="Times New Roman" w:hAnsi="Times New Roman" w:eastAsia="黑体" w:cs="Times New Roman"/>
          <w:color w:val="auto"/>
          <w:sz w:val="24"/>
          <w:szCs w:val="24"/>
        </w:rPr>
      </w:pPr>
      <w:r>
        <w:rPr>
          <w:rFonts w:ascii="Times New Roman" w:hAnsi="Times New Roman" w:eastAsia="黑体" w:cs="Times New Roman"/>
          <w:color w:val="auto"/>
          <w:sz w:val="24"/>
          <w:szCs w:val="24"/>
        </w:rPr>
        <w:t>表3-</w:t>
      </w:r>
      <w:r>
        <w:rPr>
          <w:rFonts w:hint="eastAsia" w:ascii="Times New Roman" w:hAnsi="Times New Roman" w:eastAsia="黑体" w:cs="Times New Roman"/>
          <w:color w:val="auto"/>
          <w:sz w:val="24"/>
          <w:szCs w:val="24"/>
          <w:lang w:val="en-US" w:eastAsia="zh-CN"/>
        </w:rPr>
        <w:t xml:space="preserve">34 </w:t>
      </w:r>
      <w:r>
        <w:rPr>
          <w:rFonts w:ascii="Times New Roman" w:hAnsi="Times New Roman" w:eastAsia="黑体" w:cs="Times New Roman"/>
          <w:color w:val="auto"/>
          <w:sz w:val="24"/>
          <w:szCs w:val="24"/>
        </w:rPr>
        <w:t xml:space="preserve"> </w:t>
      </w:r>
      <w:r>
        <w:rPr>
          <w:rFonts w:hint="eastAsia" w:ascii="Times New Roman" w:hAnsi="Times New Roman" w:eastAsia="黑体" w:cs="Times New Roman"/>
          <w:color w:val="auto"/>
          <w:sz w:val="24"/>
          <w:szCs w:val="24"/>
          <w:lang w:val="en-US" w:eastAsia="zh-CN"/>
        </w:rPr>
        <w:t>北方草原区</w:t>
      </w:r>
      <w:r>
        <w:rPr>
          <w:rFonts w:ascii="Times New Roman" w:hAnsi="Times New Roman" w:eastAsia="黑体" w:cs="Times New Roman"/>
          <w:color w:val="auto"/>
          <w:sz w:val="24"/>
          <w:szCs w:val="24"/>
        </w:rPr>
        <w:t>土地复垦质量控制标准</w:t>
      </w:r>
    </w:p>
    <w:p w14:paraId="44DDB339">
      <w:pPr>
        <w:pStyle w:val="69"/>
        <w:spacing w:line="360" w:lineRule="auto"/>
        <w:ind w:firstLine="562"/>
        <w:outlineLvl w:val="2"/>
        <w:rPr>
          <w:rFonts w:eastAsia="宋体"/>
          <w:b/>
          <w:color w:val="auto"/>
          <w:szCs w:val="28"/>
          <w:lang w:val="en-US"/>
        </w:rPr>
      </w:pPr>
      <w:bookmarkStart w:id="72" w:name="_Toc26544"/>
      <w:r>
        <w:rPr>
          <w:rFonts w:eastAsia="宋体"/>
          <w:b/>
          <w:color w:val="auto"/>
          <w:szCs w:val="28"/>
          <w:lang w:val="en-US"/>
        </w:rPr>
        <w:t>三、边开采、边修复可行性分析</w:t>
      </w:r>
    </w:p>
    <w:p w14:paraId="565C841A">
      <w:pPr>
        <w:pStyle w:val="69"/>
        <w:spacing w:line="360" w:lineRule="auto"/>
        <w:ind w:firstLine="560"/>
        <w:rPr>
          <w:rFonts w:hint="eastAsia" w:eastAsia="宋体"/>
          <w:bCs/>
          <w:color w:val="auto"/>
          <w:szCs w:val="28"/>
          <w:lang w:val="en-US" w:eastAsia="zh-CN"/>
        </w:rPr>
      </w:pPr>
      <w:bookmarkStart w:id="73" w:name="_Hlk221389534"/>
      <w:r>
        <w:rPr>
          <w:rFonts w:hint="eastAsia" w:eastAsia="宋体"/>
          <w:color w:val="auto"/>
          <w:szCs w:val="28"/>
          <w:lang w:val="en-US" w:eastAsia="zh-CN"/>
        </w:rPr>
        <w:t>矿山不再继续开采</w:t>
      </w:r>
      <w:r>
        <w:rPr>
          <w:rFonts w:hint="eastAsia" w:eastAsia="宋体"/>
          <w:color w:val="auto"/>
          <w:szCs w:val="28"/>
          <w:lang w:eastAsia="zh-CN"/>
        </w:rPr>
        <w:t>，</w:t>
      </w:r>
      <w:r>
        <w:rPr>
          <w:rFonts w:hint="eastAsia" w:eastAsia="宋体"/>
          <w:color w:val="auto"/>
          <w:szCs w:val="28"/>
          <w:lang w:val="en-US" w:eastAsia="zh-CN"/>
        </w:rPr>
        <w:t>现状单元</w:t>
      </w:r>
      <w:bookmarkEnd w:id="73"/>
      <w:r>
        <w:rPr>
          <w:rFonts w:hint="eastAsia" w:eastAsia="宋体"/>
          <w:color w:val="auto"/>
          <w:szCs w:val="28"/>
          <w:lang w:val="en-US" w:eastAsia="zh-CN"/>
        </w:rPr>
        <w:t>包括露天采场、1#废石场、2#废石场、1#废渣堆、2#废渣堆、3#废渣堆、工业场地、矿区道路</w:t>
      </w:r>
      <w:r>
        <w:rPr>
          <w:rFonts w:eastAsia="宋体"/>
          <w:bCs/>
          <w:color w:val="auto"/>
          <w:szCs w:val="28"/>
        </w:rPr>
        <w:t>，将上述场地近</w:t>
      </w:r>
      <w:r>
        <w:rPr>
          <w:rFonts w:hint="eastAsia" w:eastAsia="宋体"/>
          <w:bCs/>
          <w:color w:val="auto"/>
          <w:szCs w:val="28"/>
          <w:lang w:val="en-US" w:eastAsia="zh-CN"/>
        </w:rPr>
        <w:t>一</w:t>
      </w:r>
      <w:r>
        <w:rPr>
          <w:rFonts w:eastAsia="宋体"/>
          <w:bCs/>
          <w:color w:val="auto"/>
          <w:szCs w:val="28"/>
        </w:rPr>
        <w:t>年治理</w:t>
      </w:r>
      <w:r>
        <w:rPr>
          <w:rFonts w:hint="eastAsia" w:eastAsia="宋体"/>
          <w:bCs/>
          <w:color w:val="auto"/>
          <w:szCs w:val="28"/>
          <w:lang w:val="en-US" w:eastAsia="zh-CN"/>
        </w:rPr>
        <w:t>。</w:t>
      </w:r>
    </w:p>
    <w:p w14:paraId="3088ACFE">
      <w:pPr>
        <w:pStyle w:val="69"/>
        <w:spacing w:line="360" w:lineRule="auto"/>
        <w:ind w:firstLine="560"/>
        <w:rPr>
          <w:rFonts w:eastAsia="宋体"/>
          <w:bCs/>
          <w:color w:val="auto"/>
          <w:szCs w:val="28"/>
        </w:rPr>
      </w:pPr>
      <w:r>
        <w:rPr>
          <w:rFonts w:eastAsia="宋体"/>
          <w:bCs/>
          <w:color w:val="auto"/>
          <w:szCs w:val="28"/>
          <w:lang w:val="en-US"/>
        </w:rPr>
        <w:t>1、近</w:t>
      </w:r>
      <w:r>
        <w:rPr>
          <w:rFonts w:hint="eastAsia" w:eastAsia="宋体"/>
          <w:bCs/>
          <w:color w:val="auto"/>
          <w:szCs w:val="28"/>
          <w:lang w:val="en-US" w:eastAsia="zh-CN"/>
        </w:rPr>
        <w:t>一</w:t>
      </w:r>
      <w:r>
        <w:rPr>
          <w:rFonts w:eastAsia="宋体"/>
          <w:bCs/>
          <w:color w:val="auto"/>
          <w:szCs w:val="28"/>
          <w:lang w:val="en-US"/>
        </w:rPr>
        <w:t>年修复工程</w:t>
      </w:r>
    </w:p>
    <w:p w14:paraId="469B9A7D">
      <w:pPr>
        <w:spacing w:line="360" w:lineRule="auto"/>
        <w:ind w:firstLine="560" w:firstLineChars="200"/>
        <w:rPr>
          <w:rFonts w:eastAsiaTheme="minorEastAsia"/>
          <w:color w:val="auto"/>
          <w:sz w:val="28"/>
          <w:szCs w:val="28"/>
        </w:rPr>
      </w:pPr>
      <w:r>
        <w:rPr>
          <w:rFonts w:hint="eastAsia" w:eastAsiaTheme="minorEastAsia"/>
          <w:color w:val="auto"/>
          <w:sz w:val="28"/>
          <w:szCs w:val="28"/>
          <w:lang w:eastAsia="zh-CN"/>
        </w:rPr>
        <w:t>（</w:t>
      </w:r>
      <w:r>
        <w:rPr>
          <w:rFonts w:hint="eastAsia" w:eastAsiaTheme="minorEastAsia"/>
          <w:color w:val="auto"/>
          <w:sz w:val="28"/>
          <w:szCs w:val="28"/>
          <w:lang w:val="en-US" w:eastAsia="zh-CN"/>
        </w:rPr>
        <w:t>1</w:t>
      </w:r>
      <w:r>
        <w:rPr>
          <w:rFonts w:hint="eastAsia" w:eastAsiaTheme="minorEastAsia"/>
          <w:color w:val="auto"/>
          <w:sz w:val="28"/>
          <w:szCs w:val="28"/>
          <w:lang w:eastAsia="zh-CN"/>
        </w:rPr>
        <w:t>）</w:t>
      </w:r>
      <w:r>
        <w:rPr>
          <w:rFonts w:hint="eastAsia" w:eastAsiaTheme="minorEastAsia"/>
          <w:color w:val="auto"/>
          <w:sz w:val="28"/>
          <w:szCs w:val="28"/>
          <w:lang w:val="en-US" w:eastAsia="zh-CN"/>
        </w:rPr>
        <w:t>露天采场边坡已形成2处台阶，但未覆土、恢复植被，本次生态修复设计对场地内孤立岩体进行清除，对场地内采坑进行回填，对采场高陡边坡垫坡，对边坡顶部尖角状坡面进行削坡整形，形成圆滑美观的坡面线，采取以上治理措施后，除垫坡后上部较陡部分外，整个场地进行覆土、恢复植被</w:t>
      </w:r>
      <w:r>
        <w:rPr>
          <w:rFonts w:eastAsiaTheme="minorEastAsia"/>
          <w:color w:val="auto"/>
          <w:sz w:val="28"/>
          <w:szCs w:val="28"/>
        </w:rPr>
        <w:t>；</w:t>
      </w:r>
    </w:p>
    <w:p w14:paraId="093C2B2F">
      <w:pPr>
        <w:spacing w:line="360" w:lineRule="auto"/>
        <w:ind w:firstLine="560" w:firstLineChars="200"/>
        <w:rPr>
          <w:rFonts w:eastAsiaTheme="minorEastAsia"/>
          <w:color w:val="auto"/>
          <w:sz w:val="28"/>
          <w:szCs w:val="28"/>
        </w:rPr>
      </w:pPr>
      <w:r>
        <w:rPr>
          <w:rFonts w:hint="eastAsia" w:eastAsiaTheme="minorEastAsia"/>
          <w:color w:val="auto"/>
          <w:sz w:val="28"/>
          <w:szCs w:val="28"/>
          <w:lang w:eastAsia="zh-CN"/>
        </w:rPr>
        <w:t>（</w:t>
      </w:r>
      <w:r>
        <w:rPr>
          <w:rFonts w:hint="eastAsia" w:eastAsiaTheme="minorEastAsia"/>
          <w:color w:val="auto"/>
          <w:sz w:val="28"/>
          <w:szCs w:val="28"/>
          <w:lang w:val="en-US" w:eastAsia="zh-CN"/>
        </w:rPr>
        <w:t>2</w:t>
      </w:r>
      <w:r>
        <w:rPr>
          <w:rFonts w:hint="eastAsia" w:eastAsiaTheme="minorEastAsia"/>
          <w:color w:val="auto"/>
          <w:sz w:val="28"/>
          <w:szCs w:val="28"/>
          <w:lang w:eastAsia="zh-CN"/>
        </w:rPr>
        <w:t>）</w:t>
      </w:r>
      <w:r>
        <w:rPr>
          <w:rFonts w:hint="eastAsia" w:eastAsiaTheme="minorEastAsia"/>
          <w:color w:val="auto"/>
          <w:sz w:val="28"/>
          <w:szCs w:val="28"/>
          <w:lang w:val="en-US" w:eastAsia="zh-CN"/>
        </w:rPr>
        <w:t>设计对1#废石场边坡进行削坡压脚整形，减小边坡角度利于覆土，覆土后恢复植被</w:t>
      </w:r>
      <w:r>
        <w:rPr>
          <w:rFonts w:eastAsiaTheme="minorEastAsia"/>
          <w:color w:val="auto"/>
          <w:sz w:val="28"/>
          <w:szCs w:val="28"/>
        </w:rPr>
        <w:t>；</w:t>
      </w:r>
    </w:p>
    <w:p w14:paraId="10214D3D">
      <w:pPr>
        <w:spacing w:line="360" w:lineRule="auto"/>
        <w:ind w:firstLine="560" w:firstLineChars="200"/>
        <w:rPr>
          <w:rFonts w:eastAsiaTheme="minorEastAsia"/>
          <w:color w:val="auto"/>
          <w:sz w:val="28"/>
          <w:szCs w:val="28"/>
        </w:rPr>
      </w:pPr>
      <w:r>
        <w:rPr>
          <w:rFonts w:hint="eastAsia" w:eastAsiaTheme="minorEastAsia"/>
          <w:color w:val="auto"/>
          <w:sz w:val="28"/>
          <w:szCs w:val="28"/>
          <w:lang w:eastAsia="zh-CN"/>
        </w:rPr>
        <w:t>（</w:t>
      </w:r>
      <w:r>
        <w:rPr>
          <w:rFonts w:hint="eastAsia" w:eastAsiaTheme="minorEastAsia"/>
          <w:color w:val="auto"/>
          <w:sz w:val="28"/>
          <w:szCs w:val="28"/>
          <w:lang w:val="en-US" w:eastAsia="zh-CN"/>
        </w:rPr>
        <w:t>3</w:t>
      </w:r>
      <w:r>
        <w:rPr>
          <w:rFonts w:hint="eastAsia" w:eastAsiaTheme="minorEastAsia"/>
          <w:color w:val="auto"/>
          <w:sz w:val="28"/>
          <w:szCs w:val="28"/>
          <w:lang w:eastAsia="zh-CN"/>
        </w:rPr>
        <w:t>）</w:t>
      </w:r>
      <w:r>
        <w:rPr>
          <w:rFonts w:eastAsiaTheme="minorEastAsia"/>
          <w:color w:val="auto"/>
          <w:sz w:val="28"/>
          <w:szCs w:val="28"/>
        </w:rPr>
        <w:t>对</w:t>
      </w:r>
      <w:r>
        <w:rPr>
          <w:rFonts w:hint="eastAsia" w:eastAsiaTheme="minorEastAsia"/>
          <w:color w:val="auto"/>
          <w:sz w:val="28"/>
          <w:szCs w:val="28"/>
          <w:lang w:val="en-US" w:eastAsia="zh-CN"/>
        </w:rPr>
        <w:t>2#废石场地内堆积的废石进行清运至露天采场边坡垫坡使用，清运后的场地覆土后恢复植被</w:t>
      </w:r>
      <w:r>
        <w:rPr>
          <w:rFonts w:eastAsiaTheme="minorEastAsia"/>
          <w:color w:val="auto"/>
          <w:sz w:val="28"/>
          <w:szCs w:val="28"/>
        </w:rPr>
        <w:t>；</w:t>
      </w:r>
    </w:p>
    <w:p w14:paraId="462F4B7A">
      <w:pPr>
        <w:spacing w:line="360" w:lineRule="auto"/>
        <w:ind w:firstLine="560" w:firstLineChars="200"/>
        <w:rPr>
          <w:rFonts w:eastAsiaTheme="minorEastAsia"/>
          <w:color w:val="auto"/>
          <w:sz w:val="28"/>
          <w:szCs w:val="28"/>
        </w:rPr>
      </w:pPr>
      <w:r>
        <w:rPr>
          <w:rFonts w:hint="eastAsia" w:eastAsiaTheme="minorEastAsia"/>
          <w:color w:val="auto"/>
          <w:sz w:val="28"/>
          <w:szCs w:val="28"/>
          <w:lang w:eastAsia="zh-CN"/>
        </w:rPr>
        <w:t>（</w:t>
      </w:r>
      <w:r>
        <w:rPr>
          <w:rFonts w:hint="eastAsia" w:eastAsiaTheme="minorEastAsia"/>
          <w:color w:val="auto"/>
          <w:sz w:val="28"/>
          <w:szCs w:val="28"/>
          <w:lang w:val="en-US" w:eastAsia="zh-CN"/>
        </w:rPr>
        <w:t>4</w:t>
      </w:r>
      <w:r>
        <w:rPr>
          <w:rFonts w:hint="eastAsia" w:eastAsiaTheme="minorEastAsia"/>
          <w:color w:val="auto"/>
          <w:sz w:val="28"/>
          <w:szCs w:val="28"/>
          <w:lang w:eastAsia="zh-CN"/>
        </w:rPr>
        <w:t>）</w:t>
      </w:r>
      <w:r>
        <w:rPr>
          <w:rFonts w:eastAsiaTheme="minorEastAsia"/>
          <w:color w:val="auto"/>
          <w:sz w:val="28"/>
          <w:szCs w:val="28"/>
        </w:rPr>
        <w:t>对</w:t>
      </w:r>
      <w:r>
        <w:rPr>
          <w:rFonts w:hint="eastAsia" w:eastAsiaTheme="minorEastAsia"/>
          <w:color w:val="auto"/>
          <w:sz w:val="28"/>
          <w:szCs w:val="28"/>
        </w:rPr>
        <w:t>1#</w:t>
      </w:r>
      <w:r>
        <w:rPr>
          <w:rFonts w:hint="eastAsia" w:eastAsiaTheme="minorEastAsia"/>
          <w:color w:val="auto"/>
          <w:sz w:val="28"/>
          <w:szCs w:val="28"/>
          <w:lang w:val="en-US" w:eastAsia="zh-CN"/>
        </w:rPr>
        <w:t>废渣堆</w:t>
      </w:r>
      <w:r>
        <w:rPr>
          <w:rFonts w:hint="eastAsia" w:eastAsiaTheme="minorEastAsia"/>
          <w:color w:val="auto"/>
          <w:sz w:val="28"/>
          <w:szCs w:val="28"/>
          <w:lang w:eastAsia="zh-CN"/>
        </w:rPr>
        <w:t>、</w:t>
      </w:r>
      <w:r>
        <w:rPr>
          <w:rFonts w:hint="eastAsia" w:eastAsiaTheme="minorEastAsia"/>
          <w:color w:val="auto"/>
          <w:sz w:val="28"/>
          <w:szCs w:val="28"/>
        </w:rPr>
        <w:t>2#</w:t>
      </w:r>
      <w:r>
        <w:rPr>
          <w:rFonts w:hint="eastAsia" w:eastAsiaTheme="minorEastAsia"/>
          <w:color w:val="auto"/>
          <w:sz w:val="28"/>
          <w:szCs w:val="28"/>
          <w:lang w:val="en-US" w:eastAsia="zh-CN"/>
        </w:rPr>
        <w:t>废渣堆</w:t>
      </w:r>
      <w:r>
        <w:rPr>
          <w:rFonts w:hint="eastAsia" w:eastAsiaTheme="minorEastAsia"/>
          <w:color w:val="auto"/>
          <w:sz w:val="28"/>
          <w:szCs w:val="28"/>
          <w:lang w:eastAsia="zh-CN"/>
        </w:rPr>
        <w:t>、</w:t>
      </w:r>
      <w:r>
        <w:rPr>
          <w:rFonts w:hint="eastAsia" w:eastAsiaTheme="minorEastAsia"/>
          <w:color w:val="auto"/>
          <w:sz w:val="28"/>
          <w:szCs w:val="28"/>
        </w:rPr>
        <w:t>3#</w:t>
      </w:r>
      <w:r>
        <w:rPr>
          <w:rFonts w:hint="eastAsia" w:eastAsiaTheme="minorEastAsia"/>
          <w:color w:val="auto"/>
          <w:sz w:val="28"/>
          <w:szCs w:val="28"/>
          <w:lang w:val="en-US" w:eastAsia="zh-CN"/>
        </w:rPr>
        <w:t>废渣堆进行削坡压脚整形，减小边坡角度利于覆土，覆土后恢复植被</w:t>
      </w:r>
      <w:r>
        <w:rPr>
          <w:rFonts w:eastAsiaTheme="minorEastAsia"/>
          <w:color w:val="auto"/>
          <w:sz w:val="28"/>
          <w:szCs w:val="28"/>
        </w:rPr>
        <w:t>；</w:t>
      </w:r>
    </w:p>
    <w:p w14:paraId="5ECE2894">
      <w:pPr>
        <w:widowControl/>
        <w:spacing w:line="360" w:lineRule="auto"/>
        <w:ind w:firstLine="560" w:firstLineChars="200"/>
        <w:rPr>
          <w:rFonts w:hint="eastAsia" w:eastAsiaTheme="minorEastAsia"/>
          <w:color w:val="auto"/>
          <w:kern w:val="0"/>
          <w:sz w:val="28"/>
          <w:szCs w:val="28"/>
          <w:lang w:eastAsia="zh-CN"/>
        </w:rPr>
      </w:pPr>
      <w:r>
        <w:rPr>
          <w:rFonts w:hint="eastAsia" w:eastAsiaTheme="minorEastAsia"/>
          <w:color w:val="auto"/>
          <w:sz w:val="28"/>
          <w:szCs w:val="28"/>
          <w:lang w:eastAsia="zh-CN"/>
        </w:rPr>
        <w:t>（</w:t>
      </w:r>
      <w:r>
        <w:rPr>
          <w:rFonts w:hint="eastAsia" w:eastAsiaTheme="minorEastAsia"/>
          <w:color w:val="auto"/>
          <w:sz w:val="28"/>
          <w:szCs w:val="28"/>
          <w:lang w:val="en-US" w:eastAsia="zh-CN"/>
        </w:rPr>
        <w:t>5</w:t>
      </w:r>
      <w:r>
        <w:rPr>
          <w:rFonts w:hint="eastAsia" w:eastAsiaTheme="minorEastAsia"/>
          <w:color w:val="auto"/>
          <w:sz w:val="28"/>
          <w:szCs w:val="28"/>
          <w:lang w:eastAsia="zh-CN"/>
        </w:rPr>
        <w:t>）</w:t>
      </w:r>
      <w:r>
        <w:rPr>
          <w:color w:val="auto"/>
          <w:kern w:val="0"/>
          <w:sz w:val="28"/>
          <w:szCs w:val="28"/>
        </w:rPr>
        <w:t>对矿区道路</w:t>
      </w:r>
      <w:r>
        <w:rPr>
          <w:rFonts w:hint="eastAsia"/>
          <w:color w:val="auto"/>
          <w:kern w:val="0"/>
          <w:sz w:val="28"/>
          <w:szCs w:val="28"/>
          <w:lang w:val="en-US" w:eastAsia="zh-CN"/>
        </w:rPr>
        <w:t>边坡进行垫坡，对形成的马道进行回填，采取以上治理措施后</w:t>
      </w:r>
      <w:r>
        <w:rPr>
          <w:rFonts w:hint="eastAsia" w:eastAsiaTheme="minorEastAsia"/>
          <w:color w:val="auto"/>
          <w:sz w:val="28"/>
          <w:szCs w:val="28"/>
          <w:lang w:val="en-US" w:eastAsia="zh-CN"/>
        </w:rPr>
        <w:t>覆土、恢复植被</w:t>
      </w:r>
      <w:r>
        <w:rPr>
          <w:rFonts w:hint="eastAsia" w:eastAsiaTheme="minorEastAsia"/>
          <w:color w:val="auto"/>
          <w:kern w:val="0"/>
          <w:sz w:val="28"/>
          <w:szCs w:val="28"/>
          <w:lang w:eastAsia="zh-CN"/>
        </w:rPr>
        <w:t>；</w:t>
      </w:r>
    </w:p>
    <w:p w14:paraId="41F0D2D7">
      <w:pPr>
        <w:spacing w:line="360" w:lineRule="auto"/>
        <w:ind w:firstLine="560" w:firstLineChars="200"/>
        <w:rPr>
          <w:rFonts w:hint="default" w:eastAsia="宋体"/>
          <w:color w:val="auto"/>
          <w:kern w:val="0"/>
          <w:sz w:val="28"/>
          <w:szCs w:val="28"/>
          <w:lang w:val="en-US" w:eastAsia="zh-CN"/>
        </w:rPr>
      </w:pPr>
      <w:r>
        <w:rPr>
          <w:rFonts w:hint="eastAsia"/>
          <w:color w:val="auto"/>
          <w:kern w:val="0"/>
          <w:sz w:val="28"/>
          <w:szCs w:val="28"/>
          <w:lang w:eastAsia="zh-CN"/>
        </w:rPr>
        <w:t>（</w:t>
      </w:r>
      <w:r>
        <w:rPr>
          <w:rFonts w:hint="eastAsia"/>
          <w:color w:val="auto"/>
          <w:kern w:val="0"/>
          <w:sz w:val="28"/>
          <w:szCs w:val="28"/>
          <w:lang w:val="en-US" w:eastAsia="zh-CN"/>
        </w:rPr>
        <w:t>6</w:t>
      </w:r>
      <w:r>
        <w:rPr>
          <w:rFonts w:hint="eastAsia"/>
          <w:color w:val="auto"/>
          <w:kern w:val="0"/>
          <w:sz w:val="28"/>
          <w:szCs w:val="28"/>
          <w:lang w:eastAsia="zh-CN"/>
        </w:rPr>
        <w:t>）</w:t>
      </w:r>
      <w:r>
        <w:rPr>
          <w:rFonts w:hint="eastAsia"/>
          <w:color w:val="auto"/>
          <w:kern w:val="0"/>
          <w:sz w:val="28"/>
          <w:szCs w:val="28"/>
          <w:lang w:val="en-US" w:eastAsia="zh-CN"/>
        </w:rPr>
        <w:t>对工业场地内平台进行拆除、清运，边坡处进行垫，场内机械设备拆除清理，采取以上治理措施后场地进行覆土恢复植被；</w:t>
      </w:r>
    </w:p>
    <w:p w14:paraId="092AABA2">
      <w:pPr>
        <w:spacing w:line="360" w:lineRule="auto"/>
        <w:ind w:firstLine="560" w:firstLineChars="200"/>
        <w:rPr>
          <w:rFonts w:hint="eastAsia" w:eastAsiaTheme="minorEastAsia"/>
          <w:color w:val="auto"/>
          <w:kern w:val="0"/>
          <w:sz w:val="28"/>
          <w:szCs w:val="28"/>
          <w:lang w:eastAsia="zh-CN"/>
        </w:rPr>
      </w:pPr>
      <w:r>
        <w:rPr>
          <w:rFonts w:hint="eastAsia"/>
          <w:color w:val="auto"/>
          <w:kern w:val="0"/>
          <w:sz w:val="28"/>
          <w:szCs w:val="28"/>
          <w:lang w:val="en-US" w:eastAsia="zh-CN"/>
        </w:rPr>
        <w:t>（7）根据窑沟门村委会意见，办公生活区、变压器进行保留，不设计治理工程</w:t>
      </w:r>
      <w:r>
        <w:rPr>
          <w:rFonts w:hint="eastAsia" w:eastAsiaTheme="minorEastAsia"/>
          <w:color w:val="auto"/>
          <w:sz w:val="28"/>
          <w:szCs w:val="28"/>
          <w:lang w:val="en-US" w:eastAsia="zh-CN"/>
        </w:rPr>
        <w:t>措施；</w:t>
      </w:r>
    </w:p>
    <w:p w14:paraId="59AB73EE">
      <w:pPr>
        <w:widowControl/>
        <w:spacing w:line="360" w:lineRule="auto"/>
        <w:ind w:firstLine="560" w:firstLineChars="200"/>
        <w:rPr>
          <w:color w:val="auto"/>
          <w:kern w:val="0"/>
          <w:sz w:val="28"/>
          <w:szCs w:val="28"/>
        </w:rPr>
      </w:pPr>
    </w:p>
    <w:p w14:paraId="3742DD54">
      <w:pPr>
        <w:pStyle w:val="3"/>
        <w:spacing w:before="120" w:beforeLines="50"/>
        <w:rPr>
          <w:rFonts w:ascii="Times New Roman" w:hAnsi="Times New Roman"/>
          <w:color w:val="auto"/>
        </w:rPr>
      </w:pPr>
      <w:r>
        <w:rPr>
          <w:rFonts w:ascii="Times New Roman" w:hAnsi="Times New Roman"/>
          <w:color w:val="auto"/>
        </w:rPr>
        <w:t>第三节  生态修复分区及修复时序安排</w:t>
      </w:r>
      <w:bookmarkEnd w:id="72"/>
    </w:p>
    <w:p w14:paraId="1B31B550">
      <w:pPr>
        <w:pStyle w:val="44"/>
        <w:spacing w:line="360" w:lineRule="auto"/>
        <w:ind w:firstLine="562" w:firstLineChars="200"/>
        <w:jc w:val="both"/>
        <w:outlineLvl w:val="2"/>
        <w:rPr>
          <w:rFonts w:ascii="Times New Roman" w:cs="Times New Roman"/>
          <w:b/>
          <w:bCs/>
          <w:color w:val="auto"/>
          <w:sz w:val="28"/>
          <w:szCs w:val="28"/>
        </w:rPr>
      </w:pPr>
      <w:r>
        <w:rPr>
          <w:rFonts w:ascii="Times New Roman" w:cs="Times New Roman"/>
          <w:b/>
          <w:bCs/>
          <w:color w:val="auto"/>
          <w:sz w:val="28"/>
          <w:szCs w:val="28"/>
        </w:rPr>
        <w:t>一、矿区生态修复分区</w:t>
      </w:r>
    </w:p>
    <w:p w14:paraId="5D0570B6">
      <w:pPr>
        <w:spacing w:line="360" w:lineRule="auto"/>
        <w:ind w:firstLine="562" w:firstLineChars="200"/>
        <w:outlineLvl w:val="3"/>
        <w:rPr>
          <w:rFonts w:eastAsiaTheme="minorEastAsia"/>
          <w:b/>
          <w:bCs/>
          <w:color w:val="auto"/>
          <w:sz w:val="28"/>
          <w:szCs w:val="28"/>
        </w:rPr>
      </w:pPr>
      <w:r>
        <w:rPr>
          <w:rFonts w:eastAsiaTheme="minorEastAsia"/>
          <w:b/>
          <w:bCs/>
          <w:color w:val="auto"/>
          <w:sz w:val="28"/>
          <w:szCs w:val="28"/>
        </w:rPr>
        <w:t>（一）分区原则及方法</w:t>
      </w:r>
    </w:p>
    <w:p w14:paraId="34C1EE3A">
      <w:pPr>
        <w:pStyle w:val="44"/>
        <w:spacing w:line="360" w:lineRule="auto"/>
        <w:ind w:firstLine="560" w:firstLineChars="200"/>
        <w:jc w:val="both"/>
        <w:rPr>
          <w:rFonts w:ascii="Times New Roman" w:cs="Times New Roman"/>
          <w:color w:val="auto"/>
          <w:sz w:val="28"/>
          <w:szCs w:val="28"/>
        </w:rPr>
      </w:pPr>
      <w:r>
        <w:rPr>
          <w:rFonts w:ascii="Times New Roman" w:cs="Times New Roman"/>
          <w:color w:val="auto"/>
          <w:sz w:val="28"/>
          <w:szCs w:val="28"/>
        </w:rPr>
        <w:t>矿区生态环境具有自然、社会和资源三重属性，因此，矿区生态修复分区原则首先要坚持“以人为本”，根据矿山开发生态环境影响程度级别，充分考虑地质环境影响、土地损毁、生态受损与退化等现状和预测评估情况，结合矿山生产影响对象的重要程度及造成的损失大小，按照危害程度、轻重缓急，对矿区生态修复的问题分期、分阶段治理，进行分区、规划。</w:t>
      </w:r>
    </w:p>
    <w:p w14:paraId="0EDD076E">
      <w:pPr>
        <w:pStyle w:val="44"/>
        <w:spacing w:line="360" w:lineRule="auto"/>
        <w:ind w:firstLine="560" w:firstLineChars="200"/>
        <w:rPr>
          <w:rFonts w:ascii="Times New Roman" w:cs="Times New Roman"/>
          <w:color w:val="auto"/>
          <w:sz w:val="28"/>
          <w:szCs w:val="28"/>
        </w:rPr>
      </w:pPr>
      <w:r>
        <w:rPr>
          <w:rFonts w:ascii="Times New Roman" w:cs="Times New Roman"/>
          <w:color w:val="auto"/>
          <w:sz w:val="28"/>
          <w:szCs w:val="28"/>
        </w:rPr>
        <w:t>本次矿区生态修复主要侧重于矿山开采后对矿区地质环境影响程度、土地只有损毁程度、生态系统受损程度等，根据矿山开采设计、规划、矿区地质环境及生态环境问题的类型、规模和危害程度，矿区生态修复分区遵循以下原则：</w:t>
      </w:r>
    </w:p>
    <w:p w14:paraId="5072D110">
      <w:pPr>
        <w:pStyle w:val="44"/>
        <w:spacing w:line="360" w:lineRule="auto"/>
        <w:ind w:firstLine="560" w:firstLineChars="200"/>
        <w:rPr>
          <w:rFonts w:ascii="Times New Roman" w:cs="Times New Roman"/>
          <w:color w:val="auto"/>
          <w:sz w:val="28"/>
          <w:szCs w:val="28"/>
        </w:rPr>
      </w:pPr>
      <w:r>
        <w:rPr>
          <w:rFonts w:ascii="Times New Roman" w:cs="Times New Roman"/>
          <w:color w:val="auto"/>
          <w:sz w:val="28"/>
          <w:szCs w:val="28"/>
        </w:rPr>
        <w:t>①矿区生态修复分区包括整个矿区生态修复影响范围；</w:t>
      </w:r>
    </w:p>
    <w:p w14:paraId="5FCB454D">
      <w:pPr>
        <w:pStyle w:val="44"/>
        <w:spacing w:line="360" w:lineRule="auto"/>
        <w:ind w:firstLine="560" w:firstLineChars="200"/>
        <w:rPr>
          <w:rFonts w:ascii="Times New Roman" w:cs="Times New Roman"/>
          <w:color w:val="auto"/>
          <w:sz w:val="28"/>
          <w:szCs w:val="28"/>
        </w:rPr>
      </w:pPr>
      <w:r>
        <w:rPr>
          <w:rFonts w:ascii="Times New Roman" w:cs="Times New Roman"/>
          <w:color w:val="auto"/>
          <w:sz w:val="28"/>
          <w:szCs w:val="28"/>
        </w:rPr>
        <w:t>②矿区生态修复方案分区因素包括矿山地质灾害、采矿活动对含水层的影响、采矿活动对地形地貌景观的破坏、土地损毁、采矿活动对水土环境污染的影响、采矿活动对生态破坏等，依据上述因素的危害或影响程度进行分区；</w:t>
      </w:r>
    </w:p>
    <w:p w14:paraId="142E89CB">
      <w:pPr>
        <w:pStyle w:val="44"/>
        <w:spacing w:line="360" w:lineRule="auto"/>
        <w:ind w:firstLine="560" w:firstLineChars="200"/>
        <w:rPr>
          <w:rFonts w:ascii="Times New Roman" w:cs="Times New Roman"/>
          <w:color w:val="auto"/>
          <w:sz w:val="28"/>
          <w:szCs w:val="28"/>
        </w:rPr>
      </w:pPr>
      <w:r>
        <w:rPr>
          <w:rFonts w:ascii="Times New Roman" w:cs="Times New Roman"/>
          <w:color w:val="auto"/>
          <w:sz w:val="28"/>
          <w:szCs w:val="28"/>
        </w:rPr>
        <w:t>③坚持以矿区地质环境及矿区生态环境现状评估结果、预测评估结果作为分区主导因素的原则；</w:t>
      </w:r>
    </w:p>
    <w:p w14:paraId="5868FD06">
      <w:pPr>
        <w:pStyle w:val="44"/>
        <w:spacing w:line="360" w:lineRule="auto"/>
        <w:ind w:firstLine="560" w:firstLineChars="200"/>
        <w:rPr>
          <w:rFonts w:ascii="Times New Roman" w:cs="Times New Roman"/>
          <w:color w:val="auto"/>
          <w:sz w:val="28"/>
          <w:szCs w:val="28"/>
        </w:rPr>
      </w:pPr>
      <w:r>
        <w:rPr>
          <w:rFonts w:ascii="Times New Roman" w:cs="Times New Roman"/>
          <w:color w:val="auto"/>
          <w:sz w:val="28"/>
          <w:szCs w:val="28"/>
        </w:rPr>
        <w:t>④坚持“就大不就小、就高不就低、区内相似、区间相异”的原则；</w:t>
      </w:r>
    </w:p>
    <w:p w14:paraId="4EBFA592">
      <w:pPr>
        <w:pStyle w:val="44"/>
        <w:spacing w:line="360" w:lineRule="auto"/>
        <w:ind w:firstLine="560" w:firstLineChars="200"/>
        <w:rPr>
          <w:rFonts w:ascii="Times New Roman" w:cs="Times New Roman"/>
          <w:color w:val="auto"/>
          <w:sz w:val="28"/>
          <w:szCs w:val="28"/>
        </w:rPr>
      </w:pPr>
      <w:r>
        <w:rPr>
          <w:rFonts w:ascii="Times New Roman" w:cs="Times New Roman"/>
          <w:color w:val="auto"/>
          <w:sz w:val="28"/>
          <w:szCs w:val="28"/>
        </w:rPr>
        <w:t>⑤坚持“以人为本”搬迁避让与防治工程建设相结合的原则；</w:t>
      </w:r>
    </w:p>
    <w:p w14:paraId="293FBC70">
      <w:pPr>
        <w:pStyle w:val="44"/>
        <w:spacing w:line="360" w:lineRule="auto"/>
        <w:ind w:firstLine="560" w:firstLineChars="200"/>
        <w:jc w:val="both"/>
        <w:rPr>
          <w:rFonts w:ascii="Times New Roman" w:cs="Times New Roman"/>
          <w:color w:val="auto"/>
          <w:sz w:val="28"/>
          <w:szCs w:val="28"/>
        </w:rPr>
      </w:pPr>
      <w:r>
        <w:rPr>
          <w:rFonts w:ascii="Times New Roman" w:cs="Times New Roman"/>
          <w:color w:val="auto"/>
          <w:sz w:val="28"/>
          <w:szCs w:val="28"/>
        </w:rPr>
        <w:t>⑥坚持定性和定量相结合的原则。</w:t>
      </w:r>
    </w:p>
    <w:p w14:paraId="0D2CEBD5">
      <w:pPr>
        <w:spacing w:line="360" w:lineRule="auto"/>
        <w:ind w:firstLine="562" w:firstLineChars="200"/>
        <w:outlineLvl w:val="3"/>
        <w:rPr>
          <w:rFonts w:eastAsiaTheme="minorEastAsia"/>
          <w:b/>
          <w:bCs/>
          <w:color w:val="auto"/>
          <w:sz w:val="28"/>
          <w:szCs w:val="28"/>
        </w:rPr>
      </w:pPr>
      <w:r>
        <w:rPr>
          <w:rFonts w:eastAsiaTheme="minorEastAsia"/>
          <w:b/>
          <w:bCs/>
          <w:color w:val="auto"/>
          <w:sz w:val="28"/>
          <w:szCs w:val="28"/>
        </w:rPr>
        <w:t>（二）分区结果</w:t>
      </w:r>
    </w:p>
    <w:p w14:paraId="0F600760">
      <w:pPr>
        <w:pStyle w:val="44"/>
        <w:spacing w:line="360" w:lineRule="auto"/>
        <w:ind w:firstLine="560" w:firstLineChars="200"/>
        <w:jc w:val="both"/>
        <w:rPr>
          <w:rFonts w:ascii="Times New Roman" w:cs="Times New Roman"/>
          <w:color w:val="auto"/>
          <w:sz w:val="28"/>
          <w:szCs w:val="28"/>
        </w:rPr>
      </w:pPr>
      <w:r>
        <w:rPr>
          <w:rFonts w:ascii="Times New Roman" w:cs="Times New Roman"/>
          <w:color w:val="auto"/>
          <w:sz w:val="28"/>
          <w:szCs w:val="28"/>
        </w:rPr>
        <w:t>根据现状与预测的矿区地质环境影响程度、土地只有损毁程度、生态系统受损程度评价结果，对矿区生态修复分区如下：</w:t>
      </w:r>
    </w:p>
    <w:p w14:paraId="72079BCE">
      <w:pPr>
        <w:jc w:val="center"/>
        <w:rPr>
          <w:rFonts w:eastAsia="黑体"/>
          <w:color w:val="auto"/>
          <w:sz w:val="24"/>
          <w:szCs w:val="24"/>
        </w:rPr>
      </w:pPr>
      <w:r>
        <w:rPr>
          <w:rFonts w:eastAsia="黑体"/>
          <w:color w:val="auto"/>
          <w:sz w:val="24"/>
          <w:szCs w:val="24"/>
        </w:rPr>
        <w:t>表3-</w:t>
      </w:r>
      <w:r>
        <w:rPr>
          <w:rFonts w:hint="eastAsia" w:eastAsia="黑体"/>
          <w:color w:val="auto"/>
          <w:sz w:val="24"/>
          <w:szCs w:val="24"/>
          <w:lang w:val="en-US" w:eastAsia="zh-CN"/>
        </w:rPr>
        <w:t xml:space="preserve">35 </w:t>
      </w:r>
      <w:r>
        <w:rPr>
          <w:rFonts w:eastAsia="黑体"/>
          <w:color w:val="auto"/>
          <w:sz w:val="24"/>
          <w:szCs w:val="24"/>
        </w:rPr>
        <w:t xml:space="preserve">  矿区生态修复分区表 </w:t>
      </w:r>
    </w:p>
    <w:p w14:paraId="741AA211">
      <w:pPr>
        <w:pStyle w:val="71"/>
        <w:spacing w:line="360" w:lineRule="auto"/>
        <w:jc w:val="left"/>
        <w:rPr>
          <w:rFonts w:hint="default" w:ascii="Times New Roman" w:hAnsi="Times New Roman" w:eastAsia="黑体" w:cs="Times New Roman"/>
          <w:color w:val="auto"/>
          <w:sz w:val="21"/>
          <w:szCs w:val="21"/>
          <w:lang w:val="en-US" w:eastAsia="zh-CN"/>
        </w:rPr>
      </w:pPr>
      <w:bookmarkStart w:id="104" w:name="_GoBack"/>
      <w:bookmarkEnd w:id="104"/>
      <w:r>
        <w:rPr>
          <w:rFonts w:hint="eastAsia" w:ascii="Times New Roman" w:hAnsi="Times New Roman" w:eastAsia="黑体" w:cs="Times New Roman"/>
          <w:color w:val="auto"/>
          <w:sz w:val="21"/>
          <w:szCs w:val="21"/>
          <w:lang w:val="en-US" w:eastAsia="zh-CN"/>
        </w:rPr>
        <w:t>注：窑沟门村要求办公生活区、变压器保留，村集体使用，本次不设计治理。</w:t>
      </w:r>
    </w:p>
    <w:p w14:paraId="703CC468">
      <w:pPr>
        <w:spacing w:line="360" w:lineRule="auto"/>
        <w:ind w:firstLine="562" w:firstLineChars="200"/>
        <w:outlineLvl w:val="3"/>
        <w:rPr>
          <w:rFonts w:eastAsiaTheme="minorEastAsia"/>
          <w:b/>
          <w:bCs/>
          <w:color w:val="auto"/>
          <w:sz w:val="28"/>
          <w:szCs w:val="28"/>
        </w:rPr>
      </w:pPr>
      <w:r>
        <w:rPr>
          <w:rFonts w:eastAsiaTheme="minorEastAsia"/>
          <w:b/>
          <w:bCs/>
          <w:color w:val="auto"/>
          <w:sz w:val="28"/>
          <w:szCs w:val="28"/>
        </w:rPr>
        <w:t>（三）分区描述</w:t>
      </w:r>
    </w:p>
    <w:p w14:paraId="6647B2E7">
      <w:pPr>
        <w:pStyle w:val="44"/>
        <w:spacing w:line="360" w:lineRule="auto"/>
        <w:ind w:firstLine="560" w:firstLineChars="200"/>
        <w:jc w:val="both"/>
        <w:rPr>
          <w:rFonts w:ascii="Times New Roman" w:cs="Times New Roman"/>
          <w:color w:val="auto"/>
          <w:sz w:val="28"/>
          <w:szCs w:val="28"/>
        </w:rPr>
      </w:pPr>
      <w:r>
        <w:rPr>
          <w:rFonts w:ascii="Times New Roman" w:cs="Times New Roman"/>
          <w:color w:val="auto"/>
          <w:sz w:val="28"/>
          <w:szCs w:val="28"/>
        </w:rPr>
        <w:t>重点防治区（Ⅰ）：为矿山生态环境影响程度现状评估与预测评估为严重区的区域，面积</w:t>
      </w:r>
      <w:r>
        <w:rPr>
          <w:rFonts w:hint="eastAsia" w:ascii="Times New Roman" w:cs="Times New Roman"/>
          <w:color w:val="auto"/>
          <w:sz w:val="28"/>
          <w:szCs w:val="28"/>
          <w:lang w:val="en-US" w:eastAsia="zh-CN"/>
        </w:rPr>
        <w:t>4.9282</w:t>
      </w:r>
      <w:r>
        <w:rPr>
          <w:rFonts w:hint="eastAsia" w:ascii="Times New Roman" w:cs="Times New Roman"/>
          <w:color w:val="auto"/>
          <w:sz w:val="28"/>
          <w:szCs w:val="28"/>
        </w:rPr>
        <w:t>h</w:t>
      </w:r>
      <w:r>
        <w:rPr>
          <w:rFonts w:ascii="Times New Roman" w:cs="Times New Roman"/>
          <w:color w:val="auto"/>
          <w:sz w:val="28"/>
          <w:szCs w:val="28"/>
        </w:rPr>
        <w:t>m</w:t>
      </w:r>
      <w:r>
        <w:rPr>
          <w:rFonts w:ascii="Times New Roman" w:cs="Times New Roman"/>
          <w:color w:val="auto"/>
          <w:sz w:val="28"/>
          <w:szCs w:val="28"/>
          <w:vertAlign w:val="superscript"/>
        </w:rPr>
        <w:t>2</w:t>
      </w:r>
      <w:r>
        <w:rPr>
          <w:rFonts w:ascii="Times New Roman" w:cs="Times New Roman"/>
          <w:color w:val="auto"/>
          <w:sz w:val="28"/>
          <w:szCs w:val="28"/>
        </w:rPr>
        <w:t>，存在的地质环境问题主要为</w:t>
      </w:r>
      <w:r>
        <w:rPr>
          <w:rFonts w:hint="eastAsia" w:ascii="Times New Roman" w:cs="Times New Roman"/>
          <w:color w:val="auto"/>
          <w:sz w:val="28"/>
          <w:szCs w:val="28"/>
          <w:lang w:val="en-US" w:eastAsia="zh-CN"/>
        </w:rPr>
        <w:t>露天采场、2#废石场边坡可能</w:t>
      </w:r>
      <w:r>
        <w:rPr>
          <w:rFonts w:ascii="Times New Roman" w:cs="Times New Roman"/>
          <w:color w:val="auto"/>
          <w:sz w:val="28"/>
          <w:szCs w:val="28"/>
        </w:rPr>
        <w:t>引发</w:t>
      </w:r>
      <w:r>
        <w:rPr>
          <w:rFonts w:hint="eastAsia" w:ascii="Times New Roman" w:cs="Times New Roman"/>
          <w:color w:val="auto"/>
          <w:sz w:val="28"/>
          <w:szCs w:val="28"/>
          <w:lang w:val="en-US" w:eastAsia="zh-CN"/>
        </w:rPr>
        <w:t>崩塌、滑坡</w:t>
      </w:r>
      <w:r>
        <w:rPr>
          <w:rFonts w:ascii="Times New Roman" w:cs="Times New Roman"/>
          <w:color w:val="auto"/>
          <w:sz w:val="28"/>
          <w:szCs w:val="28"/>
        </w:rPr>
        <w:t>地质灾害；</w:t>
      </w:r>
      <w:r>
        <w:rPr>
          <w:rFonts w:hint="eastAsia" w:ascii="Times New Roman" w:cs="Times New Roman"/>
          <w:color w:val="auto"/>
          <w:sz w:val="28"/>
          <w:szCs w:val="28"/>
          <w:lang w:val="en-US" w:eastAsia="zh-CN"/>
        </w:rPr>
        <w:t>露天采场、2#废石场</w:t>
      </w:r>
      <w:r>
        <w:rPr>
          <w:rFonts w:ascii="Times New Roman" w:cs="Times New Roman"/>
          <w:color w:val="auto"/>
          <w:sz w:val="28"/>
          <w:szCs w:val="28"/>
        </w:rPr>
        <w:t>对原有地形地貌造成了损毁；土地资源问题为上述场地经挖损、压占，对土地造成重度损毁；生态系统受损问题为植被损毁程度</w:t>
      </w:r>
      <w:r>
        <w:rPr>
          <w:rFonts w:hint="eastAsia" w:ascii="Times New Roman" w:cs="Times New Roman"/>
          <w:color w:val="auto"/>
          <w:sz w:val="28"/>
          <w:szCs w:val="28"/>
          <w:lang w:val="en-US" w:eastAsia="zh-CN"/>
        </w:rPr>
        <w:t>较</w:t>
      </w:r>
      <w:r>
        <w:rPr>
          <w:rFonts w:ascii="Times New Roman" w:cs="Times New Roman"/>
          <w:color w:val="auto"/>
          <w:sz w:val="28"/>
          <w:szCs w:val="28"/>
        </w:rPr>
        <w:t>严重，导致生物多样性丧失，加剧水土流失问题，生态系统受损程度为较严重。</w:t>
      </w:r>
    </w:p>
    <w:p w14:paraId="67A74220">
      <w:pPr>
        <w:pStyle w:val="44"/>
        <w:spacing w:line="360" w:lineRule="auto"/>
        <w:ind w:firstLine="560" w:firstLineChars="200"/>
        <w:jc w:val="both"/>
        <w:rPr>
          <w:rFonts w:ascii="Times New Roman" w:cs="Times New Roman"/>
          <w:color w:val="auto"/>
          <w:sz w:val="28"/>
          <w:szCs w:val="28"/>
        </w:rPr>
      </w:pPr>
      <w:r>
        <w:rPr>
          <w:rFonts w:ascii="Times New Roman" w:cs="Times New Roman"/>
          <w:color w:val="auto"/>
          <w:sz w:val="28"/>
          <w:szCs w:val="28"/>
        </w:rPr>
        <w:t>次重点防治区（Ⅱ）：为矿山生态环境影响程度现状评估与预测评估为较严重区的区域，面积</w:t>
      </w:r>
      <w:r>
        <w:rPr>
          <w:rFonts w:hint="eastAsia" w:ascii="Times New Roman" w:cs="Times New Roman"/>
          <w:color w:val="auto"/>
          <w:sz w:val="28"/>
          <w:szCs w:val="28"/>
          <w:lang w:val="en-US" w:eastAsia="zh-CN"/>
        </w:rPr>
        <w:t>2.840</w:t>
      </w:r>
      <w:r>
        <w:rPr>
          <w:rFonts w:hint="eastAsia" w:cs="Times New Roman"/>
          <w:color w:val="auto"/>
          <w:sz w:val="28"/>
          <w:szCs w:val="28"/>
          <w:lang w:val="en-US" w:eastAsia="zh-CN"/>
        </w:rPr>
        <w:t>6</w:t>
      </w:r>
      <w:r>
        <w:rPr>
          <w:rFonts w:hint="eastAsia" w:ascii="Times New Roman" w:cs="Times New Roman"/>
          <w:color w:val="auto"/>
          <w:sz w:val="28"/>
          <w:szCs w:val="28"/>
        </w:rPr>
        <w:t>h</w:t>
      </w:r>
      <w:r>
        <w:rPr>
          <w:rFonts w:ascii="Times New Roman" w:cs="Times New Roman"/>
          <w:color w:val="auto"/>
          <w:sz w:val="28"/>
          <w:szCs w:val="28"/>
        </w:rPr>
        <w:t>m</w:t>
      </w:r>
      <w:r>
        <w:rPr>
          <w:rFonts w:ascii="Times New Roman" w:cs="Times New Roman"/>
          <w:color w:val="auto"/>
          <w:sz w:val="28"/>
          <w:szCs w:val="28"/>
          <w:vertAlign w:val="superscript"/>
        </w:rPr>
        <w:t>2</w:t>
      </w:r>
      <w:r>
        <w:rPr>
          <w:rFonts w:ascii="Times New Roman" w:cs="Times New Roman"/>
          <w:color w:val="auto"/>
          <w:sz w:val="28"/>
          <w:szCs w:val="28"/>
        </w:rPr>
        <w:t>，地质环境问题主要为</w:t>
      </w:r>
      <w:r>
        <w:rPr>
          <w:rFonts w:hint="eastAsia" w:ascii="Times New Roman" w:cs="Times New Roman"/>
          <w:color w:val="auto"/>
          <w:sz w:val="28"/>
          <w:szCs w:val="28"/>
          <w:lang w:val="en-US" w:eastAsia="zh-CN"/>
        </w:rPr>
        <w:t>1#废石场、1#废渣堆、2#废渣堆、3#废渣堆、工业场地、矿区道路、办公生活区、变压器</w:t>
      </w:r>
      <w:r>
        <w:rPr>
          <w:rFonts w:ascii="Times New Roman" w:cs="Times New Roman"/>
          <w:color w:val="auto"/>
          <w:sz w:val="28"/>
          <w:szCs w:val="28"/>
        </w:rPr>
        <w:t>对原有地形地貌造成了损毁，损毁程度为较严重；土地资源问题为上述场地对土地造成压占损毁，损毁程度为中度；生态系统问题为植被损毁程度较严重，导致生物多样性丧失，加剧水土流失问题，生态系统受损程度为较严重。</w:t>
      </w:r>
    </w:p>
    <w:p w14:paraId="2C8AF8F6">
      <w:pPr>
        <w:pStyle w:val="44"/>
        <w:spacing w:line="360" w:lineRule="auto"/>
        <w:ind w:firstLine="560" w:firstLineChars="200"/>
        <w:jc w:val="both"/>
        <w:rPr>
          <w:color w:val="auto"/>
          <w:sz w:val="28"/>
          <w:szCs w:val="28"/>
        </w:rPr>
      </w:pPr>
      <w:r>
        <w:rPr>
          <w:rFonts w:ascii="Times New Roman" w:cs="Times New Roman"/>
          <w:color w:val="auto"/>
          <w:sz w:val="28"/>
          <w:szCs w:val="28"/>
        </w:rPr>
        <w:t>一般防治区（Ⅲ）：为矿山生态环境影响程度现状评估与预测评估为较轻区的区域，面积</w:t>
      </w:r>
      <w:r>
        <w:rPr>
          <w:rFonts w:hint="eastAsia" w:ascii="Times New Roman" w:cs="Times New Roman"/>
          <w:color w:val="auto"/>
          <w:sz w:val="28"/>
          <w:szCs w:val="28"/>
          <w:lang w:val="en-US" w:eastAsia="zh-CN"/>
        </w:rPr>
        <w:t>1.2302</w:t>
      </w:r>
      <w:r>
        <w:rPr>
          <w:rFonts w:hint="eastAsia" w:ascii="Times New Roman" w:cs="Times New Roman"/>
          <w:color w:val="auto"/>
          <w:sz w:val="28"/>
          <w:szCs w:val="28"/>
        </w:rPr>
        <w:t>h</w:t>
      </w:r>
      <w:r>
        <w:rPr>
          <w:rFonts w:ascii="Times New Roman" w:cs="Times New Roman"/>
          <w:color w:val="auto"/>
          <w:sz w:val="28"/>
          <w:szCs w:val="28"/>
        </w:rPr>
        <w:t>m</w:t>
      </w:r>
      <w:r>
        <w:rPr>
          <w:rFonts w:ascii="Times New Roman" w:cs="Times New Roman"/>
          <w:color w:val="auto"/>
          <w:sz w:val="28"/>
          <w:szCs w:val="28"/>
          <w:vertAlign w:val="superscript"/>
        </w:rPr>
        <w:t>2</w:t>
      </w:r>
      <w:r>
        <w:rPr>
          <w:rFonts w:ascii="Times New Roman" w:cs="Times New Roman"/>
          <w:color w:val="auto"/>
          <w:sz w:val="28"/>
          <w:szCs w:val="28"/>
        </w:rPr>
        <w:t>，矿山开采在此区域引发地质灾害的可能性小，危险性小，基本不存在地质环境问题，对矿山地质环境影响破坏程度较轻，对土地资源损毁程度较轻，生态系统受损程度较轻。</w:t>
      </w:r>
    </w:p>
    <w:p w14:paraId="6A7DCBFB">
      <w:pPr>
        <w:jc w:val="center"/>
        <w:rPr>
          <w:rFonts w:hint="eastAsia" w:ascii="宋体" w:hAnsi="宋体" w:cs="宋体"/>
          <w:b/>
          <w:bCs/>
          <w:color w:val="auto"/>
          <w:sz w:val="24"/>
          <w:szCs w:val="24"/>
        </w:rPr>
        <w:sectPr>
          <w:headerReference r:id="rId16" w:type="default"/>
          <w:pgSz w:w="11906" w:h="16838"/>
          <w:pgMar w:top="1219" w:right="1797" w:bottom="1440" w:left="1797" w:header="851" w:footer="992" w:gutter="0"/>
          <w:pgNumType w:fmt="decimal"/>
          <w:cols w:space="720" w:num="1"/>
          <w:docGrid w:linePitch="312" w:charSpace="0"/>
        </w:sectPr>
      </w:pPr>
    </w:p>
    <w:p w14:paraId="77075B7C">
      <w:pPr>
        <w:jc w:val="center"/>
        <w:rPr>
          <w:rFonts w:hint="eastAsia" w:ascii="黑体" w:hAnsi="黑体" w:eastAsia="黑体" w:cs="宋体"/>
          <w:color w:val="auto"/>
          <w:sz w:val="24"/>
          <w:szCs w:val="24"/>
        </w:rPr>
      </w:pPr>
      <w:r>
        <w:rPr>
          <w:rFonts w:hint="eastAsia" w:ascii="黑体" w:hAnsi="黑体" w:eastAsia="黑体" w:cs="宋体"/>
          <w:color w:val="auto"/>
          <w:sz w:val="24"/>
          <w:szCs w:val="24"/>
        </w:rPr>
        <w:t>表</w:t>
      </w:r>
      <w:r>
        <w:rPr>
          <w:rFonts w:ascii="黑体" w:hAnsi="黑体" w:eastAsia="黑体" w:cs="宋体"/>
          <w:color w:val="auto"/>
          <w:sz w:val="24"/>
          <w:szCs w:val="24"/>
        </w:rPr>
        <w:t>3-</w:t>
      </w:r>
      <w:r>
        <w:rPr>
          <w:rFonts w:hint="eastAsia" w:ascii="黑体" w:hAnsi="黑体" w:eastAsia="黑体" w:cs="宋体"/>
          <w:color w:val="auto"/>
          <w:sz w:val="24"/>
          <w:szCs w:val="24"/>
          <w:lang w:val="en-US" w:eastAsia="zh-CN"/>
        </w:rPr>
        <w:t>36</w:t>
      </w:r>
      <w:r>
        <w:rPr>
          <w:rFonts w:hint="eastAsia" w:ascii="黑体" w:hAnsi="黑体" w:eastAsia="黑体" w:cs="宋体"/>
          <w:color w:val="auto"/>
          <w:sz w:val="24"/>
          <w:szCs w:val="24"/>
        </w:rPr>
        <w:t xml:space="preserve">  矿区生态修复分区说明表</w:t>
      </w:r>
    </w:p>
    <w:tbl>
      <w:tblPr>
        <w:tblStyle w:val="34"/>
        <w:tblW w:w="497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
        <w:gridCol w:w="924"/>
        <w:gridCol w:w="1112"/>
        <w:gridCol w:w="869"/>
        <w:gridCol w:w="2875"/>
        <w:gridCol w:w="706"/>
        <w:gridCol w:w="740"/>
        <w:gridCol w:w="805"/>
        <w:gridCol w:w="2456"/>
        <w:gridCol w:w="1622"/>
        <w:gridCol w:w="1129"/>
      </w:tblGrid>
      <w:tr w14:paraId="3BE3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5" w:type="pct"/>
            <w:gridSpan w:val="2"/>
            <w:vMerge w:val="restart"/>
            <w:vAlign w:val="center"/>
          </w:tcPr>
          <w:p w14:paraId="704D9530">
            <w:pPr>
              <w:widowControl/>
              <w:jc w:val="center"/>
              <w:rPr>
                <w:rFonts w:hint="eastAsia" w:ascii="宋体" w:hAnsi="宋体" w:cs="宋体"/>
                <w:color w:val="auto"/>
                <w:szCs w:val="21"/>
              </w:rPr>
            </w:pPr>
            <w:r>
              <w:rPr>
                <w:rFonts w:hint="eastAsia" w:ascii="宋体" w:hAnsi="宋体" w:cs="宋体"/>
                <w:color w:val="auto"/>
                <w:kern w:val="0"/>
                <w:szCs w:val="21"/>
              </w:rPr>
              <w:t>生态修复防治分区</w:t>
            </w:r>
          </w:p>
        </w:tc>
        <w:tc>
          <w:tcPr>
            <w:tcW w:w="394" w:type="pct"/>
            <w:vMerge w:val="restart"/>
            <w:vAlign w:val="center"/>
          </w:tcPr>
          <w:p w14:paraId="6B613710">
            <w:pPr>
              <w:widowControl/>
              <w:jc w:val="center"/>
              <w:rPr>
                <w:rFonts w:hint="eastAsia" w:ascii="宋体" w:hAnsi="宋体" w:cs="宋体"/>
                <w:color w:val="auto"/>
                <w:szCs w:val="21"/>
              </w:rPr>
            </w:pPr>
            <w:r>
              <w:rPr>
                <w:rFonts w:hint="eastAsia" w:ascii="宋体" w:hAnsi="宋体" w:cs="宋体"/>
                <w:color w:val="auto"/>
                <w:kern w:val="0"/>
                <w:szCs w:val="21"/>
              </w:rPr>
              <w:t>面积（hm</w:t>
            </w:r>
            <w:r>
              <w:rPr>
                <w:rFonts w:hint="eastAsia" w:ascii="宋体" w:hAnsi="宋体" w:cs="宋体"/>
                <w:color w:val="auto"/>
                <w:kern w:val="0"/>
                <w:szCs w:val="21"/>
                <w:vertAlign w:val="superscript"/>
              </w:rPr>
              <w:t>2</w:t>
            </w:r>
            <w:r>
              <w:rPr>
                <w:rFonts w:hint="eastAsia" w:ascii="宋体" w:hAnsi="宋体" w:cs="宋体"/>
                <w:color w:val="auto"/>
                <w:kern w:val="0"/>
                <w:szCs w:val="21"/>
              </w:rPr>
              <w:t>）</w:t>
            </w:r>
          </w:p>
        </w:tc>
        <w:tc>
          <w:tcPr>
            <w:tcW w:w="308" w:type="pct"/>
            <w:vMerge w:val="restart"/>
            <w:vAlign w:val="center"/>
          </w:tcPr>
          <w:p w14:paraId="0B8A5EEC">
            <w:pPr>
              <w:widowControl/>
              <w:jc w:val="center"/>
              <w:rPr>
                <w:rFonts w:hint="eastAsia" w:ascii="宋体" w:hAnsi="宋体" w:cs="宋体"/>
                <w:color w:val="auto"/>
                <w:szCs w:val="21"/>
              </w:rPr>
            </w:pPr>
            <w:r>
              <w:rPr>
                <w:rFonts w:hint="eastAsia" w:ascii="宋体" w:hAnsi="宋体" w:cs="宋体"/>
                <w:color w:val="auto"/>
                <w:kern w:val="0"/>
                <w:szCs w:val="21"/>
              </w:rPr>
              <w:t>生态修复分区</w:t>
            </w:r>
          </w:p>
        </w:tc>
        <w:tc>
          <w:tcPr>
            <w:tcW w:w="1018" w:type="pct"/>
            <w:vMerge w:val="restart"/>
            <w:vAlign w:val="center"/>
          </w:tcPr>
          <w:p w14:paraId="56682BD2">
            <w:pPr>
              <w:widowControl/>
              <w:jc w:val="center"/>
              <w:rPr>
                <w:rFonts w:hint="eastAsia" w:ascii="宋体" w:hAnsi="宋体" w:cs="宋体"/>
                <w:color w:val="auto"/>
                <w:szCs w:val="21"/>
              </w:rPr>
            </w:pPr>
            <w:r>
              <w:rPr>
                <w:rFonts w:hint="eastAsia" w:ascii="宋体" w:hAnsi="宋体" w:cs="宋体"/>
                <w:color w:val="auto"/>
                <w:kern w:val="0"/>
                <w:szCs w:val="21"/>
              </w:rPr>
              <w:t>保护、治理的对象或范围</w:t>
            </w:r>
          </w:p>
        </w:tc>
        <w:tc>
          <w:tcPr>
            <w:tcW w:w="250" w:type="pct"/>
            <w:vMerge w:val="restart"/>
            <w:vAlign w:val="center"/>
          </w:tcPr>
          <w:p w14:paraId="7565F7F2">
            <w:pPr>
              <w:widowControl/>
              <w:jc w:val="center"/>
              <w:rPr>
                <w:rFonts w:hint="eastAsia" w:ascii="宋体" w:hAnsi="宋体" w:cs="宋体"/>
                <w:color w:val="auto"/>
                <w:kern w:val="0"/>
                <w:szCs w:val="21"/>
              </w:rPr>
            </w:pPr>
            <w:r>
              <w:rPr>
                <w:rFonts w:hint="eastAsia" w:ascii="宋体" w:hAnsi="宋体" w:cs="宋体"/>
                <w:color w:val="auto"/>
                <w:kern w:val="0"/>
                <w:szCs w:val="21"/>
              </w:rPr>
              <w:t>修复</w:t>
            </w:r>
          </w:p>
          <w:p w14:paraId="63E5E4E4">
            <w:pPr>
              <w:widowControl/>
              <w:jc w:val="center"/>
              <w:rPr>
                <w:rFonts w:hint="eastAsia" w:ascii="宋体" w:hAnsi="宋体" w:cs="宋体"/>
                <w:color w:val="auto"/>
                <w:szCs w:val="21"/>
              </w:rPr>
            </w:pPr>
            <w:r>
              <w:rPr>
                <w:rFonts w:hint="eastAsia" w:ascii="宋体" w:hAnsi="宋体" w:cs="宋体"/>
                <w:color w:val="auto"/>
                <w:kern w:val="0"/>
                <w:szCs w:val="21"/>
              </w:rPr>
              <w:t>难度</w:t>
            </w:r>
          </w:p>
        </w:tc>
        <w:tc>
          <w:tcPr>
            <w:tcW w:w="2393" w:type="pct"/>
            <w:gridSpan w:val="5"/>
            <w:vAlign w:val="center"/>
          </w:tcPr>
          <w:p w14:paraId="058AE0EA">
            <w:pPr>
              <w:widowControl/>
              <w:jc w:val="center"/>
              <w:rPr>
                <w:rFonts w:hint="eastAsia" w:ascii="宋体" w:hAnsi="宋体" w:cs="宋体"/>
                <w:color w:val="auto"/>
                <w:kern w:val="0"/>
                <w:szCs w:val="21"/>
              </w:rPr>
            </w:pPr>
            <w:r>
              <w:rPr>
                <w:rFonts w:hint="eastAsia" w:ascii="宋体" w:hAnsi="宋体" w:cs="宋体"/>
                <w:color w:val="auto"/>
                <w:kern w:val="0"/>
                <w:szCs w:val="21"/>
              </w:rPr>
              <w:t>主要防治措施</w:t>
            </w:r>
          </w:p>
        </w:tc>
      </w:tr>
      <w:tr w14:paraId="713EF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5" w:type="pct"/>
            <w:gridSpan w:val="2"/>
            <w:vMerge w:val="continue"/>
            <w:vAlign w:val="center"/>
          </w:tcPr>
          <w:p w14:paraId="12A56A1D">
            <w:pPr>
              <w:widowControl/>
              <w:jc w:val="center"/>
              <w:rPr>
                <w:rFonts w:hint="eastAsia" w:ascii="宋体" w:hAnsi="宋体" w:cs="宋体"/>
                <w:color w:val="auto"/>
                <w:kern w:val="0"/>
                <w:szCs w:val="21"/>
              </w:rPr>
            </w:pPr>
          </w:p>
        </w:tc>
        <w:tc>
          <w:tcPr>
            <w:tcW w:w="394" w:type="pct"/>
            <w:vMerge w:val="continue"/>
            <w:vAlign w:val="center"/>
          </w:tcPr>
          <w:p w14:paraId="6EE4853E">
            <w:pPr>
              <w:widowControl/>
              <w:jc w:val="center"/>
              <w:rPr>
                <w:rFonts w:hint="eastAsia" w:ascii="宋体" w:hAnsi="宋体" w:cs="宋体"/>
                <w:color w:val="auto"/>
                <w:kern w:val="0"/>
                <w:szCs w:val="21"/>
              </w:rPr>
            </w:pPr>
          </w:p>
        </w:tc>
        <w:tc>
          <w:tcPr>
            <w:tcW w:w="308" w:type="pct"/>
            <w:vMerge w:val="continue"/>
            <w:vAlign w:val="center"/>
          </w:tcPr>
          <w:p w14:paraId="4FD889E4">
            <w:pPr>
              <w:widowControl/>
              <w:jc w:val="center"/>
              <w:rPr>
                <w:rFonts w:hint="eastAsia" w:ascii="宋体" w:hAnsi="宋体" w:cs="宋体"/>
                <w:color w:val="auto"/>
                <w:kern w:val="0"/>
                <w:szCs w:val="21"/>
              </w:rPr>
            </w:pPr>
          </w:p>
        </w:tc>
        <w:tc>
          <w:tcPr>
            <w:tcW w:w="1018" w:type="pct"/>
            <w:vMerge w:val="continue"/>
            <w:vAlign w:val="center"/>
          </w:tcPr>
          <w:p w14:paraId="412EDF19">
            <w:pPr>
              <w:widowControl/>
              <w:jc w:val="center"/>
              <w:rPr>
                <w:rFonts w:hint="eastAsia" w:ascii="宋体" w:hAnsi="宋体" w:cs="宋体"/>
                <w:color w:val="auto"/>
                <w:kern w:val="0"/>
                <w:szCs w:val="21"/>
              </w:rPr>
            </w:pPr>
          </w:p>
        </w:tc>
        <w:tc>
          <w:tcPr>
            <w:tcW w:w="250" w:type="pct"/>
            <w:vMerge w:val="continue"/>
            <w:vAlign w:val="center"/>
          </w:tcPr>
          <w:p w14:paraId="3E3191CE">
            <w:pPr>
              <w:widowControl/>
              <w:jc w:val="center"/>
              <w:rPr>
                <w:rFonts w:hint="eastAsia" w:ascii="宋体" w:hAnsi="宋体" w:cs="宋体"/>
                <w:color w:val="auto"/>
                <w:kern w:val="0"/>
                <w:szCs w:val="21"/>
              </w:rPr>
            </w:pPr>
          </w:p>
        </w:tc>
        <w:tc>
          <w:tcPr>
            <w:tcW w:w="1418" w:type="pct"/>
            <w:gridSpan w:val="3"/>
            <w:vAlign w:val="center"/>
          </w:tcPr>
          <w:p w14:paraId="0EB36FDE">
            <w:pPr>
              <w:widowControl/>
              <w:jc w:val="center"/>
              <w:rPr>
                <w:rFonts w:hint="eastAsia" w:ascii="宋体" w:hAnsi="宋体" w:cs="宋体"/>
                <w:color w:val="auto"/>
                <w:kern w:val="0"/>
                <w:szCs w:val="21"/>
              </w:rPr>
            </w:pPr>
            <w:r>
              <w:rPr>
                <w:rFonts w:hint="eastAsia" w:ascii="宋体" w:hAnsi="宋体" w:cs="宋体"/>
                <w:color w:val="auto"/>
                <w:kern w:val="0"/>
                <w:szCs w:val="21"/>
              </w:rPr>
              <w:t>矿山地质环境</w:t>
            </w:r>
          </w:p>
        </w:tc>
        <w:tc>
          <w:tcPr>
            <w:tcW w:w="574" w:type="pct"/>
            <w:vMerge w:val="restart"/>
            <w:vAlign w:val="center"/>
          </w:tcPr>
          <w:p w14:paraId="14D75DEF">
            <w:pPr>
              <w:pStyle w:val="44"/>
              <w:jc w:val="center"/>
              <w:rPr>
                <w:rFonts w:hint="eastAsia" w:hAnsi="宋体"/>
                <w:color w:val="auto"/>
                <w:sz w:val="21"/>
                <w:szCs w:val="21"/>
              </w:rPr>
            </w:pPr>
            <w:r>
              <w:rPr>
                <w:rFonts w:hint="eastAsia" w:hAnsi="宋体"/>
                <w:color w:val="auto"/>
                <w:sz w:val="21"/>
                <w:szCs w:val="21"/>
              </w:rPr>
              <w:t>矿区土地损毁</w:t>
            </w:r>
          </w:p>
        </w:tc>
        <w:tc>
          <w:tcPr>
            <w:tcW w:w="400" w:type="pct"/>
            <w:vMerge w:val="restart"/>
            <w:vAlign w:val="center"/>
          </w:tcPr>
          <w:p w14:paraId="253B5BD7">
            <w:pPr>
              <w:pStyle w:val="44"/>
              <w:jc w:val="center"/>
              <w:rPr>
                <w:rFonts w:hint="eastAsia" w:hAnsi="宋体"/>
                <w:color w:val="auto"/>
                <w:sz w:val="21"/>
                <w:szCs w:val="21"/>
              </w:rPr>
            </w:pPr>
            <w:r>
              <w:rPr>
                <w:rFonts w:hint="eastAsia" w:hAnsi="宋体"/>
                <w:color w:val="auto"/>
                <w:sz w:val="21"/>
                <w:szCs w:val="21"/>
              </w:rPr>
              <w:t>矿区生态问题</w:t>
            </w:r>
          </w:p>
        </w:tc>
      </w:tr>
      <w:tr w14:paraId="00F14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7" w:type="pct"/>
            <w:vAlign w:val="center"/>
          </w:tcPr>
          <w:p w14:paraId="1845561F">
            <w:pPr>
              <w:widowControl/>
              <w:jc w:val="center"/>
              <w:rPr>
                <w:rFonts w:hint="eastAsia" w:ascii="宋体" w:hAnsi="宋体" w:cs="宋体"/>
                <w:color w:val="auto"/>
                <w:szCs w:val="21"/>
              </w:rPr>
            </w:pPr>
            <w:r>
              <w:rPr>
                <w:rFonts w:hint="eastAsia" w:ascii="宋体" w:hAnsi="宋体" w:cs="宋体"/>
                <w:color w:val="auto"/>
                <w:kern w:val="0"/>
                <w:szCs w:val="21"/>
              </w:rPr>
              <w:t>分区级别</w:t>
            </w:r>
          </w:p>
        </w:tc>
        <w:tc>
          <w:tcPr>
            <w:tcW w:w="327" w:type="pct"/>
            <w:vAlign w:val="center"/>
          </w:tcPr>
          <w:p w14:paraId="3705AD84">
            <w:pPr>
              <w:widowControl/>
              <w:jc w:val="center"/>
              <w:rPr>
                <w:rFonts w:hint="eastAsia" w:ascii="宋体" w:hAnsi="宋体" w:cs="宋体"/>
                <w:color w:val="auto"/>
                <w:szCs w:val="21"/>
              </w:rPr>
            </w:pPr>
            <w:r>
              <w:rPr>
                <w:rFonts w:hint="eastAsia" w:ascii="宋体" w:hAnsi="宋体" w:cs="宋体"/>
                <w:color w:val="auto"/>
                <w:kern w:val="0"/>
                <w:szCs w:val="21"/>
              </w:rPr>
              <w:t>分区</w:t>
            </w:r>
          </w:p>
          <w:p w14:paraId="6FDE7B04">
            <w:pPr>
              <w:widowControl/>
              <w:jc w:val="center"/>
              <w:rPr>
                <w:rFonts w:hint="eastAsia" w:ascii="宋体" w:hAnsi="宋体" w:cs="宋体"/>
                <w:color w:val="auto"/>
                <w:szCs w:val="21"/>
              </w:rPr>
            </w:pPr>
            <w:r>
              <w:rPr>
                <w:rFonts w:hint="eastAsia" w:ascii="宋体" w:hAnsi="宋体" w:cs="宋体"/>
                <w:color w:val="auto"/>
                <w:kern w:val="0"/>
                <w:szCs w:val="21"/>
              </w:rPr>
              <w:t>编号</w:t>
            </w:r>
          </w:p>
        </w:tc>
        <w:tc>
          <w:tcPr>
            <w:tcW w:w="394" w:type="pct"/>
            <w:vMerge w:val="continue"/>
            <w:vAlign w:val="center"/>
          </w:tcPr>
          <w:p w14:paraId="45222F08">
            <w:pPr>
              <w:pStyle w:val="44"/>
              <w:jc w:val="center"/>
              <w:rPr>
                <w:rFonts w:hint="eastAsia" w:hAnsi="宋体"/>
                <w:color w:val="auto"/>
                <w:sz w:val="21"/>
                <w:szCs w:val="21"/>
              </w:rPr>
            </w:pPr>
          </w:p>
        </w:tc>
        <w:tc>
          <w:tcPr>
            <w:tcW w:w="308" w:type="pct"/>
            <w:vMerge w:val="continue"/>
            <w:vAlign w:val="center"/>
          </w:tcPr>
          <w:p w14:paraId="4B731302">
            <w:pPr>
              <w:pStyle w:val="44"/>
              <w:jc w:val="center"/>
              <w:rPr>
                <w:rFonts w:hint="eastAsia" w:hAnsi="宋体"/>
                <w:color w:val="auto"/>
                <w:sz w:val="21"/>
                <w:szCs w:val="21"/>
              </w:rPr>
            </w:pPr>
          </w:p>
        </w:tc>
        <w:tc>
          <w:tcPr>
            <w:tcW w:w="1018" w:type="pct"/>
            <w:vMerge w:val="continue"/>
            <w:vAlign w:val="center"/>
          </w:tcPr>
          <w:p w14:paraId="18AD0A0C">
            <w:pPr>
              <w:pStyle w:val="44"/>
              <w:jc w:val="center"/>
              <w:rPr>
                <w:rFonts w:hint="eastAsia" w:hAnsi="宋体"/>
                <w:color w:val="auto"/>
                <w:sz w:val="21"/>
                <w:szCs w:val="21"/>
              </w:rPr>
            </w:pPr>
          </w:p>
        </w:tc>
        <w:tc>
          <w:tcPr>
            <w:tcW w:w="250" w:type="pct"/>
            <w:vMerge w:val="continue"/>
            <w:vAlign w:val="center"/>
          </w:tcPr>
          <w:p w14:paraId="41672B6D">
            <w:pPr>
              <w:pStyle w:val="44"/>
              <w:jc w:val="center"/>
              <w:rPr>
                <w:rFonts w:hint="eastAsia" w:hAnsi="宋体"/>
                <w:color w:val="auto"/>
                <w:sz w:val="21"/>
                <w:szCs w:val="21"/>
              </w:rPr>
            </w:pPr>
          </w:p>
        </w:tc>
        <w:tc>
          <w:tcPr>
            <w:tcW w:w="262" w:type="pct"/>
            <w:vAlign w:val="center"/>
          </w:tcPr>
          <w:p w14:paraId="2DF9CFDD">
            <w:pPr>
              <w:widowControl/>
              <w:jc w:val="center"/>
              <w:rPr>
                <w:rFonts w:hint="eastAsia" w:ascii="宋体" w:hAnsi="宋体" w:cs="宋体"/>
                <w:color w:val="auto"/>
                <w:szCs w:val="21"/>
              </w:rPr>
            </w:pPr>
            <w:r>
              <w:rPr>
                <w:rFonts w:hint="eastAsia" w:ascii="宋体" w:hAnsi="宋体" w:cs="宋体"/>
                <w:color w:val="auto"/>
                <w:kern w:val="0"/>
                <w:szCs w:val="21"/>
              </w:rPr>
              <w:t>地质灾害</w:t>
            </w:r>
          </w:p>
        </w:tc>
        <w:tc>
          <w:tcPr>
            <w:tcW w:w="285" w:type="pct"/>
            <w:vAlign w:val="center"/>
          </w:tcPr>
          <w:p w14:paraId="63A80DE6">
            <w:pPr>
              <w:pStyle w:val="44"/>
              <w:jc w:val="center"/>
              <w:rPr>
                <w:rFonts w:hint="eastAsia" w:hAnsi="宋体"/>
                <w:color w:val="auto"/>
                <w:sz w:val="21"/>
                <w:szCs w:val="21"/>
              </w:rPr>
            </w:pPr>
            <w:r>
              <w:rPr>
                <w:rFonts w:hint="eastAsia" w:hAnsi="宋体"/>
                <w:color w:val="auto"/>
                <w:sz w:val="21"/>
                <w:szCs w:val="21"/>
              </w:rPr>
              <w:t>含水层</w:t>
            </w:r>
          </w:p>
        </w:tc>
        <w:tc>
          <w:tcPr>
            <w:tcW w:w="870" w:type="pct"/>
            <w:vAlign w:val="center"/>
          </w:tcPr>
          <w:p w14:paraId="412A2EBC">
            <w:pPr>
              <w:pStyle w:val="44"/>
              <w:jc w:val="center"/>
              <w:rPr>
                <w:rFonts w:hint="eastAsia" w:hAnsi="宋体"/>
                <w:color w:val="auto"/>
                <w:sz w:val="21"/>
                <w:szCs w:val="21"/>
              </w:rPr>
            </w:pPr>
            <w:r>
              <w:rPr>
                <w:rFonts w:hint="eastAsia" w:hAnsi="宋体"/>
                <w:color w:val="auto"/>
                <w:sz w:val="21"/>
                <w:szCs w:val="21"/>
              </w:rPr>
              <w:t>地形地貌景观</w:t>
            </w:r>
          </w:p>
        </w:tc>
        <w:tc>
          <w:tcPr>
            <w:tcW w:w="574" w:type="pct"/>
            <w:vMerge w:val="continue"/>
            <w:vAlign w:val="center"/>
          </w:tcPr>
          <w:p w14:paraId="0A4FB7A5">
            <w:pPr>
              <w:pStyle w:val="44"/>
              <w:jc w:val="center"/>
              <w:rPr>
                <w:rFonts w:hint="eastAsia" w:hAnsi="宋体"/>
                <w:color w:val="auto"/>
                <w:sz w:val="21"/>
                <w:szCs w:val="21"/>
              </w:rPr>
            </w:pPr>
          </w:p>
        </w:tc>
        <w:tc>
          <w:tcPr>
            <w:tcW w:w="400" w:type="pct"/>
            <w:vMerge w:val="continue"/>
            <w:vAlign w:val="center"/>
          </w:tcPr>
          <w:p w14:paraId="2F44E426">
            <w:pPr>
              <w:pStyle w:val="44"/>
              <w:jc w:val="center"/>
              <w:rPr>
                <w:rFonts w:hint="eastAsia" w:hAnsi="宋体"/>
                <w:color w:val="auto"/>
                <w:sz w:val="21"/>
                <w:szCs w:val="21"/>
              </w:rPr>
            </w:pPr>
          </w:p>
        </w:tc>
      </w:tr>
      <w:tr w14:paraId="3ECCF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7" w:type="pct"/>
            <w:vAlign w:val="center"/>
          </w:tcPr>
          <w:p w14:paraId="43AD741E">
            <w:pPr>
              <w:widowControl/>
              <w:jc w:val="center"/>
              <w:rPr>
                <w:rFonts w:hint="eastAsia" w:ascii="宋体" w:hAnsi="宋体" w:cs="宋体"/>
                <w:color w:val="auto"/>
                <w:kern w:val="0"/>
                <w:szCs w:val="21"/>
              </w:rPr>
            </w:pPr>
            <w:r>
              <w:rPr>
                <w:rFonts w:hint="eastAsia" w:ascii="宋体" w:hAnsi="宋体" w:cs="宋体"/>
                <w:color w:val="auto"/>
                <w:kern w:val="0"/>
                <w:szCs w:val="21"/>
              </w:rPr>
              <w:t>重点防治区</w:t>
            </w:r>
          </w:p>
        </w:tc>
        <w:tc>
          <w:tcPr>
            <w:tcW w:w="327" w:type="pct"/>
            <w:vAlign w:val="center"/>
          </w:tcPr>
          <w:p w14:paraId="704C8221">
            <w:pPr>
              <w:widowControl/>
              <w:jc w:val="center"/>
              <w:rPr>
                <w:rFonts w:hint="eastAsia" w:ascii="宋体" w:hAnsi="宋体" w:cs="宋体"/>
                <w:color w:val="auto"/>
                <w:kern w:val="0"/>
                <w:szCs w:val="21"/>
              </w:rPr>
            </w:pPr>
            <w:r>
              <w:rPr>
                <w:rFonts w:hint="eastAsia" w:ascii="宋体" w:hAnsi="宋体" w:cs="宋体"/>
                <w:color w:val="auto"/>
                <w:kern w:val="0"/>
                <w:szCs w:val="21"/>
              </w:rPr>
              <w:t>Ⅰ</w:t>
            </w:r>
          </w:p>
        </w:tc>
        <w:tc>
          <w:tcPr>
            <w:tcW w:w="394" w:type="pct"/>
            <w:vAlign w:val="center"/>
          </w:tcPr>
          <w:p w14:paraId="4229327C">
            <w:pPr>
              <w:pStyle w:val="44"/>
              <w:jc w:val="center"/>
              <w:rPr>
                <w:rFonts w:hint="default" w:hAnsi="宋体" w:eastAsia="宋体"/>
                <w:color w:val="auto"/>
                <w:sz w:val="21"/>
                <w:szCs w:val="21"/>
                <w:lang w:val="en-US" w:eastAsia="zh-CN"/>
              </w:rPr>
            </w:pPr>
            <w:r>
              <w:rPr>
                <w:rFonts w:hint="eastAsia" w:hAnsi="宋体"/>
                <w:color w:val="auto"/>
                <w:sz w:val="21"/>
                <w:szCs w:val="21"/>
                <w:lang w:val="en-US" w:eastAsia="zh-CN"/>
              </w:rPr>
              <w:t>4.9282</w:t>
            </w:r>
          </w:p>
        </w:tc>
        <w:tc>
          <w:tcPr>
            <w:tcW w:w="308" w:type="pct"/>
            <w:vAlign w:val="center"/>
          </w:tcPr>
          <w:p w14:paraId="41829AAF">
            <w:pPr>
              <w:widowControl/>
              <w:jc w:val="center"/>
              <w:rPr>
                <w:rFonts w:hint="eastAsia" w:ascii="宋体" w:hAnsi="宋体" w:cs="宋体"/>
                <w:color w:val="auto"/>
                <w:kern w:val="0"/>
                <w:szCs w:val="21"/>
              </w:rPr>
            </w:pPr>
            <w:r>
              <w:rPr>
                <w:rFonts w:hint="eastAsia" w:ascii="宋体" w:hAnsi="宋体" w:cs="宋体"/>
                <w:color w:val="auto"/>
                <w:kern w:val="0"/>
                <w:szCs w:val="21"/>
              </w:rPr>
              <w:t>重度</w:t>
            </w:r>
          </w:p>
        </w:tc>
        <w:tc>
          <w:tcPr>
            <w:tcW w:w="1018" w:type="pct"/>
            <w:vAlign w:val="center"/>
          </w:tcPr>
          <w:p w14:paraId="4A750B08">
            <w:pPr>
              <w:widowControl/>
              <w:jc w:val="center"/>
              <w:rPr>
                <w:rFonts w:hint="eastAsia" w:ascii="宋体" w:hAnsi="宋体" w:cs="宋体"/>
                <w:color w:val="auto"/>
                <w:kern w:val="0"/>
                <w:szCs w:val="21"/>
              </w:rPr>
            </w:pPr>
            <w:r>
              <w:rPr>
                <w:rFonts w:hint="eastAsia" w:ascii="宋体" w:hAnsi="宋体" w:cs="宋体"/>
                <w:color w:val="auto"/>
                <w:kern w:val="0"/>
                <w:szCs w:val="21"/>
                <w:lang w:val="en-US" w:eastAsia="zh-CN"/>
              </w:rPr>
              <w:t>露天采场、2#废石场</w:t>
            </w:r>
          </w:p>
        </w:tc>
        <w:tc>
          <w:tcPr>
            <w:tcW w:w="250" w:type="pct"/>
            <w:vAlign w:val="center"/>
          </w:tcPr>
          <w:p w14:paraId="07351B7C">
            <w:pPr>
              <w:widowControl/>
              <w:jc w:val="center"/>
              <w:rPr>
                <w:rFonts w:hint="eastAsia" w:ascii="宋体" w:hAnsi="宋体" w:eastAsia="宋体" w:cs="宋体"/>
                <w:color w:val="auto"/>
                <w:kern w:val="0"/>
                <w:szCs w:val="21"/>
                <w:lang w:eastAsia="zh-CN"/>
              </w:rPr>
            </w:pPr>
            <w:r>
              <w:rPr>
                <w:rFonts w:hint="eastAsia" w:ascii="宋体" w:hAnsi="宋体" w:cs="宋体"/>
                <w:color w:val="auto"/>
                <w:kern w:val="0"/>
                <w:szCs w:val="21"/>
                <w:lang w:val="en-US" w:eastAsia="zh-CN"/>
              </w:rPr>
              <w:t>易</w:t>
            </w:r>
          </w:p>
        </w:tc>
        <w:tc>
          <w:tcPr>
            <w:tcW w:w="262" w:type="pct"/>
            <w:vAlign w:val="center"/>
          </w:tcPr>
          <w:p w14:paraId="1B6C14E7">
            <w:pPr>
              <w:widowControl/>
              <w:jc w:val="center"/>
              <w:rPr>
                <w:rFonts w:hint="eastAsia" w:ascii="宋体" w:hAnsi="宋体" w:cs="宋体"/>
                <w:color w:val="auto"/>
                <w:kern w:val="0"/>
                <w:szCs w:val="21"/>
              </w:rPr>
            </w:pPr>
            <w:r>
              <w:rPr>
                <w:rFonts w:hint="eastAsia" w:ascii="宋体" w:hAnsi="宋体" w:cs="宋体"/>
                <w:color w:val="auto"/>
                <w:kern w:val="0"/>
                <w:szCs w:val="21"/>
              </w:rPr>
              <w:t>实时监测</w:t>
            </w:r>
          </w:p>
        </w:tc>
        <w:tc>
          <w:tcPr>
            <w:tcW w:w="285" w:type="pct"/>
            <w:vAlign w:val="center"/>
          </w:tcPr>
          <w:p w14:paraId="1C6AA5E1">
            <w:pPr>
              <w:widowControl/>
              <w:jc w:val="center"/>
              <w:rPr>
                <w:rFonts w:hint="eastAsia" w:ascii="宋体" w:hAnsi="宋体" w:eastAsia="宋体" w:cs="宋体"/>
                <w:color w:val="auto"/>
                <w:kern w:val="0"/>
                <w:szCs w:val="21"/>
                <w:lang w:eastAsia="zh-CN"/>
              </w:rPr>
            </w:pPr>
            <w:r>
              <w:rPr>
                <w:rFonts w:hint="eastAsia" w:ascii="宋体" w:hAnsi="宋体" w:cs="宋体"/>
                <w:color w:val="auto"/>
                <w:kern w:val="0"/>
                <w:szCs w:val="21"/>
                <w:lang w:val="en-US" w:eastAsia="zh-CN"/>
              </w:rPr>
              <w:t>无影响</w:t>
            </w:r>
          </w:p>
        </w:tc>
        <w:tc>
          <w:tcPr>
            <w:tcW w:w="870" w:type="pct"/>
            <w:vAlign w:val="center"/>
          </w:tcPr>
          <w:p w14:paraId="426A78E9">
            <w:pPr>
              <w:widowControl/>
              <w:rPr>
                <w:rFonts w:hint="default" w:ascii="宋体" w:hAnsi="宋体" w:eastAsia="宋体" w:cs="宋体"/>
                <w:color w:val="auto"/>
                <w:kern w:val="0"/>
                <w:szCs w:val="21"/>
                <w:lang w:val="en-US" w:eastAsia="zh-CN"/>
              </w:rPr>
            </w:pPr>
            <w:r>
              <w:rPr>
                <w:rFonts w:hint="eastAsia" w:ascii="宋体" w:hAnsi="宋体" w:cs="宋体"/>
                <w:color w:val="auto"/>
                <w:kern w:val="0"/>
                <w:szCs w:val="21"/>
                <w:lang w:val="en-US" w:eastAsia="zh-CN"/>
              </w:rPr>
              <w:t>通过垫坡、削坡整形、清运、清除岩体、回填等治理措施，改善地形地貌景观</w:t>
            </w:r>
          </w:p>
        </w:tc>
        <w:tc>
          <w:tcPr>
            <w:tcW w:w="574" w:type="pct"/>
            <w:vAlign w:val="center"/>
          </w:tcPr>
          <w:p w14:paraId="09AD6A20">
            <w:pPr>
              <w:widowControl/>
              <w:jc w:val="center"/>
              <w:rPr>
                <w:rFonts w:hint="eastAsia" w:ascii="宋体" w:hAnsi="宋体" w:cs="宋体"/>
                <w:color w:val="auto"/>
                <w:kern w:val="0"/>
                <w:szCs w:val="21"/>
              </w:rPr>
            </w:pPr>
            <w:r>
              <w:rPr>
                <w:rFonts w:hint="eastAsia" w:ascii="宋体" w:hAnsi="宋体" w:cs="宋体"/>
                <w:color w:val="auto"/>
                <w:kern w:val="0"/>
                <w:szCs w:val="21"/>
              </w:rPr>
              <w:t>进行土壤重构，植被恢复，根据复垦方向，复垦相应地类</w:t>
            </w:r>
          </w:p>
        </w:tc>
        <w:tc>
          <w:tcPr>
            <w:tcW w:w="400" w:type="pct"/>
            <w:vAlign w:val="center"/>
          </w:tcPr>
          <w:p w14:paraId="5CCCFB2E">
            <w:pPr>
              <w:widowControl/>
              <w:jc w:val="center"/>
              <w:rPr>
                <w:rFonts w:hint="eastAsia" w:ascii="宋体" w:hAnsi="宋体" w:cs="宋体"/>
                <w:color w:val="auto"/>
                <w:kern w:val="0"/>
                <w:szCs w:val="21"/>
              </w:rPr>
            </w:pPr>
            <w:r>
              <w:rPr>
                <w:rFonts w:hint="eastAsia" w:ascii="宋体" w:hAnsi="宋体" w:cs="宋体"/>
                <w:color w:val="auto"/>
                <w:kern w:val="0"/>
                <w:szCs w:val="21"/>
                <w:lang w:val="en-US" w:eastAsia="zh-CN"/>
              </w:rPr>
              <w:t>对场地</w:t>
            </w:r>
            <w:r>
              <w:rPr>
                <w:rFonts w:hint="eastAsia" w:ascii="宋体" w:hAnsi="宋体" w:cs="宋体"/>
                <w:color w:val="auto"/>
                <w:kern w:val="0"/>
                <w:szCs w:val="21"/>
              </w:rPr>
              <w:t>恢复植被</w:t>
            </w:r>
          </w:p>
        </w:tc>
      </w:tr>
      <w:tr w14:paraId="717A7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7" w:type="pct"/>
            <w:vAlign w:val="center"/>
          </w:tcPr>
          <w:p w14:paraId="5945EEED">
            <w:pPr>
              <w:widowControl/>
              <w:jc w:val="center"/>
              <w:rPr>
                <w:rFonts w:hint="eastAsia" w:ascii="宋体" w:hAnsi="宋体" w:cs="宋体"/>
                <w:color w:val="auto"/>
                <w:kern w:val="0"/>
                <w:szCs w:val="21"/>
              </w:rPr>
            </w:pPr>
            <w:r>
              <w:rPr>
                <w:rFonts w:hint="eastAsia" w:ascii="宋体" w:hAnsi="宋体" w:cs="宋体"/>
                <w:color w:val="auto"/>
                <w:kern w:val="0"/>
                <w:szCs w:val="21"/>
              </w:rPr>
              <w:t>次重点防治区</w:t>
            </w:r>
          </w:p>
        </w:tc>
        <w:tc>
          <w:tcPr>
            <w:tcW w:w="327" w:type="pct"/>
            <w:vAlign w:val="center"/>
          </w:tcPr>
          <w:p w14:paraId="6AEBD116">
            <w:pPr>
              <w:widowControl/>
              <w:jc w:val="center"/>
              <w:rPr>
                <w:rFonts w:hint="eastAsia" w:ascii="宋体" w:hAnsi="宋体" w:cs="宋体"/>
                <w:color w:val="auto"/>
                <w:kern w:val="0"/>
                <w:szCs w:val="21"/>
              </w:rPr>
            </w:pPr>
            <w:r>
              <w:rPr>
                <w:rFonts w:hint="eastAsia" w:ascii="宋体" w:hAnsi="宋体" w:cs="宋体"/>
                <w:color w:val="auto"/>
                <w:kern w:val="0"/>
                <w:szCs w:val="21"/>
              </w:rPr>
              <w:t>Ⅱ</w:t>
            </w:r>
          </w:p>
        </w:tc>
        <w:tc>
          <w:tcPr>
            <w:tcW w:w="394" w:type="pct"/>
            <w:vAlign w:val="center"/>
          </w:tcPr>
          <w:p w14:paraId="73C134C5">
            <w:pPr>
              <w:pStyle w:val="44"/>
              <w:jc w:val="center"/>
              <w:rPr>
                <w:rFonts w:hint="default" w:hAnsi="宋体" w:eastAsia="宋体"/>
                <w:color w:val="auto"/>
                <w:sz w:val="21"/>
                <w:szCs w:val="21"/>
                <w:lang w:val="en-US" w:eastAsia="zh-CN"/>
              </w:rPr>
            </w:pPr>
            <w:r>
              <w:rPr>
                <w:rFonts w:hint="eastAsia" w:hAnsi="宋体"/>
                <w:color w:val="auto"/>
                <w:sz w:val="21"/>
                <w:szCs w:val="21"/>
                <w:lang w:val="en-US" w:eastAsia="zh-CN"/>
              </w:rPr>
              <w:t>2.8406</w:t>
            </w:r>
          </w:p>
        </w:tc>
        <w:tc>
          <w:tcPr>
            <w:tcW w:w="308" w:type="pct"/>
            <w:vAlign w:val="center"/>
          </w:tcPr>
          <w:p w14:paraId="56126C77">
            <w:pPr>
              <w:widowControl/>
              <w:jc w:val="center"/>
              <w:rPr>
                <w:rFonts w:hint="eastAsia" w:ascii="宋体" w:hAnsi="宋体" w:cs="宋体"/>
                <w:color w:val="auto"/>
                <w:kern w:val="0"/>
                <w:szCs w:val="21"/>
              </w:rPr>
            </w:pPr>
            <w:r>
              <w:rPr>
                <w:rFonts w:hint="eastAsia" w:ascii="宋体" w:hAnsi="宋体" w:cs="宋体"/>
                <w:color w:val="auto"/>
                <w:kern w:val="0"/>
                <w:szCs w:val="21"/>
              </w:rPr>
              <w:t>中度</w:t>
            </w:r>
          </w:p>
        </w:tc>
        <w:tc>
          <w:tcPr>
            <w:tcW w:w="1018" w:type="pct"/>
            <w:vAlign w:val="center"/>
          </w:tcPr>
          <w:p w14:paraId="1BD7F7A9">
            <w:pPr>
              <w:widowControl/>
              <w:jc w:val="center"/>
              <w:rPr>
                <w:rFonts w:hint="default" w:ascii="宋体" w:hAnsi="宋体" w:cs="宋体"/>
                <w:color w:val="auto"/>
                <w:kern w:val="0"/>
                <w:szCs w:val="21"/>
                <w:lang w:val="en-US"/>
              </w:rPr>
            </w:pPr>
            <w:r>
              <w:rPr>
                <w:rFonts w:hint="eastAsia" w:ascii="宋体" w:hAnsi="宋体" w:cs="宋体"/>
                <w:color w:val="auto"/>
                <w:kern w:val="0"/>
                <w:szCs w:val="21"/>
                <w:lang w:val="en-US" w:eastAsia="zh-CN"/>
              </w:rPr>
              <w:t>1#废石场、1#废渣堆、2#废渣堆、3#废渣堆、工业场地、矿区道路、办公生活区、变压器</w:t>
            </w:r>
          </w:p>
        </w:tc>
        <w:tc>
          <w:tcPr>
            <w:tcW w:w="250" w:type="pct"/>
            <w:vAlign w:val="center"/>
          </w:tcPr>
          <w:p w14:paraId="4744CD7C">
            <w:pPr>
              <w:widowControl/>
              <w:jc w:val="center"/>
              <w:rPr>
                <w:rFonts w:hint="eastAsia" w:ascii="宋体" w:hAnsi="宋体" w:cs="宋体"/>
                <w:color w:val="auto"/>
                <w:kern w:val="0"/>
                <w:szCs w:val="21"/>
              </w:rPr>
            </w:pPr>
            <w:r>
              <w:rPr>
                <w:rFonts w:hint="eastAsia" w:ascii="宋体" w:hAnsi="宋体" w:cs="宋体"/>
                <w:color w:val="auto"/>
                <w:kern w:val="0"/>
                <w:szCs w:val="21"/>
                <w:lang w:val="en-US" w:eastAsia="zh-CN"/>
              </w:rPr>
              <w:t>易</w:t>
            </w:r>
          </w:p>
        </w:tc>
        <w:tc>
          <w:tcPr>
            <w:tcW w:w="262" w:type="pct"/>
            <w:vAlign w:val="center"/>
          </w:tcPr>
          <w:p w14:paraId="358BE5A4">
            <w:pPr>
              <w:widowControl/>
              <w:jc w:val="center"/>
              <w:rPr>
                <w:rFonts w:hint="eastAsia" w:ascii="宋体" w:hAnsi="宋体" w:cs="宋体"/>
                <w:color w:val="auto"/>
                <w:kern w:val="0"/>
                <w:szCs w:val="21"/>
              </w:rPr>
            </w:pPr>
            <w:r>
              <w:rPr>
                <w:rFonts w:hint="eastAsia" w:ascii="宋体" w:hAnsi="宋体" w:cs="宋体"/>
                <w:color w:val="auto"/>
                <w:kern w:val="0"/>
                <w:szCs w:val="21"/>
              </w:rPr>
              <w:t>实时监测</w:t>
            </w:r>
          </w:p>
        </w:tc>
        <w:tc>
          <w:tcPr>
            <w:tcW w:w="285" w:type="pct"/>
            <w:vAlign w:val="center"/>
          </w:tcPr>
          <w:p w14:paraId="52F58504">
            <w:pPr>
              <w:widowControl/>
              <w:jc w:val="center"/>
              <w:rPr>
                <w:rFonts w:hint="eastAsia" w:ascii="宋体" w:hAnsi="宋体" w:cs="宋体"/>
                <w:color w:val="auto"/>
                <w:kern w:val="0"/>
                <w:szCs w:val="21"/>
              </w:rPr>
            </w:pPr>
            <w:r>
              <w:rPr>
                <w:rFonts w:hint="eastAsia" w:ascii="宋体" w:hAnsi="宋体" w:cs="宋体"/>
                <w:color w:val="auto"/>
                <w:kern w:val="0"/>
                <w:szCs w:val="21"/>
                <w:lang w:val="en-US" w:eastAsia="zh-CN"/>
              </w:rPr>
              <w:t>无影响</w:t>
            </w:r>
          </w:p>
        </w:tc>
        <w:tc>
          <w:tcPr>
            <w:tcW w:w="870" w:type="pct"/>
            <w:vAlign w:val="center"/>
          </w:tcPr>
          <w:p w14:paraId="2FFCCC63">
            <w:pPr>
              <w:widowControl/>
              <w:jc w:val="center"/>
              <w:rPr>
                <w:rFonts w:hint="eastAsia" w:ascii="宋体" w:hAnsi="宋体" w:cs="宋体"/>
                <w:color w:val="auto"/>
                <w:kern w:val="0"/>
                <w:szCs w:val="21"/>
              </w:rPr>
            </w:pPr>
            <w:r>
              <w:rPr>
                <w:rFonts w:hint="eastAsia" w:ascii="宋体" w:hAnsi="宋体" w:cs="宋体"/>
                <w:color w:val="auto"/>
                <w:kern w:val="0"/>
                <w:szCs w:val="21"/>
                <w:lang w:val="en-US" w:eastAsia="zh-CN"/>
              </w:rPr>
              <w:t>对边坡进行边坡整形、垫坡、回填、拆除清运、覆土等</w:t>
            </w:r>
            <w:r>
              <w:rPr>
                <w:rFonts w:hint="eastAsia" w:ascii="宋体" w:hAnsi="宋体" w:cs="宋体"/>
                <w:color w:val="auto"/>
                <w:kern w:val="0"/>
                <w:szCs w:val="21"/>
              </w:rPr>
              <w:t>恢复土地使用功能</w:t>
            </w:r>
          </w:p>
        </w:tc>
        <w:tc>
          <w:tcPr>
            <w:tcW w:w="574" w:type="pct"/>
            <w:vAlign w:val="center"/>
          </w:tcPr>
          <w:p w14:paraId="1039B4F4">
            <w:pPr>
              <w:widowControl/>
              <w:jc w:val="center"/>
              <w:rPr>
                <w:rFonts w:hint="eastAsia" w:ascii="宋体" w:hAnsi="宋体" w:cs="宋体"/>
                <w:color w:val="auto"/>
                <w:kern w:val="0"/>
                <w:szCs w:val="21"/>
              </w:rPr>
            </w:pPr>
            <w:r>
              <w:rPr>
                <w:rFonts w:hint="eastAsia" w:ascii="宋体" w:hAnsi="宋体" w:cs="宋体"/>
                <w:color w:val="auto"/>
                <w:kern w:val="0"/>
                <w:szCs w:val="21"/>
              </w:rPr>
              <w:t>对场地进行土壤重构，植被恢复根据复垦方向，复垦相应地类</w:t>
            </w:r>
          </w:p>
        </w:tc>
        <w:tc>
          <w:tcPr>
            <w:tcW w:w="400" w:type="pct"/>
            <w:vAlign w:val="center"/>
          </w:tcPr>
          <w:p w14:paraId="10DFB6F5">
            <w:pPr>
              <w:widowControl/>
              <w:jc w:val="center"/>
              <w:rPr>
                <w:rFonts w:hint="eastAsia" w:ascii="宋体" w:hAnsi="宋体" w:cs="宋体"/>
                <w:color w:val="auto"/>
                <w:kern w:val="0"/>
                <w:szCs w:val="21"/>
              </w:rPr>
            </w:pPr>
            <w:r>
              <w:rPr>
                <w:rFonts w:hint="eastAsia" w:ascii="宋体" w:hAnsi="宋体" w:cs="宋体"/>
                <w:color w:val="auto"/>
                <w:kern w:val="0"/>
                <w:szCs w:val="21"/>
              </w:rPr>
              <w:t>对场地恢复植被</w:t>
            </w:r>
          </w:p>
        </w:tc>
      </w:tr>
      <w:tr w14:paraId="3165A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07" w:type="pct"/>
            <w:vAlign w:val="center"/>
          </w:tcPr>
          <w:p w14:paraId="036598C9">
            <w:pPr>
              <w:widowControl/>
              <w:jc w:val="center"/>
              <w:rPr>
                <w:rFonts w:hint="eastAsia" w:ascii="宋体" w:hAnsi="宋体" w:cs="宋体"/>
                <w:color w:val="auto"/>
                <w:szCs w:val="21"/>
              </w:rPr>
            </w:pPr>
            <w:r>
              <w:rPr>
                <w:rFonts w:hint="eastAsia" w:ascii="宋体" w:hAnsi="宋体" w:cs="宋体"/>
                <w:color w:val="auto"/>
                <w:kern w:val="0"/>
                <w:szCs w:val="21"/>
              </w:rPr>
              <w:t>一般防治区</w:t>
            </w:r>
          </w:p>
        </w:tc>
        <w:tc>
          <w:tcPr>
            <w:tcW w:w="327" w:type="pct"/>
            <w:vAlign w:val="center"/>
          </w:tcPr>
          <w:p w14:paraId="6BA2FC68">
            <w:pPr>
              <w:widowControl/>
              <w:jc w:val="center"/>
              <w:rPr>
                <w:rFonts w:hint="eastAsia" w:ascii="宋体" w:hAnsi="宋体" w:cs="宋体"/>
                <w:color w:val="auto"/>
                <w:szCs w:val="21"/>
              </w:rPr>
            </w:pPr>
            <w:r>
              <w:rPr>
                <w:rFonts w:hint="eastAsia" w:ascii="宋体" w:hAnsi="宋体" w:cs="宋体"/>
                <w:color w:val="auto"/>
                <w:kern w:val="0"/>
                <w:szCs w:val="21"/>
              </w:rPr>
              <w:t>Ⅲ</w:t>
            </w:r>
          </w:p>
        </w:tc>
        <w:tc>
          <w:tcPr>
            <w:tcW w:w="394" w:type="pct"/>
            <w:vAlign w:val="center"/>
          </w:tcPr>
          <w:p w14:paraId="66BA141F">
            <w:pPr>
              <w:pStyle w:val="44"/>
              <w:jc w:val="center"/>
              <w:rPr>
                <w:rFonts w:hint="default" w:hAnsi="宋体" w:eastAsia="宋体"/>
                <w:color w:val="auto"/>
                <w:sz w:val="21"/>
                <w:szCs w:val="21"/>
                <w:lang w:val="en-US" w:eastAsia="zh-CN"/>
              </w:rPr>
            </w:pPr>
            <w:r>
              <w:rPr>
                <w:rFonts w:hint="eastAsia" w:hAnsi="宋体"/>
                <w:color w:val="auto"/>
                <w:sz w:val="21"/>
                <w:szCs w:val="21"/>
                <w:lang w:val="en-US" w:eastAsia="zh-CN"/>
              </w:rPr>
              <w:t>1.2032</w:t>
            </w:r>
          </w:p>
        </w:tc>
        <w:tc>
          <w:tcPr>
            <w:tcW w:w="308" w:type="pct"/>
            <w:vAlign w:val="center"/>
          </w:tcPr>
          <w:p w14:paraId="0BA2CA4C">
            <w:pPr>
              <w:widowControl/>
              <w:jc w:val="center"/>
              <w:rPr>
                <w:rFonts w:hint="eastAsia" w:ascii="宋体" w:hAnsi="宋体" w:cs="宋体"/>
                <w:color w:val="auto"/>
                <w:szCs w:val="21"/>
              </w:rPr>
            </w:pPr>
            <w:r>
              <w:rPr>
                <w:rFonts w:hint="eastAsia" w:ascii="宋体" w:hAnsi="宋体" w:cs="宋体"/>
                <w:color w:val="auto"/>
                <w:kern w:val="0"/>
                <w:szCs w:val="21"/>
              </w:rPr>
              <w:t>轻度</w:t>
            </w:r>
          </w:p>
        </w:tc>
        <w:tc>
          <w:tcPr>
            <w:tcW w:w="1018" w:type="pct"/>
            <w:vAlign w:val="center"/>
          </w:tcPr>
          <w:p w14:paraId="7F3781B3">
            <w:pPr>
              <w:widowControl/>
              <w:jc w:val="center"/>
              <w:rPr>
                <w:rFonts w:hint="eastAsia" w:ascii="宋体" w:hAnsi="宋体" w:cs="宋体"/>
                <w:color w:val="auto"/>
                <w:szCs w:val="21"/>
              </w:rPr>
            </w:pPr>
            <w:r>
              <w:rPr>
                <w:rFonts w:hint="eastAsia" w:ascii="宋体" w:hAnsi="宋体" w:cs="宋体"/>
                <w:color w:val="auto"/>
                <w:kern w:val="0"/>
                <w:szCs w:val="21"/>
              </w:rPr>
              <w:t>评估区内其他区域</w:t>
            </w:r>
          </w:p>
        </w:tc>
        <w:tc>
          <w:tcPr>
            <w:tcW w:w="250" w:type="pct"/>
            <w:vAlign w:val="center"/>
          </w:tcPr>
          <w:p w14:paraId="0F77A3CB">
            <w:pPr>
              <w:widowControl/>
              <w:jc w:val="center"/>
              <w:rPr>
                <w:rFonts w:hint="eastAsia" w:ascii="宋体" w:hAnsi="宋体" w:cs="宋体"/>
                <w:color w:val="auto"/>
                <w:szCs w:val="21"/>
              </w:rPr>
            </w:pPr>
            <w:r>
              <w:rPr>
                <w:rFonts w:hint="eastAsia" w:ascii="宋体" w:hAnsi="宋体" w:cs="宋体"/>
                <w:color w:val="auto"/>
                <w:kern w:val="0"/>
                <w:szCs w:val="21"/>
              </w:rPr>
              <w:t>容易</w:t>
            </w:r>
          </w:p>
        </w:tc>
        <w:tc>
          <w:tcPr>
            <w:tcW w:w="262" w:type="pct"/>
            <w:vAlign w:val="center"/>
          </w:tcPr>
          <w:p w14:paraId="7BD36EA5">
            <w:pPr>
              <w:widowControl/>
              <w:jc w:val="center"/>
              <w:rPr>
                <w:rFonts w:hint="eastAsia" w:ascii="宋体" w:hAnsi="宋体" w:cs="宋体"/>
                <w:color w:val="auto"/>
                <w:szCs w:val="21"/>
              </w:rPr>
            </w:pPr>
            <w:r>
              <w:rPr>
                <w:rFonts w:hint="eastAsia" w:ascii="宋体" w:hAnsi="宋体" w:cs="宋体"/>
                <w:color w:val="auto"/>
                <w:kern w:val="0"/>
                <w:szCs w:val="21"/>
              </w:rPr>
              <w:t>实时监测</w:t>
            </w:r>
          </w:p>
        </w:tc>
        <w:tc>
          <w:tcPr>
            <w:tcW w:w="285" w:type="pct"/>
            <w:vAlign w:val="center"/>
          </w:tcPr>
          <w:p w14:paraId="7948B037">
            <w:pPr>
              <w:widowControl/>
              <w:jc w:val="center"/>
              <w:rPr>
                <w:rFonts w:hint="eastAsia" w:ascii="宋体" w:hAnsi="宋体" w:cs="宋体"/>
                <w:color w:val="auto"/>
                <w:szCs w:val="21"/>
              </w:rPr>
            </w:pPr>
            <w:r>
              <w:rPr>
                <w:rFonts w:hint="eastAsia" w:ascii="宋体" w:hAnsi="宋体" w:cs="宋体"/>
                <w:color w:val="auto"/>
                <w:kern w:val="0"/>
                <w:szCs w:val="21"/>
                <w:lang w:val="en-US" w:eastAsia="zh-CN"/>
              </w:rPr>
              <w:t>无影响</w:t>
            </w:r>
          </w:p>
        </w:tc>
        <w:tc>
          <w:tcPr>
            <w:tcW w:w="870" w:type="pct"/>
            <w:vAlign w:val="center"/>
          </w:tcPr>
          <w:p w14:paraId="749D2CFB">
            <w:pPr>
              <w:widowControl/>
              <w:jc w:val="center"/>
              <w:rPr>
                <w:rFonts w:hint="eastAsia" w:ascii="宋体" w:hAnsi="宋体" w:cs="宋体"/>
                <w:color w:val="auto"/>
                <w:kern w:val="0"/>
                <w:szCs w:val="21"/>
              </w:rPr>
            </w:pPr>
            <w:r>
              <w:rPr>
                <w:rFonts w:hint="eastAsia" w:ascii="宋体" w:hAnsi="宋体" w:cs="宋体"/>
                <w:color w:val="auto"/>
                <w:kern w:val="0"/>
                <w:szCs w:val="21"/>
              </w:rPr>
              <w:t>实时</w:t>
            </w:r>
          </w:p>
          <w:p w14:paraId="4CD394E4">
            <w:pPr>
              <w:widowControl/>
              <w:jc w:val="center"/>
              <w:rPr>
                <w:rFonts w:hint="eastAsia" w:ascii="宋体" w:hAnsi="宋体" w:cs="宋体"/>
                <w:color w:val="auto"/>
                <w:szCs w:val="21"/>
              </w:rPr>
            </w:pPr>
            <w:r>
              <w:rPr>
                <w:rFonts w:hint="eastAsia" w:ascii="宋体" w:hAnsi="宋体" w:cs="宋体"/>
                <w:color w:val="auto"/>
                <w:kern w:val="0"/>
                <w:szCs w:val="21"/>
              </w:rPr>
              <w:t>监测</w:t>
            </w:r>
          </w:p>
        </w:tc>
        <w:tc>
          <w:tcPr>
            <w:tcW w:w="574" w:type="pct"/>
            <w:vAlign w:val="center"/>
          </w:tcPr>
          <w:p w14:paraId="6C03C478">
            <w:pPr>
              <w:widowControl/>
              <w:jc w:val="center"/>
              <w:rPr>
                <w:rFonts w:hint="eastAsia" w:ascii="宋体" w:hAnsi="宋体" w:cs="宋体"/>
                <w:color w:val="auto"/>
                <w:kern w:val="0"/>
                <w:szCs w:val="21"/>
              </w:rPr>
            </w:pPr>
            <w:r>
              <w:rPr>
                <w:rFonts w:hint="eastAsia" w:ascii="宋体" w:hAnsi="宋体" w:cs="宋体"/>
                <w:color w:val="auto"/>
                <w:kern w:val="0"/>
                <w:szCs w:val="21"/>
              </w:rPr>
              <w:t>实时</w:t>
            </w:r>
          </w:p>
          <w:p w14:paraId="67952108">
            <w:pPr>
              <w:widowControl/>
              <w:jc w:val="center"/>
              <w:rPr>
                <w:rFonts w:hint="eastAsia" w:ascii="宋体" w:hAnsi="宋体" w:cs="宋体"/>
                <w:color w:val="auto"/>
                <w:kern w:val="0"/>
                <w:szCs w:val="21"/>
              </w:rPr>
            </w:pPr>
            <w:r>
              <w:rPr>
                <w:rFonts w:hint="eastAsia" w:ascii="宋体" w:hAnsi="宋体" w:cs="宋体"/>
                <w:color w:val="auto"/>
                <w:kern w:val="0"/>
                <w:szCs w:val="21"/>
              </w:rPr>
              <w:t>监测</w:t>
            </w:r>
          </w:p>
        </w:tc>
        <w:tc>
          <w:tcPr>
            <w:tcW w:w="400" w:type="pct"/>
            <w:vAlign w:val="center"/>
          </w:tcPr>
          <w:p w14:paraId="5F213068">
            <w:pPr>
              <w:widowControl/>
              <w:jc w:val="center"/>
              <w:rPr>
                <w:rFonts w:hint="eastAsia" w:ascii="宋体" w:hAnsi="宋体" w:cs="宋体"/>
                <w:color w:val="auto"/>
                <w:kern w:val="0"/>
                <w:szCs w:val="21"/>
              </w:rPr>
            </w:pPr>
            <w:r>
              <w:rPr>
                <w:rFonts w:hint="eastAsia" w:ascii="宋体" w:hAnsi="宋体" w:cs="宋体"/>
                <w:color w:val="auto"/>
                <w:kern w:val="0"/>
                <w:szCs w:val="21"/>
              </w:rPr>
              <w:t>实时</w:t>
            </w:r>
          </w:p>
          <w:p w14:paraId="174AF354">
            <w:pPr>
              <w:widowControl/>
              <w:jc w:val="center"/>
              <w:rPr>
                <w:rFonts w:hint="eastAsia" w:ascii="宋体" w:hAnsi="宋体" w:cs="宋体"/>
                <w:color w:val="auto"/>
                <w:kern w:val="0"/>
                <w:szCs w:val="21"/>
              </w:rPr>
            </w:pPr>
            <w:r>
              <w:rPr>
                <w:rFonts w:hint="eastAsia" w:ascii="宋体" w:hAnsi="宋体" w:cs="宋体"/>
                <w:color w:val="auto"/>
                <w:kern w:val="0"/>
                <w:szCs w:val="21"/>
              </w:rPr>
              <w:t>监测</w:t>
            </w:r>
          </w:p>
        </w:tc>
      </w:tr>
    </w:tbl>
    <w:p w14:paraId="34E6AB9F">
      <w:pPr>
        <w:pStyle w:val="71"/>
        <w:spacing w:line="360" w:lineRule="auto"/>
        <w:jc w:val="left"/>
        <w:rPr>
          <w:rFonts w:hint="default" w:ascii="Times New Roman" w:hAnsi="Times New Roman" w:eastAsia="黑体" w:cs="Times New Roman"/>
          <w:color w:val="auto"/>
          <w:sz w:val="21"/>
          <w:szCs w:val="21"/>
          <w:lang w:val="en-US" w:eastAsia="zh-CN"/>
        </w:rPr>
      </w:pPr>
      <w:r>
        <w:rPr>
          <w:rFonts w:hint="eastAsia" w:ascii="Times New Roman" w:hAnsi="Times New Roman" w:eastAsia="黑体" w:cs="Times New Roman"/>
          <w:color w:val="auto"/>
          <w:sz w:val="21"/>
          <w:szCs w:val="21"/>
          <w:lang w:val="en-US" w:eastAsia="zh-CN"/>
        </w:rPr>
        <w:t>注：窑沟门村要求办公生活区、变压器保留，村集体使用，本次不设计治理。</w:t>
      </w:r>
    </w:p>
    <w:p w14:paraId="5FB33358">
      <w:pPr>
        <w:spacing w:line="360" w:lineRule="auto"/>
        <w:ind w:firstLine="480" w:firstLineChars="200"/>
        <w:rPr>
          <w:color w:val="auto"/>
          <w:sz w:val="24"/>
          <w:szCs w:val="24"/>
        </w:rPr>
        <w:sectPr>
          <w:headerReference r:id="rId17" w:type="default"/>
          <w:pgSz w:w="16838" w:h="11906" w:orient="landscape"/>
          <w:pgMar w:top="1797" w:right="1219" w:bottom="1797" w:left="1440" w:header="851" w:footer="992" w:gutter="0"/>
          <w:pgNumType w:fmt="decimal"/>
          <w:cols w:space="720" w:num="1"/>
          <w:docGrid w:linePitch="312" w:charSpace="0"/>
        </w:sectPr>
      </w:pPr>
    </w:p>
    <w:p w14:paraId="70CB3708">
      <w:pPr>
        <w:spacing w:line="360" w:lineRule="auto"/>
        <w:ind w:firstLine="562" w:firstLineChars="200"/>
        <w:outlineLvl w:val="3"/>
        <w:rPr>
          <w:rFonts w:eastAsiaTheme="minorEastAsia"/>
          <w:b/>
          <w:bCs/>
          <w:color w:val="auto"/>
          <w:sz w:val="28"/>
          <w:szCs w:val="28"/>
        </w:rPr>
      </w:pPr>
      <w:r>
        <w:rPr>
          <w:rFonts w:eastAsiaTheme="minorEastAsia"/>
          <w:b/>
          <w:bCs/>
          <w:color w:val="auto"/>
          <w:sz w:val="28"/>
          <w:szCs w:val="28"/>
        </w:rPr>
        <w:t>（四）</w:t>
      </w:r>
      <w:r>
        <w:rPr>
          <w:rFonts w:hint="eastAsia" w:eastAsiaTheme="minorEastAsia"/>
          <w:b/>
          <w:bCs/>
          <w:color w:val="auto"/>
          <w:sz w:val="28"/>
          <w:szCs w:val="28"/>
          <w:lang w:val="en-US" w:eastAsia="zh-CN"/>
        </w:rPr>
        <w:t>生态修复分区</w:t>
      </w:r>
      <w:r>
        <w:rPr>
          <w:rFonts w:eastAsiaTheme="minorEastAsia"/>
          <w:b/>
          <w:bCs/>
          <w:color w:val="auto"/>
          <w:sz w:val="28"/>
          <w:szCs w:val="28"/>
        </w:rPr>
        <w:t>范围</w:t>
      </w:r>
    </w:p>
    <w:p w14:paraId="2099AD16">
      <w:pPr>
        <w:pStyle w:val="44"/>
        <w:spacing w:line="360" w:lineRule="auto"/>
        <w:ind w:firstLine="560" w:firstLineChars="200"/>
        <w:jc w:val="both"/>
        <w:rPr>
          <w:rFonts w:ascii="Times New Roman" w:cs="Times New Roman"/>
          <w:color w:val="auto"/>
          <w:sz w:val="28"/>
          <w:szCs w:val="28"/>
        </w:rPr>
      </w:pPr>
      <w:r>
        <w:rPr>
          <w:rFonts w:ascii="Times New Roman" w:cs="Times New Roman"/>
          <w:color w:val="auto"/>
          <w:sz w:val="28"/>
          <w:szCs w:val="28"/>
        </w:rPr>
        <w:t>本方案</w:t>
      </w:r>
      <w:r>
        <w:rPr>
          <w:rFonts w:hint="eastAsia" w:ascii="Times New Roman" w:cs="Times New Roman"/>
          <w:color w:val="auto"/>
          <w:sz w:val="28"/>
          <w:szCs w:val="28"/>
          <w:lang w:val="en-US" w:eastAsia="zh-CN"/>
        </w:rPr>
        <w:t>生态修复</w:t>
      </w:r>
      <w:r>
        <w:rPr>
          <w:rFonts w:ascii="Times New Roman" w:cs="Times New Roman"/>
          <w:color w:val="auto"/>
          <w:sz w:val="28"/>
          <w:szCs w:val="28"/>
        </w:rPr>
        <w:t>区面积</w:t>
      </w:r>
      <w:r>
        <w:rPr>
          <w:rFonts w:hint="eastAsia" w:ascii="Times New Roman" w:cs="Times New Roman"/>
          <w:color w:val="auto"/>
          <w:sz w:val="28"/>
          <w:szCs w:val="28"/>
          <w:lang w:val="en-US" w:eastAsia="zh-CN"/>
        </w:rPr>
        <w:t>76955</w:t>
      </w:r>
      <w:r>
        <w:rPr>
          <w:rFonts w:ascii="Times New Roman" w:cs="Times New Roman"/>
          <w:color w:val="auto"/>
          <w:sz w:val="28"/>
          <w:szCs w:val="28"/>
        </w:rPr>
        <w:t>m</w:t>
      </w:r>
      <w:r>
        <w:rPr>
          <w:rFonts w:ascii="Times New Roman" w:cs="Times New Roman"/>
          <w:color w:val="auto"/>
          <w:sz w:val="28"/>
          <w:szCs w:val="28"/>
          <w:vertAlign w:val="superscript"/>
        </w:rPr>
        <w:t>2</w:t>
      </w:r>
      <w:r>
        <w:rPr>
          <w:rFonts w:ascii="Times New Roman" w:cs="Times New Roman"/>
          <w:color w:val="auto"/>
          <w:sz w:val="28"/>
          <w:szCs w:val="28"/>
        </w:rPr>
        <w:t>，</w:t>
      </w:r>
      <w:r>
        <w:rPr>
          <w:rFonts w:hint="eastAsia" w:ascii="Times New Roman" w:cs="Times New Roman"/>
          <w:color w:val="auto"/>
          <w:sz w:val="28"/>
          <w:szCs w:val="28"/>
          <w:lang w:val="en-US" w:eastAsia="zh-CN"/>
        </w:rPr>
        <w:t>生态修复</w:t>
      </w:r>
      <w:r>
        <w:rPr>
          <w:rFonts w:ascii="Times New Roman" w:cs="Times New Roman"/>
          <w:color w:val="auto"/>
          <w:sz w:val="28"/>
          <w:szCs w:val="28"/>
        </w:rPr>
        <w:t>范围均进行土地复垦，土地复垦率为100%。</w:t>
      </w:r>
    </w:p>
    <w:p w14:paraId="4291E67B">
      <w:pPr>
        <w:pStyle w:val="44"/>
        <w:spacing w:line="360" w:lineRule="auto"/>
        <w:ind w:firstLine="560" w:firstLineChars="200"/>
        <w:jc w:val="both"/>
        <w:rPr>
          <w:rFonts w:ascii="Times New Roman" w:cs="Times New Roman"/>
          <w:color w:val="auto"/>
          <w:sz w:val="28"/>
          <w:szCs w:val="28"/>
        </w:rPr>
      </w:pPr>
      <w:r>
        <w:rPr>
          <w:rFonts w:hint="eastAsia" w:ascii="Times New Roman" w:cs="Times New Roman"/>
          <w:color w:val="auto"/>
          <w:sz w:val="28"/>
          <w:szCs w:val="28"/>
          <w:lang w:val="en-US" w:eastAsia="zh-CN"/>
        </w:rPr>
        <w:t>生态修复区范围主要</w:t>
      </w:r>
      <w:r>
        <w:rPr>
          <w:rFonts w:ascii="Times New Roman" w:cs="Times New Roman"/>
          <w:color w:val="auto"/>
          <w:sz w:val="28"/>
          <w:szCs w:val="28"/>
        </w:rPr>
        <w:t>拐点坐标见表3-</w:t>
      </w:r>
      <w:r>
        <w:rPr>
          <w:rFonts w:hint="eastAsia" w:ascii="Times New Roman" w:cs="Times New Roman"/>
          <w:color w:val="auto"/>
          <w:sz w:val="28"/>
          <w:szCs w:val="28"/>
          <w:lang w:val="en-US" w:eastAsia="zh-CN"/>
        </w:rPr>
        <w:t>37</w:t>
      </w:r>
      <w:r>
        <w:rPr>
          <w:rFonts w:ascii="Times New Roman" w:cs="Times New Roman"/>
          <w:color w:val="auto"/>
          <w:sz w:val="28"/>
          <w:szCs w:val="28"/>
        </w:rPr>
        <w:t>。</w:t>
      </w:r>
    </w:p>
    <w:p w14:paraId="7243CD14">
      <w:pPr>
        <w:jc w:val="center"/>
        <w:rPr>
          <w:rFonts w:eastAsia="黑体"/>
          <w:color w:val="auto"/>
          <w:sz w:val="24"/>
          <w:szCs w:val="24"/>
        </w:rPr>
      </w:pPr>
      <w:r>
        <w:rPr>
          <w:rFonts w:eastAsia="黑体"/>
          <w:color w:val="auto"/>
          <w:sz w:val="24"/>
          <w:szCs w:val="24"/>
        </w:rPr>
        <w:t>表3-</w:t>
      </w:r>
      <w:r>
        <w:rPr>
          <w:rFonts w:hint="eastAsia" w:eastAsia="黑体"/>
          <w:color w:val="auto"/>
          <w:sz w:val="24"/>
          <w:szCs w:val="24"/>
          <w:lang w:val="en-US" w:eastAsia="zh-CN"/>
        </w:rPr>
        <w:t>37</w:t>
      </w:r>
      <w:r>
        <w:rPr>
          <w:rFonts w:eastAsia="黑体"/>
          <w:color w:val="auto"/>
          <w:sz w:val="24"/>
          <w:szCs w:val="24"/>
        </w:rPr>
        <w:t xml:space="preserve">  复垦责任范围主要拐点坐标（2000国家大地坐标系）</w:t>
      </w:r>
    </w:p>
    <w:tbl>
      <w:tblPr>
        <w:tblStyle w:val="34"/>
        <w:tblW w:w="4749" w:type="pct"/>
        <w:jc w:val="center"/>
        <w:tblLayout w:type="autofit"/>
        <w:tblCellMar>
          <w:top w:w="0" w:type="dxa"/>
          <w:left w:w="108" w:type="dxa"/>
          <w:bottom w:w="0" w:type="dxa"/>
          <w:right w:w="108" w:type="dxa"/>
        </w:tblCellMar>
      </w:tblPr>
      <w:tblGrid>
        <w:gridCol w:w="1104"/>
        <w:gridCol w:w="1344"/>
        <w:gridCol w:w="1461"/>
        <w:gridCol w:w="1115"/>
        <w:gridCol w:w="1382"/>
        <w:gridCol w:w="1489"/>
      </w:tblGrid>
      <w:tr w14:paraId="07CACBDD">
        <w:tblPrEx>
          <w:tblCellMar>
            <w:top w:w="0" w:type="dxa"/>
            <w:left w:w="108" w:type="dxa"/>
            <w:bottom w:w="0" w:type="dxa"/>
            <w:right w:w="108" w:type="dxa"/>
          </w:tblCellMar>
        </w:tblPrEx>
        <w:trPr>
          <w:trHeight w:val="340"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ign w:val="center"/>
          </w:tcPr>
          <w:p w14:paraId="2E1F74A6">
            <w:pPr>
              <w:spacing w:before="48" w:beforeLines="20" w:after="48" w:afterLines="20"/>
              <w:jc w:val="center"/>
              <w:rPr>
                <w:rFonts w:hint="eastAsia" w:eastAsia="宋体"/>
                <w:color w:val="auto"/>
                <w:lang w:eastAsia="zh-CN"/>
              </w:rPr>
            </w:pPr>
            <w:r>
              <w:rPr>
                <w:rFonts w:hint="eastAsia"/>
                <w:color w:val="auto"/>
                <w:lang w:val="en-US" w:eastAsia="zh-CN"/>
              </w:rPr>
              <w:t>露天采场</w:t>
            </w:r>
          </w:p>
        </w:tc>
      </w:tr>
      <w:tr w14:paraId="0CB10048">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09FBA2AC">
            <w:pPr>
              <w:spacing w:before="48" w:beforeLines="20" w:after="48" w:afterLines="20"/>
              <w:jc w:val="center"/>
              <w:rPr>
                <w:color w:val="auto"/>
              </w:rPr>
            </w:pPr>
            <w:r>
              <w:rPr>
                <w:color w:val="auto"/>
              </w:rPr>
              <w:t>拐点编号</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159C5B9B">
            <w:pPr>
              <w:spacing w:before="48" w:beforeLines="20" w:after="48" w:afterLines="20"/>
              <w:jc w:val="center"/>
              <w:rPr>
                <w:color w:val="auto"/>
              </w:rPr>
            </w:pPr>
            <w:r>
              <w:rPr>
                <w:color w:val="auto"/>
              </w:rPr>
              <w:t>X</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2A7308D9">
            <w:pPr>
              <w:spacing w:before="48" w:beforeLines="20" w:after="48" w:afterLines="20"/>
              <w:jc w:val="center"/>
              <w:rPr>
                <w:color w:val="auto"/>
              </w:rPr>
            </w:pPr>
            <w:r>
              <w:rPr>
                <w:color w:val="auto"/>
              </w:rPr>
              <w:t>Y</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1A2747DF">
            <w:pPr>
              <w:spacing w:before="48" w:beforeLines="20" w:after="48" w:afterLines="20"/>
              <w:jc w:val="center"/>
              <w:rPr>
                <w:color w:val="auto"/>
              </w:rPr>
            </w:pPr>
            <w:r>
              <w:rPr>
                <w:color w:val="auto"/>
              </w:rPr>
              <w:t>拐点编号</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6FFD0416">
            <w:pPr>
              <w:spacing w:before="48" w:beforeLines="20" w:after="48" w:afterLines="20"/>
              <w:jc w:val="center"/>
              <w:rPr>
                <w:color w:val="auto"/>
              </w:rPr>
            </w:pPr>
            <w:r>
              <w:rPr>
                <w:color w:val="auto"/>
              </w:rPr>
              <w:t>X</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5892A42C">
            <w:pPr>
              <w:spacing w:before="48" w:beforeLines="20" w:after="48" w:afterLines="20"/>
              <w:jc w:val="center"/>
              <w:rPr>
                <w:color w:val="auto"/>
              </w:rPr>
            </w:pPr>
            <w:r>
              <w:rPr>
                <w:color w:val="auto"/>
              </w:rPr>
              <w:t>Y</w:t>
            </w:r>
          </w:p>
        </w:tc>
      </w:tr>
      <w:tr w14:paraId="6D227C04">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1768A8E2">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1</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25239409">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4701709</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60F2DE02">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40381875</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603BCA2B">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11</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70C7AC7C">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4701925</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3730FB39">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40381941</w:t>
            </w:r>
          </w:p>
        </w:tc>
      </w:tr>
      <w:tr w14:paraId="1A14620A">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5EFC9C23">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2</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1BFEE021">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4701741</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1BE91DAB">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40381899</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5923EE21">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12</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52734CFE">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4701960</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2C5D806B">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40381881</w:t>
            </w:r>
          </w:p>
        </w:tc>
      </w:tr>
      <w:tr w14:paraId="25855C08">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1B01D2F5">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3</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3006B2C2">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4701769</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0C048755">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40381901</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24C88CF7">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13</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3CD4A557">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4701942</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44D7CAA1">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40381848</w:t>
            </w:r>
          </w:p>
        </w:tc>
      </w:tr>
      <w:tr w14:paraId="071FF8AF">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082854B5">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0E466745">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4701789</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3DF4686E">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40381886</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64571DCC">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14</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7D1F1324">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4701978</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2C2E4BD5">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40381802</w:t>
            </w:r>
          </w:p>
        </w:tc>
      </w:tr>
      <w:tr w14:paraId="475CEF7D">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7093FDEE">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5</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788181AD">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4701799</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1B58D18C">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40381902</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396B998A">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15</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6FEE0704">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4701974</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19901406">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40381703</w:t>
            </w:r>
          </w:p>
        </w:tc>
      </w:tr>
      <w:tr w14:paraId="6187F7E2">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535C68EC">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6</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1B320FC3">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4701785</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6A936023">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40381943</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32DC16AD">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16</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405EBD45">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4701945</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0D8FD26A">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40381765</w:t>
            </w:r>
          </w:p>
        </w:tc>
      </w:tr>
      <w:tr w14:paraId="07499F55">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383D8EF7">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7</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2CA268DB">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4701792</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6D9D6C34">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40381965</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4B4CEE24">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17</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6158C09B">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4701902</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24E1D8DF">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40381721</w:t>
            </w:r>
          </w:p>
        </w:tc>
      </w:tr>
      <w:tr w14:paraId="0BBC84FD">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2E723BD3">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8</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6F6DCD1D">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4701778</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6262CBF7">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40382012</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0337BB72">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18</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0C1EA96F">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4701845</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0F56B077">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40381799</w:t>
            </w:r>
          </w:p>
        </w:tc>
      </w:tr>
      <w:tr w14:paraId="39E0ED5D">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5A46983E">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9</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614B58CD">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4701801</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229AA391">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40382018</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2181A527">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19</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05A99AD8">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4701769</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56A6037E">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40381869</w:t>
            </w:r>
          </w:p>
        </w:tc>
      </w:tr>
      <w:tr w14:paraId="1ABEECB5">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04FED48B">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10</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3F2C7E1C">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4701906</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28EED90E">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40381921</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6E09C29A">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20</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077B89F5">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4701720</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296820CC">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2"/>
                <w:szCs w:val="22"/>
                <w:u w:val="none"/>
                <w:lang w:val="en-US" w:eastAsia="zh-CN" w:bidi="ar"/>
              </w:rPr>
              <w:t>40381858</w:t>
            </w:r>
          </w:p>
        </w:tc>
      </w:tr>
      <w:tr w14:paraId="7637D38E">
        <w:tblPrEx>
          <w:tblCellMar>
            <w:top w:w="0" w:type="dxa"/>
            <w:left w:w="108" w:type="dxa"/>
            <w:bottom w:w="0" w:type="dxa"/>
            <w:right w:w="108" w:type="dxa"/>
          </w:tblCellMar>
        </w:tblPrEx>
        <w:trPr>
          <w:trHeight w:val="340"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C8A4F">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cs="宋体"/>
                <w:i w:val="0"/>
                <w:iCs w:val="0"/>
                <w:color w:val="auto"/>
                <w:kern w:val="0"/>
                <w:sz w:val="21"/>
                <w:szCs w:val="21"/>
                <w:u w:val="none"/>
                <w:lang w:val="en-US" w:eastAsia="zh-CN" w:bidi="ar"/>
              </w:rPr>
              <w:t>1#废石场</w:t>
            </w:r>
          </w:p>
        </w:tc>
      </w:tr>
      <w:tr w14:paraId="62619D58">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3202768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23F4653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4701938 </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3D55115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40381625 </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07DD62E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43835FD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4701955 </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71D444B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40381737 </w:t>
            </w:r>
          </w:p>
        </w:tc>
      </w:tr>
      <w:tr w14:paraId="41FC13FA">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45F270C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10BC2F0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4701957 </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265E384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40381607 </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5AF0F57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6823A2D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4701946 </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0098DE9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40381752 </w:t>
            </w:r>
          </w:p>
        </w:tc>
      </w:tr>
      <w:tr w14:paraId="14F8BD45">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272ABD8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1E3D58C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4701967 </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1852684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40381577 </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123DB15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1DDE657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4701931 </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414EFB1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40381735 </w:t>
            </w:r>
          </w:p>
        </w:tc>
      </w:tr>
      <w:tr w14:paraId="3E052B1D">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6B2C0FE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6933A82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4701983 </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3CE7E92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40381614 </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4A0B71C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59886E6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4701925 </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4409A2B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40381724 </w:t>
            </w:r>
          </w:p>
        </w:tc>
      </w:tr>
      <w:tr w14:paraId="11123306">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24B51AA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447D577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4701971 </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0D776AE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40381688 </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212214A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11</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1B3B764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4701935 </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3BEF9CC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40381710 </w:t>
            </w:r>
          </w:p>
        </w:tc>
      </w:tr>
      <w:tr w14:paraId="4713F516">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340054C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57211F4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4701961 </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1295AA3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40381698 </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4AFE36F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12</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02CF409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4701934 </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3E5F436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40381638 </w:t>
            </w:r>
          </w:p>
        </w:tc>
      </w:tr>
      <w:tr w14:paraId="54833419">
        <w:tblPrEx>
          <w:tblCellMar>
            <w:top w:w="0" w:type="dxa"/>
            <w:left w:w="108" w:type="dxa"/>
            <w:bottom w:w="0" w:type="dxa"/>
            <w:right w:w="108" w:type="dxa"/>
          </w:tblCellMar>
        </w:tblPrEx>
        <w:trPr>
          <w:trHeight w:val="340"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860F6">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cs="宋体"/>
                <w:i w:val="0"/>
                <w:iCs w:val="0"/>
                <w:color w:val="auto"/>
                <w:kern w:val="0"/>
                <w:sz w:val="21"/>
                <w:szCs w:val="21"/>
                <w:u w:val="none"/>
                <w:lang w:val="en-US" w:eastAsia="zh-CN" w:bidi="ar"/>
              </w:rPr>
              <w:t>2#废石场</w:t>
            </w:r>
          </w:p>
        </w:tc>
      </w:tr>
      <w:tr w14:paraId="03C47A89">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1B34323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571C883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4701714</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31CB9AE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40381679</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2F66CCC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167FDA9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4701781</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695E51D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40381864</w:t>
            </w:r>
          </w:p>
        </w:tc>
      </w:tr>
      <w:tr w14:paraId="47DFBA1F">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24E7D71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464ABD3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4701751</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1D7A898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40381756</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2161205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655B282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4701862</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7EEAADE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40381770</w:t>
            </w:r>
          </w:p>
        </w:tc>
      </w:tr>
      <w:tr w14:paraId="270DE04F">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00D8AC0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126C0F7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4701758</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7D23248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40381788</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2E600F2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2D6ABA1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4701828</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3AF8B69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40381739</w:t>
            </w:r>
          </w:p>
        </w:tc>
      </w:tr>
      <w:tr w14:paraId="6D054769">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1448265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7E07488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4701738</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2B00D93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40381811</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7C1DFCD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04F7F46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4701768</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38A09FE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40381722</w:t>
            </w:r>
          </w:p>
        </w:tc>
      </w:tr>
      <w:tr w14:paraId="70FCBE3C">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6791679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42C0EE8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4701778</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349A7B8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40381842</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642B1B5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2798577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4701765</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20A3326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40381671</w:t>
            </w:r>
          </w:p>
        </w:tc>
      </w:tr>
      <w:tr w14:paraId="5B57D12A">
        <w:tblPrEx>
          <w:tblCellMar>
            <w:top w:w="0" w:type="dxa"/>
            <w:left w:w="108" w:type="dxa"/>
            <w:bottom w:w="0" w:type="dxa"/>
            <w:right w:w="108" w:type="dxa"/>
          </w:tblCellMar>
        </w:tblPrEx>
        <w:trPr>
          <w:trHeight w:val="340"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5486D">
            <w:pPr>
              <w:keepNext w:val="0"/>
              <w:keepLines w:val="0"/>
              <w:widowControl/>
              <w:suppressLineNumbers w:val="0"/>
              <w:jc w:val="center"/>
              <w:textAlignment w:val="center"/>
              <w:rPr>
                <w:rFonts w:hint="default" w:ascii="宋体" w:hAnsi="宋体" w:eastAsia="宋体" w:cs="宋体"/>
                <w:i w:val="0"/>
                <w:iCs w:val="0"/>
                <w:color w:val="auto"/>
                <w:kern w:val="2"/>
                <w:sz w:val="20"/>
                <w:szCs w:val="20"/>
                <w:u w:val="none"/>
                <w:lang w:val="en-US" w:eastAsia="zh-CN" w:bidi="ar-SA"/>
              </w:rPr>
            </w:pPr>
            <w:r>
              <w:rPr>
                <w:rFonts w:hint="eastAsia" w:ascii="宋体" w:hAnsi="宋体" w:cs="宋体"/>
                <w:i w:val="0"/>
                <w:iCs w:val="0"/>
                <w:color w:val="auto"/>
                <w:kern w:val="0"/>
                <w:sz w:val="20"/>
                <w:szCs w:val="20"/>
                <w:u w:val="none"/>
                <w:lang w:val="en-US" w:eastAsia="zh-CN" w:bidi="ar"/>
              </w:rPr>
              <w:t>1#废渣堆</w:t>
            </w:r>
          </w:p>
        </w:tc>
      </w:tr>
      <w:tr w14:paraId="4CC600E0">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24C702D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562A1BD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4701682</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0F32846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40381545</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0D2CBED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5A85BA9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4701710</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311C49A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40381494</w:t>
            </w:r>
          </w:p>
        </w:tc>
      </w:tr>
      <w:tr w14:paraId="1094B3A9">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32BE6D8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5F7B357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4701678</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3AF2F78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40381553</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1925C39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0199C89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4701698</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0E39E86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40381486</w:t>
            </w:r>
          </w:p>
        </w:tc>
      </w:tr>
      <w:tr w14:paraId="4AE0CAF0">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0E28BE3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03D4C77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4701695</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0ABE82B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40381561</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00957A4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719B3CB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4701653</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7AAEF3A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40381494</w:t>
            </w:r>
          </w:p>
        </w:tc>
      </w:tr>
      <w:tr w14:paraId="4DD3AB5F">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4837841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398CAFC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4701707</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27F2943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40381559</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6300777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0E7AA57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4701643</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5C290B8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40381504</w:t>
            </w:r>
          </w:p>
        </w:tc>
      </w:tr>
      <w:tr w14:paraId="4A39A42C">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5A43379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4DA76D3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4701728</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33865CD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40381539</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3608B96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11</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2E6C501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4701649</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7EBF352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40381520</w:t>
            </w:r>
          </w:p>
        </w:tc>
      </w:tr>
      <w:tr w14:paraId="7655553F">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3A82209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44A9F74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4701718</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0E7F3AC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40381505</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00657F0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12</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089C53A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4701673</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4B982F7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40381536</w:t>
            </w:r>
          </w:p>
        </w:tc>
      </w:tr>
      <w:tr w14:paraId="53136B9A">
        <w:tblPrEx>
          <w:tblCellMar>
            <w:top w:w="0" w:type="dxa"/>
            <w:left w:w="108" w:type="dxa"/>
            <w:bottom w:w="0" w:type="dxa"/>
            <w:right w:w="108" w:type="dxa"/>
          </w:tblCellMar>
        </w:tblPrEx>
        <w:trPr>
          <w:trHeight w:val="340"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F86C2">
            <w:pPr>
              <w:keepNext w:val="0"/>
              <w:keepLines w:val="0"/>
              <w:widowControl/>
              <w:suppressLineNumbers w:val="0"/>
              <w:jc w:val="center"/>
              <w:textAlignment w:val="center"/>
              <w:rPr>
                <w:rFonts w:hint="default" w:ascii="宋体" w:hAnsi="宋体" w:eastAsia="宋体" w:cs="宋体"/>
                <w:i w:val="0"/>
                <w:iCs w:val="0"/>
                <w:color w:val="auto"/>
                <w:kern w:val="2"/>
                <w:sz w:val="20"/>
                <w:szCs w:val="20"/>
                <w:u w:val="none"/>
                <w:lang w:val="en-US" w:eastAsia="zh-CN" w:bidi="ar-SA"/>
              </w:rPr>
            </w:pPr>
            <w:r>
              <w:rPr>
                <w:rFonts w:hint="eastAsia" w:ascii="宋体" w:hAnsi="宋体" w:cs="宋体"/>
                <w:i w:val="0"/>
                <w:iCs w:val="0"/>
                <w:color w:val="auto"/>
                <w:kern w:val="0"/>
                <w:sz w:val="20"/>
                <w:szCs w:val="20"/>
                <w:u w:val="none"/>
                <w:lang w:val="en-US" w:eastAsia="zh-CN" w:bidi="ar"/>
              </w:rPr>
              <w:t>2#废渣堆</w:t>
            </w:r>
          </w:p>
        </w:tc>
      </w:tr>
      <w:tr w14:paraId="28CF0FB6">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4B407C9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4AF6A4E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4701928</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76B3F50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40381508</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34BB7DC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4E43A94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4701841</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2168E58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40381528</w:t>
            </w:r>
          </w:p>
        </w:tc>
      </w:tr>
      <w:tr w14:paraId="26932307">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5EEC852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502A7C0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4701897</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5BDCCEA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40381507</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72C0540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32E7A64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4701848</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3422B0B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40381540</w:t>
            </w:r>
          </w:p>
        </w:tc>
      </w:tr>
      <w:tr w14:paraId="3C3F6624">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3495A92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23EF25F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4701895</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0B7BA74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40381496</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7D51CC9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22BA486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4701892</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4E5C5E6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40381544</w:t>
            </w:r>
          </w:p>
        </w:tc>
      </w:tr>
      <w:tr w14:paraId="35B6173D">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06FA114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0B4139B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4701888</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66636CC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40381503</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4D59C08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11</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65564DA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4701961</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54FEAB5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40381560</w:t>
            </w:r>
          </w:p>
        </w:tc>
      </w:tr>
      <w:tr w14:paraId="6610928E">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2C2F1B2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3B3DA99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4701869</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7385D09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40381510</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06C1CE7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12</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0131DC5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4701937</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071E988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40381547</w:t>
            </w:r>
          </w:p>
        </w:tc>
      </w:tr>
      <w:tr w14:paraId="42B073C6">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7549316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2F5B898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4701852</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47FC7F4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40381503</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610FC83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13</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206C70E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4701944</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55DF5CB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40381534</w:t>
            </w:r>
          </w:p>
        </w:tc>
      </w:tr>
      <w:tr w14:paraId="2514EE67">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6CFD319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685106E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4701844</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4E6C9F6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40381516</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4CC463B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14</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47EBD2C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4701934</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59E00D3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40381498</w:t>
            </w:r>
          </w:p>
        </w:tc>
      </w:tr>
      <w:tr w14:paraId="111E1B99">
        <w:tblPrEx>
          <w:tblCellMar>
            <w:top w:w="0" w:type="dxa"/>
            <w:left w:w="108" w:type="dxa"/>
            <w:bottom w:w="0" w:type="dxa"/>
            <w:right w:w="108" w:type="dxa"/>
          </w:tblCellMar>
        </w:tblPrEx>
        <w:trPr>
          <w:trHeight w:val="190"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F0F43">
            <w:pPr>
              <w:keepNext w:val="0"/>
              <w:keepLines w:val="0"/>
              <w:widowControl/>
              <w:suppressLineNumbers w:val="0"/>
              <w:jc w:val="center"/>
              <w:textAlignment w:val="center"/>
              <w:rPr>
                <w:rFonts w:hint="default" w:ascii="宋体" w:hAnsi="宋体" w:eastAsia="宋体" w:cs="宋体"/>
                <w:i w:val="0"/>
                <w:iCs w:val="0"/>
                <w:color w:val="auto"/>
                <w:kern w:val="2"/>
                <w:sz w:val="20"/>
                <w:szCs w:val="20"/>
                <w:u w:val="none"/>
                <w:lang w:val="en-US" w:eastAsia="zh-CN" w:bidi="ar-SA"/>
              </w:rPr>
            </w:pPr>
            <w:r>
              <w:rPr>
                <w:rFonts w:hint="eastAsia" w:ascii="宋体" w:hAnsi="宋体" w:cs="宋体"/>
                <w:i w:val="0"/>
                <w:iCs w:val="0"/>
                <w:color w:val="auto"/>
                <w:kern w:val="0"/>
                <w:sz w:val="20"/>
                <w:szCs w:val="20"/>
                <w:u w:val="none"/>
                <w:lang w:val="en-US" w:eastAsia="zh-CN" w:bidi="ar"/>
              </w:rPr>
              <w:t>3#废渣堆</w:t>
            </w:r>
          </w:p>
        </w:tc>
      </w:tr>
      <w:tr w14:paraId="07237890">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2E61669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1CD0DAD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4702085</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7E09187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40381670</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4C68BC3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3658CFE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4702102</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2E7A6CC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40381695</w:t>
            </w:r>
          </w:p>
        </w:tc>
      </w:tr>
      <w:tr w14:paraId="6173661E">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1DC6918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766A983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4702094</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4DB58FB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40381656</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5C32C5C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118278D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4702094</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57E7DE2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40381696</w:t>
            </w:r>
          </w:p>
        </w:tc>
      </w:tr>
      <w:tr w14:paraId="18E8F7B0">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563B93B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7B6DF7B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4702101</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6750D16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40381658</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562CB96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71BA1A0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4702095</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59F78F6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40381688</w:t>
            </w:r>
          </w:p>
        </w:tc>
      </w:tr>
      <w:tr w14:paraId="6AA9217F">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63A2538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70C8A7A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4702114</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71A55D1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40381671</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4E3235E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598EC97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4702090</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606BA18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40381681</w:t>
            </w:r>
          </w:p>
        </w:tc>
      </w:tr>
      <w:tr w14:paraId="638527EB">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2F7061A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3C17F14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4702123</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11B0F3D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40381688</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1D8EBDD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11</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7982134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4702085</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4A420FA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40381678</w:t>
            </w:r>
          </w:p>
        </w:tc>
      </w:tr>
      <w:tr w14:paraId="4A4645BF">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4A99511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3CB1683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4702115</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363B20C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40381695</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51880E6C">
            <w:pPr>
              <w:jc w:val="center"/>
              <w:rPr>
                <w:rFonts w:hint="eastAsia" w:ascii="宋体" w:hAnsi="宋体" w:eastAsia="宋体" w:cs="宋体"/>
                <w:i w:val="0"/>
                <w:iCs w:val="0"/>
                <w:color w:val="auto"/>
                <w:kern w:val="0"/>
                <w:sz w:val="22"/>
                <w:szCs w:val="22"/>
                <w:u w:val="none"/>
                <w:lang w:val="en-US" w:eastAsia="zh-CN" w:bidi="ar"/>
              </w:rPr>
            </w:pP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2BD910BC">
            <w:pPr>
              <w:jc w:val="center"/>
              <w:rPr>
                <w:rFonts w:hint="eastAsia" w:ascii="宋体" w:hAnsi="宋体" w:eastAsia="宋体" w:cs="宋体"/>
                <w:i w:val="0"/>
                <w:iCs w:val="0"/>
                <w:color w:val="auto"/>
                <w:kern w:val="0"/>
                <w:sz w:val="22"/>
                <w:szCs w:val="22"/>
                <w:u w:val="none"/>
                <w:lang w:val="en-US" w:eastAsia="zh-CN" w:bidi="ar"/>
              </w:rPr>
            </w:pP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2AA2710A">
            <w:pPr>
              <w:jc w:val="center"/>
              <w:rPr>
                <w:rFonts w:hint="eastAsia" w:ascii="宋体" w:hAnsi="宋体" w:eastAsia="宋体" w:cs="宋体"/>
                <w:i w:val="0"/>
                <w:iCs w:val="0"/>
                <w:color w:val="auto"/>
                <w:kern w:val="0"/>
                <w:sz w:val="22"/>
                <w:szCs w:val="22"/>
                <w:u w:val="none"/>
                <w:lang w:val="en-US" w:eastAsia="zh-CN" w:bidi="ar"/>
              </w:rPr>
            </w:pPr>
          </w:p>
        </w:tc>
      </w:tr>
      <w:tr w14:paraId="1284CDE0">
        <w:tblPrEx>
          <w:tblCellMar>
            <w:top w:w="0" w:type="dxa"/>
            <w:left w:w="108" w:type="dxa"/>
            <w:bottom w:w="0" w:type="dxa"/>
            <w:right w:w="108" w:type="dxa"/>
          </w:tblCellMar>
        </w:tblPrEx>
        <w:trPr>
          <w:trHeight w:val="190"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ign w:val="center"/>
          </w:tcPr>
          <w:p w14:paraId="2AC600E6">
            <w:pPr>
              <w:jc w:val="center"/>
              <w:rPr>
                <w:rFonts w:hint="default" w:ascii="宋体" w:hAnsi="宋体" w:eastAsia="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工业场地</w:t>
            </w:r>
          </w:p>
        </w:tc>
      </w:tr>
      <w:tr w14:paraId="76C8FB96">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6A7C3774">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2648DAA5">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4701731 </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738AA798">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40381655 </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7C9C5D89">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13</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1DFDD7B7">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4701743 </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11C076CB">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40381597 </w:t>
            </w:r>
          </w:p>
        </w:tc>
      </w:tr>
      <w:tr w14:paraId="4C15F9DD">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0B245B2B">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6FF88FD7">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4701724 </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505A5073">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40381667 </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0927409F">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14</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2DEB3270">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4701740 </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6DE97DFF">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40381592 </w:t>
            </w:r>
          </w:p>
        </w:tc>
      </w:tr>
      <w:tr w14:paraId="42E347A8">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66AEEA5B">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42CD8B28">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4701728 </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3D4C7505">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40381671 </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30A34ACE">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15</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39641981">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4701739 </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4D71BA2A">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40381591 </w:t>
            </w:r>
          </w:p>
        </w:tc>
      </w:tr>
      <w:tr w14:paraId="195A1375">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51ABDF4D">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2818FA05">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4701731 </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278DB665">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40381673 </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0E9E5BC9">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16</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1A163774">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4701733 </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4006D5B3">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40381578 </w:t>
            </w:r>
          </w:p>
        </w:tc>
      </w:tr>
      <w:tr w14:paraId="4A9C760A">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0E3DD3A1">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0920394B">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4701738 </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3E5FB583">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40381677 </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3B13B805">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17</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61A61754">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4701728 </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452DA824">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40381562 </w:t>
            </w:r>
          </w:p>
        </w:tc>
      </w:tr>
      <w:tr w14:paraId="18EBFE30">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672F09C7">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776D2642">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4701740 </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0208035C">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40381684 </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539B7306">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18</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49546585">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4701724 </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725491E1">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40381556 </w:t>
            </w:r>
          </w:p>
        </w:tc>
      </w:tr>
      <w:tr w14:paraId="49B1AF40">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2302D1F2">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61925F2D">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4701759 </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2C251DA7">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40381683 </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4B8ADF12">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19</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51CDE50A">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4701716 </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3E0FD298">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40381554 </w:t>
            </w:r>
          </w:p>
        </w:tc>
      </w:tr>
      <w:tr w14:paraId="06B266BA">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7F3BB81C">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39803014">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4701762 </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29E72741">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40381697 </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76778E77">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20</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26A5DDAC">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4701709 </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5CA93579">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40381565 </w:t>
            </w:r>
          </w:p>
        </w:tc>
      </w:tr>
      <w:tr w14:paraId="0B62CDB3">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20186F43">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6F572617">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4701767 </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5E9C25AF">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40381696 </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59559189">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21</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3B8B0408">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4701668 </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0D167F8F">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40381569 </w:t>
            </w:r>
          </w:p>
        </w:tc>
      </w:tr>
      <w:tr w14:paraId="5E5A345F">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44E79FCA">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604776FA">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4701762 </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4D165076">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40381643 </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7D71ACF5">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22</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6C470AD5">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4701677 </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558A1CB2">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40381574 </w:t>
            </w:r>
          </w:p>
        </w:tc>
      </w:tr>
      <w:tr w14:paraId="10636106">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62B055B1">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11</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43A3F481">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4701757 </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433776EB">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40381622 </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49132A8C">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23</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4EBEAEFD">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4701691 </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5F3F0B71">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40381594 </w:t>
            </w:r>
          </w:p>
        </w:tc>
      </w:tr>
      <w:tr w14:paraId="421ADA73">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178317B7">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12</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73BC3685">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4701751 </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128A7483">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40381611 </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188903DE">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24</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4C11728F">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4701731 </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05045DBC">
            <w:pPr>
              <w:keepNext w:val="0"/>
              <w:keepLines w:val="0"/>
              <w:widowControl/>
              <w:suppressLineNumbers w:val="0"/>
              <w:jc w:val="righ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40381655 </w:t>
            </w:r>
          </w:p>
        </w:tc>
      </w:tr>
      <w:tr w14:paraId="7F685EAD">
        <w:tblPrEx>
          <w:tblCellMar>
            <w:top w:w="0" w:type="dxa"/>
            <w:left w:w="108" w:type="dxa"/>
            <w:bottom w:w="0" w:type="dxa"/>
            <w:right w:w="108" w:type="dxa"/>
          </w:tblCellMar>
        </w:tblPrEx>
        <w:trPr>
          <w:trHeight w:val="280"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ign w:val="center"/>
          </w:tcPr>
          <w:p w14:paraId="1F11A218">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矿区道路</w:t>
            </w:r>
          </w:p>
        </w:tc>
      </w:tr>
      <w:tr w14:paraId="710CB015">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7532C85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41C2D52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4701606</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64A795E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40381527</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3EAF3D4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14</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2877A5F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4701803</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41CE200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40382033</w:t>
            </w:r>
          </w:p>
        </w:tc>
      </w:tr>
      <w:tr w14:paraId="53AF2CDF">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6EDA21C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5D5749A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4701712</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7AB550A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40381573</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6265D89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15</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7A2C558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4701775</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4AC3AFE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40381843</w:t>
            </w:r>
          </w:p>
        </w:tc>
      </w:tr>
      <w:tr w14:paraId="7B4DF1AB">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7D6FE42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16E9F8B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4701735</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2E00463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40381539</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6593492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16</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7AA26E1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4701724</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7E82D69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40381795</w:t>
            </w:r>
          </w:p>
        </w:tc>
      </w:tr>
      <w:tr w14:paraId="39EA98EA">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2EC67FF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5EDB7A7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4701872</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65EF4E2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40381545</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1025E42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17</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5654F98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4701690</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517B829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40381731</w:t>
            </w:r>
          </w:p>
        </w:tc>
      </w:tr>
      <w:tr w14:paraId="08A3689E">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0293428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06D243F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4701960</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6C3DC62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40381562</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593C8B3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18</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0A1CFA4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4701670</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4353377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40381654</w:t>
            </w:r>
          </w:p>
        </w:tc>
      </w:tr>
      <w:tr w14:paraId="21BB84C1">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35ABE6E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4F11A7B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4702027</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6FDD01B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40381609</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2794460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19</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353C15E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4701748</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21FCB1B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40381759</w:t>
            </w:r>
          </w:p>
        </w:tc>
      </w:tr>
      <w:tr w14:paraId="33D05FCA">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466EBE5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21295BC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4702084</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5900ECA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40381691</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6B42962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20</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061F7D2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4701644</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3491B3C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40381617</w:t>
            </w:r>
          </w:p>
        </w:tc>
      </w:tr>
      <w:tr w14:paraId="2C1CE6E1">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2046BF3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6D5DB3E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4701983</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120AB13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40381690</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6AC1753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21</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72DE830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4701722</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7145105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40381654</w:t>
            </w:r>
          </w:p>
        </w:tc>
      </w:tr>
      <w:tr w14:paraId="43AA5EE1">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7646197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593D044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4701942</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6EA7239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40381756</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0DCDAA5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22</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12446FA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4701763</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1A992F1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40381646</w:t>
            </w:r>
          </w:p>
        </w:tc>
      </w:tr>
      <w:tr w14:paraId="54785594">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70D5A1B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352618D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4701892</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5116997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40381723</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5C248F1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23</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50D9AE4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4701737</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4B9E79A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40381586</w:t>
            </w:r>
          </w:p>
        </w:tc>
      </w:tr>
      <w:tr w14:paraId="152E6685">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7C91071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11</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34807C3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4701859</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5825372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40381782</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30BD633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24</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7300D69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4701700</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49BCD7B4">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40381611</w:t>
            </w:r>
          </w:p>
        </w:tc>
      </w:tr>
      <w:tr w14:paraId="0ED729D0">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1478FFE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12</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6F8FB94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4701897</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0804172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40381943</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2D37A7E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25</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64F1D65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4701655</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72AE705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40381588</w:t>
            </w:r>
          </w:p>
        </w:tc>
      </w:tr>
      <w:tr w14:paraId="68C0A839">
        <w:tblPrEx>
          <w:tblCellMar>
            <w:top w:w="0" w:type="dxa"/>
            <w:left w:w="108" w:type="dxa"/>
            <w:bottom w:w="0" w:type="dxa"/>
            <w:right w:w="108" w:type="dxa"/>
          </w:tblCellMar>
        </w:tblPrEx>
        <w:trPr>
          <w:trHeight w:val="340" w:hRule="atLeast"/>
          <w:jc w:val="center"/>
        </w:trPr>
        <w:tc>
          <w:tcPr>
            <w:tcW w:w="700" w:type="pct"/>
            <w:tcBorders>
              <w:top w:val="single" w:color="000000" w:sz="4" w:space="0"/>
              <w:left w:val="single" w:color="000000" w:sz="4" w:space="0"/>
              <w:bottom w:val="single" w:color="000000" w:sz="4" w:space="0"/>
              <w:right w:val="single" w:color="000000" w:sz="4" w:space="0"/>
            </w:tcBorders>
            <w:noWrap/>
            <w:vAlign w:val="center"/>
          </w:tcPr>
          <w:p w14:paraId="3F9E699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13</w:t>
            </w: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0B9AB56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4701874</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6C14BD1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40381988</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0545576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26</w:t>
            </w:r>
          </w:p>
        </w:tc>
        <w:tc>
          <w:tcPr>
            <w:tcW w:w="875" w:type="pct"/>
            <w:tcBorders>
              <w:top w:val="single" w:color="000000" w:sz="4" w:space="0"/>
              <w:left w:val="single" w:color="000000" w:sz="4" w:space="0"/>
              <w:bottom w:val="single" w:color="000000" w:sz="4" w:space="0"/>
              <w:right w:val="single" w:color="000000" w:sz="4" w:space="0"/>
            </w:tcBorders>
            <w:noWrap/>
            <w:vAlign w:val="center"/>
          </w:tcPr>
          <w:p w14:paraId="649F592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4701613</w:t>
            </w:r>
          </w:p>
        </w:tc>
        <w:tc>
          <w:tcPr>
            <w:tcW w:w="941" w:type="pct"/>
            <w:tcBorders>
              <w:top w:val="single" w:color="000000" w:sz="4" w:space="0"/>
              <w:left w:val="single" w:color="000000" w:sz="4" w:space="0"/>
              <w:bottom w:val="single" w:color="000000" w:sz="4" w:space="0"/>
              <w:right w:val="single" w:color="000000" w:sz="4" w:space="0"/>
            </w:tcBorders>
            <w:noWrap/>
            <w:vAlign w:val="center"/>
          </w:tcPr>
          <w:p w14:paraId="7945062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40381604</w:t>
            </w:r>
          </w:p>
        </w:tc>
      </w:tr>
    </w:tbl>
    <w:p w14:paraId="43E4197B">
      <w:pPr>
        <w:pStyle w:val="44"/>
        <w:spacing w:line="360" w:lineRule="auto"/>
        <w:ind w:firstLine="562" w:firstLineChars="200"/>
        <w:jc w:val="both"/>
        <w:outlineLvl w:val="2"/>
        <w:rPr>
          <w:b/>
          <w:bCs/>
          <w:color w:val="auto"/>
          <w:sz w:val="28"/>
          <w:szCs w:val="28"/>
        </w:rPr>
      </w:pPr>
      <w:r>
        <w:rPr>
          <w:rFonts w:hint="eastAsia"/>
          <w:b/>
          <w:bCs/>
          <w:color w:val="auto"/>
          <w:sz w:val="28"/>
          <w:szCs w:val="28"/>
        </w:rPr>
        <w:t>二、修复时序安排</w:t>
      </w:r>
    </w:p>
    <w:p w14:paraId="7869B071">
      <w:pPr>
        <w:widowControl/>
        <w:spacing w:line="360" w:lineRule="auto"/>
        <w:ind w:firstLine="560" w:firstLineChars="200"/>
        <w:rPr>
          <w:color w:val="auto"/>
          <w:kern w:val="0"/>
          <w:sz w:val="28"/>
          <w:szCs w:val="28"/>
        </w:rPr>
      </w:pPr>
      <w:r>
        <w:rPr>
          <w:rFonts w:hint="eastAsia"/>
          <w:color w:val="auto"/>
          <w:sz w:val="28"/>
          <w:szCs w:val="28"/>
          <w:lang w:eastAsia="zh-CN"/>
        </w:rPr>
        <w:t>松山区初头朗镇窑沟门碎石矿</w:t>
      </w:r>
      <w:r>
        <w:rPr>
          <w:color w:val="auto"/>
          <w:kern w:val="0"/>
          <w:sz w:val="28"/>
          <w:szCs w:val="28"/>
        </w:rPr>
        <w:t>土地损毁环境和时序主要为生产期、修复管护期</w:t>
      </w:r>
      <w:r>
        <w:rPr>
          <w:rFonts w:hint="eastAsia"/>
          <w:color w:val="auto"/>
          <w:kern w:val="0"/>
          <w:sz w:val="28"/>
          <w:szCs w:val="28"/>
          <w:lang w:val="en-US" w:eastAsia="zh-CN"/>
        </w:rPr>
        <w:t>二</w:t>
      </w:r>
      <w:r>
        <w:rPr>
          <w:color w:val="auto"/>
          <w:kern w:val="0"/>
          <w:sz w:val="28"/>
          <w:szCs w:val="28"/>
        </w:rPr>
        <w:t>个阶段，生产期即（20</w:t>
      </w:r>
      <w:r>
        <w:rPr>
          <w:rFonts w:hint="eastAsia"/>
          <w:color w:val="auto"/>
          <w:kern w:val="0"/>
          <w:sz w:val="28"/>
          <w:szCs w:val="28"/>
          <w:lang w:val="en-US" w:eastAsia="zh-CN"/>
        </w:rPr>
        <w:t>13</w:t>
      </w:r>
      <w:r>
        <w:rPr>
          <w:color w:val="auto"/>
          <w:kern w:val="0"/>
          <w:sz w:val="28"/>
          <w:szCs w:val="28"/>
        </w:rPr>
        <w:t>年</w:t>
      </w:r>
      <w:r>
        <w:rPr>
          <w:rFonts w:hint="eastAsia"/>
          <w:color w:val="auto"/>
          <w:kern w:val="0"/>
          <w:sz w:val="28"/>
          <w:szCs w:val="28"/>
          <w:lang w:val="en-US" w:eastAsia="zh-CN"/>
        </w:rPr>
        <w:t>1</w:t>
      </w:r>
      <w:r>
        <w:rPr>
          <w:color w:val="auto"/>
          <w:kern w:val="0"/>
          <w:sz w:val="28"/>
          <w:szCs w:val="28"/>
        </w:rPr>
        <w:t>月-20</w:t>
      </w:r>
      <w:r>
        <w:rPr>
          <w:rFonts w:hint="eastAsia"/>
          <w:color w:val="auto"/>
          <w:kern w:val="0"/>
          <w:sz w:val="28"/>
          <w:szCs w:val="28"/>
          <w:lang w:val="en-US" w:eastAsia="zh-CN"/>
        </w:rPr>
        <w:t>26</w:t>
      </w:r>
      <w:r>
        <w:rPr>
          <w:color w:val="auto"/>
          <w:kern w:val="0"/>
          <w:sz w:val="28"/>
          <w:szCs w:val="28"/>
        </w:rPr>
        <w:t>年</w:t>
      </w:r>
      <w:r>
        <w:rPr>
          <w:rFonts w:hint="eastAsia"/>
          <w:color w:val="auto"/>
          <w:kern w:val="0"/>
          <w:sz w:val="28"/>
          <w:szCs w:val="28"/>
          <w:lang w:val="en-US" w:eastAsia="zh-CN"/>
        </w:rPr>
        <w:t>6</w:t>
      </w:r>
      <w:r>
        <w:rPr>
          <w:color w:val="auto"/>
          <w:kern w:val="0"/>
          <w:sz w:val="28"/>
          <w:szCs w:val="28"/>
        </w:rPr>
        <w:t>月），修复管护期即（20</w:t>
      </w:r>
      <w:r>
        <w:rPr>
          <w:rFonts w:hint="eastAsia"/>
          <w:color w:val="auto"/>
          <w:kern w:val="0"/>
          <w:sz w:val="28"/>
          <w:szCs w:val="28"/>
          <w:lang w:val="en-US" w:eastAsia="zh-CN"/>
        </w:rPr>
        <w:t>26</w:t>
      </w:r>
      <w:r>
        <w:rPr>
          <w:color w:val="auto"/>
          <w:kern w:val="0"/>
          <w:sz w:val="28"/>
          <w:szCs w:val="28"/>
        </w:rPr>
        <w:t>年</w:t>
      </w:r>
      <w:r>
        <w:rPr>
          <w:rFonts w:hint="eastAsia"/>
          <w:color w:val="auto"/>
          <w:kern w:val="0"/>
          <w:sz w:val="28"/>
          <w:szCs w:val="28"/>
          <w:lang w:val="en-US" w:eastAsia="zh-CN"/>
        </w:rPr>
        <w:t>10</w:t>
      </w:r>
      <w:r>
        <w:rPr>
          <w:color w:val="auto"/>
          <w:kern w:val="0"/>
          <w:sz w:val="28"/>
          <w:szCs w:val="28"/>
        </w:rPr>
        <w:t>月-20</w:t>
      </w:r>
      <w:r>
        <w:rPr>
          <w:rFonts w:hint="eastAsia"/>
          <w:color w:val="auto"/>
          <w:kern w:val="0"/>
          <w:sz w:val="28"/>
          <w:szCs w:val="28"/>
          <w:lang w:val="en-US" w:eastAsia="zh-CN"/>
        </w:rPr>
        <w:t>30</w:t>
      </w:r>
      <w:r>
        <w:rPr>
          <w:color w:val="auto"/>
          <w:kern w:val="0"/>
          <w:sz w:val="28"/>
          <w:szCs w:val="28"/>
        </w:rPr>
        <w:t>年</w:t>
      </w:r>
      <w:r>
        <w:rPr>
          <w:rFonts w:hint="eastAsia"/>
          <w:color w:val="auto"/>
          <w:kern w:val="0"/>
          <w:sz w:val="28"/>
          <w:szCs w:val="28"/>
          <w:lang w:val="en-US" w:eastAsia="zh-CN"/>
        </w:rPr>
        <w:t>9</w:t>
      </w:r>
      <w:r>
        <w:rPr>
          <w:color w:val="auto"/>
          <w:kern w:val="0"/>
          <w:sz w:val="28"/>
          <w:szCs w:val="28"/>
        </w:rPr>
        <w:t>月），矿区生态修复时序表见表3-</w:t>
      </w:r>
      <w:r>
        <w:rPr>
          <w:rFonts w:hint="eastAsia"/>
          <w:color w:val="auto"/>
          <w:kern w:val="0"/>
          <w:sz w:val="28"/>
          <w:szCs w:val="28"/>
          <w:lang w:val="en-US" w:eastAsia="zh-CN"/>
        </w:rPr>
        <w:t>38</w:t>
      </w:r>
      <w:r>
        <w:rPr>
          <w:color w:val="auto"/>
          <w:kern w:val="0"/>
          <w:sz w:val="28"/>
          <w:szCs w:val="28"/>
        </w:rPr>
        <w:t>。</w:t>
      </w:r>
    </w:p>
    <w:p w14:paraId="09A2C4F5">
      <w:pPr>
        <w:widowControl/>
        <w:jc w:val="center"/>
        <w:rPr>
          <w:rFonts w:hint="eastAsia" w:ascii="黑体" w:hAnsi="黑体" w:eastAsia="黑体" w:cs="宋体"/>
          <w:color w:val="auto"/>
          <w:kern w:val="0"/>
          <w:sz w:val="24"/>
          <w:szCs w:val="24"/>
        </w:rPr>
      </w:pPr>
      <w:r>
        <w:rPr>
          <w:rFonts w:hint="eastAsia" w:ascii="黑体" w:hAnsi="黑体" w:eastAsia="黑体" w:cs="宋体"/>
          <w:color w:val="auto"/>
          <w:kern w:val="0"/>
          <w:sz w:val="24"/>
          <w:szCs w:val="24"/>
        </w:rPr>
        <w:t>表3-</w:t>
      </w:r>
      <w:r>
        <w:rPr>
          <w:rFonts w:hint="eastAsia" w:ascii="黑体" w:hAnsi="黑体" w:eastAsia="黑体" w:cs="宋体"/>
          <w:color w:val="auto"/>
          <w:kern w:val="0"/>
          <w:sz w:val="24"/>
          <w:szCs w:val="24"/>
          <w:lang w:val="en-US" w:eastAsia="zh-CN"/>
        </w:rPr>
        <w:t>38</w:t>
      </w:r>
      <w:r>
        <w:rPr>
          <w:rFonts w:hint="eastAsia" w:ascii="黑体" w:hAnsi="黑体" w:eastAsia="黑体" w:cs="宋体"/>
          <w:color w:val="auto"/>
          <w:kern w:val="0"/>
          <w:sz w:val="24"/>
          <w:szCs w:val="24"/>
        </w:rPr>
        <w:t xml:space="preserve">  矿区生态修复时序表</w:t>
      </w:r>
    </w:p>
    <w:tbl>
      <w:tblPr>
        <w:tblStyle w:val="3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80"/>
        <w:gridCol w:w="1903"/>
        <w:gridCol w:w="1971"/>
        <w:gridCol w:w="3645"/>
      </w:tblGrid>
      <w:tr w14:paraId="7C927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exact"/>
        </w:trPr>
        <w:tc>
          <w:tcPr>
            <w:tcW w:w="470" w:type="pct"/>
            <w:shd w:val="clear" w:color="auto" w:fill="auto"/>
            <w:vAlign w:val="center"/>
          </w:tcPr>
          <w:p w14:paraId="21F84878">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1146" w:type="pct"/>
            <w:shd w:val="clear" w:color="auto" w:fill="auto"/>
            <w:vAlign w:val="center"/>
          </w:tcPr>
          <w:p w14:paraId="4BCFE122">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修复单元</w:t>
            </w:r>
          </w:p>
        </w:tc>
        <w:tc>
          <w:tcPr>
            <w:tcW w:w="1187" w:type="pct"/>
            <w:shd w:val="clear" w:color="auto" w:fill="auto"/>
            <w:vAlign w:val="center"/>
          </w:tcPr>
          <w:p w14:paraId="734DF8F8">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修复时间</w:t>
            </w:r>
          </w:p>
        </w:tc>
        <w:tc>
          <w:tcPr>
            <w:tcW w:w="2195" w:type="pct"/>
            <w:shd w:val="clear" w:color="auto" w:fill="auto"/>
            <w:vAlign w:val="center"/>
          </w:tcPr>
          <w:p w14:paraId="47ABA420">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修复措施</w:t>
            </w:r>
          </w:p>
        </w:tc>
      </w:tr>
      <w:tr w14:paraId="60ABD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exact"/>
        </w:trPr>
        <w:tc>
          <w:tcPr>
            <w:tcW w:w="470" w:type="pct"/>
            <w:shd w:val="clear" w:color="auto" w:fill="auto"/>
            <w:vAlign w:val="center"/>
          </w:tcPr>
          <w:p w14:paraId="09D6AE1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146" w:type="pct"/>
            <w:shd w:val="clear" w:color="auto" w:fill="auto"/>
            <w:vAlign w:val="center"/>
          </w:tcPr>
          <w:p w14:paraId="28CE9A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0"/>
                <w:szCs w:val="20"/>
                <w:u w:val="none"/>
                <w:lang w:val="en-US" w:eastAsia="zh-CN" w:bidi="ar"/>
              </w:rPr>
              <w:t>露天采场</w:t>
            </w:r>
          </w:p>
        </w:tc>
        <w:tc>
          <w:tcPr>
            <w:tcW w:w="1187" w:type="pct"/>
            <w:shd w:val="clear" w:color="auto" w:fill="auto"/>
            <w:vAlign w:val="center"/>
          </w:tcPr>
          <w:p w14:paraId="18564F1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26</w:t>
            </w: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7</w:t>
            </w: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28</w:t>
            </w: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06</w:t>
            </w:r>
          </w:p>
        </w:tc>
        <w:tc>
          <w:tcPr>
            <w:tcW w:w="2195" w:type="pct"/>
            <w:shd w:val="clear" w:color="auto" w:fill="auto"/>
            <w:vAlign w:val="center"/>
          </w:tcPr>
          <w:p w14:paraId="3E1EDD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auto"/>
                <w:kern w:val="0"/>
                <w:sz w:val="21"/>
                <w:szCs w:val="21"/>
                <w:u w:val="none"/>
                <w:lang w:val="en-US" w:eastAsia="zh-CN" w:bidi="ar"/>
              </w:rPr>
              <w:t>垫坡、削坡整形、清理岩体、回填采坑、</w:t>
            </w:r>
            <w:r>
              <w:rPr>
                <w:rFonts w:hint="eastAsia" w:ascii="宋体" w:hAnsi="宋体" w:eastAsia="宋体" w:cs="宋体"/>
                <w:i w:val="0"/>
                <w:iCs w:val="0"/>
                <w:color w:val="auto"/>
                <w:kern w:val="0"/>
                <w:sz w:val="21"/>
                <w:szCs w:val="21"/>
                <w:u w:val="none"/>
                <w:lang w:val="en-US" w:eastAsia="zh-CN" w:bidi="ar"/>
              </w:rPr>
              <w:t>覆土、恢复植被</w:t>
            </w:r>
          </w:p>
        </w:tc>
      </w:tr>
      <w:tr w14:paraId="440EB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470" w:type="pct"/>
            <w:shd w:val="clear" w:color="auto" w:fill="auto"/>
            <w:vAlign w:val="center"/>
          </w:tcPr>
          <w:p w14:paraId="67B71D9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146" w:type="pct"/>
            <w:shd w:val="clear" w:color="auto" w:fill="auto"/>
            <w:vAlign w:val="center"/>
          </w:tcPr>
          <w:p w14:paraId="54B3088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cs="宋体"/>
                <w:i w:val="0"/>
                <w:iCs w:val="0"/>
                <w:color w:val="auto"/>
                <w:kern w:val="0"/>
                <w:sz w:val="20"/>
                <w:szCs w:val="20"/>
                <w:u w:val="none"/>
                <w:lang w:val="en-US" w:eastAsia="zh-CN" w:bidi="ar"/>
              </w:rPr>
              <w:t>1#</w:t>
            </w:r>
            <w:r>
              <w:rPr>
                <w:rFonts w:hint="eastAsia" w:ascii="宋体" w:hAnsi="宋体" w:eastAsia="宋体" w:cs="宋体"/>
                <w:i w:val="0"/>
                <w:iCs w:val="0"/>
                <w:color w:val="auto"/>
                <w:kern w:val="0"/>
                <w:sz w:val="20"/>
                <w:szCs w:val="20"/>
                <w:u w:val="none"/>
                <w:lang w:val="en-US" w:eastAsia="zh-CN" w:bidi="ar"/>
              </w:rPr>
              <w:t>废石场</w:t>
            </w:r>
          </w:p>
        </w:tc>
        <w:tc>
          <w:tcPr>
            <w:tcW w:w="1187" w:type="pct"/>
            <w:shd w:val="clear" w:color="auto" w:fill="auto"/>
            <w:vAlign w:val="center"/>
          </w:tcPr>
          <w:p w14:paraId="15D1401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26</w:t>
            </w: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7</w:t>
            </w: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28</w:t>
            </w: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06</w:t>
            </w:r>
          </w:p>
        </w:tc>
        <w:tc>
          <w:tcPr>
            <w:tcW w:w="2195" w:type="pct"/>
            <w:shd w:val="clear" w:color="auto" w:fill="auto"/>
            <w:vAlign w:val="center"/>
          </w:tcPr>
          <w:p w14:paraId="550814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auto"/>
                <w:kern w:val="0"/>
                <w:sz w:val="21"/>
                <w:szCs w:val="21"/>
                <w:u w:val="none"/>
                <w:lang w:val="en-US" w:eastAsia="zh-CN" w:bidi="ar"/>
              </w:rPr>
              <w:t>削坡压脚整形</w:t>
            </w:r>
            <w:r>
              <w:rPr>
                <w:rFonts w:hint="eastAsia" w:ascii="宋体" w:hAnsi="宋体" w:eastAsia="宋体" w:cs="宋体"/>
                <w:i w:val="0"/>
                <w:iCs w:val="0"/>
                <w:color w:val="auto"/>
                <w:kern w:val="0"/>
                <w:sz w:val="21"/>
                <w:szCs w:val="21"/>
                <w:u w:val="none"/>
                <w:lang w:val="en-US" w:eastAsia="zh-CN" w:bidi="ar"/>
              </w:rPr>
              <w:t>、覆土、恢复植被</w:t>
            </w:r>
          </w:p>
        </w:tc>
      </w:tr>
      <w:tr w14:paraId="1A129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470" w:type="pct"/>
            <w:shd w:val="clear" w:color="auto" w:fill="auto"/>
            <w:vAlign w:val="center"/>
          </w:tcPr>
          <w:p w14:paraId="12C4DA6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1146" w:type="pct"/>
            <w:shd w:val="clear" w:color="auto" w:fill="auto"/>
            <w:noWrap/>
            <w:vAlign w:val="center"/>
          </w:tcPr>
          <w:p w14:paraId="44F418D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cs="宋体"/>
                <w:i w:val="0"/>
                <w:iCs w:val="0"/>
                <w:color w:val="auto"/>
                <w:kern w:val="0"/>
                <w:sz w:val="20"/>
                <w:szCs w:val="20"/>
                <w:u w:val="none"/>
                <w:lang w:val="en-US" w:eastAsia="zh-CN" w:bidi="ar"/>
              </w:rPr>
              <w:t>2#废</w:t>
            </w:r>
            <w:r>
              <w:rPr>
                <w:rFonts w:hint="eastAsia" w:ascii="宋体" w:hAnsi="宋体" w:eastAsia="宋体" w:cs="宋体"/>
                <w:i w:val="0"/>
                <w:iCs w:val="0"/>
                <w:color w:val="auto"/>
                <w:kern w:val="0"/>
                <w:sz w:val="20"/>
                <w:szCs w:val="20"/>
                <w:u w:val="none"/>
                <w:lang w:val="en-US" w:eastAsia="zh-CN" w:bidi="ar"/>
              </w:rPr>
              <w:t>石场</w:t>
            </w:r>
          </w:p>
        </w:tc>
        <w:tc>
          <w:tcPr>
            <w:tcW w:w="1187" w:type="pct"/>
            <w:shd w:val="clear" w:color="auto" w:fill="auto"/>
            <w:vAlign w:val="center"/>
          </w:tcPr>
          <w:p w14:paraId="37B1224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26</w:t>
            </w: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7</w:t>
            </w: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28</w:t>
            </w: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06</w:t>
            </w:r>
          </w:p>
        </w:tc>
        <w:tc>
          <w:tcPr>
            <w:tcW w:w="2195" w:type="pct"/>
            <w:shd w:val="clear" w:color="auto" w:fill="auto"/>
            <w:vAlign w:val="center"/>
          </w:tcPr>
          <w:p w14:paraId="135DF6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auto"/>
                <w:kern w:val="0"/>
                <w:sz w:val="21"/>
                <w:szCs w:val="21"/>
                <w:u w:val="none"/>
                <w:lang w:val="en-US" w:eastAsia="zh-CN" w:bidi="ar"/>
              </w:rPr>
              <w:t>清运、垫坡</w:t>
            </w:r>
            <w:r>
              <w:rPr>
                <w:rFonts w:hint="eastAsia" w:ascii="宋体" w:hAnsi="宋体" w:eastAsia="宋体" w:cs="宋体"/>
                <w:i w:val="0"/>
                <w:iCs w:val="0"/>
                <w:color w:val="auto"/>
                <w:kern w:val="0"/>
                <w:sz w:val="21"/>
                <w:szCs w:val="21"/>
                <w:u w:val="none"/>
                <w:lang w:val="en-US" w:eastAsia="zh-CN" w:bidi="ar"/>
              </w:rPr>
              <w:t>、覆土、恢复植被</w:t>
            </w:r>
          </w:p>
        </w:tc>
      </w:tr>
      <w:tr w14:paraId="09146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470" w:type="pct"/>
            <w:shd w:val="clear" w:color="auto" w:fill="auto"/>
            <w:vAlign w:val="center"/>
          </w:tcPr>
          <w:p w14:paraId="4E296D5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1146" w:type="pct"/>
            <w:shd w:val="clear" w:color="auto" w:fill="auto"/>
            <w:noWrap/>
            <w:vAlign w:val="center"/>
          </w:tcPr>
          <w:p w14:paraId="07D84D4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1#废渣堆</w:t>
            </w:r>
          </w:p>
        </w:tc>
        <w:tc>
          <w:tcPr>
            <w:tcW w:w="1187" w:type="pct"/>
            <w:shd w:val="clear" w:color="auto" w:fill="auto"/>
            <w:vAlign w:val="center"/>
          </w:tcPr>
          <w:p w14:paraId="2FDE2E4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26</w:t>
            </w: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7</w:t>
            </w: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28</w:t>
            </w: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06</w:t>
            </w:r>
          </w:p>
        </w:tc>
        <w:tc>
          <w:tcPr>
            <w:tcW w:w="2195" w:type="pct"/>
            <w:shd w:val="clear" w:color="auto" w:fill="auto"/>
            <w:vAlign w:val="center"/>
          </w:tcPr>
          <w:p w14:paraId="19FC50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auto"/>
                <w:kern w:val="0"/>
                <w:sz w:val="21"/>
                <w:szCs w:val="21"/>
                <w:u w:val="none"/>
                <w:lang w:val="en-US" w:eastAsia="zh-CN" w:bidi="ar"/>
              </w:rPr>
              <w:t>削坡压脚整形</w:t>
            </w:r>
            <w:r>
              <w:rPr>
                <w:rFonts w:hint="eastAsia" w:ascii="宋体" w:hAnsi="宋体" w:eastAsia="宋体" w:cs="宋体"/>
                <w:i w:val="0"/>
                <w:iCs w:val="0"/>
                <w:color w:val="auto"/>
                <w:kern w:val="0"/>
                <w:sz w:val="21"/>
                <w:szCs w:val="21"/>
                <w:u w:val="none"/>
                <w:lang w:val="en-US" w:eastAsia="zh-CN" w:bidi="ar"/>
              </w:rPr>
              <w:t>、覆土、恢复植被</w:t>
            </w:r>
          </w:p>
        </w:tc>
      </w:tr>
      <w:tr w14:paraId="562C9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470" w:type="pct"/>
            <w:shd w:val="clear" w:color="auto" w:fill="auto"/>
            <w:vAlign w:val="center"/>
          </w:tcPr>
          <w:p w14:paraId="21016D7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1146" w:type="pct"/>
            <w:shd w:val="clear" w:color="auto" w:fill="auto"/>
            <w:vAlign w:val="center"/>
          </w:tcPr>
          <w:p w14:paraId="13216F0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2#废渣堆</w:t>
            </w:r>
          </w:p>
        </w:tc>
        <w:tc>
          <w:tcPr>
            <w:tcW w:w="1187" w:type="pct"/>
            <w:shd w:val="clear" w:color="auto" w:fill="auto"/>
            <w:vAlign w:val="center"/>
          </w:tcPr>
          <w:p w14:paraId="7FDD6ED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26</w:t>
            </w: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7</w:t>
            </w: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28</w:t>
            </w: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06</w:t>
            </w:r>
          </w:p>
        </w:tc>
        <w:tc>
          <w:tcPr>
            <w:tcW w:w="2195" w:type="pct"/>
            <w:shd w:val="clear" w:color="auto" w:fill="auto"/>
            <w:vAlign w:val="center"/>
          </w:tcPr>
          <w:p w14:paraId="054CCF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auto"/>
                <w:kern w:val="0"/>
                <w:sz w:val="21"/>
                <w:szCs w:val="21"/>
                <w:u w:val="none"/>
                <w:lang w:val="en-US" w:eastAsia="zh-CN" w:bidi="ar"/>
              </w:rPr>
              <w:t>削坡压脚整形</w:t>
            </w:r>
            <w:r>
              <w:rPr>
                <w:rFonts w:hint="eastAsia" w:ascii="宋体" w:hAnsi="宋体" w:eastAsia="宋体" w:cs="宋体"/>
                <w:i w:val="0"/>
                <w:iCs w:val="0"/>
                <w:color w:val="auto"/>
                <w:kern w:val="0"/>
                <w:sz w:val="21"/>
                <w:szCs w:val="21"/>
                <w:u w:val="none"/>
                <w:lang w:val="en-US" w:eastAsia="zh-CN" w:bidi="ar"/>
              </w:rPr>
              <w:t>、覆土、恢复植被</w:t>
            </w:r>
          </w:p>
        </w:tc>
      </w:tr>
      <w:tr w14:paraId="54DBC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470" w:type="pct"/>
            <w:shd w:val="clear" w:color="auto" w:fill="auto"/>
            <w:vAlign w:val="center"/>
          </w:tcPr>
          <w:p w14:paraId="241A2F8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p>
        </w:tc>
        <w:tc>
          <w:tcPr>
            <w:tcW w:w="1146" w:type="pct"/>
            <w:shd w:val="clear" w:color="auto" w:fill="auto"/>
            <w:vAlign w:val="center"/>
          </w:tcPr>
          <w:p w14:paraId="66C30A4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3#废渣堆</w:t>
            </w:r>
          </w:p>
        </w:tc>
        <w:tc>
          <w:tcPr>
            <w:tcW w:w="1187" w:type="pct"/>
            <w:shd w:val="clear" w:color="auto" w:fill="auto"/>
            <w:vAlign w:val="center"/>
          </w:tcPr>
          <w:p w14:paraId="5104BD9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26</w:t>
            </w: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7</w:t>
            </w: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28</w:t>
            </w: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06</w:t>
            </w:r>
          </w:p>
        </w:tc>
        <w:tc>
          <w:tcPr>
            <w:tcW w:w="2195" w:type="pct"/>
            <w:shd w:val="clear" w:color="auto" w:fill="auto"/>
            <w:vAlign w:val="center"/>
          </w:tcPr>
          <w:p w14:paraId="4BDFDF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auto"/>
                <w:kern w:val="0"/>
                <w:sz w:val="21"/>
                <w:szCs w:val="21"/>
                <w:u w:val="none"/>
                <w:lang w:val="en-US" w:eastAsia="zh-CN" w:bidi="ar"/>
              </w:rPr>
              <w:t>削坡压脚整形</w:t>
            </w:r>
            <w:r>
              <w:rPr>
                <w:rFonts w:hint="eastAsia" w:ascii="宋体" w:hAnsi="宋体" w:eastAsia="宋体" w:cs="宋体"/>
                <w:i w:val="0"/>
                <w:iCs w:val="0"/>
                <w:color w:val="auto"/>
                <w:kern w:val="0"/>
                <w:sz w:val="21"/>
                <w:szCs w:val="21"/>
                <w:u w:val="none"/>
                <w:lang w:val="en-US" w:eastAsia="zh-CN" w:bidi="ar"/>
              </w:rPr>
              <w:t>、覆土、恢复植被</w:t>
            </w:r>
          </w:p>
        </w:tc>
      </w:tr>
      <w:tr w14:paraId="635D0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470" w:type="pct"/>
            <w:shd w:val="clear" w:color="auto" w:fill="auto"/>
            <w:vAlign w:val="center"/>
          </w:tcPr>
          <w:p w14:paraId="1DAEBB9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7</w:t>
            </w:r>
          </w:p>
        </w:tc>
        <w:tc>
          <w:tcPr>
            <w:tcW w:w="1146" w:type="pct"/>
            <w:shd w:val="clear" w:color="auto" w:fill="auto"/>
            <w:vAlign w:val="center"/>
          </w:tcPr>
          <w:p w14:paraId="5A84FA7A">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cs="Times New Roman"/>
                <w:i w:val="0"/>
                <w:iCs w:val="0"/>
                <w:color w:val="auto"/>
                <w:kern w:val="0"/>
                <w:sz w:val="21"/>
                <w:szCs w:val="21"/>
                <w:u w:val="none"/>
                <w:lang w:val="en-US" w:eastAsia="zh-CN" w:bidi="ar"/>
              </w:rPr>
              <w:t>工业场地</w:t>
            </w:r>
          </w:p>
        </w:tc>
        <w:tc>
          <w:tcPr>
            <w:tcW w:w="1187" w:type="pct"/>
            <w:shd w:val="clear" w:color="auto" w:fill="auto"/>
            <w:vAlign w:val="center"/>
          </w:tcPr>
          <w:p w14:paraId="10A36B0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26</w:t>
            </w: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7</w:t>
            </w: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28</w:t>
            </w: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06</w:t>
            </w:r>
          </w:p>
        </w:tc>
        <w:tc>
          <w:tcPr>
            <w:tcW w:w="2195" w:type="pct"/>
            <w:shd w:val="clear" w:color="auto" w:fill="auto"/>
            <w:vAlign w:val="center"/>
          </w:tcPr>
          <w:p w14:paraId="23E47729">
            <w:pPr>
              <w:keepNext w:val="0"/>
              <w:keepLines w:val="0"/>
              <w:widowControl/>
              <w:suppressLineNumbers w:val="0"/>
              <w:jc w:val="center"/>
              <w:textAlignment w:val="center"/>
              <w:rPr>
                <w:rFonts w:hint="default" w:ascii="宋体" w:hAnsi="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拆除、清运、整平、覆土、</w:t>
            </w:r>
            <w:r>
              <w:rPr>
                <w:rFonts w:hint="eastAsia" w:ascii="宋体" w:hAnsi="宋体" w:eastAsia="宋体" w:cs="宋体"/>
                <w:i w:val="0"/>
                <w:iCs w:val="0"/>
                <w:color w:val="auto"/>
                <w:kern w:val="0"/>
                <w:sz w:val="21"/>
                <w:szCs w:val="21"/>
                <w:u w:val="none"/>
                <w:lang w:val="en-US" w:eastAsia="zh-CN" w:bidi="ar"/>
              </w:rPr>
              <w:t>恢复植被</w:t>
            </w:r>
          </w:p>
        </w:tc>
      </w:tr>
      <w:tr w14:paraId="68517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470" w:type="pct"/>
            <w:shd w:val="clear" w:color="auto" w:fill="auto"/>
            <w:vAlign w:val="center"/>
          </w:tcPr>
          <w:p w14:paraId="75D4068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kern w:val="0"/>
                <w:sz w:val="21"/>
                <w:szCs w:val="21"/>
                <w:u w:val="none"/>
                <w:lang w:val="en-US" w:eastAsia="zh-CN" w:bidi="ar"/>
              </w:rPr>
              <w:t>8</w:t>
            </w:r>
          </w:p>
        </w:tc>
        <w:tc>
          <w:tcPr>
            <w:tcW w:w="1146" w:type="pct"/>
            <w:shd w:val="clear" w:color="auto" w:fill="auto"/>
            <w:vAlign w:val="center"/>
          </w:tcPr>
          <w:p w14:paraId="0B866B9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矿区道路</w:t>
            </w:r>
          </w:p>
        </w:tc>
        <w:tc>
          <w:tcPr>
            <w:tcW w:w="1187" w:type="pct"/>
            <w:shd w:val="clear" w:color="auto" w:fill="auto"/>
            <w:vAlign w:val="center"/>
          </w:tcPr>
          <w:p w14:paraId="4718768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26</w:t>
            </w: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7</w:t>
            </w: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28</w:t>
            </w: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06</w:t>
            </w:r>
          </w:p>
        </w:tc>
        <w:tc>
          <w:tcPr>
            <w:tcW w:w="2195" w:type="pct"/>
            <w:shd w:val="clear" w:color="auto" w:fill="auto"/>
            <w:vAlign w:val="center"/>
          </w:tcPr>
          <w:p w14:paraId="3B1382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auto"/>
                <w:kern w:val="0"/>
                <w:sz w:val="21"/>
                <w:szCs w:val="21"/>
                <w:u w:val="none"/>
                <w:lang w:val="en-US" w:eastAsia="zh-CN" w:bidi="ar"/>
              </w:rPr>
              <w:t>垫坡、回填、</w:t>
            </w:r>
            <w:r>
              <w:rPr>
                <w:rFonts w:hint="eastAsia" w:ascii="宋体" w:hAnsi="宋体" w:eastAsia="宋体" w:cs="宋体"/>
                <w:i w:val="0"/>
                <w:iCs w:val="0"/>
                <w:color w:val="auto"/>
                <w:kern w:val="0"/>
                <w:sz w:val="21"/>
                <w:szCs w:val="21"/>
                <w:u w:val="none"/>
                <w:lang w:val="en-US" w:eastAsia="zh-CN" w:bidi="ar"/>
              </w:rPr>
              <w:t>覆土、恢复植被</w:t>
            </w:r>
          </w:p>
        </w:tc>
      </w:tr>
    </w:tbl>
    <w:p w14:paraId="0D2049A2">
      <w:pPr>
        <w:widowControl/>
        <w:jc w:val="center"/>
        <w:rPr>
          <w:rFonts w:hint="eastAsia" w:ascii="黑体" w:hAnsi="黑体" w:eastAsia="黑体" w:cs="宋体"/>
          <w:color w:val="auto"/>
          <w:sz w:val="24"/>
          <w:szCs w:val="24"/>
        </w:rPr>
      </w:pPr>
    </w:p>
    <w:p w14:paraId="2AB57A75">
      <w:pPr>
        <w:pStyle w:val="3"/>
        <w:spacing w:before="120" w:beforeLines="50"/>
        <w:rPr>
          <w:rFonts w:ascii="Times New Roman" w:hAnsi="Times New Roman"/>
          <w:color w:val="auto"/>
        </w:rPr>
      </w:pPr>
      <w:bookmarkStart w:id="74" w:name="_Toc24091"/>
      <w:r>
        <w:rPr>
          <w:rFonts w:hint="eastAsia" w:ascii="Times New Roman" w:hAnsi="Times New Roman"/>
          <w:color w:val="auto"/>
        </w:rPr>
        <w:t>第四节  采矿用地与复垦修复安排</w:t>
      </w:r>
      <w:bookmarkEnd w:id="74"/>
    </w:p>
    <w:p w14:paraId="0F27B399">
      <w:pPr>
        <w:pStyle w:val="44"/>
        <w:spacing w:line="360" w:lineRule="auto"/>
        <w:ind w:firstLine="562" w:firstLineChars="200"/>
        <w:jc w:val="both"/>
        <w:outlineLvl w:val="2"/>
        <w:rPr>
          <w:b/>
          <w:bCs/>
          <w:color w:val="auto"/>
          <w:sz w:val="28"/>
          <w:szCs w:val="28"/>
        </w:rPr>
      </w:pPr>
      <w:r>
        <w:rPr>
          <w:rFonts w:hint="eastAsia"/>
          <w:b/>
          <w:bCs/>
          <w:color w:val="auto"/>
          <w:sz w:val="28"/>
          <w:szCs w:val="28"/>
        </w:rPr>
        <w:t>一、采矿用地安排</w:t>
      </w:r>
    </w:p>
    <w:p w14:paraId="0121A6F0">
      <w:pPr>
        <w:pStyle w:val="69"/>
        <w:spacing w:line="360" w:lineRule="auto"/>
        <w:ind w:firstLine="560"/>
        <w:rPr>
          <w:rFonts w:eastAsia="宋体"/>
          <w:color w:val="auto"/>
          <w:szCs w:val="28"/>
        </w:rPr>
      </w:pPr>
      <w:r>
        <w:rPr>
          <w:rFonts w:hint="eastAsia" w:eastAsia="宋体" w:cs="Times New Roman"/>
          <w:color w:val="auto"/>
          <w:sz w:val="28"/>
          <w:szCs w:val="28"/>
          <w:lang w:eastAsia="zh-CN"/>
        </w:rPr>
        <w:t>松山区初头朗镇窑沟门碎石矿</w:t>
      </w:r>
      <w:r>
        <w:rPr>
          <w:rFonts w:hint="eastAsia" w:eastAsia="宋体"/>
          <w:color w:val="auto"/>
          <w:szCs w:val="28"/>
          <w:lang w:val="en-US"/>
        </w:rPr>
        <w:t>用地</w:t>
      </w:r>
      <w:r>
        <w:rPr>
          <w:rFonts w:eastAsia="宋体"/>
          <w:color w:val="auto"/>
          <w:szCs w:val="28"/>
        </w:rPr>
        <w:t>范围</w:t>
      </w:r>
      <w:bookmarkStart w:id="75" w:name="_Hlk221392589"/>
      <w:r>
        <w:rPr>
          <w:rFonts w:hint="eastAsia" w:eastAsia="宋体"/>
          <w:color w:val="auto"/>
          <w:szCs w:val="28"/>
          <w:lang w:val="en-US" w:eastAsia="zh-CN"/>
        </w:rPr>
        <w:t>不涉及</w:t>
      </w:r>
      <w:r>
        <w:rPr>
          <w:rFonts w:eastAsia="宋体"/>
          <w:color w:val="auto"/>
          <w:szCs w:val="28"/>
        </w:rPr>
        <w:t>永久基本农田</w:t>
      </w:r>
      <w:bookmarkEnd w:id="75"/>
      <w:r>
        <w:rPr>
          <w:rFonts w:eastAsia="宋体"/>
          <w:color w:val="auto"/>
          <w:szCs w:val="28"/>
        </w:rPr>
        <w:t>。</w:t>
      </w:r>
    </w:p>
    <w:p w14:paraId="030DFB11">
      <w:pPr>
        <w:pStyle w:val="69"/>
        <w:spacing w:line="360" w:lineRule="auto"/>
        <w:ind w:firstLine="560"/>
        <w:rPr>
          <w:rFonts w:eastAsia="宋体"/>
          <w:color w:val="auto"/>
          <w:szCs w:val="28"/>
        </w:rPr>
      </w:pPr>
      <w:r>
        <w:rPr>
          <w:rFonts w:hint="eastAsia" w:eastAsia="宋体"/>
          <w:color w:val="auto"/>
          <w:szCs w:val="28"/>
          <w:lang w:val="en-US" w:eastAsia="zh-CN"/>
        </w:rPr>
        <w:t>矿山已不再继续开采，</w:t>
      </w:r>
      <w:r>
        <w:rPr>
          <w:rFonts w:eastAsia="宋体"/>
          <w:color w:val="auto"/>
          <w:szCs w:val="28"/>
        </w:rPr>
        <w:t>对于现状</w:t>
      </w:r>
      <w:r>
        <w:rPr>
          <w:rFonts w:hint="eastAsia" w:eastAsia="宋体"/>
          <w:color w:val="auto"/>
          <w:szCs w:val="28"/>
          <w:lang w:val="en-US"/>
        </w:rPr>
        <w:t>已损毁</w:t>
      </w:r>
      <w:r>
        <w:rPr>
          <w:rFonts w:eastAsia="宋体"/>
          <w:color w:val="auto"/>
          <w:szCs w:val="28"/>
        </w:rPr>
        <w:t>工程单元场地，矿业权人计划不再</w:t>
      </w:r>
      <w:r>
        <w:rPr>
          <w:rFonts w:hint="eastAsia" w:eastAsia="宋体"/>
          <w:color w:val="auto"/>
          <w:szCs w:val="28"/>
          <w:lang w:val="en-US"/>
        </w:rPr>
        <w:t>为其</w:t>
      </w:r>
      <w:r>
        <w:rPr>
          <w:rFonts w:eastAsia="宋体"/>
          <w:color w:val="auto"/>
          <w:szCs w:val="28"/>
        </w:rPr>
        <w:t>办理建设用地手续</w:t>
      </w:r>
      <w:r>
        <w:rPr>
          <w:rFonts w:hint="eastAsia" w:eastAsia="宋体"/>
          <w:color w:val="auto"/>
          <w:szCs w:val="28"/>
          <w:lang w:eastAsia="zh-CN"/>
        </w:rPr>
        <w:t>，</w:t>
      </w:r>
      <w:r>
        <w:rPr>
          <w:rFonts w:eastAsia="宋体"/>
          <w:color w:val="auto"/>
          <w:szCs w:val="28"/>
        </w:rPr>
        <w:t>包括：</w:t>
      </w:r>
      <w:r>
        <w:rPr>
          <w:rFonts w:hint="eastAsia" w:eastAsia="宋体"/>
          <w:color w:val="auto"/>
          <w:szCs w:val="28"/>
          <w:lang w:val="en-US" w:eastAsia="zh-CN"/>
        </w:rPr>
        <w:t>露天采场、1#废石场、2#废石场、1#废渣堆、2#废渣堆、3#废渣堆、工业场地、矿区道路</w:t>
      </w:r>
      <w:r>
        <w:rPr>
          <w:rFonts w:hint="eastAsia" w:eastAsiaTheme="minorEastAsia"/>
          <w:color w:val="auto"/>
          <w:szCs w:val="28"/>
        </w:rPr>
        <w:t>；</w:t>
      </w:r>
      <w:r>
        <w:rPr>
          <w:rFonts w:hint="eastAsia" w:eastAsiaTheme="minorEastAsia"/>
          <w:color w:val="auto"/>
          <w:szCs w:val="28"/>
          <w:lang w:val="en-US"/>
        </w:rPr>
        <w:t>以上场地用地手续归属村集体所有，</w:t>
      </w:r>
      <w:r>
        <w:rPr>
          <w:rFonts w:eastAsiaTheme="minorEastAsia"/>
          <w:color w:val="auto"/>
          <w:szCs w:val="28"/>
        </w:rPr>
        <w:t>场地</w:t>
      </w:r>
      <w:r>
        <w:rPr>
          <w:rFonts w:hint="eastAsia" w:eastAsiaTheme="minorEastAsia"/>
          <w:color w:val="auto"/>
          <w:szCs w:val="28"/>
          <w:lang w:val="en-US"/>
        </w:rPr>
        <w:t>近</w:t>
      </w:r>
      <w:r>
        <w:rPr>
          <w:rFonts w:hint="eastAsia" w:eastAsiaTheme="minorEastAsia"/>
          <w:color w:val="auto"/>
          <w:szCs w:val="28"/>
          <w:lang w:val="en-US" w:eastAsia="zh-CN"/>
        </w:rPr>
        <w:t>1</w:t>
      </w:r>
      <w:r>
        <w:rPr>
          <w:rFonts w:hint="eastAsia" w:eastAsiaTheme="minorEastAsia"/>
          <w:color w:val="auto"/>
          <w:szCs w:val="28"/>
          <w:lang w:val="en-US"/>
        </w:rPr>
        <w:t>年全部</w:t>
      </w:r>
      <w:r>
        <w:rPr>
          <w:rFonts w:eastAsiaTheme="minorEastAsia"/>
          <w:color w:val="auto"/>
          <w:szCs w:val="28"/>
        </w:rPr>
        <w:t>修复治理</w:t>
      </w:r>
      <w:r>
        <w:rPr>
          <w:rFonts w:hint="eastAsia" w:eastAsiaTheme="minorEastAsia"/>
          <w:color w:val="auto"/>
          <w:szCs w:val="28"/>
        </w:rPr>
        <w:t>，</w:t>
      </w:r>
      <w:r>
        <w:rPr>
          <w:rFonts w:hint="eastAsia" w:eastAsiaTheme="minorEastAsia"/>
          <w:color w:val="auto"/>
          <w:szCs w:val="28"/>
          <w:lang w:val="en-US"/>
        </w:rPr>
        <w:t>治理后移交使用权人。本方案不</w:t>
      </w:r>
      <w:r>
        <w:rPr>
          <w:rFonts w:hint="eastAsia" w:eastAsiaTheme="minorEastAsia"/>
          <w:color w:val="auto"/>
          <w:szCs w:val="28"/>
          <w:lang w:val="en-US" w:eastAsia="zh-CN"/>
        </w:rPr>
        <w:t>涉及</w:t>
      </w:r>
      <w:r>
        <w:rPr>
          <w:rFonts w:hint="eastAsia" w:eastAsiaTheme="minorEastAsia"/>
          <w:color w:val="auto"/>
          <w:szCs w:val="28"/>
          <w:lang w:val="en-US"/>
        </w:rPr>
        <w:t>临时用地</w:t>
      </w:r>
      <w:r>
        <w:rPr>
          <w:rFonts w:eastAsiaTheme="minorEastAsia"/>
          <w:color w:val="auto"/>
          <w:szCs w:val="28"/>
        </w:rPr>
        <w:t>。</w:t>
      </w:r>
    </w:p>
    <w:p w14:paraId="4A655F4B">
      <w:pPr>
        <w:pStyle w:val="44"/>
        <w:spacing w:line="360" w:lineRule="auto"/>
        <w:ind w:firstLine="703" w:firstLineChars="250"/>
        <w:jc w:val="both"/>
        <w:outlineLvl w:val="2"/>
        <w:rPr>
          <w:b/>
          <w:bCs/>
          <w:color w:val="auto"/>
          <w:sz w:val="28"/>
          <w:szCs w:val="28"/>
        </w:rPr>
      </w:pPr>
      <w:r>
        <w:rPr>
          <w:rFonts w:hint="eastAsia"/>
          <w:b/>
          <w:bCs/>
          <w:color w:val="auto"/>
          <w:sz w:val="28"/>
          <w:szCs w:val="28"/>
        </w:rPr>
        <w:t>二、用地拟复垦情况</w:t>
      </w:r>
    </w:p>
    <w:p w14:paraId="2E05945A">
      <w:pPr>
        <w:spacing w:line="360" w:lineRule="auto"/>
        <w:ind w:firstLine="560" w:firstLineChars="200"/>
        <w:rPr>
          <w:color w:val="auto"/>
          <w:sz w:val="28"/>
          <w:szCs w:val="28"/>
        </w:rPr>
      </w:pPr>
      <w:r>
        <w:rPr>
          <w:rFonts w:hint="eastAsia" w:ascii="宋体" w:hAnsi="宋体" w:cs="宋体"/>
          <w:color w:val="auto"/>
          <w:sz w:val="28"/>
          <w:szCs w:val="28"/>
        </w:rPr>
        <w:t>评估区范围属于</w:t>
      </w:r>
      <w:r>
        <w:rPr>
          <w:rFonts w:hint="eastAsia" w:ascii="宋体" w:hAnsi="宋体" w:cs="宋体"/>
          <w:color w:val="auto"/>
          <w:kern w:val="0"/>
          <w:sz w:val="28"/>
          <w:szCs w:val="28"/>
        </w:rPr>
        <w:t>低中山区，地形起伏较大，局部</w:t>
      </w:r>
      <w:r>
        <w:rPr>
          <w:rFonts w:hint="eastAsia" w:ascii="宋体" w:hAnsi="宋体" w:cs="宋体"/>
          <w:color w:val="auto"/>
          <w:sz w:val="28"/>
          <w:szCs w:val="28"/>
        </w:rPr>
        <w:t>地势陡峭，根据</w:t>
      </w:r>
      <w:r>
        <w:rPr>
          <w:color w:val="auto"/>
          <w:sz w:val="28"/>
          <w:szCs w:val="28"/>
        </w:rPr>
        <w:t>因地制宜、复垦后土地可持续利用原则以及综合效益等原则，复垦方向为</w:t>
      </w:r>
      <w:r>
        <w:rPr>
          <w:rFonts w:hint="eastAsia"/>
          <w:color w:val="auto"/>
          <w:sz w:val="28"/>
          <w:szCs w:val="28"/>
          <w:lang w:val="en-US" w:eastAsia="zh-CN"/>
        </w:rPr>
        <w:t>乔木</w:t>
      </w:r>
      <w:r>
        <w:rPr>
          <w:color w:val="auto"/>
          <w:sz w:val="28"/>
          <w:szCs w:val="28"/>
        </w:rPr>
        <w:t>林地、</w:t>
      </w:r>
      <w:r>
        <w:rPr>
          <w:rFonts w:hint="eastAsia"/>
          <w:color w:val="auto"/>
          <w:sz w:val="28"/>
          <w:szCs w:val="28"/>
          <w:lang w:val="en-US" w:eastAsia="zh-CN"/>
        </w:rPr>
        <w:t>其他</w:t>
      </w:r>
      <w:r>
        <w:rPr>
          <w:color w:val="auto"/>
          <w:sz w:val="28"/>
          <w:szCs w:val="28"/>
        </w:rPr>
        <w:t>草地；复垦林地</w:t>
      </w:r>
      <w:r>
        <w:rPr>
          <w:rFonts w:hint="eastAsia"/>
          <w:color w:val="auto"/>
          <w:sz w:val="28"/>
          <w:szCs w:val="28"/>
          <w:lang w:val="en-US" w:eastAsia="zh-CN"/>
        </w:rPr>
        <w:t>0.0965</w:t>
      </w:r>
      <w:r>
        <w:rPr>
          <w:rFonts w:hint="eastAsia"/>
          <w:color w:val="auto"/>
          <w:sz w:val="28"/>
          <w:szCs w:val="28"/>
        </w:rPr>
        <w:t>h</w:t>
      </w:r>
      <w:r>
        <w:rPr>
          <w:color w:val="auto"/>
          <w:sz w:val="28"/>
          <w:szCs w:val="28"/>
        </w:rPr>
        <w:t>m</w:t>
      </w:r>
      <w:r>
        <w:rPr>
          <w:color w:val="auto"/>
          <w:sz w:val="28"/>
          <w:szCs w:val="28"/>
          <w:vertAlign w:val="superscript"/>
        </w:rPr>
        <w:t>2</w:t>
      </w:r>
      <w:r>
        <w:rPr>
          <w:color w:val="auto"/>
          <w:sz w:val="28"/>
          <w:szCs w:val="28"/>
        </w:rPr>
        <w:t>，占复垦总面积的</w:t>
      </w:r>
      <w:r>
        <w:rPr>
          <w:rFonts w:hint="eastAsia"/>
          <w:color w:val="auto"/>
          <w:sz w:val="28"/>
          <w:szCs w:val="28"/>
          <w:lang w:val="en-US" w:eastAsia="zh-CN"/>
        </w:rPr>
        <w:t>1.25</w:t>
      </w:r>
      <w:r>
        <w:rPr>
          <w:color w:val="auto"/>
          <w:sz w:val="28"/>
          <w:szCs w:val="28"/>
        </w:rPr>
        <w:t>%，复垦草地</w:t>
      </w:r>
      <w:r>
        <w:rPr>
          <w:rFonts w:hint="eastAsia"/>
          <w:color w:val="auto"/>
          <w:sz w:val="28"/>
          <w:szCs w:val="28"/>
          <w:lang w:val="en-US" w:eastAsia="zh-CN"/>
        </w:rPr>
        <w:t>7.5990</w:t>
      </w:r>
      <w:r>
        <w:rPr>
          <w:rFonts w:hint="eastAsia"/>
          <w:color w:val="auto"/>
          <w:sz w:val="28"/>
          <w:szCs w:val="28"/>
        </w:rPr>
        <w:t>h</w:t>
      </w:r>
      <w:r>
        <w:rPr>
          <w:color w:val="auto"/>
          <w:sz w:val="28"/>
          <w:szCs w:val="28"/>
        </w:rPr>
        <w:t>m</w:t>
      </w:r>
      <w:r>
        <w:rPr>
          <w:color w:val="auto"/>
          <w:sz w:val="28"/>
          <w:szCs w:val="28"/>
          <w:vertAlign w:val="superscript"/>
        </w:rPr>
        <w:t>2</w:t>
      </w:r>
      <w:r>
        <w:rPr>
          <w:color w:val="auto"/>
          <w:sz w:val="28"/>
          <w:szCs w:val="28"/>
        </w:rPr>
        <w:t>，占复垦总面积的</w:t>
      </w:r>
      <w:r>
        <w:rPr>
          <w:rFonts w:hint="eastAsia"/>
          <w:color w:val="auto"/>
          <w:sz w:val="28"/>
          <w:szCs w:val="28"/>
          <w:lang w:val="en-US" w:eastAsia="zh-CN"/>
        </w:rPr>
        <w:t>98.75</w:t>
      </w:r>
      <w:r>
        <w:rPr>
          <w:color w:val="auto"/>
          <w:sz w:val="28"/>
          <w:szCs w:val="28"/>
        </w:rPr>
        <w:t>%，注重</w:t>
      </w:r>
      <w:r>
        <w:rPr>
          <w:rFonts w:hint="eastAsia"/>
          <w:color w:val="auto"/>
          <w:sz w:val="28"/>
          <w:szCs w:val="28"/>
          <w:lang w:eastAsia="zh-CN"/>
        </w:rPr>
        <w:t>生态环境保护</w:t>
      </w:r>
      <w:r>
        <w:rPr>
          <w:color w:val="auto"/>
          <w:sz w:val="28"/>
          <w:szCs w:val="28"/>
        </w:rPr>
        <w:t>（复垦单元复垦大地类结构调整见表3-</w:t>
      </w:r>
      <w:r>
        <w:rPr>
          <w:rFonts w:hint="eastAsia"/>
          <w:color w:val="auto"/>
          <w:sz w:val="28"/>
          <w:szCs w:val="28"/>
          <w:lang w:val="en-US" w:eastAsia="zh-CN"/>
        </w:rPr>
        <w:t>40</w:t>
      </w:r>
      <w:r>
        <w:rPr>
          <w:color w:val="auto"/>
          <w:sz w:val="28"/>
          <w:szCs w:val="28"/>
        </w:rPr>
        <w:t>）。</w:t>
      </w:r>
    </w:p>
    <w:p w14:paraId="27191298">
      <w:pPr>
        <w:pStyle w:val="71"/>
        <w:rPr>
          <w:rFonts w:hint="eastAsia" w:ascii="黑体" w:hAnsi="黑体" w:eastAsia="黑体" w:cs="宋体"/>
          <w:color w:val="auto"/>
          <w:sz w:val="24"/>
          <w:szCs w:val="24"/>
        </w:rPr>
      </w:pPr>
      <w:r>
        <w:rPr>
          <w:rFonts w:hint="eastAsia" w:ascii="黑体" w:hAnsi="黑体" w:eastAsia="黑体" w:cs="宋体"/>
          <w:color w:val="auto"/>
          <w:sz w:val="24"/>
          <w:szCs w:val="24"/>
        </w:rPr>
        <w:t>表3-</w:t>
      </w:r>
      <w:r>
        <w:rPr>
          <w:rFonts w:hint="eastAsia" w:ascii="黑体" w:hAnsi="黑体" w:eastAsia="黑体" w:cs="宋体"/>
          <w:color w:val="auto"/>
          <w:sz w:val="24"/>
          <w:szCs w:val="24"/>
          <w:lang w:val="en-US" w:eastAsia="zh-CN"/>
        </w:rPr>
        <w:t>39</w:t>
      </w:r>
      <w:r>
        <w:rPr>
          <w:rFonts w:hint="eastAsia" w:ascii="黑体" w:hAnsi="黑体" w:eastAsia="黑体" w:cs="宋体"/>
          <w:color w:val="auto"/>
          <w:sz w:val="24"/>
          <w:szCs w:val="24"/>
        </w:rPr>
        <w:t xml:space="preserve">  评价单元适宜性评价土地复垦结构调整表</w:t>
      </w:r>
    </w:p>
    <w:tbl>
      <w:tblPr>
        <w:tblStyle w:val="34"/>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83"/>
        <w:gridCol w:w="1575"/>
        <w:gridCol w:w="738"/>
        <w:gridCol w:w="1265"/>
        <w:gridCol w:w="2648"/>
      </w:tblGrid>
      <w:tr w14:paraId="6171F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C32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0"/>
                <w:szCs w:val="20"/>
                <w:u w:val="none"/>
                <w:lang w:val="en-US" w:eastAsia="zh-CN" w:bidi="ar"/>
              </w:rPr>
              <w:t>露天采场</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DE19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0"/>
                <w:szCs w:val="20"/>
                <w:u w:val="none"/>
                <w:lang w:val="en-US" w:eastAsia="zh-CN" w:bidi="ar"/>
              </w:rPr>
              <w:t>35248</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779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草地</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D6E7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0"/>
                <w:szCs w:val="20"/>
                <w:u w:val="none"/>
                <w:lang w:val="en-US" w:eastAsia="zh-CN" w:bidi="ar"/>
              </w:rPr>
              <w:t>35248</w:t>
            </w:r>
          </w:p>
        </w:tc>
        <w:tc>
          <w:tcPr>
            <w:tcW w:w="1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2AAF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26</w:t>
            </w: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7</w:t>
            </w: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28</w:t>
            </w: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06</w:t>
            </w:r>
          </w:p>
        </w:tc>
      </w:tr>
      <w:tr w14:paraId="2A2D3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D1A2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cs="宋体"/>
                <w:i w:val="0"/>
                <w:iCs w:val="0"/>
                <w:color w:val="auto"/>
                <w:kern w:val="0"/>
                <w:sz w:val="20"/>
                <w:szCs w:val="20"/>
                <w:u w:val="none"/>
                <w:lang w:val="en-US" w:eastAsia="zh-CN" w:bidi="ar"/>
              </w:rPr>
              <w:t>1#</w:t>
            </w:r>
            <w:r>
              <w:rPr>
                <w:rFonts w:hint="eastAsia" w:ascii="宋体" w:hAnsi="宋体" w:eastAsia="宋体" w:cs="宋体"/>
                <w:i w:val="0"/>
                <w:iCs w:val="0"/>
                <w:color w:val="auto"/>
                <w:kern w:val="0"/>
                <w:sz w:val="20"/>
                <w:szCs w:val="20"/>
                <w:u w:val="none"/>
                <w:lang w:val="en-US" w:eastAsia="zh-CN" w:bidi="ar"/>
              </w:rPr>
              <w:t>废石场</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6A6F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cs="Times New Roman"/>
                <w:i w:val="0"/>
                <w:iCs w:val="0"/>
                <w:color w:val="auto"/>
                <w:kern w:val="0"/>
                <w:sz w:val="20"/>
                <w:szCs w:val="20"/>
                <w:u w:val="none"/>
                <w:lang w:val="en-US" w:eastAsia="zh-CN" w:bidi="ar"/>
              </w:rPr>
              <w:t>4811</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ADE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草地</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2F13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u w:val="none"/>
                <w:lang w:val="en-US"/>
              </w:rPr>
            </w:pPr>
            <w:r>
              <w:rPr>
                <w:rFonts w:hint="eastAsia" w:cs="Times New Roman"/>
                <w:i w:val="0"/>
                <w:iCs w:val="0"/>
                <w:color w:val="auto"/>
                <w:kern w:val="0"/>
                <w:sz w:val="20"/>
                <w:szCs w:val="20"/>
                <w:u w:val="none"/>
                <w:lang w:val="en-US" w:eastAsia="zh-CN" w:bidi="ar"/>
              </w:rPr>
              <w:t>4811</w:t>
            </w:r>
          </w:p>
        </w:tc>
        <w:tc>
          <w:tcPr>
            <w:tcW w:w="1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747E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26</w:t>
            </w: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7</w:t>
            </w: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28</w:t>
            </w: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06</w:t>
            </w:r>
          </w:p>
        </w:tc>
      </w:tr>
      <w:tr w14:paraId="633DA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6995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cs="宋体"/>
                <w:i w:val="0"/>
                <w:iCs w:val="0"/>
                <w:color w:val="auto"/>
                <w:kern w:val="0"/>
                <w:sz w:val="20"/>
                <w:szCs w:val="20"/>
                <w:u w:val="none"/>
                <w:lang w:val="en-US" w:eastAsia="zh-CN" w:bidi="ar"/>
              </w:rPr>
              <w:t>2#废</w:t>
            </w:r>
            <w:r>
              <w:rPr>
                <w:rFonts w:hint="eastAsia" w:ascii="宋体" w:hAnsi="宋体" w:eastAsia="宋体" w:cs="宋体"/>
                <w:i w:val="0"/>
                <w:iCs w:val="0"/>
                <w:color w:val="auto"/>
                <w:kern w:val="0"/>
                <w:sz w:val="20"/>
                <w:szCs w:val="20"/>
                <w:u w:val="none"/>
                <w:lang w:val="en-US" w:eastAsia="zh-CN" w:bidi="ar"/>
              </w:rPr>
              <w:t>石场</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A514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lang w:val="en-US"/>
              </w:rPr>
            </w:pPr>
            <w:r>
              <w:rPr>
                <w:rFonts w:hint="eastAsia" w:cs="Times New Roman"/>
                <w:i w:val="0"/>
                <w:iCs w:val="0"/>
                <w:color w:val="auto"/>
                <w:kern w:val="0"/>
                <w:sz w:val="20"/>
                <w:szCs w:val="20"/>
                <w:u w:val="none"/>
                <w:lang w:val="en-US" w:eastAsia="zh-CN" w:bidi="ar"/>
              </w:rPr>
              <w:t>14034</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991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草地</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024A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u w:val="none"/>
                <w:lang w:val="en-US"/>
              </w:rPr>
            </w:pPr>
            <w:r>
              <w:rPr>
                <w:rFonts w:hint="eastAsia" w:cs="Times New Roman"/>
                <w:i w:val="0"/>
                <w:iCs w:val="0"/>
                <w:color w:val="auto"/>
                <w:kern w:val="0"/>
                <w:sz w:val="20"/>
                <w:szCs w:val="20"/>
                <w:u w:val="none"/>
                <w:lang w:val="en-US" w:eastAsia="zh-CN" w:bidi="ar"/>
              </w:rPr>
              <w:t>14034</w:t>
            </w:r>
          </w:p>
        </w:tc>
        <w:tc>
          <w:tcPr>
            <w:tcW w:w="1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3CCA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26</w:t>
            </w: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7</w:t>
            </w: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28</w:t>
            </w: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06</w:t>
            </w:r>
          </w:p>
        </w:tc>
      </w:tr>
      <w:tr w14:paraId="3C128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EE74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1#废渣堆</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6FFC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3993</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594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草地</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9FE04">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0"/>
                <w:szCs w:val="20"/>
                <w:u w:val="none"/>
                <w:lang w:val="en-US" w:eastAsia="zh-CN" w:bidi="ar"/>
              </w:rPr>
              <w:t>3993</w:t>
            </w:r>
          </w:p>
        </w:tc>
        <w:tc>
          <w:tcPr>
            <w:tcW w:w="1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7588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26</w:t>
            </w: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7</w:t>
            </w: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28</w:t>
            </w: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06</w:t>
            </w:r>
          </w:p>
        </w:tc>
      </w:tr>
      <w:tr w14:paraId="4143B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B353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2#废渣堆</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4305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3869</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3CF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草地</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99C3B">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0"/>
                <w:szCs w:val="20"/>
                <w:u w:val="none"/>
                <w:lang w:val="en-US" w:eastAsia="zh-CN" w:bidi="ar"/>
              </w:rPr>
              <w:t>3869</w:t>
            </w:r>
          </w:p>
        </w:tc>
        <w:tc>
          <w:tcPr>
            <w:tcW w:w="1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63DE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26</w:t>
            </w: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7</w:t>
            </w: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28</w:t>
            </w: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06</w:t>
            </w:r>
          </w:p>
        </w:tc>
      </w:tr>
      <w:tr w14:paraId="69D06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4497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3#废渣堆</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8CBA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965</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716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auto"/>
                <w:kern w:val="0"/>
                <w:sz w:val="21"/>
                <w:szCs w:val="21"/>
                <w:u w:val="none"/>
                <w:lang w:val="en-US" w:eastAsia="zh-CN" w:bidi="ar"/>
              </w:rPr>
              <w:t>林</w:t>
            </w:r>
            <w:r>
              <w:rPr>
                <w:rFonts w:hint="eastAsia" w:ascii="宋体" w:hAnsi="宋体" w:eastAsia="宋体" w:cs="宋体"/>
                <w:i w:val="0"/>
                <w:iCs w:val="0"/>
                <w:color w:val="auto"/>
                <w:kern w:val="0"/>
                <w:sz w:val="21"/>
                <w:szCs w:val="21"/>
                <w:u w:val="none"/>
                <w:lang w:val="en-US" w:eastAsia="zh-CN" w:bidi="ar"/>
              </w:rPr>
              <w:t>地</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03A4C">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0"/>
                <w:szCs w:val="20"/>
                <w:u w:val="none"/>
                <w:lang w:val="en-US" w:eastAsia="zh-CN" w:bidi="ar"/>
              </w:rPr>
              <w:t>965</w:t>
            </w:r>
          </w:p>
        </w:tc>
        <w:tc>
          <w:tcPr>
            <w:tcW w:w="1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E0D6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26</w:t>
            </w: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7</w:t>
            </w: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28</w:t>
            </w: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06</w:t>
            </w:r>
          </w:p>
        </w:tc>
      </w:tr>
      <w:tr w14:paraId="15CEF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EECA6">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工业场地</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0D46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cs="Times New Roman"/>
                <w:i w:val="0"/>
                <w:iCs w:val="0"/>
                <w:color w:val="auto"/>
                <w:kern w:val="0"/>
                <w:sz w:val="20"/>
                <w:szCs w:val="20"/>
                <w:u w:val="none"/>
                <w:lang w:val="en-US" w:eastAsia="zh-CN" w:bidi="ar"/>
              </w:rPr>
              <w:t>5425</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BE488">
            <w:pPr>
              <w:keepNext w:val="0"/>
              <w:keepLines w:val="0"/>
              <w:widowControl/>
              <w:suppressLineNumbers w:val="0"/>
              <w:jc w:val="center"/>
              <w:textAlignment w:val="center"/>
              <w:rPr>
                <w:rFonts w:hint="eastAsia" w:ascii="宋体" w:hAnsi="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草地</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72B5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cs="Times New Roman"/>
                <w:i w:val="0"/>
                <w:iCs w:val="0"/>
                <w:color w:val="auto"/>
                <w:kern w:val="0"/>
                <w:sz w:val="20"/>
                <w:szCs w:val="20"/>
                <w:u w:val="none"/>
                <w:lang w:val="en-US" w:eastAsia="zh-CN" w:bidi="ar"/>
              </w:rPr>
              <w:t>5425</w:t>
            </w:r>
          </w:p>
        </w:tc>
        <w:tc>
          <w:tcPr>
            <w:tcW w:w="1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71B2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26</w:t>
            </w: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7</w:t>
            </w: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28</w:t>
            </w: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06</w:t>
            </w:r>
          </w:p>
        </w:tc>
      </w:tr>
      <w:tr w14:paraId="2DD66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308F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矿区道路</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A7A0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cs="Times New Roman"/>
                <w:i w:val="0"/>
                <w:iCs w:val="0"/>
                <w:color w:val="auto"/>
                <w:kern w:val="0"/>
                <w:sz w:val="20"/>
                <w:szCs w:val="20"/>
                <w:u w:val="none"/>
                <w:lang w:val="en-US" w:eastAsia="zh-CN" w:bidi="ar"/>
              </w:rPr>
              <w:t>6335</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139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草地</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AD48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eastAsia" w:cs="Times New Roman"/>
                <w:i w:val="0"/>
                <w:iCs w:val="0"/>
                <w:color w:val="auto"/>
                <w:kern w:val="0"/>
                <w:sz w:val="20"/>
                <w:szCs w:val="20"/>
                <w:u w:val="none"/>
                <w:lang w:val="en-US" w:eastAsia="zh-CN" w:bidi="ar"/>
              </w:rPr>
              <w:t>6335</w:t>
            </w:r>
          </w:p>
        </w:tc>
        <w:tc>
          <w:tcPr>
            <w:tcW w:w="1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F1B7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26</w:t>
            </w: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7</w:t>
            </w:r>
            <w:r>
              <w:rPr>
                <w:rFonts w:hint="default" w:ascii="Times New Roman" w:hAnsi="Times New Roman" w:eastAsia="宋体" w:cs="Times New Roman"/>
                <w:i w:val="0"/>
                <w:iCs w:val="0"/>
                <w:color w:val="auto"/>
                <w:kern w:val="0"/>
                <w:sz w:val="21"/>
                <w:szCs w:val="21"/>
                <w:u w:val="none"/>
                <w:lang w:val="en-US" w:eastAsia="zh-CN" w:bidi="ar"/>
              </w:rPr>
              <w:t>-20</w:t>
            </w:r>
            <w:r>
              <w:rPr>
                <w:rFonts w:hint="eastAsia" w:cs="Times New Roman"/>
                <w:i w:val="0"/>
                <w:iCs w:val="0"/>
                <w:color w:val="auto"/>
                <w:kern w:val="0"/>
                <w:sz w:val="21"/>
                <w:szCs w:val="21"/>
                <w:u w:val="none"/>
                <w:lang w:val="en-US" w:eastAsia="zh-CN" w:bidi="ar"/>
              </w:rPr>
              <w:t>28</w:t>
            </w: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06</w:t>
            </w:r>
          </w:p>
        </w:tc>
      </w:tr>
    </w:tbl>
    <w:p w14:paraId="19E39AFC">
      <w:pPr>
        <w:pStyle w:val="71"/>
        <w:rPr>
          <w:rFonts w:hint="eastAsia" w:ascii="黑体" w:hAnsi="黑体" w:eastAsia="黑体" w:cs="宋体"/>
          <w:color w:val="auto"/>
          <w:sz w:val="24"/>
          <w:szCs w:val="24"/>
        </w:rPr>
      </w:pPr>
    </w:p>
    <w:p w14:paraId="35C30839">
      <w:pPr>
        <w:pStyle w:val="71"/>
        <w:rPr>
          <w:rFonts w:hint="eastAsia" w:ascii="黑体" w:hAnsi="黑体" w:eastAsia="黑体" w:cs="宋体"/>
          <w:color w:val="auto"/>
          <w:sz w:val="24"/>
          <w:szCs w:val="24"/>
        </w:rPr>
      </w:pPr>
    </w:p>
    <w:p w14:paraId="161F4D60">
      <w:pPr>
        <w:pStyle w:val="71"/>
        <w:rPr>
          <w:rFonts w:hint="eastAsia" w:ascii="黑体" w:hAnsi="黑体" w:eastAsia="黑体" w:cs="宋体"/>
          <w:color w:val="auto"/>
          <w:sz w:val="24"/>
          <w:szCs w:val="24"/>
        </w:rPr>
        <w:sectPr>
          <w:headerReference r:id="rId18" w:type="default"/>
          <w:pgSz w:w="11906" w:h="16838"/>
          <w:pgMar w:top="1219" w:right="1797" w:bottom="1440" w:left="1797" w:header="851" w:footer="992" w:gutter="0"/>
          <w:pgNumType w:fmt="decimal"/>
          <w:cols w:space="720" w:num="1"/>
          <w:docGrid w:linePitch="312" w:charSpace="0"/>
        </w:sectPr>
      </w:pPr>
    </w:p>
    <w:p w14:paraId="49E8071C">
      <w:pPr>
        <w:pStyle w:val="69"/>
        <w:spacing w:line="240" w:lineRule="auto"/>
        <w:ind w:firstLine="0" w:firstLineChars="0"/>
        <w:jc w:val="center"/>
        <w:rPr>
          <w:rFonts w:hint="eastAsia" w:ascii="黑体" w:hAnsi="黑体" w:eastAsia="黑体" w:cs="宋体"/>
          <w:color w:val="auto"/>
          <w:sz w:val="24"/>
          <w:szCs w:val="24"/>
          <w:lang w:val="en-US"/>
        </w:rPr>
      </w:pPr>
      <w:bookmarkStart w:id="76" w:name="_Toc27076"/>
      <w:r>
        <w:rPr>
          <w:rFonts w:hint="eastAsia" w:ascii="黑体" w:hAnsi="黑体" w:eastAsia="黑体" w:cs="宋体"/>
          <w:color w:val="auto"/>
          <w:sz w:val="24"/>
          <w:szCs w:val="24"/>
          <w:lang w:val="en-US"/>
        </w:rPr>
        <w:t>表3-</w:t>
      </w:r>
      <w:r>
        <w:rPr>
          <w:rFonts w:hint="eastAsia" w:ascii="黑体" w:hAnsi="黑体" w:eastAsia="黑体" w:cs="宋体"/>
          <w:color w:val="auto"/>
          <w:sz w:val="24"/>
          <w:szCs w:val="24"/>
          <w:lang w:val="en-US" w:eastAsia="zh-CN"/>
        </w:rPr>
        <w:t>40</w:t>
      </w:r>
      <w:r>
        <w:rPr>
          <w:rFonts w:hint="eastAsia" w:ascii="黑体" w:hAnsi="黑体" w:eastAsia="黑体" w:cs="宋体"/>
          <w:color w:val="auto"/>
          <w:sz w:val="24"/>
          <w:szCs w:val="24"/>
          <w:lang w:val="en-US"/>
        </w:rPr>
        <w:t xml:space="preserve">  矿区生态修复目标及土地利用变化表</w:t>
      </w:r>
      <w:bookmarkEnd w:id="76"/>
    </w:p>
    <w:tbl>
      <w:tblPr>
        <w:tblStyle w:val="34"/>
        <w:tblW w:w="476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815"/>
        <w:gridCol w:w="1777"/>
        <w:gridCol w:w="1126"/>
        <w:gridCol w:w="1523"/>
        <w:gridCol w:w="1229"/>
        <w:gridCol w:w="1469"/>
        <w:gridCol w:w="1677"/>
        <w:gridCol w:w="1622"/>
        <w:gridCol w:w="1265"/>
      </w:tblGrid>
      <w:tr w14:paraId="0FE7B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trPr>
        <w:tc>
          <w:tcPr>
            <w:tcW w:w="1330" w:type="pct"/>
            <w:gridSpan w:val="2"/>
            <w:shd w:val="clear" w:color="auto" w:fill="auto"/>
            <w:noWrap/>
            <w:vAlign w:val="center"/>
          </w:tcPr>
          <w:p w14:paraId="1AB839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一级地类</w:t>
            </w:r>
          </w:p>
        </w:tc>
        <w:tc>
          <w:tcPr>
            <w:tcW w:w="980" w:type="pct"/>
            <w:gridSpan w:val="2"/>
            <w:shd w:val="clear" w:color="auto" w:fill="auto"/>
            <w:noWrap/>
            <w:vAlign w:val="center"/>
          </w:tcPr>
          <w:p w14:paraId="367F8A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二级地类</w:t>
            </w:r>
          </w:p>
        </w:tc>
        <w:tc>
          <w:tcPr>
            <w:tcW w:w="999" w:type="pct"/>
            <w:gridSpan w:val="2"/>
            <w:shd w:val="clear" w:color="auto" w:fill="auto"/>
            <w:noWrap/>
            <w:vAlign w:val="center"/>
          </w:tcPr>
          <w:p w14:paraId="1BECAF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损毁前</w:t>
            </w:r>
          </w:p>
        </w:tc>
        <w:tc>
          <w:tcPr>
            <w:tcW w:w="1221" w:type="pct"/>
            <w:gridSpan w:val="2"/>
            <w:shd w:val="clear" w:color="auto" w:fill="auto"/>
            <w:vAlign w:val="center"/>
          </w:tcPr>
          <w:p w14:paraId="7823AA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生态修复目标</w:t>
            </w:r>
          </w:p>
        </w:tc>
        <w:tc>
          <w:tcPr>
            <w:tcW w:w="468" w:type="pct"/>
            <w:vMerge w:val="restart"/>
            <w:shd w:val="clear" w:color="auto" w:fill="auto"/>
            <w:vAlign w:val="center"/>
          </w:tcPr>
          <w:p w14:paraId="21ED56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面积增减</w:t>
            </w:r>
          </w:p>
        </w:tc>
      </w:tr>
      <w:tr w14:paraId="040AC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672" w:type="pct"/>
            <w:shd w:val="clear" w:color="auto" w:fill="auto"/>
            <w:vAlign w:val="center"/>
          </w:tcPr>
          <w:p w14:paraId="33D5EF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代码</w:t>
            </w:r>
          </w:p>
        </w:tc>
        <w:tc>
          <w:tcPr>
            <w:tcW w:w="658" w:type="pct"/>
            <w:shd w:val="clear" w:color="auto" w:fill="auto"/>
            <w:vAlign w:val="center"/>
          </w:tcPr>
          <w:p w14:paraId="4D7B97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地类</w:t>
            </w:r>
          </w:p>
        </w:tc>
        <w:tc>
          <w:tcPr>
            <w:tcW w:w="417" w:type="pct"/>
            <w:shd w:val="clear" w:color="auto" w:fill="auto"/>
            <w:vAlign w:val="center"/>
          </w:tcPr>
          <w:p w14:paraId="39DAF8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代码</w:t>
            </w:r>
          </w:p>
        </w:tc>
        <w:tc>
          <w:tcPr>
            <w:tcW w:w="563" w:type="pct"/>
            <w:shd w:val="clear" w:color="auto" w:fill="auto"/>
            <w:vAlign w:val="center"/>
          </w:tcPr>
          <w:p w14:paraId="5F684A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地类</w:t>
            </w:r>
          </w:p>
        </w:tc>
        <w:tc>
          <w:tcPr>
            <w:tcW w:w="455" w:type="pct"/>
            <w:shd w:val="clear" w:color="auto" w:fill="auto"/>
            <w:noWrap/>
            <w:vAlign w:val="center"/>
          </w:tcPr>
          <w:p w14:paraId="5046B1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面积</w:t>
            </w:r>
            <w:r>
              <w:rPr>
                <w:rFonts w:hint="default" w:ascii="Times New Roman" w:hAnsi="Times New Roman" w:eastAsia="宋体" w:cs="Times New Roman"/>
                <w:i w:val="0"/>
                <w:iCs w:val="0"/>
                <w:color w:val="auto"/>
                <w:kern w:val="0"/>
                <w:sz w:val="21"/>
                <w:szCs w:val="21"/>
                <w:u w:val="none"/>
                <w:lang w:val="en-US" w:eastAsia="zh-CN" w:bidi="ar"/>
              </w:rPr>
              <w:t>hm</w:t>
            </w:r>
            <w:r>
              <w:rPr>
                <w:rFonts w:hint="default" w:ascii="Times New Roman" w:hAnsi="Times New Roman" w:eastAsia="宋体" w:cs="Times New Roman"/>
                <w:i w:val="0"/>
                <w:iCs w:val="0"/>
                <w:color w:val="auto"/>
                <w:kern w:val="0"/>
                <w:sz w:val="21"/>
                <w:szCs w:val="21"/>
                <w:u w:val="none"/>
                <w:vertAlign w:val="superscript"/>
                <w:lang w:val="en-US" w:eastAsia="zh-CN" w:bidi="ar"/>
              </w:rPr>
              <w:t>2</w:t>
            </w:r>
          </w:p>
        </w:tc>
        <w:tc>
          <w:tcPr>
            <w:tcW w:w="544" w:type="pct"/>
            <w:shd w:val="clear" w:color="auto" w:fill="auto"/>
            <w:vAlign w:val="center"/>
          </w:tcPr>
          <w:p w14:paraId="310C71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质量</w:t>
            </w:r>
          </w:p>
        </w:tc>
        <w:tc>
          <w:tcPr>
            <w:tcW w:w="621" w:type="pct"/>
            <w:shd w:val="clear" w:color="auto" w:fill="auto"/>
            <w:vAlign w:val="center"/>
          </w:tcPr>
          <w:p w14:paraId="6B8E97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面积</w:t>
            </w:r>
            <w:r>
              <w:rPr>
                <w:rFonts w:hint="default" w:ascii="Times New Roman" w:hAnsi="Times New Roman" w:eastAsia="宋体" w:cs="Times New Roman"/>
                <w:i w:val="0"/>
                <w:iCs w:val="0"/>
                <w:color w:val="auto"/>
                <w:kern w:val="0"/>
                <w:sz w:val="21"/>
                <w:szCs w:val="21"/>
                <w:u w:val="none"/>
                <w:lang w:val="en-US" w:eastAsia="zh-CN" w:bidi="ar"/>
              </w:rPr>
              <w:t>hm</w:t>
            </w:r>
            <w:r>
              <w:rPr>
                <w:rFonts w:hint="default" w:ascii="Times New Roman" w:hAnsi="Times New Roman" w:eastAsia="宋体" w:cs="Times New Roman"/>
                <w:i w:val="0"/>
                <w:iCs w:val="0"/>
                <w:color w:val="auto"/>
                <w:kern w:val="0"/>
                <w:sz w:val="21"/>
                <w:szCs w:val="21"/>
                <w:u w:val="none"/>
                <w:vertAlign w:val="superscript"/>
                <w:lang w:val="en-US" w:eastAsia="zh-CN" w:bidi="ar"/>
              </w:rPr>
              <w:t>2</w:t>
            </w:r>
          </w:p>
        </w:tc>
        <w:tc>
          <w:tcPr>
            <w:tcW w:w="600" w:type="pct"/>
            <w:shd w:val="clear" w:color="auto" w:fill="auto"/>
            <w:noWrap/>
            <w:vAlign w:val="center"/>
          </w:tcPr>
          <w:p w14:paraId="729C5B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质量</w:t>
            </w:r>
          </w:p>
        </w:tc>
        <w:tc>
          <w:tcPr>
            <w:tcW w:w="468" w:type="pct"/>
            <w:vMerge w:val="continue"/>
            <w:shd w:val="clear" w:color="auto" w:fill="auto"/>
            <w:vAlign w:val="center"/>
          </w:tcPr>
          <w:p w14:paraId="0AB34418">
            <w:pPr>
              <w:jc w:val="center"/>
              <w:rPr>
                <w:rFonts w:hint="eastAsia" w:ascii="宋体" w:hAnsi="宋体" w:eastAsia="宋体" w:cs="宋体"/>
                <w:i w:val="0"/>
                <w:iCs w:val="0"/>
                <w:color w:val="auto"/>
                <w:sz w:val="21"/>
                <w:szCs w:val="21"/>
                <w:u w:val="none"/>
              </w:rPr>
            </w:pPr>
          </w:p>
        </w:tc>
      </w:tr>
      <w:tr w14:paraId="7DC0F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2" w:type="pct"/>
            <w:vMerge w:val="restart"/>
            <w:shd w:val="clear" w:color="auto" w:fill="auto"/>
            <w:vAlign w:val="center"/>
          </w:tcPr>
          <w:p w14:paraId="788DD78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w:t>
            </w:r>
          </w:p>
        </w:tc>
        <w:tc>
          <w:tcPr>
            <w:tcW w:w="658" w:type="pct"/>
            <w:vMerge w:val="restart"/>
            <w:shd w:val="clear" w:color="auto" w:fill="auto"/>
            <w:vAlign w:val="center"/>
          </w:tcPr>
          <w:p w14:paraId="266A1D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林地</w:t>
            </w:r>
          </w:p>
        </w:tc>
        <w:tc>
          <w:tcPr>
            <w:tcW w:w="417" w:type="pct"/>
            <w:shd w:val="clear" w:color="auto" w:fill="auto"/>
            <w:noWrap/>
            <w:vAlign w:val="center"/>
          </w:tcPr>
          <w:p w14:paraId="3A84CB0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kern w:val="0"/>
                <w:sz w:val="21"/>
                <w:szCs w:val="21"/>
                <w:u w:val="none"/>
                <w:lang w:val="en-US" w:eastAsia="zh-CN" w:bidi="ar"/>
              </w:rPr>
              <w:t>0</w:t>
            </w:r>
            <w:r>
              <w:rPr>
                <w:rFonts w:hint="default" w:ascii="Times New Roman" w:hAnsi="Times New Roman" w:eastAsia="宋体" w:cs="Times New Roman"/>
                <w:i w:val="0"/>
                <w:iCs w:val="0"/>
                <w:color w:val="auto"/>
                <w:kern w:val="0"/>
                <w:sz w:val="21"/>
                <w:szCs w:val="21"/>
                <w:u w:val="none"/>
                <w:lang w:val="en-US" w:eastAsia="zh-CN" w:bidi="ar"/>
              </w:rPr>
              <w:t>301</w:t>
            </w:r>
          </w:p>
        </w:tc>
        <w:tc>
          <w:tcPr>
            <w:tcW w:w="563" w:type="pct"/>
            <w:shd w:val="clear" w:color="auto" w:fill="auto"/>
            <w:noWrap/>
            <w:vAlign w:val="center"/>
          </w:tcPr>
          <w:p w14:paraId="25D918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乔木林地</w:t>
            </w:r>
          </w:p>
        </w:tc>
        <w:tc>
          <w:tcPr>
            <w:tcW w:w="455" w:type="pct"/>
            <w:shd w:val="clear" w:color="auto" w:fill="auto"/>
            <w:noWrap/>
            <w:vAlign w:val="center"/>
          </w:tcPr>
          <w:p w14:paraId="01A01EB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0.0078</w:t>
            </w:r>
          </w:p>
        </w:tc>
        <w:tc>
          <w:tcPr>
            <w:tcW w:w="544" w:type="pct"/>
            <w:shd w:val="clear" w:color="auto" w:fill="auto"/>
            <w:vAlign w:val="center"/>
          </w:tcPr>
          <w:p w14:paraId="619ADF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中等</w:t>
            </w:r>
          </w:p>
        </w:tc>
        <w:tc>
          <w:tcPr>
            <w:tcW w:w="621" w:type="pct"/>
            <w:shd w:val="clear" w:color="auto" w:fill="auto"/>
            <w:vAlign w:val="center"/>
          </w:tcPr>
          <w:p w14:paraId="2AD7278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eastAsia" w:cs="Times New Roman"/>
                <w:i w:val="0"/>
                <w:iCs w:val="0"/>
                <w:color w:val="auto"/>
                <w:kern w:val="0"/>
                <w:sz w:val="21"/>
                <w:szCs w:val="21"/>
                <w:u w:val="none"/>
                <w:lang w:val="en-US" w:eastAsia="zh-CN" w:bidi="ar"/>
              </w:rPr>
              <w:t>0.0965</w:t>
            </w:r>
          </w:p>
        </w:tc>
        <w:tc>
          <w:tcPr>
            <w:tcW w:w="600" w:type="pct"/>
            <w:shd w:val="clear" w:color="auto" w:fill="auto"/>
            <w:noWrap/>
            <w:vAlign w:val="center"/>
          </w:tcPr>
          <w:p w14:paraId="4A0368A9">
            <w:pPr>
              <w:jc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高等</w:t>
            </w:r>
          </w:p>
        </w:tc>
        <w:tc>
          <w:tcPr>
            <w:tcW w:w="468" w:type="pct"/>
            <w:shd w:val="clear" w:color="auto" w:fill="auto"/>
            <w:vAlign w:val="center"/>
          </w:tcPr>
          <w:p w14:paraId="2501986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eastAsia" w:cs="Times New Roman"/>
                <w:i w:val="0"/>
                <w:iCs w:val="0"/>
                <w:color w:val="auto"/>
                <w:kern w:val="0"/>
                <w:sz w:val="21"/>
                <w:szCs w:val="21"/>
                <w:u w:val="none"/>
                <w:lang w:val="en-US" w:eastAsia="zh-CN" w:bidi="ar"/>
              </w:rPr>
              <w:t>0.0965</w:t>
            </w:r>
          </w:p>
        </w:tc>
      </w:tr>
      <w:tr w14:paraId="2946C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2" w:type="pct"/>
            <w:vMerge w:val="continue"/>
            <w:shd w:val="clear" w:color="auto" w:fill="auto"/>
            <w:vAlign w:val="center"/>
          </w:tcPr>
          <w:p w14:paraId="33DBD2FF">
            <w:pPr>
              <w:jc w:val="center"/>
              <w:rPr>
                <w:rFonts w:hint="default" w:ascii="Times New Roman" w:hAnsi="Times New Roman" w:eastAsia="宋体" w:cs="Times New Roman"/>
                <w:i w:val="0"/>
                <w:iCs w:val="0"/>
                <w:color w:val="auto"/>
                <w:sz w:val="21"/>
                <w:szCs w:val="21"/>
                <w:u w:val="none"/>
              </w:rPr>
            </w:pPr>
          </w:p>
        </w:tc>
        <w:tc>
          <w:tcPr>
            <w:tcW w:w="658" w:type="pct"/>
            <w:vMerge w:val="continue"/>
            <w:shd w:val="clear" w:color="auto" w:fill="auto"/>
            <w:vAlign w:val="center"/>
          </w:tcPr>
          <w:p w14:paraId="0CE5E708">
            <w:pPr>
              <w:jc w:val="center"/>
              <w:rPr>
                <w:rFonts w:hint="eastAsia" w:ascii="宋体" w:hAnsi="宋体" w:eastAsia="宋体" w:cs="宋体"/>
                <w:i w:val="0"/>
                <w:iCs w:val="0"/>
                <w:color w:val="auto"/>
                <w:sz w:val="21"/>
                <w:szCs w:val="21"/>
                <w:u w:val="none"/>
              </w:rPr>
            </w:pPr>
          </w:p>
        </w:tc>
        <w:tc>
          <w:tcPr>
            <w:tcW w:w="417" w:type="pct"/>
            <w:shd w:val="clear" w:color="auto" w:fill="auto"/>
            <w:noWrap/>
            <w:vAlign w:val="center"/>
          </w:tcPr>
          <w:p w14:paraId="3FC01A0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kern w:val="0"/>
                <w:sz w:val="21"/>
                <w:szCs w:val="21"/>
                <w:u w:val="none"/>
                <w:lang w:val="en-US" w:eastAsia="zh-CN" w:bidi="ar"/>
              </w:rPr>
              <w:t>0</w:t>
            </w:r>
            <w:r>
              <w:rPr>
                <w:rFonts w:hint="default" w:ascii="Times New Roman" w:hAnsi="Times New Roman" w:eastAsia="宋体" w:cs="Times New Roman"/>
                <w:i w:val="0"/>
                <w:iCs w:val="0"/>
                <w:color w:val="auto"/>
                <w:kern w:val="0"/>
                <w:sz w:val="21"/>
                <w:szCs w:val="21"/>
                <w:u w:val="none"/>
                <w:lang w:val="en-US" w:eastAsia="zh-CN" w:bidi="ar"/>
              </w:rPr>
              <w:t>305</w:t>
            </w:r>
          </w:p>
        </w:tc>
        <w:tc>
          <w:tcPr>
            <w:tcW w:w="563" w:type="pct"/>
            <w:shd w:val="clear" w:color="auto" w:fill="auto"/>
            <w:noWrap/>
            <w:vAlign w:val="center"/>
          </w:tcPr>
          <w:p w14:paraId="54BB08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灌木林地</w:t>
            </w:r>
          </w:p>
        </w:tc>
        <w:tc>
          <w:tcPr>
            <w:tcW w:w="455" w:type="pct"/>
            <w:shd w:val="clear" w:color="auto" w:fill="auto"/>
            <w:noWrap/>
            <w:vAlign w:val="center"/>
          </w:tcPr>
          <w:p w14:paraId="087A83E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0.0418</w:t>
            </w:r>
          </w:p>
        </w:tc>
        <w:tc>
          <w:tcPr>
            <w:tcW w:w="544" w:type="pct"/>
            <w:shd w:val="clear" w:color="auto" w:fill="auto"/>
            <w:vAlign w:val="center"/>
          </w:tcPr>
          <w:p w14:paraId="57A283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中等</w:t>
            </w:r>
          </w:p>
        </w:tc>
        <w:tc>
          <w:tcPr>
            <w:tcW w:w="621" w:type="pct"/>
            <w:shd w:val="clear" w:color="auto" w:fill="auto"/>
            <w:vAlign w:val="center"/>
          </w:tcPr>
          <w:p w14:paraId="6DF5EAE4">
            <w:pPr>
              <w:jc w:val="center"/>
              <w:rPr>
                <w:rFonts w:hint="default" w:ascii="Times New Roman" w:hAnsi="Times New Roman" w:eastAsia="宋体" w:cs="Times New Roman"/>
                <w:i w:val="0"/>
                <w:iCs w:val="0"/>
                <w:color w:val="auto"/>
                <w:sz w:val="21"/>
                <w:szCs w:val="21"/>
                <w:u w:val="none"/>
              </w:rPr>
            </w:pPr>
          </w:p>
        </w:tc>
        <w:tc>
          <w:tcPr>
            <w:tcW w:w="600" w:type="pct"/>
            <w:shd w:val="clear" w:color="auto" w:fill="auto"/>
            <w:noWrap/>
            <w:vAlign w:val="center"/>
          </w:tcPr>
          <w:p w14:paraId="3CA8E0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468" w:type="pct"/>
            <w:shd w:val="clear" w:color="auto" w:fill="auto"/>
            <w:vAlign w:val="center"/>
          </w:tcPr>
          <w:p w14:paraId="1ED05DB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-0.0418</w:t>
            </w:r>
          </w:p>
        </w:tc>
      </w:tr>
      <w:tr w14:paraId="527C5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2" w:type="pct"/>
            <w:shd w:val="clear" w:color="auto" w:fill="auto"/>
            <w:vAlign w:val="center"/>
          </w:tcPr>
          <w:p w14:paraId="63DBEDB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w:t>
            </w:r>
          </w:p>
        </w:tc>
        <w:tc>
          <w:tcPr>
            <w:tcW w:w="658" w:type="pct"/>
            <w:shd w:val="clear" w:color="auto" w:fill="auto"/>
            <w:vAlign w:val="center"/>
          </w:tcPr>
          <w:p w14:paraId="08D6DB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草地</w:t>
            </w:r>
          </w:p>
        </w:tc>
        <w:tc>
          <w:tcPr>
            <w:tcW w:w="417" w:type="pct"/>
            <w:shd w:val="clear" w:color="auto" w:fill="auto"/>
            <w:noWrap/>
            <w:vAlign w:val="center"/>
          </w:tcPr>
          <w:p w14:paraId="341FE38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cs="Times New Roman"/>
                <w:i w:val="0"/>
                <w:iCs w:val="0"/>
                <w:color w:val="auto"/>
                <w:kern w:val="0"/>
                <w:sz w:val="21"/>
                <w:szCs w:val="21"/>
                <w:u w:val="none"/>
                <w:lang w:val="en-US" w:eastAsia="zh-CN" w:bidi="ar"/>
              </w:rPr>
              <w:t>0</w:t>
            </w:r>
            <w:r>
              <w:rPr>
                <w:rFonts w:hint="default" w:ascii="Times New Roman" w:hAnsi="Times New Roman" w:eastAsia="宋体" w:cs="Times New Roman"/>
                <w:i w:val="0"/>
                <w:iCs w:val="0"/>
                <w:color w:val="auto"/>
                <w:kern w:val="0"/>
                <w:sz w:val="21"/>
                <w:szCs w:val="21"/>
                <w:u w:val="none"/>
                <w:lang w:val="en-US" w:eastAsia="zh-CN" w:bidi="ar"/>
              </w:rPr>
              <w:t>404</w:t>
            </w:r>
          </w:p>
        </w:tc>
        <w:tc>
          <w:tcPr>
            <w:tcW w:w="563" w:type="pct"/>
            <w:shd w:val="clear" w:color="auto" w:fill="auto"/>
            <w:noWrap/>
            <w:vAlign w:val="center"/>
          </w:tcPr>
          <w:p w14:paraId="48E79C49">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其他草地</w:t>
            </w:r>
          </w:p>
        </w:tc>
        <w:tc>
          <w:tcPr>
            <w:tcW w:w="455" w:type="pct"/>
            <w:shd w:val="clear" w:color="auto" w:fill="auto"/>
            <w:noWrap/>
            <w:vAlign w:val="center"/>
          </w:tcPr>
          <w:p w14:paraId="6E766FA4">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1.3978</w:t>
            </w:r>
          </w:p>
        </w:tc>
        <w:tc>
          <w:tcPr>
            <w:tcW w:w="544" w:type="pct"/>
            <w:shd w:val="clear" w:color="auto" w:fill="auto"/>
            <w:vAlign w:val="center"/>
          </w:tcPr>
          <w:p w14:paraId="43A82829">
            <w:pPr>
              <w:keepNext w:val="0"/>
              <w:keepLines w:val="0"/>
              <w:widowControl/>
              <w:suppressLineNumbers w:val="0"/>
              <w:jc w:val="center"/>
              <w:textAlignment w:val="center"/>
              <w:rPr>
                <w:rFonts w:hint="default"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中等</w:t>
            </w:r>
          </w:p>
        </w:tc>
        <w:tc>
          <w:tcPr>
            <w:tcW w:w="621" w:type="pct"/>
            <w:shd w:val="clear" w:color="auto" w:fill="auto"/>
            <w:vAlign w:val="center"/>
          </w:tcPr>
          <w:p w14:paraId="2A0D39CB">
            <w:pPr>
              <w:jc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ascii="Times New Roman" w:hAnsi="Times New Roman" w:eastAsia="宋体" w:cs="Times New Roman"/>
                <w:i w:val="0"/>
                <w:iCs w:val="0"/>
                <w:color w:val="auto"/>
                <w:kern w:val="2"/>
                <w:sz w:val="21"/>
                <w:szCs w:val="21"/>
                <w:u w:val="none"/>
                <w:lang w:val="en-US" w:eastAsia="zh-CN" w:bidi="ar-SA"/>
              </w:rPr>
              <w:t>7.5990</w:t>
            </w:r>
          </w:p>
        </w:tc>
        <w:tc>
          <w:tcPr>
            <w:tcW w:w="600" w:type="pct"/>
            <w:shd w:val="clear" w:color="auto" w:fill="auto"/>
            <w:noWrap/>
            <w:vAlign w:val="center"/>
          </w:tcPr>
          <w:p w14:paraId="4A380F12">
            <w:pPr>
              <w:jc w:val="center"/>
              <w:rPr>
                <w:rFonts w:hint="eastAsia" w:ascii="Times New Roman" w:hAnsi="Times New Roman" w:eastAsia="宋体" w:cs="Times New Roman"/>
                <w:i w:val="0"/>
                <w:iCs w:val="0"/>
                <w:color w:val="auto"/>
                <w:kern w:val="2"/>
                <w:sz w:val="21"/>
                <w:szCs w:val="21"/>
                <w:u w:val="none"/>
                <w:lang w:val="en-US" w:eastAsia="zh-CN" w:bidi="ar-SA"/>
              </w:rPr>
            </w:pPr>
          </w:p>
        </w:tc>
        <w:tc>
          <w:tcPr>
            <w:tcW w:w="468" w:type="pct"/>
            <w:shd w:val="clear" w:color="auto" w:fill="auto"/>
            <w:vAlign w:val="center"/>
          </w:tcPr>
          <w:p w14:paraId="77603E3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ascii="Times New Roman" w:hAnsi="Times New Roman" w:eastAsia="宋体" w:cs="Times New Roman"/>
                <w:i w:val="0"/>
                <w:iCs w:val="0"/>
                <w:color w:val="auto"/>
                <w:kern w:val="0"/>
                <w:sz w:val="21"/>
                <w:szCs w:val="21"/>
                <w:u w:val="none"/>
                <w:lang w:val="en-US" w:eastAsia="zh-CN" w:bidi="ar"/>
              </w:rPr>
              <w:t>6.2012</w:t>
            </w:r>
          </w:p>
        </w:tc>
      </w:tr>
      <w:tr w14:paraId="01553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72" w:type="pct"/>
            <w:shd w:val="clear" w:color="auto" w:fill="auto"/>
            <w:noWrap/>
            <w:vAlign w:val="center"/>
          </w:tcPr>
          <w:p w14:paraId="3D95B79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06</w:t>
            </w:r>
          </w:p>
        </w:tc>
        <w:tc>
          <w:tcPr>
            <w:tcW w:w="658" w:type="pct"/>
            <w:shd w:val="clear" w:color="auto" w:fill="auto"/>
            <w:noWrap/>
            <w:vAlign w:val="center"/>
          </w:tcPr>
          <w:p w14:paraId="01B84A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工矿仓储用地</w:t>
            </w:r>
          </w:p>
        </w:tc>
        <w:tc>
          <w:tcPr>
            <w:tcW w:w="417" w:type="pct"/>
            <w:shd w:val="clear" w:color="auto" w:fill="auto"/>
            <w:noWrap/>
            <w:vAlign w:val="center"/>
          </w:tcPr>
          <w:p w14:paraId="2C38E75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kern w:val="0"/>
                <w:sz w:val="21"/>
                <w:szCs w:val="21"/>
                <w:u w:val="none"/>
                <w:lang w:val="en-US" w:eastAsia="zh-CN" w:bidi="ar"/>
              </w:rPr>
              <w:t>0</w:t>
            </w:r>
            <w:r>
              <w:rPr>
                <w:rFonts w:hint="default" w:ascii="Times New Roman" w:hAnsi="Times New Roman" w:eastAsia="宋体" w:cs="Times New Roman"/>
                <w:i w:val="0"/>
                <w:iCs w:val="0"/>
                <w:color w:val="auto"/>
                <w:kern w:val="0"/>
                <w:sz w:val="21"/>
                <w:szCs w:val="21"/>
                <w:u w:val="none"/>
                <w:lang w:val="en-US" w:eastAsia="zh-CN" w:bidi="ar"/>
              </w:rPr>
              <w:t>602</w:t>
            </w:r>
          </w:p>
        </w:tc>
        <w:tc>
          <w:tcPr>
            <w:tcW w:w="563" w:type="pct"/>
            <w:shd w:val="clear" w:color="auto" w:fill="auto"/>
            <w:noWrap/>
            <w:vAlign w:val="center"/>
          </w:tcPr>
          <w:p w14:paraId="21BE65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采矿用地</w:t>
            </w:r>
          </w:p>
        </w:tc>
        <w:tc>
          <w:tcPr>
            <w:tcW w:w="455" w:type="pct"/>
            <w:shd w:val="clear" w:color="auto" w:fill="auto"/>
            <w:noWrap/>
            <w:vAlign w:val="center"/>
          </w:tcPr>
          <w:p w14:paraId="6C8D3B5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eastAsia" w:cs="Times New Roman"/>
                <w:i w:val="0"/>
                <w:iCs w:val="0"/>
                <w:color w:val="auto"/>
                <w:kern w:val="0"/>
                <w:sz w:val="21"/>
                <w:szCs w:val="21"/>
                <w:u w:val="none"/>
                <w:lang w:val="en-US" w:eastAsia="zh-CN" w:bidi="ar"/>
              </w:rPr>
              <w:t>6.2481</w:t>
            </w:r>
          </w:p>
        </w:tc>
        <w:tc>
          <w:tcPr>
            <w:tcW w:w="544" w:type="pct"/>
            <w:shd w:val="clear" w:color="auto" w:fill="auto"/>
            <w:vAlign w:val="center"/>
          </w:tcPr>
          <w:p w14:paraId="2B531C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中等</w:t>
            </w:r>
          </w:p>
        </w:tc>
        <w:tc>
          <w:tcPr>
            <w:tcW w:w="621" w:type="pct"/>
            <w:shd w:val="clear" w:color="auto" w:fill="auto"/>
            <w:vAlign w:val="center"/>
          </w:tcPr>
          <w:p w14:paraId="7375DA7F">
            <w:pPr>
              <w:jc w:val="center"/>
              <w:rPr>
                <w:rFonts w:hint="default" w:ascii="Times New Roman" w:hAnsi="Times New Roman" w:eastAsia="宋体" w:cs="Times New Roman"/>
                <w:i w:val="0"/>
                <w:iCs w:val="0"/>
                <w:color w:val="auto"/>
                <w:sz w:val="21"/>
                <w:szCs w:val="21"/>
                <w:u w:val="none"/>
              </w:rPr>
            </w:pPr>
          </w:p>
        </w:tc>
        <w:tc>
          <w:tcPr>
            <w:tcW w:w="600" w:type="pct"/>
            <w:shd w:val="clear" w:color="auto" w:fill="auto"/>
            <w:noWrap/>
            <w:vAlign w:val="center"/>
          </w:tcPr>
          <w:p w14:paraId="78B5E52E">
            <w:pPr>
              <w:jc w:val="center"/>
              <w:rPr>
                <w:rFonts w:hint="default" w:ascii="Times New Roman" w:hAnsi="Times New Roman" w:eastAsia="宋体" w:cs="Times New Roman"/>
                <w:i w:val="0"/>
                <w:iCs w:val="0"/>
                <w:color w:val="auto"/>
                <w:sz w:val="21"/>
                <w:szCs w:val="21"/>
                <w:u w:val="none"/>
              </w:rPr>
            </w:pPr>
          </w:p>
        </w:tc>
        <w:tc>
          <w:tcPr>
            <w:tcW w:w="468" w:type="pct"/>
            <w:shd w:val="clear" w:color="auto" w:fill="auto"/>
            <w:vAlign w:val="center"/>
          </w:tcPr>
          <w:p w14:paraId="34E2279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6.2481</w:t>
            </w:r>
          </w:p>
        </w:tc>
      </w:tr>
      <w:tr w14:paraId="74D8A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311" w:type="pct"/>
            <w:gridSpan w:val="4"/>
            <w:shd w:val="clear" w:color="auto" w:fill="auto"/>
            <w:noWrap/>
            <w:vAlign w:val="center"/>
          </w:tcPr>
          <w:p w14:paraId="2262EB53">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合计</w:t>
            </w:r>
          </w:p>
        </w:tc>
        <w:tc>
          <w:tcPr>
            <w:tcW w:w="455" w:type="pct"/>
            <w:shd w:val="clear" w:color="auto" w:fill="auto"/>
            <w:noWrap/>
            <w:vAlign w:val="center"/>
          </w:tcPr>
          <w:p w14:paraId="769FC71F">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lang w:val="en-US"/>
              </w:rPr>
            </w:pPr>
            <w:r>
              <w:rPr>
                <w:rFonts w:hint="eastAsia" w:cs="Times New Roman"/>
                <w:b/>
                <w:bCs/>
                <w:i w:val="0"/>
                <w:iCs w:val="0"/>
                <w:color w:val="auto"/>
                <w:kern w:val="0"/>
                <w:sz w:val="21"/>
                <w:szCs w:val="21"/>
                <w:u w:val="none"/>
                <w:lang w:val="en-US" w:eastAsia="zh-CN" w:bidi="ar"/>
              </w:rPr>
              <w:t>7.6955</w:t>
            </w:r>
          </w:p>
        </w:tc>
        <w:tc>
          <w:tcPr>
            <w:tcW w:w="544" w:type="pct"/>
            <w:shd w:val="clear" w:color="auto" w:fill="auto"/>
            <w:vAlign w:val="center"/>
          </w:tcPr>
          <w:p w14:paraId="00A46B7C">
            <w:pPr>
              <w:jc w:val="center"/>
              <w:rPr>
                <w:rFonts w:hint="default" w:ascii="Times New Roman" w:hAnsi="Times New Roman" w:eastAsia="宋体" w:cs="Times New Roman"/>
                <w:b/>
                <w:bCs/>
                <w:i w:val="0"/>
                <w:iCs w:val="0"/>
                <w:color w:val="auto"/>
                <w:sz w:val="21"/>
                <w:szCs w:val="21"/>
                <w:u w:val="none"/>
              </w:rPr>
            </w:pPr>
          </w:p>
        </w:tc>
        <w:tc>
          <w:tcPr>
            <w:tcW w:w="621" w:type="pct"/>
            <w:shd w:val="clear" w:color="auto" w:fill="auto"/>
            <w:vAlign w:val="center"/>
          </w:tcPr>
          <w:p w14:paraId="6D34029C">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lang w:val="en-US"/>
              </w:rPr>
            </w:pPr>
            <w:r>
              <w:rPr>
                <w:rFonts w:hint="eastAsia" w:cs="Times New Roman"/>
                <w:b/>
                <w:bCs/>
                <w:i w:val="0"/>
                <w:iCs w:val="0"/>
                <w:color w:val="auto"/>
                <w:kern w:val="0"/>
                <w:sz w:val="21"/>
                <w:szCs w:val="21"/>
                <w:u w:val="none"/>
                <w:lang w:val="en-US" w:eastAsia="zh-CN" w:bidi="ar"/>
              </w:rPr>
              <w:t>7.6955</w:t>
            </w:r>
          </w:p>
        </w:tc>
        <w:tc>
          <w:tcPr>
            <w:tcW w:w="600" w:type="pct"/>
            <w:shd w:val="clear" w:color="auto" w:fill="auto"/>
            <w:noWrap/>
            <w:vAlign w:val="center"/>
          </w:tcPr>
          <w:p w14:paraId="2D397990">
            <w:pPr>
              <w:jc w:val="center"/>
              <w:rPr>
                <w:rFonts w:hint="default" w:ascii="Times New Roman" w:hAnsi="Times New Roman" w:eastAsia="宋体" w:cs="Times New Roman"/>
                <w:b/>
                <w:bCs/>
                <w:i w:val="0"/>
                <w:iCs w:val="0"/>
                <w:color w:val="auto"/>
                <w:sz w:val="21"/>
                <w:szCs w:val="21"/>
                <w:u w:val="none"/>
              </w:rPr>
            </w:pPr>
          </w:p>
        </w:tc>
        <w:tc>
          <w:tcPr>
            <w:tcW w:w="468" w:type="pct"/>
            <w:shd w:val="clear" w:color="auto" w:fill="auto"/>
            <w:vAlign w:val="center"/>
          </w:tcPr>
          <w:p w14:paraId="3D8231AE">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0</w:t>
            </w:r>
          </w:p>
        </w:tc>
      </w:tr>
    </w:tbl>
    <w:p w14:paraId="36778DF4">
      <w:pPr>
        <w:pStyle w:val="69"/>
        <w:spacing w:line="240" w:lineRule="auto"/>
        <w:ind w:firstLine="0" w:firstLineChars="0"/>
        <w:jc w:val="center"/>
        <w:rPr>
          <w:rFonts w:hint="eastAsia" w:ascii="黑体" w:hAnsi="黑体" w:eastAsia="黑体" w:cs="宋体"/>
          <w:color w:val="auto"/>
          <w:sz w:val="24"/>
          <w:szCs w:val="24"/>
          <w:lang w:val="en-US"/>
        </w:rPr>
      </w:pPr>
    </w:p>
    <w:p w14:paraId="00D792AB">
      <w:pPr>
        <w:pStyle w:val="69"/>
        <w:spacing w:line="240" w:lineRule="auto"/>
        <w:ind w:firstLine="0" w:firstLineChars="0"/>
        <w:jc w:val="center"/>
        <w:rPr>
          <w:rFonts w:hint="eastAsia" w:ascii="黑体" w:hAnsi="黑体" w:eastAsia="黑体" w:cs="宋体"/>
          <w:color w:val="auto"/>
          <w:sz w:val="24"/>
          <w:szCs w:val="24"/>
          <w:lang w:val="en-US"/>
        </w:rPr>
      </w:pPr>
    </w:p>
    <w:p w14:paraId="69225068">
      <w:pPr>
        <w:pStyle w:val="69"/>
        <w:spacing w:line="360" w:lineRule="auto"/>
        <w:ind w:firstLine="560"/>
        <w:rPr>
          <w:rFonts w:hint="eastAsia" w:ascii="宋体" w:hAnsi="宋体" w:eastAsia="宋体" w:cs="宋体"/>
          <w:color w:val="auto"/>
          <w:szCs w:val="28"/>
        </w:rPr>
        <w:sectPr>
          <w:pgSz w:w="16838" w:h="11906" w:orient="landscape"/>
          <w:pgMar w:top="1797" w:right="1219" w:bottom="1797" w:left="1440" w:header="851" w:footer="992" w:gutter="0"/>
          <w:pgNumType w:fmt="decimal"/>
          <w:cols w:space="720" w:num="1"/>
          <w:docGrid w:linePitch="312" w:charSpace="0"/>
        </w:sectPr>
      </w:pPr>
    </w:p>
    <w:p w14:paraId="64739F04">
      <w:pPr>
        <w:pStyle w:val="69"/>
        <w:spacing w:line="240" w:lineRule="auto"/>
        <w:ind w:firstLine="0" w:firstLineChars="0"/>
        <w:jc w:val="center"/>
        <w:rPr>
          <w:rFonts w:hint="eastAsia" w:ascii="黑体" w:hAnsi="黑体" w:eastAsia="黑体" w:cs="宋体"/>
          <w:color w:val="auto"/>
          <w:sz w:val="24"/>
          <w:szCs w:val="24"/>
          <w:lang w:val="en-US"/>
        </w:rPr>
      </w:pPr>
      <w:bookmarkStart w:id="77" w:name="_Toc15266"/>
      <w:r>
        <w:rPr>
          <w:rFonts w:hint="eastAsia" w:ascii="黑体" w:hAnsi="黑体" w:eastAsia="黑体" w:cs="宋体"/>
          <w:color w:val="auto"/>
          <w:sz w:val="24"/>
          <w:szCs w:val="24"/>
          <w:lang w:val="en-US"/>
        </w:rPr>
        <w:t>表3-</w:t>
      </w:r>
      <w:r>
        <w:rPr>
          <w:rFonts w:hint="eastAsia" w:ascii="黑体" w:hAnsi="黑体" w:eastAsia="黑体" w:cs="宋体"/>
          <w:color w:val="auto"/>
          <w:sz w:val="24"/>
          <w:szCs w:val="24"/>
          <w:lang w:val="en-US" w:eastAsia="zh-CN"/>
        </w:rPr>
        <w:t>41</w:t>
      </w:r>
      <w:r>
        <w:rPr>
          <w:rFonts w:hint="eastAsia" w:ascii="黑体" w:hAnsi="黑体" w:eastAsia="黑体" w:cs="宋体"/>
          <w:color w:val="auto"/>
          <w:sz w:val="24"/>
          <w:szCs w:val="24"/>
          <w:lang w:val="en-US"/>
        </w:rPr>
        <w:t xml:space="preserve">  矿区用地与复垦修复计划表</w:t>
      </w:r>
      <w:bookmarkEnd w:id="77"/>
    </w:p>
    <w:tbl>
      <w:tblPr>
        <w:tblStyle w:val="34"/>
        <w:tblW w:w="48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609"/>
        <w:gridCol w:w="1648"/>
        <w:gridCol w:w="1239"/>
        <w:gridCol w:w="1363"/>
        <w:gridCol w:w="803"/>
        <w:gridCol w:w="1876"/>
        <w:gridCol w:w="1141"/>
        <w:gridCol w:w="1301"/>
        <w:gridCol w:w="854"/>
        <w:gridCol w:w="1055"/>
        <w:gridCol w:w="1927"/>
      </w:tblGrid>
      <w:tr w14:paraId="1FB21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3266" w:type="pct"/>
            <w:gridSpan w:val="7"/>
            <w:shd w:val="clear" w:color="auto" w:fill="auto"/>
            <w:vAlign w:val="center"/>
          </w:tcPr>
          <w:p w14:paraId="732DDD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用地信息</w:t>
            </w:r>
          </w:p>
        </w:tc>
        <w:tc>
          <w:tcPr>
            <w:tcW w:w="1733" w:type="pct"/>
            <w:gridSpan w:val="4"/>
            <w:shd w:val="clear" w:color="auto" w:fill="auto"/>
            <w:vAlign w:val="center"/>
          </w:tcPr>
          <w:p w14:paraId="041E2F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复垦修复计划</w:t>
            </w:r>
          </w:p>
        </w:tc>
      </w:tr>
      <w:tr w14:paraId="7FC16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543" w:type="pct"/>
            <w:vMerge w:val="restart"/>
            <w:shd w:val="clear" w:color="auto" w:fill="auto"/>
            <w:vAlign w:val="center"/>
          </w:tcPr>
          <w:p w14:paraId="279366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序号</w:t>
            </w:r>
          </w:p>
        </w:tc>
        <w:tc>
          <w:tcPr>
            <w:tcW w:w="556" w:type="pct"/>
            <w:vMerge w:val="restart"/>
            <w:shd w:val="clear" w:color="auto" w:fill="auto"/>
            <w:vAlign w:val="center"/>
          </w:tcPr>
          <w:p w14:paraId="441BF6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原地类</w:t>
            </w:r>
          </w:p>
        </w:tc>
        <w:tc>
          <w:tcPr>
            <w:tcW w:w="418" w:type="pct"/>
            <w:vMerge w:val="restart"/>
            <w:shd w:val="clear" w:color="auto" w:fill="auto"/>
            <w:vAlign w:val="center"/>
          </w:tcPr>
          <w:p w14:paraId="52B34D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范围</w:t>
            </w:r>
          </w:p>
        </w:tc>
        <w:tc>
          <w:tcPr>
            <w:tcW w:w="460" w:type="pct"/>
            <w:vMerge w:val="restart"/>
            <w:shd w:val="clear" w:color="auto" w:fill="auto"/>
            <w:vAlign w:val="center"/>
          </w:tcPr>
          <w:p w14:paraId="1123DC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面积</w:t>
            </w:r>
            <w:r>
              <w:rPr>
                <w:rFonts w:hint="default" w:ascii="Times New Roman" w:hAnsi="Times New Roman" w:eastAsia="宋体" w:cs="Times New Roman"/>
                <w:i w:val="0"/>
                <w:iCs w:val="0"/>
                <w:color w:val="auto"/>
                <w:kern w:val="0"/>
                <w:sz w:val="21"/>
                <w:szCs w:val="21"/>
                <w:u w:val="none"/>
                <w:lang w:val="en-US" w:eastAsia="zh-CN" w:bidi="ar"/>
              </w:rPr>
              <w:t>(hm</w:t>
            </w:r>
            <w:r>
              <w:rPr>
                <w:rFonts w:hint="default" w:ascii="Times New Roman" w:hAnsi="Times New Roman" w:eastAsia="宋体" w:cs="Times New Roman"/>
                <w:i w:val="0"/>
                <w:iCs w:val="0"/>
                <w:color w:val="auto"/>
                <w:kern w:val="0"/>
                <w:sz w:val="21"/>
                <w:szCs w:val="21"/>
                <w:u w:val="none"/>
                <w:vertAlign w:val="superscript"/>
                <w:lang w:val="en-US" w:eastAsia="zh-CN" w:bidi="ar"/>
              </w:rPr>
              <w:t>2</w:t>
            </w:r>
            <w:r>
              <w:rPr>
                <w:rFonts w:hint="default" w:ascii="Times New Roman" w:hAnsi="Times New Roman" w:eastAsia="宋体" w:cs="Times New Roman"/>
                <w:i w:val="0"/>
                <w:iCs w:val="0"/>
                <w:color w:val="auto"/>
                <w:kern w:val="0"/>
                <w:sz w:val="21"/>
                <w:szCs w:val="21"/>
                <w:u w:val="none"/>
                <w:lang w:val="en-US" w:eastAsia="zh-CN" w:bidi="ar"/>
              </w:rPr>
              <w:t>)</w:t>
            </w:r>
          </w:p>
        </w:tc>
        <w:tc>
          <w:tcPr>
            <w:tcW w:w="271" w:type="pct"/>
            <w:vMerge w:val="restart"/>
            <w:shd w:val="clear" w:color="auto" w:fill="auto"/>
            <w:vAlign w:val="center"/>
          </w:tcPr>
          <w:p w14:paraId="79066F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质量</w:t>
            </w:r>
          </w:p>
        </w:tc>
        <w:tc>
          <w:tcPr>
            <w:tcW w:w="633" w:type="pct"/>
            <w:shd w:val="clear" w:color="auto" w:fill="auto"/>
            <w:vAlign w:val="center"/>
          </w:tcPr>
          <w:p w14:paraId="200504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是否为</w:t>
            </w:r>
          </w:p>
        </w:tc>
        <w:tc>
          <w:tcPr>
            <w:tcW w:w="382" w:type="pct"/>
            <w:shd w:val="clear" w:color="auto" w:fill="auto"/>
            <w:vAlign w:val="center"/>
          </w:tcPr>
          <w:p w14:paraId="69F0DB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批准（计划）</w:t>
            </w:r>
          </w:p>
        </w:tc>
        <w:tc>
          <w:tcPr>
            <w:tcW w:w="439" w:type="pct"/>
            <w:vMerge w:val="restart"/>
            <w:shd w:val="clear" w:color="auto" w:fill="auto"/>
            <w:vAlign w:val="center"/>
          </w:tcPr>
          <w:p w14:paraId="01E403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目标地类</w:t>
            </w:r>
          </w:p>
        </w:tc>
        <w:tc>
          <w:tcPr>
            <w:tcW w:w="288" w:type="pct"/>
            <w:vMerge w:val="restart"/>
            <w:shd w:val="clear" w:color="auto" w:fill="auto"/>
            <w:vAlign w:val="center"/>
          </w:tcPr>
          <w:p w14:paraId="5029A8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面积</w:t>
            </w:r>
            <w:r>
              <w:rPr>
                <w:rFonts w:hint="default" w:ascii="Times New Roman" w:hAnsi="Times New Roman" w:eastAsia="宋体" w:cs="Times New Roman"/>
                <w:i w:val="0"/>
                <w:iCs w:val="0"/>
                <w:color w:val="auto"/>
                <w:kern w:val="0"/>
                <w:sz w:val="21"/>
                <w:szCs w:val="21"/>
                <w:u w:val="none"/>
                <w:lang w:val="en-US" w:eastAsia="zh-CN" w:bidi="ar"/>
              </w:rPr>
              <w:t>(hm</w:t>
            </w:r>
            <w:r>
              <w:rPr>
                <w:rFonts w:hint="default" w:ascii="Times New Roman" w:hAnsi="Times New Roman" w:eastAsia="宋体" w:cs="Times New Roman"/>
                <w:i w:val="0"/>
                <w:iCs w:val="0"/>
                <w:color w:val="auto"/>
                <w:kern w:val="0"/>
                <w:sz w:val="21"/>
                <w:szCs w:val="21"/>
                <w:u w:val="none"/>
                <w:vertAlign w:val="superscript"/>
                <w:lang w:val="en-US" w:eastAsia="zh-CN" w:bidi="ar"/>
              </w:rPr>
              <w:t>2</w:t>
            </w:r>
            <w:r>
              <w:rPr>
                <w:rFonts w:hint="default" w:ascii="Times New Roman" w:hAnsi="Times New Roman" w:eastAsia="宋体" w:cs="Times New Roman"/>
                <w:i w:val="0"/>
                <w:iCs w:val="0"/>
                <w:color w:val="auto"/>
                <w:kern w:val="0"/>
                <w:sz w:val="21"/>
                <w:szCs w:val="21"/>
                <w:u w:val="none"/>
                <w:lang w:val="en-US" w:eastAsia="zh-CN" w:bidi="ar"/>
              </w:rPr>
              <w:t>)</w:t>
            </w:r>
          </w:p>
        </w:tc>
        <w:tc>
          <w:tcPr>
            <w:tcW w:w="356" w:type="pct"/>
            <w:vMerge w:val="restart"/>
            <w:shd w:val="clear" w:color="auto" w:fill="auto"/>
            <w:vAlign w:val="center"/>
          </w:tcPr>
          <w:p w14:paraId="7CE88D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质量</w:t>
            </w:r>
          </w:p>
        </w:tc>
        <w:tc>
          <w:tcPr>
            <w:tcW w:w="649" w:type="pct"/>
            <w:shd w:val="clear" w:color="auto" w:fill="auto"/>
            <w:vAlign w:val="center"/>
          </w:tcPr>
          <w:p w14:paraId="17F037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批准（计划）</w:t>
            </w:r>
          </w:p>
        </w:tc>
      </w:tr>
      <w:tr w14:paraId="7276E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543" w:type="pct"/>
            <w:vMerge w:val="continue"/>
            <w:shd w:val="clear" w:color="auto" w:fill="auto"/>
            <w:vAlign w:val="center"/>
          </w:tcPr>
          <w:p w14:paraId="7CB45377">
            <w:pPr>
              <w:jc w:val="center"/>
              <w:rPr>
                <w:rFonts w:hint="eastAsia" w:ascii="宋体" w:hAnsi="宋体" w:eastAsia="宋体" w:cs="宋体"/>
                <w:i w:val="0"/>
                <w:iCs w:val="0"/>
                <w:color w:val="auto"/>
                <w:sz w:val="21"/>
                <w:szCs w:val="21"/>
                <w:u w:val="none"/>
              </w:rPr>
            </w:pPr>
          </w:p>
        </w:tc>
        <w:tc>
          <w:tcPr>
            <w:tcW w:w="556" w:type="pct"/>
            <w:vMerge w:val="continue"/>
            <w:shd w:val="clear" w:color="auto" w:fill="auto"/>
            <w:vAlign w:val="center"/>
          </w:tcPr>
          <w:p w14:paraId="40D13667">
            <w:pPr>
              <w:jc w:val="center"/>
              <w:rPr>
                <w:rFonts w:hint="eastAsia" w:ascii="宋体" w:hAnsi="宋体" w:eastAsia="宋体" w:cs="宋体"/>
                <w:i w:val="0"/>
                <w:iCs w:val="0"/>
                <w:color w:val="auto"/>
                <w:sz w:val="21"/>
                <w:szCs w:val="21"/>
                <w:u w:val="none"/>
              </w:rPr>
            </w:pPr>
          </w:p>
        </w:tc>
        <w:tc>
          <w:tcPr>
            <w:tcW w:w="418" w:type="pct"/>
            <w:vMerge w:val="continue"/>
            <w:shd w:val="clear" w:color="auto" w:fill="auto"/>
            <w:vAlign w:val="center"/>
          </w:tcPr>
          <w:p w14:paraId="0D7828A6">
            <w:pPr>
              <w:jc w:val="center"/>
              <w:rPr>
                <w:rFonts w:hint="eastAsia" w:ascii="宋体" w:hAnsi="宋体" w:eastAsia="宋体" w:cs="宋体"/>
                <w:i w:val="0"/>
                <w:iCs w:val="0"/>
                <w:color w:val="auto"/>
                <w:sz w:val="21"/>
                <w:szCs w:val="21"/>
                <w:u w:val="none"/>
              </w:rPr>
            </w:pPr>
          </w:p>
        </w:tc>
        <w:tc>
          <w:tcPr>
            <w:tcW w:w="460" w:type="pct"/>
            <w:vMerge w:val="continue"/>
            <w:shd w:val="clear" w:color="auto" w:fill="auto"/>
            <w:vAlign w:val="center"/>
          </w:tcPr>
          <w:p w14:paraId="5556C691">
            <w:pPr>
              <w:jc w:val="center"/>
              <w:rPr>
                <w:rFonts w:hint="eastAsia" w:ascii="宋体" w:hAnsi="宋体" w:eastAsia="宋体" w:cs="宋体"/>
                <w:i w:val="0"/>
                <w:iCs w:val="0"/>
                <w:color w:val="auto"/>
                <w:sz w:val="21"/>
                <w:szCs w:val="21"/>
                <w:u w:val="none"/>
              </w:rPr>
            </w:pPr>
          </w:p>
        </w:tc>
        <w:tc>
          <w:tcPr>
            <w:tcW w:w="271" w:type="pct"/>
            <w:vMerge w:val="continue"/>
            <w:shd w:val="clear" w:color="auto" w:fill="auto"/>
            <w:vAlign w:val="center"/>
          </w:tcPr>
          <w:p w14:paraId="0A84271F">
            <w:pPr>
              <w:jc w:val="center"/>
              <w:rPr>
                <w:rFonts w:hint="eastAsia" w:ascii="宋体" w:hAnsi="宋体" w:eastAsia="宋体" w:cs="宋体"/>
                <w:i w:val="0"/>
                <w:iCs w:val="0"/>
                <w:color w:val="auto"/>
                <w:sz w:val="21"/>
                <w:szCs w:val="21"/>
                <w:u w:val="none"/>
              </w:rPr>
            </w:pPr>
          </w:p>
        </w:tc>
        <w:tc>
          <w:tcPr>
            <w:tcW w:w="633" w:type="pct"/>
            <w:shd w:val="clear" w:color="auto" w:fill="auto"/>
            <w:vAlign w:val="center"/>
          </w:tcPr>
          <w:p w14:paraId="7CDFA3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临时用地</w:t>
            </w:r>
          </w:p>
        </w:tc>
        <w:tc>
          <w:tcPr>
            <w:tcW w:w="382" w:type="pct"/>
            <w:shd w:val="clear" w:color="auto" w:fill="auto"/>
            <w:vAlign w:val="center"/>
          </w:tcPr>
          <w:p w14:paraId="0454C4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使用期限</w:t>
            </w:r>
          </w:p>
        </w:tc>
        <w:tc>
          <w:tcPr>
            <w:tcW w:w="439" w:type="pct"/>
            <w:vMerge w:val="continue"/>
            <w:shd w:val="clear" w:color="auto" w:fill="auto"/>
            <w:vAlign w:val="center"/>
          </w:tcPr>
          <w:p w14:paraId="029A72A2">
            <w:pPr>
              <w:jc w:val="center"/>
              <w:rPr>
                <w:rFonts w:hint="eastAsia" w:ascii="宋体" w:hAnsi="宋体" w:eastAsia="宋体" w:cs="宋体"/>
                <w:i w:val="0"/>
                <w:iCs w:val="0"/>
                <w:color w:val="auto"/>
                <w:sz w:val="21"/>
                <w:szCs w:val="21"/>
                <w:u w:val="none"/>
              </w:rPr>
            </w:pPr>
          </w:p>
        </w:tc>
        <w:tc>
          <w:tcPr>
            <w:tcW w:w="288" w:type="pct"/>
            <w:vMerge w:val="continue"/>
            <w:shd w:val="clear" w:color="auto" w:fill="auto"/>
            <w:vAlign w:val="center"/>
          </w:tcPr>
          <w:p w14:paraId="2C211FFA">
            <w:pPr>
              <w:jc w:val="center"/>
              <w:rPr>
                <w:rFonts w:hint="eastAsia" w:ascii="宋体" w:hAnsi="宋体" w:eastAsia="宋体" w:cs="宋体"/>
                <w:i w:val="0"/>
                <w:iCs w:val="0"/>
                <w:color w:val="auto"/>
                <w:sz w:val="21"/>
                <w:szCs w:val="21"/>
                <w:u w:val="none"/>
              </w:rPr>
            </w:pPr>
          </w:p>
        </w:tc>
        <w:tc>
          <w:tcPr>
            <w:tcW w:w="356" w:type="pct"/>
            <w:vMerge w:val="continue"/>
            <w:shd w:val="clear" w:color="auto" w:fill="auto"/>
            <w:vAlign w:val="center"/>
          </w:tcPr>
          <w:p w14:paraId="73A8734A">
            <w:pPr>
              <w:jc w:val="center"/>
              <w:rPr>
                <w:rFonts w:hint="eastAsia" w:ascii="宋体" w:hAnsi="宋体" w:eastAsia="宋体" w:cs="宋体"/>
                <w:i w:val="0"/>
                <w:iCs w:val="0"/>
                <w:color w:val="auto"/>
                <w:sz w:val="21"/>
                <w:szCs w:val="21"/>
                <w:u w:val="none"/>
              </w:rPr>
            </w:pPr>
          </w:p>
        </w:tc>
        <w:tc>
          <w:tcPr>
            <w:tcW w:w="649" w:type="pct"/>
            <w:shd w:val="clear" w:color="auto" w:fill="auto"/>
            <w:vAlign w:val="center"/>
          </w:tcPr>
          <w:p w14:paraId="099C6F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复垦修复期限</w:t>
            </w:r>
          </w:p>
        </w:tc>
      </w:tr>
      <w:tr w14:paraId="3911D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43" w:type="pct"/>
            <w:shd w:val="clear" w:color="auto" w:fill="auto"/>
            <w:vAlign w:val="center"/>
          </w:tcPr>
          <w:p w14:paraId="424E841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露天采场</w:t>
            </w:r>
          </w:p>
        </w:tc>
        <w:tc>
          <w:tcPr>
            <w:tcW w:w="556" w:type="pct"/>
            <w:shd w:val="clear" w:color="auto" w:fill="auto"/>
            <w:vAlign w:val="center"/>
          </w:tcPr>
          <w:p w14:paraId="6A20A7B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灌木林地</w:t>
            </w:r>
          </w:p>
          <w:p w14:paraId="36C5E50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其他草地</w:t>
            </w:r>
          </w:p>
          <w:p w14:paraId="55F9AD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采矿用地</w:t>
            </w:r>
          </w:p>
        </w:tc>
        <w:tc>
          <w:tcPr>
            <w:tcW w:w="418" w:type="pct"/>
            <w:vMerge w:val="restart"/>
            <w:shd w:val="clear" w:color="auto" w:fill="auto"/>
            <w:vAlign w:val="center"/>
          </w:tcPr>
          <w:p w14:paraId="77BCA5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各个区块修复范围拐点坐标见表3-36</w:t>
            </w:r>
          </w:p>
        </w:tc>
        <w:tc>
          <w:tcPr>
            <w:tcW w:w="460" w:type="pct"/>
            <w:shd w:val="clear" w:color="auto" w:fill="auto"/>
            <w:noWrap/>
            <w:vAlign w:val="center"/>
          </w:tcPr>
          <w:p w14:paraId="3C4470F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3.5248</w:t>
            </w:r>
          </w:p>
        </w:tc>
        <w:tc>
          <w:tcPr>
            <w:tcW w:w="271" w:type="pct"/>
            <w:shd w:val="clear" w:color="auto" w:fill="auto"/>
            <w:vAlign w:val="center"/>
          </w:tcPr>
          <w:p w14:paraId="55841F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中等</w:t>
            </w:r>
          </w:p>
        </w:tc>
        <w:tc>
          <w:tcPr>
            <w:tcW w:w="633" w:type="pct"/>
            <w:shd w:val="clear" w:color="auto" w:fill="auto"/>
            <w:vAlign w:val="center"/>
          </w:tcPr>
          <w:p w14:paraId="079551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否（不再申办用地手续）</w:t>
            </w:r>
          </w:p>
        </w:tc>
        <w:tc>
          <w:tcPr>
            <w:tcW w:w="382" w:type="pct"/>
            <w:shd w:val="clear" w:color="auto" w:fill="auto"/>
            <w:vAlign w:val="center"/>
          </w:tcPr>
          <w:p w14:paraId="03126B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至</w:t>
            </w:r>
            <w:r>
              <w:rPr>
                <w:rFonts w:hint="default" w:ascii="Times New Roman" w:hAnsi="Times New Roman" w:eastAsia="宋体" w:cs="Times New Roman"/>
                <w:i w:val="0"/>
                <w:iCs w:val="0"/>
                <w:color w:val="auto"/>
                <w:kern w:val="0"/>
                <w:sz w:val="21"/>
                <w:szCs w:val="21"/>
                <w:u w:val="none"/>
                <w:lang w:val="en-US" w:eastAsia="zh-CN" w:bidi="ar"/>
              </w:rPr>
              <w:t>2028</w:t>
            </w:r>
            <w:r>
              <w:rPr>
                <w:rFonts w:hint="eastAsia" w:ascii="宋体" w:hAnsi="宋体" w:eastAsia="宋体" w:cs="宋体"/>
                <w:i w:val="0"/>
                <w:iCs w:val="0"/>
                <w:color w:val="auto"/>
                <w:kern w:val="0"/>
                <w:sz w:val="21"/>
                <w:szCs w:val="21"/>
                <w:u w:val="none"/>
                <w:lang w:val="en-US" w:eastAsia="zh-CN" w:bidi="ar"/>
              </w:rPr>
              <w:t>年</w:t>
            </w:r>
            <w:r>
              <w:rPr>
                <w:rFonts w:hint="eastAsia" w:cs="Times New Roman"/>
                <w:i w:val="0"/>
                <w:iCs w:val="0"/>
                <w:color w:val="auto"/>
                <w:kern w:val="0"/>
                <w:sz w:val="21"/>
                <w:szCs w:val="21"/>
                <w:u w:val="none"/>
                <w:lang w:val="en-US" w:eastAsia="zh-CN" w:bidi="ar"/>
              </w:rPr>
              <w:t>6</w:t>
            </w:r>
            <w:r>
              <w:rPr>
                <w:rFonts w:hint="eastAsia" w:ascii="宋体" w:hAnsi="宋体" w:eastAsia="宋体" w:cs="宋体"/>
                <w:i w:val="0"/>
                <w:iCs w:val="0"/>
                <w:color w:val="auto"/>
                <w:kern w:val="0"/>
                <w:sz w:val="21"/>
                <w:szCs w:val="21"/>
                <w:u w:val="none"/>
                <w:lang w:val="en-US" w:eastAsia="zh-CN" w:bidi="ar"/>
              </w:rPr>
              <w:t>月</w:t>
            </w:r>
          </w:p>
        </w:tc>
        <w:tc>
          <w:tcPr>
            <w:tcW w:w="439" w:type="pct"/>
            <w:shd w:val="clear" w:color="auto" w:fill="auto"/>
            <w:vAlign w:val="center"/>
          </w:tcPr>
          <w:p w14:paraId="1F3214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草地</w:t>
            </w:r>
          </w:p>
        </w:tc>
        <w:tc>
          <w:tcPr>
            <w:tcW w:w="854" w:type="dxa"/>
            <w:shd w:val="clear" w:color="auto" w:fill="auto"/>
            <w:noWrap/>
            <w:vAlign w:val="center"/>
          </w:tcPr>
          <w:p w14:paraId="260E4CB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3.5248</w:t>
            </w:r>
          </w:p>
        </w:tc>
        <w:tc>
          <w:tcPr>
            <w:tcW w:w="356" w:type="pct"/>
            <w:shd w:val="clear" w:color="auto" w:fill="auto"/>
            <w:vAlign w:val="center"/>
          </w:tcPr>
          <w:p w14:paraId="0371FE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高等</w:t>
            </w:r>
          </w:p>
        </w:tc>
        <w:tc>
          <w:tcPr>
            <w:tcW w:w="649" w:type="pct"/>
            <w:shd w:val="clear" w:color="auto" w:fill="auto"/>
            <w:vAlign w:val="center"/>
          </w:tcPr>
          <w:p w14:paraId="5BFF0B7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2026.0</w:t>
            </w:r>
            <w:r>
              <w:rPr>
                <w:rFonts w:hint="eastAsia" w:cs="Times New Roman"/>
                <w:i w:val="0"/>
                <w:iCs w:val="0"/>
                <w:color w:val="auto"/>
                <w:kern w:val="0"/>
                <w:sz w:val="21"/>
                <w:szCs w:val="21"/>
                <w:u w:val="none"/>
                <w:lang w:val="en-US" w:eastAsia="zh-CN" w:bidi="ar"/>
              </w:rPr>
              <w:t>7</w:t>
            </w:r>
            <w:r>
              <w:rPr>
                <w:rFonts w:hint="default" w:ascii="Times New Roman" w:hAnsi="Times New Roman" w:eastAsia="宋体" w:cs="Times New Roman"/>
                <w:i w:val="0"/>
                <w:iCs w:val="0"/>
                <w:color w:val="auto"/>
                <w:kern w:val="0"/>
                <w:sz w:val="21"/>
                <w:szCs w:val="21"/>
                <w:u w:val="none"/>
                <w:lang w:val="en-US" w:eastAsia="zh-CN" w:bidi="ar"/>
              </w:rPr>
              <w:t>-2028.</w:t>
            </w:r>
            <w:r>
              <w:rPr>
                <w:rFonts w:hint="eastAsia" w:cs="Times New Roman"/>
                <w:i w:val="0"/>
                <w:iCs w:val="0"/>
                <w:color w:val="auto"/>
                <w:kern w:val="0"/>
                <w:sz w:val="21"/>
                <w:szCs w:val="21"/>
                <w:u w:val="none"/>
                <w:lang w:val="en-US" w:eastAsia="zh-CN" w:bidi="ar"/>
              </w:rPr>
              <w:t>06</w:t>
            </w:r>
          </w:p>
        </w:tc>
      </w:tr>
      <w:tr w14:paraId="367D7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43" w:type="pct"/>
            <w:shd w:val="clear" w:color="auto" w:fill="auto"/>
            <w:noWrap/>
            <w:vAlign w:val="center"/>
          </w:tcPr>
          <w:p w14:paraId="626F138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cs="宋体"/>
                <w:i w:val="0"/>
                <w:iCs w:val="0"/>
                <w:color w:val="auto"/>
                <w:kern w:val="0"/>
                <w:sz w:val="20"/>
                <w:szCs w:val="20"/>
                <w:u w:val="none"/>
                <w:lang w:val="en-US" w:eastAsia="zh-CN" w:bidi="ar"/>
              </w:rPr>
              <w:t>1#</w:t>
            </w:r>
            <w:r>
              <w:rPr>
                <w:rFonts w:hint="eastAsia" w:ascii="宋体" w:hAnsi="宋体" w:eastAsia="宋体" w:cs="宋体"/>
                <w:i w:val="0"/>
                <w:iCs w:val="0"/>
                <w:color w:val="auto"/>
                <w:kern w:val="0"/>
                <w:sz w:val="20"/>
                <w:szCs w:val="20"/>
                <w:u w:val="none"/>
                <w:lang w:val="en-US" w:eastAsia="zh-CN" w:bidi="ar"/>
              </w:rPr>
              <w:t>废石场</w:t>
            </w:r>
          </w:p>
        </w:tc>
        <w:tc>
          <w:tcPr>
            <w:tcW w:w="556" w:type="pct"/>
            <w:shd w:val="clear" w:color="auto" w:fill="auto"/>
            <w:vAlign w:val="center"/>
          </w:tcPr>
          <w:p w14:paraId="1015E7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采矿用地</w:t>
            </w:r>
          </w:p>
        </w:tc>
        <w:tc>
          <w:tcPr>
            <w:tcW w:w="418" w:type="pct"/>
            <w:vMerge w:val="continue"/>
            <w:shd w:val="clear" w:color="auto" w:fill="auto"/>
            <w:vAlign w:val="center"/>
          </w:tcPr>
          <w:p w14:paraId="41E12D3A">
            <w:pPr>
              <w:jc w:val="center"/>
              <w:rPr>
                <w:rFonts w:hint="eastAsia" w:ascii="宋体" w:hAnsi="宋体" w:eastAsia="宋体" w:cs="宋体"/>
                <w:i w:val="0"/>
                <w:iCs w:val="0"/>
                <w:color w:val="auto"/>
                <w:sz w:val="21"/>
                <w:szCs w:val="21"/>
                <w:u w:val="none"/>
              </w:rPr>
            </w:pPr>
          </w:p>
        </w:tc>
        <w:tc>
          <w:tcPr>
            <w:tcW w:w="460" w:type="pct"/>
            <w:shd w:val="clear" w:color="auto" w:fill="auto"/>
            <w:noWrap/>
            <w:vAlign w:val="center"/>
          </w:tcPr>
          <w:p w14:paraId="350F239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lang w:val="en-US"/>
              </w:rPr>
            </w:pPr>
            <w:r>
              <w:rPr>
                <w:rFonts w:hint="eastAsia" w:cs="Times New Roman"/>
                <w:i w:val="0"/>
                <w:iCs w:val="0"/>
                <w:color w:val="auto"/>
                <w:kern w:val="0"/>
                <w:sz w:val="20"/>
                <w:szCs w:val="20"/>
                <w:u w:val="none"/>
                <w:lang w:val="en-US" w:eastAsia="zh-CN" w:bidi="ar"/>
              </w:rPr>
              <w:t>0.4811</w:t>
            </w:r>
          </w:p>
        </w:tc>
        <w:tc>
          <w:tcPr>
            <w:tcW w:w="271" w:type="pct"/>
            <w:shd w:val="clear" w:color="auto" w:fill="auto"/>
            <w:vAlign w:val="center"/>
          </w:tcPr>
          <w:p w14:paraId="2BF59B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中等</w:t>
            </w:r>
          </w:p>
        </w:tc>
        <w:tc>
          <w:tcPr>
            <w:tcW w:w="633" w:type="pct"/>
            <w:shd w:val="clear" w:color="auto" w:fill="auto"/>
            <w:vAlign w:val="center"/>
          </w:tcPr>
          <w:p w14:paraId="00663E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否（不再申办用地手续）</w:t>
            </w:r>
          </w:p>
        </w:tc>
        <w:tc>
          <w:tcPr>
            <w:tcW w:w="382" w:type="pct"/>
            <w:shd w:val="clear" w:color="auto" w:fill="auto"/>
            <w:vAlign w:val="center"/>
          </w:tcPr>
          <w:p w14:paraId="1C436B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至</w:t>
            </w:r>
            <w:r>
              <w:rPr>
                <w:rFonts w:hint="default" w:ascii="Times New Roman" w:hAnsi="Times New Roman" w:eastAsia="宋体" w:cs="Times New Roman"/>
                <w:i w:val="0"/>
                <w:iCs w:val="0"/>
                <w:color w:val="auto"/>
                <w:kern w:val="0"/>
                <w:sz w:val="21"/>
                <w:szCs w:val="21"/>
                <w:u w:val="none"/>
                <w:lang w:val="en-US" w:eastAsia="zh-CN" w:bidi="ar"/>
              </w:rPr>
              <w:t>2028</w:t>
            </w:r>
            <w:r>
              <w:rPr>
                <w:rFonts w:hint="eastAsia" w:ascii="宋体" w:hAnsi="宋体" w:eastAsia="宋体" w:cs="宋体"/>
                <w:i w:val="0"/>
                <w:iCs w:val="0"/>
                <w:color w:val="auto"/>
                <w:kern w:val="0"/>
                <w:sz w:val="21"/>
                <w:szCs w:val="21"/>
                <w:u w:val="none"/>
                <w:lang w:val="en-US" w:eastAsia="zh-CN" w:bidi="ar"/>
              </w:rPr>
              <w:t>年</w:t>
            </w:r>
            <w:r>
              <w:rPr>
                <w:rFonts w:hint="eastAsia" w:cs="Times New Roman"/>
                <w:i w:val="0"/>
                <w:iCs w:val="0"/>
                <w:color w:val="auto"/>
                <w:kern w:val="0"/>
                <w:sz w:val="21"/>
                <w:szCs w:val="21"/>
                <w:u w:val="none"/>
                <w:lang w:val="en-US" w:eastAsia="zh-CN" w:bidi="ar"/>
              </w:rPr>
              <w:t>6</w:t>
            </w:r>
            <w:r>
              <w:rPr>
                <w:rFonts w:hint="eastAsia" w:ascii="宋体" w:hAnsi="宋体" w:eastAsia="宋体" w:cs="宋体"/>
                <w:i w:val="0"/>
                <w:iCs w:val="0"/>
                <w:color w:val="auto"/>
                <w:kern w:val="0"/>
                <w:sz w:val="21"/>
                <w:szCs w:val="21"/>
                <w:u w:val="none"/>
                <w:lang w:val="en-US" w:eastAsia="zh-CN" w:bidi="ar"/>
              </w:rPr>
              <w:t>月</w:t>
            </w:r>
          </w:p>
        </w:tc>
        <w:tc>
          <w:tcPr>
            <w:tcW w:w="439" w:type="pct"/>
            <w:shd w:val="clear" w:color="auto" w:fill="auto"/>
            <w:vAlign w:val="center"/>
          </w:tcPr>
          <w:p w14:paraId="1E0791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草地</w:t>
            </w:r>
          </w:p>
        </w:tc>
        <w:tc>
          <w:tcPr>
            <w:tcW w:w="854" w:type="dxa"/>
            <w:shd w:val="clear" w:color="auto" w:fill="auto"/>
            <w:noWrap/>
            <w:vAlign w:val="center"/>
          </w:tcPr>
          <w:p w14:paraId="3E486B4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cs="Times New Roman"/>
                <w:i w:val="0"/>
                <w:iCs w:val="0"/>
                <w:color w:val="auto"/>
                <w:kern w:val="0"/>
                <w:sz w:val="20"/>
                <w:szCs w:val="20"/>
                <w:u w:val="none"/>
                <w:lang w:val="en-US" w:eastAsia="zh-CN" w:bidi="ar"/>
              </w:rPr>
              <w:t>0.4811</w:t>
            </w:r>
          </w:p>
        </w:tc>
        <w:tc>
          <w:tcPr>
            <w:tcW w:w="356" w:type="pct"/>
            <w:shd w:val="clear" w:color="auto" w:fill="auto"/>
            <w:vAlign w:val="center"/>
          </w:tcPr>
          <w:p w14:paraId="51B235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高等</w:t>
            </w:r>
          </w:p>
        </w:tc>
        <w:tc>
          <w:tcPr>
            <w:tcW w:w="649" w:type="pct"/>
            <w:shd w:val="clear" w:color="auto" w:fill="auto"/>
            <w:vAlign w:val="center"/>
          </w:tcPr>
          <w:p w14:paraId="1D19C37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2026.0</w:t>
            </w:r>
            <w:r>
              <w:rPr>
                <w:rFonts w:hint="eastAsia" w:cs="Times New Roman"/>
                <w:i w:val="0"/>
                <w:iCs w:val="0"/>
                <w:color w:val="auto"/>
                <w:kern w:val="0"/>
                <w:sz w:val="21"/>
                <w:szCs w:val="21"/>
                <w:u w:val="none"/>
                <w:lang w:val="en-US" w:eastAsia="zh-CN" w:bidi="ar"/>
              </w:rPr>
              <w:t>7</w:t>
            </w:r>
            <w:r>
              <w:rPr>
                <w:rFonts w:hint="default" w:ascii="Times New Roman" w:hAnsi="Times New Roman" w:eastAsia="宋体" w:cs="Times New Roman"/>
                <w:i w:val="0"/>
                <w:iCs w:val="0"/>
                <w:color w:val="auto"/>
                <w:kern w:val="0"/>
                <w:sz w:val="21"/>
                <w:szCs w:val="21"/>
                <w:u w:val="none"/>
                <w:lang w:val="en-US" w:eastAsia="zh-CN" w:bidi="ar"/>
              </w:rPr>
              <w:t>-2028.</w:t>
            </w:r>
            <w:r>
              <w:rPr>
                <w:rFonts w:hint="eastAsia" w:cs="Times New Roman"/>
                <w:i w:val="0"/>
                <w:iCs w:val="0"/>
                <w:color w:val="auto"/>
                <w:kern w:val="0"/>
                <w:sz w:val="21"/>
                <w:szCs w:val="21"/>
                <w:u w:val="none"/>
                <w:lang w:val="en-US" w:eastAsia="zh-CN" w:bidi="ar"/>
              </w:rPr>
              <w:t>06</w:t>
            </w:r>
          </w:p>
        </w:tc>
      </w:tr>
      <w:tr w14:paraId="1E0B6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43" w:type="pct"/>
            <w:shd w:val="clear" w:color="auto" w:fill="auto"/>
            <w:noWrap/>
            <w:vAlign w:val="center"/>
          </w:tcPr>
          <w:p w14:paraId="78BA0E4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cs="宋体"/>
                <w:i w:val="0"/>
                <w:iCs w:val="0"/>
                <w:color w:val="auto"/>
                <w:kern w:val="0"/>
                <w:sz w:val="20"/>
                <w:szCs w:val="20"/>
                <w:u w:val="none"/>
                <w:lang w:val="en-US" w:eastAsia="zh-CN" w:bidi="ar"/>
              </w:rPr>
              <w:t>2#废</w:t>
            </w:r>
            <w:r>
              <w:rPr>
                <w:rFonts w:hint="eastAsia" w:ascii="宋体" w:hAnsi="宋体" w:eastAsia="宋体" w:cs="宋体"/>
                <w:i w:val="0"/>
                <w:iCs w:val="0"/>
                <w:color w:val="auto"/>
                <w:kern w:val="0"/>
                <w:sz w:val="20"/>
                <w:szCs w:val="20"/>
                <w:u w:val="none"/>
                <w:lang w:val="en-US" w:eastAsia="zh-CN" w:bidi="ar"/>
              </w:rPr>
              <w:t>石场</w:t>
            </w:r>
          </w:p>
        </w:tc>
        <w:tc>
          <w:tcPr>
            <w:tcW w:w="556" w:type="pct"/>
            <w:shd w:val="clear" w:color="auto" w:fill="auto"/>
            <w:vAlign w:val="center"/>
          </w:tcPr>
          <w:p w14:paraId="4FC62E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采矿用地</w:t>
            </w:r>
          </w:p>
        </w:tc>
        <w:tc>
          <w:tcPr>
            <w:tcW w:w="418" w:type="pct"/>
            <w:vMerge w:val="continue"/>
            <w:shd w:val="clear" w:color="auto" w:fill="auto"/>
            <w:vAlign w:val="center"/>
          </w:tcPr>
          <w:p w14:paraId="4C62EE31">
            <w:pPr>
              <w:jc w:val="center"/>
              <w:rPr>
                <w:rFonts w:hint="eastAsia" w:ascii="宋体" w:hAnsi="宋体" w:eastAsia="宋体" w:cs="宋体"/>
                <w:i w:val="0"/>
                <w:iCs w:val="0"/>
                <w:color w:val="auto"/>
                <w:sz w:val="21"/>
                <w:szCs w:val="21"/>
                <w:u w:val="none"/>
              </w:rPr>
            </w:pPr>
          </w:p>
        </w:tc>
        <w:tc>
          <w:tcPr>
            <w:tcW w:w="460" w:type="pct"/>
            <w:shd w:val="clear" w:color="auto" w:fill="auto"/>
            <w:noWrap/>
            <w:vAlign w:val="center"/>
          </w:tcPr>
          <w:p w14:paraId="35B6382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lang w:val="en-US"/>
              </w:rPr>
            </w:pPr>
            <w:r>
              <w:rPr>
                <w:rFonts w:hint="eastAsia" w:cs="Times New Roman"/>
                <w:i w:val="0"/>
                <w:iCs w:val="0"/>
                <w:color w:val="auto"/>
                <w:kern w:val="0"/>
                <w:sz w:val="20"/>
                <w:szCs w:val="20"/>
                <w:u w:val="none"/>
                <w:lang w:val="en-US" w:eastAsia="zh-CN" w:bidi="ar"/>
              </w:rPr>
              <w:t>1.4034</w:t>
            </w:r>
          </w:p>
        </w:tc>
        <w:tc>
          <w:tcPr>
            <w:tcW w:w="271" w:type="pct"/>
            <w:shd w:val="clear" w:color="auto" w:fill="auto"/>
            <w:vAlign w:val="center"/>
          </w:tcPr>
          <w:p w14:paraId="2CCE0D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中等</w:t>
            </w:r>
          </w:p>
        </w:tc>
        <w:tc>
          <w:tcPr>
            <w:tcW w:w="633" w:type="pct"/>
            <w:shd w:val="clear" w:color="auto" w:fill="auto"/>
            <w:vAlign w:val="center"/>
          </w:tcPr>
          <w:p w14:paraId="2DCFDD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否（不再申办用地手续）</w:t>
            </w:r>
          </w:p>
        </w:tc>
        <w:tc>
          <w:tcPr>
            <w:tcW w:w="382" w:type="pct"/>
            <w:shd w:val="clear" w:color="auto" w:fill="auto"/>
            <w:vAlign w:val="center"/>
          </w:tcPr>
          <w:p w14:paraId="2B09C4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至</w:t>
            </w:r>
            <w:r>
              <w:rPr>
                <w:rFonts w:hint="default" w:ascii="Times New Roman" w:hAnsi="Times New Roman" w:eastAsia="宋体" w:cs="Times New Roman"/>
                <w:i w:val="0"/>
                <w:iCs w:val="0"/>
                <w:color w:val="auto"/>
                <w:kern w:val="0"/>
                <w:sz w:val="21"/>
                <w:szCs w:val="21"/>
                <w:u w:val="none"/>
                <w:lang w:val="en-US" w:eastAsia="zh-CN" w:bidi="ar"/>
              </w:rPr>
              <w:t>2028</w:t>
            </w:r>
            <w:r>
              <w:rPr>
                <w:rFonts w:hint="eastAsia" w:ascii="宋体" w:hAnsi="宋体" w:eastAsia="宋体" w:cs="宋体"/>
                <w:i w:val="0"/>
                <w:iCs w:val="0"/>
                <w:color w:val="auto"/>
                <w:kern w:val="0"/>
                <w:sz w:val="21"/>
                <w:szCs w:val="21"/>
                <w:u w:val="none"/>
                <w:lang w:val="en-US" w:eastAsia="zh-CN" w:bidi="ar"/>
              </w:rPr>
              <w:t>年</w:t>
            </w:r>
            <w:r>
              <w:rPr>
                <w:rFonts w:hint="eastAsia" w:cs="Times New Roman"/>
                <w:i w:val="0"/>
                <w:iCs w:val="0"/>
                <w:color w:val="auto"/>
                <w:kern w:val="0"/>
                <w:sz w:val="21"/>
                <w:szCs w:val="21"/>
                <w:u w:val="none"/>
                <w:lang w:val="en-US" w:eastAsia="zh-CN" w:bidi="ar"/>
              </w:rPr>
              <w:t>6</w:t>
            </w:r>
            <w:r>
              <w:rPr>
                <w:rFonts w:hint="eastAsia" w:ascii="宋体" w:hAnsi="宋体" w:eastAsia="宋体" w:cs="宋体"/>
                <w:i w:val="0"/>
                <w:iCs w:val="0"/>
                <w:color w:val="auto"/>
                <w:kern w:val="0"/>
                <w:sz w:val="21"/>
                <w:szCs w:val="21"/>
                <w:u w:val="none"/>
                <w:lang w:val="en-US" w:eastAsia="zh-CN" w:bidi="ar"/>
              </w:rPr>
              <w:t>月</w:t>
            </w:r>
          </w:p>
        </w:tc>
        <w:tc>
          <w:tcPr>
            <w:tcW w:w="439" w:type="pct"/>
            <w:shd w:val="clear" w:color="auto" w:fill="auto"/>
            <w:vAlign w:val="center"/>
          </w:tcPr>
          <w:p w14:paraId="140801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草地</w:t>
            </w:r>
          </w:p>
        </w:tc>
        <w:tc>
          <w:tcPr>
            <w:tcW w:w="854" w:type="dxa"/>
            <w:shd w:val="clear" w:color="auto" w:fill="auto"/>
            <w:noWrap/>
            <w:vAlign w:val="center"/>
          </w:tcPr>
          <w:p w14:paraId="7D2B99F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w:t>
            </w:r>
            <w:r>
              <w:rPr>
                <w:rFonts w:hint="eastAsia" w:cs="Times New Roman"/>
                <w:i w:val="0"/>
                <w:iCs w:val="0"/>
                <w:color w:val="auto"/>
                <w:kern w:val="0"/>
                <w:sz w:val="20"/>
                <w:szCs w:val="20"/>
                <w:u w:val="none"/>
                <w:lang w:val="en-US" w:eastAsia="zh-CN" w:bidi="ar"/>
              </w:rPr>
              <w:t>1106</w:t>
            </w:r>
          </w:p>
        </w:tc>
        <w:tc>
          <w:tcPr>
            <w:tcW w:w="356" w:type="pct"/>
            <w:shd w:val="clear" w:color="auto" w:fill="auto"/>
            <w:vAlign w:val="center"/>
          </w:tcPr>
          <w:p w14:paraId="2A607F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高等</w:t>
            </w:r>
          </w:p>
        </w:tc>
        <w:tc>
          <w:tcPr>
            <w:tcW w:w="649" w:type="pct"/>
            <w:shd w:val="clear" w:color="auto" w:fill="auto"/>
            <w:vAlign w:val="center"/>
          </w:tcPr>
          <w:p w14:paraId="74D341F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2026.0</w:t>
            </w:r>
            <w:r>
              <w:rPr>
                <w:rFonts w:hint="eastAsia" w:cs="Times New Roman"/>
                <w:i w:val="0"/>
                <w:iCs w:val="0"/>
                <w:color w:val="auto"/>
                <w:kern w:val="0"/>
                <w:sz w:val="21"/>
                <w:szCs w:val="21"/>
                <w:u w:val="none"/>
                <w:lang w:val="en-US" w:eastAsia="zh-CN" w:bidi="ar"/>
              </w:rPr>
              <w:t>7</w:t>
            </w:r>
            <w:r>
              <w:rPr>
                <w:rFonts w:hint="default" w:ascii="Times New Roman" w:hAnsi="Times New Roman" w:eastAsia="宋体" w:cs="Times New Roman"/>
                <w:i w:val="0"/>
                <w:iCs w:val="0"/>
                <w:color w:val="auto"/>
                <w:kern w:val="0"/>
                <w:sz w:val="21"/>
                <w:szCs w:val="21"/>
                <w:u w:val="none"/>
                <w:lang w:val="en-US" w:eastAsia="zh-CN" w:bidi="ar"/>
              </w:rPr>
              <w:t>-2028.</w:t>
            </w:r>
            <w:r>
              <w:rPr>
                <w:rFonts w:hint="eastAsia" w:cs="Times New Roman"/>
                <w:i w:val="0"/>
                <w:iCs w:val="0"/>
                <w:color w:val="auto"/>
                <w:kern w:val="0"/>
                <w:sz w:val="21"/>
                <w:szCs w:val="21"/>
                <w:u w:val="none"/>
                <w:lang w:val="en-US" w:eastAsia="zh-CN" w:bidi="ar"/>
              </w:rPr>
              <w:t>06</w:t>
            </w:r>
          </w:p>
        </w:tc>
      </w:tr>
      <w:tr w14:paraId="45F76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43" w:type="pct"/>
            <w:shd w:val="clear" w:color="auto" w:fill="auto"/>
            <w:vAlign w:val="center"/>
          </w:tcPr>
          <w:p w14:paraId="41BCAF5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1#废渣堆</w:t>
            </w:r>
          </w:p>
        </w:tc>
        <w:tc>
          <w:tcPr>
            <w:tcW w:w="556" w:type="pct"/>
            <w:shd w:val="clear" w:color="auto" w:fill="auto"/>
            <w:vAlign w:val="center"/>
          </w:tcPr>
          <w:p w14:paraId="5ABCC4D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其他草地</w:t>
            </w:r>
          </w:p>
          <w:p w14:paraId="737DE4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采矿用地</w:t>
            </w:r>
          </w:p>
        </w:tc>
        <w:tc>
          <w:tcPr>
            <w:tcW w:w="418" w:type="pct"/>
            <w:vMerge w:val="continue"/>
            <w:shd w:val="clear" w:color="auto" w:fill="auto"/>
            <w:vAlign w:val="center"/>
          </w:tcPr>
          <w:p w14:paraId="13FEC858">
            <w:pPr>
              <w:jc w:val="center"/>
              <w:rPr>
                <w:rFonts w:hint="eastAsia" w:ascii="宋体" w:hAnsi="宋体" w:eastAsia="宋体" w:cs="宋体"/>
                <w:i w:val="0"/>
                <w:iCs w:val="0"/>
                <w:color w:val="auto"/>
                <w:sz w:val="21"/>
                <w:szCs w:val="21"/>
                <w:u w:val="none"/>
              </w:rPr>
            </w:pPr>
          </w:p>
        </w:tc>
        <w:tc>
          <w:tcPr>
            <w:tcW w:w="460" w:type="pct"/>
            <w:shd w:val="clear" w:color="auto" w:fill="auto"/>
            <w:noWrap/>
            <w:vAlign w:val="center"/>
          </w:tcPr>
          <w:p w14:paraId="0E92824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0.3993</w:t>
            </w:r>
          </w:p>
        </w:tc>
        <w:tc>
          <w:tcPr>
            <w:tcW w:w="271" w:type="pct"/>
            <w:shd w:val="clear" w:color="auto" w:fill="auto"/>
            <w:vAlign w:val="center"/>
          </w:tcPr>
          <w:p w14:paraId="3B1CA3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中等</w:t>
            </w:r>
          </w:p>
        </w:tc>
        <w:tc>
          <w:tcPr>
            <w:tcW w:w="633" w:type="pct"/>
            <w:shd w:val="clear" w:color="auto" w:fill="auto"/>
            <w:vAlign w:val="center"/>
          </w:tcPr>
          <w:p w14:paraId="71FEA6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否（不再申办用地手续）</w:t>
            </w:r>
          </w:p>
        </w:tc>
        <w:tc>
          <w:tcPr>
            <w:tcW w:w="382" w:type="pct"/>
            <w:shd w:val="clear" w:color="auto" w:fill="auto"/>
            <w:vAlign w:val="center"/>
          </w:tcPr>
          <w:p w14:paraId="275748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至</w:t>
            </w:r>
            <w:r>
              <w:rPr>
                <w:rFonts w:hint="default" w:ascii="Times New Roman" w:hAnsi="Times New Roman" w:eastAsia="宋体" w:cs="Times New Roman"/>
                <w:i w:val="0"/>
                <w:iCs w:val="0"/>
                <w:color w:val="auto"/>
                <w:kern w:val="0"/>
                <w:sz w:val="21"/>
                <w:szCs w:val="21"/>
                <w:u w:val="none"/>
                <w:lang w:val="en-US" w:eastAsia="zh-CN" w:bidi="ar"/>
              </w:rPr>
              <w:t>2028</w:t>
            </w:r>
            <w:r>
              <w:rPr>
                <w:rFonts w:hint="eastAsia" w:ascii="宋体" w:hAnsi="宋体" w:eastAsia="宋体" w:cs="宋体"/>
                <w:i w:val="0"/>
                <w:iCs w:val="0"/>
                <w:color w:val="auto"/>
                <w:kern w:val="0"/>
                <w:sz w:val="21"/>
                <w:szCs w:val="21"/>
                <w:u w:val="none"/>
                <w:lang w:val="en-US" w:eastAsia="zh-CN" w:bidi="ar"/>
              </w:rPr>
              <w:t>年</w:t>
            </w:r>
            <w:r>
              <w:rPr>
                <w:rFonts w:hint="eastAsia" w:cs="Times New Roman"/>
                <w:i w:val="0"/>
                <w:iCs w:val="0"/>
                <w:color w:val="auto"/>
                <w:kern w:val="0"/>
                <w:sz w:val="21"/>
                <w:szCs w:val="21"/>
                <w:u w:val="none"/>
                <w:lang w:val="en-US" w:eastAsia="zh-CN" w:bidi="ar"/>
              </w:rPr>
              <w:t>6</w:t>
            </w:r>
            <w:r>
              <w:rPr>
                <w:rFonts w:hint="eastAsia" w:ascii="宋体" w:hAnsi="宋体" w:eastAsia="宋体" w:cs="宋体"/>
                <w:i w:val="0"/>
                <w:iCs w:val="0"/>
                <w:color w:val="auto"/>
                <w:kern w:val="0"/>
                <w:sz w:val="21"/>
                <w:szCs w:val="21"/>
                <w:u w:val="none"/>
                <w:lang w:val="en-US" w:eastAsia="zh-CN" w:bidi="ar"/>
              </w:rPr>
              <w:t>月</w:t>
            </w:r>
          </w:p>
        </w:tc>
        <w:tc>
          <w:tcPr>
            <w:tcW w:w="439" w:type="pct"/>
            <w:shd w:val="clear" w:color="auto" w:fill="auto"/>
            <w:vAlign w:val="center"/>
          </w:tcPr>
          <w:p w14:paraId="341EBA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草地</w:t>
            </w:r>
          </w:p>
        </w:tc>
        <w:tc>
          <w:tcPr>
            <w:tcW w:w="854" w:type="dxa"/>
            <w:shd w:val="clear" w:color="auto" w:fill="auto"/>
            <w:noWrap/>
            <w:vAlign w:val="center"/>
          </w:tcPr>
          <w:p w14:paraId="2BD1DD2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0.3993</w:t>
            </w:r>
          </w:p>
        </w:tc>
        <w:tc>
          <w:tcPr>
            <w:tcW w:w="356" w:type="pct"/>
            <w:shd w:val="clear" w:color="auto" w:fill="auto"/>
            <w:vAlign w:val="center"/>
          </w:tcPr>
          <w:p w14:paraId="1129A7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高等</w:t>
            </w:r>
          </w:p>
        </w:tc>
        <w:tc>
          <w:tcPr>
            <w:tcW w:w="649" w:type="pct"/>
            <w:shd w:val="clear" w:color="auto" w:fill="auto"/>
            <w:vAlign w:val="center"/>
          </w:tcPr>
          <w:p w14:paraId="3BC2B4E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2026.0</w:t>
            </w:r>
            <w:r>
              <w:rPr>
                <w:rFonts w:hint="eastAsia" w:cs="Times New Roman"/>
                <w:i w:val="0"/>
                <w:iCs w:val="0"/>
                <w:color w:val="auto"/>
                <w:kern w:val="0"/>
                <w:sz w:val="21"/>
                <w:szCs w:val="21"/>
                <w:u w:val="none"/>
                <w:lang w:val="en-US" w:eastAsia="zh-CN" w:bidi="ar"/>
              </w:rPr>
              <w:t>7</w:t>
            </w:r>
            <w:r>
              <w:rPr>
                <w:rFonts w:hint="default" w:ascii="Times New Roman" w:hAnsi="Times New Roman" w:eastAsia="宋体" w:cs="Times New Roman"/>
                <w:i w:val="0"/>
                <w:iCs w:val="0"/>
                <w:color w:val="auto"/>
                <w:kern w:val="0"/>
                <w:sz w:val="21"/>
                <w:szCs w:val="21"/>
                <w:u w:val="none"/>
                <w:lang w:val="en-US" w:eastAsia="zh-CN" w:bidi="ar"/>
              </w:rPr>
              <w:t>-2028.</w:t>
            </w:r>
            <w:r>
              <w:rPr>
                <w:rFonts w:hint="eastAsia" w:cs="Times New Roman"/>
                <w:i w:val="0"/>
                <w:iCs w:val="0"/>
                <w:color w:val="auto"/>
                <w:kern w:val="0"/>
                <w:sz w:val="21"/>
                <w:szCs w:val="21"/>
                <w:u w:val="none"/>
                <w:lang w:val="en-US" w:eastAsia="zh-CN" w:bidi="ar"/>
              </w:rPr>
              <w:t>06</w:t>
            </w:r>
          </w:p>
        </w:tc>
      </w:tr>
      <w:tr w14:paraId="3575D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43" w:type="pct"/>
            <w:shd w:val="clear" w:color="auto" w:fill="auto"/>
            <w:vAlign w:val="center"/>
          </w:tcPr>
          <w:p w14:paraId="396D587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2#废渣堆</w:t>
            </w:r>
          </w:p>
        </w:tc>
        <w:tc>
          <w:tcPr>
            <w:tcW w:w="556" w:type="pct"/>
            <w:shd w:val="clear" w:color="auto" w:fill="auto"/>
            <w:vAlign w:val="center"/>
          </w:tcPr>
          <w:p w14:paraId="260A954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其他草地</w:t>
            </w:r>
          </w:p>
          <w:p w14:paraId="2BF701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采矿用地</w:t>
            </w:r>
          </w:p>
        </w:tc>
        <w:tc>
          <w:tcPr>
            <w:tcW w:w="418" w:type="pct"/>
            <w:vMerge w:val="continue"/>
            <w:shd w:val="clear" w:color="auto" w:fill="auto"/>
            <w:vAlign w:val="center"/>
          </w:tcPr>
          <w:p w14:paraId="08192983">
            <w:pPr>
              <w:jc w:val="center"/>
              <w:rPr>
                <w:rFonts w:hint="eastAsia" w:ascii="宋体" w:hAnsi="宋体" w:eastAsia="宋体" w:cs="宋体"/>
                <w:i w:val="0"/>
                <w:iCs w:val="0"/>
                <w:color w:val="auto"/>
                <w:sz w:val="21"/>
                <w:szCs w:val="21"/>
                <w:u w:val="none"/>
              </w:rPr>
            </w:pPr>
          </w:p>
        </w:tc>
        <w:tc>
          <w:tcPr>
            <w:tcW w:w="460" w:type="pct"/>
            <w:shd w:val="clear" w:color="auto" w:fill="auto"/>
            <w:noWrap/>
            <w:vAlign w:val="center"/>
          </w:tcPr>
          <w:p w14:paraId="0C31EA6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0.3869</w:t>
            </w:r>
          </w:p>
        </w:tc>
        <w:tc>
          <w:tcPr>
            <w:tcW w:w="271" w:type="pct"/>
            <w:shd w:val="clear" w:color="auto" w:fill="auto"/>
            <w:vAlign w:val="center"/>
          </w:tcPr>
          <w:p w14:paraId="1108F1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中等</w:t>
            </w:r>
          </w:p>
        </w:tc>
        <w:tc>
          <w:tcPr>
            <w:tcW w:w="633" w:type="pct"/>
            <w:shd w:val="clear" w:color="auto" w:fill="auto"/>
            <w:vAlign w:val="center"/>
          </w:tcPr>
          <w:p w14:paraId="0BB241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否（不再申办用地手续）</w:t>
            </w:r>
          </w:p>
        </w:tc>
        <w:tc>
          <w:tcPr>
            <w:tcW w:w="382" w:type="pct"/>
            <w:shd w:val="clear" w:color="auto" w:fill="auto"/>
            <w:vAlign w:val="center"/>
          </w:tcPr>
          <w:p w14:paraId="5AD948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至</w:t>
            </w:r>
            <w:r>
              <w:rPr>
                <w:rFonts w:hint="default" w:ascii="Times New Roman" w:hAnsi="Times New Roman" w:eastAsia="宋体" w:cs="Times New Roman"/>
                <w:i w:val="0"/>
                <w:iCs w:val="0"/>
                <w:color w:val="auto"/>
                <w:kern w:val="0"/>
                <w:sz w:val="21"/>
                <w:szCs w:val="21"/>
                <w:u w:val="none"/>
                <w:lang w:val="en-US" w:eastAsia="zh-CN" w:bidi="ar"/>
              </w:rPr>
              <w:t>2028</w:t>
            </w:r>
            <w:r>
              <w:rPr>
                <w:rFonts w:hint="eastAsia" w:ascii="宋体" w:hAnsi="宋体" w:eastAsia="宋体" w:cs="宋体"/>
                <w:i w:val="0"/>
                <w:iCs w:val="0"/>
                <w:color w:val="auto"/>
                <w:kern w:val="0"/>
                <w:sz w:val="21"/>
                <w:szCs w:val="21"/>
                <w:u w:val="none"/>
                <w:lang w:val="en-US" w:eastAsia="zh-CN" w:bidi="ar"/>
              </w:rPr>
              <w:t>年</w:t>
            </w:r>
            <w:r>
              <w:rPr>
                <w:rFonts w:hint="eastAsia" w:cs="Times New Roman"/>
                <w:i w:val="0"/>
                <w:iCs w:val="0"/>
                <w:color w:val="auto"/>
                <w:kern w:val="0"/>
                <w:sz w:val="21"/>
                <w:szCs w:val="21"/>
                <w:u w:val="none"/>
                <w:lang w:val="en-US" w:eastAsia="zh-CN" w:bidi="ar"/>
              </w:rPr>
              <w:t>6</w:t>
            </w:r>
            <w:r>
              <w:rPr>
                <w:rFonts w:hint="eastAsia" w:ascii="宋体" w:hAnsi="宋体" w:eastAsia="宋体" w:cs="宋体"/>
                <w:i w:val="0"/>
                <w:iCs w:val="0"/>
                <w:color w:val="auto"/>
                <w:kern w:val="0"/>
                <w:sz w:val="21"/>
                <w:szCs w:val="21"/>
                <w:u w:val="none"/>
                <w:lang w:val="en-US" w:eastAsia="zh-CN" w:bidi="ar"/>
              </w:rPr>
              <w:t>月</w:t>
            </w:r>
          </w:p>
        </w:tc>
        <w:tc>
          <w:tcPr>
            <w:tcW w:w="439" w:type="pct"/>
            <w:shd w:val="clear" w:color="auto" w:fill="auto"/>
            <w:vAlign w:val="center"/>
          </w:tcPr>
          <w:p w14:paraId="0481BD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草地</w:t>
            </w:r>
          </w:p>
        </w:tc>
        <w:tc>
          <w:tcPr>
            <w:tcW w:w="854" w:type="dxa"/>
            <w:shd w:val="clear" w:color="auto" w:fill="auto"/>
            <w:noWrap/>
            <w:vAlign w:val="center"/>
          </w:tcPr>
          <w:p w14:paraId="5DF2C31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0.3869</w:t>
            </w:r>
          </w:p>
        </w:tc>
        <w:tc>
          <w:tcPr>
            <w:tcW w:w="356" w:type="pct"/>
            <w:shd w:val="clear" w:color="auto" w:fill="auto"/>
            <w:vAlign w:val="center"/>
          </w:tcPr>
          <w:p w14:paraId="741DFF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高等</w:t>
            </w:r>
          </w:p>
        </w:tc>
        <w:tc>
          <w:tcPr>
            <w:tcW w:w="649" w:type="pct"/>
            <w:shd w:val="clear" w:color="auto" w:fill="auto"/>
            <w:vAlign w:val="center"/>
          </w:tcPr>
          <w:p w14:paraId="4138433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2026.0</w:t>
            </w:r>
            <w:r>
              <w:rPr>
                <w:rFonts w:hint="eastAsia" w:cs="Times New Roman"/>
                <w:i w:val="0"/>
                <w:iCs w:val="0"/>
                <w:color w:val="auto"/>
                <w:kern w:val="0"/>
                <w:sz w:val="21"/>
                <w:szCs w:val="21"/>
                <w:u w:val="none"/>
                <w:lang w:val="en-US" w:eastAsia="zh-CN" w:bidi="ar"/>
              </w:rPr>
              <w:t>7</w:t>
            </w:r>
            <w:r>
              <w:rPr>
                <w:rFonts w:hint="default" w:ascii="Times New Roman" w:hAnsi="Times New Roman" w:eastAsia="宋体" w:cs="Times New Roman"/>
                <w:i w:val="0"/>
                <w:iCs w:val="0"/>
                <w:color w:val="auto"/>
                <w:kern w:val="0"/>
                <w:sz w:val="21"/>
                <w:szCs w:val="21"/>
                <w:u w:val="none"/>
                <w:lang w:val="en-US" w:eastAsia="zh-CN" w:bidi="ar"/>
              </w:rPr>
              <w:t>-2028.</w:t>
            </w:r>
            <w:r>
              <w:rPr>
                <w:rFonts w:hint="eastAsia" w:cs="Times New Roman"/>
                <w:i w:val="0"/>
                <w:iCs w:val="0"/>
                <w:color w:val="auto"/>
                <w:kern w:val="0"/>
                <w:sz w:val="21"/>
                <w:szCs w:val="21"/>
                <w:u w:val="none"/>
                <w:lang w:val="en-US" w:eastAsia="zh-CN" w:bidi="ar"/>
              </w:rPr>
              <w:t>06</w:t>
            </w:r>
          </w:p>
        </w:tc>
      </w:tr>
      <w:tr w14:paraId="7BFA2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43" w:type="pct"/>
            <w:shd w:val="clear" w:color="auto" w:fill="auto"/>
            <w:vAlign w:val="center"/>
          </w:tcPr>
          <w:p w14:paraId="70D6369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3#废渣堆</w:t>
            </w:r>
          </w:p>
        </w:tc>
        <w:tc>
          <w:tcPr>
            <w:tcW w:w="556" w:type="pct"/>
            <w:shd w:val="clear" w:color="auto" w:fill="auto"/>
            <w:vAlign w:val="center"/>
          </w:tcPr>
          <w:p w14:paraId="764F280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其他草地</w:t>
            </w:r>
          </w:p>
          <w:p w14:paraId="5AE34A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采矿用地</w:t>
            </w:r>
          </w:p>
        </w:tc>
        <w:tc>
          <w:tcPr>
            <w:tcW w:w="418" w:type="pct"/>
            <w:vMerge w:val="continue"/>
            <w:shd w:val="clear" w:color="auto" w:fill="auto"/>
            <w:vAlign w:val="center"/>
          </w:tcPr>
          <w:p w14:paraId="32255AAA">
            <w:pPr>
              <w:jc w:val="center"/>
              <w:rPr>
                <w:rFonts w:hint="eastAsia" w:ascii="宋体" w:hAnsi="宋体" w:eastAsia="宋体" w:cs="宋体"/>
                <w:i w:val="0"/>
                <w:iCs w:val="0"/>
                <w:color w:val="auto"/>
                <w:sz w:val="21"/>
                <w:szCs w:val="21"/>
                <w:u w:val="none"/>
              </w:rPr>
            </w:pPr>
          </w:p>
        </w:tc>
        <w:tc>
          <w:tcPr>
            <w:tcW w:w="460" w:type="pct"/>
            <w:shd w:val="clear" w:color="auto" w:fill="auto"/>
            <w:noWrap/>
            <w:vAlign w:val="center"/>
          </w:tcPr>
          <w:p w14:paraId="01B3273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0.0965</w:t>
            </w:r>
          </w:p>
        </w:tc>
        <w:tc>
          <w:tcPr>
            <w:tcW w:w="271" w:type="pct"/>
            <w:shd w:val="clear" w:color="auto" w:fill="auto"/>
            <w:vAlign w:val="center"/>
          </w:tcPr>
          <w:p w14:paraId="231EAC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中等</w:t>
            </w:r>
          </w:p>
        </w:tc>
        <w:tc>
          <w:tcPr>
            <w:tcW w:w="633" w:type="pct"/>
            <w:shd w:val="clear" w:color="auto" w:fill="auto"/>
            <w:vAlign w:val="center"/>
          </w:tcPr>
          <w:p w14:paraId="55FB45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否（不再申办用地手续）</w:t>
            </w:r>
          </w:p>
        </w:tc>
        <w:tc>
          <w:tcPr>
            <w:tcW w:w="382" w:type="pct"/>
            <w:shd w:val="clear" w:color="auto" w:fill="auto"/>
            <w:vAlign w:val="center"/>
          </w:tcPr>
          <w:p w14:paraId="65CA32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至</w:t>
            </w:r>
            <w:r>
              <w:rPr>
                <w:rFonts w:hint="default" w:ascii="Times New Roman" w:hAnsi="Times New Roman" w:eastAsia="宋体" w:cs="Times New Roman"/>
                <w:i w:val="0"/>
                <w:iCs w:val="0"/>
                <w:color w:val="auto"/>
                <w:kern w:val="0"/>
                <w:sz w:val="21"/>
                <w:szCs w:val="21"/>
                <w:u w:val="none"/>
                <w:lang w:val="en-US" w:eastAsia="zh-CN" w:bidi="ar"/>
              </w:rPr>
              <w:t>2028</w:t>
            </w:r>
            <w:r>
              <w:rPr>
                <w:rFonts w:hint="eastAsia" w:ascii="宋体" w:hAnsi="宋体" w:eastAsia="宋体" w:cs="宋体"/>
                <w:i w:val="0"/>
                <w:iCs w:val="0"/>
                <w:color w:val="auto"/>
                <w:kern w:val="0"/>
                <w:sz w:val="21"/>
                <w:szCs w:val="21"/>
                <w:u w:val="none"/>
                <w:lang w:val="en-US" w:eastAsia="zh-CN" w:bidi="ar"/>
              </w:rPr>
              <w:t>年</w:t>
            </w:r>
            <w:r>
              <w:rPr>
                <w:rFonts w:hint="eastAsia" w:cs="Times New Roman"/>
                <w:i w:val="0"/>
                <w:iCs w:val="0"/>
                <w:color w:val="auto"/>
                <w:kern w:val="0"/>
                <w:sz w:val="21"/>
                <w:szCs w:val="21"/>
                <w:u w:val="none"/>
                <w:lang w:val="en-US" w:eastAsia="zh-CN" w:bidi="ar"/>
              </w:rPr>
              <w:t>6</w:t>
            </w:r>
            <w:r>
              <w:rPr>
                <w:rFonts w:hint="eastAsia" w:ascii="宋体" w:hAnsi="宋体" w:eastAsia="宋体" w:cs="宋体"/>
                <w:i w:val="0"/>
                <w:iCs w:val="0"/>
                <w:color w:val="auto"/>
                <w:kern w:val="0"/>
                <w:sz w:val="21"/>
                <w:szCs w:val="21"/>
                <w:u w:val="none"/>
                <w:lang w:val="en-US" w:eastAsia="zh-CN" w:bidi="ar"/>
              </w:rPr>
              <w:t>月</w:t>
            </w:r>
          </w:p>
        </w:tc>
        <w:tc>
          <w:tcPr>
            <w:tcW w:w="439" w:type="pct"/>
            <w:shd w:val="clear" w:color="auto" w:fill="auto"/>
            <w:vAlign w:val="center"/>
          </w:tcPr>
          <w:p w14:paraId="39C118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auto"/>
                <w:kern w:val="0"/>
                <w:sz w:val="21"/>
                <w:szCs w:val="21"/>
                <w:u w:val="none"/>
                <w:lang w:val="en-US" w:eastAsia="zh-CN" w:bidi="ar"/>
              </w:rPr>
              <w:t>林地</w:t>
            </w:r>
          </w:p>
        </w:tc>
        <w:tc>
          <w:tcPr>
            <w:tcW w:w="854" w:type="dxa"/>
            <w:shd w:val="clear" w:color="auto" w:fill="auto"/>
            <w:noWrap/>
            <w:vAlign w:val="center"/>
          </w:tcPr>
          <w:p w14:paraId="704429F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0.0965</w:t>
            </w:r>
          </w:p>
        </w:tc>
        <w:tc>
          <w:tcPr>
            <w:tcW w:w="356" w:type="pct"/>
            <w:shd w:val="clear" w:color="auto" w:fill="auto"/>
            <w:vAlign w:val="center"/>
          </w:tcPr>
          <w:p w14:paraId="75202F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高等</w:t>
            </w:r>
          </w:p>
        </w:tc>
        <w:tc>
          <w:tcPr>
            <w:tcW w:w="649" w:type="pct"/>
            <w:shd w:val="clear" w:color="auto" w:fill="auto"/>
            <w:vAlign w:val="center"/>
          </w:tcPr>
          <w:p w14:paraId="030D50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2026.0</w:t>
            </w:r>
            <w:r>
              <w:rPr>
                <w:rFonts w:hint="eastAsia" w:cs="Times New Roman"/>
                <w:i w:val="0"/>
                <w:iCs w:val="0"/>
                <w:color w:val="auto"/>
                <w:kern w:val="0"/>
                <w:sz w:val="21"/>
                <w:szCs w:val="21"/>
                <w:u w:val="none"/>
                <w:lang w:val="en-US" w:eastAsia="zh-CN" w:bidi="ar"/>
              </w:rPr>
              <w:t>7</w:t>
            </w:r>
            <w:r>
              <w:rPr>
                <w:rFonts w:hint="default" w:ascii="Times New Roman" w:hAnsi="Times New Roman" w:eastAsia="宋体" w:cs="Times New Roman"/>
                <w:i w:val="0"/>
                <w:iCs w:val="0"/>
                <w:color w:val="auto"/>
                <w:kern w:val="0"/>
                <w:sz w:val="21"/>
                <w:szCs w:val="21"/>
                <w:u w:val="none"/>
                <w:lang w:val="en-US" w:eastAsia="zh-CN" w:bidi="ar"/>
              </w:rPr>
              <w:t>-2028.</w:t>
            </w:r>
            <w:r>
              <w:rPr>
                <w:rFonts w:hint="eastAsia" w:cs="Times New Roman"/>
                <w:i w:val="0"/>
                <w:iCs w:val="0"/>
                <w:color w:val="auto"/>
                <w:kern w:val="0"/>
                <w:sz w:val="21"/>
                <w:szCs w:val="21"/>
                <w:u w:val="none"/>
                <w:lang w:val="en-US" w:eastAsia="zh-CN" w:bidi="ar"/>
              </w:rPr>
              <w:t>06</w:t>
            </w:r>
          </w:p>
        </w:tc>
      </w:tr>
      <w:tr w14:paraId="644F8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43" w:type="pct"/>
            <w:shd w:val="clear" w:color="auto" w:fill="auto"/>
            <w:vAlign w:val="center"/>
          </w:tcPr>
          <w:p w14:paraId="69ABA20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cs="宋体"/>
                <w:i w:val="0"/>
                <w:iCs w:val="0"/>
                <w:color w:val="auto"/>
                <w:kern w:val="0"/>
                <w:sz w:val="20"/>
                <w:szCs w:val="20"/>
                <w:u w:val="none"/>
                <w:lang w:val="en-US" w:eastAsia="zh-CN" w:bidi="ar"/>
              </w:rPr>
              <w:t>工业场地</w:t>
            </w:r>
          </w:p>
        </w:tc>
        <w:tc>
          <w:tcPr>
            <w:tcW w:w="556" w:type="pct"/>
            <w:shd w:val="clear" w:color="auto" w:fill="auto"/>
            <w:vAlign w:val="center"/>
          </w:tcPr>
          <w:p w14:paraId="0D5D67BB">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采矿用地</w:t>
            </w:r>
          </w:p>
          <w:p w14:paraId="108A5AC2">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其它草地</w:t>
            </w:r>
          </w:p>
          <w:p w14:paraId="3524F6EC">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裸土地</w:t>
            </w:r>
          </w:p>
        </w:tc>
        <w:tc>
          <w:tcPr>
            <w:tcW w:w="418" w:type="pct"/>
            <w:vMerge w:val="continue"/>
            <w:shd w:val="clear" w:color="auto" w:fill="auto"/>
            <w:vAlign w:val="center"/>
          </w:tcPr>
          <w:p w14:paraId="0E5F2AFE">
            <w:pPr>
              <w:jc w:val="center"/>
              <w:rPr>
                <w:rFonts w:hint="eastAsia" w:ascii="宋体" w:hAnsi="宋体" w:eastAsia="宋体" w:cs="宋体"/>
                <w:i w:val="0"/>
                <w:iCs w:val="0"/>
                <w:color w:val="auto"/>
                <w:sz w:val="21"/>
                <w:szCs w:val="21"/>
                <w:u w:val="none"/>
              </w:rPr>
            </w:pPr>
          </w:p>
        </w:tc>
        <w:tc>
          <w:tcPr>
            <w:tcW w:w="460" w:type="pct"/>
            <w:shd w:val="clear" w:color="auto" w:fill="auto"/>
            <w:noWrap/>
            <w:vAlign w:val="center"/>
          </w:tcPr>
          <w:p w14:paraId="29A2BF4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lang w:val="en-US"/>
              </w:rPr>
            </w:pPr>
            <w:r>
              <w:rPr>
                <w:rFonts w:hint="eastAsia" w:cs="Times New Roman"/>
                <w:i w:val="0"/>
                <w:iCs w:val="0"/>
                <w:color w:val="auto"/>
                <w:kern w:val="0"/>
                <w:sz w:val="20"/>
                <w:szCs w:val="20"/>
                <w:u w:val="none"/>
                <w:lang w:val="en-US" w:eastAsia="zh-CN" w:bidi="ar"/>
              </w:rPr>
              <w:t>0.5425</w:t>
            </w:r>
          </w:p>
        </w:tc>
        <w:tc>
          <w:tcPr>
            <w:tcW w:w="271" w:type="pct"/>
            <w:shd w:val="clear" w:color="auto" w:fill="auto"/>
            <w:vAlign w:val="center"/>
          </w:tcPr>
          <w:p w14:paraId="0E5D01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中等</w:t>
            </w:r>
          </w:p>
        </w:tc>
        <w:tc>
          <w:tcPr>
            <w:tcW w:w="633" w:type="pct"/>
            <w:shd w:val="clear" w:color="auto" w:fill="auto"/>
            <w:vAlign w:val="center"/>
          </w:tcPr>
          <w:p w14:paraId="5B772A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否（不再申办用地手续）</w:t>
            </w:r>
          </w:p>
        </w:tc>
        <w:tc>
          <w:tcPr>
            <w:tcW w:w="382" w:type="pct"/>
            <w:shd w:val="clear" w:color="auto" w:fill="auto"/>
            <w:vAlign w:val="center"/>
          </w:tcPr>
          <w:p w14:paraId="221F9EE7">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至</w:t>
            </w:r>
            <w:r>
              <w:rPr>
                <w:rFonts w:hint="default" w:ascii="Times New Roman" w:hAnsi="Times New Roman" w:eastAsia="宋体" w:cs="Times New Roman"/>
                <w:i w:val="0"/>
                <w:iCs w:val="0"/>
                <w:color w:val="auto"/>
                <w:kern w:val="0"/>
                <w:sz w:val="21"/>
                <w:szCs w:val="21"/>
                <w:u w:val="none"/>
                <w:lang w:val="en-US" w:eastAsia="zh-CN" w:bidi="ar"/>
              </w:rPr>
              <w:t>2028</w:t>
            </w:r>
            <w:r>
              <w:rPr>
                <w:rFonts w:hint="eastAsia" w:ascii="宋体" w:hAnsi="宋体" w:eastAsia="宋体" w:cs="宋体"/>
                <w:i w:val="0"/>
                <w:iCs w:val="0"/>
                <w:color w:val="auto"/>
                <w:kern w:val="0"/>
                <w:sz w:val="21"/>
                <w:szCs w:val="21"/>
                <w:u w:val="none"/>
                <w:lang w:val="en-US" w:eastAsia="zh-CN" w:bidi="ar"/>
              </w:rPr>
              <w:t>年</w:t>
            </w:r>
            <w:r>
              <w:rPr>
                <w:rFonts w:hint="eastAsia" w:cs="Times New Roman"/>
                <w:i w:val="0"/>
                <w:iCs w:val="0"/>
                <w:color w:val="auto"/>
                <w:kern w:val="0"/>
                <w:sz w:val="21"/>
                <w:szCs w:val="21"/>
                <w:u w:val="none"/>
                <w:lang w:val="en-US" w:eastAsia="zh-CN" w:bidi="ar"/>
              </w:rPr>
              <w:t>6</w:t>
            </w:r>
            <w:r>
              <w:rPr>
                <w:rFonts w:hint="eastAsia" w:ascii="宋体" w:hAnsi="宋体" w:eastAsia="宋体" w:cs="宋体"/>
                <w:i w:val="0"/>
                <w:iCs w:val="0"/>
                <w:color w:val="auto"/>
                <w:kern w:val="0"/>
                <w:sz w:val="21"/>
                <w:szCs w:val="21"/>
                <w:u w:val="none"/>
                <w:lang w:val="en-US" w:eastAsia="zh-CN" w:bidi="ar"/>
              </w:rPr>
              <w:t>月</w:t>
            </w:r>
          </w:p>
        </w:tc>
        <w:tc>
          <w:tcPr>
            <w:tcW w:w="439" w:type="pct"/>
            <w:shd w:val="clear" w:color="auto" w:fill="auto"/>
            <w:vAlign w:val="center"/>
          </w:tcPr>
          <w:p w14:paraId="531E7D17">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草地</w:t>
            </w:r>
          </w:p>
        </w:tc>
        <w:tc>
          <w:tcPr>
            <w:tcW w:w="288" w:type="pct"/>
            <w:shd w:val="clear" w:color="auto" w:fill="auto"/>
            <w:noWrap/>
            <w:vAlign w:val="center"/>
          </w:tcPr>
          <w:p w14:paraId="4879182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cs="Times New Roman"/>
                <w:i w:val="0"/>
                <w:iCs w:val="0"/>
                <w:color w:val="auto"/>
                <w:kern w:val="0"/>
                <w:sz w:val="20"/>
                <w:szCs w:val="20"/>
                <w:u w:val="none"/>
                <w:lang w:val="en-US" w:eastAsia="zh-CN" w:bidi="ar"/>
              </w:rPr>
              <w:t>-</w:t>
            </w:r>
          </w:p>
        </w:tc>
        <w:tc>
          <w:tcPr>
            <w:tcW w:w="356" w:type="pct"/>
            <w:shd w:val="clear" w:color="auto" w:fill="auto"/>
            <w:vAlign w:val="center"/>
          </w:tcPr>
          <w:p w14:paraId="5210B7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高等</w:t>
            </w:r>
          </w:p>
        </w:tc>
        <w:tc>
          <w:tcPr>
            <w:tcW w:w="649" w:type="pct"/>
            <w:shd w:val="clear" w:color="auto" w:fill="auto"/>
            <w:vAlign w:val="center"/>
          </w:tcPr>
          <w:p w14:paraId="68E0025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2026.0</w:t>
            </w:r>
            <w:r>
              <w:rPr>
                <w:rFonts w:hint="eastAsia" w:cs="Times New Roman"/>
                <w:i w:val="0"/>
                <w:iCs w:val="0"/>
                <w:color w:val="auto"/>
                <w:kern w:val="0"/>
                <w:sz w:val="21"/>
                <w:szCs w:val="21"/>
                <w:u w:val="none"/>
                <w:lang w:val="en-US" w:eastAsia="zh-CN" w:bidi="ar"/>
              </w:rPr>
              <w:t>7</w:t>
            </w:r>
            <w:r>
              <w:rPr>
                <w:rFonts w:hint="default" w:ascii="Times New Roman" w:hAnsi="Times New Roman" w:eastAsia="宋体" w:cs="Times New Roman"/>
                <w:i w:val="0"/>
                <w:iCs w:val="0"/>
                <w:color w:val="auto"/>
                <w:kern w:val="0"/>
                <w:sz w:val="21"/>
                <w:szCs w:val="21"/>
                <w:u w:val="none"/>
                <w:lang w:val="en-US" w:eastAsia="zh-CN" w:bidi="ar"/>
              </w:rPr>
              <w:t>-2028.</w:t>
            </w:r>
            <w:r>
              <w:rPr>
                <w:rFonts w:hint="eastAsia" w:cs="Times New Roman"/>
                <w:i w:val="0"/>
                <w:iCs w:val="0"/>
                <w:color w:val="auto"/>
                <w:kern w:val="0"/>
                <w:sz w:val="21"/>
                <w:szCs w:val="21"/>
                <w:u w:val="none"/>
                <w:lang w:val="en-US" w:eastAsia="zh-CN" w:bidi="ar"/>
              </w:rPr>
              <w:t>06</w:t>
            </w:r>
          </w:p>
        </w:tc>
      </w:tr>
      <w:tr w14:paraId="70257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43" w:type="pct"/>
            <w:shd w:val="clear" w:color="auto" w:fill="auto"/>
            <w:vAlign w:val="center"/>
          </w:tcPr>
          <w:p w14:paraId="55A0913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矿区道路</w:t>
            </w:r>
          </w:p>
        </w:tc>
        <w:tc>
          <w:tcPr>
            <w:tcW w:w="556" w:type="pct"/>
            <w:shd w:val="clear" w:color="auto" w:fill="auto"/>
            <w:vAlign w:val="center"/>
          </w:tcPr>
          <w:p w14:paraId="35FDECE8">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乔木林地</w:t>
            </w:r>
          </w:p>
          <w:p w14:paraId="2F154CB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其他草地</w:t>
            </w:r>
          </w:p>
          <w:p w14:paraId="7F461AA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采矿用地</w:t>
            </w:r>
          </w:p>
          <w:p w14:paraId="7C7600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裸土地</w:t>
            </w:r>
          </w:p>
        </w:tc>
        <w:tc>
          <w:tcPr>
            <w:tcW w:w="418" w:type="pct"/>
            <w:vMerge w:val="continue"/>
            <w:shd w:val="clear" w:color="auto" w:fill="auto"/>
            <w:vAlign w:val="center"/>
          </w:tcPr>
          <w:p w14:paraId="07125785">
            <w:pPr>
              <w:jc w:val="center"/>
              <w:rPr>
                <w:rFonts w:hint="eastAsia" w:ascii="宋体" w:hAnsi="宋体" w:eastAsia="宋体" w:cs="宋体"/>
                <w:i w:val="0"/>
                <w:iCs w:val="0"/>
                <w:color w:val="auto"/>
                <w:sz w:val="21"/>
                <w:szCs w:val="21"/>
                <w:u w:val="none"/>
              </w:rPr>
            </w:pPr>
          </w:p>
        </w:tc>
        <w:tc>
          <w:tcPr>
            <w:tcW w:w="460" w:type="pct"/>
            <w:shd w:val="clear" w:color="auto" w:fill="auto"/>
            <w:noWrap/>
            <w:vAlign w:val="center"/>
          </w:tcPr>
          <w:p w14:paraId="4AB7A37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lang w:val="en-US"/>
              </w:rPr>
            </w:pPr>
            <w:r>
              <w:rPr>
                <w:rFonts w:hint="eastAsia" w:cs="Times New Roman"/>
                <w:i w:val="0"/>
                <w:iCs w:val="0"/>
                <w:color w:val="auto"/>
                <w:kern w:val="0"/>
                <w:sz w:val="20"/>
                <w:szCs w:val="20"/>
                <w:u w:val="none"/>
                <w:lang w:val="en-US" w:eastAsia="zh-CN" w:bidi="ar"/>
              </w:rPr>
              <w:t>0.6335</w:t>
            </w:r>
          </w:p>
        </w:tc>
        <w:tc>
          <w:tcPr>
            <w:tcW w:w="271" w:type="pct"/>
            <w:shd w:val="clear" w:color="auto" w:fill="auto"/>
            <w:vAlign w:val="center"/>
          </w:tcPr>
          <w:p w14:paraId="2DEF7F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中等</w:t>
            </w:r>
          </w:p>
        </w:tc>
        <w:tc>
          <w:tcPr>
            <w:tcW w:w="633" w:type="pct"/>
            <w:shd w:val="clear" w:color="auto" w:fill="auto"/>
            <w:vAlign w:val="center"/>
          </w:tcPr>
          <w:p w14:paraId="7F6B38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否（不再申办用地手续）</w:t>
            </w:r>
          </w:p>
        </w:tc>
        <w:tc>
          <w:tcPr>
            <w:tcW w:w="382" w:type="pct"/>
            <w:shd w:val="clear" w:color="auto" w:fill="auto"/>
            <w:vAlign w:val="center"/>
          </w:tcPr>
          <w:p w14:paraId="23C4CF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至</w:t>
            </w:r>
            <w:r>
              <w:rPr>
                <w:rFonts w:hint="default" w:ascii="Times New Roman" w:hAnsi="Times New Roman" w:eastAsia="宋体" w:cs="Times New Roman"/>
                <w:i w:val="0"/>
                <w:iCs w:val="0"/>
                <w:color w:val="auto"/>
                <w:kern w:val="0"/>
                <w:sz w:val="21"/>
                <w:szCs w:val="21"/>
                <w:u w:val="none"/>
                <w:lang w:val="en-US" w:eastAsia="zh-CN" w:bidi="ar"/>
              </w:rPr>
              <w:t>2028</w:t>
            </w:r>
            <w:r>
              <w:rPr>
                <w:rFonts w:hint="eastAsia" w:ascii="宋体" w:hAnsi="宋体" w:eastAsia="宋体" w:cs="宋体"/>
                <w:i w:val="0"/>
                <w:iCs w:val="0"/>
                <w:color w:val="auto"/>
                <w:kern w:val="0"/>
                <w:sz w:val="21"/>
                <w:szCs w:val="21"/>
                <w:u w:val="none"/>
                <w:lang w:val="en-US" w:eastAsia="zh-CN" w:bidi="ar"/>
              </w:rPr>
              <w:t>年</w:t>
            </w:r>
            <w:r>
              <w:rPr>
                <w:rFonts w:hint="eastAsia" w:cs="Times New Roman"/>
                <w:i w:val="0"/>
                <w:iCs w:val="0"/>
                <w:color w:val="auto"/>
                <w:kern w:val="0"/>
                <w:sz w:val="21"/>
                <w:szCs w:val="21"/>
                <w:u w:val="none"/>
                <w:lang w:val="en-US" w:eastAsia="zh-CN" w:bidi="ar"/>
              </w:rPr>
              <w:t>6</w:t>
            </w:r>
            <w:r>
              <w:rPr>
                <w:rFonts w:hint="eastAsia" w:ascii="宋体" w:hAnsi="宋体" w:eastAsia="宋体" w:cs="宋体"/>
                <w:i w:val="0"/>
                <w:iCs w:val="0"/>
                <w:color w:val="auto"/>
                <w:kern w:val="0"/>
                <w:sz w:val="21"/>
                <w:szCs w:val="21"/>
                <w:u w:val="none"/>
                <w:lang w:val="en-US" w:eastAsia="zh-CN" w:bidi="ar"/>
              </w:rPr>
              <w:t>月</w:t>
            </w:r>
          </w:p>
        </w:tc>
        <w:tc>
          <w:tcPr>
            <w:tcW w:w="439" w:type="pct"/>
            <w:shd w:val="clear" w:color="auto" w:fill="auto"/>
            <w:vAlign w:val="center"/>
          </w:tcPr>
          <w:p w14:paraId="53D22F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草地</w:t>
            </w:r>
          </w:p>
        </w:tc>
        <w:tc>
          <w:tcPr>
            <w:tcW w:w="288" w:type="pct"/>
            <w:shd w:val="clear" w:color="auto" w:fill="auto"/>
            <w:noWrap/>
            <w:vAlign w:val="center"/>
          </w:tcPr>
          <w:p w14:paraId="5C0C07C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lang w:val="en-US"/>
              </w:rPr>
            </w:pPr>
            <w:r>
              <w:rPr>
                <w:rFonts w:hint="eastAsia" w:cs="Times New Roman"/>
                <w:i w:val="0"/>
                <w:iCs w:val="0"/>
                <w:color w:val="auto"/>
                <w:kern w:val="0"/>
                <w:sz w:val="20"/>
                <w:szCs w:val="20"/>
                <w:u w:val="none"/>
                <w:lang w:val="en-US" w:eastAsia="zh-CN" w:bidi="ar"/>
              </w:rPr>
              <w:t>0.6335</w:t>
            </w:r>
          </w:p>
        </w:tc>
        <w:tc>
          <w:tcPr>
            <w:tcW w:w="356" w:type="pct"/>
            <w:shd w:val="clear" w:color="auto" w:fill="auto"/>
            <w:vAlign w:val="center"/>
          </w:tcPr>
          <w:p w14:paraId="5518B7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高等</w:t>
            </w:r>
          </w:p>
        </w:tc>
        <w:tc>
          <w:tcPr>
            <w:tcW w:w="649" w:type="pct"/>
            <w:shd w:val="clear" w:color="auto" w:fill="auto"/>
            <w:vAlign w:val="center"/>
          </w:tcPr>
          <w:p w14:paraId="33D0FFC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2026.0</w:t>
            </w:r>
            <w:r>
              <w:rPr>
                <w:rFonts w:hint="eastAsia" w:cs="Times New Roman"/>
                <w:i w:val="0"/>
                <w:iCs w:val="0"/>
                <w:color w:val="auto"/>
                <w:kern w:val="0"/>
                <w:sz w:val="21"/>
                <w:szCs w:val="21"/>
                <w:u w:val="none"/>
                <w:lang w:val="en-US" w:eastAsia="zh-CN" w:bidi="ar"/>
              </w:rPr>
              <w:t>7</w:t>
            </w:r>
            <w:r>
              <w:rPr>
                <w:rFonts w:hint="default" w:ascii="Times New Roman" w:hAnsi="Times New Roman" w:eastAsia="宋体" w:cs="Times New Roman"/>
                <w:i w:val="0"/>
                <w:iCs w:val="0"/>
                <w:color w:val="auto"/>
                <w:kern w:val="0"/>
                <w:sz w:val="21"/>
                <w:szCs w:val="21"/>
                <w:u w:val="none"/>
                <w:lang w:val="en-US" w:eastAsia="zh-CN" w:bidi="ar"/>
              </w:rPr>
              <w:t>-2028.</w:t>
            </w:r>
            <w:r>
              <w:rPr>
                <w:rFonts w:hint="eastAsia" w:cs="Times New Roman"/>
                <w:i w:val="0"/>
                <w:iCs w:val="0"/>
                <w:color w:val="auto"/>
                <w:kern w:val="0"/>
                <w:sz w:val="21"/>
                <w:szCs w:val="21"/>
                <w:u w:val="none"/>
                <w:lang w:val="en-US" w:eastAsia="zh-CN" w:bidi="ar"/>
              </w:rPr>
              <w:t>06</w:t>
            </w:r>
          </w:p>
        </w:tc>
      </w:tr>
    </w:tbl>
    <w:p w14:paraId="1D954887">
      <w:pPr>
        <w:rPr>
          <w:rFonts w:hint="eastAsia" w:hAnsi="黑体" w:eastAsia="黑体" w:cs="黑体"/>
          <w:bCs/>
          <w:color w:val="auto"/>
        </w:rPr>
        <w:sectPr>
          <w:headerReference r:id="rId19" w:type="default"/>
          <w:footerReference r:id="rId20" w:type="default"/>
          <w:pgSz w:w="16838" w:h="11906" w:orient="landscape"/>
          <w:pgMar w:top="567" w:right="850" w:bottom="567" w:left="850" w:header="851" w:footer="992" w:gutter="0"/>
          <w:pgNumType w:fmt="decimal"/>
          <w:cols w:space="720" w:num="1"/>
          <w:docGrid w:linePitch="312" w:charSpace="0"/>
        </w:sectPr>
      </w:pPr>
    </w:p>
    <w:p w14:paraId="722692AE">
      <w:pPr>
        <w:pStyle w:val="2"/>
        <w:spacing w:line="360" w:lineRule="auto"/>
        <w:jc w:val="center"/>
        <w:rPr>
          <w:rFonts w:hint="eastAsia" w:ascii="黑体" w:hAnsi="黑体" w:eastAsia="黑体" w:cs="黑体"/>
          <w:bCs/>
          <w:color w:val="auto"/>
        </w:rPr>
      </w:pPr>
      <w:bookmarkStart w:id="78" w:name="_Toc24520"/>
      <w:r>
        <w:rPr>
          <w:rFonts w:hint="eastAsia" w:ascii="黑体" w:hAnsi="黑体" w:eastAsia="黑体" w:cs="黑体"/>
          <w:bCs/>
          <w:color w:val="auto"/>
        </w:rPr>
        <w:t>第四章  生态修复措施与工程内容</w:t>
      </w:r>
      <w:bookmarkEnd w:id="78"/>
    </w:p>
    <w:p w14:paraId="4CD612D9">
      <w:pPr>
        <w:keepNext/>
        <w:keepLines/>
        <w:adjustRightInd w:val="0"/>
        <w:snapToGrid w:val="0"/>
        <w:spacing w:before="120" w:beforeLines="50" w:line="360" w:lineRule="auto"/>
        <w:ind w:firstLine="602" w:firstLineChars="200"/>
        <w:jc w:val="center"/>
        <w:outlineLvl w:val="1"/>
        <w:rPr>
          <w:rFonts w:ascii="黑体" w:hAnsi="Arial"/>
          <w:b/>
          <w:color w:val="auto"/>
          <w:sz w:val="30"/>
        </w:rPr>
      </w:pPr>
      <w:bookmarkStart w:id="79" w:name="_Toc27621"/>
      <w:r>
        <w:rPr>
          <w:rFonts w:hint="eastAsia" w:ascii="黑体" w:hAnsi="Arial"/>
          <w:b/>
          <w:color w:val="auto"/>
          <w:sz w:val="30"/>
        </w:rPr>
        <w:t>第一节 保护与预防控制措施</w:t>
      </w:r>
      <w:bookmarkEnd w:id="79"/>
    </w:p>
    <w:p w14:paraId="4B9DEF90">
      <w:pPr>
        <w:spacing w:line="360" w:lineRule="auto"/>
        <w:ind w:firstLine="562" w:firstLineChars="200"/>
        <w:outlineLvl w:val="2"/>
        <w:rPr>
          <w:b/>
          <w:bCs/>
          <w:color w:val="auto"/>
          <w:sz w:val="28"/>
          <w:szCs w:val="24"/>
        </w:rPr>
      </w:pPr>
      <w:r>
        <w:rPr>
          <w:b/>
          <w:bCs/>
          <w:color w:val="auto"/>
          <w:sz w:val="28"/>
          <w:szCs w:val="24"/>
        </w:rPr>
        <w:t>一、敏感目标保护</w:t>
      </w:r>
    </w:p>
    <w:p w14:paraId="0BC08C67">
      <w:pPr>
        <w:widowControl/>
        <w:spacing w:line="360" w:lineRule="auto"/>
        <w:ind w:firstLine="560" w:firstLineChars="200"/>
        <w:rPr>
          <w:color w:val="auto"/>
          <w:sz w:val="28"/>
          <w:szCs w:val="28"/>
        </w:rPr>
      </w:pPr>
      <w:r>
        <w:rPr>
          <w:rFonts w:hint="eastAsia"/>
          <w:color w:val="auto"/>
          <w:sz w:val="28"/>
          <w:szCs w:val="28"/>
          <w:highlight w:val="none"/>
          <w:lang w:val="en-US" w:eastAsia="zh-CN"/>
        </w:rPr>
        <w:t>矿区范围</w:t>
      </w:r>
      <w:r>
        <w:rPr>
          <w:color w:val="auto"/>
          <w:sz w:val="28"/>
          <w:szCs w:val="28"/>
          <w:highlight w:val="none"/>
        </w:rPr>
        <w:t>不涉及《</w:t>
      </w:r>
      <w:r>
        <w:rPr>
          <w:rFonts w:hint="eastAsia"/>
          <w:color w:val="auto"/>
          <w:sz w:val="28"/>
          <w:szCs w:val="28"/>
          <w:highlight w:val="none"/>
          <w:lang w:eastAsia="zh-CN"/>
        </w:rPr>
        <w:t>中华人民共和国矿产资源法</w:t>
      </w:r>
      <w:r>
        <w:rPr>
          <w:color w:val="auto"/>
          <w:sz w:val="28"/>
          <w:szCs w:val="28"/>
          <w:highlight w:val="none"/>
        </w:rPr>
        <w:t>》第二十条规定不得开采矿产资源的地区</w:t>
      </w:r>
      <w:r>
        <w:rPr>
          <w:rFonts w:hint="eastAsia"/>
          <w:color w:val="auto"/>
          <w:sz w:val="28"/>
          <w:szCs w:val="28"/>
          <w:highlight w:val="none"/>
          <w:lang w:eastAsia="zh-CN"/>
        </w:rPr>
        <w:t>：</w:t>
      </w:r>
      <w:r>
        <w:rPr>
          <w:rFonts w:hint="eastAsia"/>
          <w:color w:val="auto"/>
          <w:sz w:val="28"/>
          <w:szCs w:val="28"/>
          <w:highlight w:val="none"/>
        </w:rPr>
        <w:t>无机场、铁路建设项目，不存在重要工业区</w:t>
      </w:r>
      <w:r>
        <w:rPr>
          <w:color w:val="auto"/>
          <w:sz w:val="28"/>
          <w:szCs w:val="28"/>
          <w:highlight w:val="none"/>
        </w:rPr>
        <w:t>；</w:t>
      </w:r>
      <w:r>
        <w:rPr>
          <w:rFonts w:hint="eastAsia"/>
          <w:color w:val="auto"/>
          <w:sz w:val="28"/>
          <w:szCs w:val="28"/>
          <w:highlight w:val="none"/>
        </w:rPr>
        <w:t>地表以上无军事设施</w:t>
      </w:r>
      <w:r>
        <w:rPr>
          <w:rFonts w:hint="eastAsia"/>
          <w:color w:val="auto"/>
          <w:sz w:val="28"/>
          <w:szCs w:val="28"/>
          <w:highlight w:val="none"/>
          <w:lang w:eastAsia="zh-CN"/>
        </w:rPr>
        <w:t>；无重点水利工程、无重大河流；不在</w:t>
      </w:r>
      <w:r>
        <w:rPr>
          <w:rFonts w:hint="eastAsia"/>
          <w:color w:val="auto"/>
          <w:sz w:val="28"/>
          <w:szCs w:val="28"/>
          <w:highlight w:val="none"/>
          <w:lang w:val="en-US" w:eastAsia="zh-CN"/>
        </w:rPr>
        <w:t>松山区</w:t>
      </w:r>
      <w:r>
        <w:rPr>
          <w:rFonts w:hint="eastAsia"/>
          <w:color w:val="auto"/>
          <w:sz w:val="28"/>
          <w:szCs w:val="28"/>
          <w:highlight w:val="none"/>
          <w:lang w:eastAsia="zh-CN"/>
        </w:rPr>
        <w:t>重要工业区规划建设范围，也不涉及</w:t>
      </w:r>
      <w:r>
        <w:rPr>
          <w:rFonts w:hint="eastAsia"/>
          <w:color w:val="auto"/>
          <w:sz w:val="28"/>
          <w:szCs w:val="28"/>
          <w:highlight w:val="none"/>
          <w:lang w:val="en-US" w:eastAsia="zh-CN"/>
        </w:rPr>
        <w:t>松山区</w:t>
      </w:r>
      <w:r>
        <w:rPr>
          <w:rFonts w:hint="eastAsia"/>
          <w:color w:val="auto"/>
          <w:sz w:val="28"/>
          <w:szCs w:val="28"/>
          <w:highlight w:val="none"/>
          <w:lang w:eastAsia="zh-CN"/>
        </w:rPr>
        <w:t>工业发展重要规划布局；与永久基本农田范围无重叠，矿区范围在城镇开发边界外，与</w:t>
      </w:r>
      <w:r>
        <w:rPr>
          <w:rFonts w:hint="eastAsia"/>
          <w:color w:val="auto"/>
          <w:sz w:val="28"/>
          <w:szCs w:val="28"/>
          <w:highlight w:val="none"/>
          <w:lang w:val="en-US" w:eastAsia="zh-CN"/>
        </w:rPr>
        <w:t>松山区</w:t>
      </w:r>
      <w:r>
        <w:rPr>
          <w:rFonts w:hint="eastAsia"/>
          <w:color w:val="auto"/>
          <w:sz w:val="28"/>
          <w:szCs w:val="28"/>
          <w:highlight w:val="none"/>
          <w:lang w:eastAsia="zh-CN"/>
        </w:rPr>
        <w:t>生态保护红线无重叠；未与饮用水水源保护区重叠；不涉及I级保护林地、天然林保护重点区域、基本草原、国际、国家重要湿地、世界（自然与文化）遗产地、沙化土地封禁保护区。矿业活动中减少、控制损毁土地面积和程度；闭坑后，全面恢复治理矿区</w:t>
      </w:r>
      <w:r>
        <w:rPr>
          <w:rFonts w:hint="eastAsia"/>
          <w:color w:val="auto"/>
          <w:sz w:val="28"/>
          <w:szCs w:val="28"/>
          <w:highlight w:val="none"/>
          <w:lang w:val="en-US" w:eastAsia="zh-CN"/>
        </w:rPr>
        <w:t>生态</w:t>
      </w:r>
      <w:r>
        <w:rPr>
          <w:rFonts w:hint="eastAsia"/>
          <w:color w:val="auto"/>
          <w:sz w:val="28"/>
          <w:szCs w:val="28"/>
          <w:highlight w:val="none"/>
          <w:lang w:eastAsia="zh-CN"/>
        </w:rPr>
        <w:t>环境，确保土地复垦率100%。</w:t>
      </w:r>
    </w:p>
    <w:p w14:paraId="74D6F9F2">
      <w:pPr>
        <w:pStyle w:val="4"/>
        <w:spacing w:line="360" w:lineRule="auto"/>
        <w:ind w:firstLine="562" w:firstLineChars="200"/>
        <w:rPr>
          <w:rFonts w:ascii="Times New Roman"/>
          <w:b/>
          <w:bCs/>
          <w:color w:val="auto"/>
          <w:sz w:val="28"/>
          <w:szCs w:val="24"/>
        </w:rPr>
      </w:pPr>
      <w:r>
        <w:rPr>
          <w:rFonts w:ascii="Times New Roman"/>
          <w:b/>
          <w:bCs/>
          <w:color w:val="auto"/>
          <w:sz w:val="28"/>
          <w:szCs w:val="24"/>
        </w:rPr>
        <w:t>二、表土剥离与植被移植利用</w:t>
      </w:r>
    </w:p>
    <w:p w14:paraId="763FB165">
      <w:pPr>
        <w:widowControl/>
        <w:spacing w:line="360" w:lineRule="auto"/>
        <w:ind w:firstLine="560" w:firstLineChars="200"/>
        <w:rPr>
          <w:color w:val="auto"/>
          <w:kern w:val="0"/>
          <w:sz w:val="28"/>
          <w:szCs w:val="28"/>
        </w:rPr>
      </w:pPr>
      <w:r>
        <w:rPr>
          <w:color w:val="auto"/>
          <w:kern w:val="0"/>
          <w:sz w:val="28"/>
          <w:szCs w:val="28"/>
        </w:rPr>
        <w:t>（一）表土剥离</w:t>
      </w:r>
    </w:p>
    <w:p w14:paraId="439DC9C9">
      <w:pPr>
        <w:widowControl/>
        <w:spacing w:line="360" w:lineRule="auto"/>
        <w:ind w:firstLine="544" w:firstLineChars="200"/>
        <w:rPr>
          <w:color w:val="auto"/>
          <w:kern w:val="0"/>
          <w:sz w:val="28"/>
          <w:szCs w:val="28"/>
        </w:rPr>
      </w:pPr>
      <w:r>
        <w:rPr>
          <w:rFonts w:asciiTheme="minorEastAsia" w:hAnsiTheme="minorEastAsia" w:eastAsiaTheme="minorEastAsia"/>
          <w:color w:val="auto"/>
          <w:spacing w:val="-4"/>
          <w:sz w:val="28"/>
          <w:szCs w:val="28"/>
        </w:rPr>
        <w:t>矿山采用</w:t>
      </w:r>
      <w:r>
        <w:rPr>
          <w:rFonts w:hint="eastAsia" w:asciiTheme="minorEastAsia" w:hAnsiTheme="minorEastAsia" w:eastAsiaTheme="minorEastAsia"/>
          <w:color w:val="auto"/>
          <w:spacing w:val="-4"/>
          <w:sz w:val="28"/>
          <w:szCs w:val="28"/>
          <w:lang w:val="en-US" w:eastAsia="zh-CN"/>
        </w:rPr>
        <w:t>露天开采</w:t>
      </w:r>
      <w:r>
        <w:rPr>
          <w:rFonts w:asciiTheme="minorEastAsia" w:hAnsiTheme="minorEastAsia" w:eastAsiaTheme="minorEastAsia"/>
          <w:color w:val="auto"/>
          <w:spacing w:val="-4"/>
          <w:sz w:val="28"/>
          <w:szCs w:val="28"/>
        </w:rPr>
        <w:t>，开采前需对拟建场地进行表土剥离，</w:t>
      </w:r>
      <w:r>
        <w:rPr>
          <w:rFonts w:hint="eastAsia" w:asciiTheme="minorEastAsia" w:hAnsiTheme="minorEastAsia" w:eastAsiaTheme="minorEastAsia"/>
          <w:color w:val="auto"/>
          <w:spacing w:val="-4"/>
          <w:sz w:val="28"/>
          <w:szCs w:val="28"/>
          <w:lang w:val="en-US" w:eastAsia="zh-CN"/>
        </w:rPr>
        <w:t>矿山已开采多年，露天采场表土已全部剥离，剥离的表土已在前期治理中全部用完，后续生产无表土存储</w:t>
      </w:r>
      <w:r>
        <w:rPr>
          <w:color w:val="auto"/>
          <w:kern w:val="0"/>
          <w:sz w:val="28"/>
          <w:szCs w:val="28"/>
        </w:rPr>
        <w:t>。</w:t>
      </w:r>
    </w:p>
    <w:p w14:paraId="562AC9B6">
      <w:pPr>
        <w:widowControl/>
        <w:kinsoku w:val="0"/>
        <w:autoSpaceDE w:val="0"/>
        <w:autoSpaceDN w:val="0"/>
        <w:adjustRightInd w:val="0"/>
        <w:snapToGrid w:val="0"/>
        <w:ind w:left="2846"/>
        <w:jc w:val="left"/>
        <w:textAlignment w:val="baseline"/>
        <w:rPr>
          <w:rFonts w:eastAsia="黑体"/>
          <w:snapToGrid w:val="0"/>
          <w:color w:val="auto"/>
          <w:kern w:val="0"/>
          <w:sz w:val="24"/>
          <w:szCs w:val="24"/>
        </w:rPr>
      </w:pPr>
      <w:r>
        <w:rPr>
          <w:rFonts w:eastAsia="黑体"/>
          <w:snapToGrid w:val="0"/>
          <w:color w:val="auto"/>
          <w:spacing w:val="-4"/>
          <w:kern w:val="0"/>
          <w:sz w:val="24"/>
          <w:szCs w:val="24"/>
        </w:rPr>
        <w:t>表4-1  表土处置工程汇总表</w:t>
      </w: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822"/>
        <w:gridCol w:w="1244"/>
        <w:gridCol w:w="678"/>
        <w:gridCol w:w="918"/>
        <w:gridCol w:w="797"/>
        <w:gridCol w:w="941"/>
        <w:gridCol w:w="936"/>
        <w:gridCol w:w="1162"/>
      </w:tblGrid>
      <w:tr w14:paraId="491AA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85" w:type="pct"/>
            <w:vMerge w:val="restart"/>
            <w:shd w:val="clear" w:color="auto" w:fill="auto"/>
            <w:vAlign w:val="center"/>
          </w:tcPr>
          <w:p w14:paraId="32CCB3D0">
            <w:pPr>
              <w:widowControl/>
              <w:jc w:val="center"/>
              <w:rPr>
                <w:rFonts w:ascii="宋体" w:hAnsi="宋体" w:cs="宋体"/>
                <w:color w:val="auto"/>
                <w:kern w:val="0"/>
                <w:szCs w:val="21"/>
              </w:rPr>
            </w:pPr>
            <w:r>
              <w:rPr>
                <w:rFonts w:hint="eastAsia" w:ascii="宋体" w:hAnsi="宋体" w:cs="宋体"/>
                <w:color w:val="auto"/>
                <w:kern w:val="0"/>
                <w:szCs w:val="21"/>
              </w:rPr>
              <w:t>场地</w:t>
            </w:r>
          </w:p>
        </w:tc>
        <w:tc>
          <w:tcPr>
            <w:tcW w:w="496" w:type="pct"/>
            <w:vMerge w:val="restart"/>
            <w:shd w:val="clear" w:color="auto" w:fill="auto"/>
            <w:vAlign w:val="center"/>
          </w:tcPr>
          <w:p w14:paraId="13B3204A">
            <w:pPr>
              <w:widowControl/>
              <w:jc w:val="center"/>
              <w:rPr>
                <w:rFonts w:ascii="宋体" w:hAnsi="宋体" w:cs="宋体"/>
                <w:color w:val="auto"/>
                <w:kern w:val="0"/>
                <w:szCs w:val="21"/>
              </w:rPr>
            </w:pPr>
            <w:r>
              <w:rPr>
                <w:rFonts w:hint="eastAsia" w:ascii="宋体" w:hAnsi="宋体" w:cs="宋体"/>
                <w:color w:val="auto"/>
                <w:kern w:val="0"/>
                <w:szCs w:val="21"/>
              </w:rPr>
              <w:t>面积</w:t>
            </w:r>
          </w:p>
        </w:tc>
        <w:tc>
          <w:tcPr>
            <w:tcW w:w="1713" w:type="pct"/>
            <w:gridSpan w:val="3"/>
            <w:shd w:val="clear" w:color="auto" w:fill="auto"/>
            <w:vAlign w:val="center"/>
          </w:tcPr>
          <w:p w14:paraId="2517D541">
            <w:pPr>
              <w:widowControl/>
              <w:jc w:val="center"/>
              <w:rPr>
                <w:rFonts w:ascii="宋体" w:hAnsi="宋体" w:cs="宋体"/>
                <w:color w:val="auto"/>
                <w:kern w:val="0"/>
                <w:szCs w:val="21"/>
              </w:rPr>
            </w:pPr>
            <w:r>
              <w:rPr>
                <w:rFonts w:hint="eastAsia" w:ascii="宋体" w:hAnsi="宋体" w:cs="宋体"/>
                <w:color w:val="auto"/>
                <w:kern w:val="0"/>
                <w:szCs w:val="21"/>
              </w:rPr>
              <w:t>表土剥离</w:t>
            </w:r>
          </w:p>
        </w:tc>
        <w:tc>
          <w:tcPr>
            <w:tcW w:w="1048" w:type="pct"/>
            <w:gridSpan w:val="2"/>
            <w:shd w:val="clear" w:color="auto" w:fill="auto"/>
            <w:vAlign w:val="center"/>
          </w:tcPr>
          <w:p w14:paraId="0EFFD36C">
            <w:pPr>
              <w:widowControl/>
              <w:jc w:val="center"/>
              <w:rPr>
                <w:rFonts w:ascii="宋体" w:hAnsi="宋体" w:cs="宋体"/>
                <w:color w:val="auto"/>
                <w:kern w:val="0"/>
                <w:szCs w:val="21"/>
              </w:rPr>
            </w:pPr>
            <w:r>
              <w:rPr>
                <w:rFonts w:hint="eastAsia" w:ascii="宋体" w:hAnsi="宋体" w:cs="宋体"/>
                <w:color w:val="auto"/>
                <w:kern w:val="0"/>
                <w:szCs w:val="21"/>
              </w:rPr>
              <w:t>表土储存</w:t>
            </w:r>
          </w:p>
        </w:tc>
        <w:tc>
          <w:tcPr>
            <w:tcW w:w="1255" w:type="pct"/>
            <w:gridSpan w:val="2"/>
            <w:shd w:val="clear" w:color="auto" w:fill="auto"/>
            <w:vAlign w:val="center"/>
          </w:tcPr>
          <w:p w14:paraId="33CA08F8">
            <w:pPr>
              <w:widowControl/>
              <w:jc w:val="center"/>
              <w:rPr>
                <w:rFonts w:ascii="宋体" w:hAnsi="宋体" w:cs="宋体"/>
                <w:color w:val="auto"/>
                <w:kern w:val="0"/>
                <w:szCs w:val="21"/>
              </w:rPr>
            </w:pPr>
            <w:r>
              <w:rPr>
                <w:rFonts w:hint="eastAsia" w:ascii="宋体" w:hAnsi="宋体" w:cs="宋体"/>
                <w:color w:val="auto"/>
                <w:kern w:val="0"/>
                <w:szCs w:val="21"/>
              </w:rPr>
              <w:t>表土利用</w:t>
            </w:r>
          </w:p>
        </w:tc>
      </w:tr>
      <w:tr w14:paraId="20B58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485" w:type="pct"/>
            <w:vMerge w:val="continue"/>
            <w:vAlign w:val="center"/>
          </w:tcPr>
          <w:p w14:paraId="699BEDF0">
            <w:pPr>
              <w:widowControl/>
              <w:jc w:val="left"/>
              <w:rPr>
                <w:rFonts w:ascii="宋体" w:hAnsi="宋体" w:cs="宋体"/>
                <w:color w:val="auto"/>
                <w:kern w:val="0"/>
                <w:szCs w:val="21"/>
              </w:rPr>
            </w:pPr>
          </w:p>
        </w:tc>
        <w:tc>
          <w:tcPr>
            <w:tcW w:w="496" w:type="pct"/>
            <w:vMerge w:val="continue"/>
            <w:vAlign w:val="center"/>
          </w:tcPr>
          <w:p w14:paraId="2BE04691">
            <w:pPr>
              <w:widowControl/>
              <w:jc w:val="left"/>
              <w:rPr>
                <w:rFonts w:ascii="宋体" w:hAnsi="宋体" w:cs="宋体"/>
                <w:color w:val="auto"/>
                <w:kern w:val="0"/>
                <w:szCs w:val="21"/>
              </w:rPr>
            </w:pPr>
          </w:p>
        </w:tc>
        <w:tc>
          <w:tcPr>
            <w:tcW w:w="750" w:type="pct"/>
            <w:shd w:val="clear" w:color="auto" w:fill="auto"/>
            <w:vAlign w:val="center"/>
          </w:tcPr>
          <w:p w14:paraId="6F1EDB86">
            <w:pPr>
              <w:widowControl/>
              <w:jc w:val="center"/>
              <w:rPr>
                <w:rFonts w:ascii="宋体" w:hAnsi="宋体" w:cs="宋体"/>
                <w:color w:val="auto"/>
                <w:kern w:val="0"/>
                <w:szCs w:val="21"/>
              </w:rPr>
            </w:pPr>
            <w:r>
              <w:rPr>
                <w:rFonts w:hint="eastAsia" w:ascii="宋体" w:hAnsi="宋体" w:cs="宋体"/>
                <w:color w:val="auto"/>
                <w:kern w:val="0"/>
                <w:szCs w:val="21"/>
              </w:rPr>
              <w:t>时间段</w:t>
            </w:r>
          </w:p>
        </w:tc>
        <w:tc>
          <w:tcPr>
            <w:tcW w:w="409" w:type="pct"/>
            <w:shd w:val="clear" w:color="auto" w:fill="auto"/>
            <w:vAlign w:val="center"/>
          </w:tcPr>
          <w:p w14:paraId="6F30C8F3">
            <w:pPr>
              <w:widowControl/>
              <w:jc w:val="center"/>
              <w:rPr>
                <w:rFonts w:ascii="宋体" w:hAnsi="宋体" w:cs="宋体"/>
                <w:color w:val="auto"/>
                <w:kern w:val="0"/>
                <w:szCs w:val="21"/>
              </w:rPr>
            </w:pPr>
            <w:r>
              <w:rPr>
                <w:rFonts w:hint="eastAsia" w:ascii="宋体" w:hAnsi="宋体" w:cs="宋体"/>
                <w:color w:val="auto"/>
                <w:kern w:val="0"/>
                <w:szCs w:val="21"/>
              </w:rPr>
              <w:t>厚度</w:t>
            </w:r>
          </w:p>
        </w:tc>
        <w:tc>
          <w:tcPr>
            <w:tcW w:w="554" w:type="pct"/>
            <w:shd w:val="clear" w:color="auto" w:fill="auto"/>
            <w:vAlign w:val="center"/>
          </w:tcPr>
          <w:p w14:paraId="46BA0D5F">
            <w:pPr>
              <w:widowControl/>
              <w:jc w:val="center"/>
              <w:rPr>
                <w:rFonts w:ascii="宋体" w:hAnsi="宋体" w:cs="宋体"/>
                <w:color w:val="auto"/>
                <w:kern w:val="0"/>
                <w:szCs w:val="21"/>
              </w:rPr>
            </w:pPr>
            <w:r>
              <w:rPr>
                <w:rFonts w:hint="eastAsia" w:ascii="宋体" w:hAnsi="宋体" w:cs="宋体"/>
                <w:color w:val="auto"/>
                <w:kern w:val="0"/>
                <w:szCs w:val="21"/>
              </w:rPr>
              <w:t>土方量</w:t>
            </w:r>
          </w:p>
        </w:tc>
        <w:tc>
          <w:tcPr>
            <w:tcW w:w="481" w:type="pct"/>
            <w:shd w:val="clear" w:color="auto" w:fill="auto"/>
            <w:vAlign w:val="center"/>
          </w:tcPr>
          <w:p w14:paraId="33987D3A">
            <w:pPr>
              <w:widowControl/>
              <w:jc w:val="center"/>
              <w:rPr>
                <w:rFonts w:ascii="宋体" w:hAnsi="宋体" w:cs="宋体"/>
                <w:color w:val="auto"/>
                <w:kern w:val="0"/>
                <w:szCs w:val="21"/>
              </w:rPr>
            </w:pPr>
            <w:r>
              <w:rPr>
                <w:rFonts w:hint="eastAsia" w:ascii="宋体" w:hAnsi="宋体" w:cs="宋体"/>
                <w:color w:val="auto"/>
                <w:kern w:val="0"/>
                <w:szCs w:val="21"/>
              </w:rPr>
              <w:t>位置</w:t>
            </w:r>
          </w:p>
        </w:tc>
        <w:tc>
          <w:tcPr>
            <w:tcW w:w="566" w:type="pct"/>
            <w:shd w:val="clear" w:color="auto" w:fill="auto"/>
            <w:vAlign w:val="center"/>
          </w:tcPr>
          <w:p w14:paraId="6D913320">
            <w:pPr>
              <w:widowControl/>
              <w:jc w:val="center"/>
              <w:rPr>
                <w:rFonts w:hint="eastAsia" w:ascii="宋体" w:hAnsi="宋体" w:cs="宋体"/>
                <w:color w:val="auto"/>
                <w:kern w:val="0"/>
                <w:szCs w:val="21"/>
              </w:rPr>
            </w:pPr>
            <w:r>
              <w:rPr>
                <w:rFonts w:hint="eastAsia" w:ascii="宋体" w:hAnsi="宋体" w:cs="宋体"/>
                <w:color w:val="auto"/>
                <w:kern w:val="0"/>
                <w:szCs w:val="21"/>
              </w:rPr>
              <w:t>养护</w:t>
            </w:r>
          </w:p>
          <w:p w14:paraId="27E7167F">
            <w:pPr>
              <w:widowControl/>
              <w:jc w:val="center"/>
              <w:rPr>
                <w:rFonts w:ascii="宋体" w:hAnsi="宋体" w:cs="宋体"/>
                <w:color w:val="auto"/>
                <w:kern w:val="0"/>
                <w:szCs w:val="21"/>
              </w:rPr>
            </w:pPr>
            <w:r>
              <w:rPr>
                <w:rFonts w:hint="eastAsia" w:ascii="宋体" w:hAnsi="宋体" w:cs="宋体"/>
                <w:color w:val="auto"/>
                <w:kern w:val="0"/>
                <w:szCs w:val="21"/>
              </w:rPr>
              <w:t>措施</w:t>
            </w:r>
          </w:p>
        </w:tc>
        <w:tc>
          <w:tcPr>
            <w:tcW w:w="564" w:type="pct"/>
            <w:shd w:val="clear" w:color="auto" w:fill="auto"/>
            <w:vAlign w:val="center"/>
          </w:tcPr>
          <w:p w14:paraId="5EA9CBBA">
            <w:pPr>
              <w:widowControl/>
              <w:jc w:val="center"/>
              <w:rPr>
                <w:rFonts w:hint="eastAsia" w:ascii="宋体" w:hAnsi="宋体" w:cs="宋体"/>
                <w:color w:val="auto"/>
                <w:kern w:val="0"/>
                <w:szCs w:val="21"/>
              </w:rPr>
            </w:pPr>
            <w:r>
              <w:rPr>
                <w:rFonts w:hint="eastAsia" w:ascii="宋体" w:hAnsi="宋体" w:cs="宋体"/>
                <w:color w:val="auto"/>
                <w:kern w:val="0"/>
                <w:szCs w:val="21"/>
              </w:rPr>
              <w:t>利用</w:t>
            </w:r>
          </w:p>
          <w:p w14:paraId="3991F636">
            <w:pPr>
              <w:widowControl/>
              <w:jc w:val="center"/>
              <w:rPr>
                <w:rFonts w:ascii="宋体" w:hAnsi="宋体" w:cs="宋体"/>
                <w:color w:val="auto"/>
                <w:kern w:val="0"/>
                <w:szCs w:val="21"/>
              </w:rPr>
            </w:pPr>
            <w:r>
              <w:rPr>
                <w:rFonts w:hint="eastAsia" w:ascii="宋体" w:hAnsi="宋体" w:cs="宋体"/>
                <w:color w:val="auto"/>
                <w:kern w:val="0"/>
                <w:szCs w:val="21"/>
              </w:rPr>
              <w:t>方式</w:t>
            </w:r>
          </w:p>
        </w:tc>
        <w:tc>
          <w:tcPr>
            <w:tcW w:w="691" w:type="pct"/>
            <w:shd w:val="clear" w:color="auto" w:fill="auto"/>
            <w:vAlign w:val="center"/>
          </w:tcPr>
          <w:p w14:paraId="4F3B5C76">
            <w:pPr>
              <w:widowControl/>
              <w:jc w:val="center"/>
              <w:rPr>
                <w:rFonts w:ascii="宋体" w:hAnsi="宋体" w:cs="宋体"/>
                <w:color w:val="auto"/>
                <w:kern w:val="0"/>
                <w:szCs w:val="21"/>
              </w:rPr>
            </w:pPr>
            <w:r>
              <w:rPr>
                <w:rFonts w:hint="eastAsia" w:ascii="宋体" w:hAnsi="宋体" w:cs="宋体"/>
                <w:color w:val="auto"/>
                <w:kern w:val="0"/>
                <w:szCs w:val="21"/>
              </w:rPr>
              <w:t>利用时间</w:t>
            </w:r>
          </w:p>
        </w:tc>
      </w:tr>
      <w:tr w14:paraId="321B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485" w:type="pct"/>
            <w:shd w:val="clear" w:color="auto" w:fill="auto"/>
            <w:vAlign w:val="center"/>
          </w:tcPr>
          <w:p w14:paraId="2E3EEB4E">
            <w:pPr>
              <w:widowControl/>
              <w:jc w:val="center"/>
              <w:rPr>
                <w:rFonts w:hint="eastAsia" w:ascii="宋体" w:hAnsi="宋体" w:eastAsia="宋体" w:cs="宋体"/>
                <w:color w:val="auto"/>
                <w:kern w:val="0"/>
                <w:szCs w:val="21"/>
                <w:lang w:eastAsia="zh-CN"/>
              </w:rPr>
            </w:pPr>
            <w:r>
              <w:rPr>
                <w:rFonts w:hint="eastAsia" w:ascii="宋体" w:hAnsi="宋体" w:cs="宋体"/>
                <w:color w:val="auto"/>
                <w:kern w:val="0"/>
                <w:szCs w:val="21"/>
                <w:lang w:val="en-US" w:eastAsia="zh-CN"/>
              </w:rPr>
              <w:t>露天采场</w:t>
            </w:r>
          </w:p>
        </w:tc>
        <w:tc>
          <w:tcPr>
            <w:tcW w:w="496" w:type="pct"/>
            <w:shd w:val="clear" w:color="auto" w:fill="auto"/>
            <w:vAlign w:val="center"/>
          </w:tcPr>
          <w:p w14:paraId="12112732">
            <w:pPr>
              <w:widowControl/>
              <w:jc w:val="center"/>
              <w:rPr>
                <w:rFonts w:hint="default" w:ascii="宋体" w:hAnsi="宋体" w:eastAsia="宋体" w:cs="宋体"/>
                <w:color w:val="auto"/>
                <w:kern w:val="0"/>
                <w:szCs w:val="21"/>
                <w:lang w:val="en-US" w:eastAsia="zh-CN"/>
              </w:rPr>
            </w:pPr>
            <w:r>
              <w:rPr>
                <w:rFonts w:hint="eastAsia" w:ascii="宋体" w:hAnsi="宋体" w:cs="宋体"/>
                <w:color w:val="auto"/>
                <w:kern w:val="0"/>
                <w:szCs w:val="21"/>
                <w:lang w:val="en-US" w:eastAsia="zh-CN"/>
              </w:rPr>
              <w:t>35248</w:t>
            </w:r>
          </w:p>
        </w:tc>
        <w:tc>
          <w:tcPr>
            <w:tcW w:w="750" w:type="pct"/>
            <w:shd w:val="clear" w:color="auto" w:fill="auto"/>
            <w:vAlign w:val="center"/>
          </w:tcPr>
          <w:p w14:paraId="0E1B3D88">
            <w:pPr>
              <w:widowControl/>
              <w:jc w:val="center"/>
              <w:rPr>
                <w:rFonts w:hint="default" w:ascii="宋体" w:hAnsi="宋体" w:eastAsia="宋体" w:cs="宋体"/>
                <w:color w:val="auto"/>
                <w:kern w:val="0"/>
                <w:szCs w:val="21"/>
                <w:lang w:val="en-US" w:eastAsia="zh-CN"/>
              </w:rPr>
            </w:pPr>
            <w:r>
              <w:rPr>
                <w:rFonts w:hint="eastAsia" w:ascii="宋体" w:hAnsi="宋体" w:cs="宋体"/>
                <w:color w:val="auto"/>
                <w:kern w:val="0"/>
                <w:szCs w:val="21"/>
              </w:rPr>
              <w:t>20</w:t>
            </w:r>
            <w:r>
              <w:rPr>
                <w:rFonts w:hint="eastAsia" w:ascii="宋体" w:hAnsi="宋体" w:cs="宋体"/>
                <w:color w:val="auto"/>
                <w:kern w:val="0"/>
                <w:szCs w:val="21"/>
                <w:lang w:val="en-US" w:eastAsia="zh-CN"/>
              </w:rPr>
              <w:t>13</w:t>
            </w:r>
            <w:r>
              <w:rPr>
                <w:rFonts w:hint="eastAsia" w:ascii="宋体" w:hAnsi="宋体" w:cs="宋体"/>
                <w:color w:val="auto"/>
                <w:kern w:val="0"/>
                <w:szCs w:val="21"/>
              </w:rPr>
              <w:t>-</w:t>
            </w:r>
            <w:r>
              <w:rPr>
                <w:rFonts w:hint="eastAsia" w:ascii="宋体" w:hAnsi="宋体" w:cs="宋体"/>
                <w:color w:val="auto"/>
                <w:kern w:val="0"/>
                <w:szCs w:val="21"/>
                <w:lang w:val="en-US" w:eastAsia="zh-CN"/>
              </w:rPr>
              <w:t>2025</w:t>
            </w:r>
          </w:p>
        </w:tc>
        <w:tc>
          <w:tcPr>
            <w:tcW w:w="409" w:type="pct"/>
            <w:shd w:val="clear" w:color="auto" w:fill="auto"/>
            <w:vAlign w:val="center"/>
          </w:tcPr>
          <w:p w14:paraId="3EC1A0AD">
            <w:pPr>
              <w:widowControl/>
              <w:jc w:val="center"/>
              <w:rPr>
                <w:rFonts w:ascii="宋体" w:hAnsi="宋体" w:cs="宋体"/>
                <w:color w:val="auto"/>
                <w:kern w:val="0"/>
                <w:szCs w:val="21"/>
              </w:rPr>
            </w:pPr>
            <w:r>
              <w:rPr>
                <w:rFonts w:hint="eastAsia" w:ascii="宋体" w:hAnsi="宋体" w:cs="宋体"/>
                <w:color w:val="auto"/>
                <w:kern w:val="0"/>
                <w:szCs w:val="21"/>
                <w:lang w:val="en-US" w:eastAsia="zh-CN"/>
              </w:rPr>
              <w:t>0</w:t>
            </w:r>
            <w:r>
              <w:rPr>
                <w:rFonts w:hint="eastAsia" w:ascii="宋体" w:hAnsi="宋体" w:cs="宋体"/>
                <w:color w:val="auto"/>
                <w:kern w:val="0"/>
                <w:szCs w:val="21"/>
              </w:rPr>
              <w:t>.5m</w:t>
            </w:r>
          </w:p>
        </w:tc>
        <w:tc>
          <w:tcPr>
            <w:tcW w:w="554" w:type="pct"/>
            <w:shd w:val="clear" w:color="auto" w:fill="auto"/>
            <w:vAlign w:val="center"/>
          </w:tcPr>
          <w:p w14:paraId="323E3592">
            <w:pPr>
              <w:widowControl/>
              <w:jc w:val="center"/>
              <w:rPr>
                <w:rFonts w:hint="default" w:ascii="宋体" w:hAnsi="宋体" w:eastAsia="宋体" w:cs="宋体"/>
                <w:color w:val="auto"/>
                <w:kern w:val="0"/>
                <w:szCs w:val="21"/>
                <w:lang w:val="en-US" w:eastAsia="zh-CN"/>
              </w:rPr>
            </w:pPr>
            <w:r>
              <w:rPr>
                <w:rFonts w:hint="eastAsia" w:ascii="宋体" w:hAnsi="宋体" w:cs="宋体"/>
                <w:color w:val="auto"/>
                <w:kern w:val="0"/>
                <w:szCs w:val="21"/>
                <w:lang w:val="en-US" w:eastAsia="zh-CN"/>
              </w:rPr>
              <w:t>17624</w:t>
            </w:r>
          </w:p>
        </w:tc>
        <w:tc>
          <w:tcPr>
            <w:tcW w:w="481" w:type="pct"/>
            <w:shd w:val="clear" w:color="auto" w:fill="auto"/>
            <w:vAlign w:val="center"/>
          </w:tcPr>
          <w:p w14:paraId="6029C34D">
            <w:pPr>
              <w:widowControl/>
              <w:jc w:val="center"/>
              <w:rPr>
                <w:rFonts w:hint="eastAsia" w:ascii="宋体" w:hAnsi="宋体" w:eastAsia="宋体" w:cs="宋体"/>
                <w:color w:val="auto"/>
                <w:kern w:val="0"/>
                <w:szCs w:val="21"/>
                <w:lang w:eastAsia="zh-CN"/>
              </w:rPr>
            </w:pPr>
            <w:r>
              <w:rPr>
                <w:rFonts w:hint="eastAsia" w:ascii="宋体" w:hAnsi="宋体" w:cs="宋体"/>
                <w:color w:val="auto"/>
                <w:kern w:val="0"/>
                <w:szCs w:val="21"/>
                <w:lang w:val="en-US" w:eastAsia="zh-CN"/>
              </w:rPr>
              <w:t>无</w:t>
            </w:r>
          </w:p>
        </w:tc>
        <w:tc>
          <w:tcPr>
            <w:tcW w:w="566" w:type="pct"/>
            <w:shd w:val="clear" w:color="auto" w:fill="auto"/>
            <w:vAlign w:val="center"/>
          </w:tcPr>
          <w:p w14:paraId="3B7D0A74">
            <w:pPr>
              <w:widowControl/>
              <w:jc w:val="center"/>
              <w:rPr>
                <w:rFonts w:hint="eastAsia" w:ascii="宋体" w:hAnsi="宋体" w:eastAsia="宋体" w:cs="宋体"/>
                <w:color w:val="auto"/>
                <w:kern w:val="0"/>
                <w:szCs w:val="21"/>
                <w:lang w:eastAsia="zh-CN"/>
              </w:rPr>
            </w:pPr>
            <w:r>
              <w:rPr>
                <w:rFonts w:hint="eastAsia" w:ascii="宋体" w:hAnsi="宋体" w:cs="宋体"/>
                <w:color w:val="auto"/>
                <w:kern w:val="0"/>
                <w:szCs w:val="21"/>
                <w:lang w:val="en-US" w:eastAsia="zh-CN"/>
              </w:rPr>
              <w:t>无</w:t>
            </w:r>
          </w:p>
        </w:tc>
        <w:tc>
          <w:tcPr>
            <w:tcW w:w="564" w:type="pct"/>
            <w:shd w:val="clear" w:color="auto" w:fill="auto"/>
            <w:vAlign w:val="center"/>
          </w:tcPr>
          <w:p w14:paraId="51090BE2">
            <w:pPr>
              <w:widowControl/>
              <w:jc w:val="center"/>
              <w:rPr>
                <w:rFonts w:ascii="宋体" w:hAnsi="宋体" w:cs="宋体"/>
                <w:color w:val="auto"/>
                <w:kern w:val="0"/>
                <w:szCs w:val="21"/>
              </w:rPr>
            </w:pPr>
            <w:r>
              <w:rPr>
                <w:rFonts w:hint="eastAsia" w:ascii="宋体" w:hAnsi="宋体" w:cs="宋体"/>
                <w:color w:val="auto"/>
                <w:kern w:val="0"/>
                <w:szCs w:val="21"/>
                <w:lang w:val="en-US" w:eastAsia="zh-CN"/>
              </w:rPr>
              <w:t>前期治理</w:t>
            </w:r>
            <w:r>
              <w:rPr>
                <w:rFonts w:hint="eastAsia" w:ascii="宋体" w:hAnsi="宋体" w:cs="宋体"/>
                <w:color w:val="auto"/>
                <w:kern w:val="0"/>
                <w:szCs w:val="21"/>
              </w:rPr>
              <w:t>覆土</w:t>
            </w:r>
          </w:p>
        </w:tc>
        <w:tc>
          <w:tcPr>
            <w:tcW w:w="691" w:type="pct"/>
            <w:shd w:val="clear" w:color="auto" w:fill="auto"/>
            <w:vAlign w:val="center"/>
          </w:tcPr>
          <w:p w14:paraId="4CD37FB7">
            <w:pPr>
              <w:widowControl/>
              <w:jc w:val="center"/>
              <w:rPr>
                <w:rFonts w:hint="default" w:ascii="宋体" w:hAnsi="宋体" w:eastAsia="宋体" w:cs="宋体"/>
                <w:color w:val="auto"/>
                <w:kern w:val="0"/>
                <w:szCs w:val="21"/>
                <w:lang w:val="en-US" w:eastAsia="zh-CN"/>
              </w:rPr>
            </w:pPr>
            <w:r>
              <w:rPr>
                <w:rFonts w:hint="eastAsia" w:ascii="宋体" w:hAnsi="宋体" w:cs="宋体"/>
                <w:color w:val="auto"/>
                <w:kern w:val="0"/>
                <w:szCs w:val="21"/>
              </w:rPr>
              <w:t>20</w:t>
            </w:r>
            <w:r>
              <w:rPr>
                <w:rFonts w:hint="eastAsia" w:ascii="宋体" w:hAnsi="宋体" w:cs="宋体"/>
                <w:color w:val="auto"/>
                <w:kern w:val="0"/>
                <w:szCs w:val="21"/>
                <w:lang w:val="en-US" w:eastAsia="zh-CN"/>
              </w:rPr>
              <w:t>13</w:t>
            </w:r>
            <w:r>
              <w:rPr>
                <w:rFonts w:hint="eastAsia" w:ascii="宋体" w:hAnsi="宋体" w:cs="宋体"/>
                <w:color w:val="auto"/>
                <w:kern w:val="0"/>
                <w:szCs w:val="21"/>
              </w:rPr>
              <w:t>-20</w:t>
            </w:r>
            <w:r>
              <w:rPr>
                <w:rFonts w:hint="eastAsia" w:ascii="宋体" w:hAnsi="宋体" w:cs="宋体"/>
                <w:color w:val="auto"/>
                <w:kern w:val="0"/>
                <w:szCs w:val="21"/>
                <w:lang w:val="en-US" w:eastAsia="zh-CN"/>
              </w:rPr>
              <w:t>25</w:t>
            </w:r>
          </w:p>
        </w:tc>
      </w:tr>
    </w:tbl>
    <w:p w14:paraId="00EA902D">
      <w:pPr>
        <w:widowControl/>
        <w:spacing w:before="240" w:beforeLines="100" w:line="360" w:lineRule="auto"/>
        <w:ind w:firstLine="560" w:firstLineChars="200"/>
        <w:rPr>
          <w:color w:val="auto"/>
          <w:kern w:val="0"/>
          <w:sz w:val="28"/>
          <w:szCs w:val="28"/>
        </w:rPr>
      </w:pPr>
      <w:r>
        <w:rPr>
          <w:color w:val="auto"/>
          <w:kern w:val="0"/>
          <w:sz w:val="28"/>
          <w:szCs w:val="28"/>
        </w:rPr>
        <w:t>（二）植被移植利用</w:t>
      </w:r>
    </w:p>
    <w:p w14:paraId="657F482D">
      <w:pPr>
        <w:widowControl/>
        <w:spacing w:line="360" w:lineRule="auto"/>
        <w:ind w:firstLine="560" w:firstLineChars="200"/>
        <w:rPr>
          <w:color w:val="auto"/>
          <w:sz w:val="28"/>
          <w:szCs w:val="28"/>
        </w:rPr>
      </w:pPr>
      <w:r>
        <w:rPr>
          <w:color w:val="auto"/>
          <w:sz w:val="28"/>
          <w:szCs w:val="28"/>
        </w:rPr>
        <w:t>矿区范围内植被属于典型的北方草原植被，通过野外实地调查，结合《国家重点保护野生植物名录》（2021年）逐一核对，确认</w:t>
      </w:r>
      <w:r>
        <w:rPr>
          <w:rFonts w:hint="eastAsia"/>
          <w:color w:val="auto"/>
          <w:sz w:val="28"/>
          <w:szCs w:val="28"/>
          <w:lang w:val="en-US" w:eastAsia="zh-CN"/>
        </w:rPr>
        <w:t>矿</w:t>
      </w:r>
      <w:r>
        <w:rPr>
          <w:color w:val="auto"/>
          <w:sz w:val="28"/>
          <w:szCs w:val="28"/>
        </w:rPr>
        <w:t>区内无国家一级、二级重点保护野生植物分布。鉴于上述调查结果，矿山建设活动无需对该区域植被进行移植利用，亦不涉及重点保护植物的就地保护或迁地保护措施。</w:t>
      </w:r>
    </w:p>
    <w:p w14:paraId="1B5568A2">
      <w:pPr>
        <w:pStyle w:val="4"/>
        <w:spacing w:line="360" w:lineRule="auto"/>
        <w:ind w:firstLine="562" w:firstLineChars="200"/>
        <w:rPr>
          <w:rFonts w:ascii="Times New Roman"/>
          <w:b/>
          <w:bCs/>
          <w:color w:val="auto"/>
          <w:sz w:val="28"/>
          <w:szCs w:val="24"/>
        </w:rPr>
      </w:pPr>
      <w:r>
        <w:rPr>
          <w:rFonts w:ascii="Times New Roman"/>
          <w:b/>
          <w:bCs/>
          <w:color w:val="auto"/>
          <w:sz w:val="28"/>
          <w:szCs w:val="24"/>
        </w:rPr>
        <w:t>三、相关协同措施</w:t>
      </w:r>
    </w:p>
    <w:p w14:paraId="369BCE04">
      <w:pPr>
        <w:widowControl/>
        <w:spacing w:line="360" w:lineRule="auto"/>
        <w:ind w:firstLine="560" w:firstLineChars="200"/>
        <w:rPr>
          <w:color w:val="auto"/>
          <w:sz w:val="28"/>
          <w:szCs w:val="28"/>
        </w:rPr>
      </w:pPr>
      <w:r>
        <w:rPr>
          <w:color w:val="auto"/>
          <w:sz w:val="28"/>
          <w:szCs w:val="28"/>
        </w:rPr>
        <w:t>根据现状调查，评估区内无登记在册的地质灾害。</w:t>
      </w:r>
    </w:p>
    <w:p w14:paraId="123B4E04">
      <w:pPr>
        <w:widowControl/>
        <w:spacing w:line="360" w:lineRule="auto"/>
        <w:ind w:firstLine="560" w:firstLineChars="200"/>
        <w:rPr>
          <w:color w:val="auto"/>
          <w:sz w:val="28"/>
          <w:szCs w:val="28"/>
        </w:rPr>
      </w:pPr>
      <w:r>
        <w:rPr>
          <w:color w:val="auto"/>
          <w:sz w:val="28"/>
          <w:szCs w:val="28"/>
        </w:rPr>
        <w:t>1、地质灾害防治</w:t>
      </w:r>
    </w:p>
    <w:p w14:paraId="6754C952">
      <w:pPr>
        <w:widowControl/>
        <w:spacing w:line="360" w:lineRule="auto"/>
        <w:ind w:firstLine="560" w:firstLineChars="200"/>
        <w:rPr>
          <w:color w:val="auto"/>
          <w:sz w:val="28"/>
          <w:szCs w:val="28"/>
        </w:rPr>
      </w:pPr>
      <w:r>
        <w:rPr>
          <w:rFonts w:hint="eastAsia"/>
          <w:color w:val="auto"/>
          <w:sz w:val="28"/>
          <w:szCs w:val="28"/>
          <w:lang w:val="en-US" w:eastAsia="zh-CN"/>
        </w:rPr>
        <w:t>矿山露天采场边坡已分成2个台阶进行了垫坡，剩余顶部高度边坡依然较高较陡，继续进行垫坡</w:t>
      </w:r>
      <w:r>
        <w:rPr>
          <w:rFonts w:hint="eastAsia"/>
          <w:color w:val="auto"/>
          <w:sz w:val="28"/>
          <w:szCs w:val="28"/>
          <w:lang w:eastAsia="zh-CN"/>
        </w:rPr>
        <w:t>，</w:t>
      </w:r>
      <w:r>
        <w:rPr>
          <w:rFonts w:hint="eastAsia"/>
          <w:color w:val="auto"/>
          <w:sz w:val="28"/>
          <w:szCs w:val="28"/>
          <w:lang w:val="en-US" w:eastAsia="zh-CN"/>
        </w:rPr>
        <w:t>经过垫坡后可将地质灾害影响降至最低</w:t>
      </w:r>
      <w:r>
        <w:rPr>
          <w:color w:val="auto"/>
          <w:sz w:val="28"/>
          <w:szCs w:val="28"/>
        </w:rPr>
        <w:t>。</w:t>
      </w:r>
    </w:p>
    <w:p w14:paraId="7908EBA5">
      <w:pPr>
        <w:widowControl/>
        <w:spacing w:line="360" w:lineRule="auto"/>
        <w:ind w:firstLine="560" w:firstLineChars="200"/>
        <w:rPr>
          <w:rFonts w:hint="default"/>
          <w:color w:val="auto"/>
          <w:kern w:val="0"/>
          <w:sz w:val="28"/>
          <w:szCs w:val="28"/>
          <w:lang w:val="en-US"/>
        </w:rPr>
      </w:pPr>
      <w:r>
        <w:rPr>
          <w:rFonts w:hint="eastAsia"/>
          <w:color w:val="auto"/>
          <w:kern w:val="0"/>
          <w:sz w:val="28"/>
          <w:szCs w:val="28"/>
          <w:lang w:val="en-US" w:eastAsia="zh-CN"/>
        </w:rPr>
        <w:t>对废渣场（3处）、1#废石场进行削坡压脚，对2#废石场进行清运，可将地质灾害</w:t>
      </w:r>
      <w:r>
        <w:rPr>
          <w:rFonts w:hint="eastAsia"/>
          <w:color w:val="auto"/>
          <w:sz w:val="28"/>
          <w:szCs w:val="28"/>
          <w:lang w:val="en-US" w:eastAsia="zh-CN"/>
        </w:rPr>
        <w:t>将地质灾害影响降至最低。</w:t>
      </w:r>
    </w:p>
    <w:p w14:paraId="34C686E0">
      <w:pPr>
        <w:widowControl/>
        <w:spacing w:line="360" w:lineRule="auto"/>
        <w:ind w:firstLine="560" w:firstLineChars="200"/>
        <w:rPr>
          <w:color w:val="auto"/>
          <w:sz w:val="28"/>
          <w:szCs w:val="28"/>
        </w:rPr>
      </w:pPr>
      <w:r>
        <w:rPr>
          <w:color w:val="auto"/>
          <w:sz w:val="28"/>
          <w:szCs w:val="28"/>
        </w:rPr>
        <w:t>2、地貌重塑</w:t>
      </w:r>
    </w:p>
    <w:p w14:paraId="3F30FED7">
      <w:pPr>
        <w:widowControl/>
        <w:spacing w:line="360" w:lineRule="auto"/>
        <w:ind w:firstLine="560" w:firstLineChars="200"/>
        <w:rPr>
          <w:color w:val="auto"/>
          <w:sz w:val="28"/>
          <w:szCs w:val="28"/>
        </w:rPr>
      </w:pPr>
      <w:r>
        <w:rPr>
          <w:color w:val="auto"/>
          <w:sz w:val="28"/>
          <w:szCs w:val="28"/>
        </w:rPr>
        <w:t>矿山地表设施的建设破坏了原始地形地貌，针对矿山不再使用的地表设施，及时进行拆除清理、清运，以重塑受损地形，形成利于植被恢复的自然坡度。</w:t>
      </w:r>
    </w:p>
    <w:p w14:paraId="55AD522D">
      <w:pPr>
        <w:widowControl/>
        <w:spacing w:line="360" w:lineRule="auto"/>
        <w:ind w:firstLine="560" w:firstLineChars="200"/>
        <w:rPr>
          <w:color w:val="auto"/>
          <w:sz w:val="28"/>
          <w:szCs w:val="28"/>
        </w:rPr>
      </w:pPr>
      <w:r>
        <w:rPr>
          <w:color w:val="auto"/>
          <w:sz w:val="28"/>
          <w:szCs w:val="28"/>
        </w:rPr>
        <w:t>3、水土流失综合控制</w:t>
      </w:r>
    </w:p>
    <w:p w14:paraId="75365A8B">
      <w:pPr>
        <w:widowControl/>
        <w:spacing w:line="360" w:lineRule="auto"/>
        <w:ind w:firstLine="560" w:firstLineChars="200"/>
        <w:rPr>
          <w:color w:val="auto"/>
          <w:sz w:val="28"/>
          <w:szCs w:val="28"/>
        </w:rPr>
      </w:pPr>
      <w:r>
        <w:rPr>
          <w:color w:val="auto"/>
          <w:sz w:val="28"/>
          <w:szCs w:val="28"/>
        </w:rPr>
        <w:t>源头控制：对土壤裸露地表进行植被恢复。</w:t>
      </w:r>
    </w:p>
    <w:p w14:paraId="413C6A4D">
      <w:pPr>
        <w:widowControl/>
        <w:spacing w:line="360" w:lineRule="auto"/>
        <w:ind w:firstLine="560" w:firstLineChars="200"/>
        <w:rPr>
          <w:color w:val="auto"/>
          <w:sz w:val="28"/>
          <w:szCs w:val="28"/>
        </w:rPr>
      </w:pPr>
      <w:r>
        <w:rPr>
          <w:color w:val="auto"/>
          <w:sz w:val="28"/>
          <w:szCs w:val="28"/>
        </w:rPr>
        <w:t>过程拦截：在修复后的单元，依然存在边坡的单元</w:t>
      </w:r>
      <w:r>
        <w:rPr>
          <w:rFonts w:hint="eastAsia"/>
          <w:color w:val="auto"/>
          <w:sz w:val="28"/>
          <w:szCs w:val="28"/>
          <w:lang w:val="en-US" w:eastAsia="zh-CN"/>
        </w:rPr>
        <w:t>可</w:t>
      </w:r>
      <w:r>
        <w:rPr>
          <w:color w:val="auto"/>
          <w:sz w:val="28"/>
          <w:szCs w:val="28"/>
        </w:rPr>
        <w:t>布设挡水围堰、截排水沟</w:t>
      </w:r>
      <w:r>
        <w:rPr>
          <w:rFonts w:hint="eastAsia"/>
          <w:color w:val="auto"/>
          <w:sz w:val="28"/>
          <w:szCs w:val="28"/>
          <w:lang w:val="en-US" w:eastAsia="zh-CN"/>
        </w:rPr>
        <w:t>等</w:t>
      </w:r>
      <w:r>
        <w:rPr>
          <w:color w:val="auto"/>
          <w:sz w:val="28"/>
          <w:szCs w:val="28"/>
        </w:rPr>
        <w:t>。</w:t>
      </w:r>
    </w:p>
    <w:p w14:paraId="45C6E3B7">
      <w:pPr>
        <w:widowControl/>
        <w:spacing w:line="360" w:lineRule="auto"/>
        <w:ind w:firstLine="560" w:firstLineChars="200"/>
        <w:rPr>
          <w:color w:val="auto"/>
          <w:sz w:val="28"/>
          <w:szCs w:val="28"/>
        </w:rPr>
      </w:pPr>
      <w:r>
        <w:rPr>
          <w:color w:val="auto"/>
          <w:sz w:val="28"/>
          <w:szCs w:val="28"/>
        </w:rPr>
        <w:t>4、环境污染系统治理</w:t>
      </w:r>
    </w:p>
    <w:p w14:paraId="3696449A">
      <w:pPr>
        <w:widowControl/>
        <w:spacing w:line="360" w:lineRule="auto"/>
        <w:ind w:firstLine="560" w:firstLineChars="200"/>
        <w:rPr>
          <w:rFonts w:hint="default" w:ascii="Times New Roman" w:hAnsi="Times New Roman" w:cs="Times New Roman"/>
          <w:color w:val="auto"/>
          <w:sz w:val="28"/>
          <w:szCs w:val="28"/>
          <w:lang w:val="en-US" w:eastAsia="zh-CN"/>
        </w:rPr>
      </w:pPr>
      <w:r>
        <w:rPr>
          <w:rFonts w:hint="eastAsia" w:ascii="Times New Roman" w:hAnsi="Times New Roman" w:cs="Times New Roman"/>
          <w:color w:val="auto"/>
          <w:sz w:val="28"/>
          <w:szCs w:val="28"/>
          <w:lang w:val="en-US" w:eastAsia="zh-CN"/>
        </w:rPr>
        <w:t>生态修复过程中，</w:t>
      </w:r>
      <w:r>
        <w:rPr>
          <w:rFonts w:hint="default" w:ascii="Times New Roman" w:hAnsi="Times New Roman" w:cs="Times New Roman"/>
          <w:color w:val="auto"/>
          <w:sz w:val="28"/>
          <w:szCs w:val="28"/>
          <w:lang w:val="en-US" w:eastAsia="zh-CN"/>
        </w:rPr>
        <w:t>扬尘通过定期洒水，有效抑制粉尘扩散，降低大气及次生土壤扬尘污染风险。</w:t>
      </w:r>
    </w:p>
    <w:p w14:paraId="64B1730F">
      <w:pPr>
        <w:widowControl/>
        <w:spacing w:line="360" w:lineRule="auto"/>
        <w:ind w:firstLine="560" w:firstLineChars="200"/>
        <w:rPr>
          <w:color w:val="auto"/>
          <w:sz w:val="28"/>
          <w:szCs w:val="28"/>
        </w:rPr>
      </w:pPr>
      <w:r>
        <w:rPr>
          <w:color w:val="auto"/>
          <w:sz w:val="28"/>
          <w:szCs w:val="28"/>
        </w:rPr>
        <w:t>5、已修复区域管护机制</w:t>
      </w:r>
    </w:p>
    <w:p w14:paraId="0697EF21">
      <w:pPr>
        <w:widowControl/>
        <w:spacing w:line="360" w:lineRule="auto"/>
        <w:ind w:firstLine="560" w:firstLineChars="200"/>
        <w:rPr>
          <w:color w:val="auto"/>
          <w:sz w:val="28"/>
          <w:szCs w:val="28"/>
        </w:rPr>
      </w:pPr>
      <w:r>
        <w:rPr>
          <w:color w:val="auto"/>
          <w:sz w:val="28"/>
          <w:szCs w:val="28"/>
        </w:rPr>
        <w:t>监测预警：建立覆盖植被生长、土壤质量、边坡稳定性的监测网络（参照GB/T43933 要求），运用遥感与GIS 技术进行动态评估。</w:t>
      </w:r>
    </w:p>
    <w:p w14:paraId="0DBD6EF4">
      <w:pPr>
        <w:widowControl/>
        <w:spacing w:line="360" w:lineRule="auto"/>
        <w:ind w:firstLine="560" w:firstLineChars="200"/>
        <w:rPr>
          <w:color w:val="auto"/>
          <w:sz w:val="28"/>
          <w:szCs w:val="28"/>
        </w:rPr>
      </w:pPr>
      <w:r>
        <w:rPr>
          <w:color w:val="auto"/>
          <w:sz w:val="28"/>
          <w:szCs w:val="28"/>
        </w:rPr>
        <w:t>适应性管理：根据监测数据及时调整管护策略，如补植补种、灌溉抗旱、病虫害防治、设施维护等。</w:t>
      </w:r>
    </w:p>
    <w:p w14:paraId="37562F54">
      <w:pPr>
        <w:widowControl/>
        <w:spacing w:line="360" w:lineRule="auto"/>
        <w:ind w:firstLine="560" w:firstLineChars="200"/>
        <w:rPr>
          <w:color w:val="auto"/>
          <w:sz w:val="28"/>
          <w:szCs w:val="28"/>
        </w:rPr>
      </w:pPr>
      <w:r>
        <w:rPr>
          <w:color w:val="auto"/>
          <w:sz w:val="28"/>
          <w:szCs w:val="28"/>
        </w:rPr>
        <w:t>封育管护：禁止放牧、垦殖等干扰活动，促进生态系统自然演替（符合GB/T</w:t>
      </w:r>
      <w:r>
        <w:rPr>
          <w:rFonts w:hint="eastAsia"/>
          <w:color w:val="auto"/>
          <w:sz w:val="28"/>
          <w:szCs w:val="28"/>
        </w:rPr>
        <w:t xml:space="preserve"> </w:t>
      </w:r>
      <w:r>
        <w:rPr>
          <w:color w:val="auto"/>
          <w:sz w:val="28"/>
          <w:szCs w:val="28"/>
        </w:rPr>
        <w:t>43936 对修复成效可持续性的验收要求）。</w:t>
      </w:r>
    </w:p>
    <w:p w14:paraId="00627533">
      <w:pPr>
        <w:pStyle w:val="3"/>
        <w:spacing w:before="0" w:beforeLines="0"/>
        <w:ind w:firstLine="602" w:firstLineChars="200"/>
        <w:rPr>
          <w:rFonts w:ascii="Times New Roman" w:hAnsi="Times New Roman"/>
          <w:color w:val="auto"/>
        </w:rPr>
      </w:pPr>
      <w:bookmarkStart w:id="80" w:name="_Toc5207"/>
      <w:r>
        <w:rPr>
          <w:rFonts w:ascii="Times New Roman" w:hAnsi="Times New Roman"/>
          <w:color w:val="auto"/>
        </w:rPr>
        <w:t>第二节  修复措施</w:t>
      </w:r>
      <w:bookmarkEnd w:id="80"/>
    </w:p>
    <w:p w14:paraId="5C36C42C">
      <w:pPr>
        <w:spacing w:line="360" w:lineRule="auto"/>
        <w:ind w:firstLine="562" w:firstLineChars="200"/>
        <w:outlineLvl w:val="2"/>
        <w:rPr>
          <w:b/>
          <w:bCs/>
          <w:color w:val="auto"/>
          <w:sz w:val="28"/>
          <w:szCs w:val="24"/>
        </w:rPr>
      </w:pPr>
      <w:r>
        <w:rPr>
          <w:b/>
          <w:bCs/>
          <w:color w:val="auto"/>
          <w:sz w:val="28"/>
          <w:szCs w:val="24"/>
        </w:rPr>
        <w:t>一、地貌重塑</w:t>
      </w:r>
    </w:p>
    <w:p w14:paraId="2F04568F">
      <w:pPr>
        <w:spacing w:line="360" w:lineRule="auto"/>
        <w:ind w:firstLine="560" w:firstLineChars="200"/>
        <w:rPr>
          <w:rFonts w:hint="eastAsia"/>
          <w:color w:val="auto"/>
          <w:kern w:val="0"/>
          <w:sz w:val="28"/>
          <w:szCs w:val="28"/>
          <w:lang w:val="en-US" w:eastAsia="zh-CN"/>
        </w:rPr>
      </w:pPr>
      <w:r>
        <w:rPr>
          <w:rFonts w:hint="eastAsia"/>
          <w:color w:val="auto"/>
          <w:kern w:val="0"/>
          <w:sz w:val="28"/>
          <w:szCs w:val="28"/>
          <w:lang w:val="en-US" w:eastAsia="zh-CN"/>
        </w:rPr>
        <w:t>1、削坡</w:t>
      </w:r>
    </w:p>
    <w:p w14:paraId="441665FE">
      <w:pPr>
        <w:widowControl/>
        <w:spacing w:line="360" w:lineRule="auto"/>
        <w:ind w:firstLine="560" w:firstLineChars="200"/>
        <w:rPr>
          <w:color w:val="auto"/>
          <w:sz w:val="28"/>
          <w:szCs w:val="28"/>
        </w:rPr>
      </w:pPr>
      <w:r>
        <w:rPr>
          <w:color w:val="auto"/>
          <w:sz w:val="28"/>
          <w:szCs w:val="28"/>
        </w:rPr>
        <w:t>采用削</w:t>
      </w:r>
      <w:r>
        <w:rPr>
          <w:rFonts w:hint="eastAsia"/>
          <w:color w:val="auto"/>
          <w:sz w:val="28"/>
          <w:szCs w:val="28"/>
          <w:lang w:val="en-US" w:eastAsia="zh-CN"/>
        </w:rPr>
        <w:t>坡压脚</w:t>
      </w:r>
      <w:r>
        <w:rPr>
          <w:color w:val="auto"/>
          <w:sz w:val="28"/>
          <w:szCs w:val="28"/>
        </w:rPr>
        <w:t>整形方式使边坡降缓坡度，使整形后边坡角度与周围地形地貌景观相协调，无凹凸、切坡和陡坎存在</w:t>
      </w:r>
      <w:r>
        <w:rPr>
          <w:rFonts w:hint="eastAsia"/>
          <w:color w:val="auto"/>
          <w:sz w:val="28"/>
          <w:szCs w:val="28"/>
          <w:lang w:eastAsia="zh-CN"/>
        </w:rPr>
        <w:t>，</w:t>
      </w:r>
      <w:r>
        <w:rPr>
          <w:rFonts w:hint="eastAsia"/>
          <w:color w:val="auto"/>
          <w:sz w:val="28"/>
          <w:szCs w:val="28"/>
          <w:lang w:val="en-US" w:eastAsia="zh-CN"/>
        </w:rPr>
        <w:t>为后续覆土提供有利条件。其中削坡产生的方量就地堆放，不外运</w:t>
      </w:r>
      <w:r>
        <w:rPr>
          <w:color w:val="auto"/>
          <w:sz w:val="28"/>
          <w:szCs w:val="28"/>
        </w:rPr>
        <w:t>。</w:t>
      </w:r>
    </w:p>
    <w:p w14:paraId="56A1600D">
      <w:pPr>
        <w:spacing w:line="360" w:lineRule="auto"/>
        <w:ind w:firstLine="560" w:firstLineChars="200"/>
        <w:rPr>
          <w:rFonts w:hint="eastAsia"/>
          <w:color w:val="auto"/>
          <w:sz w:val="28"/>
          <w:szCs w:val="28"/>
          <w:lang w:val="en-US" w:eastAsia="zh-CN"/>
        </w:rPr>
      </w:pPr>
      <w:r>
        <w:rPr>
          <w:rFonts w:hint="eastAsia"/>
          <w:color w:val="auto"/>
          <w:sz w:val="28"/>
          <w:szCs w:val="28"/>
          <w:lang w:val="en-US" w:eastAsia="zh-CN"/>
        </w:rPr>
        <w:t>2、垫坡</w:t>
      </w:r>
    </w:p>
    <w:p w14:paraId="3E5E6BD4">
      <w:pPr>
        <w:widowControl/>
        <w:spacing w:line="360" w:lineRule="auto"/>
        <w:ind w:firstLine="560" w:firstLineChars="200"/>
        <w:rPr>
          <w:rFonts w:hint="eastAsia"/>
          <w:color w:val="auto"/>
          <w:sz w:val="28"/>
          <w:szCs w:val="28"/>
          <w:lang w:val="en-US" w:eastAsia="zh-CN"/>
        </w:rPr>
      </w:pPr>
      <w:r>
        <w:rPr>
          <w:rFonts w:hint="eastAsia"/>
          <w:color w:val="auto"/>
          <w:sz w:val="28"/>
          <w:szCs w:val="28"/>
          <w:lang w:val="en-US" w:eastAsia="zh-CN"/>
        </w:rPr>
        <w:t>利用2#废石场内废石对露天采场</w:t>
      </w:r>
      <w:r>
        <w:rPr>
          <w:color w:val="auto"/>
          <w:sz w:val="28"/>
          <w:szCs w:val="28"/>
        </w:rPr>
        <w:t>边</w:t>
      </w:r>
      <w:r>
        <w:rPr>
          <w:rFonts w:hint="eastAsia"/>
          <w:color w:val="auto"/>
          <w:sz w:val="28"/>
          <w:szCs w:val="28"/>
          <w:lang w:val="en-US" w:eastAsia="zh-CN"/>
        </w:rPr>
        <w:t>坡进行垫坡</w:t>
      </w:r>
      <w:r>
        <w:rPr>
          <w:color w:val="auto"/>
          <w:sz w:val="28"/>
          <w:szCs w:val="28"/>
        </w:rPr>
        <w:t>，使</w:t>
      </w:r>
      <w:r>
        <w:rPr>
          <w:rFonts w:hint="eastAsia"/>
          <w:color w:val="auto"/>
          <w:sz w:val="28"/>
          <w:szCs w:val="28"/>
          <w:lang w:val="en-US" w:eastAsia="zh-CN"/>
        </w:rPr>
        <w:t>垫坡</w:t>
      </w:r>
      <w:r>
        <w:rPr>
          <w:color w:val="auto"/>
          <w:sz w:val="28"/>
          <w:szCs w:val="28"/>
        </w:rPr>
        <w:t>后边坡角度≤</w:t>
      </w:r>
      <w:r>
        <w:rPr>
          <w:rFonts w:hint="eastAsia"/>
          <w:color w:val="auto"/>
          <w:sz w:val="28"/>
          <w:szCs w:val="28"/>
          <w:lang w:val="en-US" w:eastAsia="zh-CN"/>
        </w:rPr>
        <w:t>30</w:t>
      </w:r>
      <w:r>
        <w:rPr>
          <w:color w:val="auto"/>
          <w:sz w:val="28"/>
          <w:szCs w:val="28"/>
        </w:rPr>
        <w:t>°</w:t>
      </w:r>
      <w:r>
        <w:rPr>
          <w:rFonts w:hint="eastAsia"/>
          <w:color w:val="auto"/>
          <w:sz w:val="28"/>
          <w:szCs w:val="28"/>
          <w:lang w:eastAsia="zh-CN"/>
        </w:rPr>
        <w:t>，</w:t>
      </w:r>
      <w:r>
        <w:rPr>
          <w:color w:val="auto"/>
          <w:sz w:val="28"/>
          <w:szCs w:val="28"/>
        </w:rPr>
        <w:t>确保治理后的场地最大限度的与周围地形地貌景观相协调，无凹凸、切坡和陡坎存在。块度大的回填至底部，块度小的回填至顶部。</w:t>
      </w:r>
    </w:p>
    <w:p w14:paraId="2181D672">
      <w:pPr>
        <w:widowControl/>
        <w:spacing w:line="360" w:lineRule="auto"/>
        <w:ind w:firstLine="560" w:firstLineChars="200"/>
        <w:rPr>
          <w:rFonts w:hint="eastAsia"/>
          <w:color w:val="auto"/>
          <w:sz w:val="28"/>
          <w:szCs w:val="28"/>
          <w:lang w:val="en-US" w:eastAsia="zh-CN"/>
        </w:rPr>
      </w:pPr>
      <w:r>
        <w:rPr>
          <w:rFonts w:hint="eastAsia"/>
          <w:color w:val="auto"/>
          <w:sz w:val="28"/>
          <w:szCs w:val="28"/>
          <w:lang w:val="en-US" w:eastAsia="zh-CN"/>
        </w:rPr>
        <w:t>3、拆除</w:t>
      </w:r>
    </w:p>
    <w:p w14:paraId="195A707F">
      <w:pPr>
        <w:widowControl/>
        <w:spacing w:line="360" w:lineRule="auto"/>
        <w:ind w:firstLine="560" w:firstLineChars="200"/>
        <w:rPr>
          <w:rFonts w:hint="eastAsia"/>
          <w:color w:val="auto"/>
          <w:sz w:val="28"/>
          <w:szCs w:val="28"/>
          <w:lang w:val="en-US" w:eastAsia="zh-CN"/>
        </w:rPr>
      </w:pPr>
      <w:r>
        <w:rPr>
          <w:snapToGrid w:val="0"/>
          <w:color w:val="auto"/>
          <w:sz w:val="28"/>
          <w:szCs w:val="28"/>
        </w:rPr>
        <w:t>对矿山建筑物进行拆除，</w:t>
      </w:r>
      <w:r>
        <w:rPr>
          <w:color w:val="auto"/>
          <w:kern w:val="0"/>
          <w:sz w:val="28"/>
          <w:szCs w:val="28"/>
        </w:rPr>
        <w:t>以及地表硬化层等废渣进行剥离，</w:t>
      </w:r>
      <w:r>
        <w:rPr>
          <w:snapToGrid w:val="0"/>
          <w:color w:val="auto"/>
          <w:sz w:val="28"/>
          <w:szCs w:val="28"/>
        </w:rPr>
        <w:t>拆除后利用自卸汽车装运清理出来的砌体、混凝土及废渣</w:t>
      </w:r>
      <w:r>
        <w:rPr>
          <w:rFonts w:hint="eastAsia"/>
          <w:snapToGrid w:val="0"/>
          <w:color w:val="auto"/>
          <w:sz w:val="28"/>
          <w:szCs w:val="28"/>
          <w:lang w:val="en-US" w:eastAsia="zh-CN"/>
        </w:rPr>
        <w:t>运至</w:t>
      </w:r>
      <w:r>
        <w:rPr>
          <w:snapToGrid w:val="0"/>
          <w:color w:val="auto"/>
          <w:sz w:val="28"/>
          <w:szCs w:val="28"/>
        </w:rPr>
        <w:t>指定的弃渣场统一处理。</w:t>
      </w:r>
    </w:p>
    <w:p w14:paraId="615FE072">
      <w:pPr>
        <w:widowControl/>
        <w:spacing w:line="360" w:lineRule="auto"/>
        <w:ind w:firstLine="560" w:firstLineChars="200"/>
        <w:rPr>
          <w:rFonts w:hint="eastAsia"/>
          <w:color w:val="auto"/>
          <w:sz w:val="28"/>
          <w:szCs w:val="28"/>
          <w:lang w:val="en-US" w:eastAsia="zh-CN"/>
        </w:rPr>
      </w:pPr>
      <w:r>
        <w:rPr>
          <w:rFonts w:hint="eastAsia"/>
          <w:color w:val="auto"/>
          <w:sz w:val="28"/>
          <w:szCs w:val="28"/>
          <w:lang w:val="en-US" w:eastAsia="zh-CN"/>
        </w:rPr>
        <w:t>4、清运</w:t>
      </w:r>
    </w:p>
    <w:p w14:paraId="67656460">
      <w:pPr>
        <w:widowControl/>
        <w:spacing w:line="360" w:lineRule="auto"/>
        <w:ind w:firstLine="560" w:firstLineChars="200"/>
        <w:rPr>
          <w:rFonts w:hint="default" w:eastAsia="宋体"/>
          <w:color w:val="auto"/>
          <w:sz w:val="28"/>
          <w:szCs w:val="28"/>
          <w:lang w:val="en-US" w:eastAsia="zh-CN"/>
        </w:rPr>
      </w:pPr>
      <w:r>
        <w:rPr>
          <w:color w:val="auto"/>
          <w:sz w:val="28"/>
          <w:szCs w:val="28"/>
        </w:rPr>
        <w:t>清运废石</w:t>
      </w:r>
      <w:r>
        <w:rPr>
          <w:snapToGrid w:val="0"/>
          <w:color w:val="auto"/>
          <w:sz w:val="28"/>
          <w:szCs w:val="28"/>
        </w:rPr>
        <w:t>利用自卸汽车装运，清理</w:t>
      </w:r>
      <w:r>
        <w:rPr>
          <w:color w:val="auto"/>
          <w:sz w:val="28"/>
          <w:szCs w:val="28"/>
        </w:rPr>
        <w:t>过程中，要求地表清理平整干净，避免出现杂乱、高低不平的地段。</w:t>
      </w:r>
      <w:r>
        <w:rPr>
          <w:rFonts w:hint="eastAsia"/>
          <w:color w:val="auto"/>
          <w:sz w:val="28"/>
          <w:szCs w:val="28"/>
          <w:lang w:val="en-US" w:eastAsia="zh-CN"/>
        </w:rPr>
        <w:t>为避免出现边坡崩塌，采取自上而下分层清运方式进行清运。其中清运产生的方量用于本矿山生态修复垫坡使用，不外运</w:t>
      </w:r>
      <w:r>
        <w:rPr>
          <w:color w:val="auto"/>
          <w:sz w:val="28"/>
          <w:szCs w:val="28"/>
        </w:rPr>
        <w:t>。</w:t>
      </w:r>
    </w:p>
    <w:p w14:paraId="0F4AFF1D">
      <w:pPr>
        <w:spacing w:line="360" w:lineRule="auto"/>
        <w:ind w:firstLine="560" w:firstLineChars="200"/>
        <w:rPr>
          <w:rFonts w:hint="eastAsia"/>
          <w:color w:val="auto"/>
          <w:sz w:val="28"/>
          <w:szCs w:val="28"/>
          <w:lang w:val="en-US" w:eastAsia="zh-CN"/>
        </w:rPr>
      </w:pPr>
      <w:r>
        <w:rPr>
          <w:rFonts w:hint="eastAsia"/>
          <w:color w:val="auto"/>
          <w:sz w:val="28"/>
          <w:szCs w:val="28"/>
          <w:lang w:val="en-US" w:eastAsia="zh-CN"/>
        </w:rPr>
        <w:t>5、回填</w:t>
      </w:r>
    </w:p>
    <w:p w14:paraId="4BCD9008">
      <w:pPr>
        <w:spacing w:line="360" w:lineRule="auto"/>
        <w:ind w:firstLine="560" w:firstLineChars="200"/>
        <w:rPr>
          <w:color w:val="auto"/>
          <w:sz w:val="28"/>
          <w:szCs w:val="28"/>
        </w:rPr>
      </w:pPr>
      <w:r>
        <w:rPr>
          <w:rFonts w:hint="eastAsia"/>
          <w:color w:val="auto"/>
          <w:sz w:val="28"/>
          <w:szCs w:val="28"/>
          <w:lang w:val="en-US" w:eastAsia="zh-CN"/>
        </w:rPr>
        <w:t>利用对露天采场内孤立岩体削坡产生的石方量，对露天采场内采坑、矿区道路马道进行回填，场地回填后</w:t>
      </w:r>
      <w:r>
        <w:rPr>
          <w:color w:val="auto"/>
          <w:sz w:val="28"/>
          <w:szCs w:val="28"/>
        </w:rPr>
        <w:t>要求地表平整，避免出现杂乱、高低不平的地段。</w:t>
      </w:r>
    </w:p>
    <w:p w14:paraId="6B1D95A8">
      <w:pPr>
        <w:widowControl/>
        <w:spacing w:line="360" w:lineRule="auto"/>
        <w:ind w:firstLine="560" w:firstLineChars="200"/>
        <w:rPr>
          <w:color w:val="auto"/>
          <w:sz w:val="28"/>
          <w:szCs w:val="28"/>
        </w:rPr>
      </w:pPr>
      <w:r>
        <w:rPr>
          <w:rFonts w:hint="eastAsia"/>
          <w:color w:val="auto"/>
          <w:sz w:val="28"/>
          <w:szCs w:val="28"/>
          <w:lang w:val="en-US" w:eastAsia="zh-CN"/>
        </w:rPr>
        <w:t>6</w:t>
      </w:r>
      <w:r>
        <w:rPr>
          <w:color w:val="auto"/>
          <w:sz w:val="28"/>
          <w:szCs w:val="28"/>
        </w:rPr>
        <w:t>、</w:t>
      </w:r>
      <w:r>
        <w:rPr>
          <w:rFonts w:hint="eastAsia"/>
          <w:color w:val="auto"/>
          <w:sz w:val="28"/>
          <w:szCs w:val="28"/>
          <w:lang w:val="en-US" w:eastAsia="zh-CN"/>
        </w:rPr>
        <w:t>岩体</w:t>
      </w:r>
      <w:r>
        <w:rPr>
          <w:color w:val="auto"/>
          <w:sz w:val="28"/>
          <w:szCs w:val="28"/>
        </w:rPr>
        <w:t>清理</w:t>
      </w:r>
    </w:p>
    <w:p w14:paraId="3EEB633B">
      <w:pPr>
        <w:spacing w:line="360" w:lineRule="auto"/>
        <w:ind w:firstLine="560" w:firstLineChars="200"/>
        <w:rPr>
          <w:rFonts w:hint="default" w:eastAsia="宋体"/>
          <w:color w:val="auto"/>
          <w:sz w:val="28"/>
          <w:szCs w:val="28"/>
          <w:lang w:val="en-US" w:eastAsia="zh-CN"/>
        </w:rPr>
      </w:pPr>
      <w:r>
        <w:rPr>
          <w:color w:val="auto"/>
          <w:sz w:val="28"/>
          <w:szCs w:val="28"/>
        </w:rPr>
        <w:t>治理区内露天采场</w:t>
      </w:r>
      <w:r>
        <w:rPr>
          <w:rFonts w:hint="eastAsia"/>
          <w:color w:val="auto"/>
          <w:sz w:val="28"/>
          <w:szCs w:val="28"/>
          <w:lang w:val="en-US" w:eastAsia="zh-CN"/>
        </w:rPr>
        <w:t>存在孤立岩体</w:t>
      </w:r>
      <w:r>
        <w:rPr>
          <w:rFonts w:hint="eastAsia"/>
          <w:color w:val="auto"/>
          <w:sz w:val="28"/>
          <w:szCs w:val="28"/>
          <w:lang w:eastAsia="zh-CN"/>
        </w:rPr>
        <w:t>，</w:t>
      </w:r>
      <w:r>
        <w:rPr>
          <w:rFonts w:hint="eastAsia"/>
          <w:color w:val="auto"/>
          <w:sz w:val="28"/>
          <w:szCs w:val="28"/>
          <w:lang w:val="en-US" w:eastAsia="zh-CN"/>
        </w:rPr>
        <w:t>对其清理可提升地貌景观。</w:t>
      </w:r>
    </w:p>
    <w:p w14:paraId="13C57020">
      <w:pPr>
        <w:spacing w:line="360" w:lineRule="auto"/>
        <w:ind w:firstLine="562" w:firstLineChars="200"/>
        <w:outlineLvl w:val="2"/>
        <w:rPr>
          <w:b/>
          <w:bCs/>
          <w:color w:val="auto"/>
          <w:sz w:val="28"/>
          <w:szCs w:val="24"/>
        </w:rPr>
      </w:pPr>
      <w:r>
        <w:rPr>
          <w:b/>
          <w:bCs/>
          <w:color w:val="auto"/>
          <w:sz w:val="28"/>
          <w:szCs w:val="24"/>
        </w:rPr>
        <w:t>二、土壤重构</w:t>
      </w:r>
    </w:p>
    <w:p w14:paraId="186B2883">
      <w:pPr>
        <w:spacing w:line="360" w:lineRule="auto"/>
        <w:ind w:firstLine="560" w:firstLineChars="200"/>
        <w:rPr>
          <w:color w:val="auto"/>
          <w:sz w:val="28"/>
          <w:szCs w:val="28"/>
        </w:rPr>
      </w:pPr>
      <w:r>
        <w:rPr>
          <w:color w:val="auto"/>
          <w:sz w:val="28"/>
          <w:szCs w:val="28"/>
        </w:rPr>
        <w:t>1、覆土</w:t>
      </w:r>
    </w:p>
    <w:p w14:paraId="05F29411">
      <w:pPr>
        <w:spacing w:line="360" w:lineRule="auto"/>
        <w:ind w:firstLine="560" w:firstLineChars="200"/>
        <w:rPr>
          <w:color w:val="auto"/>
          <w:sz w:val="28"/>
          <w:szCs w:val="28"/>
        </w:rPr>
      </w:pPr>
      <w:r>
        <w:rPr>
          <w:color w:val="auto"/>
          <w:sz w:val="28"/>
          <w:szCs w:val="28"/>
        </w:rPr>
        <w:t>覆盖土层厚度应参照《土地复垦质量控制标准》（TD/T 1036-2013）中“表D.</w:t>
      </w:r>
      <w:r>
        <w:rPr>
          <w:rFonts w:hint="eastAsia"/>
          <w:color w:val="auto"/>
          <w:sz w:val="28"/>
          <w:szCs w:val="28"/>
          <w:lang w:val="en-US" w:eastAsia="zh-CN"/>
        </w:rPr>
        <w:t>6北方草原</w:t>
      </w:r>
      <w:r>
        <w:rPr>
          <w:color w:val="auto"/>
          <w:sz w:val="28"/>
          <w:szCs w:val="28"/>
        </w:rPr>
        <w:t>土地复垦质量控制标准”执行，且覆土后场地坡度应与原地面坡度一致。拟复垦林地的场地</w:t>
      </w:r>
      <w:r>
        <w:rPr>
          <w:snapToGrid w:val="0"/>
          <w:color w:val="auto"/>
          <w:sz w:val="28"/>
          <w:szCs w:val="28"/>
        </w:rPr>
        <w:t>覆土厚度不低于0.5m，</w:t>
      </w:r>
      <w:r>
        <w:rPr>
          <w:color w:val="auto"/>
          <w:sz w:val="28"/>
          <w:szCs w:val="28"/>
        </w:rPr>
        <w:t>拟复垦草地的场地</w:t>
      </w:r>
      <w:r>
        <w:rPr>
          <w:snapToGrid w:val="0"/>
          <w:color w:val="auto"/>
          <w:sz w:val="28"/>
          <w:szCs w:val="28"/>
        </w:rPr>
        <w:t>覆土厚度不低于0.3m。经过治理措施后，表土层能够满足植被生长。</w:t>
      </w:r>
    </w:p>
    <w:p w14:paraId="46270932">
      <w:pPr>
        <w:widowControl/>
        <w:spacing w:line="360" w:lineRule="auto"/>
        <w:ind w:firstLine="560" w:firstLineChars="200"/>
        <w:rPr>
          <w:color w:val="auto"/>
          <w:sz w:val="28"/>
          <w:szCs w:val="28"/>
        </w:rPr>
      </w:pPr>
      <w:r>
        <w:rPr>
          <w:rFonts w:hint="eastAsia"/>
          <w:color w:val="auto"/>
          <w:sz w:val="28"/>
          <w:szCs w:val="28"/>
          <w:lang w:val="en-US" w:eastAsia="zh-CN"/>
        </w:rPr>
        <w:t>2</w:t>
      </w:r>
      <w:r>
        <w:rPr>
          <w:color w:val="auto"/>
          <w:sz w:val="28"/>
          <w:szCs w:val="28"/>
        </w:rPr>
        <w:t>、土壤培肥</w:t>
      </w:r>
    </w:p>
    <w:p w14:paraId="6298A5C5">
      <w:pPr>
        <w:widowControl/>
        <w:spacing w:line="360" w:lineRule="auto"/>
        <w:ind w:firstLine="560" w:firstLineChars="200"/>
        <w:rPr>
          <w:color w:val="auto"/>
          <w:sz w:val="28"/>
          <w:szCs w:val="28"/>
        </w:rPr>
      </w:pPr>
      <w:r>
        <w:rPr>
          <w:color w:val="auto"/>
          <w:sz w:val="28"/>
          <w:szCs w:val="28"/>
        </w:rPr>
        <w:t>在土壤重构中，土壤培肥改良是核心环节，其方法及步骤为：首先进行土壤本底调查，明确土壤理化性质障碍；其次，通过客土等方式进行物理结构改良，施加有机肥以快速提升土壤有机质与肥力。</w:t>
      </w:r>
    </w:p>
    <w:p w14:paraId="151C51E8">
      <w:pPr>
        <w:spacing w:line="360" w:lineRule="auto"/>
        <w:ind w:firstLine="562" w:firstLineChars="200"/>
        <w:outlineLvl w:val="2"/>
        <w:rPr>
          <w:b/>
          <w:bCs/>
          <w:color w:val="auto"/>
          <w:sz w:val="28"/>
          <w:szCs w:val="24"/>
        </w:rPr>
      </w:pPr>
      <w:r>
        <w:rPr>
          <w:b/>
          <w:bCs/>
          <w:color w:val="auto"/>
          <w:sz w:val="28"/>
          <w:szCs w:val="24"/>
        </w:rPr>
        <w:t>三、植被重建</w:t>
      </w:r>
    </w:p>
    <w:p w14:paraId="7A7EF4DD">
      <w:pPr>
        <w:widowControl/>
        <w:spacing w:line="360" w:lineRule="auto"/>
        <w:ind w:firstLine="560" w:firstLineChars="200"/>
        <w:jc w:val="left"/>
        <w:rPr>
          <w:color w:val="auto"/>
          <w:kern w:val="0"/>
          <w:sz w:val="28"/>
          <w:szCs w:val="28"/>
        </w:rPr>
      </w:pPr>
      <w:r>
        <w:rPr>
          <w:color w:val="auto"/>
          <w:sz w:val="28"/>
          <w:szCs w:val="28"/>
        </w:rPr>
        <w:t>1、</w:t>
      </w:r>
      <w:r>
        <w:rPr>
          <w:color w:val="auto"/>
          <w:kern w:val="0"/>
          <w:sz w:val="28"/>
          <w:szCs w:val="28"/>
        </w:rPr>
        <w:t>植被品种筛选</w:t>
      </w:r>
    </w:p>
    <w:p w14:paraId="7384BC57">
      <w:pPr>
        <w:widowControl/>
        <w:spacing w:line="360" w:lineRule="auto"/>
        <w:ind w:firstLine="560" w:firstLineChars="200"/>
        <w:jc w:val="left"/>
        <w:rPr>
          <w:color w:val="auto"/>
          <w:kern w:val="0"/>
          <w:sz w:val="28"/>
          <w:szCs w:val="28"/>
        </w:rPr>
      </w:pPr>
      <w:r>
        <w:rPr>
          <w:color w:val="auto"/>
          <w:kern w:val="0"/>
          <w:sz w:val="28"/>
          <w:szCs w:val="28"/>
        </w:rPr>
        <w:t>依据矿区现状生态系统类型，植物种类，参照周边生态系统，以及对矿区生态修复适宜性评价成果。</w:t>
      </w:r>
    </w:p>
    <w:p w14:paraId="465F7EEE">
      <w:pPr>
        <w:widowControl/>
        <w:spacing w:line="360" w:lineRule="auto"/>
        <w:ind w:firstLine="560" w:firstLineChars="200"/>
        <w:jc w:val="left"/>
        <w:rPr>
          <w:color w:val="auto"/>
          <w:kern w:val="0"/>
          <w:sz w:val="28"/>
          <w:szCs w:val="28"/>
        </w:rPr>
      </w:pPr>
      <w:r>
        <w:rPr>
          <w:color w:val="auto"/>
          <w:kern w:val="0"/>
          <w:sz w:val="28"/>
          <w:szCs w:val="28"/>
        </w:rPr>
        <w:t>复垦</w:t>
      </w:r>
      <w:r>
        <w:rPr>
          <w:rFonts w:hint="eastAsia"/>
          <w:color w:val="auto"/>
          <w:kern w:val="0"/>
          <w:sz w:val="28"/>
          <w:szCs w:val="28"/>
          <w:lang w:val="en-US" w:eastAsia="zh-CN"/>
        </w:rPr>
        <w:t>乔木</w:t>
      </w:r>
      <w:r>
        <w:rPr>
          <w:color w:val="auto"/>
          <w:kern w:val="0"/>
          <w:sz w:val="28"/>
          <w:szCs w:val="28"/>
        </w:rPr>
        <w:t>林地树种优先选择本地树种杨树（备选</w:t>
      </w:r>
      <w:r>
        <w:rPr>
          <w:rFonts w:hint="eastAsia"/>
          <w:color w:val="auto"/>
          <w:kern w:val="0"/>
          <w:sz w:val="28"/>
          <w:szCs w:val="28"/>
          <w:lang w:val="en-US" w:eastAsia="zh-CN"/>
        </w:rPr>
        <w:t>松</w:t>
      </w:r>
      <w:r>
        <w:rPr>
          <w:color w:val="auto"/>
          <w:kern w:val="0"/>
          <w:sz w:val="28"/>
          <w:szCs w:val="28"/>
        </w:rPr>
        <w:t>树），耐旱耐涝，适合碱性土，避免初期碱性胁迫导致成活率低；</w:t>
      </w:r>
    </w:p>
    <w:p w14:paraId="5895492D">
      <w:pPr>
        <w:widowControl/>
        <w:spacing w:line="360" w:lineRule="auto"/>
        <w:ind w:firstLine="560" w:firstLineChars="200"/>
        <w:jc w:val="left"/>
        <w:rPr>
          <w:color w:val="auto"/>
          <w:kern w:val="0"/>
          <w:sz w:val="28"/>
          <w:szCs w:val="28"/>
        </w:rPr>
      </w:pPr>
      <w:r>
        <w:rPr>
          <w:color w:val="auto"/>
          <w:kern w:val="0"/>
          <w:sz w:val="28"/>
          <w:szCs w:val="28"/>
        </w:rPr>
        <w:t>复垦草地草种优先选择本地物种，羊草+披碱草+紫花苜蓿</w:t>
      </w:r>
      <w:r>
        <w:rPr>
          <w:rFonts w:hint="eastAsia"/>
          <w:color w:val="auto"/>
          <w:kern w:val="0"/>
          <w:sz w:val="28"/>
          <w:szCs w:val="28"/>
          <w:lang w:val="en-US" w:eastAsia="zh-CN"/>
        </w:rPr>
        <w:t>混种</w:t>
      </w:r>
      <w:r>
        <w:rPr>
          <w:color w:val="auto"/>
          <w:kern w:val="0"/>
          <w:sz w:val="28"/>
          <w:szCs w:val="28"/>
        </w:rPr>
        <w:t>，固氮能力强，根系发达，提升土壤有机质。</w:t>
      </w:r>
    </w:p>
    <w:p w14:paraId="72251F95">
      <w:pPr>
        <w:widowControl/>
        <w:spacing w:line="360" w:lineRule="auto"/>
        <w:ind w:firstLine="560" w:firstLineChars="200"/>
        <w:jc w:val="left"/>
        <w:rPr>
          <w:color w:val="auto"/>
          <w:kern w:val="0"/>
          <w:sz w:val="28"/>
          <w:szCs w:val="28"/>
        </w:rPr>
      </w:pPr>
      <w:r>
        <w:rPr>
          <w:color w:val="auto"/>
          <w:kern w:val="0"/>
          <w:sz w:val="28"/>
          <w:szCs w:val="28"/>
        </w:rPr>
        <w:t>根据以上特点，确定本次土地复垦方案植被品种</w:t>
      </w:r>
      <w:r>
        <w:rPr>
          <w:rFonts w:hint="eastAsia"/>
          <w:color w:val="auto"/>
          <w:kern w:val="0"/>
          <w:sz w:val="28"/>
          <w:szCs w:val="28"/>
          <w:lang w:val="en-US" w:eastAsia="zh-CN"/>
        </w:rPr>
        <w:t>乔</w:t>
      </w:r>
      <w:r>
        <w:rPr>
          <w:color w:val="auto"/>
          <w:kern w:val="0"/>
          <w:sz w:val="28"/>
          <w:szCs w:val="28"/>
        </w:rPr>
        <w:t>木选择杨树（备选</w:t>
      </w:r>
      <w:r>
        <w:rPr>
          <w:rFonts w:hint="eastAsia"/>
          <w:color w:val="auto"/>
          <w:kern w:val="0"/>
          <w:sz w:val="28"/>
          <w:szCs w:val="28"/>
          <w:lang w:val="en-US" w:eastAsia="zh-CN"/>
        </w:rPr>
        <w:t>松树</w:t>
      </w:r>
      <w:r>
        <w:rPr>
          <w:color w:val="auto"/>
          <w:kern w:val="0"/>
          <w:sz w:val="28"/>
          <w:szCs w:val="28"/>
        </w:rPr>
        <w:t>），草种选择羊草+披碱草+紫花苜蓿</w:t>
      </w:r>
      <w:r>
        <w:rPr>
          <w:rFonts w:hint="eastAsia"/>
          <w:color w:val="auto"/>
          <w:kern w:val="0"/>
          <w:sz w:val="28"/>
          <w:szCs w:val="28"/>
          <w:lang w:val="en-US" w:eastAsia="zh-CN"/>
        </w:rPr>
        <w:t>混种</w:t>
      </w:r>
      <w:r>
        <w:rPr>
          <w:color w:val="auto"/>
          <w:kern w:val="0"/>
          <w:sz w:val="28"/>
          <w:szCs w:val="28"/>
        </w:rPr>
        <w:t>。</w:t>
      </w:r>
    </w:p>
    <w:p w14:paraId="153987F9">
      <w:pPr>
        <w:widowControl/>
        <w:spacing w:line="360" w:lineRule="auto"/>
        <w:ind w:firstLine="560" w:firstLineChars="200"/>
        <w:rPr>
          <w:color w:val="auto"/>
          <w:sz w:val="28"/>
          <w:szCs w:val="28"/>
        </w:rPr>
      </w:pPr>
      <w:r>
        <w:rPr>
          <w:color w:val="auto"/>
          <w:sz w:val="28"/>
          <w:szCs w:val="28"/>
        </w:rPr>
        <w:t>2、恢复植被措施</w:t>
      </w:r>
    </w:p>
    <w:p w14:paraId="5B222436">
      <w:pPr>
        <w:widowControl/>
        <w:spacing w:line="360" w:lineRule="auto"/>
        <w:ind w:firstLine="560" w:firstLineChars="200"/>
        <w:rPr>
          <w:color w:val="auto"/>
          <w:sz w:val="28"/>
          <w:szCs w:val="28"/>
        </w:rPr>
      </w:pPr>
      <w:r>
        <w:rPr>
          <w:color w:val="auto"/>
          <w:sz w:val="28"/>
          <w:szCs w:val="28"/>
        </w:rPr>
        <w:t>对破坏区进行造林种草，根据“因地制宜，因害设防，适地适树”的原则选择优良乡土品种。根据矿山实地调查和征询当地民众意见，确定本次土地复垦方案植被</w:t>
      </w:r>
      <w:r>
        <w:rPr>
          <w:rFonts w:hint="eastAsia"/>
          <w:color w:val="auto"/>
          <w:kern w:val="0"/>
          <w:sz w:val="28"/>
          <w:szCs w:val="28"/>
          <w:lang w:val="en-US" w:eastAsia="zh-CN"/>
        </w:rPr>
        <w:t>乔</w:t>
      </w:r>
      <w:r>
        <w:rPr>
          <w:color w:val="auto"/>
          <w:kern w:val="0"/>
          <w:sz w:val="28"/>
          <w:szCs w:val="28"/>
        </w:rPr>
        <w:t>木选择杨树（备选</w:t>
      </w:r>
      <w:r>
        <w:rPr>
          <w:rFonts w:hint="eastAsia"/>
          <w:color w:val="auto"/>
          <w:kern w:val="0"/>
          <w:sz w:val="28"/>
          <w:szCs w:val="28"/>
          <w:lang w:val="en-US" w:eastAsia="zh-CN"/>
        </w:rPr>
        <w:t>松</w:t>
      </w:r>
      <w:r>
        <w:rPr>
          <w:color w:val="auto"/>
          <w:kern w:val="0"/>
          <w:sz w:val="28"/>
          <w:szCs w:val="28"/>
        </w:rPr>
        <w:t>树），草种选择羊草+披碱草+紫花苜蓿</w:t>
      </w:r>
      <w:r>
        <w:rPr>
          <w:rFonts w:hint="eastAsia"/>
          <w:color w:val="auto"/>
          <w:kern w:val="0"/>
          <w:sz w:val="28"/>
          <w:szCs w:val="28"/>
          <w:lang w:val="en-US" w:eastAsia="zh-CN"/>
        </w:rPr>
        <w:t>混种</w:t>
      </w:r>
      <w:r>
        <w:rPr>
          <w:color w:val="auto"/>
          <w:sz w:val="28"/>
          <w:szCs w:val="28"/>
        </w:rPr>
        <w:t>。</w:t>
      </w:r>
    </w:p>
    <w:p w14:paraId="47D413C4">
      <w:pPr>
        <w:spacing w:line="360" w:lineRule="auto"/>
        <w:ind w:firstLine="560" w:firstLineChars="200"/>
        <w:rPr>
          <w:color w:val="auto"/>
          <w:sz w:val="28"/>
          <w:szCs w:val="28"/>
        </w:rPr>
      </w:pPr>
      <w:r>
        <w:rPr>
          <w:color w:val="auto"/>
          <w:sz w:val="28"/>
          <w:szCs w:val="28"/>
        </w:rPr>
        <w:t>（1）种植乔木</w:t>
      </w:r>
    </w:p>
    <w:p w14:paraId="0D260EFE">
      <w:pPr>
        <w:widowControl/>
        <w:spacing w:line="360" w:lineRule="auto"/>
        <w:ind w:firstLine="560" w:firstLineChars="200"/>
        <w:rPr>
          <w:color w:val="auto"/>
          <w:sz w:val="28"/>
          <w:szCs w:val="28"/>
        </w:rPr>
      </w:pPr>
      <w:r>
        <w:rPr>
          <w:color w:val="auto"/>
          <w:sz w:val="28"/>
          <w:szCs w:val="28"/>
        </w:rPr>
        <w:t>购买来的苗木经运输至矿区必须及时进行种植，随栽植随挖取，栽植时幼苗根部要蘸上泥浆以减少根部在干燥空气中的暴露时间，增加根部土壤含水量。植树全部采用穴状整地栽植，苗木要求二年生，裸根；株间距3m×3m，栽植采用坑栽，种植穴方形，树坑大小为50cm×50cm×50cm，坑口反向倾斜，以便蓄水保土。</w:t>
      </w:r>
    </w:p>
    <w:p w14:paraId="65BF85B2">
      <w:pPr>
        <w:spacing w:line="360" w:lineRule="auto"/>
        <w:ind w:firstLine="560" w:firstLineChars="200"/>
        <w:rPr>
          <w:color w:val="auto"/>
          <w:sz w:val="28"/>
          <w:szCs w:val="28"/>
        </w:rPr>
      </w:pPr>
      <w:r>
        <w:rPr>
          <w:color w:val="auto"/>
          <w:sz w:val="28"/>
          <w:szCs w:val="28"/>
        </w:rPr>
        <w:t>（</w:t>
      </w:r>
      <w:r>
        <w:rPr>
          <w:rFonts w:hint="eastAsia"/>
          <w:color w:val="auto"/>
          <w:sz w:val="28"/>
          <w:szCs w:val="28"/>
          <w:lang w:val="en-US" w:eastAsia="zh-CN"/>
        </w:rPr>
        <w:t>2</w:t>
      </w:r>
      <w:r>
        <w:rPr>
          <w:color w:val="auto"/>
          <w:sz w:val="28"/>
          <w:szCs w:val="28"/>
        </w:rPr>
        <w:t>）撒播草籽</w:t>
      </w:r>
    </w:p>
    <w:p w14:paraId="7F78D973">
      <w:pPr>
        <w:autoSpaceDE w:val="0"/>
        <w:autoSpaceDN w:val="0"/>
        <w:adjustRightInd w:val="0"/>
        <w:spacing w:line="360" w:lineRule="auto"/>
        <w:ind w:firstLine="560" w:firstLineChars="200"/>
        <w:rPr>
          <w:color w:val="auto"/>
          <w:kern w:val="0"/>
          <w:sz w:val="28"/>
          <w:szCs w:val="28"/>
        </w:rPr>
      </w:pPr>
      <w:r>
        <w:rPr>
          <w:color w:val="auto"/>
          <w:kern w:val="0"/>
          <w:sz w:val="28"/>
          <w:szCs w:val="28"/>
        </w:rPr>
        <w:t>草种籽选用纯度98%、</w:t>
      </w:r>
      <w:r>
        <w:rPr>
          <w:rFonts w:hint="eastAsia"/>
          <w:color w:val="auto"/>
          <w:kern w:val="0"/>
          <w:sz w:val="28"/>
          <w:szCs w:val="28"/>
          <w:lang w:val="en-US" w:eastAsia="zh-CN"/>
        </w:rPr>
        <w:t>发芽率</w:t>
      </w:r>
      <w:r>
        <w:rPr>
          <w:color w:val="auto"/>
          <w:kern w:val="0"/>
          <w:sz w:val="28"/>
          <w:szCs w:val="28"/>
        </w:rPr>
        <w:t>90%以上、无病虫害的优良种籽，采用撒播方式增加地表植被的覆盖度，播撒量为</w:t>
      </w:r>
      <w:r>
        <w:rPr>
          <w:rFonts w:hint="eastAsia"/>
          <w:color w:val="auto"/>
          <w:kern w:val="0"/>
          <w:sz w:val="28"/>
          <w:szCs w:val="28"/>
          <w:lang w:val="en-US" w:eastAsia="zh-CN"/>
        </w:rPr>
        <w:t>45</w:t>
      </w:r>
      <w:r>
        <w:rPr>
          <w:color w:val="auto"/>
          <w:kern w:val="0"/>
          <w:sz w:val="28"/>
          <w:szCs w:val="28"/>
        </w:rPr>
        <w:t>kg/hm</w:t>
      </w:r>
      <w:r>
        <w:rPr>
          <w:color w:val="auto"/>
          <w:kern w:val="0"/>
          <w:sz w:val="28"/>
          <w:szCs w:val="28"/>
          <w:vertAlign w:val="superscript"/>
        </w:rPr>
        <w:t>2</w:t>
      </w:r>
      <w:r>
        <w:rPr>
          <w:color w:val="auto"/>
          <w:kern w:val="0"/>
          <w:sz w:val="28"/>
          <w:szCs w:val="28"/>
        </w:rPr>
        <w:t>。</w:t>
      </w:r>
    </w:p>
    <w:p w14:paraId="5A3AFE2C">
      <w:pPr>
        <w:spacing w:line="360" w:lineRule="auto"/>
        <w:ind w:firstLine="560" w:firstLineChars="200"/>
        <w:rPr>
          <w:color w:val="auto"/>
          <w:sz w:val="28"/>
          <w:szCs w:val="28"/>
        </w:rPr>
      </w:pPr>
      <w:r>
        <w:rPr>
          <w:color w:val="auto"/>
          <w:sz w:val="28"/>
          <w:szCs w:val="28"/>
        </w:rPr>
        <w:t>应选择适宜草种，选择抗旱、抗贫瘠优良草种，混合播种，播草籽方法采用撒播，撒播时将草籽混合均匀，撒播后要保持土壤湿润，进行喷水养护播种时间主要根据地区气候条件来决定。在生长季节结束前，进行刈割，在草腐解过程中，会增加土壤有机质等的含量，可有效改善土壤结构。</w:t>
      </w:r>
    </w:p>
    <w:p w14:paraId="2435BF51">
      <w:pPr>
        <w:spacing w:line="360" w:lineRule="auto"/>
        <w:ind w:firstLine="560" w:firstLineChars="200"/>
        <w:rPr>
          <w:color w:val="auto"/>
          <w:sz w:val="28"/>
          <w:szCs w:val="28"/>
          <w:lang w:val="zh-CN"/>
        </w:rPr>
      </w:pPr>
      <w:r>
        <w:rPr>
          <w:color w:val="auto"/>
          <w:sz w:val="28"/>
          <w:szCs w:val="28"/>
        </w:rPr>
        <w:t>3、</w:t>
      </w:r>
      <w:r>
        <w:rPr>
          <w:color w:val="auto"/>
          <w:sz w:val="28"/>
          <w:szCs w:val="28"/>
          <w:lang w:val="zh-CN"/>
        </w:rPr>
        <w:t>提高地力措施</w:t>
      </w:r>
    </w:p>
    <w:p w14:paraId="3CF95E64">
      <w:pPr>
        <w:tabs>
          <w:tab w:val="left" w:pos="870"/>
        </w:tabs>
        <w:spacing w:line="360" w:lineRule="auto"/>
        <w:ind w:firstLine="560" w:firstLineChars="200"/>
        <w:rPr>
          <w:color w:val="auto"/>
          <w:sz w:val="28"/>
          <w:szCs w:val="28"/>
        </w:rPr>
      </w:pPr>
      <w:r>
        <w:rPr>
          <w:color w:val="auto"/>
          <w:sz w:val="28"/>
          <w:szCs w:val="28"/>
        </w:rPr>
        <w:t>通过物理改良工艺，增施腐熟有机肥，如羊粪、堆肥，通过有机质分解产生有机酸，缓慢调节pH值，消除其不良影响</w:t>
      </w:r>
      <w:r>
        <w:rPr>
          <w:rFonts w:hint="eastAsia"/>
          <w:color w:val="auto"/>
          <w:sz w:val="28"/>
          <w:szCs w:val="28"/>
          <w:lang w:eastAsia="zh-CN"/>
        </w:rPr>
        <w:t>，改</w:t>
      </w:r>
      <w:r>
        <w:rPr>
          <w:color w:val="auto"/>
          <w:sz w:val="28"/>
          <w:szCs w:val="28"/>
        </w:rPr>
        <w:t>良土壤的性质，施用量为每公顷500kg，施肥应选择阴雨天进行，施用方式草地为撒施，林木则将肥料</w:t>
      </w:r>
      <w:r>
        <w:rPr>
          <w:rFonts w:hint="eastAsia"/>
          <w:color w:val="auto"/>
          <w:sz w:val="28"/>
          <w:szCs w:val="28"/>
          <w:lang w:eastAsia="zh-CN"/>
        </w:rPr>
        <w:t>拌和</w:t>
      </w:r>
      <w:r>
        <w:rPr>
          <w:color w:val="auto"/>
          <w:sz w:val="28"/>
          <w:szCs w:val="28"/>
        </w:rPr>
        <w:t>于填土中，土壤培肥工程计入管护费用中。</w:t>
      </w:r>
    </w:p>
    <w:p w14:paraId="45A7059C">
      <w:pPr>
        <w:spacing w:line="360" w:lineRule="auto"/>
        <w:ind w:firstLine="562" w:firstLineChars="200"/>
        <w:outlineLvl w:val="2"/>
        <w:rPr>
          <w:b/>
          <w:bCs/>
          <w:color w:val="auto"/>
          <w:sz w:val="28"/>
          <w:szCs w:val="24"/>
        </w:rPr>
      </w:pPr>
      <w:r>
        <w:rPr>
          <w:b/>
          <w:bCs/>
          <w:color w:val="auto"/>
          <w:sz w:val="28"/>
          <w:szCs w:val="24"/>
        </w:rPr>
        <w:t>四、景观营造</w:t>
      </w:r>
    </w:p>
    <w:p w14:paraId="338EFF00">
      <w:pPr>
        <w:tabs>
          <w:tab w:val="left" w:pos="870"/>
        </w:tabs>
        <w:spacing w:line="360" w:lineRule="auto"/>
        <w:ind w:firstLine="560" w:firstLineChars="200"/>
        <w:rPr>
          <w:color w:val="auto"/>
          <w:sz w:val="28"/>
          <w:szCs w:val="28"/>
        </w:rPr>
      </w:pPr>
      <w:r>
        <w:rPr>
          <w:color w:val="auto"/>
          <w:sz w:val="28"/>
          <w:szCs w:val="28"/>
        </w:rPr>
        <w:t>1、重建矿区植被群落：</w:t>
      </w:r>
    </w:p>
    <w:p w14:paraId="0FD967DD">
      <w:pPr>
        <w:tabs>
          <w:tab w:val="left" w:pos="870"/>
        </w:tabs>
        <w:spacing w:line="360" w:lineRule="auto"/>
        <w:ind w:firstLine="560" w:firstLineChars="200"/>
        <w:rPr>
          <w:color w:val="auto"/>
          <w:sz w:val="28"/>
          <w:szCs w:val="28"/>
        </w:rPr>
      </w:pPr>
      <w:r>
        <w:rPr>
          <w:color w:val="auto"/>
          <w:sz w:val="28"/>
          <w:szCs w:val="28"/>
        </w:rPr>
        <w:t>遵循“适地适树、乡土优先”的原则，通过土壤改良、先锋植物引入、乔草立体配置等方式，模拟自然群落结构进行植被恢复。重点构建具有高稳定性、高生物多样性和自我维持能力的近自然植物群落，形成绿色基底。</w:t>
      </w:r>
    </w:p>
    <w:p w14:paraId="227239FE">
      <w:pPr>
        <w:tabs>
          <w:tab w:val="left" w:pos="870"/>
        </w:tabs>
        <w:spacing w:line="360" w:lineRule="auto"/>
        <w:ind w:firstLine="560" w:firstLineChars="200"/>
        <w:rPr>
          <w:color w:val="auto"/>
          <w:sz w:val="28"/>
          <w:szCs w:val="28"/>
        </w:rPr>
      </w:pPr>
      <w:r>
        <w:rPr>
          <w:color w:val="auto"/>
          <w:sz w:val="28"/>
          <w:szCs w:val="28"/>
        </w:rPr>
        <w:t>2、优化矿区景观格局：</w:t>
      </w:r>
    </w:p>
    <w:p w14:paraId="13277B4D">
      <w:pPr>
        <w:tabs>
          <w:tab w:val="left" w:pos="870"/>
        </w:tabs>
        <w:spacing w:line="360" w:lineRule="auto"/>
        <w:ind w:firstLine="560" w:firstLineChars="200"/>
        <w:rPr>
          <w:color w:val="auto"/>
          <w:sz w:val="28"/>
          <w:szCs w:val="28"/>
        </w:rPr>
      </w:pPr>
      <w:r>
        <w:rPr>
          <w:color w:val="auto"/>
          <w:sz w:val="28"/>
          <w:szCs w:val="28"/>
        </w:rPr>
        <w:t>在整体规划上，打破单一呆板的格局，通过地形重塑，巧妙布置林地、草地，形成空间异质性高、层次丰富的“斑块-廊道-基质”景观结构，构建一个功能完整、地形地貌协调、自我维持、富有韧性且兼具生产与审美价值的生态景观。</w:t>
      </w:r>
    </w:p>
    <w:p w14:paraId="6CB1EB06">
      <w:pPr>
        <w:tabs>
          <w:tab w:val="left" w:pos="870"/>
        </w:tabs>
        <w:spacing w:line="360" w:lineRule="auto"/>
        <w:ind w:firstLine="560" w:firstLineChars="200"/>
        <w:rPr>
          <w:color w:val="auto"/>
          <w:sz w:val="28"/>
          <w:szCs w:val="28"/>
        </w:rPr>
      </w:pPr>
      <w:r>
        <w:rPr>
          <w:color w:val="auto"/>
          <w:sz w:val="28"/>
          <w:szCs w:val="28"/>
        </w:rPr>
        <w:t>3、文化功能重构与提升：</w:t>
      </w:r>
    </w:p>
    <w:p w14:paraId="00922BE9">
      <w:pPr>
        <w:tabs>
          <w:tab w:val="left" w:pos="870"/>
        </w:tabs>
        <w:spacing w:line="360" w:lineRule="auto"/>
        <w:ind w:firstLine="560" w:firstLineChars="200"/>
        <w:rPr>
          <w:color w:val="auto"/>
          <w:sz w:val="28"/>
          <w:szCs w:val="28"/>
        </w:rPr>
      </w:pPr>
      <w:r>
        <w:rPr>
          <w:color w:val="auto"/>
          <w:sz w:val="28"/>
          <w:szCs w:val="28"/>
        </w:rPr>
        <w:t>首先，将矿区修复区域视为区域生态系统的有机组成部分，通过建设生态林带，将其与周边山林、</w:t>
      </w:r>
      <w:r>
        <w:rPr>
          <w:rFonts w:hint="eastAsia"/>
          <w:color w:val="auto"/>
          <w:sz w:val="28"/>
          <w:szCs w:val="28"/>
          <w:lang w:val="en-US" w:eastAsia="zh-CN"/>
        </w:rPr>
        <w:t>草原</w:t>
      </w:r>
      <w:r>
        <w:rPr>
          <w:color w:val="auto"/>
          <w:sz w:val="28"/>
          <w:szCs w:val="28"/>
        </w:rPr>
        <w:t>等自然生态系统有效连接，促进物种交流与基因流动，增强区域生态系统的完整性与韧性；再通过绿色矿山建设，与矿区文化共同提升。</w:t>
      </w:r>
    </w:p>
    <w:p w14:paraId="02AB3E53">
      <w:pPr>
        <w:widowControl/>
        <w:spacing w:line="360" w:lineRule="auto"/>
        <w:ind w:firstLine="560" w:firstLineChars="200"/>
        <w:rPr>
          <w:color w:val="auto"/>
          <w:sz w:val="28"/>
          <w:szCs w:val="28"/>
        </w:rPr>
      </w:pPr>
      <w:r>
        <w:rPr>
          <w:color w:val="auto"/>
          <w:sz w:val="28"/>
          <w:szCs w:val="28"/>
        </w:rPr>
        <w:t>上述措施将协同推进，旨在将受损矿区建设成为一个与周边环境和诸共生、兼具生态效益与景观价值的生命共同体。</w:t>
      </w:r>
    </w:p>
    <w:p w14:paraId="7E829DDD">
      <w:pPr>
        <w:pStyle w:val="3"/>
        <w:spacing w:before="120" w:beforeLines="50"/>
        <w:rPr>
          <w:rFonts w:ascii="Times New Roman" w:hAnsi="Times New Roman"/>
          <w:color w:val="auto"/>
        </w:rPr>
      </w:pPr>
      <w:bookmarkStart w:id="81" w:name="_Toc29717"/>
      <w:r>
        <w:rPr>
          <w:rFonts w:ascii="Times New Roman" w:hAnsi="Times New Roman"/>
          <w:color w:val="auto"/>
        </w:rPr>
        <w:t>第三节  工程内容</w:t>
      </w:r>
      <w:bookmarkEnd w:id="81"/>
    </w:p>
    <w:p w14:paraId="73EF16F6">
      <w:pPr>
        <w:pStyle w:val="4"/>
        <w:spacing w:line="360" w:lineRule="auto"/>
        <w:ind w:firstLine="562" w:firstLineChars="200"/>
        <w:rPr>
          <w:rFonts w:ascii="Times New Roman"/>
          <w:b/>
          <w:bCs/>
          <w:color w:val="auto"/>
          <w:sz w:val="28"/>
          <w:szCs w:val="24"/>
        </w:rPr>
      </w:pPr>
      <w:r>
        <w:rPr>
          <w:rFonts w:ascii="Times New Roman"/>
          <w:b/>
          <w:bCs/>
          <w:color w:val="auto"/>
          <w:sz w:val="28"/>
          <w:szCs w:val="24"/>
        </w:rPr>
        <w:t>一、工程设计</w:t>
      </w:r>
    </w:p>
    <w:p w14:paraId="3650CDA2">
      <w:pPr>
        <w:spacing w:line="360" w:lineRule="auto"/>
        <w:ind w:firstLine="560" w:firstLineChars="200"/>
        <w:rPr>
          <w:color w:val="auto"/>
          <w:sz w:val="28"/>
          <w:szCs w:val="28"/>
        </w:rPr>
      </w:pPr>
      <w:r>
        <w:rPr>
          <w:color w:val="auto"/>
          <w:sz w:val="28"/>
          <w:szCs w:val="28"/>
        </w:rPr>
        <w:t>本方案对</w:t>
      </w:r>
      <w:r>
        <w:rPr>
          <w:rFonts w:hint="eastAsia"/>
          <w:color w:val="auto"/>
          <w:sz w:val="28"/>
          <w:szCs w:val="28"/>
          <w:lang w:val="en-US" w:eastAsia="zh-CN"/>
        </w:rPr>
        <w:t>露天采场、1#废石场、2#废石场、1#废渣堆、2#废渣堆、3#废渣堆、工业场地、矿区道路</w:t>
      </w:r>
      <w:r>
        <w:rPr>
          <w:color w:val="auto"/>
          <w:sz w:val="28"/>
          <w:szCs w:val="28"/>
        </w:rPr>
        <w:t>进行工程设计。复垦责任范围内土地复垦后的主要利用方向为</w:t>
      </w:r>
      <w:r>
        <w:rPr>
          <w:rFonts w:hint="eastAsia"/>
          <w:color w:val="auto"/>
          <w:sz w:val="28"/>
          <w:szCs w:val="28"/>
          <w:lang w:val="en-US" w:eastAsia="zh-CN"/>
        </w:rPr>
        <w:t>乔木</w:t>
      </w:r>
      <w:r>
        <w:rPr>
          <w:color w:val="auto"/>
          <w:sz w:val="28"/>
          <w:szCs w:val="28"/>
        </w:rPr>
        <w:t>林地和草地。</w:t>
      </w:r>
    </w:p>
    <w:p w14:paraId="0A565B47">
      <w:pPr>
        <w:pStyle w:val="5"/>
        <w:keepNext w:val="0"/>
        <w:keepLines w:val="0"/>
        <w:adjustRightInd/>
        <w:snapToGrid/>
        <w:ind w:firstLine="562"/>
        <w:rPr>
          <w:rFonts w:hint="default" w:eastAsia="宋体"/>
          <w:bCs/>
          <w:color w:val="auto"/>
          <w:sz w:val="28"/>
          <w:szCs w:val="24"/>
          <w:lang w:val="en-US" w:eastAsia="zh-CN"/>
        </w:rPr>
      </w:pPr>
      <w:bookmarkStart w:id="82" w:name="_Hlk219037154"/>
      <w:r>
        <w:rPr>
          <w:rFonts w:hint="eastAsia"/>
          <w:bCs/>
          <w:color w:val="auto"/>
          <w:sz w:val="28"/>
          <w:szCs w:val="24"/>
        </w:rPr>
        <w:t>（</w:t>
      </w:r>
      <w:r>
        <w:rPr>
          <w:rFonts w:hint="eastAsia"/>
          <w:bCs/>
          <w:color w:val="auto"/>
          <w:sz w:val="28"/>
          <w:szCs w:val="24"/>
          <w:lang w:val="en-US" w:eastAsia="zh-CN"/>
        </w:rPr>
        <w:t>一</w:t>
      </w:r>
      <w:r>
        <w:rPr>
          <w:rFonts w:hint="eastAsia"/>
          <w:bCs/>
          <w:color w:val="auto"/>
          <w:sz w:val="28"/>
          <w:szCs w:val="24"/>
        </w:rPr>
        <w:t>）</w:t>
      </w:r>
      <w:r>
        <w:rPr>
          <w:rFonts w:hint="eastAsia"/>
          <w:bCs/>
          <w:color w:val="auto"/>
          <w:sz w:val="28"/>
          <w:szCs w:val="24"/>
          <w:lang w:val="en-US" w:eastAsia="zh-CN"/>
        </w:rPr>
        <w:t>露天采场</w:t>
      </w:r>
    </w:p>
    <w:p w14:paraId="2DF873E8">
      <w:pPr>
        <w:widowControl/>
        <w:spacing w:line="360" w:lineRule="auto"/>
        <w:ind w:firstLine="560" w:firstLineChars="200"/>
        <w:rPr>
          <w:color w:val="auto"/>
          <w:sz w:val="28"/>
          <w:szCs w:val="28"/>
        </w:rPr>
      </w:pPr>
      <w:r>
        <w:rPr>
          <w:color w:val="auto"/>
          <w:kern w:val="0"/>
          <w:sz w:val="28"/>
          <w:szCs w:val="28"/>
        </w:rPr>
        <w:t>1、地貌重塑工程</w:t>
      </w:r>
    </w:p>
    <w:p w14:paraId="19938F3B">
      <w:pPr>
        <w:widowControl/>
        <w:spacing w:line="360" w:lineRule="auto"/>
        <w:ind w:firstLine="560" w:firstLineChars="200"/>
        <w:rPr>
          <w:rFonts w:hint="eastAsia"/>
          <w:color w:val="auto"/>
          <w:kern w:val="0"/>
          <w:sz w:val="28"/>
          <w:szCs w:val="28"/>
          <w:lang w:val="en-US" w:eastAsia="zh-CN"/>
        </w:rPr>
      </w:pPr>
      <w:r>
        <w:rPr>
          <w:rFonts w:hint="eastAsia"/>
          <w:color w:val="auto"/>
          <w:kern w:val="0"/>
          <w:sz w:val="28"/>
          <w:szCs w:val="28"/>
          <w:lang w:val="en-US" w:eastAsia="zh-CN"/>
        </w:rPr>
        <w:t>（1）削坡整形</w:t>
      </w:r>
    </w:p>
    <w:p w14:paraId="214D1750">
      <w:pPr>
        <w:widowControl/>
        <w:spacing w:line="360" w:lineRule="auto"/>
        <w:ind w:firstLine="560" w:firstLineChars="200"/>
        <w:rPr>
          <w:rFonts w:hint="eastAsia"/>
          <w:color w:val="auto"/>
          <w:kern w:val="0"/>
          <w:sz w:val="28"/>
          <w:szCs w:val="28"/>
          <w:lang w:val="en-US" w:eastAsia="zh-CN"/>
        </w:rPr>
      </w:pPr>
      <w:r>
        <w:rPr>
          <w:rFonts w:hint="eastAsia"/>
          <w:color w:val="auto"/>
          <w:kern w:val="0"/>
          <w:sz w:val="28"/>
          <w:szCs w:val="28"/>
          <w:lang w:val="en-US" w:eastAsia="zh-CN"/>
        </w:rPr>
        <w:t>对露天采场上部边坡形成的尖角状地貌进行削坡，</w:t>
      </w:r>
      <w:r>
        <w:rPr>
          <w:rFonts w:hint="eastAsia"/>
          <w:color w:val="auto"/>
          <w:sz w:val="28"/>
          <w:szCs w:val="28"/>
          <w:lang w:val="en-US" w:eastAsia="zh-CN"/>
        </w:rPr>
        <w:t>其中削坡产生的方量就地堆放压脚放缓坡度，不外运，</w:t>
      </w:r>
      <w:r>
        <w:rPr>
          <w:rFonts w:hint="eastAsia"/>
          <w:color w:val="auto"/>
          <w:kern w:val="0"/>
          <w:sz w:val="28"/>
          <w:szCs w:val="28"/>
          <w:lang w:val="en-US" w:eastAsia="zh-CN"/>
        </w:rPr>
        <w:t>使边坡规整圆滑美观，消除尖角状地貌。</w:t>
      </w:r>
    </w:p>
    <w:p w14:paraId="524CAE84">
      <w:pPr>
        <w:snapToGrid w:val="0"/>
        <w:spacing w:line="360" w:lineRule="auto"/>
        <w:ind w:firstLine="560" w:firstLineChars="200"/>
        <w:rPr>
          <w:color w:val="auto"/>
          <w:sz w:val="24"/>
          <w:szCs w:val="24"/>
        </w:rPr>
      </w:pPr>
      <w:r>
        <w:rPr>
          <w:rFonts w:hint="eastAsia"/>
          <w:color w:val="auto"/>
          <w:sz w:val="28"/>
          <w:szCs w:val="28"/>
          <w:lang w:val="en-US" w:eastAsia="zh-CN"/>
        </w:rPr>
        <w:t>削坡</w:t>
      </w:r>
      <w:r>
        <w:rPr>
          <w:rFonts w:hint="eastAsia"/>
          <w:color w:val="auto"/>
          <w:sz w:val="28"/>
          <w:szCs w:val="28"/>
        </w:rPr>
        <w:t>边坡长约</w:t>
      </w:r>
      <w:r>
        <w:rPr>
          <w:rFonts w:hint="eastAsia"/>
          <w:color w:val="auto"/>
          <w:sz w:val="28"/>
          <w:szCs w:val="28"/>
          <w:lang w:val="en-US" w:eastAsia="zh-CN"/>
        </w:rPr>
        <w:t>300</w:t>
      </w:r>
      <w:r>
        <w:rPr>
          <w:rFonts w:hint="eastAsia"/>
          <w:color w:val="auto"/>
          <w:sz w:val="28"/>
          <w:szCs w:val="28"/>
        </w:rPr>
        <w:t>m，</w:t>
      </w:r>
      <w:r>
        <w:rPr>
          <w:rFonts w:hint="eastAsia"/>
          <w:color w:val="auto"/>
          <w:sz w:val="28"/>
          <w:szCs w:val="28"/>
          <w:lang w:val="en-US" w:eastAsia="zh-CN"/>
        </w:rPr>
        <w:t>平均</w:t>
      </w:r>
      <w:r>
        <w:rPr>
          <w:rFonts w:hint="eastAsia"/>
          <w:color w:val="auto"/>
          <w:sz w:val="28"/>
          <w:szCs w:val="28"/>
        </w:rPr>
        <w:t>高度为</w:t>
      </w:r>
      <w:r>
        <w:rPr>
          <w:rFonts w:hint="eastAsia"/>
          <w:color w:val="auto"/>
          <w:sz w:val="28"/>
          <w:szCs w:val="28"/>
          <w:lang w:val="en-US" w:eastAsia="zh-CN"/>
        </w:rPr>
        <w:t>2</w:t>
      </w:r>
      <w:r>
        <w:rPr>
          <w:rFonts w:hint="eastAsia"/>
          <w:color w:val="auto"/>
          <w:sz w:val="28"/>
          <w:szCs w:val="28"/>
        </w:rPr>
        <w:t>m，坡角约为</w:t>
      </w:r>
      <w:r>
        <w:rPr>
          <w:rFonts w:hint="eastAsia"/>
          <w:color w:val="auto"/>
          <w:sz w:val="28"/>
          <w:szCs w:val="28"/>
          <w:lang w:val="en-US" w:eastAsia="zh-CN"/>
        </w:rPr>
        <w:t>8</w:t>
      </w:r>
      <w:r>
        <w:rPr>
          <w:rFonts w:hint="eastAsia"/>
          <w:color w:val="auto"/>
          <w:sz w:val="28"/>
          <w:szCs w:val="28"/>
        </w:rPr>
        <w:t>0°</w:t>
      </w:r>
      <w:r>
        <w:rPr>
          <w:color w:val="auto"/>
          <w:sz w:val="24"/>
        </w:rPr>
        <w:t>。</w:t>
      </w:r>
    </w:p>
    <w:p w14:paraId="7C73C7B4">
      <w:pPr>
        <w:widowControl/>
        <w:spacing w:line="360" w:lineRule="auto"/>
        <w:ind w:firstLine="560" w:firstLineChars="200"/>
        <w:rPr>
          <w:rFonts w:hint="default"/>
          <w:color w:val="auto"/>
          <w:kern w:val="0"/>
          <w:sz w:val="28"/>
          <w:szCs w:val="28"/>
          <w:lang w:val="en-US" w:eastAsia="zh-CN"/>
        </w:rPr>
      </w:pPr>
      <w:r>
        <w:rPr>
          <w:rFonts w:hint="eastAsia"/>
          <w:color w:val="auto"/>
          <w:sz w:val="28"/>
          <w:szCs w:val="28"/>
        </w:rPr>
        <w:t>对边坡进行</w:t>
      </w:r>
      <w:r>
        <w:rPr>
          <w:rFonts w:hint="eastAsia"/>
          <w:color w:val="auto"/>
          <w:sz w:val="28"/>
          <w:szCs w:val="28"/>
          <w:lang w:val="en-US" w:eastAsia="zh-CN"/>
        </w:rPr>
        <w:t>削</w:t>
      </w:r>
      <w:r>
        <w:rPr>
          <w:rFonts w:hint="eastAsia"/>
          <w:color w:val="auto"/>
          <w:sz w:val="28"/>
          <w:szCs w:val="28"/>
        </w:rPr>
        <w:t>坡，</w:t>
      </w:r>
      <w:r>
        <w:rPr>
          <w:rFonts w:hint="eastAsia"/>
          <w:color w:val="auto"/>
          <w:sz w:val="28"/>
          <w:szCs w:val="28"/>
          <w:lang w:val="en-US" w:eastAsia="zh-CN"/>
        </w:rPr>
        <w:t>削</w:t>
      </w:r>
      <w:r>
        <w:rPr>
          <w:rFonts w:hint="eastAsia"/>
          <w:color w:val="auto"/>
          <w:sz w:val="28"/>
          <w:szCs w:val="28"/>
        </w:rPr>
        <w:t>坡后坡角</w:t>
      </w:r>
      <w:r>
        <w:rPr>
          <w:rFonts w:hint="eastAsia"/>
          <w:color w:val="auto"/>
          <w:sz w:val="28"/>
          <w:szCs w:val="28"/>
          <w:lang w:val="en-US" w:eastAsia="zh-CN"/>
        </w:rPr>
        <w:t>45</w:t>
      </w:r>
      <w:r>
        <w:rPr>
          <w:rFonts w:hint="eastAsia"/>
          <w:color w:val="auto"/>
          <w:sz w:val="28"/>
          <w:szCs w:val="28"/>
        </w:rPr>
        <w:t>°，通过公式</w:t>
      </w:r>
      <w:r>
        <w:rPr>
          <w:rFonts w:hint="eastAsia"/>
          <w:color w:val="auto"/>
          <w:sz w:val="28"/>
          <w:szCs w:val="28"/>
          <w:lang w:val="en-US" w:eastAsia="zh-CN"/>
        </w:rPr>
        <w:t>X</w:t>
      </w:r>
      <w:r>
        <w:rPr>
          <w:rFonts w:hint="eastAsia"/>
          <w:color w:val="auto"/>
          <w:sz w:val="28"/>
          <w:szCs w:val="28"/>
        </w:rPr>
        <w:t>=L×V计算，式中：</w:t>
      </w:r>
      <w:r>
        <w:rPr>
          <w:rFonts w:hint="eastAsia"/>
          <w:color w:val="auto"/>
          <w:sz w:val="28"/>
          <w:szCs w:val="28"/>
          <w:lang w:val="en-US" w:eastAsia="zh-CN"/>
        </w:rPr>
        <w:t>X</w:t>
      </w:r>
      <w:r>
        <w:rPr>
          <w:rFonts w:hint="eastAsia"/>
          <w:color w:val="auto"/>
          <w:sz w:val="28"/>
          <w:szCs w:val="28"/>
        </w:rPr>
        <w:t>为</w:t>
      </w:r>
      <w:r>
        <w:rPr>
          <w:rFonts w:hint="eastAsia"/>
          <w:color w:val="auto"/>
          <w:sz w:val="28"/>
          <w:szCs w:val="28"/>
          <w:lang w:val="en-US" w:eastAsia="zh-CN"/>
        </w:rPr>
        <w:t>削</w:t>
      </w:r>
      <w:r>
        <w:rPr>
          <w:rFonts w:hint="eastAsia"/>
          <w:color w:val="auto"/>
          <w:sz w:val="28"/>
          <w:szCs w:val="28"/>
        </w:rPr>
        <w:t>坡方量（m</w:t>
      </w:r>
      <w:r>
        <w:rPr>
          <w:rFonts w:hint="eastAsia"/>
          <w:color w:val="auto"/>
          <w:sz w:val="28"/>
          <w:szCs w:val="28"/>
          <w:vertAlign w:val="superscript"/>
        </w:rPr>
        <w:t>3</w:t>
      </w:r>
      <w:r>
        <w:rPr>
          <w:rFonts w:hint="eastAsia"/>
          <w:color w:val="auto"/>
          <w:sz w:val="28"/>
          <w:szCs w:val="28"/>
        </w:rPr>
        <w:t>）；L为边坡长度（m）；V为单位</w:t>
      </w:r>
      <w:r>
        <w:rPr>
          <w:rFonts w:hint="eastAsia"/>
          <w:color w:val="auto"/>
          <w:sz w:val="28"/>
          <w:szCs w:val="28"/>
          <w:lang w:val="en-US" w:eastAsia="zh-CN"/>
        </w:rPr>
        <w:t>削</w:t>
      </w:r>
      <w:r>
        <w:rPr>
          <w:rFonts w:hint="eastAsia"/>
          <w:color w:val="auto"/>
          <w:sz w:val="28"/>
          <w:szCs w:val="28"/>
        </w:rPr>
        <w:t>坡方量。其中V=1/2H(H/</w:t>
      </w:r>
      <w:r>
        <w:rPr>
          <w:rFonts w:hint="eastAsia"/>
          <w:color w:val="auto"/>
          <w:sz w:val="28"/>
          <w:szCs w:val="28"/>
        </w:rPr>
        <w:fldChar w:fldCharType="begin"/>
      </w:r>
      <w:r>
        <w:rPr>
          <w:rFonts w:hint="eastAsia"/>
          <w:color w:val="auto"/>
          <w:sz w:val="28"/>
          <w:szCs w:val="28"/>
        </w:rPr>
        <w:instrText xml:space="preserve">HYPERLINK "https://baike.baidu.com/item/tan/14821216" \t "_blank"</w:instrText>
      </w:r>
      <w:r>
        <w:rPr>
          <w:rFonts w:hint="eastAsia"/>
          <w:color w:val="auto"/>
          <w:sz w:val="28"/>
          <w:szCs w:val="28"/>
        </w:rPr>
        <w:fldChar w:fldCharType="separate"/>
      </w:r>
      <w:r>
        <w:rPr>
          <w:rFonts w:hint="eastAsia"/>
          <w:color w:val="auto"/>
          <w:sz w:val="28"/>
          <w:szCs w:val="28"/>
        </w:rPr>
        <w:t>tan</w:t>
      </w:r>
      <w:r>
        <w:rPr>
          <w:rFonts w:hint="eastAsia"/>
          <w:color w:val="auto"/>
          <w:sz w:val="28"/>
          <w:szCs w:val="28"/>
        </w:rPr>
        <w:fldChar w:fldCharType="end"/>
      </w:r>
      <w:r>
        <w:rPr>
          <w:rFonts w:hint="eastAsia"/>
          <w:color w:val="auto"/>
          <w:sz w:val="28"/>
          <w:szCs w:val="28"/>
        </w:rPr>
        <w:t>α-H/</w:t>
      </w:r>
      <w:r>
        <w:rPr>
          <w:rFonts w:hint="eastAsia"/>
          <w:color w:val="auto"/>
          <w:sz w:val="28"/>
          <w:szCs w:val="28"/>
        </w:rPr>
        <w:fldChar w:fldCharType="begin"/>
      </w:r>
      <w:r>
        <w:rPr>
          <w:rFonts w:hint="eastAsia"/>
          <w:color w:val="auto"/>
          <w:sz w:val="28"/>
          <w:szCs w:val="28"/>
        </w:rPr>
        <w:instrText xml:space="preserve">HYPERLINK "https://baike.baidu.com/item/tan/14821216" \t "_blank"</w:instrText>
      </w:r>
      <w:r>
        <w:rPr>
          <w:rFonts w:hint="eastAsia"/>
          <w:color w:val="auto"/>
          <w:sz w:val="28"/>
          <w:szCs w:val="28"/>
        </w:rPr>
        <w:fldChar w:fldCharType="separate"/>
      </w:r>
      <w:r>
        <w:rPr>
          <w:rFonts w:hint="eastAsia"/>
          <w:color w:val="auto"/>
          <w:sz w:val="28"/>
          <w:szCs w:val="28"/>
        </w:rPr>
        <w:t>tan</w:t>
      </w:r>
      <w:r>
        <w:rPr>
          <w:rFonts w:hint="eastAsia"/>
          <w:color w:val="auto"/>
          <w:sz w:val="28"/>
          <w:szCs w:val="28"/>
        </w:rPr>
        <w:fldChar w:fldCharType="end"/>
      </w:r>
      <w:r>
        <w:rPr>
          <w:rFonts w:hint="eastAsia"/>
          <w:color w:val="auto"/>
          <w:sz w:val="28"/>
          <w:szCs w:val="28"/>
        </w:rPr>
        <w:t>β)，式中H为边坡高度，α为</w:t>
      </w:r>
      <w:r>
        <w:rPr>
          <w:rFonts w:hint="eastAsia"/>
          <w:color w:val="auto"/>
          <w:sz w:val="28"/>
          <w:szCs w:val="28"/>
          <w:lang w:val="en-US" w:eastAsia="zh-CN"/>
        </w:rPr>
        <w:t>削</w:t>
      </w:r>
      <w:r>
        <w:rPr>
          <w:rFonts w:hint="eastAsia"/>
          <w:color w:val="auto"/>
          <w:sz w:val="28"/>
          <w:szCs w:val="28"/>
        </w:rPr>
        <w:t>坡坡角，β为原边坡角。经计算</w:t>
      </w:r>
      <w:r>
        <w:rPr>
          <w:rFonts w:hint="eastAsia"/>
          <w:color w:val="auto"/>
          <w:sz w:val="28"/>
          <w:szCs w:val="28"/>
          <w:lang w:val="en-US" w:eastAsia="zh-CN"/>
        </w:rPr>
        <w:t>露天采场边坡削</w:t>
      </w:r>
      <w:r>
        <w:rPr>
          <w:rFonts w:hint="eastAsia"/>
          <w:color w:val="auto"/>
          <w:sz w:val="28"/>
          <w:szCs w:val="28"/>
        </w:rPr>
        <w:t>坡方量</w:t>
      </w:r>
      <w:r>
        <w:rPr>
          <w:rFonts w:hint="eastAsia"/>
          <w:color w:val="auto"/>
          <w:sz w:val="28"/>
          <w:szCs w:val="28"/>
          <w:lang w:val="en-US" w:eastAsia="zh-CN"/>
        </w:rPr>
        <w:t>538</w:t>
      </w:r>
      <w:r>
        <w:rPr>
          <w:rFonts w:hint="eastAsia"/>
          <w:color w:val="auto"/>
          <w:sz w:val="28"/>
          <w:szCs w:val="28"/>
        </w:rPr>
        <w:t>m</w:t>
      </w:r>
      <w:r>
        <w:rPr>
          <w:rFonts w:hint="eastAsia"/>
          <w:color w:val="auto"/>
          <w:sz w:val="28"/>
          <w:szCs w:val="28"/>
          <w:vertAlign w:val="superscript"/>
        </w:rPr>
        <w:t>3</w:t>
      </w:r>
      <w:r>
        <w:rPr>
          <w:rFonts w:hint="eastAsia"/>
          <w:color w:val="auto"/>
          <w:sz w:val="28"/>
          <w:szCs w:val="28"/>
        </w:rPr>
        <w:t>。</w:t>
      </w:r>
    </w:p>
    <w:p w14:paraId="5833BDEA">
      <w:pPr>
        <w:widowControl/>
        <w:numPr>
          <w:ilvl w:val="0"/>
          <w:numId w:val="4"/>
        </w:numPr>
        <w:spacing w:line="360" w:lineRule="auto"/>
        <w:ind w:firstLine="560" w:firstLineChars="200"/>
        <w:rPr>
          <w:rFonts w:hint="eastAsia"/>
          <w:color w:val="auto"/>
          <w:kern w:val="0"/>
          <w:sz w:val="28"/>
          <w:szCs w:val="28"/>
          <w:lang w:val="en-US" w:eastAsia="zh-CN"/>
        </w:rPr>
      </w:pPr>
      <w:r>
        <w:rPr>
          <w:rFonts w:hint="eastAsia"/>
          <w:color w:val="auto"/>
          <w:kern w:val="0"/>
          <w:sz w:val="28"/>
          <w:szCs w:val="28"/>
          <w:lang w:val="en-US" w:eastAsia="zh-CN"/>
        </w:rPr>
        <w:t>垫坡</w:t>
      </w:r>
    </w:p>
    <w:p w14:paraId="0799FFB3">
      <w:pPr>
        <w:snapToGrid w:val="0"/>
        <w:spacing w:line="360" w:lineRule="auto"/>
        <w:ind w:firstLine="560" w:firstLineChars="200"/>
        <w:rPr>
          <w:color w:val="auto"/>
          <w:sz w:val="24"/>
          <w:szCs w:val="24"/>
        </w:rPr>
      </w:pPr>
      <w:r>
        <w:rPr>
          <w:rFonts w:hint="eastAsia"/>
          <w:color w:val="auto"/>
          <w:sz w:val="28"/>
          <w:szCs w:val="28"/>
          <w:lang w:val="en-US" w:eastAsia="zh-CN"/>
        </w:rPr>
        <w:t>露天采场需垫坡</w:t>
      </w:r>
      <w:r>
        <w:rPr>
          <w:rFonts w:hint="eastAsia"/>
          <w:color w:val="auto"/>
          <w:sz w:val="28"/>
          <w:szCs w:val="28"/>
        </w:rPr>
        <w:t>坡长约</w:t>
      </w:r>
      <w:r>
        <w:rPr>
          <w:rFonts w:hint="eastAsia"/>
          <w:color w:val="auto"/>
          <w:sz w:val="28"/>
          <w:szCs w:val="28"/>
          <w:lang w:val="en-US" w:eastAsia="zh-CN"/>
        </w:rPr>
        <w:t>320</w:t>
      </w:r>
      <w:r>
        <w:rPr>
          <w:rFonts w:hint="eastAsia"/>
          <w:color w:val="auto"/>
          <w:sz w:val="28"/>
          <w:szCs w:val="28"/>
        </w:rPr>
        <w:t>m，</w:t>
      </w:r>
      <w:r>
        <w:rPr>
          <w:rFonts w:hint="eastAsia"/>
          <w:color w:val="auto"/>
          <w:sz w:val="28"/>
          <w:szCs w:val="28"/>
          <w:lang w:val="en-US" w:eastAsia="zh-CN"/>
        </w:rPr>
        <w:t>平均</w:t>
      </w:r>
      <w:r>
        <w:rPr>
          <w:rFonts w:hint="eastAsia"/>
          <w:color w:val="auto"/>
          <w:sz w:val="28"/>
          <w:szCs w:val="28"/>
        </w:rPr>
        <w:t>高度为</w:t>
      </w:r>
      <w:r>
        <w:rPr>
          <w:rFonts w:hint="eastAsia"/>
          <w:color w:val="auto"/>
          <w:sz w:val="28"/>
          <w:szCs w:val="28"/>
          <w:lang w:val="en-US" w:eastAsia="zh-CN"/>
        </w:rPr>
        <w:t>30</w:t>
      </w:r>
      <w:r>
        <w:rPr>
          <w:rFonts w:hint="eastAsia"/>
          <w:color w:val="auto"/>
          <w:sz w:val="28"/>
          <w:szCs w:val="28"/>
        </w:rPr>
        <w:t>m，坡角约为</w:t>
      </w:r>
      <w:r>
        <w:rPr>
          <w:rFonts w:hint="eastAsia"/>
          <w:color w:val="auto"/>
          <w:sz w:val="28"/>
          <w:szCs w:val="28"/>
          <w:lang w:val="en-US" w:eastAsia="zh-CN"/>
        </w:rPr>
        <w:t>6</w:t>
      </w:r>
      <w:r>
        <w:rPr>
          <w:rFonts w:hint="eastAsia"/>
          <w:color w:val="auto"/>
          <w:sz w:val="28"/>
          <w:szCs w:val="28"/>
        </w:rPr>
        <w:t>0°</w:t>
      </w:r>
      <w:r>
        <w:rPr>
          <w:color w:val="auto"/>
          <w:sz w:val="24"/>
        </w:rPr>
        <w:t>。</w:t>
      </w:r>
    </w:p>
    <w:p w14:paraId="5625F8CD">
      <w:pPr>
        <w:widowControl/>
        <w:numPr>
          <w:ilvl w:val="0"/>
          <w:numId w:val="0"/>
        </w:numPr>
        <w:spacing w:line="360" w:lineRule="auto"/>
        <w:rPr>
          <w:rFonts w:hint="eastAsia"/>
          <w:color w:val="auto"/>
          <w:kern w:val="0"/>
          <w:sz w:val="28"/>
          <w:szCs w:val="28"/>
          <w:lang w:val="en-US" w:eastAsia="zh-CN"/>
        </w:rPr>
      </w:pPr>
      <w:r>
        <w:rPr>
          <w:rFonts w:hint="eastAsia"/>
          <w:color w:val="auto"/>
          <w:sz w:val="28"/>
          <w:szCs w:val="28"/>
        </w:rPr>
        <w:t>对边坡进行</w:t>
      </w:r>
      <w:r>
        <w:rPr>
          <w:rFonts w:hint="eastAsia"/>
          <w:color w:val="auto"/>
          <w:sz w:val="28"/>
          <w:szCs w:val="28"/>
          <w:lang w:val="en-US" w:eastAsia="zh-CN"/>
        </w:rPr>
        <w:t>分台阶垫</w:t>
      </w:r>
      <w:r>
        <w:rPr>
          <w:rFonts w:hint="eastAsia"/>
          <w:color w:val="auto"/>
          <w:sz w:val="28"/>
          <w:szCs w:val="28"/>
        </w:rPr>
        <w:t>坡，</w:t>
      </w:r>
      <w:r>
        <w:rPr>
          <w:rFonts w:hint="eastAsia"/>
          <w:color w:val="auto"/>
          <w:sz w:val="28"/>
          <w:szCs w:val="28"/>
          <w:lang w:val="en-US" w:eastAsia="zh-CN"/>
        </w:rPr>
        <w:t>形成2个台阶，台阶高10m，宽4m，垫</w:t>
      </w:r>
      <w:r>
        <w:rPr>
          <w:rFonts w:hint="eastAsia"/>
          <w:color w:val="auto"/>
          <w:sz w:val="28"/>
          <w:szCs w:val="28"/>
        </w:rPr>
        <w:t>坡后坡角</w:t>
      </w:r>
      <w:r>
        <w:rPr>
          <w:rFonts w:hint="eastAsia"/>
          <w:color w:val="auto"/>
          <w:sz w:val="28"/>
          <w:szCs w:val="28"/>
          <w:lang w:val="en-US" w:eastAsia="zh-CN"/>
        </w:rPr>
        <w:t>30</w:t>
      </w:r>
      <w:r>
        <w:rPr>
          <w:rFonts w:hint="eastAsia"/>
          <w:color w:val="auto"/>
          <w:sz w:val="28"/>
          <w:szCs w:val="28"/>
        </w:rPr>
        <w:t>°</w:t>
      </w:r>
      <w:r>
        <w:rPr>
          <w:rFonts w:hint="eastAsia"/>
          <w:color w:val="auto"/>
          <w:sz w:val="28"/>
          <w:szCs w:val="28"/>
          <w:lang w:eastAsia="zh-CN"/>
        </w:rPr>
        <w:t>。</w:t>
      </w:r>
      <w:r>
        <w:rPr>
          <w:rFonts w:hint="eastAsia"/>
          <w:color w:val="auto"/>
          <w:sz w:val="28"/>
          <w:szCs w:val="28"/>
        </w:rPr>
        <w:t>通过公式</w:t>
      </w:r>
      <w:r>
        <w:rPr>
          <w:rFonts w:hint="eastAsia"/>
          <w:color w:val="auto"/>
          <w:sz w:val="28"/>
          <w:szCs w:val="28"/>
          <w:lang w:val="en-US" w:eastAsia="zh-CN"/>
        </w:rPr>
        <w:t>D</w:t>
      </w:r>
      <w:r>
        <w:rPr>
          <w:rFonts w:hint="eastAsia"/>
          <w:color w:val="auto"/>
          <w:sz w:val="28"/>
          <w:szCs w:val="28"/>
        </w:rPr>
        <w:t>=L×V计算，式中：</w:t>
      </w:r>
      <w:r>
        <w:rPr>
          <w:rFonts w:hint="eastAsia"/>
          <w:color w:val="auto"/>
          <w:sz w:val="28"/>
          <w:szCs w:val="28"/>
          <w:lang w:val="en-US" w:eastAsia="zh-CN"/>
        </w:rPr>
        <w:t>D</w:t>
      </w:r>
      <w:r>
        <w:rPr>
          <w:rFonts w:hint="eastAsia"/>
          <w:color w:val="auto"/>
          <w:sz w:val="28"/>
          <w:szCs w:val="28"/>
        </w:rPr>
        <w:t>为</w:t>
      </w:r>
      <w:r>
        <w:rPr>
          <w:rFonts w:hint="eastAsia"/>
          <w:color w:val="auto"/>
          <w:sz w:val="28"/>
          <w:szCs w:val="28"/>
          <w:lang w:val="en-US" w:eastAsia="zh-CN"/>
        </w:rPr>
        <w:t>垫</w:t>
      </w:r>
      <w:r>
        <w:rPr>
          <w:rFonts w:hint="eastAsia"/>
          <w:color w:val="auto"/>
          <w:sz w:val="28"/>
          <w:szCs w:val="28"/>
        </w:rPr>
        <w:t>坡方量（m</w:t>
      </w:r>
      <w:r>
        <w:rPr>
          <w:rFonts w:hint="eastAsia"/>
          <w:color w:val="auto"/>
          <w:sz w:val="28"/>
          <w:szCs w:val="28"/>
          <w:vertAlign w:val="superscript"/>
        </w:rPr>
        <w:t>3</w:t>
      </w:r>
      <w:r>
        <w:rPr>
          <w:rFonts w:hint="eastAsia"/>
          <w:color w:val="auto"/>
          <w:sz w:val="28"/>
          <w:szCs w:val="28"/>
        </w:rPr>
        <w:t>）；L为边坡长度（m）；V为单位</w:t>
      </w:r>
      <w:r>
        <w:rPr>
          <w:rFonts w:hint="eastAsia"/>
          <w:color w:val="auto"/>
          <w:sz w:val="28"/>
          <w:szCs w:val="28"/>
          <w:lang w:val="en-US" w:eastAsia="zh-CN"/>
        </w:rPr>
        <w:t>垫</w:t>
      </w:r>
      <w:r>
        <w:rPr>
          <w:rFonts w:hint="eastAsia"/>
          <w:color w:val="auto"/>
          <w:sz w:val="28"/>
          <w:szCs w:val="28"/>
        </w:rPr>
        <w:t>坡方量。其中V=1/2H(H/</w:t>
      </w:r>
      <w:r>
        <w:rPr>
          <w:rFonts w:hint="eastAsia"/>
          <w:color w:val="auto"/>
          <w:sz w:val="28"/>
          <w:szCs w:val="28"/>
        </w:rPr>
        <w:fldChar w:fldCharType="begin"/>
      </w:r>
      <w:r>
        <w:rPr>
          <w:rFonts w:hint="eastAsia"/>
          <w:color w:val="auto"/>
          <w:sz w:val="28"/>
          <w:szCs w:val="28"/>
        </w:rPr>
        <w:instrText xml:space="preserve">HYPERLINK "https://baike.baidu.com/item/tan/14821216" \t "_blank"</w:instrText>
      </w:r>
      <w:r>
        <w:rPr>
          <w:rFonts w:hint="eastAsia"/>
          <w:color w:val="auto"/>
          <w:sz w:val="28"/>
          <w:szCs w:val="28"/>
        </w:rPr>
        <w:fldChar w:fldCharType="separate"/>
      </w:r>
      <w:r>
        <w:rPr>
          <w:rFonts w:hint="eastAsia"/>
          <w:color w:val="auto"/>
          <w:sz w:val="28"/>
          <w:szCs w:val="28"/>
        </w:rPr>
        <w:t>tan</w:t>
      </w:r>
      <w:r>
        <w:rPr>
          <w:rFonts w:hint="eastAsia"/>
          <w:color w:val="auto"/>
          <w:sz w:val="28"/>
          <w:szCs w:val="28"/>
        </w:rPr>
        <w:fldChar w:fldCharType="end"/>
      </w:r>
      <w:r>
        <w:rPr>
          <w:rFonts w:hint="eastAsia"/>
          <w:color w:val="auto"/>
          <w:sz w:val="28"/>
          <w:szCs w:val="28"/>
        </w:rPr>
        <w:t>α-H/</w:t>
      </w:r>
      <w:r>
        <w:rPr>
          <w:rFonts w:hint="eastAsia"/>
          <w:color w:val="auto"/>
          <w:sz w:val="28"/>
          <w:szCs w:val="28"/>
        </w:rPr>
        <w:fldChar w:fldCharType="begin"/>
      </w:r>
      <w:r>
        <w:rPr>
          <w:rFonts w:hint="eastAsia"/>
          <w:color w:val="auto"/>
          <w:sz w:val="28"/>
          <w:szCs w:val="28"/>
        </w:rPr>
        <w:instrText xml:space="preserve">HYPERLINK "https://baike.baidu.com/item/tan/14821216" \t "_blank"</w:instrText>
      </w:r>
      <w:r>
        <w:rPr>
          <w:rFonts w:hint="eastAsia"/>
          <w:color w:val="auto"/>
          <w:sz w:val="28"/>
          <w:szCs w:val="28"/>
        </w:rPr>
        <w:fldChar w:fldCharType="separate"/>
      </w:r>
      <w:r>
        <w:rPr>
          <w:rFonts w:hint="eastAsia"/>
          <w:color w:val="auto"/>
          <w:sz w:val="28"/>
          <w:szCs w:val="28"/>
        </w:rPr>
        <w:t>tan</w:t>
      </w:r>
      <w:r>
        <w:rPr>
          <w:rFonts w:hint="eastAsia"/>
          <w:color w:val="auto"/>
          <w:sz w:val="28"/>
          <w:szCs w:val="28"/>
        </w:rPr>
        <w:fldChar w:fldCharType="end"/>
      </w:r>
      <w:r>
        <w:rPr>
          <w:rFonts w:hint="eastAsia"/>
          <w:color w:val="auto"/>
          <w:sz w:val="28"/>
          <w:szCs w:val="28"/>
        </w:rPr>
        <w:t>β)，式中H为边坡高度，α为</w:t>
      </w:r>
      <w:r>
        <w:rPr>
          <w:rFonts w:hint="eastAsia"/>
          <w:color w:val="auto"/>
          <w:sz w:val="28"/>
          <w:szCs w:val="28"/>
          <w:lang w:val="en-US" w:eastAsia="zh-CN"/>
        </w:rPr>
        <w:t>垫</w:t>
      </w:r>
      <w:r>
        <w:rPr>
          <w:rFonts w:hint="eastAsia"/>
          <w:color w:val="auto"/>
          <w:sz w:val="28"/>
          <w:szCs w:val="28"/>
        </w:rPr>
        <w:t>坡坡角，β为原边坡角。经计算</w:t>
      </w:r>
      <w:r>
        <w:rPr>
          <w:rFonts w:hint="eastAsia"/>
          <w:color w:val="auto"/>
          <w:sz w:val="28"/>
          <w:szCs w:val="28"/>
          <w:lang w:val="en-US" w:eastAsia="zh-CN"/>
        </w:rPr>
        <w:t>露天采场边坡垫</w:t>
      </w:r>
      <w:r>
        <w:rPr>
          <w:rFonts w:hint="eastAsia"/>
          <w:color w:val="auto"/>
          <w:sz w:val="28"/>
          <w:szCs w:val="28"/>
        </w:rPr>
        <w:t>坡方量</w:t>
      </w:r>
      <w:r>
        <w:rPr>
          <w:rFonts w:hint="eastAsia"/>
          <w:color w:val="auto"/>
          <w:sz w:val="28"/>
          <w:szCs w:val="28"/>
          <w:lang w:val="en-US" w:eastAsia="zh-CN"/>
        </w:rPr>
        <w:t>26701</w:t>
      </w:r>
      <w:r>
        <w:rPr>
          <w:rFonts w:hint="eastAsia"/>
          <w:color w:val="auto"/>
          <w:sz w:val="28"/>
          <w:szCs w:val="28"/>
        </w:rPr>
        <w:t>m</w:t>
      </w:r>
      <w:r>
        <w:rPr>
          <w:rFonts w:hint="eastAsia"/>
          <w:color w:val="auto"/>
          <w:sz w:val="28"/>
          <w:szCs w:val="28"/>
          <w:vertAlign w:val="superscript"/>
        </w:rPr>
        <w:t>3</w:t>
      </w:r>
      <w:r>
        <w:rPr>
          <w:rFonts w:hint="eastAsia"/>
          <w:color w:val="auto"/>
          <w:sz w:val="28"/>
          <w:szCs w:val="28"/>
        </w:rPr>
        <w:t>。</w:t>
      </w:r>
    </w:p>
    <w:p w14:paraId="77C2A193">
      <w:pPr>
        <w:widowControl/>
        <w:spacing w:line="360" w:lineRule="auto"/>
        <w:ind w:firstLine="560" w:firstLineChars="200"/>
        <w:rPr>
          <w:rFonts w:hint="eastAsia"/>
          <w:color w:val="auto"/>
          <w:kern w:val="0"/>
          <w:sz w:val="28"/>
          <w:szCs w:val="28"/>
          <w:lang w:val="en-US" w:eastAsia="zh-CN"/>
        </w:rPr>
      </w:pPr>
      <w:r>
        <w:rPr>
          <w:rFonts w:hint="eastAsia"/>
          <w:color w:val="auto"/>
          <w:kern w:val="0"/>
          <w:sz w:val="28"/>
          <w:szCs w:val="28"/>
          <w:lang w:val="en-US" w:eastAsia="zh-CN"/>
        </w:rPr>
        <w:t>（3）岩体清除</w:t>
      </w:r>
    </w:p>
    <w:p w14:paraId="08E0BAB3">
      <w:pPr>
        <w:spacing w:line="360" w:lineRule="auto"/>
        <w:ind w:firstLine="560" w:firstLineChars="200"/>
        <w:rPr>
          <w:rFonts w:hint="default"/>
          <w:color w:val="auto"/>
          <w:kern w:val="0"/>
          <w:sz w:val="28"/>
          <w:szCs w:val="28"/>
          <w:lang w:val="en-US" w:eastAsia="zh-CN"/>
        </w:rPr>
      </w:pPr>
      <w:r>
        <w:rPr>
          <w:rFonts w:hint="eastAsia"/>
          <w:color w:val="auto"/>
          <w:kern w:val="0"/>
          <w:sz w:val="28"/>
          <w:szCs w:val="28"/>
          <w:lang w:val="en-US" w:eastAsia="zh-CN"/>
        </w:rPr>
        <w:t>露天采场内孤立岩体占地面积3771m</w:t>
      </w:r>
      <w:r>
        <w:rPr>
          <w:rFonts w:hint="eastAsia"/>
          <w:color w:val="auto"/>
          <w:kern w:val="0"/>
          <w:sz w:val="28"/>
          <w:szCs w:val="28"/>
          <w:vertAlign w:val="superscript"/>
          <w:lang w:val="en-US" w:eastAsia="zh-CN"/>
        </w:rPr>
        <w:t>2</w:t>
      </w:r>
      <w:r>
        <w:rPr>
          <w:rFonts w:hint="eastAsia"/>
          <w:color w:val="auto"/>
          <w:kern w:val="0"/>
          <w:sz w:val="28"/>
          <w:szCs w:val="28"/>
          <w:lang w:val="en-US" w:eastAsia="zh-CN"/>
        </w:rPr>
        <w:t>，岩体最高点高程+1027m，岩体清除后与露天采场+1011m标高相平，根据前文三角网法计算岩体清除方量19200m</w:t>
      </w:r>
      <w:r>
        <w:rPr>
          <w:rFonts w:hint="eastAsia"/>
          <w:color w:val="auto"/>
          <w:kern w:val="0"/>
          <w:sz w:val="28"/>
          <w:szCs w:val="28"/>
          <w:vertAlign w:val="superscript"/>
          <w:lang w:val="en-US" w:eastAsia="zh-CN"/>
        </w:rPr>
        <w:t>3</w:t>
      </w:r>
      <w:r>
        <w:rPr>
          <w:rFonts w:hint="eastAsia"/>
          <w:color w:val="auto"/>
          <w:kern w:val="0"/>
          <w:sz w:val="28"/>
          <w:szCs w:val="28"/>
          <w:lang w:val="en-US" w:eastAsia="zh-CN"/>
        </w:rPr>
        <w:t>。孤立岩体清除产生的方量用于采场内采坑回填使用，剩余部分运至露天采场高陡边坡处用于垫坡使用，不外运。</w:t>
      </w:r>
    </w:p>
    <w:p w14:paraId="3F7CCD5E">
      <w:pPr>
        <w:spacing w:line="360" w:lineRule="auto"/>
        <w:ind w:firstLine="560" w:firstLineChars="200"/>
        <w:rPr>
          <w:rFonts w:hint="eastAsia"/>
          <w:color w:val="auto"/>
          <w:kern w:val="0"/>
          <w:sz w:val="28"/>
          <w:szCs w:val="28"/>
          <w:lang w:val="en-US" w:eastAsia="zh-CN"/>
        </w:rPr>
      </w:pPr>
      <w:r>
        <w:rPr>
          <w:rFonts w:hint="eastAsia"/>
          <w:color w:val="auto"/>
          <w:kern w:val="0"/>
          <w:sz w:val="28"/>
          <w:szCs w:val="28"/>
          <w:lang w:val="en-US" w:eastAsia="zh-CN"/>
        </w:rPr>
        <w:t>（4）回填</w:t>
      </w:r>
    </w:p>
    <w:p w14:paraId="38665947">
      <w:pPr>
        <w:spacing w:line="360" w:lineRule="auto"/>
        <w:ind w:firstLine="560" w:firstLineChars="200"/>
        <w:rPr>
          <w:rFonts w:hint="default"/>
          <w:color w:val="auto"/>
          <w:kern w:val="0"/>
          <w:sz w:val="28"/>
          <w:szCs w:val="28"/>
          <w:lang w:val="en-US" w:eastAsia="zh-CN"/>
        </w:rPr>
      </w:pPr>
      <w:r>
        <w:rPr>
          <w:rFonts w:hint="eastAsia"/>
          <w:color w:val="auto"/>
          <w:kern w:val="0"/>
          <w:sz w:val="28"/>
          <w:szCs w:val="28"/>
          <w:lang w:val="en-US" w:eastAsia="zh-CN"/>
        </w:rPr>
        <w:t>采坑占地面积约3771m</w:t>
      </w:r>
      <w:r>
        <w:rPr>
          <w:rFonts w:hint="eastAsia"/>
          <w:color w:val="auto"/>
          <w:kern w:val="0"/>
          <w:sz w:val="28"/>
          <w:szCs w:val="28"/>
          <w:vertAlign w:val="superscript"/>
          <w:lang w:val="en-US" w:eastAsia="zh-CN"/>
        </w:rPr>
        <w:t>2</w:t>
      </w:r>
      <w:r>
        <w:rPr>
          <w:rFonts w:hint="eastAsia"/>
          <w:color w:val="auto"/>
          <w:kern w:val="0"/>
          <w:sz w:val="28"/>
          <w:szCs w:val="28"/>
          <w:vertAlign w:val="baseline"/>
          <w:lang w:val="en-US" w:eastAsia="zh-CN"/>
        </w:rPr>
        <w:t>，平均深度约4m，挖方量约</w:t>
      </w:r>
      <w:r>
        <w:rPr>
          <w:rFonts w:hint="eastAsia"/>
          <w:color w:val="auto"/>
          <w:kern w:val="0"/>
          <w:sz w:val="28"/>
          <w:szCs w:val="28"/>
          <w:lang w:val="en-US" w:eastAsia="zh-CN"/>
        </w:rPr>
        <w:t>15084m</w:t>
      </w:r>
      <w:r>
        <w:rPr>
          <w:rFonts w:hint="eastAsia"/>
          <w:color w:val="auto"/>
          <w:kern w:val="0"/>
          <w:sz w:val="28"/>
          <w:szCs w:val="28"/>
          <w:vertAlign w:val="superscript"/>
          <w:lang w:val="en-US" w:eastAsia="zh-CN"/>
        </w:rPr>
        <w:t>3</w:t>
      </w:r>
      <w:r>
        <w:rPr>
          <w:rFonts w:hint="eastAsia"/>
          <w:color w:val="auto"/>
          <w:kern w:val="0"/>
          <w:sz w:val="28"/>
          <w:szCs w:val="28"/>
          <w:lang w:val="en-US" w:eastAsia="zh-CN"/>
        </w:rPr>
        <w:t>。利用露天采场内孤立岩体清除产生的石方量进行回填，回填方量15084m</w:t>
      </w:r>
      <w:r>
        <w:rPr>
          <w:rFonts w:hint="eastAsia"/>
          <w:color w:val="auto"/>
          <w:kern w:val="0"/>
          <w:sz w:val="28"/>
          <w:szCs w:val="28"/>
          <w:vertAlign w:val="superscript"/>
          <w:lang w:val="en-US" w:eastAsia="zh-CN"/>
        </w:rPr>
        <w:t>3</w:t>
      </w:r>
      <w:r>
        <w:rPr>
          <w:rFonts w:hint="eastAsia"/>
          <w:color w:val="auto"/>
          <w:kern w:val="0"/>
          <w:sz w:val="28"/>
          <w:szCs w:val="28"/>
          <w:lang w:val="en-US" w:eastAsia="zh-CN"/>
        </w:rPr>
        <w:t>，可满足采坑回填。</w:t>
      </w:r>
    </w:p>
    <w:p w14:paraId="734806BE">
      <w:pPr>
        <w:widowControl/>
        <w:spacing w:line="360" w:lineRule="auto"/>
        <w:ind w:firstLine="560" w:firstLineChars="200"/>
        <w:rPr>
          <w:color w:val="auto"/>
          <w:kern w:val="0"/>
          <w:sz w:val="28"/>
          <w:szCs w:val="28"/>
        </w:rPr>
      </w:pPr>
      <w:r>
        <w:rPr>
          <w:color w:val="auto"/>
          <w:sz w:val="28"/>
          <w:szCs w:val="28"/>
        </w:rPr>
        <w:t>2、</w:t>
      </w:r>
      <w:r>
        <w:rPr>
          <w:color w:val="auto"/>
          <w:kern w:val="0"/>
          <w:sz w:val="28"/>
          <w:szCs w:val="28"/>
        </w:rPr>
        <w:t>土壤重构工程</w:t>
      </w:r>
    </w:p>
    <w:p w14:paraId="2D37A714">
      <w:pPr>
        <w:widowControl/>
        <w:spacing w:line="360" w:lineRule="auto"/>
        <w:ind w:firstLine="560" w:firstLineChars="200"/>
        <w:rPr>
          <w:color w:val="auto"/>
          <w:kern w:val="0"/>
          <w:sz w:val="28"/>
          <w:szCs w:val="28"/>
        </w:rPr>
      </w:pPr>
      <w:r>
        <w:rPr>
          <w:color w:val="auto"/>
          <w:kern w:val="0"/>
          <w:sz w:val="28"/>
          <w:szCs w:val="28"/>
        </w:rPr>
        <w:t>覆土工程</w:t>
      </w:r>
      <w:r>
        <w:rPr>
          <w:rFonts w:hint="eastAsia"/>
          <w:color w:val="auto"/>
          <w:kern w:val="0"/>
          <w:sz w:val="28"/>
          <w:szCs w:val="28"/>
        </w:rPr>
        <w:t>：</w:t>
      </w:r>
      <w:r>
        <w:rPr>
          <w:color w:val="auto"/>
          <w:kern w:val="0"/>
          <w:sz w:val="28"/>
          <w:szCs w:val="28"/>
        </w:rPr>
        <w:t>需复垦面积为</w:t>
      </w:r>
      <w:r>
        <w:rPr>
          <w:rFonts w:hint="eastAsia"/>
          <w:color w:val="auto"/>
          <w:kern w:val="0"/>
          <w:sz w:val="28"/>
          <w:szCs w:val="28"/>
          <w:lang w:val="en-US" w:eastAsia="zh-CN"/>
        </w:rPr>
        <w:t>35873</w:t>
      </w:r>
      <w:r>
        <w:rPr>
          <w:color w:val="auto"/>
          <w:kern w:val="0"/>
          <w:sz w:val="28"/>
          <w:szCs w:val="28"/>
        </w:rPr>
        <w:t>m</w:t>
      </w:r>
      <w:r>
        <w:rPr>
          <w:color w:val="auto"/>
          <w:kern w:val="0"/>
          <w:sz w:val="28"/>
          <w:szCs w:val="28"/>
          <w:vertAlign w:val="superscript"/>
        </w:rPr>
        <w:t>2</w:t>
      </w:r>
      <w:r>
        <w:rPr>
          <w:color w:val="auto"/>
          <w:kern w:val="0"/>
          <w:sz w:val="28"/>
          <w:szCs w:val="28"/>
        </w:rPr>
        <w:t>，利用挖掘机、推土机对</w:t>
      </w:r>
      <w:r>
        <w:rPr>
          <w:rFonts w:hint="eastAsia"/>
          <w:color w:val="auto"/>
          <w:kern w:val="0"/>
          <w:sz w:val="28"/>
          <w:szCs w:val="28"/>
          <w:lang w:val="en-US" w:eastAsia="zh-CN"/>
        </w:rPr>
        <w:t>场地</w:t>
      </w:r>
      <w:r>
        <w:rPr>
          <w:color w:val="auto"/>
          <w:kern w:val="0"/>
          <w:sz w:val="28"/>
          <w:szCs w:val="28"/>
        </w:rPr>
        <w:t>进行覆土，覆土厚度为</w:t>
      </w:r>
      <w:r>
        <w:rPr>
          <w:rFonts w:hint="eastAsia"/>
          <w:color w:val="auto"/>
          <w:kern w:val="0"/>
          <w:sz w:val="28"/>
          <w:szCs w:val="28"/>
          <w:lang w:val="en-US" w:eastAsia="zh-CN"/>
        </w:rPr>
        <w:t>0.3</w:t>
      </w:r>
      <w:r>
        <w:rPr>
          <w:color w:val="auto"/>
          <w:kern w:val="0"/>
          <w:sz w:val="28"/>
          <w:szCs w:val="28"/>
        </w:rPr>
        <w:t>m，覆土量为</w:t>
      </w:r>
      <w:r>
        <w:rPr>
          <w:rFonts w:hint="eastAsia"/>
          <w:color w:val="auto"/>
          <w:kern w:val="0"/>
          <w:sz w:val="28"/>
          <w:szCs w:val="28"/>
          <w:lang w:val="en-US" w:eastAsia="zh-CN"/>
        </w:rPr>
        <w:t>10762</w:t>
      </w:r>
      <w:r>
        <w:rPr>
          <w:color w:val="auto"/>
          <w:kern w:val="0"/>
          <w:sz w:val="28"/>
          <w:szCs w:val="28"/>
        </w:rPr>
        <w:t>m</w:t>
      </w:r>
      <w:r>
        <w:rPr>
          <w:color w:val="auto"/>
          <w:kern w:val="0"/>
          <w:sz w:val="28"/>
          <w:szCs w:val="28"/>
          <w:vertAlign w:val="superscript"/>
        </w:rPr>
        <w:t>3</w:t>
      </w:r>
      <w:r>
        <w:rPr>
          <w:color w:val="auto"/>
          <w:kern w:val="0"/>
          <w:sz w:val="28"/>
          <w:szCs w:val="28"/>
        </w:rPr>
        <w:t>。通过表土覆盖，保证植被生长需要，有利于恢复地表植被。</w:t>
      </w:r>
      <w:r>
        <w:rPr>
          <w:rFonts w:hint="eastAsia"/>
          <w:color w:val="auto"/>
          <w:kern w:val="0"/>
          <w:sz w:val="28"/>
          <w:szCs w:val="28"/>
          <w:lang w:val="en-US" w:eastAsia="zh-CN"/>
        </w:rPr>
        <w:t>矿山无表土存储场，本次矿区生态修复工作中</w:t>
      </w:r>
      <w:r>
        <w:rPr>
          <w:rFonts w:hint="eastAsia"/>
          <w:color w:val="auto"/>
          <w:kern w:val="0"/>
          <w:sz w:val="28"/>
          <w:szCs w:val="28"/>
        </w:rPr>
        <w:t>覆土</w:t>
      </w:r>
      <w:r>
        <w:rPr>
          <w:rFonts w:hint="eastAsia"/>
          <w:color w:val="auto"/>
          <w:kern w:val="0"/>
          <w:sz w:val="28"/>
          <w:szCs w:val="28"/>
          <w:lang w:val="en-US" w:eastAsia="zh-CN"/>
        </w:rPr>
        <w:t>所需的土方量需外购。</w:t>
      </w:r>
    </w:p>
    <w:p w14:paraId="4B116E13">
      <w:pPr>
        <w:widowControl/>
        <w:spacing w:line="360" w:lineRule="auto"/>
        <w:ind w:firstLine="560" w:firstLineChars="200"/>
        <w:rPr>
          <w:color w:val="auto"/>
          <w:kern w:val="0"/>
          <w:sz w:val="28"/>
          <w:szCs w:val="28"/>
        </w:rPr>
      </w:pPr>
      <w:r>
        <w:rPr>
          <w:color w:val="auto"/>
          <w:kern w:val="0"/>
          <w:sz w:val="28"/>
          <w:szCs w:val="28"/>
        </w:rPr>
        <w:t>3、植被重建工程</w:t>
      </w:r>
    </w:p>
    <w:p w14:paraId="3599BF3C">
      <w:pPr>
        <w:spacing w:line="360" w:lineRule="auto"/>
        <w:ind w:firstLine="560" w:firstLineChars="200"/>
        <w:rPr>
          <w:rFonts w:hint="eastAsia"/>
          <w:color w:val="auto"/>
          <w:kern w:val="0"/>
          <w:sz w:val="28"/>
          <w:szCs w:val="28"/>
          <w:lang w:val="en-US" w:eastAsia="zh-CN"/>
        </w:rPr>
      </w:pPr>
      <w:r>
        <w:rPr>
          <w:color w:val="auto"/>
          <w:kern w:val="0"/>
          <w:sz w:val="28"/>
          <w:szCs w:val="28"/>
        </w:rPr>
        <w:t>撒播种草：选择羊草+披碱草+紫花苜蓿混合播种，用于复垦牧草种子必须是一级种，并且要有“一签、三证”；采用人力补种的方法，在雨季来临后到入秋前，补种草籽，根据草场实际生长情况，撒播量可适当调整。播种草籽方法采用撒播，草籽撒播密度为</w:t>
      </w:r>
      <w:r>
        <w:rPr>
          <w:rFonts w:hint="eastAsia"/>
          <w:color w:val="auto"/>
          <w:kern w:val="0"/>
          <w:sz w:val="28"/>
          <w:szCs w:val="28"/>
          <w:lang w:val="en-US" w:eastAsia="zh-CN"/>
        </w:rPr>
        <w:t>45</w:t>
      </w:r>
      <w:r>
        <w:rPr>
          <w:color w:val="auto"/>
          <w:kern w:val="0"/>
          <w:sz w:val="28"/>
          <w:szCs w:val="28"/>
        </w:rPr>
        <w:t>kg/hm</w:t>
      </w:r>
      <w:r>
        <w:rPr>
          <w:color w:val="auto"/>
          <w:kern w:val="0"/>
          <w:sz w:val="28"/>
          <w:szCs w:val="28"/>
          <w:vertAlign w:val="superscript"/>
        </w:rPr>
        <w:t>2</w:t>
      </w:r>
      <w:r>
        <w:rPr>
          <w:color w:val="auto"/>
          <w:kern w:val="0"/>
          <w:sz w:val="28"/>
          <w:szCs w:val="28"/>
        </w:rPr>
        <w:t>。撒播种草的面积</w:t>
      </w:r>
      <w:r>
        <w:rPr>
          <w:rFonts w:hint="eastAsia"/>
          <w:color w:val="auto"/>
          <w:kern w:val="0"/>
          <w:sz w:val="28"/>
          <w:szCs w:val="28"/>
          <w:lang w:val="en-US" w:eastAsia="zh-CN"/>
        </w:rPr>
        <w:t>35873</w:t>
      </w:r>
      <w:r>
        <w:rPr>
          <w:color w:val="auto"/>
          <w:kern w:val="0"/>
          <w:sz w:val="28"/>
          <w:szCs w:val="28"/>
        </w:rPr>
        <w:t>m</w:t>
      </w:r>
      <w:r>
        <w:rPr>
          <w:color w:val="auto"/>
          <w:kern w:val="0"/>
          <w:sz w:val="28"/>
          <w:szCs w:val="28"/>
          <w:vertAlign w:val="superscript"/>
        </w:rPr>
        <w:t>2</w:t>
      </w:r>
      <w:r>
        <w:rPr>
          <w:color w:val="auto"/>
          <w:kern w:val="0"/>
          <w:sz w:val="28"/>
          <w:szCs w:val="28"/>
        </w:rPr>
        <w:t>。及时浇水，每年2次。</w:t>
      </w:r>
      <w:r>
        <w:rPr>
          <w:rFonts w:hint="eastAsia"/>
          <w:color w:val="auto"/>
          <w:kern w:val="0"/>
          <w:sz w:val="28"/>
          <w:szCs w:val="28"/>
          <w:lang w:val="en-US" w:eastAsia="zh-CN"/>
        </w:rPr>
        <w:t>治理效果见图4-1、4-2、4-3。</w:t>
      </w:r>
    </w:p>
    <w:p w14:paraId="195A43E3">
      <w:pPr>
        <w:spacing w:line="360" w:lineRule="auto"/>
        <w:jc w:val="center"/>
        <w:rPr>
          <w:rFonts w:hint="eastAsia" w:ascii="黑体" w:hAnsi="黑体" w:eastAsia="黑体" w:cs="黑体"/>
          <w:color w:val="auto"/>
          <w:kern w:val="0"/>
          <w:sz w:val="24"/>
          <w:szCs w:val="24"/>
          <w:lang w:val="en-US" w:eastAsia="zh-CN"/>
        </w:rPr>
      </w:pPr>
      <w:r>
        <w:rPr>
          <w:rFonts w:hint="eastAsia" w:ascii="黑体" w:hAnsi="黑体" w:eastAsia="黑体" w:cs="黑体"/>
          <w:color w:val="auto"/>
          <w:kern w:val="0"/>
          <w:sz w:val="24"/>
          <w:szCs w:val="24"/>
          <w:lang w:val="en-US" w:eastAsia="zh-CN"/>
        </w:rPr>
        <w:t xml:space="preserve">    </w:t>
      </w:r>
    </w:p>
    <w:p w14:paraId="6BA9BF5C">
      <w:pPr>
        <w:spacing w:line="360" w:lineRule="auto"/>
        <w:jc w:val="center"/>
        <w:rPr>
          <w:color w:val="auto"/>
          <w:kern w:val="0"/>
          <w:sz w:val="28"/>
          <w:szCs w:val="28"/>
        </w:rPr>
      </w:pPr>
      <w:r>
        <w:rPr>
          <w:rFonts w:hint="eastAsia" w:ascii="黑体" w:hAnsi="黑体" w:eastAsia="黑体" w:cs="黑体"/>
          <w:color w:val="auto"/>
          <w:kern w:val="0"/>
          <w:sz w:val="24"/>
          <w:szCs w:val="24"/>
          <w:lang w:val="en-US" w:eastAsia="zh-CN"/>
        </w:rPr>
        <w:t>图4-1  露天采场、矿区道路治理效果剖面图</w:t>
      </w:r>
    </w:p>
    <w:p w14:paraId="1EAEF638">
      <w:pPr>
        <w:spacing w:line="360" w:lineRule="auto"/>
        <w:jc w:val="center"/>
        <w:rPr>
          <w:rFonts w:hint="eastAsia" w:ascii="黑体" w:hAnsi="黑体" w:eastAsia="黑体" w:cs="黑体"/>
          <w:color w:val="auto"/>
          <w:kern w:val="0"/>
          <w:sz w:val="24"/>
          <w:szCs w:val="24"/>
          <w:lang w:val="en-US" w:eastAsia="zh-CN"/>
        </w:rPr>
      </w:pPr>
      <w:r>
        <w:rPr>
          <w:rFonts w:hint="eastAsia" w:ascii="黑体" w:hAnsi="黑体" w:eastAsia="黑体" w:cs="黑体"/>
          <w:color w:val="auto"/>
          <w:kern w:val="0"/>
          <w:sz w:val="24"/>
          <w:szCs w:val="24"/>
          <w:lang w:val="en-US" w:eastAsia="zh-CN"/>
        </w:rPr>
        <w:t xml:space="preserve">    </w:t>
      </w:r>
    </w:p>
    <w:p w14:paraId="749E8AED">
      <w:pPr>
        <w:spacing w:line="360" w:lineRule="auto"/>
        <w:jc w:val="center"/>
        <w:rPr>
          <w:color w:val="auto"/>
          <w:kern w:val="0"/>
          <w:sz w:val="28"/>
          <w:szCs w:val="28"/>
        </w:rPr>
      </w:pPr>
      <w:r>
        <w:rPr>
          <w:rFonts w:hint="eastAsia" w:ascii="黑体" w:hAnsi="黑体" w:eastAsia="黑体" w:cs="黑体"/>
          <w:color w:val="auto"/>
          <w:kern w:val="0"/>
          <w:sz w:val="24"/>
          <w:szCs w:val="24"/>
          <w:lang w:val="en-US" w:eastAsia="zh-CN"/>
        </w:rPr>
        <w:t>图4-2  露天采场治理效果剖面图</w:t>
      </w:r>
    </w:p>
    <w:p w14:paraId="53239F35">
      <w:pPr>
        <w:spacing w:line="360" w:lineRule="auto"/>
        <w:jc w:val="center"/>
        <w:rPr>
          <w:rFonts w:hint="eastAsia" w:ascii="黑体" w:hAnsi="黑体" w:eastAsia="黑体" w:cs="黑体"/>
          <w:color w:val="auto"/>
          <w:kern w:val="0"/>
          <w:sz w:val="24"/>
          <w:szCs w:val="24"/>
          <w:lang w:val="en-US" w:eastAsia="zh-CN"/>
        </w:rPr>
      </w:pPr>
      <w:r>
        <w:rPr>
          <w:rFonts w:hint="eastAsia" w:ascii="黑体" w:hAnsi="黑体" w:eastAsia="黑体" w:cs="黑体"/>
          <w:color w:val="auto"/>
          <w:kern w:val="0"/>
          <w:sz w:val="24"/>
          <w:szCs w:val="24"/>
          <w:lang w:val="en-US" w:eastAsia="zh-CN"/>
        </w:rPr>
        <w:t xml:space="preserve">    </w:t>
      </w:r>
    </w:p>
    <w:p w14:paraId="2E1459FF">
      <w:pPr>
        <w:spacing w:line="360" w:lineRule="auto"/>
        <w:jc w:val="center"/>
        <w:rPr>
          <w:rFonts w:hint="eastAsia" w:ascii="黑体" w:hAnsi="黑体" w:eastAsia="黑体" w:cs="黑体"/>
          <w:color w:val="auto"/>
          <w:kern w:val="0"/>
          <w:sz w:val="24"/>
          <w:szCs w:val="24"/>
          <w:lang w:val="en-US" w:eastAsia="zh-CN"/>
        </w:rPr>
      </w:pPr>
      <w:r>
        <w:rPr>
          <w:rFonts w:hint="eastAsia" w:ascii="黑体" w:hAnsi="黑体" w:eastAsia="黑体" w:cs="黑体"/>
          <w:color w:val="auto"/>
          <w:kern w:val="0"/>
          <w:sz w:val="24"/>
          <w:szCs w:val="24"/>
          <w:lang w:val="en-US" w:eastAsia="zh-CN"/>
        </w:rPr>
        <w:t>图4-3  露天采场治理效果平面图</w:t>
      </w:r>
    </w:p>
    <w:p w14:paraId="79DED8B2">
      <w:pPr>
        <w:pStyle w:val="5"/>
        <w:keepNext w:val="0"/>
        <w:keepLines w:val="0"/>
        <w:adjustRightInd/>
        <w:snapToGrid/>
        <w:ind w:firstLine="562"/>
        <w:rPr>
          <w:rFonts w:hint="eastAsia"/>
          <w:bCs/>
          <w:color w:val="auto"/>
          <w:sz w:val="28"/>
          <w:szCs w:val="24"/>
          <w:lang w:val="en-US" w:eastAsia="zh-CN"/>
        </w:rPr>
      </w:pPr>
      <w:r>
        <w:rPr>
          <w:rFonts w:hint="eastAsia"/>
          <w:bCs/>
          <w:color w:val="auto"/>
          <w:sz w:val="28"/>
          <w:szCs w:val="24"/>
          <w:lang w:val="en-US" w:eastAsia="zh-CN"/>
        </w:rPr>
        <w:t>（二）</w:t>
      </w:r>
      <w:r>
        <w:rPr>
          <w:rFonts w:hint="eastAsia" w:asciiTheme="minorEastAsia" w:hAnsiTheme="minorEastAsia" w:eastAsiaTheme="minorEastAsia" w:cstheme="minorEastAsia"/>
          <w:bCs/>
          <w:color w:val="auto"/>
          <w:sz w:val="28"/>
          <w:szCs w:val="24"/>
          <w:lang w:val="en-US" w:eastAsia="zh-CN"/>
        </w:rPr>
        <w:t>1#废石场</w:t>
      </w:r>
    </w:p>
    <w:p w14:paraId="7B08CFA6">
      <w:pPr>
        <w:widowControl/>
        <w:spacing w:line="360" w:lineRule="auto"/>
        <w:ind w:firstLine="560" w:firstLineChars="200"/>
        <w:rPr>
          <w:color w:val="auto"/>
          <w:sz w:val="28"/>
          <w:szCs w:val="28"/>
        </w:rPr>
      </w:pPr>
      <w:r>
        <w:rPr>
          <w:color w:val="auto"/>
          <w:kern w:val="0"/>
          <w:sz w:val="28"/>
          <w:szCs w:val="28"/>
        </w:rPr>
        <w:t>1、地貌重塑工程</w:t>
      </w:r>
    </w:p>
    <w:p w14:paraId="4A6C4D93">
      <w:pPr>
        <w:widowControl/>
        <w:spacing w:line="360" w:lineRule="auto"/>
        <w:ind w:firstLine="560" w:firstLineChars="200"/>
        <w:rPr>
          <w:rFonts w:hint="eastAsia"/>
          <w:color w:val="auto"/>
          <w:kern w:val="0"/>
          <w:sz w:val="28"/>
          <w:szCs w:val="28"/>
          <w:lang w:val="en-US" w:eastAsia="zh-CN"/>
        </w:rPr>
      </w:pPr>
      <w:r>
        <w:rPr>
          <w:rFonts w:hint="eastAsia"/>
          <w:bCs/>
          <w:color w:val="auto"/>
          <w:sz w:val="28"/>
          <w:szCs w:val="24"/>
          <w:lang w:val="en-US" w:eastAsia="zh-CN"/>
        </w:rPr>
        <w:t>（1）</w:t>
      </w:r>
      <w:r>
        <w:rPr>
          <w:rFonts w:hint="eastAsia"/>
          <w:color w:val="auto"/>
          <w:kern w:val="0"/>
          <w:sz w:val="28"/>
          <w:szCs w:val="28"/>
          <w:lang w:val="en-US" w:eastAsia="zh-CN"/>
        </w:rPr>
        <w:t>削坡整形</w:t>
      </w:r>
    </w:p>
    <w:p w14:paraId="7D5D7612">
      <w:pPr>
        <w:widowControl/>
        <w:spacing w:line="360" w:lineRule="auto"/>
        <w:ind w:firstLine="560" w:firstLineChars="200"/>
        <w:rPr>
          <w:rFonts w:hint="default"/>
          <w:color w:val="auto"/>
          <w:kern w:val="0"/>
          <w:sz w:val="28"/>
          <w:szCs w:val="28"/>
          <w:lang w:val="en-US" w:eastAsia="zh-CN"/>
        </w:rPr>
      </w:pPr>
      <w:r>
        <w:rPr>
          <w:rFonts w:hint="eastAsia"/>
          <w:color w:val="auto"/>
          <w:sz w:val="28"/>
          <w:szCs w:val="28"/>
          <w:lang w:val="en-US" w:eastAsia="zh-CN"/>
        </w:rPr>
        <w:t>对场地西北侧边坡进行削坡，其中削坡产生的方量就地堆放压脚放缓坡度，不外运，需削坡整形</w:t>
      </w:r>
      <w:r>
        <w:rPr>
          <w:rFonts w:hint="eastAsia"/>
          <w:color w:val="auto"/>
          <w:sz w:val="28"/>
          <w:szCs w:val="28"/>
        </w:rPr>
        <w:t>长约</w:t>
      </w:r>
      <w:r>
        <w:rPr>
          <w:rFonts w:hint="eastAsia"/>
          <w:color w:val="auto"/>
          <w:sz w:val="28"/>
          <w:szCs w:val="28"/>
          <w:lang w:val="en-US" w:eastAsia="zh-CN"/>
        </w:rPr>
        <w:t>15</w:t>
      </w:r>
      <w:r>
        <w:rPr>
          <w:rFonts w:hint="eastAsia"/>
          <w:color w:val="auto"/>
          <w:sz w:val="28"/>
          <w:szCs w:val="28"/>
        </w:rPr>
        <w:t>m，坡角约为</w:t>
      </w:r>
      <w:r>
        <w:rPr>
          <w:rFonts w:hint="eastAsia"/>
          <w:color w:val="auto"/>
          <w:sz w:val="28"/>
          <w:szCs w:val="28"/>
          <w:lang w:val="en-US" w:eastAsia="zh-CN"/>
        </w:rPr>
        <w:t>45</w:t>
      </w:r>
      <w:r>
        <w:rPr>
          <w:rFonts w:hint="eastAsia"/>
          <w:color w:val="auto"/>
          <w:sz w:val="28"/>
          <w:szCs w:val="28"/>
        </w:rPr>
        <w:t>°</w:t>
      </w:r>
      <w:r>
        <w:rPr>
          <w:rFonts w:hint="eastAsia"/>
          <w:color w:val="auto"/>
          <w:sz w:val="28"/>
          <w:szCs w:val="28"/>
          <w:lang w:eastAsia="zh-CN"/>
        </w:rPr>
        <w:t>，</w:t>
      </w:r>
      <w:r>
        <w:rPr>
          <w:rFonts w:hint="eastAsia"/>
          <w:color w:val="auto"/>
          <w:sz w:val="28"/>
          <w:szCs w:val="28"/>
          <w:lang w:val="en-US" w:eastAsia="zh-CN"/>
        </w:rPr>
        <w:t>削坡整形后坡角约30°，根据剖面法计算，单位削坡量10.5m</w:t>
      </w:r>
      <w:r>
        <w:rPr>
          <w:rFonts w:hint="eastAsia"/>
          <w:color w:val="auto"/>
          <w:sz w:val="28"/>
          <w:szCs w:val="28"/>
          <w:vertAlign w:val="superscript"/>
          <w:lang w:val="en-US" w:eastAsia="zh-CN"/>
        </w:rPr>
        <w:t>3</w:t>
      </w:r>
      <w:r>
        <w:rPr>
          <w:rFonts w:hint="eastAsia"/>
          <w:color w:val="auto"/>
          <w:sz w:val="28"/>
          <w:szCs w:val="28"/>
          <w:vertAlign w:val="baseline"/>
          <w:lang w:val="en-US" w:eastAsia="zh-CN"/>
        </w:rPr>
        <w:t>/m</w:t>
      </w:r>
      <w:r>
        <w:rPr>
          <w:rFonts w:hint="eastAsia"/>
          <w:color w:val="auto"/>
          <w:sz w:val="28"/>
          <w:szCs w:val="28"/>
          <w:lang w:eastAsia="zh-CN"/>
        </w:rPr>
        <w:t>，</w:t>
      </w:r>
      <w:r>
        <w:rPr>
          <w:rFonts w:hint="eastAsia"/>
          <w:color w:val="auto"/>
          <w:sz w:val="28"/>
          <w:szCs w:val="28"/>
        </w:rPr>
        <w:t>削坡</w:t>
      </w:r>
      <w:r>
        <w:rPr>
          <w:rFonts w:hint="eastAsia"/>
          <w:color w:val="auto"/>
          <w:sz w:val="28"/>
          <w:szCs w:val="28"/>
          <w:lang w:val="en-US" w:eastAsia="zh-CN"/>
        </w:rPr>
        <w:t>总</w:t>
      </w:r>
      <w:r>
        <w:rPr>
          <w:rFonts w:hint="eastAsia"/>
          <w:color w:val="auto"/>
          <w:sz w:val="28"/>
          <w:szCs w:val="28"/>
        </w:rPr>
        <w:t>方量</w:t>
      </w:r>
      <w:r>
        <w:rPr>
          <w:rFonts w:hint="eastAsia"/>
          <w:color w:val="auto"/>
          <w:sz w:val="28"/>
          <w:szCs w:val="28"/>
          <w:lang w:val="en-US" w:eastAsia="zh-CN"/>
        </w:rPr>
        <w:t>158</w:t>
      </w:r>
      <w:r>
        <w:rPr>
          <w:rFonts w:hint="eastAsia"/>
          <w:color w:val="auto"/>
          <w:sz w:val="28"/>
          <w:szCs w:val="28"/>
        </w:rPr>
        <w:t>m</w:t>
      </w:r>
      <w:r>
        <w:rPr>
          <w:rFonts w:hint="eastAsia"/>
          <w:color w:val="auto"/>
          <w:sz w:val="28"/>
          <w:szCs w:val="28"/>
          <w:vertAlign w:val="superscript"/>
        </w:rPr>
        <w:t>3</w:t>
      </w:r>
      <w:r>
        <w:rPr>
          <w:rFonts w:hint="eastAsia"/>
          <w:color w:val="auto"/>
          <w:sz w:val="28"/>
          <w:szCs w:val="28"/>
        </w:rPr>
        <w:t>。</w:t>
      </w:r>
    </w:p>
    <w:p w14:paraId="2E7EB384">
      <w:pPr>
        <w:widowControl/>
        <w:spacing w:line="360" w:lineRule="auto"/>
        <w:ind w:firstLine="560" w:firstLineChars="200"/>
        <w:rPr>
          <w:color w:val="auto"/>
          <w:kern w:val="0"/>
          <w:sz w:val="28"/>
          <w:szCs w:val="28"/>
        </w:rPr>
      </w:pPr>
      <w:r>
        <w:rPr>
          <w:color w:val="auto"/>
          <w:sz w:val="28"/>
          <w:szCs w:val="28"/>
        </w:rPr>
        <w:t>2、</w:t>
      </w:r>
      <w:r>
        <w:rPr>
          <w:color w:val="auto"/>
          <w:kern w:val="0"/>
          <w:sz w:val="28"/>
          <w:szCs w:val="28"/>
        </w:rPr>
        <w:t>土壤重构工程</w:t>
      </w:r>
    </w:p>
    <w:p w14:paraId="1316E125">
      <w:pPr>
        <w:widowControl/>
        <w:spacing w:line="360" w:lineRule="auto"/>
        <w:ind w:firstLine="560" w:firstLineChars="200"/>
        <w:rPr>
          <w:color w:val="auto"/>
          <w:kern w:val="0"/>
          <w:sz w:val="28"/>
          <w:szCs w:val="28"/>
        </w:rPr>
      </w:pPr>
      <w:r>
        <w:rPr>
          <w:color w:val="auto"/>
          <w:kern w:val="0"/>
          <w:sz w:val="28"/>
          <w:szCs w:val="28"/>
        </w:rPr>
        <w:t>覆土工程</w:t>
      </w:r>
      <w:r>
        <w:rPr>
          <w:rFonts w:hint="eastAsia"/>
          <w:color w:val="auto"/>
          <w:kern w:val="0"/>
          <w:sz w:val="28"/>
          <w:szCs w:val="28"/>
        </w:rPr>
        <w:t>：</w:t>
      </w:r>
      <w:r>
        <w:rPr>
          <w:color w:val="auto"/>
          <w:kern w:val="0"/>
          <w:sz w:val="28"/>
          <w:szCs w:val="28"/>
        </w:rPr>
        <w:t>需复垦面积为</w:t>
      </w:r>
      <w:r>
        <w:rPr>
          <w:rFonts w:hint="eastAsia"/>
          <w:color w:val="auto"/>
          <w:kern w:val="0"/>
          <w:sz w:val="28"/>
          <w:szCs w:val="28"/>
          <w:lang w:val="en-US" w:eastAsia="zh-CN"/>
        </w:rPr>
        <w:t>4811</w:t>
      </w:r>
      <w:r>
        <w:rPr>
          <w:color w:val="auto"/>
          <w:kern w:val="0"/>
          <w:sz w:val="28"/>
          <w:szCs w:val="28"/>
        </w:rPr>
        <w:t>m</w:t>
      </w:r>
      <w:r>
        <w:rPr>
          <w:color w:val="auto"/>
          <w:kern w:val="0"/>
          <w:sz w:val="28"/>
          <w:szCs w:val="28"/>
          <w:vertAlign w:val="superscript"/>
        </w:rPr>
        <w:t>2</w:t>
      </w:r>
      <w:r>
        <w:rPr>
          <w:color w:val="auto"/>
          <w:kern w:val="0"/>
          <w:sz w:val="28"/>
          <w:szCs w:val="28"/>
        </w:rPr>
        <w:t>，利用挖掘机、推土机对</w:t>
      </w:r>
      <w:r>
        <w:rPr>
          <w:rFonts w:hint="eastAsia"/>
          <w:color w:val="auto"/>
          <w:kern w:val="0"/>
          <w:sz w:val="28"/>
          <w:szCs w:val="28"/>
          <w:lang w:val="en-US" w:eastAsia="zh-CN"/>
        </w:rPr>
        <w:t>场地</w:t>
      </w:r>
      <w:r>
        <w:rPr>
          <w:color w:val="auto"/>
          <w:kern w:val="0"/>
          <w:sz w:val="28"/>
          <w:szCs w:val="28"/>
        </w:rPr>
        <w:t>进行覆土，覆土厚度为0.</w:t>
      </w:r>
      <w:r>
        <w:rPr>
          <w:rFonts w:hint="eastAsia"/>
          <w:color w:val="auto"/>
          <w:kern w:val="0"/>
          <w:sz w:val="28"/>
          <w:szCs w:val="28"/>
          <w:lang w:val="en-US" w:eastAsia="zh-CN"/>
        </w:rPr>
        <w:t>3</w:t>
      </w:r>
      <w:r>
        <w:rPr>
          <w:color w:val="auto"/>
          <w:kern w:val="0"/>
          <w:sz w:val="28"/>
          <w:szCs w:val="28"/>
        </w:rPr>
        <w:t>m，覆土量为</w:t>
      </w:r>
      <w:r>
        <w:rPr>
          <w:rFonts w:hint="eastAsia"/>
          <w:color w:val="auto"/>
          <w:kern w:val="0"/>
          <w:sz w:val="28"/>
          <w:szCs w:val="28"/>
          <w:lang w:val="en-US" w:eastAsia="zh-CN"/>
        </w:rPr>
        <w:t>1443</w:t>
      </w:r>
      <w:r>
        <w:rPr>
          <w:color w:val="auto"/>
          <w:kern w:val="0"/>
          <w:sz w:val="28"/>
          <w:szCs w:val="28"/>
        </w:rPr>
        <w:t>m</w:t>
      </w:r>
      <w:r>
        <w:rPr>
          <w:color w:val="auto"/>
          <w:kern w:val="0"/>
          <w:sz w:val="28"/>
          <w:szCs w:val="28"/>
          <w:vertAlign w:val="superscript"/>
        </w:rPr>
        <w:t>3</w:t>
      </w:r>
      <w:r>
        <w:rPr>
          <w:color w:val="auto"/>
          <w:kern w:val="0"/>
          <w:sz w:val="28"/>
          <w:szCs w:val="28"/>
        </w:rPr>
        <w:t>。通过表土覆盖，保证</w:t>
      </w:r>
      <w:r>
        <w:rPr>
          <w:rFonts w:hint="eastAsia"/>
          <w:color w:val="auto"/>
          <w:sz w:val="28"/>
          <w:szCs w:val="28"/>
          <w:lang w:val="en-US" w:eastAsia="zh-CN"/>
        </w:rPr>
        <w:t>植被</w:t>
      </w:r>
      <w:r>
        <w:rPr>
          <w:color w:val="auto"/>
          <w:kern w:val="0"/>
          <w:sz w:val="28"/>
          <w:szCs w:val="28"/>
        </w:rPr>
        <w:t>生长需要，有利于恢复地表植被。</w:t>
      </w:r>
      <w:r>
        <w:rPr>
          <w:rFonts w:hint="eastAsia"/>
          <w:color w:val="auto"/>
          <w:kern w:val="0"/>
          <w:sz w:val="28"/>
          <w:szCs w:val="28"/>
          <w:lang w:val="en-US" w:eastAsia="zh-CN"/>
        </w:rPr>
        <w:t>矿山无表土存储场，本次矿区生态修复工作中</w:t>
      </w:r>
      <w:r>
        <w:rPr>
          <w:rFonts w:hint="eastAsia"/>
          <w:color w:val="auto"/>
          <w:kern w:val="0"/>
          <w:sz w:val="28"/>
          <w:szCs w:val="28"/>
        </w:rPr>
        <w:t>覆土</w:t>
      </w:r>
      <w:r>
        <w:rPr>
          <w:rFonts w:hint="eastAsia"/>
          <w:color w:val="auto"/>
          <w:kern w:val="0"/>
          <w:sz w:val="28"/>
          <w:szCs w:val="28"/>
          <w:lang w:val="en-US" w:eastAsia="zh-CN"/>
        </w:rPr>
        <w:t>所需的土方量需外购。</w:t>
      </w:r>
    </w:p>
    <w:p w14:paraId="18830A62">
      <w:pPr>
        <w:widowControl/>
        <w:spacing w:line="360" w:lineRule="auto"/>
        <w:ind w:firstLine="560" w:firstLineChars="200"/>
        <w:rPr>
          <w:color w:val="auto"/>
          <w:kern w:val="0"/>
          <w:sz w:val="28"/>
          <w:szCs w:val="28"/>
        </w:rPr>
      </w:pPr>
      <w:r>
        <w:rPr>
          <w:color w:val="auto"/>
          <w:kern w:val="0"/>
          <w:sz w:val="28"/>
          <w:szCs w:val="28"/>
        </w:rPr>
        <w:t>3、植被重建工程</w:t>
      </w:r>
    </w:p>
    <w:p w14:paraId="3077E9A1">
      <w:pPr>
        <w:widowControl/>
        <w:spacing w:line="360" w:lineRule="auto"/>
        <w:ind w:firstLine="560" w:firstLineChars="200"/>
        <w:rPr>
          <w:rFonts w:hint="eastAsia"/>
          <w:color w:val="auto"/>
          <w:kern w:val="0"/>
          <w:sz w:val="28"/>
          <w:szCs w:val="28"/>
          <w:lang w:val="en-US" w:eastAsia="zh-CN"/>
        </w:rPr>
      </w:pPr>
      <w:r>
        <w:rPr>
          <w:color w:val="auto"/>
          <w:kern w:val="0"/>
          <w:sz w:val="28"/>
          <w:szCs w:val="28"/>
        </w:rPr>
        <w:t>撒播种草：选择羊草+披碱草+紫花苜蓿混合播种，用于复垦牧草种子必须是一级种，并且要有“一签、三证”；采用人力补种的方法，在雨季来临后到入秋前，补种草籽，根据草场实际生长情况，撒播量可适当调整。播种草籽方法采用撒播，草籽撒播密度为</w:t>
      </w:r>
      <w:r>
        <w:rPr>
          <w:rFonts w:hint="eastAsia"/>
          <w:color w:val="auto"/>
          <w:kern w:val="0"/>
          <w:sz w:val="28"/>
          <w:szCs w:val="28"/>
          <w:lang w:val="en-US" w:eastAsia="zh-CN"/>
        </w:rPr>
        <w:t>45</w:t>
      </w:r>
      <w:r>
        <w:rPr>
          <w:color w:val="auto"/>
          <w:kern w:val="0"/>
          <w:sz w:val="28"/>
          <w:szCs w:val="28"/>
        </w:rPr>
        <w:t>kg/hm</w:t>
      </w:r>
      <w:r>
        <w:rPr>
          <w:color w:val="auto"/>
          <w:kern w:val="0"/>
          <w:sz w:val="28"/>
          <w:szCs w:val="28"/>
          <w:vertAlign w:val="superscript"/>
        </w:rPr>
        <w:t>2</w:t>
      </w:r>
      <w:r>
        <w:rPr>
          <w:color w:val="auto"/>
          <w:kern w:val="0"/>
          <w:sz w:val="28"/>
          <w:szCs w:val="28"/>
        </w:rPr>
        <w:t>。撒播种草的面积</w:t>
      </w:r>
      <w:r>
        <w:rPr>
          <w:rFonts w:hint="eastAsia"/>
          <w:color w:val="auto"/>
          <w:kern w:val="0"/>
          <w:sz w:val="28"/>
          <w:szCs w:val="28"/>
          <w:lang w:val="en-US" w:eastAsia="zh-CN"/>
        </w:rPr>
        <w:t>4811</w:t>
      </w:r>
      <w:r>
        <w:rPr>
          <w:color w:val="auto"/>
          <w:kern w:val="0"/>
          <w:sz w:val="28"/>
          <w:szCs w:val="28"/>
        </w:rPr>
        <w:t>m</w:t>
      </w:r>
      <w:r>
        <w:rPr>
          <w:color w:val="auto"/>
          <w:kern w:val="0"/>
          <w:sz w:val="28"/>
          <w:szCs w:val="28"/>
          <w:vertAlign w:val="superscript"/>
        </w:rPr>
        <w:t>2</w:t>
      </w:r>
      <w:r>
        <w:rPr>
          <w:color w:val="auto"/>
          <w:kern w:val="0"/>
          <w:sz w:val="28"/>
          <w:szCs w:val="28"/>
        </w:rPr>
        <w:t>。及时进行浇水，每年2次。</w:t>
      </w:r>
      <w:r>
        <w:rPr>
          <w:rFonts w:hint="eastAsia"/>
          <w:color w:val="auto"/>
          <w:kern w:val="0"/>
          <w:sz w:val="28"/>
          <w:szCs w:val="28"/>
          <w:lang w:val="en-US" w:eastAsia="zh-CN"/>
        </w:rPr>
        <w:t>治理效果见图4-4。</w:t>
      </w:r>
    </w:p>
    <w:p w14:paraId="239F554B">
      <w:pPr>
        <w:spacing w:line="360" w:lineRule="auto"/>
        <w:jc w:val="center"/>
        <w:rPr>
          <w:rFonts w:hint="eastAsia" w:ascii="黑体" w:hAnsi="黑体" w:eastAsia="黑体" w:cs="黑体"/>
          <w:color w:val="auto"/>
          <w:kern w:val="0"/>
          <w:sz w:val="24"/>
          <w:szCs w:val="24"/>
          <w:lang w:val="en-US" w:eastAsia="zh-CN"/>
        </w:rPr>
      </w:pPr>
      <w:r>
        <w:rPr>
          <w:rFonts w:hint="eastAsia" w:ascii="黑体" w:hAnsi="黑体" w:eastAsia="黑体" w:cs="黑体"/>
          <w:color w:val="auto"/>
          <w:kern w:val="0"/>
          <w:sz w:val="24"/>
          <w:szCs w:val="24"/>
          <w:lang w:val="en-US" w:eastAsia="zh-CN"/>
        </w:rPr>
        <w:t xml:space="preserve">    </w:t>
      </w:r>
    </w:p>
    <w:p w14:paraId="01A3CEB1">
      <w:pPr>
        <w:spacing w:line="360" w:lineRule="auto"/>
        <w:jc w:val="center"/>
        <w:rPr>
          <w:rFonts w:hint="eastAsia"/>
          <w:color w:val="auto"/>
          <w:kern w:val="0"/>
          <w:sz w:val="28"/>
          <w:szCs w:val="28"/>
          <w:lang w:val="en-US" w:eastAsia="zh-CN"/>
        </w:rPr>
      </w:pPr>
      <w:r>
        <w:rPr>
          <w:rFonts w:hint="eastAsia" w:ascii="黑体" w:hAnsi="黑体" w:eastAsia="黑体" w:cs="黑体"/>
          <w:color w:val="auto"/>
          <w:kern w:val="0"/>
          <w:sz w:val="24"/>
          <w:szCs w:val="24"/>
          <w:lang w:val="en-US" w:eastAsia="zh-CN"/>
        </w:rPr>
        <w:t>图4-4  1#废石场治理效果剖面图</w:t>
      </w:r>
    </w:p>
    <w:p w14:paraId="1E1A735B">
      <w:pPr>
        <w:pStyle w:val="5"/>
        <w:keepNext w:val="0"/>
        <w:keepLines w:val="0"/>
        <w:adjustRightInd/>
        <w:snapToGrid/>
        <w:ind w:firstLine="562"/>
        <w:rPr>
          <w:bCs/>
          <w:color w:val="auto"/>
          <w:sz w:val="28"/>
          <w:szCs w:val="24"/>
        </w:rPr>
      </w:pPr>
      <w:r>
        <w:rPr>
          <w:rFonts w:hint="eastAsia"/>
          <w:bCs/>
          <w:color w:val="auto"/>
          <w:sz w:val="28"/>
          <w:szCs w:val="24"/>
        </w:rPr>
        <w:t>（</w:t>
      </w:r>
      <w:r>
        <w:rPr>
          <w:rFonts w:hint="eastAsia"/>
          <w:bCs/>
          <w:color w:val="auto"/>
          <w:sz w:val="28"/>
          <w:szCs w:val="24"/>
          <w:lang w:val="en-US" w:eastAsia="zh-CN"/>
        </w:rPr>
        <w:t>三</w:t>
      </w:r>
      <w:r>
        <w:rPr>
          <w:rFonts w:hint="eastAsia"/>
          <w:bCs/>
          <w:color w:val="auto"/>
          <w:sz w:val="28"/>
          <w:szCs w:val="24"/>
        </w:rPr>
        <w:t>）</w:t>
      </w:r>
      <w:r>
        <w:rPr>
          <w:rFonts w:hint="eastAsia" w:asciiTheme="minorEastAsia" w:hAnsiTheme="minorEastAsia" w:eastAsiaTheme="minorEastAsia" w:cstheme="minorEastAsia"/>
          <w:bCs/>
          <w:color w:val="auto"/>
          <w:sz w:val="28"/>
          <w:szCs w:val="24"/>
          <w:lang w:val="en-US" w:eastAsia="zh-CN"/>
        </w:rPr>
        <w:t>2#废石场</w:t>
      </w:r>
    </w:p>
    <w:p w14:paraId="23546ADF">
      <w:pPr>
        <w:widowControl/>
        <w:spacing w:line="360" w:lineRule="auto"/>
        <w:ind w:firstLine="560" w:firstLineChars="200"/>
        <w:rPr>
          <w:rFonts w:hint="eastAsia"/>
          <w:color w:val="auto"/>
          <w:sz w:val="28"/>
          <w:szCs w:val="28"/>
        </w:rPr>
      </w:pPr>
      <w:r>
        <w:rPr>
          <w:color w:val="auto"/>
          <w:kern w:val="0"/>
          <w:sz w:val="28"/>
          <w:szCs w:val="28"/>
        </w:rPr>
        <w:t>1、地貌重塑工程</w:t>
      </w:r>
    </w:p>
    <w:p w14:paraId="074538B5">
      <w:pPr>
        <w:widowControl/>
        <w:spacing w:line="360" w:lineRule="auto"/>
        <w:ind w:firstLine="560" w:firstLineChars="200"/>
        <w:rPr>
          <w:rFonts w:hint="eastAsia"/>
          <w:color w:val="auto"/>
          <w:kern w:val="0"/>
          <w:sz w:val="28"/>
          <w:szCs w:val="28"/>
          <w:lang w:val="en-US" w:eastAsia="zh-CN"/>
        </w:rPr>
      </w:pPr>
      <w:r>
        <w:rPr>
          <w:rFonts w:hint="eastAsia"/>
          <w:bCs/>
          <w:color w:val="auto"/>
          <w:sz w:val="28"/>
          <w:szCs w:val="24"/>
          <w:lang w:val="en-US" w:eastAsia="zh-CN"/>
        </w:rPr>
        <w:t>（1）</w:t>
      </w:r>
      <w:r>
        <w:rPr>
          <w:rFonts w:hint="eastAsia"/>
          <w:color w:val="auto"/>
          <w:kern w:val="0"/>
          <w:sz w:val="28"/>
          <w:szCs w:val="28"/>
          <w:lang w:val="en-US" w:eastAsia="zh-CN"/>
        </w:rPr>
        <w:t>清运</w:t>
      </w:r>
    </w:p>
    <w:p w14:paraId="6B842F0F">
      <w:pPr>
        <w:widowControl/>
        <w:spacing w:line="360" w:lineRule="auto"/>
        <w:ind w:firstLine="560" w:firstLineChars="200"/>
        <w:rPr>
          <w:rFonts w:hint="default" w:eastAsia="宋体"/>
          <w:color w:val="auto"/>
          <w:sz w:val="28"/>
          <w:szCs w:val="28"/>
          <w:lang w:val="en-US" w:eastAsia="zh-CN"/>
        </w:rPr>
      </w:pPr>
      <w:r>
        <w:rPr>
          <w:rFonts w:hint="eastAsia"/>
          <w:color w:val="auto"/>
          <w:sz w:val="28"/>
          <w:szCs w:val="28"/>
          <w:lang w:val="en-US" w:eastAsia="zh-CN"/>
        </w:rPr>
        <w:t>对场地内堆积的废石进行清运，堆积废石量24253m</w:t>
      </w:r>
      <w:r>
        <w:rPr>
          <w:rFonts w:hint="eastAsia"/>
          <w:color w:val="auto"/>
          <w:sz w:val="28"/>
          <w:szCs w:val="28"/>
          <w:vertAlign w:val="superscript"/>
          <w:lang w:val="en-US" w:eastAsia="zh-CN"/>
        </w:rPr>
        <w:t>3</w:t>
      </w:r>
      <w:r>
        <w:rPr>
          <w:rFonts w:hint="eastAsia"/>
          <w:color w:val="auto"/>
          <w:sz w:val="28"/>
          <w:szCs w:val="28"/>
          <w:lang w:eastAsia="zh-CN"/>
        </w:rPr>
        <w:t>，</w:t>
      </w:r>
      <w:r>
        <w:rPr>
          <w:rFonts w:hint="eastAsia"/>
          <w:color w:val="auto"/>
          <w:sz w:val="28"/>
          <w:szCs w:val="28"/>
          <w:lang w:val="en-US" w:eastAsia="zh-CN"/>
        </w:rPr>
        <w:t>全部清运至露天采场对其进行垫坡使用</w:t>
      </w:r>
      <w:r>
        <w:rPr>
          <w:rFonts w:hint="eastAsia"/>
          <w:color w:val="auto"/>
          <w:sz w:val="28"/>
          <w:szCs w:val="28"/>
        </w:rPr>
        <w:t>。</w:t>
      </w:r>
      <w:r>
        <w:rPr>
          <w:rFonts w:hint="eastAsia"/>
          <w:color w:val="auto"/>
          <w:sz w:val="28"/>
          <w:szCs w:val="28"/>
          <w:lang w:val="en-US" w:eastAsia="zh-CN"/>
        </w:rPr>
        <w:t>清运时需由上而下分层清运，避免出现临空高陡边坡，造成崩塌滑坡地质灾害。</w:t>
      </w:r>
    </w:p>
    <w:p w14:paraId="23884E07">
      <w:pPr>
        <w:widowControl/>
        <w:spacing w:line="360" w:lineRule="auto"/>
        <w:ind w:firstLine="560" w:firstLineChars="200"/>
        <w:rPr>
          <w:rFonts w:hint="eastAsia"/>
          <w:bCs/>
          <w:color w:val="auto"/>
          <w:sz w:val="28"/>
          <w:szCs w:val="24"/>
          <w:lang w:val="en-US" w:eastAsia="zh-CN"/>
        </w:rPr>
      </w:pPr>
      <w:r>
        <w:rPr>
          <w:rFonts w:hint="eastAsia"/>
          <w:bCs/>
          <w:color w:val="auto"/>
          <w:sz w:val="28"/>
          <w:szCs w:val="24"/>
          <w:lang w:val="en-US" w:eastAsia="zh-CN"/>
        </w:rPr>
        <w:t>（2）垫坡</w:t>
      </w:r>
    </w:p>
    <w:p w14:paraId="170D0698">
      <w:pPr>
        <w:snapToGrid w:val="0"/>
        <w:spacing w:line="360" w:lineRule="auto"/>
        <w:ind w:firstLine="560" w:firstLineChars="200"/>
        <w:rPr>
          <w:color w:val="auto"/>
          <w:sz w:val="24"/>
          <w:szCs w:val="24"/>
        </w:rPr>
      </w:pPr>
      <w:r>
        <w:rPr>
          <w:rFonts w:hint="eastAsia" w:cs="Times New Roman"/>
          <w:color w:val="auto"/>
          <w:sz w:val="28"/>
          <w:szCs w:val="28"/>
          <w:vertAlign w:val="baseline"/>
          <w:lang w:val="en-US" w:eastAsia="zh-CN"/>
        </w:rPr>
        <w:t>场地切坡高约3m，坡角约70°，坡长约60m</w:t>
      </w:r>
      <w:r>
        <w:rPr>
          <w:color w:val="auto"/>
          <w:sz w:val="28"/>
          <w:szCs w:val="28"/>
        </w:rPr>
        <w:t>。</w:t>
      </w:r>
    </w:p>
    <w:p w14:paraId="70996C6C">
      <w:pPr>
        <w:widowControl/>
        <w:spacing w:line="360" w:lineRule="auto"/>
        <w:ind w:firstLine="560" w:firstLineChars="200"/>
        <w:rPr>
          <w:rFonts w:hint="default"/>
          <w:color w:val="auto"/>
          <w:sz w:val="28"/>
          <w:szCs w:val="28"/>
          <w:lang w:val="en-US" w:eastAsia="zh-CN"/>
        </w:rPr>
      </w:pPr>
      <w:r>
        <w:rPr>
          <w:rFonts w:hint="eastAsia"/>
          <w:color w:val="auto"/>
          <w:sz w:val="28"/>
          <w:szCs w:val="28"/>
        </w:rPr>
        <w:t>对边坡进行</w:t>
      </w:r>
      <w:r>
        <w:rPr>
          <w:rFonts w:hint="eastAsia"/>
          <w:color w:val="auto"/>
          <w:sz w:val="28"/>
          <w:szCs w:val="28"/>
          <w:lang w:val="en-US" w:eastAsia="zh-CN"/>
        </w:rPr>
        <w:t>垫</w:t>
      </w:r>
      <w:r>
        <w:rPr>
          <w:rFonts w:hint="eastAsia"/>
          <w:color w:val="auto"/>
          <w:sz w:val="28"/>
          <w:szCs w:val="28"/>
        </w:rPr>
        <w:t>坡，</w:t>
      </w:r>
      <w:r>
        <w:rPr>
          <w:rFonts w:hint="eastAsia"/>
          <w:color w:val="auto"/>
          <w:sz w:val="28"/>
          <w:szCs w:val="28"/>
          <w:lang w:val="en-US" w:eastAsia="zh-CN"/>
        </w:rPr>
        <w:t>垫</w:t>
      </w:r>
      <w:r>
        <w:rPr>
          <w:rFonts w:hint="eastAsia"/>
          <w:color w:val="auto"/>
          <w:sz w:val="28"/>
          <w:szCs w:val="28"/>
        </w:rPr>
        <w:t>坡后坡角</w:t>
      </w:r>
      <w:r>
        <w:rPr>
          <w:rFonts w:hint="eastAsia"/>
          <w:color w:val="auto"/>
          <w:sz w:val="28"/>
          <w:szCs w:val="28"/>
          <w:lang w:val="en-US" w:eastAsia="zh-CN"/>
        </w:rPr>
        <w:t>30</w:t>
      </w:r>
      <w:r>
        <w:rPr>
          <w:rFonts w:hint="eastAsia"/>
          <w:color w:val="auto"/>
          <w:sz w:val="28"/>
          <w:szCs w:val="28"/>
        </w:rPr>
        <w:t>°，通过公式</w:t>
      </w:r>
      <w:r>
        <w:rPr>
          <w:rFonts w:hint="eastAsia"/>
          <w:color w:val="auto"/>
          <w:sz w:val="28"/>
          <w:szCs w:val="28"/>
          <w:lang w:val="en-US" w:eastAsia="zh-CN"/>
        </w:rPr>
        <w:t>D</w:t>
      </w:r>
      <w:r>
        <w:rPr>
          <w:rFonts w:hint="eastAsia"/>
          <w:color w:val="auto"/>
          <w:sz w:val="28"/>
          <w:szCs w:val="28"/>
        </w:rPr>
        <w:t>=L×V计算，式中：</w:t>
      </w:r>
      <w:r>
        <w:rPr>
          <w:rFonts w:hint="eastAsia"/>
          <w:color w:val="auto"/>
          <w:sz w:val="28"/>
          <w:szCs w:val="28"/>
          <w:lang w:val="en-US" w:eastAsia="zh-CN"/>
        </w:rPr>
        <w:t>D</w:t>
      </w:r>
      <w:r>
        <w:rPr>
          <w:rFonts w:hint="eastAsia"/>
          <w:color w:val="auto"/>
          <w:sz w:val="28"/>
          <w:szCs w:val="28"/>
        </w:rPr>
        <w:t>为</w:t>
      </w:r>
      <w:r>
        <w:rPr>
          <w:rFonts w:hint="eastAsia"/>
          <w:color w:val="auto"/>
          <w:sz w:val="28"/>
          <w:szCs w:val="28"/>
          <w:lang w:val="en-US" w:eastAsia="zh-CN"/>
        </w:rPr>
        <w:t>垫</w:t>
      </w:r>
      <w:r>
        <w:rPr>
          <w:rFonts w:hint="eastAsia"/>
          <w:color w:val="auto"/>
          <w:sz w:val="28"/>
          <w:szCs w:val="28"/>
        </w:rPr>
        <w:t>坡方量（m</w:t>
      </w:r>
      <w:r>
        <w:rPr>
          <w:rFonts w:hint="eastAsia"/>
          <w:color w:val="auto"/>
          <w:sz w:val="28"/>
          <w:szCs w:val="28"/>
          <w:vertAlign w:val="superscript"/>
        </w:rPr>
        <w:t>3</w:t>
      </w:r>
      <w:r>
        <w:rPr>
          <w:rFonts w:hint="eastAsia"/>
          <w:color w:val="auto"/>
          <w:sz w:val="28"/>
          <w:szCs w:val="28"/>
        </w:rPr>
        <w:t>）；L为边坡长度（m）；V为单位</w:t>
      </w:r>
      <w:r>
        <w:rPr>
          <w:rFonts w:hint="eastAsia"/>
          <w:color w:val="auto"/>
          <w:sz w:val="28"/>
          <w:szCs w:val="28"/>
          <w:lang w:val="en-US" w:eastAsia="zh-CN"/>
        </w:rPr>
        <w:t>垫</w:t>
      </w:r>
      <w:r>
        <w:rPr>
          <w:rFonts w:hint="eastAsia"/>
          <w:color w:val="auto"/>
          <w:sz w:val="28"/>
          <w:szCs w:val="28"/>
        </w:rPr>
        <w:t>坡方量。其中V=1/2H(H/</w:t>
      </w:r>
      <w:r>
        <w:rPr>
          <w:rFonts w:hint="eastAsia"/>
          <w:color w:val="auto"/>
          <w:sz w:val="28"/>
          <w:szCs w:val="28"/>
        </w:rPr>
        <w:fldChar w:fldCharType="begin"/>
      </w:r>
      <w:r>
        <w:rPr>
          <w:rFonts w:hint="eastAsia"/>
          <w:color w:val="auto"/>
          <w:sz w:val="28"/>
          <w:szCs w:val="28"/>
        </w:rPr>
        <w:instrText xml:space="preserve">HYPERLINK "https://baike.baidu.com/item/tan/14821216" \t "_blank"</w:instrText>
      </w:r>
      <w:r>
        <w:rPr>
          <w:rFonts w:hint="eastAsia"/>
          <w:color w:val="auto"/>
          <w:sz w:val="28"/>
          <w:szCs w:val="28"/>
        </w:rPr>
        <w:fldChar w:fldCharType="separate"/>
      </w:r>
      <w:r>
        <w:rPr>
          <w:rFonts w:hint="eastAsia"/>
          <w:color w:val="auto"/>
          <w:sz w:val="28"/>
          <w:szCs w:val="28"/>
        </w:rPr>
        <w:t>tan</w:t>
      </w:r>
      <w:r>
        <w:rPr>
          <w:rFonts w:hint="eastAsia"/>
          <w:color w:val="auto"/>
          <w:sz w:val="28"/>
          <w:szCs w:val="28"/>
        </w:rPr>
        <w:fldChar w:fldCharType="end"/>
      </w:r>
      <w:r>
        <w:rPr>
          <w:rFonts w:hint="eastAsia"/>
          <w:color w:val="auto"/>
          <w:sz w:val="28"/>
          <w:szCs w:val="28"/>
        </w:rPr>
        <w:t>α-H/</w:t>
      </w:r>
      <w:r>
        <w:rPr>
          <w:rFonts w:hint="eastAsia"/>
          <w:color w:val="auto"/>
          <w:sz w:val="28"/>
          <w:szCs w:val="28"/>
        </w:rPr>
        <w:fldChar w:fldCharType="begin"/>
      </w:r>
      <w:r>
        <w:rPr>
          <w:rFonts w:hint="eastAsia"/>
          <w:color w:val="auto"/>
          <w:sz w:val="28"/>
          <w:szCs w:val="28"/>
        </w:rPr>
        <w:instrText xml:space="preserve">HYPERLINK "https://baike.baidu.com/item/tan/14821216" \t "_blank"</w:instrText>
      </w:r>
      <w:r>
        <w:rPr>
          <w:rFonts w:hint="eastAsia"/>
          <w:color w:val="auto"/>
          <w:sz w:val="28"/>
          <w:szCs w:val="28"/>
        </w:rPr>
        <w:fldChar w:fldCharType="separate"/>
      </w:r>
      <w:r>
        <w:rPr>
          <w:rFonts w:hint="eastAsia"/>
          <w:color w:val="auto"/>
          <w:sz w:val="28"/>
          <w:szCs w:val="28"/>
        </w:rPr>
        <w:t>tan</w:t>
      </w:r>
      <w:r>
        <w:rPr>
          <w:rFonts w:hint="eastAsia"/>
          <w:color w:val="auto"/>
          <w:sz w:val="28"/>
          <w:szCs w:val="28"/>
        </w:rPr>
        <w:fldChar w:fldCharType="end"/>
      </w:r>
      <w:r>
        <w:rPr>
          <w:rFonts w:hint="eastAsia"/>
          <w:color w:val="auto"/>
          <w:sz w:val="28"/>
          <w:szCs w:val="28"/>
        </w:rPr>
        <w:t>β)，式中H为边坡高度，α为</w:t>
      </w:r>
      <w:r>
        <w:rPr>
          <w:rFonts w:hint="eastAsia"/>
          <w:color w:val="auto"/>
          <w:sz w:val="28"/>
          <w:szCs w:val="28"/>
          <w:lang w:val="en-US" w:eastAsia="zh-CN"/>
        </w:rPr>
        <w:t>垫</w:t>
      </w:r>
      <w:r>
        <w:rPr>
          <w:rFonts w:hint="eastAsia"/>
          <w:color w:val="auto"/>
          <w:sz w:val="28"/>
          <w:szCs w:val="28"/>
        </w:rPr>
        <w:t>坡坡角，β为原边坡角。经计算</w:t>
      </w:r>
      <w:r>
        <w:rPr>
          <w:rFonts w:hint="eastAsia"/>
          <w:color w:val="auto"/>
          <w:sz w:val="28"/>
          <w:szCs w:val="28"/>
          <w:lang w:val="en-US" w:eastAsia="zh-CN"/>
        </w:rPr>
        <w:t>2#废石场边坡垫</w:t>
      </w:r>
      <w:r>
        <w:rPr>
          <w:rFonts w:hint="eastAsia"/>
          <w:color w:val="auto"/>
          <w:sz w:val="28"/>
          <w:szCs w:val="28"/>
        </w:rPr>
        <w:t>坡方量</w:t>
      </w:r>
      <w:r>
        <w:rPr>
          <w:rFonts w:hint="eastAsia"/>
          <w:color w:val="auto"/>
          <w:sz w:val="28"/>
          <w:szCs w:val="28"/>
          <w:lang w:val="en-US" w:eastAsia="zh-CN"/>
        </w:rPr>
        <w:t>846</w:t>
      </w:r>
      <w:r>
        <w:rPr>
          <w:rFonts w:hint="eastAsia"/>
          <w:color w:val="auto"/>
          <w:sz w:val="28"/>
          <w:szCs w:val="28"/>
        </w:rPr>
        <w:t>m</w:t>
      </w:r>
      <w:r>
        <w:rPr>
          <w:rFonts w:hint="eastAsia"/>
          <w:color w:val="auto"/>
          <w:sz w:val="28"/>
          <w:szCs w:val="28"/>
          <w:vertAlign w:val="superscript"/>
        </w:rPr>
        <w:t>3</w:t>
      </w:r>
      <w:r>
        <w:rPr>
          <w:rFonts w:hint="eastAsia"/>
          <w:color w:val="auto"/>
          <w:sz w:val="28"/>
          <w:szCs w:val="28"/>
        </w:rPr>
        <w:t>。</w:t>
      </w:r>
    </w:p>
    <w:p w14:paraId="781284FF">
      <w:pPr>
        <w:widowControl/>
        <w:spacing w:line="360" w:lineRule="auto"/>
        <w:ind w:firstLine="560" w:firstLineChars="200"/>
        <w:rPr>
          <w:color w:val="auto"/>
          <w:kern w:val="0"/>
          <w:sz w:val="28"/>
          <w:szCs w:val="28"/>
        </w:rPr>
      </w:pPr>
      <w:r>
        <w:rPr>
          <w:color w:val="auto"/>
          <w:sz w:val="28"/>
          <w:szCs w:val="28"/>
        </w:rPr>
        <w:t>2、</w:t>
      </w:r>
      <w:r>
        <w:rPr>
          <w:color w:val="auto"/>
          <w:kern w:val="0"/>
          <w:sz w:val="28"/>
          <w:szCs w:val="28"/>
        </w:rPr>
        <w:t>土壤重构工程</w:t>
      </w:r>
    </w:p>
    <w:p w14:paraId="3E9BE997">
      <w:pPr>
        <w:widowControl/>
        <w:spacing w:line="360" w:lineRule="auto"/>
        <w:ind w:firstLine="560" w:firstLineChars="200"/>
        <w:rPr>
          <w:color w:val="auto"/>
          <w:kern w:val="0"/>
          <w:sz w:val="28"/>
          <w:szCs w:val="28"/>
        </w:rPr>
      </w:pPr>
      <w:r>
        <w:rPr>
          <w:color w:val="auto"/>
          <w:kern w:val="0"/>
          <w:sz w:val="28"/>
          <w:szCs w:val="28"/>
        </w:rPr>
        <w:t>覆土工程</w:t>
      </w:r>
      <w:r>
        <w:rPr>
          <w:rFonts w:hint="eastAsia"/>
          <w:color w:val="auto"/>
          <w:kern w:val="0"/>
          <w:sz w:val="28"/>
          <w:szCs w:val="28"/>
        </w:rPr>
        <w:t>：</w:t>
      </w:r>
      <w:r>
        <w:rPr>
          <w:color w:val="auto"/>
          <w:kern w:val="0"/>
          <w:sz w:val="28"/>
          <w:szCs w:val="28"/>
        </w:rPr>
        <w:t>需复垦面积为</w:t>
      </w:r>
      <w:r>
        <w:rPr>
          <w:rFonts w:hint="eastAsia"/>
          <w:color w:val="auto"/>
          <w:kern w:val="0"/>
          <w:sz w:val="28"/>
          <w:szCs w:val="28"/>
          <w:lang w:val="en-US" w:eastAsia="zh-CN"/>
        </w:rPr>
        <w:t>14034</w:t>
      </w:r>
      <w:r>
        <w:rPr>
          <w:color w:val="auto"/>
          <w:kern w:val="0"/>
          <w:sz w:val="28"/>
          <w:szCs w:val="28"/>
        </w:rPr>
        <w:t>m</w:t>
      </w:r>
      <w:r>
        <w:rPr>
          <w:color w:val="auto"/>
          <w:kern w:val="0"/>
          <w:sz w:val="28"/>
          <w:szCs w:val="28"/>
          <w:vertAlign w:val="superscript"/>
        </w:rPr>
        <w:t>2</w:t>
      </w:r>
      <w:r>
        <w:rPr>
          <w:color w:val="auto"/>
          <w:kern w:val="0"/>
          <w:sz w:val="28"/>
          <w:szCs w:val="28"/>
        </w:rPr>
        <w:t>，利用挖掘机、推土机对</w:t>
      </w:r>
      <w:r>
        <w:rPr>
          <w:rFonts w:hint="eastAsia"/>
          <w:color w:val="auto"/>
          <w:kern w:val="0"/>
          <w:sz w:val="28"/>
          <w:szCs w:val="28"/>
          <w:lang w:val="en-US" w:eastAsia="zh-CN"/>
        </w:rPr>
        <w:t>场地</w:t>
      </w:r>
      <w:r>
        <w:rPr>
          <w:color w:val="auto"/>
          <w:kern w:val="0"/>
          <w:sz w:val="28"/>
          <w:szCs w:val="28"/>
        </w:rPr>
        <w:t>进行覆土，覆土厚度为0.</w:t>
      </w:r>
      <w:r>
        <w:rPr>
          <w:rFonts w:hint="eastAsia"/>
          <w:color w:val="auto"/>
          <w:kern w:val="0"/>
          <w:sz w:val="28"/>
          <w:szCs w:val="28"/>
          <w:lang w:val="en-US" w:eastAsia="zh-CN"/>
        </w:rPr>
        <w:t>3</w:t>
      </w:r>
      <w:r>
        <w:rPr>
          <w:color w:val="auto"/>
          <w:kern w:val="0"/>
          <w:sz w:val="28"/>
          <w:szCs w:val="28"/>
        </w:rPr>
        <w:t>m，覆土量为</w:t>
      </w:r>
      <w:r>
        <w:rPr>
          <w:rFonts w:hint="eastAsia"/>
          <w:color w:val="auto"/>
          <w:kern w:val="0"/>
          <w:sz w:val="28"/>
          <w:szCs w:val="28"/>
          <w:lang w:val="en-US" w:eastAsia="zh-CN"/>
        </w:rPr>
        <w:t>4210</w:t>
      </w:r>
      <w:r>
        <w:rPr>
          <w:color w:val="auto"/>
          <w:kern w:val="0"/>
          <w:sz w:val="28"/>
          <w:szCs w:val="28"/>
        </w:rPr>
        <w:t>m</w:t>
      </w:r>
      <w:r>
        <w:rPr>
          <w:color w:val="auto"/>
          <w:kern w:val="0"/>
          <w:sz w:val="28"/>
          <w:szCs w:val="28"/>
          <w:vertAlign w:val="superscript"/>
        </w:rPr>
        <w:t>3</w:t>
      </w:r>
      <w:r>
        <w:rPr>
          <w:color w:val="auto"/>
          <w:kern w:val="0"/>
          <w:sz w:val="28"/>
          <w:szCs w:val="28"/>
        </w:rPr>
        <w:t>。通过表土覆盖，保证植被生长需要，有利于恢复地表植被。</w:t>
      </w:r>
      <w:r>
        <w:rPr>
          <w:rFonts w:hint="eastAsia"/>
          <w:color w:val="auto"/>
          <w:kern w:val="0"/>
          <w:sz w:val="28"/>
          <w:szCs w:val="28"/>
          <w:lang w:val="en-US" w:eastAsia="zh-CN"/>
        </w:rPr>
        <w:t>矿山无表土存储场，本次矿区生态修复工作中</w:t>
      </w:r>
      <w:r>
        <w:rPr>
          <w:rFonts w:hint="eastAsia"/>
          <w:color w:val="auto"/>
          <w:kern w:val="0"/>
          <w:sz w:val="28"/>
          <w:szCs w:val="28"/>
        </w:rPr>
        <w:t>覆土</w:t>
      </w:r>
      <w:r>
        <w:rPr>
          <w:rFonts w:hint="eastAsia"/>
          <w:color w:val="auto"/>
          <w:kern w:val="0"/>
          <w:sz w:val="28"/>
          <w:szCs w:val="28"/>
          <w:lang w:val="en-US" w:eastAsia="zh-CN"/>
        </w:rPr>
        <w:t>所需的土方量需外购。</w:t>
      </w:r>
    </w:p>
    <w:p w14:paraId="72CFF13F">
      <w:pPr>
        <w:widowControl/>
        <w:spacing w:line="360" w:lineRule="auto"/>
        <w:ind w:firstLine="560" w:firstLineChars="200"/>
        <w:rPr>
          <w:color w:val="auto"/>
          <w:kern w:val="0"/>
          <w:sz w:val="28"/>
          <w:szCs w:val="28"/>
        </w:rPr>
      </w:pPr>
      <w:r>
        <w:rPr>
          <w:color w:val="auto"/>
          <w:kern w:val="0"/>
          <w:sz w:val="28"/>
          <w:szCs w:val="28"/>
        </w:rPr>
        <w:t>3、植被重建工程</w:t>
      </w:r>
    </w:p>
    <w:p w14:paraId="19F6C84A">
      <w:pPr>
        <w:spacing w:line="360" w:lineRule="auto"/>
        <w:ind w:firstLine="560" w:firstLineChars="200"/>
        <w:rPr>
          <w:rFonts w:hint="eastAsia"/>
          <w:color w:val="auto"/>
          <w:kern w:val="0"/>
          <w:sz w:val="28"/>
          <w:szCs w:val="28"/>
          <w:lang w:val="en-US" w:eastAsia="zh-CN"/>
        </w:rPr>
      </w:pPr>
      <w:r>
        <w:rPr>
          <w:color w:val="auto"/>
          <w:kern w:val="0"/>
          <w:sz w:val="28"/>
          <w:szCs w:val="28"/>
        </w:rPr>
        <w:t>撒播种草：选择羊草+披碱草+紫花苜蓿混合播种，用于复垦牧草种子必须是一级种，并且要有“一签、三证”；采用人力补种的方法，在雨季来临后到入秋前，补种草籽，根据草场实际生长情况，撒播量可适当调整。播种草籽方法采用撒播，草籽撒播密度为</w:t>
      </w:r>
      <w:r>
        <w:rPr>
          <w:rFonts w:hint="eastAsia"/>
          <w:color w:val="auto"/>
          <w:kern w:val="0"/>
          <w:sz w:val="28"/>
          <w:szCs w:val="28"/>
          <w:lang w:val="en-US" w:eastAsia="zh-CN"/>
        </w:rPr>
        <w:t>45</w:t>
      </w:r>
      <w:r>
        <w:rPr>
          <w:color w:val="auto"/>
          <w:kern w:val="0"/>
          <w:sz w:val="28"/>
          <w:szCs w:val="28"/>
        </w:rPr>
        <w:t>kg/hm</w:t>
      </w:r>
      <w:r>
        <w:rPr>
          <w:color w:val="auto"/>
          <w:kern w:val="0"/>
          <w:sz w:val="28"/>
          <w:szCs w:val="28"/>
          <w:vertAlign w:val="superscript"/>
        </w:rPr>
        <w:t>2</w:t>
      </w:r>
      <w:r>
        <w:rPr>
          <w:color w:val="auto"/>
          <w:kern w:val="0"/>
          <w:sz w:val="28"/>
          <w:szCs w:val="28"/>
        </w:rPr>
        <w:t>。撒播种草的面积</w:t>
      </w:r>
      <w:r>
        <w:rPr>
          <w:rFonts w:hint="eastAsia"/>
          <w:color w:val="auto"/>
          <w:kern w:val="0"/>
          <w:sz w:val="28"/>
          <w:szCs w:val="28"/>
          <w:lang w:val="en-US" w:eastAsia="zh-CN"/>
        </w:rPr>
        <w:t>14034</w:t>
      </w:r>
      <w:r>
        <w:rPr>
          <w:color w:val="auto"/>
          <w:kern w:val="0"/>
          <w:sz w:val="28"/>
          <w:szCs w:val="28"/>
        </w:rPr>
        <w:t>m</w:t>
      </w:r>
      <w:r>
        <w:rPr>
          <w:color w:val="auto"/>
          <w:kern w:val="0"/>
          <w:sz w:val="28"/>
          <w:szCs w:val="28"/>
          <w:vertAlign w:val="superscript"/>
        </w:rPr>
        <w:t>2</w:t>
      </w:r>
      <w:r>
        <w:rPr>
          <w:color w:val="auto"/>
          <w:kern w:val="0"/>
          <w:sz w:val="28"/>
          <w:szCs w:val="28"/>
        </w:rPr>
        <w:t>。及时进行浇水，每年2次。</w:t>
      </w:r>
      <w:r>
        <w:rPr>
          <w:rFonts w:hint="eastAsia"/>
          <w:color w:val="auto"/>
          <w:kern w:val="0"/>
          <w:sz w:val="28"/>
          <w:szCs w:val="28"/>
          <w:lang w:val="en-US" w:eastAsia="zh-CN"/>
        </w:rPr>
        <w:t>治理效果见图4-5。</w:t>
      </w:r>
    </w:p>
    <w:p w14:paraId="3DEDF279">
      <w:pPr>
        <w:spacing w:line="360" w:lineRule="auto"/>
        <w:jc w:val="center"/>
        <w:rPr>
          <w:rFonts w:hint="eastAsia" w:ascii="黑体" w:hAnsi="黑体" w:eastAsia="黑体" w:cs="黑体"/>
          <w:color w:val="auto"/>
          <w:kern w:val="0"/>
          <w:sz w:val="24"/>
          <w:szCs w:val="24"/>
          <w:lang w:val="en-US" w:eastAsia="zh-CN"/>
        </w:rPr>
      </w:pPr>
      <w:r>
        <w:rPr>
          <w:rFonts w:hint="eastAsia" w:ascii="黑体" w:hAnsi="黑体" w:eastAsia="黑体" w:cs="黑体"/>
          <w:color w:val="auto"/>
          <w:kern w:val="0"/>
          <w:sz w:val="24"/>
          <w:szCs w:val="24"/>
          <w:lang w:val="en-US" w:eastAsia="zh-CN"/>
        </w:rPr>
        <w:t xml:space="preserve">    </w:t>
      </w:r>
    </w:p>
    <w:p w14:paraId="1C3A21BD">
      <w:pPr>
        <w:spacing w:line="360" w:lineRule="auto"/>
        <w:jc w:val="center"/>
        <w:rPr>
          <w:rFonts w:hint="eastAsia" w:ascii="黑体" w:hAnsi="黑体" w:eastAsia="黑体" w:cs="黑体"/>
          <w:color w:val="auto"/>
          <w:kern w:val="0"/>
          <w:sz w:val="24"/>
          <w:szCs w:val="24"/>
          <w:lang w:val="en-US" w:eastAsia="zh-CN"/>
        </w:rPr>
      </w:pPr>
      <w:r>
        <w:rPr>
          <w:rFonts w:hint="eastAsia" w:ascii="黑体" w:hAnsi="黑体" w:eastAsia="黑体" w:cs="黑体"/>
          <w:color w:val="auto"/>
          <w:kern w:val="0"/>
          <w:sz w:val="24"/>
          <w:szCs w:val="24"/>
          <w:lang w:val="en-US" w:eastAsia="zh-CN"/>
        </w:rPr>
        <w:t>图4-5  2#废石场治理效果剖面图</w:t>
      </w:r>
    </w:p>
    <w:p w14:paraId="1107E476">
      <w:pPr>
        <w:pStyle w:val="5"/>
        <w:keepNext w:val="0"/>
        <w:keepLines w:val="0"/>
        <w:adjustRightInd/>
        <w:snapToGrid/>
        <w:ind w:firstLine="562"/>
        <w:rPr>
          <w:rFonts w:hint="default"/>
          <w:bCs/>
          <w:color w:val="auto"/>
          <w:sz w:val="28"/>
          <w:szCs w:val="24"/>
          <w:lang w:val="en-US" w:eastAsia="zh-CN"/>
        </w:rPr>
      </w:pPr>
      <w:r>
        <w:rPr>
          <w:rFonts w:hint="eastAsia"/>
          <w:bCs/>
          <w:color w:val="auto"/>
          <w:sz w:val="28"/>
          <w:szCs w:val="24"/>
        </w:rPr>
        <w:t>（</w:t>
      </w:r>
      <w:r>
        <w:rPr>
          <w:rFonts w:hint="eastAsia"/>
          <w:bCs/>
          <w:color w:val="auto"/>
          <w:sz w:val="28"/>
          <w:szCs w:val="24"/>
          <w:lang w:val="en-US" w:eastAsia="zh-CN"/>
        </w:rPr>
        <w:t>四</w:t>
      </w:r>
      <w:r>
        <w:rPr>
          <w:rFonts w:hint="eastAsia"/>
          <w:bCs/>
          <w:color w:val="auto"/>
          <w:sz w:val="28"/>
          <w:szCs w:val="24"/>
        </w:rPr>
        <w:t>）</w:t>
      </w:r>
      <w:r>
        <w:rPr>
          <w:rFonts w:hint="eastAsia" w:asciiTheme="minorEastAsia" w:hAnsiTheme="minorEastAsia" w:eastAsiaTheme="minorEastAsia" w:cstheme="minorEastAsia"/>
          <w:bCs/>
          <w:color w:val="auto"/>
          <w:sz w:val="28"/>
          <w:szCs w:val="24"/>
          <w:lang w:val="en-US" w:eastAsia="zh-CN"/>
        </w:rPr>
        <w:t>1#废渣堆</w:t>
      </w:r>
    </w:p>
    <w:p w14:paraId="0F5A5ECA">
      <w:pPr>
        <w:widowControl/>
        <w:spacing w:line="360" w:lineRule="auto"/>
        <w:ind w:firstLine="560" w:firstLineChars="200"/>
        <w:rPr>
          <w:color w:val="auto"/>
          <w:sz w:val="28"/>
          <w:szCs w:val="28"/>
        </w:rPr>
      </w:pPr>
      <w:r>
        <w:rPr>
          <w:rFonts w:hint="eastAsia"/>
          <w:bCs/>
          <w:color w:val="auto"/>
          <w:sz w:val="28"/>
          <w:szCs w:val="24"/>
          <w:lang w:val="en-US" w:eastAsia="zh-CN"/>
        </w:rPr>
        <w:t>1</w:t>
      </w:r>
      <w:r>
        <w:rPr>
          <w:color w:val="auto"/>
          <w:kern w:val="0"/>
          <w:sz w:val="28"/>
          <w:szCs w:val="28"/>
        </w:rPr>
        <w:t>、地貌重塑工程</w:t>
      </w:r>
    </w:p>
    <w:p w14:paraId="4F09862D">
      <w:pPr>
        <w:widowControl/>
        <w:spacing w:line="360" w:lineRule="auto"/>
        <w:ind w:firstLine="560" w:firstLineChars="200"/>
        <w:rPr>
          <w:rFonts w:hint="eastAsia"/>
          <w:color w:val="auto"/>
          <w:kern w:val="0"/>
          <w:sz w:val="28"/>
          <w:szCs w:val="28"/>
          <w:lang w:val="en-US" w:eastAsia="zh-CN"/>
        </w:rPr>
      </w:pPr>
      <w:r>
        <w:rPr>
          <w:rFonts w:hint="eastAsia"/>
          <w:bCs/>
          <w:color w:val="auto"/>
          <w:sz w:val="28"/>
          <w:szCs w:val="24"/>
          <w:lang w:val="en-US" w:eastAsia="zh-CN"/>
        </w:rPr>
        <w:t>（1）</w:t>
      </w:r>
      <w:r>
        <w:rPr>
          <w:rFonts w:hint="eastAsia"/>
          <w:color w:val="auto"/>
          <w:kern w:val="0"/>
          <w:sz w:val="28"/>
          <w:szCs w:val="28"/>
          <w:lang w:val="en-US" w:eastAsia="zh-CN"/>
        </w:rPr>
        <w:t>削坡整形</w:t>
      </w:r>
    </w:p>
    <w:p w14:paraId="6730946D">
      <w:pPr>
        <w:widowControl/>
        <w:spacing w:line="360" w:lineRule="auto"/>
        <w:ind w:firstLine="560" w:firstLineChars="200"/>
        <w:rPr>
          <w:rFonts w:hint="default"/>
          <w:color w:val="auto"/>
          <w:sz w:val="28"/>
          <w:szCs w:val="28"/>
          <w:lang w:val="en-US" w:eastAsia="zh-CN"/>
        </w:rPr>
      </w:pPr>
      <w:r>
        <w:rPr>
          <w:rFonts w:hint="eastAsia"/>
          <w:color w:val="auto"/>
          <w:sz w:val="28"/>
          <w:szCs w:val="28"/>
          <w:lang w:val="en-US" w:eastAsia="zh-CN"/>
        </w:rPr>
        <w:t>对场地南侧边坡进行削坡，其中削坡产生的方量就地堆放压脚放缓坡度，不外运，需削坡整形</w:t>
      </w:r>
      <w:r>
        <w:rPr>
          <w:rFonts w:hint="eastAsia"/>
          <w:color w:val="auto"/>
          <w:sz w:val="28"/>
          <w:szCs w:val="28"/>
        </w:rPr>
        <w:t>长约</w:t>
      </w:r>
      <w:r>
        <w:rPr>
          <w:rFonts w:hint="eastAsia"/>
          <w:color w:val="auto"/>
          <w:sz w:val="28"/>
          <w:szCs w:val="28"/>
          <w:lang w:val="en-US" w:eastAsia="zh-CN"/>
        </w:rPr>
        <w:t>60</w:t>
      </w:r>
      <w:r>
        <w:rPr>
          <w:rFonts w:hint="eastAsia"/>
          <w:color w:val="auto"/>
          <w:sz w:val="28"/>
          <w:szCs w:val="28"/>
        </w:rPr>
        <w:t>m，坡角约为</w:t>
      </w:r>
      <w:r>
        <w:rPr>
          <w:rFonts w:hint="eastAsia"/>
          <w:color w:val="auto"/>
          <w:sz w:val="28"/>
          <w:szCs w:val="28"/>
          <w:lang w:val="en-US" w:eastAsia="zh-CN"/>
        </w:rPr>
        <w:t>40</w:t>
      </w:r>
      <w:r>
        <w:rPr>
          <w:rFonts w:hint="eastAsia"/>
          <w:color w:val="auto"/>
          <w:sz w:val="28"/>
          <w:szCs w:val="28"/>
        </w:rPr>
        <w:t>°</w:t>
      </w:r>
      <w:r>
        <w:rPr>
          <w:rFonts w:hint="eastAsia"/>
          <w:color w:val="auto"/>
          <w:sz w:val="28"/>
          <w:szCs w:val="28"/>
          <w:lang w:eastAsia="zh-CN"/>
        </w:rPr>
        <w:t>，</w:t>
      </w:r>
      <w:r>
        <w:rPr>
          <w:rFonts w:hint="eastAsia"/>
          <w:color w:val="auto"/>
          <w:sz w:val="28"/>
          <w:szCs w:val="28"/>
          <w:lang w:val="en-US" w:eastAsia="zh-CN"/>
        </w:rPr>
        <w:t>削坡整形后坡角约30°，根据剖面法计算，单位削坡量4.9m</w:t>
      </w:r>
      <w:r>
        <w:rPr>
          <w:rFonts w:hint="eastAsia"/>
          <w:color w:val="auto"/>
          <w:sz w:val="28"/>
          <w:szCs w:val="28"/>
          <w:vertAlign w:val="superscript"/>
          <w:lang w:val="en-US" w:eastAsia="zh-CN"/>
        </w:rPr>
        <w:t>3</w:t>
      </w:r>
      <w:r>
        <w:rPr>
          <w:rFonts w:hint="eastAsia"/>
          <w:color w:val="auto"/>
          <w:sz w:val="28"/>
          <w:szCs w:val="28"/>
          <w:vertAlign w:val="baseline"/>
          <w:lang w:val="en-US" w:eastAsia="zh-CN"/>
        </w:rPr>
        <w:t>/m</w:t>
      </w:r>
      <w:r>
        <w:rPr>
          <w:rFonts w:hint="eastAsia"/>
          <w:color w:val="auto"/>
          <w:sz w:val="28"/>
          <w:szCs w:val="28"/>
          <w:lang w:eastAsia="zh-CN"/>
        </w:rPr>
        <w:t>，</w:t>
      </w:r>
      <w:r>
        <w:rPr>
          <w:rFonts w:hint="eastAsia"/>
          <w:color w:val="auto"/>
          <w:sz w:val="28"/>
          <w:szCs w:val="28"/>
        </w:rPr>
        <w:t>削坡</w:t>
      </w:r>
      <w:r>
        <w:rPr>
          <w:rFonts w:hint="eastAsia"/>
          <w:color w:val="auto"/>
          <w:sz w:val="28"/>
          <w:szCs w:val="28"/>
          <w:lang w:val="en-US" w:eastAsia="zh-CN"/>
        </w:rPr>
        <w:t>总</w:t>
      </w:r>
      <w:r>
        <w:rPr>
          <w:rFonts w:hint="eastAsia"/>
          <w:color w:val="auto"/>
          <w:sz w:val="28"/>
          <w:szCs w:val="28"/>
        </w:rPr>
        <w:t>方量</w:t>
      </w:r>
      <w:r>
        <w:rPr>
          <w:rFonts w:hint="eastAsia"/>
          <w:color w:val="auto"/>
          <w:sz w:val="28"/>
          <w:szCs w:val="28"/>
          <w:lang w:val="en-US" w:eastAsia="zh-CN"/>
        </w:rPr>
        <w:t>294</w:t>
      </w:r>
      <w:r>
        <w:rPr>
          <w:rFonts w:hint="eastAsia"/>
          <w:color w:val="auto"/>
          <w:sz w:val="28"/>
          <w:szCs w:val="28"/>
        </w:rPr>
        <w:t>m</w:t>
      </w:r>
      <w:r>
        <w:rPr>
          <w:rFonts w:hint="eastAsia"/>
          <w:color w:val="auto"/>
          <w:sz w:val="28"/>
          <w:szCs w:val="28"/>
          <w:vertAlign w:val="superscript"/>
        </w:rPr>
        <w:t>3</w:t>
      </w:r>
      <w:r>
        <w:rPr>
          <w:rFonts w:hint="eastAsia"/>
          <w:color w:val="auto"/>
          <w:sz w:val="28"/>
          <w:szCs w:val="28"/>
        </w:rPr>
        <w:t>。</w:t>
      </w:r>
    </w:p>
    <w:p w14:paraId="15170D95">
      <w:pPr>
        <w:widowControl/>
        <w:spacing w:line="360" w:lineRule="auto"/>
        <w:ind w:firstLine="560" w:firstLineChars="200"/>
        <w:rPr>
          <w:color w:val="auto"/>
          <w:kern w:val="0"/>
          <w:sz w:val="28"/>
          <w:szCs w:val="28"/>
        </w:rPr>
      </w:pPr>
      <w:r>
        <w:rPr>
          <w:color w:val="auto"/>
          <w:sz w:val="28"/>
          <w:szCs w:val="28"/>
        </w:rPr>
        <w:t>2、</w:t>
      </w:r>
      <w:r>
        <w:rPr>
          <w:color w:val="auto"/>
          <w:kern w:val="0"/>
          <w:sz w:val="28"/>
          <w:szCs w:val="28"/>
        </w:rPr>
        <w:t>土壤重构工程</w:t>
      </w:r>
    </w:p>
    <w:p w14:paraId="3070B73D">
      <w:pPr>
        <w:widowControl/>
        <w:spacing w:line="360" w:lineRule="auto"/>
        <w:ind w:firstLine="560" w:firstLineChars="200"/>
        <w:rPr>
          <w:color w:val="auto"/>
          <w:kern w:val="0"/>
          <w:sz w:val="28"/>
          <w:szCs w:val="28"/>
        </w:rPr>
      </w:pPr>
      <w:r>
        <w:rPr>
          <w:color w:val="auto"/>
          <w:kern w:val="0"/>
          <w:sz w:val="28"/>
          <w:szCs w:val="28"/>
        </w:rPr>
        <w:t>覆土工程</w:t>
      </w:r>
      <w:r>
        <w:rPr>
          <w:rFonts w:hint="eastAsia"/>
          <w:color w:val="auto"/>
          <w:kern w:val="0"/>
          <w:sz w:val="28"/>
          <w:szCs w:val="28"/>
        </w:rPr>
        <w:t>：</w:t>
      </w:r>
      <w:r>
        <w:rPr>
          <w:color w:val="auto"/>
          <w:kern w:val="0"/>
          <w:sz w:val="28"/>
          <w:szCs w:val="28"/>
        </w:rPr>
        <w:t>需复垦面积为</w:t>
      </w:r>
      <w:r>
        <w:rPr>
          <w:rFonts w:hint="eastAsia"/>
          <w:color w:val="auto"/>
          <w:kern w:val="0"/>
          <w:sz w:val="28"/>
          <w:szCs w:val="28"/>
          <w:lang w:val="en-US" w:eastAsia="zh-CN"/>
        </w:rPr>
        <w:t>3993</w:t>
      </w:r>
      <w:r>
        <w:rPr>
          <w:color w:val="auto"/>
          <w:kern w:val="0"/>
          <w:sz w:val="28"/>
          <w:szCs w:val="28"/>
        </w:rPr>
        <w:t>m</w:t>
      </w:r>
      <w:r>
        <w:rPr>
          <w:color w:val="auto"/>
          <w:kern w:val="0"/>
          <w:sz w:val="28"/>
          <w:szCs w:val="28"/>
          <w:vertAlign w:val="superscript"/>
        </w:rPr>
        <w:t>2</w:t>
      </w:r>
      <w:r>
        <w:rPr>
          <w:color w:val="auto"/>
          <w:kern w:val="0"/>
          <w:sz w:val="28"/>
          <w:szCs w:val="28"/>
        </w:rPr>
        <w:t>，利用挖掘机、推土机对</w:t>
      </w:r>
      <w:r>
        <w:rPr>
          <w:rFonts w:hint="eastAsia"/>
          <w:color w:val="auto"/>
          <w:kern w:val="0"/>
          <w:sz w:val="28"/>
          <w:szCs w:val="28"/>
          <w:lang w:val="en-US" w:eastAsia="zh-CN"/>
        </w:rPr>
        <w:t>场地</w:t>
      </w:r>
      <w:r>
        <w:rPr>
          <w:color w:val="auto"/>
          <w:kern w:val="0"/>
          <w:sz w:val="28"/>
          <w:szCs w:val="28"/>
        </w:rPr>
        <w:t>进行覆土，覆土厚度为0.</w:t>
      </w:r>
      <w:r>
        <w:rPr>
          <w:rFonts w:hint="eastAsia"/>
          <w:color w:val="auto"/>
          <w:kern w:val="0"/>
          <w:sz w:val="28"/>
          <w:szCs w:val="28"/>
          <w:lang w:val="en-US" w:eastAsia="zh-CN"/>
        </w:rPr>
        <w:t>3</w:t>
      </w:r>
      <w:r>
        <w:rPr>
          <w:color w:val="auto"/>
          <w:kern w:val="0"/>
          <w:sz w:val="28"/>
          <w:szCs w:val="28"/>
        </w:rPr>
        <w:t>m，覆土量为</w:t>
      </w:r>
      <w:r>
        <w:rPr>
          <w:rFonts w:hint="eastAsia"/>
          <w:color w:val="auto"/>
          <w:kern w:val="0"/>
          <w:sz w:val="28"/>
          <w:szCs w:val="28"/>
          <w:lang w:val="en-US" w:eastAsia="zh-CN"/>
        </w:rPr>
        <w:t>1198</w:t>
      </w:r>
      <w:r>
        <w:rPr>
          <w:color w:val="auto"/>
          <w:kern w:val="0"/>
          <w:sz w:val="28"/>
          <w:szCs w:val="28"/>
        </w:rPr>
        <w:t>m</w:t>
      </w:r>
      <w:r>
        <w:rPr>
          <w:color w:val="auto"/>
          <w:kern w:val="0"/>
          <w:sz w:val="28"/>
          <w:szCs w:val="28"/>
          <w:vertAlign w:val="superscript"/>
        </w:rPr>
        <w:t>3</w:t>
      </w:r>
      <w:r>
        <w:rPr>
          <w:color w:val="auto"/>
          <w:kern w:val="0"/>
          <w:sz w:val="28"/>
          <w:szCs w:val="28"/>
        </w:rPr>
        <w:t>。通过表土覆盖，保证植被生长需要，有利于恢复地表植被。</w:t>
      </w:r>
      <w:r>
        <w:rPr>
          <w:rFonts w:hint="eastAsia"/>
          <w:color w:val="auto"/>
          <w:kern w:val="0"/>
          <w:sz w:val="28"/>
          <w:szCs w:val="28"/>
          <w:lang w:val="en-US" w:eastAsia="zh-CN"/>
        </w:rPr>
        <w:t>矿山无表土存储场，本次矿区生态修复工作中</w:t>
      </w:r>
      <w:r>
        <w:rPr>
          <w:rFonts w:hint="eastAsia"/>
          <w:color w:val="auto"/>
          <w:kern w:val="0"/>
          <w:sz w:val="28"/>
          <w:szCs w:val="28"/>
        </w:rPr>
        <w:t>覆土</w:t>
      </w:r>
      <w:r>
        <w:rPr>
          <w:rFonts w:hint="eastAsia"/>
          <w:color w:val="auto"/>
          <w:kern w:val="0"/>
          <w:sz w:val="28"/>
          <w:szCs w:val="28"/>
          <w:lang w:val="en-US" w:eastAsia="zh-CN"/>
        </w:rPr>
        <w:t>所需的土方量需外购。</w:t>
      </w:r>
    </w:p>
    <w:p w14:paraId="6F327C25">
      <w:pPr>
        <w:widowControl/>
        <w:spacing w:line="360" w:lineRule="auto"/>
        <w:ind w:firstLine="560" w:firstLineChars="200"/>
        <w:rPr>
          <w:color w:val="auto"/>
          <w:kern w:val="0"/>
          <w:sz w:val="28"/>
          <w:szCs w:val="28"/>
        </w:rPr>
      </w:pPr>
      <w:r>
        <w:rPr>
          <w:color w:val="auto"/>
          <w:kern w:val="0"/>
          <w:sz w:val="28"/>
          <w:szCs w:val="28"/>
        </w:rPr>
        <w:t>3、植被重建工程</w:t>
      </w:r>
    </w:p>
    <w:p w14:paraId="3636C131">
      <w:pPr>
        <w:spacing w:line="360" w:lineRule="auto"/>
        <w:ind w:firstLine="560" w:firstLineChars="200"/>
        <w:rPr>
          <w:rFonts w:hint="eastAsia"/>
          <w:color w:val="auto"/>
          <w:kern w:val="0"/>
          <w:sz w:val="28"/>
          <w:szCs w:val="28"/>
          <w:lang w:val="en-US" w:eastAsia="zh-CN"/>
        </w:rPr>
      </w:pPr>
      <w:r>
        <w:rPr>
          <w:color w:val="auto"/>
          <w:kern w:val="0"/>
          <w:sz w:val="28"/>
          <w:szCs w:val="28"/>
        </w:rPr>
        <w:t>撒播种草：选择羊草+披碱草+紫花苜蓿混合播种，用于复垦牧草种子必须是一级种，并且要有“一签、三证”；采用人力补种的方法，在雨季来临后到入秋前，补种草籽，根据草场实际生长情况，撒播量可适当调整。播种草籽方法采用撒播，草籽撒播密度为</w:t>
      </w:r>
      <w:r>
        <w:rPr>
          <w:rFonts w:hint="eastAsia"/>
          <w:color w:val="auto"/>
          <w:kern w:val="0"/>
          <w:sz w:val="28"/>
          <w:szCs w:val="28"/>
          <w:lang w:val="en-US" w:eastAsia="zh-CN"/>
        </w:rPr>
        <w:t>45</w:t>
      </w:r>
      <w:r>
        <w:rPr>
          <w:color w:val="auto"/>
          <w:kern w:val="0"/>
          <w:sz w:val="28"/>
          <w:szCs w:val="28"/>
        </w:rPr>
        <w:t>kg/hm</w:t>
      </w:r>
      <w:r>
        <w:rPr>
          <w:color w:val="auto"/>
          <w:kern w:val="0"/>
          <w:sz w:val="28"/>
          <w:szCs w:val="28"/>
          <w:vertAlign w:val="superscript"/>
        </w:rPr>
        <w:t>2</w:t>
      </w:r>
      <w:r>
        <w:rPr>
          <w:color w:val="auto"/>
          <w:kern w:val="0"/>
          <w:sz w:val="28"/>
          <w:szCs w:val="28"/>
        </w:rPr>
        <w:t>。撒播种草的面积</w:t>
      </w:r>
      <w:r>
        <w:rPr>
          <w:rFonts w:hint="eastAsia"/>
          <w:color w:val="auto"/>
          <w:kern w:val="0"/>
          <w:sz w:val="28"/>
          <w:szCs w:val="28"/>
          <w:lang w:val="en-US" w:eastAsia="zh-CN"/>
        </w:rPr>
        <w:t>3993</w:t>
      </w:r>
      <w:r>
        <w:rPr>
          <w:color w:val="auto"/>
          <w:kern w:val="0"/>
          <w:sz w:val="28"/>
          <w:szCs w:val="28"/>
        </w:rPr>
        <w:t>m</w:t>
      </w:r>
      <w:r>
        <w:rPr>
          <w:color w:val="auto"/>
          <w:kern w:val="0"/>
          <w:sz w:val="28"/>
          <w:szCs w:val="28"/>
          <w:vertAlign w:val="superscript"/>
        </w:rPr>
        <w:t>2</w:t>
      </w:r>
      <w:r>
        <w:rPr>
          <w:color w:val="auto"/>
          <w:kern w:val="0"/>
          <w:sz w:val="28"/>
          <w:szCs w:val="28"/>
        </w:rPr>
        <w:t>。及时进行浇水，每年2次。</w:t>
      </w:r>
      <w:r>
        <w:rPr>
          <w:rFonts w:hint="eastAsia"/>
          <w:color w:val="auto"/>
          <w:kern w:val="0"/>
          <w:sz w:val="28"/>
          <w:szCs w:val="28"/>
          <w:lang w:val="en-US" w:eastAsia="zh-CN"/>
        </w:rPr>
        <w:t>治理效果见图4-6。</w:t>
      </w:r>
    </w:p>
    <w:p w14:paraId="1C2E52A9">
      <w:pPr>
        <w:spacing w:line="360" w:lineRule="auto"/>
        <w:ind w:firstLine="480" w:firstLineChars="200"/>
        <w:jc w:val="center"/>
        <w:rPr>
          <w:rFonts w:hint="eastAsia" w:ascii="黑体" w:hAnsi="黑体" w:eastAsia="黑体" w:cs="黑体"/>
          <w:color w:val="auto"/>
          <w:kern w:val="0"/>
          <w:sz w:val="24"/>
          <w:szCs w:val="24"/>
          <w:lang w:val="en-US" w:eastAsia="zh-CN"/>
        </w:rPr>
      </w:pPr>
      <w:r>
        <w:rPr>
          <w:rFonts w:hint="eastAsia" w:ascii="黑体" w:hAnsi="黑体" w:eastAsia="黑体" w:cs="黑体"/>
          <w:color w:val="auto"/>
          <w:kern w:val="0"/>
          <w:sz w:val="24"/>
          <w:szCs w:val="24"/>
          <w:lang w:val="en-US" w:eastAsia="zh-CN"/>
        </w:rPr>
        <w:t xml:space="preserve">    </w:t>
      </w:r>
    </w:p>
    <w:p w14:paraId="6FE011DE">
      <w:pPr>
        <w:spacing w:line="360" w:lineRule="auto"/>
        <w:jc w:val="center"/>
        <w:rPr>
          <w:rFonts w:hint="eastAsia" w:ascii="黑体" w:hAnsi="黑体" w:eastAsia="黑体" w:cs="黑体"/>
          <w:color w:val="auto"/>
          <w:kern w:val="0"/>
          <w:sz w:val="24"/>
          <w:szCs w:val="24"/>
          <w:lang w:val="en-US" w:eastAsia="zh-CN"/>
        </w:rPr>
      </w:pPr>
      <w:r>
        <w:rPr>
          <w:rFonts w:hint="eastAsia" w:ascii="黑体" w:hAnsi="黑体" w:eastAsia="黑体" w:cs="黑体"/>
          <w:color w:val="auto"/>
          <w:kern w:val="0"/>
          <w:sz w:val="24"/>
          <w:szCs w:val="24"/>
          <w:lang w:val="en-US" w:eastAsia="zh-CN"/>
        </w:rPr>
        <w:t>图4-6  1#废渣堆治理剖面图</w:t>
      </w:r>
    </w:p>
    <w:p w14:paraId="697E8ED1">
      <w:pPr>
        <w:spacing w:line="360" w:lineRule="auto"/>
        <w:jc w:val="left"/>
        <w:rPr>
          <w:rFonts w:hint="eastAsia" w:asciiTheme="minorEastAsia" w:hAnsiTheme="minorEastAsia" w:eastAsiaTheme="minorEastAsia" w:cstheme="minorEastAsia"/>
          <w:b/>
          <w:bCs/>
          <w:color w:val="auto"/>
          <w:kern w:val="2"/>
          <w:sz w:val="28"/>
          <w:szCs w:val="24"/>
          <w:lang w:val="en-US" w:eastAsia="zh-CN" w:bidi="ar-SA"/>
        </w:rPr>
      </w:pPr>
      <w:r>
        <w:rPr>
          <w:rFonts w:hint="eastAsia" w:asciiTheme="minorEastAsia" w:hAnsiTheme="minorEastAsia" w:eastAsiaTheme="minorEastAsia" w:cstheme="minorEastAsia"/>
          <w:b/>
          <w:bCs/>
          <w:color w:val="auto"/>
          <w:kern w:val="2"/>
          <w:sz w:val="28"/>
          <w:szCs w:val="24"/>
          <w:lang w:val="en-US" w:eastAsia="zh-CN" w:bidi="ar-SA"/>
        </w:rPr>
        <w:t>（五）2#废渣堆</w:t>
      </w:r>
    </w:p>
    <w:p w14:paraId="444CAC19">
      <w:pPr>
        <w:widowControl/>
        <w:spacing w:line="360" w:lineRule="auto"/>
        <w:ind w:firstLine="560" w:firstLineChars="200"/>
        <w:rPr>
          <w:color w:val="auto"/>
          <w:sz w:val="28"/>
          <w:szCs w:val="28"/>
        </w:rPr>
      </w:pPr>
      <w:r>
        <w:rPr>
          <w:color w:val="auto"/>
          <w:kern w:val="0"/>
          <w:sz w:val="28"/>
          <w:szCs w:val="28"/>
        </w:rPr>
        <w:t>1、地貌重塑工程</w:t>
      </w:r>
    </w:p>
    <w:p w14:paraId="402D4B82">
      <w:pPr>
        <w:widowControl/>
        <w:spacing w:line="360" w:lineRule="auto"/>
        <w:ind w:firstLine="560" w:firstLineChars="200"/>
        <w:rPr>
          <w:rFonts w:hint="default"/>
          <w:color w:val="auto"/>
          <w:sz w:val="28"/>
          <w:szCs w:val="28"/>
          <w:lang w:val="en-US" w:eastAsia="zh-CN"/>
        </w:rPr>
      </w:pPr>
      <w:r>
        <w:rPr>
          <w:rFonts w:hint="eastAsia"/>
          <w:color w:val="auto"/>
          <w:sz w:val="28"/>
          <w:szCs w:val="28"/>
          <w:lang w:val="en-US" w:eastAsia="zh-CN"/>
        </w:rPr>
        <w:t>（1）边坡整形</w:t>
      </w:r>
    </w:p>
    <w:p w14:paraId="7C401F82">
      <w:pPr>
        <w:widowControl/>
        <w:spacing w:line="360" w:lineRule="auto"/>
        <w:ind w:firstLine="560" w:firstLineChars="200"/>
        <w:rPr>
          <w:rFonts w:hint="default"/>
          <w:color w:val="auto"/>
          <w:sz w:val="28"/>
          <w:szCs w:val="28"/>
          <w:lang w:val="en-US" w:eastAsia="zh-CN"/>
        </w:rPr>
      </w:pPr>
      <w:r>
        <w:rPr>
          <w:rFonts w:hint="eastAsia"/>
          <w:color w:val="auto"/>
          <w:sz w:val="28"/>
          <w:szCs w:val="28"/>
          <w:lang w:val="en-US" w:eastAsia="zh-CN"/>
        </w:rPr>
        <w:t>对场地南侧边坡进行削坡，其中削坡产生的方量就地堆放压脚放缓坡度，不外运，需削坡整形</w:t>
      </w:r>
      <w:r>
        <w:rPr>
          <w:rFonts w:hint="eastAsia"/>
          <w:color w:val="auto"/>
          <w:sz w:val="28"/>
          <w:szCs w:val="28"/>
        </w:rPr>
        <w:t>长约</w:t>
      </w:r>
      <w:r>
        <w:rPr>
          <w:rFonts w:hint="eastAsia"/>
          <w:color w:val="auto"/>
          <w:sz w:val="28"/>
          <w:szCs w:val="28"/>
          <w:lang w:val="en-US" w:eastAsia="zh-CN"/>
        </w:rPr>
        <w:t>32</w:t>
      </w:r>
      <w:r>
        <w:rPr>
          <w:rFonts w:hint="eastAsia"/>
          <w:color w:val="auto"/>
          <w:sz w:val="28"/>
          <w:szCs w:val="28"/>
        </w:rPr>
        <w:t>m，坡角约为</w:t>
      </w:r>
      <w:r>
        <w:rPr>
          <w:rFonts w:hint="eastAsia"/>
          <w:color w:val="auto"/>
          <w:sz w:val="28"/>
          <w:szCs w:val="28"/>
          <w:lang w:val="en-US" w:eastAsia="zh-CN"/>
        </w:rPr>
        <w:t>40</w:t>
      </w:r>
      <w:r>
        <w:rPr>
          <w:rFonts w:hint="eastAsia"/>
          <w:color w:val="auto"/>
          <w:sz w:val="28"/>
          <w:szCs w:val="28"/>
        </w:rPr>
        <w:t>°</w:t>
      </w:r>
      <w:r>
        <w:rPr>
          <w:rFonts w:hint="eastAsia"/>
          <w:color w:val="auto"/>
          <w:sz w:val="28"/>
          <w:szCs w:val="28"/>
          <w:lang w:eastAsia="zh-CN"/>
        </w:rPr>
        <w:t>，</w:t>
      </w:r>
      <w:r>
        <w:rPr>
          <w:rFonts w:hint="eastAsia"/>
          <w:color w:val="auto"/>
          <w:sz w:val="28"/>
          <w:szCs w:val="28"/>
          <w:lang w:val="en-US" w:eastAsia="zh-CN"/>
        </w:rPr>
        <w:t>削坡整形后坡角约30°，根据剖面法计算，单位削坡量7.8m</w:t>
      </w:r>
      <w:r>
        <w:rPr>
          <w:rFonts w:hint="eastAsia"/>
          <w:color w:val="auto"/>
          <w:sz w:val="28"/>
          <w:szCs w:val="28"/>
          <w:vertAlign w:val="superscript"/>
          <w:lang w:val="en-US" w:eastAsia="zh-CN"/>
        </w:rPr>
        <w:t>3</w:t>
      </w:r>
      <w:r>
        <w:rPr>
          <w:rFonts w:hint="eastAsia"/>
          <w:color w:val="auto"/>
          <w:sz w:val="28"/>
          <w:szCs w:val="28"/>
          <w:vertAlign w:val="baseline"/>
          <w:lang w:val="en-US" w:eastAsia="zh-CN"/>
        </w:rPr>
        <w:t>/m</w:t>
      </w:r>
      <w:r>
        <w:rPr>
          <w:rFonts w:hint="eastAsia"/>
          <w:color w:val="auto"/>
          <w:sz w:val="28"/>
          <w:szCs w:val="28"/>
          <w:lang w:eastAsia="zh-CN"/>
        </w:rPr>
        <w:t>，</w:t>
      </w:r>
      <w:r>
        <w:rPr>
          <w:rFonts w:hint="eastAsia"/>
          <w:color w:val="auto"/>
          <w:sz w:val="28"/>
          <w:szCs w:val="28"/>
        </w:rPr>
        <w:t>削坡</w:t>
      </w:r>
      <w:r>
        <w:rPr>
          <w:rFonts w:hint="eastAsia"/>
          <w:color w:val="auto"/>
          <w:sz w:val="28"/>
          <w:szCs w:val="28"/>
          <w:lang w:val="en-US" w:eastAsia="zh-CN"/>
        </w:rPr>
        <w:t>总</w:t>
      </w:r>
      <w:r>
        <w:rPr>
          <w:rFonts w:hint="eastAsia"/>
          <w:color w:val="auto"/>
          <w:sz w:val="28"/>
          <w:szCs w:val="28"/>
        </w:rPr>
        <w:t>方量</w:t>
      </w:r>
      <w:r>
        <w:rPr>
          <w:rFonts w:hint="eastAsia"/>
          <w:color w:val="auto"/>
          <w:sz w:val="28"/>
          <w:szCs w:val="28"/>
          <w:lang w:val="en-US" w:eastAsia="zh-CN"/>
        </w:rPr>
        <w:t>250</w:t>
      </w:r>
      <w:r>
        <w:rPr>
          <w:rFonts w:hint="eastAsia"/>
          <w:color w:val="auto"/>
          <w:sz w:val="28"/>
          <w:szCs w:val="28"/>
        </w:rPr>
        <w:t>m</w:t>
      </w:r>
      <w:r>
        <w:rPr>
          <w:rFonts w:hint="eastAsia"/>
          <w:color w:val="auto"/>
          <w:sz w:val="28"/>
          <w:szCs w:val="28"/>
          <w:vertAlign w:val="superscript"/>
        </w:rPr>
        <w:t>3</w:t>
      </w:r>
      <w:r>
        <w:rPr>
          <w:rFonts w:hint="eastAsia"/>
          <w:color w:val="auto"/>
          <w:sz w:val="28"/>
          <w:szCs w:val="28"/>
        </w:rPr>
        <w:t>。</w:t>
      </w:r>
    </w:p>
    <w:p w14:paraId="138C8459">
      <w:pPr>
        <w:widowControl/>
        <w:numPr>
          <w:ilvl w:val="0"/>
          <w:numId w:val="2"/>
        </w:numPr>
        <w:spacing w:line="360" w:lineRule="auto"/>
        <w:ind w:left="0" w:leftChars="0" w:firstLine="560" w:firstLineChars="200"/>
        <w:rPr>
          <w:color w:val="auto"/>
          <w:kern w:val="0"/>
          <w:sz w:val="28"/>
          <w:szCs w:val="28"/>
        </w:rPr>
      </w:pPr>
      <w:r>
        <w:rPr>
          <w:color w:val="auto"/>
          <w:kern w:val="0"/>
          <w:sz w:val="28"/>
          <w:szCs w:val="28"/>
        </w:rPr>
        <w:t>土壤重构工程</w:t>
      </w:r>
    </w:p>
    <w:p w14:paraId="215AF3B6">
      <w:pPr>
        <w:widowControl/>
        <w:spacing w:line="360" w:lineRule="auto"/>
        <w:ind w:firstLine="560" w:firstLineChars="200"/>
        <w:rPr>
          <w:color w:val="auto"/>
          <w:kern w:val="0"/>
          <w:sz w:val="28"/>
          <w:szCs w:val="28"/>
        </w:rPr>
      </w:pPr>
      <w:r>
        <w:rPr>
          <w:color w:val="auto"/>
          <w:kern w:val="0"/>
          <w:sz w:val="28"/>
          <w:szCs w:val="28"/>
        </w:rPr>
        <w:t>覆土工程</w:t>
      </w:r>
      <w:r>
        <w:rPr>
          <w:rFonts w:hint="eastAsia"/>
          <w:color w:val="auto"/>
          <w:kern w:val="0"/>
          <w:sz w:val="28"/>
          <w:szCs w:val="28"/>
        </w:rPr>
        <w:t>：</w:t>
      </w:r>
      <w:r>
        <w:rPr>
          <w:color w:val="auto"/>
          <w:kern w:val="0"/>
          <w:sz w:val="28"/>
          <w:szCs w:val="28"/>
        </w:rPr>
        <w:t>需复垦面积为</w:t>
      </w:r>
      <w:r>
        <w:rPr>
          <w:rFonts w:hint="eastAsia"/>
          <w:color w:val="auto"/>
          <w:kern w:val="0"/>
          <w:sz w:val="28"/>
          <w:szCs w:val="28"/>
          <w:lang w:val="en-US" w:eastAsia="zh-CN"/>
        </w:rPr>
        <w:t>3869</w:t>
      </w:r>
      <w:r>
        <w:rPr>
          <w:color w:val="auto"/>
          <w:kern w:val="0"/>
          <w:sz w:val="28"/>
          <w:szCs w:val="28"/>
        </w:rPr>
        <w:t>m</w:t>
      </w:r>
      <w:r>
        <w:rPr>
          <w:color w:val="auto"/>
          <w:kern w:val="0"/>
          <w:sz w:val="28"/>
          <w:szCs w:val="28"/>
          <w:vertAlign w:val="superscript"/>
        </w:rPr>
        <w:t>2</w:t>
      </w:r>
      <w:r>
        <w:rPr>
          <w:color w:val="auto"/>
          <w:kern w:val="0"/>
          <w:sz w:val="28"/>
          <w:szCs w:val="28"/>
        </w:rPr>
        <w:t>，利用挖掘机、推土机对</w:t>
      </w:r>
      <w:r>
        <w:rPr>
          <w:rFonts w:hint="eastAsia"/>
          <w:color w:val="auto"/>
          <w:kern w:val="0"/>
          <w:sz w:val="28"/>
          <w:szCs w:val="28"/>
          <w:lang w:val="en-US" w:eastAsia="zh-CN"/>
        </w:rPr>
        <w:t>场地</w:t>
      </w:r>
      <w:r>
        <w:rPr>
          <w:color w:val="auto"/>
          <w:kern w:val="0"/>
          <w:sz w:val="28"/>
          <w:szCs w:val="28"/>
        </w:rPr>
        <w:t>进行覆土，覆土厚度为0.</w:t>
      </w:r>
      <w:r>
        <w:rPr>
          <w:rFonts w:hint="eastAsia"/>
          <w:color w:val="auto"/>
          <w:kern w:val="0"/>
          <w:sz w:val="28"/>
          <w:szCs w:val="28"/>
          <w:lang w:val="en-US" w:eastAsia="zh-CN"/>
        </w:rPr>
        <w:t>3</w:t>
      </w:r>
      <w:r>
        <w:rPr>
          <w:color w:val="auto"/>
          <w:kern w:val="0"/>
          <w:sz w:val="28"/>
          <w:szCs w:val="28"/>
        </w:rPr>
        <w:t>m，覆土量为</w:t>
      </w:r>
      <w:r>
        <w:rPr>
          <w:rFonts w:hint="eastAsia"/>
          <w:color w:val="auto"/>
          <w:kern w:val="0"/>
          <w:sz w:val="28"/>
          <w:szCs w:val="28"/>
          <w:lang w:val="en-US" w:eastAsia="zh-CN"/>
        </w:rPr>
        <w:t>1161</w:t>
      </w:r>
      <w:r>
        <w:rPr>
          <w:color w:val="auto"/>
          <w:kern w:val="0"/>
          <w:sz w:val="28"/>
          <w:szCs w:val="28"/>
        </w:rPr>
        <w:t>m</w:t>
      </w:r>
      <w:r>
        <w:rPr>
          <w:color w:val="auto"/>
          <w:kern w:val="0"/>
          <w:sz w:val="28"/>
          <w:szCs w:val="28"/>
          <w:vertAlign w:val="superscript"/>
        </w:rPr>
        <w:t>3</w:t>
      </w:r>
      <w:r>
        <w:rPr>
          <w:color w:val="auto"/>
          <w:kern w:val="0"/>
          <w:sz w:val="28"/>
          <w:szCs w:val="28"/>
        </w:rPr>
        <w:t>。通过表土覆盖，保证植被生长需要，有利于恢复地表植被。</w:t>
      </w:r>
      <w:r>
        <w:rPr>
          <w:rFonts w:hint="eastAsia"/>
          <w:color w:val="auto"/>
          <w:kern w:val="0"/>
          <w:sz w:val="28"/>
          <w:szCs w:val="28"/>
          <w:lang w:val="en-US" w:eastAsia="zh-CN"/>
        </w:rPr>
        <w:t>矿山无表土存储场，本次矿区生态修复工作中</w:t>
      </w:r>
      <w:r>
        <w:rPr>
          <w:rFonts w:hint="eastAsia"/>
          <w:color w:val="auto"/>
          <w:kern w:val="0"/>
          <w:sz w:val="28"/>
          <w:szCs w:val="28"/>
        </w:rPr>
        <w:t>覆土</w:t>
      </w:r>
      <w:r>
        <w:rPr>
          <w:rFonts w:hint="eastAsia"/>
          <w:color w:val="auto"/>
          <w:kern w:val="0"/>
          <w:sz w:val="28"/>
          <w:szCs w:val="28"/>
          <w:lang w:val="en-US" w:eastAsia="zh-CN"/>
        </w:rPr>
        <w:t>所需的土方量需外购。</w:t>
      </w:r>
    </w:p>
    <w:p w14:paraId="76B18739">
      <w:pPr>
        <w:widowControl/>
        <w:spacing w:line="360" w:lineRule="auto"/>
        <w:ind w:firstLine="560" w:firstLineChars="200"/>
        <w:rPr>
          <w:color w:val="auto"/>
          <w:kern w:val="0"/>
          <w:sz w:val="28"/>
          <w:szCs w:val="28"/>
        </w:rPr>
      </w:pPr>
      <w:r>
        <w:rPr>
          <w:color w:val="auto"/>
          <w:kern w:val="0"/>
          <w:sz w:val="28"/>
          <w:szCs w:val="28"/>
        </w:rPr>
        <w:t>3、植被重建工程</w:t>
      </w:r>
    </w:p>
    <w:p w14:paraId="2B4D0F72">
      <w:pPr>
        <w:spacing w:line="360" w:lineRule="auto"/>
        <w:ind w:firstLine="560" w:firstLineChars="200"/>
        <w:rPr>
          <w:rFonts w:hint="eastAsia"/>
          <w:color w:val="auto"/>
          <w:kern w:val="0"/>
          <w:sz w:val="28"/>
          <w:szCs w:val="28"/>
          <w:lang w:val="en-US" w:eastAsia="zh-CN"/>
        </w:rPr>
      </w:pPr>
      <w:r>
        <w:rPr>
          <w:color w:val="auto"/>
          <w:kern w:val="0"/>
          <w:sz w:val="28"/>
          <w:szCs w:val="28"/>
        </w:rPr>
        <w:t>撒播种草：选择羊草+披碱草+紫花苜蓿混合播种，用于复垦牧草种子必须是一级种，并且要有“一签、三证”；采用人力补种的方法，在雨季来临后到入秋前，补种草籽，根据草场实际生长情况，撒播量可适当调整。播种草籽方法采用撒播，草籽撒播密度为</w:t>
      </w:r>
      <w:r>
        <w:rPr>
          <w:rFonts w:hint="eastAsia"/>
          <w:color w:val="auto"/>
          <w:kern w:val="0"/>
          <w:sz w:val="28"/>
          <w:szCs w:val="28"/>
          <w:lang w:val="en-US" w:eastAsia="zh-CN"/>
        </w:rPr>
        <w:t>45</w:t>
      </w:r>
      <w:r>
        <w:rPr>
          <w:color w:val="auto"/>
          <w:kern w:val="0"/>
          <w:sz w:val="28"/>
          <w:szCs w:val="28"/>
        </w:rPr>
        <w:t>kg/hm</w:t>
      </w:r>
      <w:r>
        <w:rPr>
          <w:color w:val="auto"/>
          <w:kern w:val="0"/>
          <w:sz w:val="28"/>
          <w:szCs w:val="28"/>
          <w:vertAlign w:val="superscript"/>
        </w:rPr>
        <w:t>2</w:t>
      </w:r>
      <w:r>
        <w:rPr>
          <w:color w:val="auto"/>
          <w:kern w:val="0"/>
          <w:sz w:val="28"/>
          <w:szCs w:val="28"/>
        </w:rPr>
        <w:t>。撒播种草的面积</w:t>
      </w:r>
      <w:r>
        <w:rPr>
          <w:rFonts w:hint="eastAsia"/>
          <w:color w:val="auto"/>
          <w:kern w:val="0"/>
          <w:sz w:val="28"/>
          <w:szCs w:val="28"/>
          <w:lang w:val="en-US" w:eastAsia="zh-CN"/>
        </w:rPr>
        <w:t>3869</w:t>
      </w:r>
      <w:r>
        <w:rPr>
          <w:color w:val="auto"/>
          <w:kern w:val="0"/>
          <w:sz w:val="28"/>
          <w:szCs w:val="28"/>
        </w:rPr>
        <w:t>m</w:t>
      </w:r>
      <w:r>
        <w:rPr>
          <w:color w:val="auto"/>
          <w:kern w:val="0"/>
          <w:sz w:val="28"/>
          <w:szCs w:val="28"/>
          <w:vertAlign w:val="superscript"/>
        </w:rPr>
        <w:t>2</w:t>
      </w:r>
      <w:r>
        <w:rPr>
          <w:color w:val="auto"/>
          <w:kern w:val="0"/>
          <w:sz w:val="28"/>
          <w:szCs w:val="28"/>
        </w:rPr>
        <w:t>。及时进行浇水，每年2次。</w:t>
      </w:r>
      <w:r>
        <w:rPr>
          <w:rFonts w:hint="eastAsia"/>
          <w:color w:val="auto"/>
          <w:kern w:val="0"/>
          <w:sz w:val="28"/>
          <w:szCs w:val="28"/>
          <w:lang w:val="en-US" w:eastAsia="zh-CN"/>
        </w:rPr>
        <w:t>治理效果见图4-7。</w:t>
      </w:r>
    </w:p>
    <w:p w14:paraId="01BBD136">
      <w:pPr>
        <w:spacing w:line="360" w:lineRule="auto"/>
        <w:jc w:val="center"/>
        <w:rPr>
          <w:rFonts w:hint="eastAsia" w:ascii="黑体" w:hAnsi="黑体" w:eastAsia="黑体" w:cs="黑体"/>
          <w:color w:val="auto"/>
          <w:kern w:val="0"/>
          <w:sz w:val="24"/>
          <w:szCs w:val="24"/>
          <w:lang w:val="en-US" w:eastAsia="zh-CN"/>
        </w:rPr>
      </w:pPr>
      <w:r>
        <w:rPr>
          <w:rFonts w:hint="eastAsia" w:ascii="黑体" w:hAnsi="黑体" w:eastAsia="黑体" w:cs="黑体"/>
          <w:color w:val="auto"/>
          <w:kern w:val="0"/>
          <w:sz w:val="24"/>
          <w:szCs w:val="24"/>
          <w:lang w:val="en-US" w:eastAsia="zh-CN"/>
        </w:rPr>
        <w:t xml:space="preserve">    </w:t>
      </w:r>
    </w:p>
    <w:p w14:paraId="2193A176">
      <w:pPr>
        <w:spacing w:line="360" w:lineRule="auto"/>
        <w:jc w:val="center"/>
        <w:rPr>
          <w:rFonts w:hint="eastAsia"/>
          <w:color w:val="auto"/>
          <w:kern w:val="0"/>
          <w:sz w:val="28"/>
          <w:szCs w:val="28"/>
          <w:lang w:val="en-US" w:eastAsia="zh-CN"/>
        </w:rPr>
      </w:pPr>
      <w:r>
        <w:rPr>
          <w:rFonts w:hint="eastAsia" w:ascii="黑体" w:hAnsi="黑体" w:eastAsia="黑体" w:cs="黑体"/>
          <w:color w:val="auto"/>
          <w:kern w:val="0"/>
          <w:sz w:val="24"/>
          <w:szCs w:val="24"/>
          <w:lang w:val="en-US" w:eastAsia="zh-CN"/>
        </w:rPr>
        <w:t>图4-7  2#废渣场治理效果剖面图</w:t>
      </w:r>
    </w:p>
    <w:p w14:paraId="7CB44F05">
      <w:pPr>
        <w:pStyle w:val="5"/>
        <w:keepNext w:val="0"/>
        <w:keepLines w:val="0"/>
        <w:adjustRightInd/>
        <w:snapToGrid/>
        <w:ind w:firstLine="562"/>
        <w:rPr>
          <w:rFonts w:hint="eastAsia" w:asciiTheme="minorEastAsia" w:hAnsiTheme="minorEastAsia" w:eastAsiaTheme="minorEastAsia" w:cstheme="minorEastAsia"/>
          <w:bCs/>
          <w:color w:val="auto"/>
          <w:sz w:val="28"/>
          <w:szCs w:val="24"/>
          <w:lang w:val="en-US" w:eastAsia="zh-CN"/>
        </w:rPr>
      </w:pPr>
      <w:r>
        <w:rPr>
          <w:rFonts w:hint="eastAsia" w:asciiTheme="minorEastAsia" w:hAnsiTheme="minorEastAsia" w:eastAsiaTheme="minorEastAsia" w:cstheme="minorEastAsia"/>
          <w:bCs/>
          <w:color w:val="auto"/>
          <w:sz w:val="28"/>
          <w:szCs w:val="24"/>
        </w:rPr>
        <w:t>（</w:t>
      </w:r>
      <w:r>
        <w:rPr>
          <w:rFonts w:hint="eastAsia" w:asciiTheme="minorEastAsia" w:hAnsiTheme="minorEastAsia" w:eastAsiaTheme="minorEastAsia" w:cstheme="minorEastAsia"/>
          <w:bCs/>
          <w:color w:val="auto"/>
          <w:sz w:val="28"/>
          <w:szCs w:val="24"/>
          <w:lang w:val="en-US" w:eastAsia="zh-CN"/>
        </w:rPr>
        <w:t>六</w:t>
      </w:r>
      <w:r>
        <w:rPr>
          <w:rFonts w:hint="eastAsia" w:asciiTheme="minorEastAsia" w:hAnsiTheme="minorEastAsia" w:eastAsiaTheme="minorEastAsia" w:cstheme="minorEastAsia"/>
          <w:bCs/>
          <w:color w:val="auto"/>
          <w:sz w:val="28"/>
          <w:szCs w:val="24"/>
        </w:rPr>
        <w:t>）</w:t>
      </w:r>
      <w:r>
        <w:rPr>
          <w:rFonts w:hint="eastAsia" w:asciiTheme="minorEastAsia" w:hAnsiTheme="minorEastAsia" w:eastAsiaTheme="minorEastAsia" w:cstheme="minorEastAsia"/>
          <w:bCs/>
          <w:color w:val="auto"/>
          <w:sz w:val="28"/>
          <w:szCs w:val="24"/>
          <w:lang w:val="en-US" w:eastAsia="zh-CN"/>
        </w:rPr>
        <w:t>3#废渣堆</w:t>
      </w:r>
    </w:p>
    <w:p w14:paraId="11D8A7FA">
      <w:pPr>
        <w:widowControl/>
        <w:numPr>
          <w:ilvl w:val="0"/>
          <w:numId w:val="5"/>
        </w:numPr>
        <w:spacing w:line="360" w:lineRule="auto"/>
        <w:ind w:firstLine="560" w:firstLineChars="200"/>
        <w:rPr>
          <w:color w:val="auto"/>
          <w:kern w:val="0"/>
          <w:sz w:val="28"/>
          <w:szCs w:val="28"/>
        </w:rPr>
      </w:pPr>
      <w:r>
        <w:rPr>
          <w:color w:val="auto"/>
          <w:kern w:val="0"/>
          <w:sz w:val="28"/>
          <w:szCs w:val="28"/>
        </w:rPr>
        <w:t>地貌重塑工程</w:t>
      </w:r>
    </w:p>
    <w:p w14:paraId="49D77B20">
      <w:pPr>
        <w:widowControl/>
        <w:spacing w:line="360" w:lineRule="auto"/>
        <w:ind w:firstLine="560" w:firstLineChars="200"/>
        <w:rPr>
          <w:color w:val="auto"/>
          <w:kern w:val="0"/>
          <w:sz w:val="28"/>
          <w:szCs w:val="28"/>
        </w:rPr>
      </w:pPr>
      <w:r>
        <w:rPr>
          <w:rFonts w:hint="eastAsia"/>
          <w:color w:val="auto"/>
          <w:sz w:val="28"/>
          <w:szCs w:val="28"/>
          <w:lang w:val="en-US" w:eastAsia="zh-CN"/>
        </w:rPr>
        <w:t>（1）削坡整形</w:t>
      </w:r>
    </w:p>
    <w:p w14:paraId="253C836E">
      <w:pPr>
        <w:widowControl/>
        <w:spacing w:line="360" w:lineRule="auto"/>
        <w:ind w:firstLine="560" w:firstLineChars="200"/>
        <w:rPr>
          <w:rFonts w:hint="eastAsia"/>
          <w:color w:val="auto"/>
          <w:sz w:val="28"/>
          <w:szCs w:val="28"/>
          <w:lang w:val="en-US" w:eastAsia="zh-CN"/>
        </w:rPr>
      </w:pPr>
      <w:r>
        <w:rPr>
          <w:rFonts w:hint="eastAsia"/>
          <w:color w:val="auto"/>
          <w:sz w:val="28"/>
          <w:szCs w:val="28"/>
          <w:lang w:val="en-US" w:eastAsia="zh-CN"/>
        </w:rPr>
        <w:t>对场地南侧边坡进行削坡，其中削坡产生的方量就地堆放压脚放缓坡度，不外运，需削坡整形</w:t>
      </w:r>
      <w:r>
        <w:rPr>
          <w:rFonts w:hint="eastAsia"/>
          <w:color w:val="auto"/>
          <w:sz w:val="28"/>
          <w:szCs w:val="28"/>
        </w:rPr>
        <w:t>长约</w:t>
      </w:r>
      <w:r>
        <w:rPr>
          <w:rFonts w:hint="eastAsia"/>
          <w:color w:val="auto"/>
          <w:sz w:val="28"/>
          <w:szCs w:val="28"/>
          <w:lang w:val="en-US" w:eastAsia="zh-CN"/>
        </w:rPr>
        <w:t>39</w:t>
      </w:r>
      <w:r>
        <w:rPr>
          <w:rFonts w:hint="eastAsia"/>
          <w:color w:val="auto"/>
          <w:sz w:val="28"/>
          <w:szCs w:val="28"/>
        </w:rPr>
        <w:t>m，坡角约为</w:t>
      </w:r>
      <w:r>
        <w:rPr>
          <w:rFonts w:hint="eastAsia"/>
          <w:color w:val="auto"/>
          <w:sz w:val="28"/>
          <w:szCs w:val="28"/>
          <w:lang w:val="en-US" w:eastAsia="zh-CN"/>
        </w:rPr>
        <w:t>40</w:t>
      </w:r>
      <w:r>
        <w:rPr>
          <w:rFonts w:hint="eastAsia"/>
          <w:color w:val="auto"/>
          <w:sz w:val="28"/>
          <w:szCs w:val="28"/>
        </w:rPr>
        <w:t>°</w:t>
      </w:r>
      <w:r>
        <w:rPr>
          <w:rFonts w:hint="eastAsia"/>
          <w:color w:val="auto"/>
          <w:sz w:val="28"/>
          <w:szCs w:val="28"/>
          <w:lang w:eastAsia="zh-CN"/>
        </w:rPr>
        <w:t>，</w:t>
      </w:r>
      <w:r>
        <w:rPr>
          <w:rFonts w:hint="eastAsia"/>
          <w:color w:val="auto"/>
          <w:sz w:val="28"/>
          <w:szCs w:val="28"/>
          <w:lang w:val="en-US" w:eastAsia="zh-CN"/>
        </w:rPr>
        <w:t>削坡整形后</w:t>
      </w:r>
    </w:p>
    <w:p w14:paraId="1F06B1B8">
      <w:pPr>
        <w:bidi w:val="0"/>
        <w:jc w:val="left"/>
        <w:rPr>
          <w:rFonts w:hint="default"/>
          <w:color w:val="auto"/>
          <w:sz w:val="28"/>
          <w:szCs w:val="28"/>
          <w:lang w:val="en-US" w:eastAsia="zh-CN"/>
        </w:rPr>
      </w:pPr>
      <w:r>
        <w:rPr>
          <w:rFonts w:hint="eastAsia"/>
          <w:color w:val="auto"/>
          <w:sz w:val="28"/>
          <w:szCs w:val="28"/>
          <w:lang w:val="en-US" w:eastAsia="zh-CN"/>
        </w:rPr>
        <w:t>坡角约30°，根据剖面法计算，单位削坡量3.4m</w:t>
      </w:r>
      <w:r>
        <w:rPr>
          <w:rFonts w:hint="eastAsia"/>
          <w:color w:val="auto"/>
          <w:sz w:val="28"/>
          <w:szCs w:val="28"/>
          <w:vertAlign w:val="superscript"/>
          <w:lang w:val="en-US" w:eastAsia="zh-CN"/>
        </w:rPr>
        <w:t>3</w:t>
      </w:r>
      <w:r>
        <w:rPr>
          <w:rFonts w:hint="eastAsia"/>
          <w:color w:val="auto"/>
          <w:sz w:val="28"/>
          <w:szCs w:val="28"/>
          <w:vertAlign w:val="baseline"/>
          <w:lang w:val="en-US" w:eastAsia="zh-CN"/>
        </w:rPr>
        <w:t>/m</w:t>
      </w:r>
      <w:r>
        <w:rPr>
          <w:rFonts w:hint="eastAsia"/>
          <w:color w:val="auto"/>
          <w:sz w:val="28"/>
          <w:szCs w:val="28"/>
          <w:lang w:eastAsia="zh-CN"/>
        </w:rPr>
        <w:t>，</w:t>
      </w:r>
      <w:r>
        <w:rPr>
          <w:rFonts w:hint="eastAsia"/>
          <w:color w:val="auto"/>
          <w:sz w:val="28"/>
          <w:szCs w:val="28"/>
        </w:rPr>
        <w:t>削坡</w:t>
      </w:r>
      <w:r>
        <w:rPr>
          <w:rFonts w:hint="eastAsia"/>
          <w:color w:val="auto"/>
          <w:sz w:val="28"/>
          <w:szCs w:val="28"/>
          <w:lang w:val="en-US" w:eastAsia="zh-CN"/>
        </w:rPr>
        <w:t>总</w:t>
      </w:r>
      <w:r>
        <w:rPr>
          <w:rFonts w:hint="eastAsia"/>
          <w:color w:val="auto"/>
          <w:sz w:val="28"/>
          <w:szCs w:val="28"/>
        </w:rPr>
        <w:t>方量</w:t>
      </w:r>
      <w:r>
        <w:rPr>
          <w:rFonts w:hint="eastAsia"/>
          <w:color w:val="auto"/>
          <w:sz w:val="28"/>
          <w:szCs w:val="28"/>
          <w:lang w:val="en-US" w:eastAsia="zh-CN"/>
        </w:rPr>
        <w:t>133</w:t>
      </w:r>
      <w:r>
        <w:rPr>
          <w:rFonts w:hint="eastAsia"/>
          <w:color w:val="auto"/>
          <w:sz w:val="28"/>
          <w:szCs w:val="28"/>
        </w:rPr>
        <w:t>m</w:t>
      </w:r>
      <w:r>
        <w:rPr>
          <w:rFonts w:hint="eastAsia"/>
          <w:color w:val="auto"/>
          <w:sz w:val="28"/>
          <w:szCs w:val="28"/>
          <w:vertAlign w:val="superscript"/>
        </w:rPr>
        <w:t>3</w:t>
      </w:r>
      <w:r>
        <w:rPr>
          <w:rFonts w:hint="eastAsia"/>
          <w:color w:val="auto"/>
          <w:sz w:val="28"/>
          <w:szCs w:val="28"/>
        </w:rPr>
        <w:t>。</w:t>
      </w:r>
    </w:p>
    <w:p w14:paraId="788D128F">
      <w:pPr>
        <w:widowControl/>
        <w:spacing w:line="360" w:lineRule="auto"/>
        <w:ind w:firstLine="560" w:firstLineChars="200"/>
        <w:rPr>
          <w:color w:val="auto"/>
          <w:kern w:val="0"/>
          <w:sz w:val="28"/>
          <w:szCs w:val="28"/>
        </w:rPr>
      </w:pPr>
      <w:r>
        <w:rPr>
          <w:color w:val="auto"/>
          <w:sz w:val="28"/>
          <w:szCs w:val="28"/>
        </w:rPr>
        <w:t>2、</w:t>
      </w:r>
      <w:r>
        <w:rPr>
          <w:color w:val="auto"/>
          <w:kern w:val="0"/>
          <w:sz w:val="28"/>
          <w:szCs w:val="28"/>
        </w:rPr>
        <w:t>土壤重构工程</w:t>
      </w:r>
    </w:p>
    <w:p w14:paraId="7D576BBA">
      <w:pPr>
        <w:widowControl/>
        <w:spacing w:line="360" w:lineRule="auto"/>
        <w:ind w:firstLine="560" w:firstLineChars="200"/>
        <w:rPr>
          <w:color w:val="auto"/>
          <w:kern w:val="0"/>
          <w:sz w:val="28"/>
          <w:szCs w:val="28"/>
        </w:rPr>
      </w:pPr>
      <w:r>
        <w:rPr>
          <w:color w:val="auto"/>
          <w:kern w:val="0"/>
          <w:sz w:val="28"/>
          <w:szCs w:val="28"/>
        </w:rPr>
        <w:t>覆土工程</w:t>
      </w:r>
      <w:r>
        <w:rPr>
          <w:rFonts w:hint="eastAsia"/>
          <w:color w:val="auto"/>
          <w:kern w:val="0"/>
          <w:sz w:val="28"/>
          <w:szCs w:val="28"/>
        </w:rPr>
        <w:t>：</w:t>
      </w:r>
      <w:r>
        <w:rPr>
          <w:color w:val="auto"/>
          <w:kern w:val="0"/>
          <w:sz w:val="28"/>
          <w:szCs w:val="28"/>
        </w:rPr>
        <w:t>需复垦面积为</w:t>
      </w:r>
      <w:r>
        <w:rPr>
          <w:rFonts w:hint="eastAsia"/>
          <w:color w:val="auto"/>
          <w:kern w:val="0"/>
          <w:sz w:val="28"/>
          <w:szCs w:val="28"/>
          <w:lang w:val="en-US" w:eastAsia="zh-CN"/>
        </w:rPr>
        <w:t>965</w:t>
      </w:r>
      <w:r>
        <w:rPr>
          <w:color w:val="auto"/>
          <w:kern w:val="0"/>
          <w:sz w:val="28"/>
          <w:szCs w:val="28"/>
        </w:rPr>
        <w:t>m</w:t>
      </w:r>
      <w:r>
        <w:rPr>
          <w:color w:val="auto"/>
          <w:kern w:val="0"/>
          <w:sz w:val="28"/>
          <w:szCs w:val="28"/>
          <w:vertAlign w:val="superscript"/>
        </w:rPr>
        <w:t>2</w:t>
      </w:r>
      <w:r>
        <w:rPr>
          <w:color w:val="auto"/>
          <w:kern w:val="0"/>
          <w:sz w:val="28"/>
          <w:szCs w:val="28"/>
        </w:rPr>
        <w:t>，利用挖掘机、推土机对</w:t>
      </w:r>
      <w:r>
        <w:rPr>
          <w:rFonts w:hint="eastAsia"/>
          <w:color w:val="auto"/>
          <w:kern w:val="0"/>
          <w:sz w:val="28"/>
          <w:szCs w:val="28"/>
          <w:lang w:val="en-US" w:eastAsia="zh-CN"/>
        </w:rPr>
        <w:t>场地</w:t>
      </w:r>
      <w:r>
        <w:rPr>
          <w:color w:val="auto"/>
          <w:kern w:val="0"/>
          <w:sz w:val="28"/>
          <w:szCs w:val="28"/>
        </w:rPr>
        <w:t>进行覆土，覆土厚度为0.</w:t>
      </w:r>
      <w:r>
        <w:rPr>
          <w:rFonts w:hint="eastAsia"/>
          <w:color w:val="auto"/>
          <w:kern w:val="0"/>
          <w:sz w:val="28"/>
          <w:szCs w:val="28"/>
          <w:lang w:val="en-US" w:eastAsia="zh-CN"/>
        </w:rPr>
        <w:t>5</w:t>
      </w:r>
      <w:r>
        <w:rPr>
          <w:color w:val="auto"/>
          <w:kern w:val="0"/>
          <w:sz w:val="28"/>
          <w:szCs w:val="28"/>
        </w:rPr>
        <w:t>m，覆土量为</w:t>
      </w:r>
      <w:r>
        <w:rPr>
          <w:rFonts w:hint="eastAsia"/>
          <w:color w:val="auto"/>
          <w:kern w:val="0"/>
          <w:sz w:val="28"/>
          <w:szCs w:val="28"/>
          <w:lang w:val="en-US" w:eastAsia="zh-CN"/>
        </w:rPr>
        <w:t>483</w:t>
      </w:r>
      <w:r>
        <w:rPr>
          <w:color w:val="auto"/>
          <w:kern w:val="0"/>
          <w:sz w:val="28"/>
          <w:szCs w:val="28"/>
        </w:rPr>
        <w:t>m</w:t>
      </w:r>
      <w:r>
        <w:rPr>
          <w:color w:val="auto"/>
          <w:kern w:val="0"/>
          <w:sz w:val="28"/>
          <w:szCs w:val="28"/>
          <w:vertAlign w:val="superscript"/>
        </w:rPr>
        <w:t>3</w:t>
      </w:r>
      <w:r>
        <w:rPr>
          <w:color w:val="auto"/>
          <w:kern w:val="0"/>
          <w:sz w:val="28"/>
          <w:szCs w:val="28"/>
        </w:rPr>
        <w:t>。通过表土覆盖，保证植被生长需要，有利于恢复地表植被。</w:t>
      </w:r>
      <w:r>
        <w:rPr>
          <w:rFonts w:hint="eastAsia"/>
          <w:color w:val="auto"/>
          <w:kern w:val="0"/>
          <w:sz w:val="28"/>
          <w:szCs w:val="28"/>
          <w:lang w:val="en-US" w:eastAsia="zh-CN"/>
        </w:rPr>
        <w:t>矿山无表土存储场，本次矿区生态修复工作中</w:t>
      </w:r>
      <w:r>
        <w:rPr>
          <w:rFonts w:hint="eastAsia"/>
          <w:color w:val="auto"/>
          <w:kern w:val="0"/>
          <w:sz w:val="28"/>
          <w:szCs w:val="28"/>
        </w:rPr>
        <w:t>覆土</w:t>
      </w:r>
      <w:r>
        <w:rPr>
          <w:rFonts w:hint="eastAsia"/>
          <w:color w:val="auto"/>
          <w:kern w:val="0"/>
          <w:sz w:val="28"/>
          <w:szCs w:val="28"/>
          <w:lang w:val="en-US" w:eastAsia="zh-CN"/>
        </w:rPr>
        <w:t>所需的土方量需外购。</w:t>
      </w:r>
    </w:p>
    <w:p w14:paraId="4F1BFA8A">
      <w:pPr>
        <w:widowControl/>
        <w:spacing w:line="360" w:lineRule="auto"/>
        <w:ind w:firstLine="560" w:firstLineChars="200"/>
        <w:rPr>
          <w:color w:val="auto"/>
          <w:kern w:val="0"/>
          <w:sz w:val="28"/>
          <w:szCs w:val="28"/>
        </w:rPr>
      </w:pPr>
      <w:r>
        <w:rPr>
          <w:color w:val="auto"/>
          <w:kern w:val="0"/>
          <w:sz w:val="28"/>
          <w:szCs w:val="28"/>
        </w:rPr>
        <w:t>3、植被重建工程</w:t>
      </w:r>
    </w:p>
    <w:p w14:paraId="2EF50061">
      <w:pPr>
        <w:keepNext w:val="0"/>
        <w:keepLines w:val="0"/>
        <w:pageBreakBefore w:val="0"/>
        <w:widowControl w:val="0"/>
        <w:kinsoku/>
        <w:wordWrap/>
        <w:overflowPunct/>
        <w:topLinePunct w:val="0"/>
        <w:autoSpaceDE/>
        <w:autoSpaceDN/>
        <w:bidi w:val="0"/>
        <w:adjustRightInd/>
        <w:snapToGrid/>
        <w:spacing w:line="336" w:lineRule="auto"/>
        <w:ind w:firstLine="560" w:firstLineChars="200"/>
        <w:contextualSpacing/>
        <w:jc w:val="left"/>
        <w:textAlignment w:val="auto"/>
        <w:rPr>
          <w:rFonts w:hint="eastAsia"/>
          <w:color w:val="auto"/>
          <w:kern w:val="0"/>
          <w:sz w:val="28"/>
          <w:szCs w:val="28"/>
          <w:lang w:val="en-US" w:eastAsia="zh-CN"/>
        </w:rPr>
      </w:pPr>
      <w:r>
        <w:rPr>
          <w:rFonts w:hint="eastAsia" w:ascii="Times New Roman" w:hAnsi="Times New Roman" w:eastAsia="宋体" w:cs="Times New Roman"/>
          <w:color w:val="auto"/>
          <w:sz w:val="28"/>
          <w:szCs w:val="28"/>
          <w:lang w:val="en-US" w:eastAsia="zh-CN"/>
        </w:rPr>
        <w:t>栽植乔木：</w:t>
      </w:r>
      <w:r>
        <w:rPr>
          <w:rFonts w:hint="default" w:ascii="Times New Roman" w:hAnsi="Times New Roman" w:eastAsia="宋体" w:cs="Times New Roman"/>
          <w:color w:val="auto"/>
          <w:sz w:val="28"/>
          <w:szCs w:val="28"/>
        </w:rPr>
        <w:t>对</w:t>
      </w:r>
      <w:r>
        <w:rPr>
          <w:rFonts w:hint="default" w:ascii="Times New Roman" w:hAnsi="Times New Roman" w:eastAsia="宋体" w:cs="Times New Roman"/>
          <w:color w:val="auto"/>
          <w:sz w:val="28"/>
          <w:szCs w:val="28"/>
          <w:lang w:eastAsia="zh-CN"/>
        </w:rPr>
        <w:t>覆土后</w:t>
      </w:r>
      <w:r>
        <w:rPr>
          <w:rFonts w:hint="default" w:ascii="Times New Roman" w:hAnsi="Times New Roman" w:eastAsia="宋体" w:cs="Times New Roman"/>
          <w:color w:val="auto"/>
          <w:sz w:val="28"/>
          <w:szCs w:val="28"/>
        </w:rPr>
        <w:t>的场地恢复植被，考虑周围植被、周围场地复垦方向等因素，</w:t>
      </w:r>
      <w:r>
        <w:rPr>
          <w:rFonts w:hint="default" w:ascii="Times New Roman" w:hAnsi="Times New Roman" w:eastAsia="宋体" w:cs="Times New Roman"/>
          <w:color w:val="auto"/>
          <w:sz w:val="28"/>
          <w:szCs w:val="28"/>
          <w:lang w:eastAsia="zh-CN"/>
        </w:rPr>
        <w:t>对覆土</w:t>
      </w:r>
      <w:r>
        <w:rPr>
          <w:rFonts w:hint="default" w:ascii="Times New Roman" w:hAnsi="Times New Roman" w:eastAsia="宋体" w:cs="Times New Roman"/>
          <w:color w:val="auto"/>
          <w:sz w:val="28"/>
          <w:szCs w:val="28"/>
        </w:rPr>
        <w:t>整平</w:t>
      </w:r>
      <w:r>
        <w:rPr>
          <w:rFonts w:hint="default" w:ascii="Times New Roman" w:hAnsi="Times New Roman" w:eastAsia="宋体" w:cs="Times New Roman"/>
          <w:color w:val="auto"/>
          <w:sz w:val="28"/>
          <w:szCs w:val="28"/>
          <w:lang w:eastAsia="zh-CN"/>
        </w:rPr>
        <w:t>后的</w:t>
      </w:r>
      <w:r>
        <w:rPr>
          <w:rFonts w:hint="eastAsia" w:ascii="Times New Roman" w:hAnsi="Times New Roman" w:eastAsia="宋体" w:cs="Times New Roman"/>
          <w:color w:val="auto"/>
          <w:sz w:val="28"/>
          <w:szCs w:val="28"/>
          <w:lang w:eastAsia="zh-CN"/>
        </w:rPr>
        <w:t>场地进行</w:t>
      </w:r>
      <w:r>
        <w:rPr>
          <w:rFonts w:hint="eastAsia" w:ascii="Times New Roman" w:hAnsi="Times New Roman" w:eastAsia="宋体" w:cs="Times New Roman"/>
          <w:color w:val="auto"/>
          <w:sz w:val="28"/>
          <w:szCs w:val="28"/>
          <w:lang w:val="en-US" w:eastAsia="zh-CN"/>
        </w:rPr>
        <w:t>栽植乔木</w:t>
      </w:r>
      <w:r>
        <w:rPr>
          <w:rFonts w:hint="default" w:ascii="Times New Roman" w:hAnsi="Times New Roman" w:eastAsia="宋体" w:cs="Times New Roman"/>
          <w:color w:val="auto"/>
          <w:sz w:val="28"/>
          <w:szCs w:val="28"/>
          <w:lang w:eastAsia="zh-CN"/>
        </w:rPr>
        <w:t>（</w:t>
      </w:r>
      <w:r>
        <w:rPr>
          <w:rFonts w:hint="eastAsia" w:ascii="Times New Roman" w:hAnsi="Times New Roman" w:eastAsia="宋体" w:cs="Times New Roman"/>
          <w:color w:val="auto"/>
          <w:sz w:val="28"/>
          <w:szCs w:val="28"/>
          <w:lang w:eastAsia="zh-CN"/>
        </w:rPr>
        <w:t>首选</w:t>
      </w:r>
      <w:r>
        <w:rPr>
          <w:rFonts w:hint="eastAsia" w:ascii="Times New Roman" w:hAnsi="Times New Roman" w:eastAsia="宋体" w:cs="Times New Roman"/>
          <w:color w:val="auto"/>
          <w:sz w:val="28"/>
          <w:szCs w:val="28"/>
          <w:lang w:val="en-US" w:eastAsia="zh-CN"/>
        </w:rPr>
        <w:t>杨树</w:t>
      </w:r>
      <w:r>
        <w:rPr>
          <w:rFonts w:hint="eastAsia" w:ascii="Times New Roman" w:hAnsi="Times New Roman" w:eastAsia="宋体" w:cs="Times New Roman"/>
          <w:color w:val="auto"/>
          <w:sz w:val="28"/>
          <w:szCs w:val="28"/>
          <w:lang w:eastAsia="zh-CN"/>
        </w:rPr>
        <w:t>，备选</w:t>
      </w:r>
      <w:r>
        <w:rPr>
          <w:rFonts w:hint="eastAsia" w:ascii="Times New Roman" w:hAnsi="Times New Roman" w:eastAsia="宋体" w:cs="Times New Roman"/>
          <w:color w:val="auto"/>
          <w:sz w:val="28"/>
          <w:szCs w:val="28"/>
          <w:lang w:val="en-US" w:eastAsia="zh-CN"/>
        </w:rPr>
        <w:t>松树</w:t>
      </w:r>
      <w:r>
        <w:rPr>
          <w:rFonts w:hint="default" w:ascii="Times New Roman" w:hAnsi="Times New Roman" w:eastAsia="宋体" w:cs="Times New Roman"/>
          <w:color w:val="auto"/>
          <w:sz w:val="28"/>
          <w:szCs w:val="28"/>
          <w:lang w:eastAsia="zh-CN"/>
        </w:rPr>
        <w:t>）</w:t>
      </w:r>
      <w:r>
        <w:rPr>
          <w:rFonts w:hint="default" w:ascii="Times New Roman" w:hAnsi="Times New Roman" w:eastAsia="宋体" w:cs="Times New Roman"/>
          <w:bCs/>
          <w:color w:val="auto"/>
          <w:sz w:val="28"/>
          <w:szCs w:val="28"/>
          <w:lang w:eastAsia="zh-CN"/>
        </w:rPr>
        <w:t>，</w:t>
      </w:r>
      <w:r>
        <w:rPr>
          <w:rFonts w:hint="eastAsia" w:ascii="Times New Roman" w:hAnsi="Times New Roman" w:eastAsia="宋体" w:cs="Times New Roman"/>
          <w:bCs/>
          <w:color w:val="auto"/>
          <w:sz w:val="28"/>
          <w:szCs w:val="28"/>
          <w:lang w:eastAsia="zh-CN"/>
        </w:rPr>
        <w:t>栽植间距</w:t>
      </w:r>
      <w:r>
        <w:rPr>
          <w:rFonts w:hint="eastAsia" w:ascii="Times New Roman" w:hAnsi="Times New Roman" w:eastAsia="宋体" w:cs="Times New Roman"/>
          <w:bCs/>
          <w:color w:val="auto"/>
          <w:sz w:val="28"/>
          <w:szCs w:val="28"/>
          <w:lang w:val="en-US" w:eastAsia="zh-CN"/>
        </w:rPr>
        <w:t>3m×3m，共计栽植</w:t>
      </w:r>
      <w:r>
        <w:rPr>
          <w:rFonts w:hint="eastAsia" w:ascii="Times New Roman" w:hAnsi="Times New Roman" w:cs="Times New Roman"/>
          <w:bCs/>
          <w:color w:val="auto"/>
          <w:sz w:val="28"/>
          <w:szCs w:val="28"/>
          <w:lang w:val="en-US" w:eastAsia="zh-CN"/>
        </w:rPr>
        <w:t>107</w:t>
      </w:r>
      <w:r>
        <w:rPr>
          <w:rFonts w:hint="eastAsia" w:ascii="Times New Roman" w:hAnsi="Times New Roman" w:eastAsia="宋体" w:cs="Times New Roman"/>
          <w:bCs/>
          <w:color w:val="auto"/>
          <w:sz w:val="28"/>
          <w:szCs w:val="28"/>
          <w:lang w:val="en-US" w:eastAsia="zh-CN"/>
        </w:rPr>
        <w:t>株</w:t>
      </w:r>
      <w:r>
        <w:rPr>
          <w:rFonts w:hint="default" w:ascii="Times New Roman" w:hAnsi="Times New Roman" w:eastAsia="宋体" w:cs="Times New Roman"/>
          <w:color w:val="auto"/>
          <w:sz w:val="28"/>
          <w:szCs w:val="28"/>
          <w:lang w:eastAsia="zh-CN"/>
        </w:rPr>
        <w:t>。</w:t>
      </w:r>
      <w:r>
        <w:rPr>
          <w:rFonts w:hint="eastAsia"/>
          <w:color w:val="auto"/>
          <w:kern w:val="0"/>
          <w:sz w:val="28"/>
          <w:szCs w:val="28"/>
          <w:lang w:val="en-US" w:eastAsia="zh-CN"/>
        </w:rPr>
        <w:t>治理效果见图4-8。</w:t>
      </w:r>
    </w:p>
    <w:p w14:paraId="1B07F444">
      <w:pPr>
        <w:spacing w:line="360" w:lineRule="auto"/>
        <w:jc w:val="center"/>
        <w:rPr>
          <w:rFonts w:hint="eastAsia" w:ascii="黑体" w:hAnsi="黑体" w:eastAsia="黑体" w:cs="黑体"/>
          <w:color w:val="auto"/>
          <w:kern w:val="0"/>
          <w:sz w:val="24"/>
          <w:szCs w:val="24"/>
          <w:lang w:val="en-US" w:eastAsia="zh-CN"/>
        </w:rPr>
      </w:pPr>
      <w:r>
        <w:rPr>
          <w:rFonts w:hint="eastAsia" w:ascii="黑体" w:hAnsi="黑体" w:eastAsia="黑体" w:cs="黑体"/>
          <w:color w:val="auto"/>
          <w:kern w:val="0"/>
          <w:sz w:val="24"/>
          <w:szCs w:val="24"/>
          <w:lang w:val="en-US" w:eastAsia="zh-CN"/>
        </w:rPr>
        <w:t xml:space="preserve">    </w:t>
      </w:r>
    </w:p>
    <w:p w14:paraId="70562663">
      <w:pPr>
        <w:spacing w:line="360" w:lineRule="auto"/>
        <w:jc w:val="center"/>
        <w:rPr>
          <w:rFonts w:hint="eastAsia" w:ascii="黑体" w:hAnsi="黑体" w:eastAsia="黑体" w:cs="宋体"/>
          <w:color w:val="auto"/>
          <w:kern w:val="0"/>
          <w:sz w:val="24"/>
          <w:szCs w:val="24"/>
        </w:rPr>
      </w:pPr>
      <w:r>
        <w:rPr>
          <w:rFonts w:hint="eastAsia" w:ascii="黑体" w:hAnsi="黑体" w:eastAsia="黑体" w:cs="黑体"/>
          <w:color w:val="auto"/>
          <w:kern w:val="0"/>
          <w:sz w:val="24"/>
          <w:szCs w:val="24"/>
          <w:lang w:val="en-US" w:eastAsia="zh-CN"/>
        </w:rPr>
        <w:t>图4-8  3#废渣场治理效果剖面图</w:t>
      </w:r>
    </w:p>
    <w:p w14:paraId="013D147B">
      <w:pPr>
        <w:pStyle w:val="5"/>
        <w:keepNext w:val="0"/>
        <w:keepLines w:val="0"/>
        <w:numPr>
          <w:ilvl w:val="0"/>
          <w:numId w:val="6"/>
        </w:numPr>
        <w:adjustRightInd/>
        <w:snapToGrid/>
        <w:ind w:firstLine="562"/>
        <w:rPr>
          <w:rFonts w:hint="eastAsia"/>
          <w:bCs/>
          <w:color w:val="auto"/>
          <w:sz w:val="28"/>
          <w:szCs w:val="24"/>
          <w:lang w:val="en-US" w:eastAsia="zh-CN"/>
        </w:rPr>
      </w:pPr>
      <w:r>
        <w:rPr>
          <w:rFonts w:hint="eastAsia"/>
          <w:bCs/>
          <w:color w:val="auto"/>
          <w:sz w:val="28"/>
          <w:szCs w:val="24"/>
          <w:lang w:val="en-US" w:eastAsia="zh-CN"/>
        </w:rPr>
        <w:t>工业场地</w:t>
      </w:r>
    </w:p>
    <w:p w14:paraId="4F113EB8">
      <w:pPr>
        <w:widowControl/>
        <w:spacing w:line="360" w:lineRule="auto"/>
        <w:ind w:firstLine="560" w:firstLineChars="200"/>
        <w:rPr>
          <w:color w:val="auto"/>
          <w:sz w:val="28"/>
          <w:szCs w:val="28"/>
        </w:rPr>
      </w:pPr>
      <w:r>
        <w:rPr>
          <w:color w:val="auto"/>
          <w:kern w:val="0"/>
          <w:sz w:val="28"/>
          <w:szCs w:val="28"/>
        </w:rPr>
        <w:t>1、地貌重塑工程</w:t>
      </w:r>
    </w:p>
    <w:p w14:paraId="3292B01D">
      <w:pPr>
        <w:widowControl/>
        <w:spacing w:line="360" w:lineRule="auto"/>
        <w:ind w:firstLine="560" w:firstLineChars="200"/>
        <w:rPr>
          <w:rFonts w:hint="default"/>
          <w:bCs/>
          <w:color w:val="auto"/>
          <w:sz w:val="28"/>
          <w:szCs w:val="24"/>
          <w:lang w:val="en-US" w:eastAsia="zh-CN"/>
        </w:rPr>
      </w:pPr>
      <w:r>
        <w:rPr>
          <w:rFonts w:hint="eastAsia"/>
          <w:bCs/>
          <w:color w:val="auto"/>
          <w:sz w:val="28"/>
          <w:szCs w:val="24"/>
          <w:lang w:val="en-US" w:eastAsia="zh-CN"/>
        </w:rPr>
        <w:t>（1）拆除、清运</w:t>
      </w:r>
    </w:p>
    <w:p w14:paraId="1147DC07">
      <w:pPr>
        <w:widowControl/>
        <w:spacing w:line="360" w:lineRule="auto"/>
        <w:ind w:firstLine="560" w:firstLineChars="200"/>
        <w:rPr>
          <w:rFonts w:hint="eastAsia"/>
          <w:color w:val="auto"/>
          <w:sz w:val="28"/>
          <w:szCs w:val="28"/>
          <w:vertAlign w:val="baseline"/>
          <w:lang w:val="en-US" w:eastAsia="zh-CN"/>
        </w:rPr>
      </w:pPr>
      <w:r>
        <w:rPr>
          <w:rFonts w:hint="eastAsia"/>
          <w:color w:val="auto"/>
          <w:sz w:val="28"/>
          <w:szCs w:val="28"/>
          <w:lang w:val="en-US" w:eastAsia="zh-CN"/>
        </w:rPr>
        <w:t>场地内残存有浆砌石堆积平台一处，高约3m，占地面积约50m</w:t>
      </w:r>
      <w:r>
        <w:rPr>
          <w:rFonts w:hint="eastAsia"/>
          <w:color w:val="auto"/>
          <w:sz w:val="28"/>
          <w:szCs w:val="28"/>
          <w:vertAlign w:val="superscript"/>
          <w:lang w:val="en-US" w:eastAsia="zh-CN"/>
        </w:rPr>
        <w:t>2</w:t>
      </w:r>
      <w:r>
        <w:rPr>
          <w:rFonts w:hint="eastAsia"/>
          <w:color w:val="auto"/>
          <w:sz w:val="28"/>
          <w:szCs w:val="28"/>
          <w:lang w:val="en-US" w:eastAsia="zh-CN"/>
        </w:rPr>
        <w:t>，堆积方量约150m</w:t>
      </w:r>
      <w:r>
        <w:rPr>
          <w:rFonts w:hint="eastAsia"/>
          <w:color w:val="auto"/>
          <w:sz w:val="28"/>
          <w:szCs w:val="28"/>
          <w:vertAlign w:val="superscript"/>
          <w:lang w:val="en-US" w:eastAsia="zh-CN"/>
        </w:rPr>
        <w:t>3</w:t>
      </w:r>
      <w:r>
        <w:rPr>
          <w:rFonts w:hint="eastAsia" w:ascii="Times New Roman" w:hAnsi="Times New Roman" w:cs="Times New Roman"/>
          <w:color w:val="auto"/>
          <w:sz w:val="28"/>
          <w:szCs w:val="28"/>
          <w:lang w:val="en-US" w:eastAsia="zh-CN"/>
        </w:rPr>
        <w:t>。</w:t>
      </w:r>
      <w:r>
        <w:rPr>
          <w:rFonts w:hint="eastAsia" w:cs="Times New Roman"/>
          <w:color w:val="auto"/>
          <w:sz w:val="28"/>
          <w:szCs w:val="28"/>
          <w:lang w:val="en-US" w:eastAsia="zh-CN"/>
        </w:rPr>
        <w:t>拆除清运方量150</w:t>
      </w:r>
      <w:r>
        <w:rPr>
          <w:rFonts w:hint="eastAsia"/>
          <w:color w:val="auto"/>
          <w:sz w:val="28"/>
          <w:szCs w:val="28"/>
          <w:lang w:val="en-US" w:eastAsia="zh-CN"/>
        </w:rPr>
        <w:t>m</w:t>
      </w:r>
      <w:r>
        <w:rPr>
          <w:rFonts w:hint="eastAsia"/>
          <w:color w:val="auto"/>
          <w:sz w:val="28"/>
          <w:szCs w:val="28"/>
          <w:vertAlign w:val="superscript"/>
          <w:lang w:val="en-US" w:eastAsia="zh-CN"/>
        </w:rPr>
        <w:t>3</w:t>
      </w:r>
      <w:r>
        <w:rPr>
          <w:rFonts w:hint="eastAsia"/>
          <w:color w:val="auto"/>
          <w:sz w:val="28"/>
          <w:szCs w:val="28"/>
          <w:vertAlign w:val="baseline"/>
          <w:lang w:val="en-US" w:eastAsia="zh-CN"/>
        </w:rPr>
        <w:t>。</w:t>
      </w:r>
    </w:p>
    <w:p w14:paraId="6D309EED">
      <w:pPr>
        <w:widowControl/>
        <w:spacing w:line="360" w:lineRule="auto"/>
        <w:ind w:firstLine="560" w:firstLineChars="200"/>
        <w:rPr>
          <w:rFonts w:hint="eastAsia"/>
          <w:color w:val="auto"/>
          <w:kern w:val="0"/>
          <w:sz w:val="28"/>
          <w:szCs w:val="28"/>
          <w:lang w:val="en-US" w:eastAsia="zh-CN"/>
        </w:rPr>
      </w:pPr>
      <w:r>
        <w:rPr>
          <w:rFonts w:hint="eastAsia"/>
          <w:color w:val="auto"/>
          <w:kern w:val="0"/>
          <w:sz w:val="28"/>
          <w:szCs w:val="28"/>
          <w:lang w:val="en-US" w:eastAsia="zh-CN"/>
        </w:rPr>
        <w:t>场内机械设备拆除清理不计入治理工程。</w:t>
      </w:r>
    </w:p>
    <w:p w14:paraId="76BB27EF">
      <w:pPr>
        <w:widowControl/>
        <w:spacing w:line="360" w:lineRule="auto"/>
        <w:ind w:firstLine="560" w:firstLineChars="200"/>
        <w:rPr>
          <w:rFonts w:hint="eastAsia"/>
          <w:color w:val="auto"/>
          <w:kern w:val="0"/>
          <w:sz w:val="28"/>
          <w:szCs w:val="28"/>
          <w:lang w:val="en-US" w:eastAsia="zh-CN"/>
        </w:rPr>
      </w:pPr>
      <w:r>
        <w:rPr>
          <w:rFonts w:hint="eastAsia"/>
          <w:color w:val="auto"/>
          <w:kern w:val="0"/>
          <w:sz w:val="28"/>
          <w:szCs w:val="28"/>
          <w:lang w:val="en-US" w:eastAsia="zh-CN"/>
        </w:rPr>
        <w:t>（2）整平</w:t>
      </w:r>
    </w:p>
    <w:p w14:paraId="5B914E68">
      <w:pPr>
        <w:widowControl/>
        <w:spacing w:line="360" w:lineRule="auto"/>
        <w:ind w:firstLine="560" w:firstLineChars="200"/>
        <w:rPr>
          <w:rFonts w:hint="default"/>
          <w:color w:val="auto"/>
          <w:kern w:val="0"/>
          <w:sz w:val="28"/>
          <w:szCs w:val="28"/>
          <w:lang w:val="en-US" w:eastAsia="zh-CN"/>
        </w:rPr>
      </w:pPr>
      <w:r>
        <w:rPr>
          <w:rFonts w:hint="eastAsia"/>
          <w:color w:val="auto"/>
          <w:kern w:val="0"/>
          <w:sz w:val="28"/>
          <w:szCs w:val="28"/>
          <w:lang w:val="en-US" w:eastAsia="zh-CN"/>
        </w:rPr>
        <w:t>对场地内</w:t>
      </w:r>
      <w:r>
        <w:rPr>
          <w:rFonts w:hint="eastAsia"/>
          <w:color w:val="auto"/>
          <w:sz w:val="28"/>
          <w:szCs w:val="28"/>
          <w:lang w:val="en-US" w:eastAsia="zh-CN"/>
        </w:rPr>
        <w:t>残存的浆砌石堆积平台拆除清运后，对其进行整平，整平面积50m</w:t>
      </w:r>
      <w:r>
        <w:rPr>
          <w:rFonts w:hint="eastAsia"/>
          <w:color w:val="auto"/>
          <w:sz w:val="28"/>
          <w:szCs w:val="28"/>
          <w:vertAlign w:val="superscript"/>
          <w:lang w:val="en-US" w:eastAsia="zh-CN"/>
        </w:rPr>
        <w:t>2</w:t>
      </w:r>
      <w:r>
        <w:rPr>
          <w:rFonts w:hint="eastAsia"/>
          <w:color w:val="auto"/>
          <w:sz w:val="28"/>
          <w:szCs w:val="28"/>
          <w:lang w:val="en-US" w:eastAsia="zh-CN"/>
        </w:rPr>
        <w:t>，整平厚度0.3m，整平方量15m</w:t>
      </w:r>
      <w:r>
        <w:rPr>
          <w:rFonts w:hint="eastAsia"/>
          <w:color w:val="auto"/>
          <w:sz w:val="28"/>
          <w:szCs w:val="28"/>
          <w:vertAlign w:val="superscript"/>
          <w:lang w:val="en-US" w:eastAsia="zh-CN"/>
        </w:rPr>
        <w:t>3</w:t>
      </w:r>
      <w:r>
        <w:rPr>
          <w:rFonts w:hint="eastAsia"/>
          <w:color w:val="auto"/>
          <w:sz w:val="28"/>
          <w:szCs w:val="28"/>
          <w:lang w:val="en-US" w:eastAsia="zh-CN"/>
        </w:rPr>
        <w:t>。清运至露天采场垫坡使用。</w:t>
      </w:r>
    </w:p>
    <w:p w14:paraId="74C7D9C7">
      <w:pPr>
        <w:widowControl/>
        <w:spacing w:line="360" w:lineRule="auto"/>
        <w:ind w:firstLine="560" w:firstLineChars="200"/>
        <w:rPr>
          <w:color w:val="auto"/>
          <w:kern w:val="0"/>
          <w:sz w:val="28"/>
          <w:szCs w:val="28"/>
        </w:rPr>
      </w:pPr>
      <w:r>
        <w:rPr>
          <w:color w:val="auto"/>
          <w:sz w:val="28"/>
          <w:szCs w:val="28"/>
        </w:rPr>
        <w:t>2、</w:t>
      </w:r>
      <w:r>
        <w:rPr>
          <w:color w:val="auto"/>
          <w:kern w:val="0"/>
          <w:sz w:val="28"/>
          <w:szCs w:val="28"/>
        </w:rPr>
        <w:t>土壤重构工程</w:t>
      </w:r>
    </w:p>
    <w:p w14:paraId="076C9EB2">
      <w:pPr>
        <w:widowControl/>
        <w:spacing w:line="360" w:lineRule="auto"/>
        <w:ind w:firstLine="560" w:firstLineChars="200"/>
        <w:rPr>
          <w:color w:val="auto"/>
          <w:kern w:val="0"/>
          <w:sz w:val="28"/>
          <w:szCs w:val="28"/>
        </w:rPr>
      </w:pPr>
      <w:r>
        <w:rPr>
          <w:color w:val="auto"/>
          <w:kern w:val="0"/>
          <w:sz w:val="28"/>
          <w:szCs w:val="28"/>
        </w:rPr>
        <w:t>覆土工程</w:t>
      </w:r>
      <w:r>
        <w:rPr>
          <w:rFonts w:hint="eastAsia"/>
          <w:color w:val="auto"/>
          <w:kern w:val="0"/>
          <w:sz w:val="28"/>
          <w:szCs w:val="28"/>
        </w:rPr>
        <w:t>：</w:t>
      </w:r>
      <w:r>
        <w:rPr>
          <w:color w:val="auto"/>
          <w:kern w:val="0"/>
          <w:sz w:val="28"/>
          <w:szCs w:val="28"/>
        </w:rPr>
        <w:t>需复垦面积为</w:t>
      </w:r>
      <w:r>
        <w:rPr>
          <w:rFonts w:hint="eastAsia"/>
          <w:color w:val="auto"/>
          <w:kern w:val="0"/>
          <w:sz w:val="28"/>
          <w:szCs w:val="28"/>
          <w:lang w:val="en-US" w:eastAsia="zh-CN"/>
        </w:rPr>
        <w:t>5425</w:t>
      </w:r>
      <w:r>
        <w:rPr>
          <w:color w:val="auto"/>
          <w:kern w:val="0"/>
          <w:sz w:val="28"/>
          <w:szCs w:val="28"/>
        </w:rPr>
        <w:t>m</w:t>
      </w:r>
      <w:r>
        <w:rPr>
          <w:color w:val="auto"/>
          <w:kern w:val="0"/>
          <w:sz w:val="28"/>
          <w:szCs w:val="28"/>
          <w:vertAlign w:val="superscript"/>
        </w:rPr>
        <w:t>2</w:t>
      </w:r>
      <w:r>
        <w:rPr>
          <w:color w:val="auto"/>
          <w:kern w:val="0"/>
          <w:sz w:val="28"/>
          <w:szCs w:val="28"/>
        </w:rPr>
        <w:t>，利用挖掘机、推土机对</w:t>
      </w:r>
      <w:r>
        <w:rPr>
          <w:rFonts w:hint="eastAsia"/>
          <w:color w:val="auto"/>
          <w:kern w:val="0"/>
          <w:sz w:val="28"/>
          <w:szCs w:val="28"/>
          <w:lang w:val="en-US" w:eastAsia="zh-CN"/>
        </w:rPr>
        <w:t>场地</w:t>
      </w:r>
      <w:r>
        <w:rPr>
          <w:color w:val="auto"/>
          <w:kern w:val="0"/>
          <w:sz w:val="28"/>
          <w:szCs w:val="28"/>
        </w:rPr>
        <w:t>进行覆土，覆土厚度为0.</w:t>
      </w:r>
      <w:r>
        <w:rPr>
          <w:rFonts w:hint="eastAsia"/>
          <w:color w:val="auto"/>
          <w:kern w:val="0"/>
          <w:sz w:val="28"/>
          <w:szCs w:val="28"/>
          <w:lang w:val="en-US" w:eastAsia="zh-CN"/>
        </w:rPr>
        <w:t>3</w:t>
      </w:r>
      <w:r>
        <w:rPr>
          <w:color w:val="auto"/>
          <w:kern w:val="0"/>
          <w:sz w:val="28"/>
          <w:szCs w:val="28"/>
        </w:rPr>
        <w:t>m，覆土量为</w:t>
      </w:r>
      <w:r>
        <w:rPr>
          <w:rFonts w:hint="eastAsia"/>
          <w:color w:val="auto"/>
          <w:kern w:val="0"/>
          <w:sz w:val="28"/>
          <w:szCs w:val="28"/>
          <w:lang w:val="en-US" w:eastAsia="zh-CN"/>
        </w:rPr>
        <w:t>1628</w:t>
      </w:r>
      <w:r>
        <w:rPr>
          <w:color w:val="auto"/>
          <w:kern w:val="0"/>
          <w:sz w:val="28"/>
          <w:szCs w:val="28"/>
        </w:rPr>
        <w:t>m</w:t>
      </w:r>
      <w:r>
        <w:rPr>
          <w:color w:val="auto"/>
          <w:kern w:val="0"/>
          <w:sz w:val="28"/>
          <w:szCs w:val="28"/>
          <w:vertAlign w:val="superscript"/>
        </w:rPr>
        <w:t>3</w:t>
      </w:r>
      <w:r>
        <w:rPr>
          <w:color w:val="auto"/>
          <w:kern w:val="0"/>
          <w:sz w:val="28"/>
          <w:szCs w:val="28"/>
        </w:rPr>
        <w:t>。通过表土覆盖，保证植被生长需要，有利于恢复地表植被。</w:t>
      </w:r>
      <w:r>
        <w:rPr>
          <w:rFonts w:hint="eastAsia"/>
          <w:color w:val="auto"/>
          <w:kern w:val="0"/>
          <w:sz w:val="28"/>
          <w:szCs w:val="28"/>
          <w:lang w:val="en-US" w:eastAsia="zh-CN"/>
        </w:rPr>
        <w:t>矿山无表土存储场，本次矿区生态修复工作中</w:t>
      </w:r>
      <w:r>
        <w:rPr>
          <w:rFonts w:hint="eastAsia"/>
          <w:color w:val="auto"/>
          <w:kern w:val="0"/>
          <w:sz w:val="28"/>
          <w:szCs w:val="28"/>
        </w:rPr>
        <w:t>覆土</w:t>
      </w:r>
      <w:r>
        <w:rPr>
          <w:rFonts w:hint="eastAsia"/>
          <w:color w:val="auto"/>
          <w:kern w:val="0"/>
          <w:sz w:val="28"/>
          <w:szCs w:val="28"/>
          <w:lang w:val="en-US" w:eastAsia="zh-CN"/>
        </w:rPr>
        <w:t>所需的土方量需外购。</w:t>
      </w:r>
    </w:p>
    <w:p w14:paraId="03FCAA69">
      <w:pPr>
        <w:widowControl/>
        <w:spacing w:line="360" w:lineRule="auto"/>
        <w:ind w:firstLine="560" w:firstLineChars="200"/>
        <w:rPr>
          <w:color w:val="auto"/>
          <w:kern w:val="0"/>
          <w:sz w:val="28"/>
          <w:szCs w:val="28"/>
        </w:rPr>
      </w:pPr>
      <w:r>
        <w:rPr>
          <w:color w:val="auto"/>
          <w:kern w:val="0"/>
          <w:sz w:val="28"/>
          <w:szCs w:val="28"/>
        </w:rPr>
        <w:t>3、植被重建工程</w:t>
      </w:r>
    </w:p>
    <w:p w14:paraId="796605E8">
      <w:pPr>
        <w:widowControl/>
        <w:spacing w:line="360" w:lineRule="auto"/>
        <w:ind w:firstLine="560" w:firstLineChars="200"/>
        <w:rPr>
          <w:rFonts w:hint="eastAsia" w:ascii="黑体" w:hAnsi="黑体" w:eastAsia="黑体" w:cs="黑体"/>
          <w:color w:val="auto"/>
          <w:kern w:val="0"/>
          <w:sz w:val="24"/>
          <w:szCs w:val="24"/>
          <w:lang w:val="en-US" w:eastAsia="zh-CN"/>
        </w:rPr>
      </w:pPr>
      <w:r>
        <w:rPr>
          <w:color w:val="auto"/>
          <w:kern w:val="0"/>
          <w:sz w:val="28"/>
          <w:szCs w:val="28"/>
        </w:rPr>
        <w:t>措施为撒播种草：选择羊草+披碱草+紫花苜蓿混合播种，用于复垦牧草种子必须是一级种，并且要有“一签、三证”；采用人力补种的方法，在雨季来临后到入秋前，补种草籽，根据草场实际生长情况，撒播量可适当调整。播种草籽方法采用撒播，草籽撒播密度为</w:t>
      </w:r>
      <w:r>
        <w:rPr>
          <w:rFonts w:hint="eastAsia"/>
          <w:color w:val="auto"/>
          <w:kern w:val="0"/>
          <w:sz w:val="28"/>
          <w:szCs w:val="28"/>
          <w:lang w:val="en-US" w:eastAsia="zh-CN"/>
        </w:rPr>
        <w:t>45</w:t>
      </w:r>
      <w:r>
        <w:rPr>
          <w:color w:val="auto"/>
          <w:kern w:val="0"/>
          <w:sz w:val="28"/>
          <w:szCs w:val="28"/>
        </w:rPr>
        <w:t>kg/hm</w:t>
      </w:r>
      <w:r>
        <w:rPr>
          <w:color w:val="auto"/>
          <w:kern w:val="0"/>
          <w:sz w:val="28"/>
          <w:szCs w:val="28"/>
          <w:vertAlign w:val="superscript"/>
        </w:rPr>
        <w:t>2</w:t>
      </w:r>
      <w:r>
        <w:rPr>
          <w:color w:val="auto"/>
          <w:kern w:val="0"/>
          <w:sz w:val="28"/>
          <w:szCs w:val="28"/>
        </w:rPr>
        <w:t>。撒播种草的面积</w:t>
      </w:r>
      <w:r>
        <w:rPr>
          <w:rFonts w:hint="eastAsia"/>
          <w:color w:val="auto"/>
          <w:kern w:val="0"/>
          <w:sz w:val="28"/>
          <w:szCs w:val="28"/>
          <w:lang w:val="en-US" w:eastAsia="zh-CN"/>
        </w:rPr>
        <w:t>8610</w:t>
      </w:r>
      <w:r>
        <w:rPr>
          <w:color w:val="auto"/>
          <w:kern w:val="0"/>
          <w:sz w:val="28"/>
          <w:szCs w:val="28"/>
        </w:rPr>
        <w:t>m</w:t>
      </w:r>
      <w:r>
        <w:rPr>
          <w:color w:val="auto"/>
          <w:kern w:val="0"/>
          <w:sz w:val="28"/>
          <w:szCs w:val="28"/>
          <w:vertAlign w:val="superscript"/>
        </w:rPr>
        <w:t>2</w:t>
      </w:r>
      <w:r>
        <w:rPr>
          <w:color w:val="auto"/>
          <w:kern w:val="0"/>
          <w:sz w:val="28"/>
          <w:szCs w:val="28"/>
        </w:rPr>
        <w:t>。及时进行浇水，每年 2次。</w:t>
      </w:r>
      <w:r>
        <w:rPr>
          <w:rFonts w:hint="eastAsia"/>
          <w:color w:val="auto"/>
          <w:kern w:val="0"/>
          <w:sz w:val="28"/>
          <w:szCs w:val="28"/>
          <w:lang w:val="en-US" w:eastAsia="zh-CN"/>
        </w:rPr>
        <w:t>治理效果见图4-9。</w:t>
      </w:r>
    </w:p>
    <w:p w14:paraId="10CF9D29">
      <w:pPr>
        <w:spacing w:line="360" w:lineRule="auto"/>
        <w:jc w:val="center"/>
        <w:rPr>
          <w:rFonts w:hint="eastAsia" w:ascii="黑体" w:hAnsi="黑体" w:eastAsia="黑体" w:cs="黑体"/>
          <w:color w:val="auto"/>
          <w:kern w:val="0"/>
          <w:sz w:val="24"/>
          <w:szCs w:val="24"/>
          <w:lang w:val="en-US" w:eastAsia="zh-CN"/>
        </w:rPr>
      </w:pPr>
      <w:r>
        <w:rPr>
          <w:rFonts w:hint="eastAsia" w:eastAsia="黑体"/>
          <w:lang w:eastAsia="zh-CN"/>
        </w:rPr>
        <w:t xml:space="preserve">    </w:t>
      </w:r>
    </w:p>
    <w:p w14:paraId="49543BA8">
      <w:pPr>
        <w:spacing w:line="360" w:lineRule="auto"/>
        <w:jc w:val="center"/>
        <w:rPr>
          <w:rFonts w:hint="eastAsia" w:ascii="黑体" w:hAnsi="黑体" w:eastAsia="黑体" w:cs="黑体"/>
          <w:color w:val="auto"/>
          <w:kern w:val="0"/>
          <w:sz w:val="24"/>
          <w:szCs w:val="24"/>
          <w:lang w:val="en-US" w:eastAsia="zh-CN"/>
        </w:rPr>
      </w:pPr>
      <w:r>
        <w:rPr>
          <w:rFonts w:hint="eastAsia" w:ascii="黑体" w:hAnsi="黑体" w:eastAsia="黑体" w:cs="黑体"/>
          <w:color w:val="auto"/>
          <w:kern w:val="0"/>
          <w:sz w:val="24"/>
          <w:szCs w:val="24"/>
          <w:lang w:val="en-US" w:eastAsia="zh-CN"/>
        </w:rPr>
        <w:t>图4-9  工业场地治理效果剖面图</w:t>
      </w:r>
    </w:p>
    <w:p w14:paraId="796E3783">
      <w:pPr>
        <w:pStyle w:val="5"/>
        <w:keepNext w:val="0"/>
        <w:keepLines w:val="0"/>
        <w:adjustRightInd/>
        <w:snapToGrid/>
        <w:ind w:firstLine="562"/>
        <w:rPr>
          <w:bCs/>
          <w:color w:val="auto"/>
          <w:sz w:val="28"/>
          <w:szCs w:val="24"/>
        </w:rPr>
      </w:pPr>
      <w:r>
        <w:rPr>
          <w:rFonts w:hint="eastAsia"/>
          <w:bCs/>
          <w:color w:val="auto"/>
          <w:sz w:val="28"/>
          <w:szCs w:val="24"/>
        </w:rPr>
        <w:t>（</w:t>
      </w:r>
      <w:r>
        <w:rPr>
          <w:rFonts w:hint="eastAsia"/>
          <w:bCs/>
          <w:color w:val="auto"/>
          <w:sz w:val="28"/>
          <w:szCs w:val="24"/>
          <w:lang w:val="en-US" w:eastAsia="zh-CN"/>
        </w:rPr>
        <w:t>八</w:t>
      </w:r>
      <w:r>
        <w:rPr>
          <w:rFonts w:hint="eastAsia"/>
          <w:bCs/>
          <w:color w:val="auto"/>
          <w:sz w:val="28"/>
          <w:szCs w:val="24"/>
        </w:rPr>
        <w:t>）矿区道路</w:t>
      </w:r>
    </w:p>
    <w:p w14:paraId="14548844">
      <w:pPr>
        <w:widowControl/>
        <w:spacing w:line="360" w:lineRule="auto"/>
        <w:ind w:firstLine="560" w:firstLineChars="200"/>
        <w:rPr>
          <w:color w:val="auto"/>
          <w:sz w:val="28"/>
          <w:szCs w:val="28"/>
        </w:rPr>
      </w:pPr>
      <w:r>
        <w:rPr>
          <w:color w:val="auto"/>
          <w:kern w:val="0"/>
          <w:sz w:val="28"/>
          <w:szCs w:val="28"/>
        </w:rPr>
        <w:t>1、地貌重塑工程</w:t>
      </w:r>
    </w:p>
    <w:p w14:paraId="08B46544">
      <w:pPr>
        <w:widowControl/>
        <w:spacing w:line="360" w:lineRule="auto"/>
        <w:ind w:firstLine="560" w:firstLineChars="200"/>
        <w:rPr>
          <w:rFonts w:hint="eastAsia"/>
          <w:bCs/>
          <w:color w:val="auto"/>
          <w:sz w:val="28"/>
          <w:szCs w:val="24"/>
          <w:lang w:val="en-US" w:eastAsia="zh-CN"/>
        </w:rPr>
      </w:pPr>
      <w:r>
        <w:rPr>
          <w:rFonts w:hint="eastAsia"/>
          <w:bCs/>
          <w:color w:val="auto"/>
          <w:sz w:val="28"/>
          <w:szCs w:val="24"/>
          <w:lang w:val="en-US" w:eastAsia="zh-CN"/>
        </w:rPr>
        <w:t>（1）垫坡</w:t>
      </w:r>
    </w:p>
    <w:p w14:paraId="6E45E901">
      <w:pPr>
        <w:widowControl/>
        <w:spacing w:line="360" w:lineRule="auto"/>
        <w:ind w:firstLine="560" w:firstLineChars="200"/>
        <w:rPr>
          <w:rFonts w:hint="eastAsia"/>
          <w:color w:val="auto"/>
          <w:sz w:val="28"/>
          <w:szCs w:val="28"/>
          <w:lang w:eastAsia="zh-CN"/>
        </w:rPr>
      </w:pPr>
      <w:r>
        <w:rPr>
          <w:color w:val="auto"/>
          <w:sz w:val="28"/>
          <w:szCs w:val="28"/>
        </w:rPr>
        <w:t>切坡路段长</w:t>
      </w:r>
      <w:r>
        <w:rPr>
          <w:rFonts w:hint="eastAsia"/>
          <w:color w:val="auto"/>
          <w:sz w:val="28"/>
          <w:szCs w:val="28"/>
          <w:lang w:val="en-US" w:eastAsia="zh-CN"/>
        </w:rPr>
        <w:t>1</w:t>
      </w:r>
      <w:r>
        <w:rPr>
          <w:color w:val="auto"/>
          <w:sz w:val="28"/>
          <w:szCs w:val="28"/>
        </w:rPr>
        <w:t>80m，切坡高度0.3-</w:t>
      </w:r>
      <w:r>
        <w:rPr>
          <w:rFonts w:hint="eastAsia"/>
          <w:color w:val="auto"/>
          <w:sz w:val="28"/>
          <w:szCs w:val="28"/>
          <w:lang w:val="en-US" w:eastAsia="zh-CN"/>
        </w:rPr>
        <w:t>2</w:t>
      </w:r>
      <w:r>
        <w:rPr>
          <w:color w:val="auto"/>
          <w:sz w:val="28"/>
          <w:szCs w:val="28"/>
        </w:rPr>
        <w:t>m</w:t>
      </w:r>
      <w:r>
        <w:rPr>
          <w:rFonts w:hint="eastAsia"/>
          <w:color w:val="auto"/>
          <w:sz w:val="28"/>
          <w:szCs w:val="28"/>
          <w:lang w:eastAsia="zh-CN"/>
        </w:rPr>
        <w:t>，</w:t>
      </w:r>
      <w:r>
        <w:rPr>
          <w:rFonts w:hint="eastAsia"/>
          <w:color w:val="auto"/>
          <w:sz w:val="28"/>
          <w:szCs w:val="28"/>
          <w:lang w:val="en-US" w:eastAsia="zh-CN"/>
        </w:rPr>
        <w:t>平均高约1m</w:t>
      </w:r>
      <w:r>
        <w:rPr>
          <w:color w:val="auto"/>
          <w:sz w:val="28"/>
          <w:szCs w:val="28"/>
        </w:rPr>
        <w:t>，坡角约为</w:t>
      </w:r>
      <w:r>
        <w:rPr>
          <w:rFonts w:hint="eastAsia"/>
          <w:color w:val="auto"/>
          <w:sz w:val="28"/>
          <w:szCs w:val="28"/>
          <w:lang w:val="en-US" w:eastAsia="zh-CN"/>
        </w:rPr>
        <w:t>7</w:t>
      </w:r>
      <w:r>
        <w:rPr>
          <w:color w:val="auto"/>
          <w:sz w:val="28"/>
          <w:szCs w:val="28"/>
        </w:rPr>
        <w:t>0°</w:t>
      </w:r>
      <w:r>
        <w:rPr>
          <w:rFonts w:hint="eastAsia"/>
          <w:color w:val="auto"/>
          <w:sz w:val="28"/>
          <w:szCs w:val="28"/>
          <w:lang w:eastAsia="zh-CN"/>
        </w:rPr>
        <w:t>；</w:t>
      </w:r>
    </w:p>
    <w:p w14:paraId="12C7B8CC">
      <w:pPr>
        <w:widowControl/>
        <w:spacing w:line="360" w:lineRule="auto"/>
        <w:ind w:firstLine="560" w:firstLineChars="200"/>
        <w:rPr>
          <w:rFonts w:hint="eastAsia"/>
          <w:color w:val="auto"/>
          <w:sz w:val="28"/>
          <w:szCs w:val="28"/>
          <w:lang w:val="en-US" w:eastAsia="zh-CN"/>
        </w:rPr>
      </w:pPr>
      <w:r>
        <w:rPr>
          <w:rFonts w:hint="eastAsia"/>
          <w:color w:val="auto"/>
          <w:sz w:val="28"/>
          <w:szCs w:val="28"/>
        </w:rPr>
        <w:t>对边坡进行</w:t>
      </w:r>
      <w:r>
        <w:rPr>
          <w:rFonts w:hint="eastAsia"/>
          <w:color w:val="auto"/>
          <w:sz w:val="28"/>
          <w:szCs w:val="28"/>
          <w:lang w:val="en-US" w:eastAsia="zh-CN"/>
        </w:rPr>
        <w:t>垫</w:t>
      </w:r>
      <w:r>
        <w:rPr>
          <w:rFonts w:hint="eastAsia"/>
          <w:color w:val="auto"/>
          <w:sz w:val="28"/>
          <w:szCs w:val="28"/>
        </w:rPr>
        <w:t>坡，</w:t>
      </w:r>
      <w:r>
        <w:rPr>
          <w:rFonts w:hint="eastAsia"/>
          <w:color w:val="auto"/>
          <w:sz w:val="28"/>
          <w:szCs w:val="28"/>
          <w:lang w:val="en-US" w:eastAsia="zh-CN"/>
        </w:rPr>
        <w:t>垫</w:t>
      </w:r>
      <w:r>
        <w:rPr>
          <w:rFonts w:hint="eastAsia"/>
          <w:color w:val="auto"/>
          <w:sz w:val="28"/>
          <w:szCs w:val="28"/>
        </w:rPr>
        <w:t>坡后坡角</w:t>
      </w:r>
      <w:r>
        <w:rPr>
          <w:rFonts w:hint="eastAsia"/>
          <w:color w:val="auto"/>
          <w:sz w:val="28"/>
          <w:szCs w:val="28"/>
          <w:lang w:val="en-US" w:eastAsia="zh-CN"/>
        </w:rPr>
        <w:t>30</w:t>
      </w:r>
      <w:r>
        <w:rPr>
          <w:rFonts w:hint="eastAsia"/>
          <w:color w:val="auto"/>
          <w:sz w:val="28"/>
          <w:szCs w:val="28"/>
        </w:rPr>
        <w:t>°，通过公式</w:t>
      </w:r>
      <w:r>
        <w:rPr>
          <w:rFonts w:hint="eastAsia"/>
          <w:color w:val="auto"/>
          <w:sz w:val="28"/>
          <w:szCs w:val="28"/>
          <w:lang w:val="en-US" w:eastAsia="zh-CN"/>
        </w:rPr>
        <w:t>D</w:t>
      </w:r>
      <w:r>
        <w:rPr>
          <w:rFonts w:hint="eastAsia"/>
          <w:color w:val="auto"/>
          <w:sz w:val="28"/>
          <w:szCs w:val="28"/>
        </w:rPr>
        <w:t>=L×V计算，式中：</w:t>
      </w:r>
      <w:r>
        <w:rPr>
          <w:rFonts w:hint="eastAsia"/>
          <w:color w:val="auto"/>
          <w:sz w:val="28"/>
          <w:szCs w:val="28"/>
          <w:lang w:val="en-US" w:eastAsia="zh-CN"/>
        </w:rPr>
        <w:t>D</w:t>
      </w:r>
      <w:r>
        <w:rPr>
          <w:rFonts w:hint="eastAsia"/>
          <w:color w:val="auto"/>
          <w:sz w:val="28"/>
          <w:szCs w:val="28"/>
        </w:rPr>
        <w:t>为</w:t>
      </w:r>
      <w:r>
        <w:rPr>
          <w:rFonts w:hint="eastAsia"/>
          <w:color w:val="auto"/>
          <w:sz w:val="28"/>
          <w:szCs w:val="28"/>
          <w:lang w:val="en-US" w:eastAsia="zh-CN"/>
        </w:rPr>
        <w:t>垫</w:t>
      </w:r>
      <w:r>
        <w:rPr>
          <w:rFonts w:hint="eastAsia"/>
          <w:color w:val="auto"/>
          <w:sz w:val="28"/>
          <w:szCs w:val="28"/>
        </w:rPr>
        <w:t>坡方量（m</w:t>
      </w:r>
      <w:r>
        <w:rPr>
          <w:rFonts w:hint="eastAsia"/>
          <w:color w:val="auto"/>
          <w:sz w:val="28"/>
          <w:szCs w:val="28"/>
          <w:vertAlign w:val="superscript"/>
        </w:rPr>
        <w:t>3</w:t>
      </w:r>
      <w:r>
        <w:rPr>
          <w:rFonts w:hint="eastAsia"/>
          <w:color w:val="auto"/>
          <w:sz w:val="28"/>
          <w:szCs w:val="28"/>
        </w:rPr>
        <w:t>）；L为边坡长度（m）；V为单位</w:t>
      </w:r>
      <w:r>
        <w:rPr>
          <w:rFonts w:hint="eastAsia"/>
          <w:color w:val="auto"/>
          <w:sz w:val="28"/>
          <w:szCs w:val="28"/>
          <w:lang w:val="en-US" w:eastAsia="zh-CN"/>
        </w:rPr>
        <w:t>垫</w:t>
      </w:r>
      <w:r>
        <w:rPr>
          <w:rFonts w:hint="eastAsia"/>
          <w:color w:val="auto"/>
          <w:sz w:val="28"/>
          <w:szCs w:val="28"/>
        </w:rPr>
        <w:t>坡方量。其中V=1/2H(H/</w:t>
      </w:r>
      <w:r>
        <w:rPr>
          <w:rFonts w:hint="eastAsia"/>
          <w:color w:val="auto"/>
          <w:sz w:val="28"/>
          <w:szCs w:val="28"/>
        </w:rPr>
        <w:fldChar w:fldCharType="begin"/>
      </w:r>
      <w:r>
        <w:rPr>
          <w:rFonts w:hint="eastAsia"/>
          <w:color w:val="auto"/>
          <w:sz w:val="28"/>
          <w:szCs w:val="28"/>
        </w:rPr>
        <w:instrText xml:space="preserve">HYPERLINK "https://baike.baidu.com/item/tan/14821216" \t "_blank"</w:instrText>
      </w:r>
      <w:r>
        <w:rPr>
          <w:rFonts w:hint="eastAsia"/>
          <w:color w:val="auto"/>
          <w:sz w:val="28"/>
          <w:szCs w:val="28"/>
        </w:rPr>
        <w:fldChar w:fldCharType="separate"/>
      </w:r>
      <w:r>
        <w:rPr>
          <w:rFonts w:hint="eastAsia"/>
          <w:color w:val="auto"/>
          <w:sz w:val="28"/>
          <w:szCs w:val="28"/>
        </w:rPr>
        <w:t>tan</w:t>
      </w:r>
      <w:r>
        <w:rPr>
          <w:rFonts w:hint="eastAsia"/>
          <w:color w:val="auto"/>
          <w:sz w:val="28"/>
          <w:szCs w:val="28"/>
        </w:rPr>
        <w:fldChar w:fldCharType="end"/>
      </w:r>
      <w:r>
        <w:rPr>
          <w:rFonts w:hint="eastAsia"/>
          <w:color w:val="auto"/>
          <w:sz w:val="28"/>
          <w:szCs w:val="28"/>
        </w:rPr>
        <w:t>α-H/</w:t>
      </w:r>
      <w:r>
        <w:rPr>
          <w:rFonts w:hint="eastAsia"/>
          <w:color w:val="auto"/>
          <w:sz w:val="28"/>
          <w:szCs w:val="28"/>
        </w:rPr>
        <w:fldChar w:fldCharType="begin"/>
      </w:r>
      <w:r>
        <w:rPr>
          <w:rFonts w:hint="eastAsia"/>
          <w:color w:val="auto"/>
          <w:sz w:val="28"/>
          <w:szCs w:val="28"/>
        </w:rPr>
        <w:instrText xml:space="preserve">HYPERLINK "https://baike.baidu.com/item/tan/14821216" \t "_blank"</w:instrText>
      </w:r>
      <w:r>
        <w:rPr>
          <w:rFonts w:hint="eastAsia"/>
          <w:color w:val="auto"/>
          <w:sz w:val="28"/>
          <w:szCs w:val="28"/>
        </w:rPr>
        <w:fldChar w:fldCharType="separate"/>
      </w:r>
      <w:r>
        <w:rPr>
          <w:rFonts w:hint="eastAsia"/>
          <w:color w:val="auto"/>
          <w:sz w:val="28"/>
          <w:szCs w:val="28"/>
        </w:rPr>
        <w:t>tan</w:t>
      </w:r>
      <w:r>
        <w:rPr>
          <w:rFonts w:hint="eastAsia"/>
          <w:color w:val="auto"/>
          <w:sz w:val="28"/>
          <w:szCs w:val="28"/>
        </w:rPr>
        <w:fldChar w:fldCharType="end"/>
      </w:r>
      <w:r>
        <w:rPr>
          <w:rFonts w:hint="eastAsia"/>
          <w:color w:val="auto"/>
          <w:sz w:val="28"/>
          <w:szCs w:val="28"/>
        </w:rPr>
        <w:t>β)，式中H为边坡高度，α为</w:t>
      </w:r>
      <w:r>
        <w:rPr>
          <w:rFonts w:hint="eastAsia"/>
          <w:color w:val="auto"/>
          <w:sz w:val="28"/>
          <w:szCs w:val="28"/>
          <w:lang w:val="en-US" w:eastAsia="zh-CN"/>
        </w:rPr>
        <w:t>垫</w:t>
      </w:r>
      <w:r>
        <w:rPr>
          <w:rFonts w:hint="eastAsia"/>
          <w:color w:val="auto"/>
          <w:sz w:val="28"/>
          <w:szCs w:val="28"/>
        </w:rPr>
        <w:t>坡坡角，β为原边坡角。经计算</w:t>
      </w:r>
      <w:r>
        <w:rPr>
          <w:rFonts w:hint="eastAsia"/>
          <w:bCs/>
          <w:color w:val="auto"/>
          <w:sz w:val="28"/>
          <w:szCs w:val="24"/>
        </w:rPr>
        <w:t>矿区道路</w:t>
      </w:r>
      <w:r>
        <w:rPr>
          <w:rFonts w:hint="eastAsia"/>
          <w:color w:val="auto"/>
          <w:sz w:val="28"/>
          <w:szCs w:val="28"/>
          <w:lang w:val="en-US" w:eastAsia="zh-CN"/>
        </w:rPr>
        <w:t>边坡垫</w:t>
      </w:r>
      <w:r>
        <w:rPr>
          <w:rFonts w:hint="eastAsia"/>
          <w:color w:val="auto"/>
          <w:sz w:val="28"/>
          <w:szCs w:val="28"/>
        </w:rPr>
        <w:t>坡方量</w:t>
      </w:r>
      <w:r>
        <w:rPr>
          <w:rFonts w:hint="eastAsia"/>
          <w:color w:val="auto"/>
          <w:sz w:val="28"/>
          <w:szCs w:val="28"/>
          <w:lang w:val="en-US" w:eastAsia="zh-CN"/>
        </w:rPr>
        <w:t>160</w:t>
      </w:r>
      <w:r>
        <w:rPr>
          <w:rFonts w:hint="eastAsia"/>
          <w:color w:val="auto"/>
          <w:sz w:val="28"/>
          <w:szCs w:val="28"/>
        </w:rPr>
        <w:t>m</w:t>
      </w:r>
      <w:r>
        <w:rPr>
          <w:rFonts w:hint="eastAsia"/>
          <w:color w:val="auto"/>
          <w:sz w:val="28"/>
          <w:szCs w:val="28"/>
          <w:vertAlign w:val="superscript"/>
        </w:rPr>
        <w:t>3</w:t>
      </w:r>
      <w:r>
        <w:rPr>
          <w:rFonts w:hint="eastAsia"/>
          <w:color w:val="auto"/>
          <w:sz w:val="28"/>
          <w:szCs w:val="28"/>
        </w:rPr>
        <w:t>。</w:t>
      </w:r>
    </w:p>
    <w:p w14:paraId="2E79E817">
      <w:pPr>
        <w:widowControl/>
        <w:numPr>
          <w:ilvl w:val="0"/>
          <w:numId w:val="0"/>
        </w:numPr>
        <w:spacing w:line="360" w:lineRule="auto"/>
        <w:ind w:leftChars="200"/>
        <w:rPr>
          <w:rFonts w:hint="eastAsia"/>
          <w:bCs/>
          <w:color w:val="auto"/>
          <w:sz w:val="28"/>
          <w:szCs w:val="24"/>
          <w:lang w:val="en-US" w:eastAsia="zh-CN"/>
        </w:rPr>
      </w:pPr>
      <w:r>
        <w:rPr>
          <w:rFonts w:hint="eastAsia"/>
          <w:bCs/>
          <w:color w:val="auto"/>
          <w:sz w:val="28"/>
          <w:szCs w:val="24"/>
          <w:lang w:val="en-US" w:eastAsia="zh-CN"/>
        </w:rPr>
        <w:t>（2）回填</w:t>
      </w:r>
    </w:p>
    <w:p w14:paraId="401DB774">
      <w:pPr>
        <w:widowControl/>
        <w:spacing w:line="360" w:lineRule="auto"/>
        <w:ind w:firstLine="560" w:firstLineChars="200"/>
        <w:rPr>
          <w:rFonts w:hint="default"/>
          <w:bCs/>
          <w:color w:val="auto"/>
          <w:sz w:val="28"/>
          <w:szCs w:val="24"/>
          <w:lang w:val="en-US" w:eastAsia="zh-CN"/>
        </w:rPr>
      </w:pPr>
      <w:r>
        <w:rPr>
          <w:rFonts w:hint="eastAsia"/>
          <w:color w:val="auto"/>
          <w:sz w:val="28"/>
          <w:szCs w:val="28"/>
        </w:rPr>
        <w:t>矿区</w:t>
      </w:r>
      <w:r>
        <w:rPr>
          <w:rFonts w:hint="eastAsia"/>
          <w:bCs/>
          <w:color w:val="auto"/>
          <w:sz w:val="28"/>
          <w:szCs w:val="24"/>
        </w:rPr>
        <w:t>道路</w:t>
      </w:r>
      <w:r>
        <w:rPr>
          <w:rFonts w:hint="eastAsia"/>
          <w:color w:val="auto"/>
          <w:sz w:val="28"/>
          <w:szCs w:val="28"/>
          <w:lang w:val="en-US" w:eastAsia="zh-CN"/>
        </w:rPr>
        <w:t>在进入露天采场处形成一处马道，两边较陡近直立，宽约4m，深约5m，长度约40m。设计对其进行回填，经计算回填方量800m</w:t>
      </w:r>
      <w:r>
        <w:rPr>
          <w:rFonts w:hint="eastAsia"/>
          <w:color w:val="auto"/>
          <w:sz w:val="28"/>
          <w:szCs w:val="28"/>
          <w:vertAlign w:val="superscript"/>
          <w:lang w:val="en-US" w:eastAsia="zh-CN"/>
        </w:rPr>
        <w:t>3</w:t>
      </w:r>
      <w:r>
        <w:rPr>
          <w:rFonts w:hint="eastAsia"/>
          <w:color w:val="auto"/>
          <w:sz w:val="28"/>
          <w:szCs w:val="28"/>
          <w:lang w:val="en-US" w:eastAsia="zh-CN"/>
        </w:rPr>
        <w:t>。</w:t>
      </w:r>
    </w:p>
    <w:p w14:paraId="0A9E2E38">
      <w:pPr>
        <w:widowControl/>
        <w:spacing w:line="360" w:lineRule="auto"/>
        <w:ind w:firstLine="560" w:firstLineChars="200"/>
        <w:rPr>
          <w:color w:val="auto"/>
          <w:kern w:val="0"/>
          <w:sz w:val="28"/>
          <w:szCs w:val="28"/>
        </w:rPr>
      </w:pPr>
      <w:r>
        <w:rPr>
          <w:color w:val="auto"/>
          <w:sz w:val="28"/>
          <w:szCs w:val="28"/>
        </w:rPr>
        <w:t>2、</w:t>
      </w:r>
      <w:r>
        <w:rPr>
          <w:color w:val="auto"/>
          <w:kern w:val="0"/>
          <w:sz w:val="28"/>
          <w:szCs w:val="28"/>
        </w:rPr>
        <w:t>土壤重构工程</w:t>
      </w:r>
    </w:p>
    <w:p w14:paraId="715FC08E">
      <w:pPr>
        <w:widowControl/>
        <w:spacing w:line="360" w:lineRule="auto"/>
        <w:ind w:firstLine="560" w:firstLineChars="200"/>
        <w:rPr>
          <w:color w:val="auto"/>
          <w:kern w:val="0"/>
          <w:sz w:val="28"/>
          <w:szCs w:val="28"/>
        </w:rPr>
      </w:pPr>
      <w:r>
        <w:rPr>
          <w:color w:val="auto"/>
          <w:kern w:val="0"/>
          <w:sz w:val="28"/>
          <w:szCs w:val="28"/>
        </w:rPr>
        <w:t>覆土工程：需复垦面积为</w:t>
      </w:r>
      <w:r>
        <w:rPr>
          <w:rFonts w:hint="eastAsia"/>
          <w:color w:val="auto"/>
          <w:kern w:val="0"/>
          <w:sz w:val="28"/>
          <w:szCs w:val="28"/>
          <w:lang w:val="en-US" w:eastAsia="zh-CN"/>
        </w:rPr>
        <w:t>8610</w:t>
      </w:r>
      <w:r>
        <w:rPr>
          <w:color w:val="auto"/>
          <w:kern w:val="0"/>
          <w:sz w:val="28"/>
          <w:szCs w:val="28"/>
        </w:rPr>
        <w:t>m</w:t>
      </w:r>
      <w:r>
        <w:rPr>
          <w:color w:val="auto"/>
          <w:kern w:val="0"/>
          <w:sz w:val="28"/>
          <w:szCs w:val="28"/>
          <w:vertAlign w:val="superscript"/>
        </w:rPr>
        <w:t>2</w:t>
      </w:r>
      <w:r>
        <w:rPr>
          <w:color w:val="auto"/>
          <w:kern w:val="0"/>
          <w:sz w:val="28"/>
          <w:szCs w:val="28"/>
        </w:rPr>
        <w:t>，复垦方向为草地，覆土厚度为0.3m，利用挖掘机、推土机对平台进行覆土，覆土量为</w:t>
      </w:r>
      <w:r>
        <w:rPr>
          <w:rFonts w:hint="eastAsia"/>
          <w:color w:val="auto"/>
          <w:kern w:val="0"/>
          <w:sz w:val="28"/>
          <w:szCs w:val="28"/>
          <w:lang w:val="en-US" w:eastAsia="zh-CN"/>
        </w:rPr>
        <w:t>2583</w:t>
      </w:r>
      <w:r>
        <w:rPr>
          <w:color w:val="auto"/>
          <w:kern w:val="0"/>
          <w:sz w:val="28"/>
          <w:szCs w:val="28"/>
        </w:rPr>
        <w:t>m</w:t>
      </w:r>
      <w:r>
        <w:rPr>
          <w:color w:val="auto"/>
          <w:kern w:val="0"/>
          <w:sz w:val="28"/>
          <w:szCs w:val="28"/>
          <w:vertAlign w:val="superscript"/>
        </w:rPr>
        <w:t>3</w:t>
      </w:r>
      <w:r>
        <w:rPr>
          <w:color w:val="auto"/>
          <w:kern w:val="0"/>
          <w:sz w:val="28"/>
          <w:szCs w:val="28"/>
        </w:rPr>
        <w:t>。通过表土覆盖，保证植被生长需要，有利于恢复地表植被。</w:t>
      </w:r>
      <w:r>
        <w:rPr>
          <w:rFonts w:hint="eastAsia"/>
          <w:color w:val="auto"/>
          <w:kern w:val="0"/>
          <w:sz w:val="28"/>
          <w:szCs w:val="28"/>
          <w:lang w:val="en-US" w:eastAsia="zh-CN"/>
        </w:rPr>
        <w:t>矿山无表土存储场，本次矿区生态修复工作中</w:t>
      </w:r>
      <w:r>
        <w:rPr>
          <w:rFonts w:hint="eastAsia"/>
          <w:color w:val="auto"/>
          <w:kern w:val="0"/>
          <w:sz w:val="28"/>
          <w:szCs w:val="28"/>
        </w:rPr>
        <w:t>覆土</w:t>
      </w:r>
      <w:r>
        <w:rPr>
          <w:rFonts w:hint="eastAsia"/>
          <w:color w:val="auto"/>
          <w:kern w:val="0"/>
          <w:sz w:val="28"/>
          <w:szCs w:val="28"/>
          <w:lang w:val="en-US" w:eastAsia="zh-CN"/>
        </w:rPr>
        <w:t>所需的土方量需外购。</w:t>
      </w:r>
    </w:p>
    <w:p w14:paraId="016AF9DB">
      <w:pPr>
        <w:widowControl/>
        <w:spacing w:line="360" w:lineRule="auto"/>
        <w:ind w:firstLine="560" w:firstLineChars="200"/>
        <w:rPr>
          <w:color w:val="auto"/>
          <w:kern w:val="0"/>
          <w:sz w:val="28"/>
          <w:szCs w:val="28"/>
        </w:rPr>
      </w:pPr>
      <w:r>
        <w:rPr>
          <w:color w:val="auto"/>
          <w:kern w:val="0"/>
          <w:sz w:val="28"/>
          <w:szCs w:val="28"/>
        </w:rPr>
        <w:t>3、植被重建工程</w:t>
      </w:r>
    </w:p>
    <w:p w14:paraId="1F2670F3">
      <w:pPr>
        <w:widowControl/>
        <w:spacing w:line="360" w:lineRule="auto"/>
        <w:ind w:firstLine="560" w:firstLineChars="200"/>
        <w:rPr>
          <w:color w:val="auto"/>
          <w:kern w:val="0"/>
          <w:sz w:val="28"/>
          <w:szCs w:val="28"/>
        </w:rPr>
      </w:pPr>
      <w:r>
        <w:rPr>
          <w:color w:val="auto"/>
          <w:kern w:val="0"/>
          <w:sz w:val="28"/>
          <w:szCs w:val="28"/>
        </w:rPr>
        <w:t>措施为撒播种草：选择羊草+披碱草+紫花苜蓿混合播种，用于复垦牧草种子必须是一级种，并且要有“一签、三证”；采用人力补种的方法，在雨季来临后到入秋前，补种草籽，根据草场实际生长情况，撒播量可适当调整。播种草籽方法采用撒播，草籽撒播密度为</w:t>
      </w:r>
      <w:r>
        <w:rPr>
          <w:rFonts w:hint="eastAsia"/>
          <w:color w:val="auto"/>
          <w:kern w:val="0"/>
          <w:sz w:val="28"/>
          <w:szCs w:val="28"/>
          <w:lang w:val="en-US" w:eastAsia="zh-CN"/>
        </w:rPr>
        <w:t>45</w:t>
      </w:r>
      <w:r>
        <w:rPr>
          <w:color w:val="auto"/>
          <w:kern w:val="0"/>
          <w:sz w:val="28"/>
          <w:szCs w:val="28"/>
        </w:rPr>
        <w:t>kg/hm</w:t>
      </w:r>
      <w:r>
        <w:rPr>
          <w:color w:val="auto"/>
          <w:kern w:val="0"/>
          <w:sz w:val="28"/>
          <w:szCs w:val="28"/>
          <w:vertAlign w:val="superscript"/>
        </w:rPr>
        <w:t>2</w:t>
      </w:r>
      <w:r>
        <w:rPr>
          <w:color w:val="auto"/>
          <w:kern w:val="0"/>
          <w:sz w:val="28"/>
          <w:szCs w:val="28"/>
        </w:rPr>
        <w:t>。撒播种草的面积</w:t>
      </w:r>
      <w:r>
        <w:rPr>
          <w:rFonts w:hint="eastAsia"/>
          <w:color w:val="auto"/>
          <w:kern w:val="0"/>
          <w:sz w:val="28"/>
          <w:szCs w:val="28"/>
          <w:lang w:val="en-US" w:eastAsia="zh-CN"/>
        </w:rPr>
        <w:t>8610</w:t>
      </w:r>
      <w:r>
        <w:rPr>
          <w:color w:val="auto"/>
          <w:kern w:val="0"/>
          <w:sz w:val="28"/>
          <w:szCs w:val="28"/>
        </w:rPr>
        <w:t>m</w:t>
      </w:r>
      <w:r>
        <w:rPr>
          <w:color w:val="auto"/>
          <w:kern w:val="0"/>
          <w:sz w:val="28"/>
          <w:szCs w:val="28"/>
          <w:vertAlign w:val="superscript"/>
        </w:rPr>
        <w:t>2</w:t>
      </w:r>
      <w:r>
        <w:rPr>
          <w:color w:val="auto"/>
          <w:kern w:val="0"/>
          <w:sz w:val="28"/>
          <w:szCs w:val="28"/>
        </w:rPr>
        <w:t>。及时进行浇水，每年 2次。</w:t>
      </w:r>
    </w:p>
    <w:bookmarkEnd w:id="82"/>
    <w:p w14:paraId="27E399DF">
      <w:pPr>
        <w:pStyle w:val="4"/>
        <w:spacing w:line="360" w:lineRule="auto"/>
        <w:rPr>
          <w:rFonts w:hint="eastAsia" w:ascii="Times New Roman"/>
          <w:b/>
          <w:bCs/>
          <w:color w:val="auto"/>
          <w:sz w:val="28"/>
          <w:szCs w:val="24"/>
        </w:rPr>
      </w:pPr>
      <w:r>
        <w:rPr>
          <w:rFonts w:hint="eastAsia" w:ascii="Times New Roman"/>
          <w:b/>
          <w:bCs/>
          <w:color w:val="auto"/>
          <w:sz w:val="28"/>
          <w:szCs w:val="24"/>
        </w:rPr>
        <w:t>二、主要工程量</w:t>
      </w:r>
    </w:p>
    <w:p w14:paraId="2B9AD9AF">
      <w:pPr>
        <w:widowControl/>
        <w:spacing w:line="360" w:lineRule="auto"/>
        <w:ind w:firstLine="560" w:firstLineChars="200"/>
        <w:rPr>
          <w:rFonts w:hint="eastAsia" w:ascii="黑体" w:hAnsi="黑体" w:eastAsia="黑体" w:cs="宋体"/>
          <w:color w:val="auto"/>
          <w:sz w:val="24"/>
          <w:szCs w:val="24"/>
        </w:rPr>
      </w:pPr>
      <w:r>
        <w:rPr>
          <w:rFonts w:hint="eastAsia"/>
          <w:color w:val="auto"/>
          <w:kern w:val="0"/>
          <w:sz w:val="28"/>
          <w:szCs w:val="28"/>
        </w:rPr>
        <w:t>各生态修复单元工程量见表4-</w:t>
      </w:r>
      <w:r>
        <w:rPr>
          <w:rFonts w:hint="eastAsia"/>
          <w:color w:val="auto"/>
          <w:kern w:val="0"/>
          <w:sz w:val="28"/>
          <w:szCs w:val="28"/>
          <w:lang w:val="en-US" w:eastAsia="zh-CN"/>
        </w:rPr>
        <w:t>2</w:t>
      </w:r>
      <w:r>
        <w:rPr>
          <w:rFonts w:hint="eastAsia"/>
          <w:color w:val="auto"/>
          <w:kern w:val="0"/>
          <w:sz w:val="28"/>
          <w:szCs w:val="28"/>
        </w:rPr>
        <w:t>。</w:t>
      </w:r>
    </w:p>
    <w:p w14:paraId="24E1D9D8">
      <w:pPr>
        <w:pStyle w:val="71"/>
        <w:rPr>
          <w:rFonts w:hint="eastAsia" w:ascii="黑体" w:hAnsi="黑体" w:eastAsia="黑体" w:cs="宋体"/>
          <w:color w:val="auto"/>
          <w:sz w:val="24"/>
          <w:szCs w:val="24"/>
        </w:rPr>
        <w:sectPr>
          <w:headerReference r:id="rId21" w:type="default"/>
          <w:footerReference r:id="rId22" w:type="default"/>
          <w:pgSz w:w="11906" w:h="16838"/>
          <w:pgMar w:top="1219" w:right="1797" w:bottom="1440" w:left="1797" w:header="851" w:footer="992" w:gutter="0"/>
          <w:pgNumType w:fmt="decimal"/>
          <w:cols w:space="720" w:num="1"/>
          <w:docGrid w:linePitch="312" w:charSpace="0"/>
        </w:sectPr>
      </w:pPr>
    </w:p>
    <w:p w14:paraId="117C1939">
      <w:pPr>
        <w:pStyle w:val="71"/>
        <w:rPr>
          <w:rFonts w:hint="eastAsia" w:ascii="黑体" w:hAnsi="黑体" w:eastAsia="黑体" w:cs="宋体"/>
          <w:color w:val="auto"/>
          <w:sz w:val="24"/>
          <w:szCs w:val="24"/>
        </w:rPr>
      </w:pPr>
      <w:r>
        <w:rPr>
          <w:rFonts w:hint="eastAsia" w:ascii="黑体" w:hAnsi="黑体" w:eastAsia="黑体" w:cs="宋体"/>
          <w:color w:val="auto"/>
          <w:sz w:val="24"/>
          <w:szCs w:val="24"/>
        </w:rPr>
        <w:t>表4-</w:t>
      </w:r>
      <w:r>
        <w:rPr>
          <w:rFonts w:hint="eastAsia" w:ascii="黑体" w:hAnsi="黑体" w:eastAsia="黑体" w:cs="宋体"/>
          <w:color w:val="auto"/>
          <w:sz w:val="24"/>
          <w:szCs w:val="24"/>
          <w:lang w:val="en-US" w:eastAsia="zh-CN"/>
        </w:rPr>
        <w:t>2</w:t>
      </w:r>
      <w:r>
        <w:rPr>
          <w:rFonts w:hint="eastAsia" w:ascii="黑体" w:hAnsi="黑体" w:eastAsia="黑体" w:cs="宋体"/>
          <w:color w:val="auto"/>
          <w:sz w:val="24"/>
          <w:szCs w:val="24"/>
        </w:rPr>
        <w:t xml:space="preserve">  各生态修复单元工程量统计表</w:t>
      </w:r>
    </w:p>
    <w:tbl>
      <w:tblPr>
        <w:tblStyle w:val="34"/>
        <w:tblW w:w="141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415"/>
        <w:gridCol w:w="1415"/>
        <w:gridCol w:w="1415"/>
        <w:gridCol w:w="992"/>
        <w:gridCol w:w="1415"/>
        <w:gridCol w:w="992"/>
        <w:gridCol w:w="851"/>
        <w:gridCol w:w="992"/>
        <w:gridCol w:w="992"/>
        <w:gridCol w:w="851"/>
        <w:gridCol w:w="1415"/>
        <w:gridCol w:w="1415"/>
      </w:tblGrid>
      <w:tr w14:paraId="2F274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4" w:hRule="atLeast"/>
          <w:jc w:val="center"/>
        </w:trPr>
        <w:tc>
          <w:tcPr>
            <w:tcW w:w="0" w:type="auto"/>
            <w:vMerge w:val="restart"/>
            <w:shd w:val="clear" w:color="auto" w:fill="auto"/>
            <w:noWrap/>
            <w:vAlign w:val="center"/>
          </w:tcPr>
          <w:p w14:paraId="40F863F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场地名称</w:t>
            </w:r>
          </w:p>
        </w:tc>
        <w:tc>
          <w:tcPr>
            <w:tcW w:w="0" w:type="auto"/>
            <w:shd w:val="clear" w:color="auto" w:fill="auto"/>
            <w:noWrap/>
            <w:vAlign w:val="center"/>
          </w:tcPr>
          <w:p w14:paraId="74D3BC9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修复面积</w:t>
            </w:r>
          </w:p>
        </w:tc>
        <w:tc>
          <w:tcPr>
            <w:tcW w:w="0" w:type="auto"/>
            <w:shd w:val="clear" w:color="auto" w:fill="auto"/>
            <w:noWrap/>
            <w:vAlign w:val="center"/>
          </w:tcPr>
          <w:p w14:paraId="6076CAC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削坡整形</w:t>
            </w:r>
          </w:p>
        </w:tc>
        <w:tc>
          <w:tcPr>
            <w:tcW w:w="0" w:type="auto"/>
            <w:shd w:val="clear" w:color="auto" w:fill="auto"/>
            <w:noWrap/>
            <w:vAlign w:val="center"/>
          </w:tcPr>
          <w:p w14:paraId="62DE339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垫坡</w:t>
            </w:r>
          </w:p>
        </w:tc>
        <w:tc>
          <w:tcPr>
            <w:tcW w:w="0" w:type="auto"/>
            <w:shd w:val="clear" w:color="auto" w:fill="auto"/>
            <w:noWrap/>
            <w:vAlign w:val="center"/>
          </w:tcPr>
          <w:p w14:paraId="546D811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岩体清除</w:t>
            </w:r>
          </w:p>
        </w:tc>
        <w:tc>
          <w:tcPr>
            <w:tcW w:w="0" w:type="auto"/>
            <w:shd w:val="clear" w:color="auto" w:fill="auto"/>
            <w:noWrap/>
            <w:vAlign w:val="center"/>
          </w:tcPr>
          <w:p w14:paraId="1E3431D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回填</w:t>
            </w:r>
          </w:p>
        </w:tc>
        <w:tc>
          <w:tcPr>
            <w:tcW w:w="0" w:type="auto"/>
            <w:shd w:val="clear" w:color="auto" w:fill="auto"/>
            <w:noWrap/>
            <w:vAlign w:val="center"/>
          </w:tcPr>
          <w:p w14:paraId="45CF450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拆除</w:t>
            </w:r>
          </w:p>
        </w:tc>
        <w:tc>
          <w:tcPr>
            <w:tcW w:w="0" w:type="auto"/>
            <w:shd w:val="clear" w:color="auto" w:fill="auto"/>
            <w:noWrap/>
            <w:vAlign w:val="center"/>
          </w:tcPr>
          <w:p w14:paraId="078A320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清运</w:t>
            </w:r>
          </w:p>
        </w:tc>
        <w:tc>
          <w:tcPr>
            <w:tcW w:w="0" w:type="auto"/>
            <w:shd w:val="clear" w:color="auto" w:fill="auto"/>
            <w:vAlign w:val="center"/>
          </w:tcPr>
          <w:p w14:paraId="0E0DDDA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覆土</w:t>
            </w:r>
          </w:p>
        </w:tc>
        <w:tc>
          <w:tcPr>
            <w:tcW w:w="0" w:type="auto"/>
            <w:shd w:val="clear" w:color="auto" w:fill="auto"/>
            <w:noWrap/>
            <w:vAlign w:val="center"/>
          </w:tcPr>
          <w:p w14:paraId="7C99EEB0">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整平</w:t>
            </w:r>
          </w:p>
        </w:tc>
        <w:tc>
          <w:tcPr>
            <w:tcW w:w="0" w:type="auto"/>
            <w:shd w:val="clear" w:color="auto" w:fill="auto"/>
            <w:noWrap/>
            <w:vAlign w:val="center"/>
          </w:tcPr>
          <w:p w14:paraId="499D154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种植乔木</w:t>
            </w:r>
          </w:p>
        </w:tc>
        <w:tc>
          <w:tcPr>
            <w:tcW w:w="1415" w:type="dxa"/>
            <w:shd w:val="clear" w:color="auto" w:fill="auto"/>
            <w:noWrap/>
            <w:vAlign w:val="center"/>
          </w:tcPr>
          <w:p w14:paraId="59F08ED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撒播种草</w:t>
            </w:r>
          </w:p>
        </w:tc>
      </w:tr>
      <w:tr w14:paraId="0C16E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0" w:type="auto"/>
            <w:vMerge w:val="continue"/>
            <w:shd w:val="clear" w:color="auto" w:fill="auto"/>
            <w:noWrap/>
            <w:vAlign w:val="center"/>
          </w:tcPr>
          <w:p w14:paraId="108BC87F">
            <w:pPr>
              <w:ind w:left="0" w:leftChars="0" w:right="0" w:rightChars="0" w:firstLine="0" w:firstLineChars="0"/>
              <w:jc w:val="center"/>
              <w:rPr>
                <w:rFonts w:hint="eastAsia" w:ascii="宋体" w:hAnsi="宋体" w:eastAsia="宋体" w:cs="宋体"/>
                <w:i w:val="0"/>
                <w:iCs w:val="0"/>
                <w:color w:val="auto"/>
                <w:sz w:val="21"/>
                <w:szCs w:val="21"/>
                <w:u w:val="none"/>
              </w:rPr>
            </w:pPr>
          </w:p>
        </w:tc>
        <w:tc>
          <w:tcPr>
            <w:tcW w:w="0" w:type="auto"/>
            <w:shd w:val="clear" w:color="auto" w:fill="auto"/>
            <w:noWrap/>
            <w:vAlign w:val="center"/>
          </w:tcPr>
          <w:p w14:paraId="49316F9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kern w:val="0"/>
                <w:sz w:val="21"/>
                <w:szCs w:val="21"/>
                <w:u w:val="none"/>
                <w:lang w:val="en-US" w:eastAsia="zh-CN" w:bidi="ar"/>
              </w:rPr>
              <w:t>m</w:t>
            </w:r>
            <w:r>
              <w:rPr>
                <w:rFonts w:hint="eastAsia" w:ascii="Times New Roman" w:hAnsi="Times New Roman" w:eastAsia="宋体" w:cs="Times New Roman"/>
                <w:i w:val="0"/>
                <w:iCs w:val="0"/>
                <w:color w:val="auto"/>
                <w:kern w:val="0"/>
                <w:sz w:val="21"/>
                <w:szCs w:val="21"/>
                <w:u w:val="none"/>
                <w:vertAlign w:val="superscript"/>
                <w:lang w:val="en-US" w:eastAsia="zh-CN" w:bidi="ar"/>
              </w:rPr>
              <w:t>2</w:t>
            </w:r>
            <w:r>
              <w:rPr>
                <w:rFonts w:hint="eastAsia" w:ascii="宋体" w:hAnsi="宋体" w:eastAsia="宋体" w:cs="宋体"/>
                <w:i w:val="0"/>
                <w:iCs w:val="0"/>
                <w:color w:val="auto"/>
                <w:kern w:val="0"/>
                <w:sz w:val="21"/>
                <w:szCs w:val="21"/>
                <w:u w:val="none"/>
                <w:lang w:val="en-US" w:eastAsia="zh-CN" w:bidi="ar"/>
              </w:rPr>
              <w:t>)</w:t>
            </w:r>
          </w:p>
        </w:tc>
        <w:tc>
          <w:tcPr>
            <w:tcW w:w="0" w:type="auto"/>
            <w:shd w:val="clear" w:color="auto" w:fill="auto"/>
            <w:noWrap/>
            <w:vAlign w:val="center"/>
          </w:tcPr>
          <w:p w14:paraId="55974F4E">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w:t>
            </w:r>
          </w:p>
        </w:tc>
        <w:tc>
          <w:tcPr>
            <w:tcW w:w="0" w:type="auto"/>
            <w:shd w:val="clear" w:color="auto" w:fill="auto"/>
            <w:noWrap/>
            <w:vAlign w:val="center"/>
          </w:tcPr>
          <w:p w14:paraId="4C39850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w:t>
            </w:r>
          </w:p>
        </w:tc>
        <w:tc>
          <w:tcPr>
            <w:tcW w:w="0" w:type="auto"/>
            <w:shd w:val="clear" w:color="auto" w:fill="auto"/>
            <w:noWrap/>
            <w:vAlign w:val="center"/>
          </w:tcPr>
          <w:p w14:paraId="23F99D4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w:t>
            </w:r>
          </w:p>
        </w:tc>
        <w:tc>
          <w:tcPr>
            <w:tcW w:w="0" w:type="auto"/>
            <w:shd w:val="clear" w:color="auto" w:fill="auto"/>
            <w:noWrap/>
            <w:vAlign w:val="center"/>
          </w:tcPr>
          <w:p w14:paraId="5261425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w:t>
            </w:r>
          </w:p>
        </w:tc>
        <w:tc>
          <w:tcPr>
            <w:tcW w:w="0" w:type="auto"/>
            <w:shd w:val="clear" w:color="auto" w:fill="auto"/>
            <w:noWrap/>
            <w:vAlign w:val="center"/>
          </w:tcPr>
          <w:p w14:paraId="1A388FB2">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w:t>
            </w:r>
          </w:p>
        </w:tc>
        <w:tc>
          <w:tcPr>
            <w:tcW w:w="0" w:type="auto"/>
            <w:shd w:val="clear" w:color="auto" w:fill="auto"/>
            <w:noWrap/>
            <w:vAlign w:val="center"/>
          </w:tcPr>
          <w:p w14:paraId="7023223C">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w:t>
            </w:r>
          </w:p>
        </w:tc>
        <w:tc>
          <w:tcPr>
            <w:tcW w:w="0" w:type="auto"/>
            <w:shd w:val="clear" w:color="auto" w:fill="auto"/>
            <w:vAlign w:val="center"/>
          </w:tcPr>
          <w:p w14:paraId="04B67AB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w:t>
            </w:r>
          </w:p>
        </w:tc>
        <w:tc>
          <w:tcPr>
            <w:tcW w:w="0" w:type="auto"/>
            <w:shd w:val="clear" w:color="auto" w:fill="auto"/>
            <w:noWrap/>
            <w:vAlign w:val="center"/>
          </w:tcPr>
          <w:p w14:paraId="1B0C9AF3">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w:t>
            </w:r>
          </w:p>
        </w:tc>
        <w:tc>
          <w:tcPr>
            <w:tcW w:w="0" w:type="auto"/>
            <w:shd w:val="clear" w:color="auto" w:fill="auto"/>
            <w:noWrap/>
            <w:vAlign w:val="center"/>
          </w:tcPr>
          <w:p w14:paraId="39627CBF">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株</w:t>
            </w:r>
            <w:r>
              <w:rPr>
                <w:rFonts w:hint="default" w:ascii="Times New Roman" w:hAnsi="Times New Roman" w:eastAsia="宋体" w:cs="Times New Roman"/>
                <w:i w:val="0"/>
                <w:iCs w:val="0"/>
                <w:color w:val="auto"/>
                <w:kern w:val="0"/>
                <w:sz w:val="21"/>
                <w:szCs w:val="21"/>
                <w:u w:val="none"/>
                <w:lang w:val="en-US" w:eastAsia="zh-CN" w:bidi="ar"/>
              </w:rPr>
              <w:t>)</w:t>
            </w:r>
          </w:p>
        </w:tc>
        <w:tc>
          <w:tcPr>
            <w:tcW w:w="1415" w:type="dxa"/>
            <w:shd w:val="clear" w:color="auto" w:fill="auto"/>
            <w:noWrap/>
            <w:vAlign w:val="center"/>
          </w:tcPr>
          <w:p w14:paraId="15793B07">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2</w:t>
            </w:r>
            <w:r>
              <w:rPr>
                <w:rFonts w:hint="default" w:ascii="Times New Roman" w:hAnsi="Times New Roman" w:eastAsia="宋体" w:cs="Times New Roman"/>
                <w:i w:val="0"/>
                <w:iCs w:val="0"/>
                <w:color w:val="auto"/>
                <w:kern w:val="0"/>
                <w:sz w:val="21"/>
                <w:szCs w:val="21"/>
                <w:u w:val="none"/>
                <w:lang w:val="en-US" w:eastAsia="zh-CN" w:bidi="ar"/>
              </w:rPr>
              <w:t>)</w:t>
            </w:r>
          </w:p>
        </w:tc>
      </w:tr>
      <w:tr w14:paraId="614A1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2DF281B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露天采场</w:t>
            </w:r>
          </w:p>
        </w:tc>
        <w:tc>
          <w:tcPr>
            <w:tcW w:w="0" w:type="auto"/>
            <w:shd w:val="clear" w:color="auto" w:fill="auto"/>
            <w:noWrap/>
            <w:vAlign w:val="center"/>
          </w:tcPr>
          <w:p w14:paraId="240B2FC7">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35248</w:t>
            </w:r>
          </w:p>
        </w:tc>
        <w:tc>
          <w:tcPr>
            <w:tcW w:w="0" w:type="auto"/>
            <w:shd w:val="clear" w:color="auto" w:fill="auto"/>
            <w:noWrap/>
            <w:vAlign w:val="center"/>
          </w:tcPr>
          <w:p w14:paraId="2E81C6D5">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538</w:t>
            </w:r>
          </w:p>
        </w:tc>
        <w:tc>
          <w:tcPr>
            <w:tcW w:w="0" w:type="auto"/>
            <w:shd w:val="clear" w:color="auto" w:fill="auto"/>
            <w:noWrap/>
            <w:vAlign w:val="center"/>
          </w:tcPr>
          <w:p w14:paraId="6BB4BB1F">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26701</w:t>
            </w:r>
          </w:p>
        </w:tc>
        <w:tc>
          <w:tcPr>
            <w:tcW w:w="0" w:type="auto"/>
            <w:shd w:val="clear" w:color="auto" w:fill="auto"/>
            <w:noWrap/>
            <w:vAlign w:val="center"/>
          </w:tcPr>
          <w:p w14:paraId="708D6965">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19200</w:t>
            </w:r>
          </w:p>
        </w:tc>
        <w:tc>
          <w:tcPr>
            <w:tcW w:w="0" w:type="auto"/>
            <w:shd w:val="clear" w:color="auto" w:fill="auto"/>
            <w:noWrap/>
            <w:vAlign w:val="center"/>
          </w:tcPr>
          <w:p w14:paraId="34AC35D7">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15084</w:t>
            </w:r>
          </w:p>
        </w:tc>
        <w:tc>
          <w:tcPr>
            <w:tcW w:w="0" w:type="auto"/>
            <w:shd w:val="clear" w:color="auto" w:fill="auto"/>
            <w:noWrap/>
            <w:vAlign w:val="center"/>
          </w:tcPr>
          <w:p w14:paraId="1079835B">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noWrap/>
            <w:vAlign w:val="center"/>
          </w:tcPr>
          <w:p w14:paraId="0BD4FECC">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vAlign w:val="center"/>
          </w:tcPr>
          <w:p w14:paraId="7DB9D431">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10762</w:t>
            </w:r>
          </w:p>
        </w:tc>
        <w:tc>
          <w:tcPr>
            <w:tcW w:w="0" w:type="auto"/>
            <w:shd w:val="clear" w:color="auto" w:fill="auto"/>
            <w:noWrap/>
            <w:vAlign w:val="center"/>
          </w:tcPr>
          <w:p w14:paraId="0D5FBB85">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0" w:type="auto"/>
            <w:shd w:val="clear" w:color="auto" w:fill="auto"/>
            <w:noWrap/>
            <w:vAlign w:val="center"/>
          </w:tcPr>
          <w:p w14:paraId="5C9126EA">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1415" w:type="dxa"/>
            <w:shd w:val="clear" w:color="auto" w:fill="auto"/>
            <w:noWrap/>
            <w:vAlign w:val="center"/>
          </w:tcPr>
          <w:p w14:paraId="193AF7B6">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35873</w:t>
            </w:r>
          </w:p>
        </w:tc>
      </w:tr>
      <w:tr w14:paraId="64822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0" w:type="auto"/>
            <w:shd w:val="clear" w:color="auto" w:fill="auto"/>
            <w:noWrap/>
            <w:vAlign w:val="center"/>
          </w:tcPr>
          <w:p w14:paraId="57CB85F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1#废石场</w:t>
            </w:r>
          </w:p>
        </w:tc>
        <w:tc>
          <w:tcPr>
            <w:tcW w:w="0" w:type="auto"/>
            <w:shd w:val="clear" w:color="auto" w:fill="auto"/>
            <w:noWrap/>
            <w:vAlign w:val="center"/>
          </w:tcPr>
          <w:p w14:paraId="6366D116">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4811</w:t>
            </w:r>
          </w:p>
        </w:tc>
        <w:tc>
          <w:tcPr>
            <w:tcW w:w="0" w:type="auto"/>
            <w:shd w:val="clear" w:color="auto" w:fill="auto"/>
            <w:noWrap/>
            <w:vAlign w:val="center"/>
          </w:tcPr>
          <w:p w14:paraId="1D1EC8D2">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158</w:t>
            </w:r>
          </w:p>
        </w:tc>
        <w:tc>
          <w:tcPr>
            <w:tcW w:w="0" w:type="auto"/>
            <w:shd w:val="clear" w:color="auto" w:fill="auto"/>
            <w:noWrap/>
            <w:vAlign w:val="center"/>
          </w:tcPr>
          <w:p w14:paraId="2DC945A1">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noWrap/>
            <w:vAlign w:val="center"/>
          </w:tcPr>
          <w:p w14:paraId="05992717">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noWrap/>
            <w:vAlign w:val="center"/>
          </w:tcPr>
          <w:p w14:paraId="6D0A4F1B">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noWrap/>
            <w:vAlign w:val="center"/>
          </w:tcPr>
          <w:p w14:paraId="20C41E43">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noWrap/>
            <w:vAlign w:val="center"/>
          </w:tcPr>
          <w:p w14:paraId="2DB8EF8B">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vAlign w:val="center"/>
          </w:tcPr>
          <w:p w14:paraId="6D19D97E">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1443</w:t>
            </w:r>
          </w:p>
        </w:tc>
        <w:tc>
          <w:tcPr>
            <w:tcW w:w="0" w:type="auto"/>
            <w:shd w:val="clear" w:color="auto" w:fill="auto"/>
            <w:noWrap/>
            <w:vAlign w:val="center"/>
          </w:tcPr>
          <w:p w14:paraId="3B136077">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0" w:type="auto"/>
            <w:shd w:val="clear" w:color="auto" w:fill="auto"/>
            <w:noWrap/>
            <w:vAlign w:val="center"/>
          </w:tcPr>
          <w:p w14:paraId="567FF6E9">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1415" w:type="dxa"/>
            <w:shd w:val="clear" w:color="auto" w:fill="auto"/>
            <w:noWrap/>
            <w:vAlign w:val="center"/>
          </w:tcPr>
          <w:p w14:paraId="39B91A42">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4811</w:t>
            </w:r>
          </w:p>
        </w:tc>
      </w:tr>
      <w:tr w14:paraId="0F1BC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0" w:type="auto"/>
            <w:shd w:val="clear" w:color="auto" w:fill="auto"/>
            <w:noWrap/>
            <w:vAlign w:val="center"/>
          </w:tcPr>
          <w:p w14:paraId="139B3CC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2#废石场</w:t>
            </w:r>
          </w:p>
        </w:tc>
        <w:tc>
          <w:tcPr>
            <w:tcW w:w="0" w:type="auto"/>
            <w:shd w:val="clear" w:color="auto" w:fill="auto"/>
            <w:noWrap/>
            <w:vAlign w:val="center"/>
          </w:tcPr>
          <w:p w14:paraId="06CBB2B5">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14034</w:t>
            </w:r>
          </w:p>
        </w:tc>
        <w:tc>
          <w:tcPr>
            <w:tcW w:w="0" w:type="auto"/>
            <w:shd w:val="clear" w:color="auto" w:fill="auto"/>
            <w:noWrap/>
            <w:vAlign w:val="center"/>
          </w:tcPr>
          <w:p w14:paraId="5879F484">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noWrap/>
            <w:vAlign w:val="center"/>
          </w:tcPr>
          <w:p w14:paraId="545F87C4">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846</w:t>
            </w:r>
          </w:p>
        </w:tc>
        <w:tc>
          <w:tcPr>
            <w:tcW w:w="0" w:type="auto"/>
            <w:shd w:val="clear" w:color="auto" w:fill="auto"/>
            <w:noWrap/>
            <w:vAlign w:val="center"/>
          </w:tcPr>
          <w:p w14:paraId="07108DD0">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noWrap/>
            <w:vAlign w:val="center"/>
          </w:tcPr>
          <w:p w14:paraId="242652E6">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noWrap/>
            <w:vAlign w:val="center"/>
          </w:tcPr>
          <w:p w14:paraId="45F7A17F">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noWrap/>
            <w:vAlign w:val="center"/>
          </w:tcPr>
          <w:p w14:paraId="0735178E">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24253</w:t>
            </w:r>
          </w:p>
        </w:tc>
        <w:tc>
          <w:tcPr>
            <w:tcW w:w="0" w:type="auto"/>
            <w:shd w:val="clear" w:color="auto" w:fill="auto"/>
            <w:vAlign w:val="center"/>
          </w:tcPr>
          <w:p w14:paraId="34F69A01">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4210</w:t>
            </w:r>
          </w:p>
        </w:tc>
        <w:tc>
          <w:tcPr>
            <w:tcW w:w="0" w:type="auto"/>
            <w:shd w:val="clear" w:color="auto" w:fill="auto"/>
            <w:noWrap/>
            <w:vAlign w:val="center"/>
          </w:tcPr>
          <w:p w14:paraId="1352DA49">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0" w:type="auto"/>
            <w:shd w:val="clear" w:color="auto" w:fill="auto"/>
            <w:noWrap/>
            <w:vAlign w:val="center"/>
          </w:tcPr>
          <w:p w14:paraId="10F7945E">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1415" w:type="dxa"/>
            <w:shd w:val="clear" w:color="auto" w:fill="auto"/>
            <w:noWrap/>
            <w:vAlign w:val="center"/>
          </w:tcPr>
          <w:p w14:paraId="32811320">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14034</w:t>
            </w:r>
          </w:p>
        </w:tc>
      </w:tr>
      <w:tr w14:paraId="3D45D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3315971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1#废渣堆</w:t>
            </w:r>
          </w:p>
        </w:tc>
        <w:tc>
          <w:tcPr>
            <w:tcW w:w="0" w:type="auto"/>
            <w:shd w:val="clear" w:color="auto" w:fill="auto"/>
            <w:noWrap/>
            <w:vAlign w:val="center"/>
          </w:tcPr>
          <w:p w14:paraId="2BB057C9">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3993</w:t>
            </w:r>
          </w:p>
        </w:tc>
        <w:tc>
          <w:tcPr>
            <w:tcW w:w="0" w:type="auto"/>
            <w:shd w:val="clear" w:color="auto" w:fill="auto"/>
            <w:noWrap/>
            <w:vAlign w:val="center"/>
          </w:tcPr>
          <w:p w14:paraId="245317AD">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294</w:t>
            </w:r>
          </w:p>
        </w:tc>
        <w:tc>
          <w:tcPr>
            <w:tcW w:w="0" w:type="auto"/>
            <w:shd w:val="clear" w:color="auto" w:fill="auto"/>
            <w:noWrap/>
            <w:vAlign w:val="center"/>
          </w:tcPr>
          <w:p w14:paraId="2112FDEB">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noWrap/>
            <w:vAlign w:val="center"/>
          </w:tcPr>
          <w:p w14:paraId="6967890C">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noWrap/>
            <w:vAlign w:val="center"/>
          </w:tcPr>
          <w:p w14:paraId="75175E88">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noWrap/>
            <w:vAlign w:val="center"/>
          </w:tcPr>
          <w:p w14:paraId="399F95EF">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noWrap/>
            <w:vAlign w:val="center"/>
          </w:tcPr>
          <w:p w14:paraId="409D82D1">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vAlign w:val="center"/>
          </w:tcPr>
          <w:p w14:paraId="3911E842">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1198</w:t>
            </w:r>
          </w:p>
        </w:tc>
        <w:tc>
          <w:tcPr>
            <w:tcW w:w="0" w:type="auto"/>
            <w:shd w:val="clear" w:color="auto" w:fill="auto"/>
            <w:noWrap/>
            <w:vAlign w:val="center"/>
          </w:tcPr>
          <w:p w14:paraId="6CDC36ED">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0" w:type="auto"/>
            <w:shd w:val="clear" w:color="auto" w:fill="auto"/>
            <w:noWrap/>
            <w:vAlign w:val="center"/>
          </w:tcPr>
          <w:p w14:paraId="42E05A12">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1415" w:type="dxa"/>
            <w:shd w:val="clear" w:color="auto" w:fill="auto"/>
            <w:noWrap/>
            <w:vAlign w:val="center"/>
          </w:tcPr>
          <w:p w14:paraId="753D5467">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3993</w:t>
            </w:r>
          </w:p>
        </w:tc>
      </w:tr>
      <w:tr w14:paraId="0D4FF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0E6096C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2#废渣堆</w:t>
            </w:r>
          </w:p>
        </w:tc>
        <w:tc>
          <w:tcPr>
            <w:tcW w:w="0" w:type="auto"/>
            <w:shd w:val="clear" w:color="auto" w:fill="auto"/>
            <w:noWrap/>
            <w:vAlign w:val="center"/>
          </w:tcPr>
          <w:p w14:paraId="478DB1D2">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3869</w:t>
            </w:r>
          </w:p>
        </w:tc>
        <w:tc>
          <w:tcPr>
            <w:tcW w:w="0" w:type="auto"/>
            <w:shd w:val="clear" w:color="auto" w:fill="auto"/>
            <w:noWrap/>
            <w:vAlign w:val="center"/>
          </w:tcPr>
          <w:p w14:paraId="4B13E27D">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250</w:t>
            </w:r>
          </w:p>
        </w:tc>
        <w:tc>
          <w:tcPr>
            <w:tcW w:w="0" w:type="auto"/>
            <w:shd w:val="clear" w:color="auto" w:fill="auto"/>
            <w:noWrap/>
            <w:vAlign w:val="center"/>
          </w:tcPr>
          <w:p w14:paraId="4C3D244D">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noWrap/>
            <w:vAlign w:val="center"/>
          </w:tcPr>
          <w:p w14:paraId="6454A22B">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noWrap/>
            <w:vAlign w:val="center"/>
          </w:tcPr>
          <w:p w14:paraId="106756B7">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noWrap/>
            <w:vAlign w:val="center"/>
          </w:tcPr>
          <w:p w14:paraId="359E2790">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noWrap/>
            <w:vAlign w:val="center"/>
          </w:tcPr>
          <w:p w14:paraId="1BDDB063">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vAlign w:val="center"/>
          </w:tcPr>
          <w:p w14:paraId="2A07F0A0">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1161</w:t>
            </w:r>
          </w:p>
        </w:tc>
        <w:tc>
          <w:tcPr>
            <w:tcW w:w="0" w:type="auto"/>
            <w:shd w:val="clear" w:color="auto" w:fill="auto"/>
            <w:noWrap/>
            <w:vAlign w:val="center"/>
          </w:tcPr>
          <w:p w14:paraId="63C19F8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0" w:type="auto"/>
            <w:shd w:val="clear" w:color="auto" w:fill="auto"/>
            <w:noWrap/>
            <w:vAlign w:val="center"/>
          </w:tcPr>
          <w:p w14:paraId="64874341">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1415" w:type="dxa"/>
            <w:shd w:val="clear" w:color="auto" w:fill="auto"/>
            <w:noWrap/>
            <w:vAlign w:val="center"/>
          </w:tcPr>
          <w:p w14:paraId="6E875B1B">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3869</w:t>
            </w:r>
          </w:p>
        </w:tc>
      </w:tr>
      <w:tr w14:paraId="01479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16F99DA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3#废渣堆</w:t>
            </w:r>
          </w:p>
        </w:tc>
        <w:tc>
          <w:tcPr>
            <w:tcW w:w="0" w:type="auto"/>
            <w:shd w:val="clear" w:color="auto" w:fill="auto"/>
            <w:noWrap/>
            <w:vAlign w:val="center"/>
          </w:tcPr>
          <w:p w14:paraId="48BEC6AB">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965</w:t>
            </w:r>
          </w:p>
        </w:tc>
        <w:tc>
          <w:tcPr>
            <w:tcW w:w="0" w:type="auto"/>
            <w:shd w:val="clear" w:color="auto" w:fill="auto"/>
            <w:noWrap/>
            <w:vAlign w:val="center"/>
          </w:tcPr>
          <w:p w14:paraId="36D533B2">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133</w:t>
            </w:r>
          </w:p>
        </w:tc>
        <w:tc>
          <w:tcPr>
            <w:tcW w:w="0" w:type="auto"/>
            <w:shd w:val="clear" w:color="auto" w:fill="auto"/>
            <w:noWrap/>
            <w:vAlign w:val="center"/>
          </w:tcPr>
          <w:p w14:paraId="50A9FF83">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noWrap/>
            <w:vAlign w:val="center"/>
          </w:tcPr>
          <w:p w14:paraId="62177E52">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noWrap/>
            <w:vAlign w:val="center"/>
          </w:tcPr>
          <w:p w14:paraId="1EA79B5F">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noWrap/>
            <w:vAlign w:val="center"/>
          </w:tcPr>
          <w:p w14:paraId="637BB7C4">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noWrap/>
            <w:vAlign w:val="center"/>
          </w:tcPr>
          <w:p w14:paraId="320F800B">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vAlign w:val="center"/>
          </w:tcPr>
          <w:p w14:paraId="1C32C4A5">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483</w:t>
            </w:r>
          </w:p>
        </w:tc>
        <w:tc>
          <w:tcPr>
            <w:tcW w:w="0" w:type="auto"/>
            <w:shd w:val="clear" w:color="auto" w:fill="auto"/>
            <w:noWrap/>
            <w:vAlign w:val="center"/>
          </w:tcPr>
          <w:p w14:paraId="5D0518B5">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0" w:type="auto"/>
            <w:shd w:val="clear" w:color="auto" w:fill="auto"/>
            <w:noWrap/>
            <w:vAlign w:val="center"/>
          </w:tcPr>
          <w:p w14:paraId="33B58106">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107</w:t>
            </w:r>
          </w:p>
        </w:tc>
        <w:tc>
          <w:tcPr>
            <w:tcW w:w="1415" w:type="dxa"/>
            <w:shd w:val="clear" w:color="auto" w:fill="auto"/>
            <w:noWrap/>
            <w:vAlign w:val="center"/>
          </w:tcPr>
          <w:p w14:paraId="442F69F7">
            <w:pPr>
              <w:ind w:left="0" w:leftChars="0" w:right="0" w:rightChars="0" w:firstLine="0" w:firstLineChars="0"/>
              <w:jc w:val="center"/>
              <w:rPr>
                <w:rFonts w:hint="default" w:ascii="Times New Roman" w:hAnsi="Times New Roman" w:eastAsia="宋体" w:cs="Times New Roman"/>
                <w:i w:val="0"/>
                <w:iCs w:val="0"/>
                <w:color w:val="auto"/>
                <w:sz w:val="20"/>
                <w:szCs w:val="20"/>
                <w:u w:val="none"/>
              </w:rPr>
            </w:pPr>
          </w:p>
        </w:tc>
      </w:tr>
      <w:tr w14:paraId="19A9C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6DFF739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工业场地</w:t>
            </w:r>
          </w:p>
        </w:tc>
        <w:tc>
          <w:tcPr>
            <w:tcW w:w="0" w:type="auto"/>
            <w:shd w:val="clear" w:color="auto" w:fill="auto"/>
            <w:noWrap/>
            <w:vAlign w:val="center"/>
          </w:tcPr>
          <w:p w14:paraId="1FAC536C">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5425</w:t>
            </w:r>
          </w:p>
        </w:tc>
        <w:tc>
          <w:tcPr>
            <w:tcW w:w="0" w:type="auto"/>
            <w:shd w:val="clear" w:color="auto" w:fill="auto"/>
            <w:noWrap/>
            <w:vAlign w:val="center"/>
          </w:tcPr>
          <w:p w14:paraId="0157BAC1">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noWrap/>
            <w:vAlign w:val="center"/>
          </w:tcPr>
          <w:p w14:paraId="353FBA5A">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noWrap/>
            <w:vAlign w:val="center"/>
          </w:tcPr>
          <w:p w14:paraId="36923D18">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noWrap/>
            <w:vAlign w:val="center"/>
          </w:tcPr>
          <w:p w14:paraId="01928761">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noWrap/>
            <w:vAlign w:val="center"/>
          </w:tcPr>
          <w:p w14:paraId="3B043D29">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150</w:t>
            </w:r>
          </w:p>
        </w:tc>
        <w:tc>
          <w:tcPr>
            <w:tcW w:w="0" w:type="auto"/>
            <w:shd w:val="clear" w:color="auto" w:fill="auto"/>
            <w:noWrap/>
            <w:vAlign w:val="center"/>
          </w:tcPr>
          <w:p w14:paraId="5CDB4619">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150</w:t>
            </w:r>
          </w:p>
        </w:tc>
        <w:tc>
          <w:tcPr>
            <w:tcW w:w="0" w:type="auto"/>
            <w:shd w:val="clear" w:color="auto" w:fill="auto"/>
            <w:vAlign w:val="center"/>
          </w:tcPr>
          <w:p w14:paraId="44F96556">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1628</w:t>
            </w:r>
          </w:p>
        </w:tc>
        <w:tc>
          <w:tcPr>
            <w:tcW w:w="0" w:type="auto"/>
            <w:shd w:val="clear" w:color="auto" w:fill="auto"/>
            <w:noWrap/>
            <w:vAlign w:val="center"/>
          </w:tcPr>
          <w:p w14:paraId="45E11EA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w:t>
            </w:r>
          </w:p>
        </w:tc>
        <w:tc>
          <w:tcPr>
            <w:tcW w:w="0" w:type="auto"/>
            <w:shd w:val="clear" w:color="auto" w:fill="auto"/>
            <w:noWrap/>
            <w:vAlign w:val="center"/>
          </w:tcPr>
          <w:p w14:paraId="52CE3323">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1415" w:type="dxa"/>
            <w:shd w:val="clear" w:color="auto" w:fill="auto"/>
            <w:noWrap/>
            <w:vAlign w:val="center"/>
          </w:tcPr>
          <w:p w14:paraId="1AE0E91E">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5425</w:t>
            </w:r>
          </w:p>
        </w:tc>
      </w:tr>
      <w:tr w14:paraId="76E0B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60A2F8F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矿区道路</w:t>
            </w:r>
          </w:p>
        </w:tc>
        <w:tc>
          <w:tcPr>
            <w:tcW w:w="0" w:type="auto"/>
            <w:shd w:val="clear" w:color="auto" w:fill="auto"/>
            <w:noWrap/>
            <w:vAlign w:val="center"/>
          </w:tcPr>
          <w:p w14:paraId="07A3C38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8610</w:t>
            </w:r>
          </w:p>
        </w:tc>
        <w:tc>
          <w:tcPr>
            <w:tcW w:w="0" w:type="auto"/>
            <w:shd w:val="clear" w:color="auto" w:fill="auto"/>
            <w:noWrap/>
            <w:vAlign w:val="center"/>
          </w:tcPr>
          <w:p w14:paraId="45C49ADA">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noWrap/>
            <w:vAlign w:val="center"/>
          </w:tcPr>
          <w:p w14:paraId="564001C2">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160</w:t>
            </w:r>
          </w:p>
        </w:tc>
        <w:tc>
          <w:tcPr>
            <w:tcW w:w="0" w:type="auto"/>
            <w:shd w:val="clear" w:color="auto" w:fill="auto"/>
            <w:noWrap/>
            <w:vAlign w:val="center"/>
          </w:tcPr>
          <w:p w14:paraId="30CA480A">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noWrap/>
            <w:vAlign w:val="center"/>
          </w:tcPr>
          <w:p w14:paraId="48ADB53F">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800</w:t>
            </w:r>
          </w:p>
        </w:tc>
        <w:tc>
          <w:tcPr>
            <w:tcW w:w="0" w:type="auto"/>
            <w:shd w:val="clear" w:color="auto" w:fill="auto"/>
            <w:noWrap/>
            <w:vAlign w:val="center"/>
          </w:tcPr>
          <w:p w14:paraId="63B43F2B">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noWrap/>
            <w:vAlign w:val="center"/>
          </w:tcPr>
          <w:p w14:paraId="5441DE59">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0" w:type="auto"/>
            <w:shd w:val="clear" w:color="auto" w:fill="auto"/>
            <w:vAlign w:val="center"/>
          </w:tcPr>
          <w:p w14:paraId="4B018126">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2583</w:t>
            </w:r>
          </w:p>
        </w:tc>
        <w:tc>
          <w:tcPr>
            <w:tcW w:w="0" w:type="auto"/>
            <w:shd w:val="clear" w:color="auto" w:fill="auto"/>
            <w:noWrap/>
            <w:vAlign w:val="center"/>
          </w:tcPr>
          <w:p w14:paraId="20ED5178">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0" w:type="auto"/>
            <w:shd w:val="clear" w:color="auto" w:fill="auto"/>
            <w:noWrap/>
            <w:vAlign w:val="center"/>
          </w:tcPr>
          <w:p w14:paraId="2D28140F">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1415" w:type="dxa"/>
            <w:shd w:val="clear" w:color="auto" w:fill="auto"/>
            <w:noWrap/>
            <w:vAlign w:val="center"/>
          </w:tcPr>
          <w:p w14:paraId="0732C1D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8610</w:t>
            </w:r>
          </w:p>
        </w:tc>
      </w:tr>
      <w:tr w14:paraId="38113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15" w:type="dxa"/>
            <w:shd w:val="clear" w:color="auto" w:fill="auto"/>
            <w:noWrap/>
            <w:vAlign w:val="center"/>
          </w:tcPr>
          <w:p w14:paraId="516A8C11">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合计</w:t>
            </w:r>
          </w:p>
        </w:tc>
        <w:tc>
          <w:tcPr>
            <w:tcW w:w="1415" w:type="dxa"/>
            <w:shd w:val="clear" w:color="auto" w:fill="auto"/>
            <w:noWrap/>
            <w:vAlign w:val="center"/>
          </w:tcPr>
          <w:p w14:paraId="28290826">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76955</w:t>
            </w:r>
          </w:p>
        </w:tc>
        <w:tc>
          <w:tcPr>
            <w:tcW w:w="1415" w:type="dxa"/>
            <w:shd w:val="clear" w:color="auto" w:fill="auto"/>
            <w:noWrap/>
            <w:vAlign w:val="center"/>
          </w:tcPr>
          <w:p w14:paraId="4C11FC53">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1373</w:t>
            </w:r>
          </w:p>
        </w:tc>
        <w:tc>
          <w:tcPr>
            <w:tcW w:w="992" w:type="dxa"/>
            <w:shd w:val="clear" w:color="auto" w:fill="auto"/>
            <w:noWrap/>
            <w:vAlign w:val="center"/>
          </w:tcPr>
          <w:p w14:paraId="2EA136F1">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27707</w:t>
            </w:r>
          </w:p>
        </w:tc>
        <w:tc>
          <w:tcPr>
            <w:tcW w:w="1415" w:type="dxa"/>
            <w:shd w:val="clear" w:color="auto" w:fill="auto"/>
            <w:noWrap/>
            <w:vAlign w:val="center"/>
          </w:tcPr>
          <w:p w14:paraId="30B5E2C9">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19200</w:t>
            </w:r>
          </w:p>
        </w:tc>
        <w:tc>
          <w:tcPr>
            <w:tcW w:w="992" w:type="dxa"/>
            <w:shd w:val="clear" w:color="auto" w:fill="auto"/>
            <w:noWrap/>
            <w:vAlign w:val="center"/>
          </w:tcPr>
          <w:p w14:paraId="2EE0834B">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15884</w:t>
            </w:r>
          </w:p>
        </w:tc>
        <w:tc>
          <w:tcPr>
            <w:tcW w:w="851" w:type="dxa"/>
            <w:shd w:val="clear" w:color="auto" w:fill="auto"/>
            <w:noWrap/>
            <w:vAlign w:val="center"/>
          </w:tcPr>
          <w:p w14:paraId="4E171D01">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150</w:t>
            </w:r>
          </w:p>
        </w:tc>
        <w:tc>
          <w:tcPr>
            <w:tcW w:w="992" w:type="dxa"/>
            <w:shd w:val="clear" w:color="auto" w:fill="auto"/>
            <w:noWrap/>
            <w:vAlign w:val="center"/>
          </w:tcPr>
          <w:p w14:paraId="2E248A21">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24403</w:t>
            </w:r>
          </w:p>
        </w:tc>
        <w:tc>
          <w:tcPr>
            <w:tcW w:w="992" w:type="dxa"/>
            <w:shd w:val="clear" w:color="auto" w:fill="auto"/>
            <w:noWrap/>
            <w:vAlign w:val="center"/>
          </w:tcPr>
          <w:p w14:paraId="32C1BA2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20692</w:t>
            </w:r>
          </w:p>
        </w:tc>
        <w:tc>
          <w:tcPr>
            <w:tcW w:w="851" w:type="dxa"/>
            <w:shd w:val="clear" w:color="auto" w:fill="auto"/>
            <w:noWrap/>
            <w:vAlign w:val="center"/>
          </w:tcPr>
          <w:p w14:paraId="52A72DED">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15</w:t>
            </w:r>
          </w:p>
        </w:tc>
        <w:tc>
          <w:tcPr>
            <w:tcW w:w="1415" w:type="dxa"/>
            <w:shd w:val="clear" w:color="auto" w:fill="auto"/>
            <w:noWrap/>
            <w:vAlign w:val="center"/>
          </w:tcPr>
          <w:p w14:paraId="26AF8286">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107</w:t>
            </w:r>
          </w:p>
        </w:tc>
        <w:tc>
          <w:tcPr>
            <w:tcW w:w="1415" w:type="dxa"/>
            <w:shd w:val="clear" w:color="auto" w:fill="auto"/>
            <w:noWrap/>
            <w:vAlign w:val="center"/>
          </w:tcPr>
          <w:p w14:paraId="591CE4B1">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76615</w:t>
            </w:r>
          </w:p>
        </w:tc>
      </w:tr>
    </w:tbl>
    <w:p w14:paraId="4203A64E">
      <w:pPr>
        <w:pStyle w:val="71"/>
        <w:rPr>
          <w:rFonts w:hint="eastAsia" w:ascii="黑体" w:hAnsi="黑体" w:eastAsia="黑体" w:cs="宋体"/>
          <w:color w:val="auto"/>
          <w:sz w:val="24"/>
          <w:szCs w:val="24"/>
        </w:rPr>
        <w:sectPr>
          <w:pgSz w:w="16838" w:h="11906" w:orient="landscape"/>
          <w:pgMar w:top="1797" w:right="1219" w:bottom="1797" w:left="1440" w:header="851" w:footer="992" w:gutter="0"/>
          <w:pgNumType w:fmt="decimal"/>
          <w:cols w:space="720" w:num="1"/>
          <w:docGrid w:linePitch="312" w:charSpace="0"/>
        </w:sectPr>
      </w:pPr>
    </w:p>
    <w:p w14:paraId="588794FF">
      <w:pPr>
        <w:pStyle w:val="2"/>
        <w:spacing w:before="120" w:beforeLines="50" w:line="360" w:lineRule="auto"/>
        <w:jc w:val="center"/>
        <w:rPr>
          <w:rFonts w:hint="eastAsia" w:ascii="黑体" w:hAnsi="黑体" w:eastAsia="黑体" w:cs="黑体"/>
          <w:bCs/>
          <w:color w:val="auto"/>
        </w:rPr>
      </w:pPr>
      <w:bookmarkStart w:id="83" w:name="_Toc19275"/>
      <w:r>
        <w:rPr>
          <w:rFonts w:hint="eastAsia" w:ascii="黑体" w:hAnsi="黑体" w:eastAsia="黑体" w:cs="黑体"/>
          <w:bCs/>
          <w:color w:val="auto"/>
        </w:rPr>
        <w:t>第五章  监测与管护</w:t>
      </w:r>
      <w:bookmarkEnd w:id="83"/>
    </w:p>
    <w:p w14:paraId="646BE110">
      <w:pPr>
        <w:pStyle w:val="3"/>
        <w:spacing w:before="120" w:beforeLines="50"/>
        <w:rPr>
          <w:color w:val="auto"/>
        </w:rPr>
      </w:pPr>
      <w:bookmarkStart w:id="84" w:name="_Toc7491"/>
      <w:r>
        <w:rPr>
          <w:rFonts w:hint="eastAsia"/>
          <w:color w:val="auto"/>
        </w:rPr>
        <w:t>第一节  监测目标与措施</w:t>
      </w:r>
      <w:bookmarkEnd w:id="84"/>
    </w:p>
    <w:p w14:paraId="19A60845">
      <w:pPr>
        <w:pStyle w:val="4"/>
        <w:spacing w:line="360" w:lineRule="auto"/>
        <w:ind w:firstLine="562" w:firstLineChars="200"/>
        <w:rPr>
          <w:b/>
          <w:bCs/>
          <w:color w:val="auto"/>
          <w:sz w:val="28"/>
          <w:szCs w:val="24"/>
        </w:rPr>
      </w:pPr>
      <w:r>
        <w:rPr>
          <w:rFonts w:hint="eastAsia"/>
          <w:b/>
          <w:bCs/>
          <w:color w:val="auto"/>
          <w:sz w:val="28"/>
          <w:szCs w:val="24"/>
        </w:rPr>
        <w:t>一、监测目标任务</w:t>
      </w:r>
    </w:p>
    <w:p w14:paraId="3878BCC7">
      <w:pPr>
        <w:widowControl/>
        <w:spacing w:line="360" w:lineRule="auto"/>
        <w:ind w:firstLine="560" w:firstLineChars="200"/>
        <w:rPr>
          <w:color w:val="auto"/>
          <w:kern w:val="0"/>
          <w:sz w:val="28"/>
          <w:szCs w:val="28"/>
        </w:rPr>
      </w:pPr>
      <w:r>
        <w:rPr>
          <w:rFonts w:hint="eastAsia"/>
          <w:color w:val="auto"/>
          <w:kern w:val="0"/>
          <w:sz w:val="28"/>
          <w:szCs w:val="28"/>
          <w:lang w:val="en-US" w:eastAsia="zh-CN"/>
        </w:rPr>
        <w:t>矿山不再继续开采</w:t>
      </w:r>
      <w:r>
        <w:rPr>
          <w:rFonts w:hint="eastAsia"/>
          <w:color w:val="auto"/>
          <w:kern w:val="0"/>
          <w:sz w:val="28"/>
          <w:szCs w:val="28"/>
        </w:rPr>
        <w:t>，</w:t>
      </w:r>
      <w:r>
        <w:rPr>
          <w:rFonts w:hint="eastAsia"/>
          <w:color w:val="auto"/>
          <w:kern w:val="0"/>
          <w:sz w:val="28"/>
          <w:szCs w:val="28"/>
          <w:lang w:val="en-US" w:eastAsia="zh-CN"/>
        </w:rPr>
        <w:t>在矿山闭坑生态修复阶段，</w:t>
      </w:r>
      <w:r>
        <w:rPr>
          <w:rFonts w:hint="eastAsia"/>
          <w:color w:val="auto"/>
          <w:kern w:val="0"/>
          <w:sz w:val="28"/>
          <w:szCs w:val="28"/>
        </w:rPr>
        <w:t>对</w:t>
      </w:r>
      <w:r>
        <w:rPr>
          <w:rFonts w:hint="eastAsia"/>
          <w:color w:val="auto"/>
          <w:kern w:val="0"/>
          <w:sz w:val="28"/>
          <w:szCs w:val="28"/>
          <w:lang w:val="en-US" w:eastAsia="zh-CN"/>
        </w:rPr>
        <w:t>地形地貌景观及</w:t>
      </w:r>
      <w:r>
        <w:rPr>
          <w:rFonts w:hint="eastAsia"/>
          <w:color w:val="auto"/>
          <w:kern w:val="0"/>
          <w:sz w:val="28"/>
          <w:szCs w:val="28"/>
        </w:rPr>
        <w:t>土地资源开展监测评价，为矿山土地复垦与生态修复的过程监管、适应性管理和验收提供科学依据。</w:t>
      </w:r>
    </w:p>
    <w:p w14:paraId="654E446C">
      <w:pPr>
        <w:pStyle w:val="4"/>
        <w:spacing w:line="360" w:lineRule="auto"/>
        <w:ind w:firstLine="562" w:firstLineChars="200"/>
        <w:rPr>
          <w:bCs/>
          <w:color w:val="auto"/>
          <w:sz w:val="28"/>
          <w:szCs w:val="28"/>
        </w:rPr>
      </w:pPr>
      <w:r>
        <w:rPr>
          <w:rFonts w:hint="eastAsia"/>
          <w:b/>
          <w:bCs/>
          <w:color w:val="auto"/>
          <w:sz w:val="28"/>
          <w:szCs w:val="24"/>
        </w:rPr>
        <w:t>二、监测措施</w:t>
      </w:r>
    </w:p>
    <w:p w14:paraId="3208DC6F">
      <w:pPr>
        <w:spacing w:line="360" w:lineRule="auto"/>
        <w:ind w:firstLine="576" w:firstLineChars="200"/>
        <w:rPr>
          <w:bCs/>
          <w:color w:val="auto"/>
          <w:spacing w:val="4"/>
          <w:sz w:val="28"/>
          <w:szCs w:val="28"/>
        </w:rPr>
      </w:pPr>
      <w:r>
        <w:rPr>
          <w:rFonts w:hint="eastAsia"/>
          <w:bCs/>
          <w:color w:val="auto"/>
          <w:spacing w:val="4"/>
          <w:sz w:val="28"/>
          <w:szCs w:val="28"/>
          <w:lang w:val="en-US" w:eastAsia="zh-CN"/>
        </w:rPr>
        <w:t>1</w:t>
      </w:r>
      <w:r>
        <w:rPr>
          <w:bCs/>
          <w:color w:val="auto"/>
          <w:spacing w:val="4"/>
          <w:sz w:val="28"/>
          <w:szCs w:val="28"/>
        </w:rPr>
        <w:t>、地形地貌景观及土地资源监测</w:t>
      </w:r>
    </w:p>
    <w:p w14:paraId="18FD5C8D">
      <w:pPr>
        <w:spacing w:line="360" w:lineRule="auto"/>
        <w:ind w:firstLine="576" w:firstLineChars="200"/>
        <w:rPr>
          <w:bCs/>
          <w:color w:val="auto"/>
          <w:spacing w:val="4"/>
          <w:sz w:val="28"/>
          <w:szCs w:val="28"/>
        </w:rPr>
      </w:pPr>
      <w:r>
        <w:rPr>
          <w:bCs/>
          <w:color w:val="auto"/>
          <w:spacing w:val="4"/>
          <w:sz w:val="28"/>
          <w:szCs w:val="28"/>
        </w:rPr>
        <w:t>（1）监测内容</w:t>
      </w:r>
    </w:p>
    <w:p w14:paraId="4AD458FA">
      <w:pPr>
        <w:spacing w:line="360" w:lineRule="auto"/>
        <w:ind w:firstLine="576" w:firstLineChars="200"/>
        <w:rPr>
          <w:bCs/>
          <w:color w:val="auto"/>
          <w:spacing w:val="4"/>
          <w:sz w:val="28"/>
          <w:szCs w:val="28"/>
        </w:rPr>
      </w:pPr>
      <w:r>
        <w:rPr>
          <w:bCs/>
          <w:color w:val="auto"/>
          <w:spacing w:val="4"/>
          <w:sz w:val="28"/>
          <w:szCs w:val="28"/>
        </w:rPr>
        <w:t>开采过程中对矿区内地貌景观及土地资源进行监测。</w:t>
      </w:r>
      <w:r>
        <w:rPr>
          <w:bCs/>
          <w:color w:val="auto"/>
          <w:sz w:val="28"/>
          <w:szCs w:val="28"/>
        </w:rPr>
        <w:t>主要为挖损、压占和占用破坏土地资源，影响地形地貌景观情况，随时掌握影响状况，制定相应对策。</w:t>
      </w:r>
    </w:p>
    <w:p w14:paraId="4F663ACC">
      <w:pPr>
        <w:spacing w:line="360" w:lineRule="auto"/>
        <w:ind w:firstLine="576" w:firstLineChars="200"/>
        <w:rPr>
          <w:bCs/>
          <w:color w:val="auto"/>
          <w:spacing w:val="4"/>
          <w:sz w:val="28"/>
          <w:szCs w:val="28"/>
        </w:rPr>
      </w:pPr>
      <w:r>
        <w:rPr>
          <w:bCs/>
          <w:color w:val="auto"/>
          <w:spacing w:val="4"/>
          <w:sz w:val="28"/>
          <w:szCs w:val="28"/>
        </w:rPr>
        <w:t>（2）监测方法</w:t>
      </w:r>
    </w:p>
    <w:p w14:paraId="1FEA84FE">
      <w:pPr>
        <w:spacing w:line="360" w:lineRule="auto"/>
        <w:ind w:firstLine="560" w:firstLineChars="200"/>
        <w:rPr>
          <w:bCs/>
          <w:color w:val="auto"/>
          <w:sz w:val="28"/>
          <w:szCs w:val="28"/>
        </w:rPr>
      </w:pPr>
      <w:r>
        <w:rPr>
          <w:bCs/>
          <w:color w:val="auto"/>
          <w:sz w:val="28"/>
          <w:szCs w:val="28"/>
        </w:rPr>
        <w:t>设置一条监测路线。采用人工巡查方式、小型无人机对地形地貌进行监测，在采矿过程中安全员随时监测。将历次照片进行对比分析地形地貌是否有变化，并采取必要的处理措施。</w:t>
      </w:r>
    </w:p>
    <w:p w14:paraId="02FCD8CC">
      <w:pPr>
        <w:spacing w:line="360" w:lineRule="auto"/>
        <w:ind w:firstLine="560" w:firstLineChars="200"/>
        <w:rPr>
          <w:bCs/>
          <w:color w:val="auto"/>
          <w:sz w:val="28"/>
          <w:szCs w:val="28"/>
        </w:rPr>
      </w:pPr>
      <w:r>
        <w:rPr>
          <w:bCs/>
          <w:color w:val="auto"/>
          <w:sz w:val="28"/>
          <w:szCs w:val="28"/>
        </w:rPr>
        <w:t>根据《矿山地质环境监测技术规程》（DZ/T0287-2015），本方案采用定期无人机航测（地面分辨率小于10cm）方式。定期指定专人采用人工监测、巡查的方式对矿山开采活动影响地段的地形地貌景观及土地损毁情况进行监测，防止矿山开采乱采乱挖以及废弃物的随意堆放。可根据样表5-</w:t>
      </w:r>
      <w:r>
        <w:rPr>
          <w:rFonts w:hint="eastAsia"/>
          <w:bCs/>
          <w:color w:val="auto"/>
          <w:sz w:val="28"/>
          <w:szCs w:val="28"/>
          <w:lang w:val="en-US" w:eastAsia="zh-CN"/>
        </w:rPr>
        <w:t>1</w:t>
      </w:r>
      <w:r>
        <w:rPr>
          <w:bCs/>
          <w:color w:val="auto"/>
          <w:sz w:val="28"/>
          <w:szCs w:val="28"/>
        </w:rPr>
        <w:t>记录监测情况。</w:t>
      </w:r>
    </w:p>
    <w:p w14:paraId="4F271AA0">
      <w:pPr>
        <w:pStyle w:val="33"/>
        <w:rPr>
          <w:bCs/>
          <w:color w:val="auto"/>
          <w:sz w:val="28"/>
          <w:szCs w:val="28"/>
        </w:rPr>
      </w:pPr>
    </w:p>
    <w:p w14:paraId="72C551B0">
      <w:pPr>
        <w:pStyle w:val="33"/>
        <w:rPr>
          <w:bCs/>
          <w:color w:val="auto"/>
          <w:sz w:val="28"/>
          <w:szCs w:val="28"/>
        </w:rPr>
      </w:pPr>
    </w:p>
    <w:p w14:paraId="33CDCC58">
      <w:pPr>
        <w:pStyle w:val="33"/>
        <w:rPr>
          <w:bCs/>
          <w:color w:val="auto"/>
          <w:sz w:val="28"/>
          <w:szCs w:val="28"/>
        </w:rPr>
      </w:pPr>
    </w:p>
    <w:p w14:paraId="4637FC96">
      <w:pPr>
        <w:pStyle w:val="33"/>
        <w:rPr>
          <w:bCs/>
          <w:color w:val="auto"/>
          <w:sz w:val="28"/>
          <w:szCs w:val="28"/>
        </w:rPr>
      </w:pPr>
    </w:p>
    <w:p w14:paraId="726CE8AB">
      <w:pPr>
        <w:pStyle w:val="33"/>
        <w:rPr>
          <w:bCs/>
          <w:color w:val="auto"/>
          <w:sz w:val="28"/>
          <w:szCs w:val="28"/>
        </w:rPr>
      </w:pPr>
    </w:p>
    <w:p w14:paraId="1175FC69">
      <w:pPr>
        <w:pStyle w:val="71"/>
        <w:rPr>
          <w:rFonts w:ascii="Times New Roman" w:hAnsi="Times New Roman" w:eastAsia="黑体" w:cs="Times New Roman"/>
          <w:color w:val="auto"/>
          <w:sz w:val="24"/>
          <w:szCs w:val="24"/>
        </w:rPr>
      </w:pPr>
      <w:r>
        <w:rPr>
          <w:rFonts w:ascii="Times New Roman" w:hAnsi="Times New Roman" w:eastAsia="黑体" w:cs="Times New Roman"/>
          <w:color w:val="auto"/>
          <w:sz w:val="24"/>
          <w:szCs w:val="24"/>
        </w:rPr>
        <w:t>表5-</w:t>
      </w:r>
      <w:r>
        <w:rPr>
          <w:rFonts w:hint="eastAsia" w:ascii="Times New Roman" w:hAnsi="Times New Roman" w:eastAsia="黑体" w:cs="Times New Roman"/>
          <w:color w:val="auto"/>
          <w:sz w:val="24"/>
          <w:szCs w:val="24"/>
          <w:lang w:val="en-US" w:eastAsia="zh-CN"/>
        </w:rPr>
        <w:t>1</w:t>
      </w:r>
      <w:r>
        <w:rPr>
          <w:rFonts w:ascii="Times New Roman" w:hAnsi="Times New Roman" w:eastAsia="黑体" w:cs="Times New Roman"/>
          <w:color w:val="auto"/>
          <w:sz w:val="24"/>
          <w:szCs w:val="24"/>
        </w:rPr>
        <w:t xml:space="preserve">  地形地貌景观及土地资源监测记录表</w:t>
      </w:r>
    </w:p>
    <w:p w14:paraId="766112C5">
      <w:pPr>
        <w:pStyle w:val="71"/>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时间：  年   月   日        星期              天气：     </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
        <w:gridCol w:w="895"/>
        <w:gridCol w:w="1314"/>
        <w:gridCol w:w="5423"/>
      </w:tblGrid>
      <w:tr w14:paraId="3DD30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3016" w:type="dxa"/>
            <w:gridSpan w:val="3"/>
            <w:vAlign w:val="center"/>
          </w:tcPr>
          <w:p w14:paraId="051A0C7A">
            <w:pPr>
              <w:jc w:val="center"/>
              <w:rPr>
                <w:color w:val="auto"/>
                <w:szCs w:val="21"/>
              </w:rPr>
            </w:pPr>
            <w:r>
              <w:rPr>
                <w:color w:val="auto"/>
                <w:szCs w:val="21"/>
              </w:rPr>
              <w:t>监测单元</w:t>
            </w:r>
          </w:p>
        </w:tc>
        <w:tc>
          <w:tcPr>
            <w:tcW w:w="5423" w:type="dxa"/>
            <w:vAlign w:val="center"/>
          </w:tcPr>
          <w:p w14:paraId="535D5001">
            <w:pPr>
              <w:jc w:val="center"/>
              <w:rPr>
                <w:color w:val="auto"/>
                <w:szCs w:val="21"/>
              </w:rPr>
            </w:pPr>
          </w:p>
        </w:tc>
      </w:tr>
      <w:tr w14:paraId="265CD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807" w:type="dxa"/>
            <w:vMerge w:val="restart"/>
            <w:vAlign w:val="center"/>
          </w:tcPr>
          <w:p w14:paraId="6489136A">
            <w:pPr>
              <w:jc w:val="center"/>
              <w:rPr>
                <w:color w:val="auto"/>
                <w:szCs w:val="21"/>
              </w:rPr>
            </w:pPr>
            <w:r>
              <w:rPr>
                <w:color w:val="auto"/>
                <w:szCs w:val="21"/>
              </w:rPr>
              <w:t>监测内容</w:t>
            </w:r>
          </w:p>
        </w:tc>
        <w:tc>
          <w:tcPr>
            <w:tcW w:w="2209" w:type="dxa"/>
            <w:gridSpan w:val="2"/>
            <w:vAlign w:val="center"/>
          </w:tcPr>
          <w:p w14:paraId="79BABD7E">
            <w:pPr>
              <w:jc w:val="center"/>
              <w:rPr>
                <w:color w:val="auto"/>
                <w:szCs w:val="21"/>
              </w:rPr>
            </w:pPr>
            <w:r>
              <w:rPr>
                <w:color w:val="auto"/>
                <w:szCs w:val="21"/>
              </w:rPr>
              <w:t>损毁土地面积（m</w:t>
            </w:r>
            <w:r>
              <w:rPr>
                <w:color w:val="auto"/>
                <w:szCs w:val="21"/>
                <w:vertAlign w:val="superscript"/>
              </w:rPr>
              <w:t>2</w:t>
            </w:r>
            <w:r>
              <w:rPr>
                <w:color w:val="auto"/>
                <w:szCs w:val="21"/>
              </w:rPr>
              <w:t>）</w:t>
            </w:r>
          </w:p>
        </w:tc>
        <w:tc>
          <w:tcPr>
            <w:tcW w:w="5423" w:type="dxa"/>
            <w:vAlign w:val="center"/>
          </w:tcPr>
          <w:p w14:paraId="0C0491DF">
            <w:pPr>
              <w:jc w:val="center"/>
              <w:rPr>
                <w:color w:val="auto"/>
                <w:szCs w:val="21"/>
              </w:rPr>
            </w:pPr>
          </w:p>
        </w:tc>
      </w:tr>
      <w:tr w14:paraId="4EED1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807" w:type="dxa"/>
            <w:vMerge w:val="continue"/>
            <w:vAlign w:val="center"/>
          </w:tcPr>
          <w:p w14:paraId="53D72AF9">
            <w:pPr>
              <w:jc w:val="center"/>
              <w:rPr>
                <w:color w:val="auto"/>
                <w:szCs w:val="21"/>
              </w:rPr>
            </w:pPr>
          </w:p>
        </w:tc>
        <w:tc>
          <w:tcPr>
            <w:tcW w:w="2209" w:type="dxa"/>
            <w:gridSpan w:val="2"/>
            <w:vAlign w:val="center"/>
          </w:tcPr>
          <w:p w14:paraId="00987F08">
            <w:pPr>
              <w:jc w:val="center"/>
              <w:rPr>
                <w:color w:val="auto"/>
                <w:szCs w:val="21"/>
              </w:rPr>
            </w:pPr>
            <w:r>
              <w:rPr>
                <w:color w:val="auto"/>
                <w:szCs w:val="21"/>
              </w:rPr>
              <w:t>破坏土地利用类型</w:t>
            </w:r>
          </w:p>
        </w:tc>
        <w:tc>
          <w:tcPr>
            <w:tcW w:w="5423" w:type="dxa"/>
            <w:vAlign w:val="center"/>
          </w:tcPr>
          <w:p w14:paraId="754E10F2">
            <w:pPr>
              <w:jc w:val="center"/>
              <w:rPr>
                <w:color w:val="auto"/>
                <w:szCs w:val="21"/>
              </w:rPr>
            </w:pPr>
          </w:p>
        </w:tc>
      </w:tr>
      <w:tr w14:paraId="17A79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807" w:type="dxa"/>
            <w:vMerge w:val="continue"/>
            <w:vAlign w:val="center"/>
          </w:tcPr>
          <w:p w14:paraId="78ED1763">
            <w:pPr>
              <w:jc w:val="center"/>
              <w:rPr>
                <w:color w:val="auto"/>
                <w:szCs w:val="21"/>
              </w:rPr>
            </w:pPr>
          </w:p>
        </w:tc>
        <w:tc>
          <w:tcPr>
            <w:tcW w:w="2209" w:type="dxa"/>
            <w:gridSpan w:val="2"/>
            <w:vAlign w:val="center"/>
          </w:tcPr>
          <w:p w14:paraId="3AA72AF3">
            <w:pPr>
              <w:jc w:val="center"/>
              <w:rPr>
                <w:color w:val="auto"/>
                <w:szCs w:val="21"/>
              </w:rPr>
            </w:pPr>
            <w:r>
              <w:rPr>
                <w:color w:val="auto"/>
                <w:szCs w:val="21"/>
              </w:rPr>
              <w:t>损毁方式</w:t>
            </w:r>
          </w:p>
        </w:tc>
        <w:tc>
          <w:tcPr>
            <w:tcW w:w="5423" w:type="dxa"/>
            <w:vAlign w:val="center"/>
          </w:tcPr>
          <w:p w14:paraId="3A277B07">
            <w:pPr>
              <w:jc w:val="center"/>
              <w:rPr>
                <w:color w:val="auto"/>
                <w:szCs w:val="21"/>
              </w:rPr>
            </w:pPr>
          </w:p>
        </w:tc>
      </w:tr>
      <w:tr w14:paraId="25B6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807" w:type="dxa"/>
            <w:vMerge w:val="continue"/>
            <w:vAlign w:val="center"/>
          </w:tcPr>
          <w:p w14:paraId="128DC89D">
            <w:pPr>
              <w:jc w:val="center"/>
              <w:rPr>
                <w:color w:val="auto"/>
                <w:szCs w:val="21"/>
              </w:rPr>
            </w:pPr>
          </w:p>
        </w:tc>
        <w:tc>
          <w:tcPr>
            <w:tcW w:w="2209" w:type="dxa"/>
            <w:gridSpan w:val="2"/>
            <w:vAlign w:val="center"/>
          </w:tcPr>
          <w:p w14:paraId="6455EC2D">
            <w:pPr>
              <w:jc w:val="center"/>
              <w:rPr>
                <w:color w:val="auto"/>
                <w:szCs w:val="21"/>
              </w:rPr>
            </w:pPr>
            <w:r>
              <w:rPr>
                <w:color w:val="auto"/>
                <w:szCs w:val="21"/>
              </w:rPr>
              <w:t>影响破坏程度</w:t>
            </w:r>
          </w:p>
        </w:tc>
        <w:tc>
          <w:tcPr>
            <w:tcW w:w="5423" w:type="dxa"/>
            <w:vAlign w:val="center"/>
          </w:tcPr>
          <w:p w14:paraId="4F525C94">
            <w:pPr>
              <w:jc w:val="center"/>
              <w:rPr>
                <w:color w:val="auto"/>
                <w:szCs w:val="21"/>
              </w:rPr>
            </w:pPr>
          </w:p>
        </w:tc>
      </w:tr>
      <w:tr w14:paraId="57C46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807" w:type="dxa"/>
            <w:vMerge w:val="continue"/>
            <w:vAlign w:val="center"/>
          </w:tcPr>
          <w:p w14:paraId="643E6A50">
            <w:pPr>
              <w:jc w:val="center"/>
              <w:rPr>
                <w:color w:val="auto"/>
                <w:szCs w:val="21"/>
              </w:rPr>
            </w:pPr>
          </w:p>
        </w:tc>
        <w:tc>
          <w:tcPr>
            <w:tcW w:w="2209" w:type="dxa"/>
            <w:gridSpan w:val="2"/>
            <w:vAlign w:val="center"/>
          </w:tcPr>
          <w:p w14:paraId="4981773F">
            <w:pPr>
              <w:jc w:val="center"/>
              <w:rPr>
                <w:color w:val="auto"/>
                <w:szCs w:val="21"/>
              </w:rPr>
            </w:pPr>
            <w:r>
              <w:rPr>
                <w:color w:val="auto"/>
                <w:szCs w:val="21"/>
              </w:rPr>
              <w:t>治理难度</w:t>
            </w:r>
          </w:p>
        </w:tc>
        <w:tc>
          <w:tcPr>
            <w:tcW w:w="5423" w:type="dxa"/>
            <w:vAlign w:val="center"/>
          </w:tcPr>
          <w:p w14:paraId="06C89337">
            <w:pPr>
              <w:jc w:val="center"/>
              <w:rPr>
                <w:color w:val="auto"/>
                <w:szCs w:val="21"/>
              </w:rPr>
            </w:pPr>
          </w:p>
        </w:tc>
      </w:tr>
      <w:tr w14:paraId="052EB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3016" w:type="dxa"/>
            <w:gridSpan w:val="3"/>
            <w:vAlign w:val="center"/>
          </w:tcPr>
          <w:p w14:paraId="2548523C">
            <w:pPr>
              <w:jc w:val="center"/>
              <w:rPr>
                <w:color w:val="auto"/>
                <w:szCs w:val="21"/>
              </w:rPr>
            </w:pPr>
            <w:r>
              <w:rPr>
                <w:color w:val="auto"/>
                <w:szCs w:val="21"/>
              </w:rPr>
              <w:t>监测人员</w:t>
            </w:r>
          </w:p>
        </w:tc>
        <w:tc>
          <w:tcPr>
            <w:tcW w:w="5423" w:type="dxa"/>
            <w:vAlign w:val="center"/>
          </w:tcPr>
          <w:p w14:paraId="62878CBB">
            <w:pPr>
              <w:jc w:val="center"/>
              <w:rPr>
                <w:color w:val="auto"/>
                <w:szCs w:val="21"/>
              </w:rPr>
            </w:pPr>
          </w:p>
        </w:tc>
      </w:tr>
      <w:tr w14:paraId="37AD2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702" w:type="dxa"/>
            <w:gridSpan w:val="2"/>
            <w:vAlign w:val="center"/>
          </w:tcPr>
          <w:p w14:paraId="6D87655B">
            <w:pPr>
              <w:jc w:val="center"/>
              <w:rPr>
                <w:color w:val="auto"/>
                <w:szCs w:val="21"/>
              </w:rPr>
            </w:pPr>
            <w:r>
              <w:rPr>
                <w:color w:val="auto"/>
                <w:szCs w:val="21"/>
              </w:rPr>
              <w:t>存在问题</w:t>
            </w:r>
          </w:p>
        </w:tc>
        <w:tc>
          <w:tcPr>
            <w:tcW w:w="6737" w:type="dxa"/>
            <w:gridSpan w:val="2"/>
            <w:vAlign w:val="center"/>
          </w:tcPr>
          <w:p w14:paraId="7E485335">
            <w:pPr>
              <w:jc w:val="center"/>
              <w:rPr>
                <w:color w:val="auto"/>
                <w:szCs w:val="21"/>
              </w:rPr>
            </w:pPr>
          </w:p>
          <w:p w14:paraId="7D77C1DD">
            <w:pPr>
              <w:jc w:val="center"/>
              <w:rPr>
                <w:color w:val="auto"/>
                <w:szCs w:val="21"/>
              </w:rPr>
            </w:pPr>
          </w:p>
        </w:tc>
      </w:tr>
      <w:tr w14:paraId="59EF0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702" w:type="dxa"/>
            <w:gridSpan w:val="2"/>
            <w:vAlign w:val="center"/>
          </w:tcPr>
          <w:p w14:paraId="07FA41F6">
            <w:pPr>
              <w:jc w:val="center"/>
              <w:rPr>
                <w:color w:val="auto"/>
                <w:szCs w:val="21"/>
              </w:rPr>
            </w:pPr>
            <w:r>
              <w:rPr>
                <w:color w:val="auto"/>
                <w:szCs w:val="21"/>
              </w:rPr>
              <w:t>处理意见</w:t>
            </w:r>
          </w:p>
        </w:tc>
        <w:tc>
          <w:tcPr>
            <w:tcW w:w="6737" w:type="dxa"/>
            <w:gridSpan w:val="2"/>
            <w:vAlign w:val="center"/>
          </w:tcPr>
          <w:p w14:paraId="26C11FD5">
            <w:pPr>
              <w:jc w:val="center"/>
              <w:rPr>
                <w:color w:val="auto"/>
                <w:szCs w:val="21"/>
              </w:rPr>
            </w:pPr>
          </w:p>
          <w:p w14:paraId="3AD62433">
            <w:pPr>
              <w:jc w:val="center"/>
              <w:rPr>
                <w:color w:val="auto"/>
                <w:szCs w:val="21"/>
              </w:rPr>
            </w:pPr>
          </w:p>
        </w:tc>
      </w:tr>
      <w:tr w14:paraId="0CFF5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702" w:type="dxa"/>
            <w:gridSpan w:val="2"/>
            <w:vAlign w:val="center"/>
          </w:tcPr>
          <w:p w14:paraId="4112A9EA">
            <w:pPr>
              <w:jc w:val="center"/>
              <w:rPr>
                <w:color w:val="auto"/>
                <w:szCs w:val="21"/>
              </w:rPr>
            </w:pPr>
            <w:r>
              <w:rPr>
                <w:color w:val="auto"/>
                <w:szCs w:val="21"/>
              </w:rPr>
              <w:t>处理结果</w:t>
            </w:r>
          </w:p>
        </w:tc>
        <w:tc>
          <w:tcPr>
            <w:tcW w:w="6737" w:type="dxa"/>
            <w:gridSpan w:val="2"/>
            <w:vAlign w:val="center"/>
          </w:tcPr>
          <w:p w14:paraId="040D4AE8">
            <w:pPr>
              <w:jc w:val="center"/>
              <w:rPr>
                <w:color w:val="auto"/>
                <w:szCs w:val="21"/>
              </w:rPr>
            </w:pPr>
          </w:p>
          <w:p w14:paraId="647DB775">
            <w:pPr>
              <w:jc w:val="center"/>
              <w:rPr>
                <w:color w:val="auto"/>
                <w:szCs w:val="21"/>
              </w:rPr>
            </w:pPr>
          </w:p>
        </w:tc>
      </w:tr>
    </w:tbl>
    <w:p w14:paraId="237DBF27">
      <w:pPr>
        <w:ind w:firstLine="456" w:firstLineChars="200"/>
        <w:rPr>
          <w:bCs/>
          <w:color w:val="auto"/>
          <w:spacing w:val="4"/>
          <w:sz w:val="22"/>
          <w:szCs w:val="22"/>
        </w:rPr>
      </w:pPr>
    </w:p>
    <w:p w14:paraId="39FB2678">
      <w:pPr>
        <w:spacing w:line="360" w:lineRule="auto"/>
        <w:ind w:firstLine="576" w:firstLineChars="200"/>
        <w:rPr>
          <w:bCs/>
          <w:color w:val="auto"/>
          <w:spacing w:val="4"/>
          <w:sz w:val="28"/>
          <w:szCs w:val="28"/>
        </w:rPr>
      </w:pPr>
      <w:r>
        <w:rPr>
          <w:bCs/>
          <w:color w:val="auto"/>
          <w:spacing w:val="4"/>
          <w:sz w:val="28"/>
          <w:szCs w:val="28"/>
        </w:rPr>
        <w:t>（3）监测频率</w:t>
      </w:r>
    </w:p>
    <w:p w14:paraId="72FFA574">
      <w:pPr>
        <w:spacing w:line="360" w:lineRule="auto"/>
        <w:ind w:firstLine="576" w:firstLineChars="200"/>
        <w:rPr>
          <w:bCs/>
          <w:color w:val="auto"/>
          <w:spacing w:val="4"/>
          <w:sz w:val="28"/>
          <w:szCs w:val="28"/>
        </w:rPr>
      </w:pPr>
      <w:r>
        <w:rPr>
          <w:bCs/>
          <w:color w:val="auto"/>
          <w:spacing w:val="4"/>
          <w:sz w:val="28"/>
          <w:szCs w:val="28"/>
        </w:rPr>
        <w:t>每年1次（选取8月份）固定航测。</w:t>
      </w:r>
    </w:p>
    <w:p w14:paraId="547B4781">
      <w:pPr>
        <w:spacing w:line="360" w:lineRule="auto"/>
        <w:ind w:firstLine="576" w:firstLineChars="200"/>
        <w:rPr>
          <w:bCs/>
          <w:color w:val="auto"/>
          <w:spacing w:val="4"/>
          <w:sz w:val="28"/>
          <w:szCs w:val="28"/>
        </w:rPr>
      </w:pPr>
      <w:r>
        <w:rPr>
          <w:bCs/>
          <w:color w:val="auto"/>
          <w:spacing w:val="4"/>
          <w:sz w:val="28"/>
          <w:szCs w:val="28"/>
        </w:rPr>
        <w:t>（4）监测时限</w:t>
      </w:r>
    </w:p>
    <w:p w14:paraId="1872FD27">
      <w:pPr>
        <w:spacing w:line="360" w:lineRule="auto"/>
        <w:ind w:firstLine="560" w:firstLineChars="200"/>
        <w:rPr>
          <w:bCs/>
          <w:color w:val="auto"/>
          <w:sz w:val="28"/>
          <w:szCs w:val="28"/>
        </w:rPr>
      </w:pPr>
      <w:r>
        <w:rPr>
          <w:bCs/>
          <w:color w:val="auto"/>
          <w:sz w:val="28"/>
          <w:szCs w:val="28"/>
        </w:rPr>
        <w:t>矿</w:t>
      </w:r>
      <w:r>
        <w:rPr>
          <w:rFonts w:hint="eastAsia"/>
          <w:bCs/>
          <w:color w:val="auto"/>
          <w:sz w:val="28"/>
          <w:szCs w:val="28"/>
          <w:lang w:val="en-US" w:eastAsia="zh-CN"/>
        </w:rPr>
        <w:t>山</w:t>
      </w:r>
      <w:r>
        <w:rPr>
          <w:bCs/>
          <w:color w:val="auto"/>
          <w:sz w:val="28"/>
          <w:szCs w:val="28"/>
        </w:rPr>
        <w:t>综合治理期内，即2026年</w:t>
      </w:r>
      <w:r>
        <w:rPr>
          <w:rFonts w:hint="eastAsia"/>
          <w:bCs/>
          <w:color w:val="auto"/>
          <w:sz w:val="28"/>
          <w:szCs w:val="28"/>
          <w:lang w:val="en-US" w:eastAsia="zh-CN"/>
        </w:rPr>
        <w:t>10</w:t>
      </w:r>
      <w:r>
        <w:rPr>
          <w:bCs/>
          <w:color w:val="auto"/>
          <w:sz w:val="28"/>
          <w:szCs w:val="28"/>
        </w:rPr>
        <w:t>月至</w:t>
      </w:r>
      <w:r>
        <w:rPr>
          <w:color w:val="auto"/>
          <w:sz w:val="28"/>
          <w:szCs w:val="28"/>
        </w:rPr>
        <w:t>20</w:t>
      </w:r>
      <w:r>
        <w:rPr>
          <w:rFonts w:hint="eastAsia"/>
          <w:color w:val="auto"/>
          <w:sz w:val="28"/>
          <w:szCs w:val="28"/>
          <w:lang w:val="en-US" w:eastAsia="zh-CN"/>
        </w:rPr>
        <w:t>30</w:t>
      </w:r>
      <w:r>
        <w:rPr>
          <w:bCs/>
          <w:color w:val="auto"/>
          <w:sz w:val="28"/>
          <w:szCs w:val="28"/>
        </w:rPr>
        <w:t>年</w:t>
      </w:r>
      <w:r>
        <w:rPr>
          <w:rFonts w:hint="eastAsia"/>
          <w:bCs/>
          <w:color w:val="auto"/>
          <w:sz w:val="28"/>
          <w:szCs w:val="28"/>
          <w:lang w:val="en-US" w:eastAsia="zh-CN"/>
        </w:rPr>
        <w:t>9</w:t>
      </w:r>
      <w:r>
        <w:rPr>
          <w:bCs/>
          <w:color w:val="auto"/>
          <w:sz w:val="28"/>
          <w:szCs w:val="28"/>
        </w:rPr>
        <w:t>月。</w:t>
      </w:r>
    </w:p>
    <w:p w14:paraId="225DD9E1">
      <w:pPr>
        <w:pStyle w:val="3"/>
        <w:spacing w:before="120" w:beforeLines="50"/>
        <w:rPr>
          <w:rFonts w:cs="宋体"/>
          <w:b w:val="0"/>
          <w:bCs/>
          <w:color w:val="auto"/>
          <w:sz w:val="28"/>
          <w:szCs w:val="28"/>
        </w:rPr>
      </w:pPr>
      <w:bookmarkStart w:id="85" w:name="_Toc12222"/>
      <w:r>
        <w:rPr>
          <w:rFonts w:hint="eastAsia"/>
          <w:color w:val="auto"/>
        </w:rPr>
        <w:t>第二节  管护目标与措施</w:t>
      </w:r>
      <w:bookmarkEnd w:id="85"/>
    </w:p>
    <w:p w14:paraId="057C519A">
      <w:pPr>
        <w:pStyle w:val="4"/>
        <w:spacing w:line="360" w:lineRule="auto"/>
        <w:ind w:firstLine="562" w:firstLineChars="200"/>
        <w:rPr>
          <w:b/>
          <w:bCs/>
          <w:color w:val="auto"/>
          <w:sz w:val="28"/>
          <w:szCs w:val="24"/>
        </w:rPr>
      </w:pPr>
      <w:r>
        <w:rPr>
          <w:rFonts w:hint="eastAsia"/>
          <w:b/>
          <w:bCs/>
          <w:color w:val="auto"/>
          <w:sz w:val="28"/>
          <w:szCs w:val="24"/>
        </w:rPr>
        <w:t>一、管护目标任务</w:t>
      </w:r>
    </w:p>
    <w:p w14:paraId="0D5331A7">
      <w:pPr>
        <w:pStyle w:val="5"/>
        <w:keepNext w:val="0"/>
        <w:keepLines w:val="0"/>
        <w:adjustRightInd/>
        <w:snapToGrid/>
        <w:ind w:firstLine="562"/>
        <w:rPr>
          <w:bCs/>
          <w:color w:val="auto"/>
          <w:sz w:val="28"/>
          <w:szCs w:val="24"/>
        </w:rPr>
      </w:pPr>
      <w:r>
        <w:rPr>
          <w:rFonts w:hint="eastAsia"/>
          <w:bCs/>
          <w:color w:val="auto"/>
          <w:sz w:val="28"/>
          <w:szCs w:val="24"/>
        </w:rPr>
        <w:t>（一）管护目标</w:t>
      </w:r>
    </w:p>
    <w:p w14:paraId="4BA489B1">
      <w:pPr>
        <w:spacing w:line="360" w:lineRule="auto"/>
        <w:ind w:firstLine="560" w:firstLineChars="200"/>
        <w:rPr>
          <w:color w:val="auto"/>
          <w:sz w:val="28"/>
          <w:szCs w:val="28"/>
        </w:rPr>
      </w:pPr>
      <w:r>
        <w:rPr>
          <w:color w:val="auto"/>
          <w:sz w:val="28"/>
          <w:szCs w:val="28"/>
        </w:rPr>
        <w:t>1、林地、草地管护主要采取补充种植措施、灌溉措施。为了保证栽植苗木和草籽的成活率，对成活率较低区域，综合分析原因，因地制宜开展补种、补撒工程。灌溉时掌握适时适量原则，遇枯水年份应及时补水，可有效防治水土流失，保证植被成活率以便达到预期的设计效果。</w:t>
      </w:r>
    </w:p>
    <w:p w14:paraId="024323B8">
      <w:pPr>
        <w:spacing w:line="360" w:lineRule="auto"/>
        <w:ind w:firstLine="560" w:firstLineChars="200"/>
        <w:rPr>
          <w:color w:val="auto"/>
          <w:sz w:val="28"/>
          <w:szCs w:val="28"/>
        </w:rPr>
      </w:pPr>
      <w:r>
        <w:rPr>
          <w:color w:val="auto"/>
          <w:sz w:val="28"/>
          <w:szCs w:val="28"/>
        </w:rPr>
        <w:t>2、苗木栽植、草籽撒播后要及时浇水，项目区夏秋季降雨较多，能够满足植被正常生长，栽植后第二年对缺苗处进行补植，对草籽发芽率低处进行补撒。</w:t>
      </w:r>
    </w:p>
    <w:p w14:paraId="64BE0A35">
      <w:pPr>
        <w:spacing w:line="360" w:lineRule="auto"/>
        <w:ind w:firstLine="560" w:firstLineChars="200"/>
        <w:rPr>
          <w:color w:val="auto"/>
          <w:sz w:val="28"/>
          <w:szCs w:val="28"/>
        </w:rPr>
      </w:pPr>
      <w:r>
        <w:rPr>
          <w:color w:val="auto"/>
          <w:sz w:val="28"/>
          <w:szCs w:val="28"/>
        </w:rPr>
        <w:t>3、复垦林地</w:t>
      </w:r>
      <w:r>
        <w:rPr>
          <w:rFonts w:hint="eastAsia"/>
          <w:color w:val="auto"/>
          <w:sz w:val="28"/>
          <w:szCs w:val="28"/>
          <w:lang w:eastAsia="zh-CN"/>
        </w:rPr>
        <w:t>出现</w:t>
      </w:r>
      <w:r>
        <w:rPr>
          <w:color w:val="auto"/>
          <w:sz w:val="28"/>
          <w:szCs w:val="28"/>
        </w:rPr>
        <w:t>缺素症状时，根据缺素症状及时进行追肥。可适当使用少量的化肥，以提高土壤肥力，以提高农作物的成活率和生长速度。</w:t>
      </w:r>
    </w:p>
    <w:p w14:paraId="699A6E38">
      <w:pPr>
        <w:spacing w:line="360" w:lineRule="auto"/>
        <w:ind w:firstLine="560" w:firstLineChars="200"/>
        <w:rPr>
          <w:color w:val="auto"/>
          <w:sz w:val="28"/>
          <w:szCs w:val="28"/>
        </w:rPr>
      </w:pPr>
      <w:r>
        <w:rPr>
          <w:color w:val="auto"/>
          <w:sz w:val="28"/>
          <w:szCs w:val="28"/>
        </w:rPr>
        <w:t>4、新造幼林需封育，管护期为</w:t>
      </w:r>
      <w:r>
        <w:rPr>
          <w:rFonts w:hint="eastAsia"/>
          <w:color w:val="auto"/>
          <w:sz w:val="28"/>
          <w:szCs w:val="28"/>
          <w:lang w:val="en-US" w:eastAsia="zh-CN"/>
        </w:rPr>
        <w:t>3</w:t>
      </w:r>
      <w:r>
        <w:rPr>
          <w:color w:val="auto"/>
          <w:sz w:val="28"/>
          <w:szCs w:val="28"/>
        </w:rPr>
        <w:t>年。</w:t>
      </w:r>
      <w:r>
        <w:rPr>
          <w:rFonts w:hint="eastAsia"/>
          <w:color w:val="auto"/>
          <w:sz w:val="28"/>
          <w:szCs w:val="28"/>
          <w:lang w:eastAsia="zh-CN"/>
        </w:rPr>
        <w:t>赤峰鑫鑫矿业有限公司管护1年，剩余2年管护期由土地权属人窑沟门村进行管护。</w:t>
      </w:r>
    </w:p>
    <w:p w14:paraId="64833874">
      <w:pPr>
        <w:pStyle w:val="5"/>
        <w:keepNext w:val="0"/>
        <w:keepLines w:val="0"/>
        <w:adjustRightInd/>
        <w:snapToGrid/>
        <w:ind w:firstLine="562"/>
        <w:rPr>
          <w:rFonts w:ascii="Times New Roman" w:hAnsi="Times New Roman"/>
          <w:bCs/>
          <w:color w:val="auto"/>
          <w:sz w:val="28"/>
          <w:szCs w:val="24"/>
        </w:rPr>
      </w:pPr>
      <w:r>
        <w:rPr>
          <w:rFonts w:ascii="Times New Roman" w:hAnsi="Times New Roman"/>
          <w:bCs/>
          <w:color w:val="auto"/>
          <w:sz w:val="28"/>
          <w:szCs w:val="24"/>
        </w:rPr>
        <w:t>（二）管护任务</w:t>
      </w:r>
    </w:p>
    <w:p w14:paraId="19199961">
      <w:pPr>
        <w:spacing w:line="360" w:lineRule="auto"/>
        <w:ind w:firstLine="560" w:firstLineChars="200"/>
        <w:rPr>
          <w:bCs/>
          <w:color w:val="auto"/>
          <w:sz w:val="28"/>
          <w:szCs w:val="28"/>
        </w:rPr>
      </w:pPr>
      <w:r>
        <w:rPr>
          <w:bCs/>
          <w:color w:val="auto"/>
          <w:sz w:val="28"/>
          <w:szCs w:val="28"/>
        </w:rPr>
        <w:t>生态修复工程管护任务是加强重构土壤、重建植被的管护与健康管理，对受损灌草及时补种、培土、浇水、施肥，喷洒农药</w:t>
      </w:r>
      <w:r>
        <w:rPr>
          <w:rFonts w:hint="eastAsia"/>
          <w:bCs/>
          <w:color w:val="auto"/>
          <w:sz w:val="28"/>
          <w:szCs w:val="28"/>
          <w:lang w:eastAsia="zh-CN"/>
        </w:rPr>
        <w:t>防止</w:t>
      </w:r>
      <w:r>
        <w:rPr>
          <w:bCs/>
          <w:color w:val="auto"/>
          <w:sz w:val="28"/>
          <w:szCs w:val="28"/>
        </w:rPr>
        <w:t>病虫害发生以及幼林管护和成林管理；对矿区关键物种和生物多样性进行持续观测，降低生态重建的矿区生态系统的水灾、旱灾、虫灾、火灾等风险。</w:t>
      </w:r>
    </w:p>
    <w:p w14:paraId="061DCC8C">
      <w:pPr>
        <w:pStyle w:val="4"/>
        <w:spacing w:line="360" w:lineRule="auto"/>
        <w:ind w:firstLine="562" w:firstLineChars="200"/>
        <w:rPr>
          <w:rFonts w:ascii="Times New Roman"/>
          <w:b/>
          <w:bCs/>
          <w:color w:val="auto"/>
          <w:sz w:val="28"/>
          <w:szCs w:val="24"/>
        </w:rPr>
      </w:pPr>
      <w:r>
        <w:rPr>
          <w:rFonts w:ascii="Times New Roman"/>
          <w:b/>
          <w:bCs/>
          <w:color w:val="auto"/>
          <w:sz w:val="28"/>
          <w:szCs w:val="24"/>
        </w:rPr>
        <w:t>二、管护措施</w:t>
      </w:r>
    </w:p>
    <w:p w14:paraId="403CD413">
      <w:pPr>
        <w:spacing w:line="360" w:lineRule="auto"/>
        <w:ind w:firstLine="560" w:firstLineChars="200"/>
        <w:rPr>
          <w:color w:val="auto"/>
          <w:sz w:val="28"/>
          <w:szCs w:val="28"/>
        </w:rPr>
      </w:pPr>
      <w:r>
        <w:rPr>
          <w:color w:val="auto"/>
          <w:sz w:val="28"/>
          <w:szCs w:val="28"/>
        </w:rPr>
        <w:t>1、林地</w:t>
      </w:r>
    </w:p>
    <w:p w14:paraId="78A0C619">
      <w:pPr>
        <w:spacing w:line="360" w:lineRule="auto"/>
        <w:ind w:firstLine="560" w:firstLineChars="200"/>
        <w:rPr>
          <w:color w:val="auto"/>
          <w:sz w:val="28"/>
          <w:szCs w:val="28"/>
        </w:rPr>
      </w:pPr>
      <w:r>
        <w:rPr>
          <w:color w:val="auto"/>
          <w:sz w:val="28"/>
          <w:szCs w:val="28"/>
        </w:rPr>
        <w:t xml:space="preserve">（1）在林带刚进入郁闭阶段，为了保护和促进苗木生长，要采取平茬修枝技术对苗木进行修剪。 </w:t>
      </w:r>
    </w:p>
    <w:p w14:paraId="4ADCAE2F">
      <w:pPr>
        <w:spacing w:line="360" w:lineRule="auto"/>
        <w:ind w:firstLine="560" w:firstLineChars="200"/>
        <w:rPr>
          <w:color w:val="auto"/>
          <w:sz w:val="28"/>
          <w:szCs w:val="28"/>
        </w:rPr>
      </w:pPr>
      <w:r>
        <w:rPr>
          <w:color w:val="auto"/>
          <w:sz w:val="28"/>
          <w:szCs w:val="28"/>
        </w:rPr>
        <w:t>（2）对于林带中出现各类树木的病、虫、害等要及时的进行管护，各复垦单元植物生态系统病虫害防治关系到复垦成活率，关系到整个复垦目标的实现，因此在进行其他监测的同时，特别注意当地植物病虫害的防治，及时发现疫情，对于病株要及时的砍伐防治扩散，对于虫害要及时的施用药品等控制灾害的发生。</w:t>
      </w:r>
    </w:p>
    <w:p w14:paraId="0F1319B8">
      <w:pPr>
        <w:spacing w:line="360" w:lineRule="auto"/>
        <w:ind w:firstLine="560" w:firstLineChars="200"/>
        <w:rPr>
          <w:color w:val="auto"/>
          <w:sz w:val="28"/>
          <w:szCs w:val="28"/>
        </w:rPr>
      </w:pPr>
      <w:r>
        <w:rPr>
          <w:color w:val="auto"/>
          <w:sz w:val="28"/>
          <w:szCs w:val="28"/>
        </w:rPr>
        <w:t>（3）清理林内枯枝落叶等易燃物，设置防火隔离带，配备灭火设备，严禁林区违规用火。</w:t>
      </w:r>
    </w:p>
    <w:p w14:paraId="6ACE56BF">
      <w:pPr>
        <w:spacing w:line="360" w:lineRule="auto"/>
        <w:ind w:firstLine="560" w:firstLineChars="200"/>
        <w:rPr>
          <w:color w:val="auto"/>
          <w:sz w:val="28"/>
          <w:szCs w:val="28"/>
        </w:rPr>
      </w:pPr>
      <w:r>
        <w:rPr>
          <w:color w:val="auto"/>
          <w:sz w:val="28"/>
          <w:szCs w:val="28"/>
        </w:rPr>
        <w:t>（4）林地复垦单元灌溉主要选用车辆送水灌溉，</w:t>
      </w:r>
      <w:r>
        <w:rPr>
          <w:rFonts w:hint="eastAsia"/>
          <w:color w:val="auto"/>
          <w:sz w:val="28"/>
          <w:szCs w:val="28"/>
          <w:lang w:val="en-US" w:eastAsia="zh-CN"/>
        </w:rPr>
        <w:t>废渣堆、</w:t>
      </w:r>
      <w:r>
        <w:rPr>
          <w:color w:val="auto"/>
          <w:sz w:val="28"/>
          <w:szCs w:val="28"/>
        </w:rPr>
        <w:t>废石场等单元均可自然流出不会产生积水，能够保证雨季降水时及时排出。</w:t>
      </w:r>
    </w:p>
    <w:p w14:paraId="08E2D25A">
      <w:pPr>
        <w:spacing w:line="360" w:lineRule="auto"/>
        <w:ind w:firstLine="560" w:firstLineChars="200"/>
        <w:rPr>
          <w:color w:val="auto"/>
          <w:sz w:val="28"/>
          <w:szCs w:val="28"/>
        </w:rPr>
      </w:pPr>
      <w:r>
        <w:rPr>
          <w:color w:val="auto"/>
          <w:sz w:val="28"/>
          <w:szCs w:val="28"/>
        </w:rPr>
        <w:t>2、草地</w:t>
      </w:r>
    </w:p>
    <w:p w14:paraId="00AC8F01">
      <w:pPr>
        <w:spacing w:line="360" w:lineRule="auto"/>
        <w:ind w:firstLine="560" w:firstLineChars="200"/>
        <w:rPr>
          <w:color w:val="auto"/>
          <w:sz w:val="28"/>
          <w:szCs w:val="28"/>
        </w:rPr>
      </w:pPr>
      <w:r>
        <w:rPr>
          <w:color w:val="auto"/>
          <w:sz w:val="28"/>
          <w:szCs w:val="28"/>
        </w:rPr>
        <w:t>（1）控制放牧强度与频率，避免过度啃食，实行轮牧制度，给草地恢复生长时间。</w:t>
      </w:r>
    </w:p>
    <w:p w14:paraId="76F6D7B3">
      <w:pPr>
        <w:spacing w:line="360" w:lineRule="auto"/>
        <w:ind w:firstLine="560" w:firstLineChars="200"/>
        <w:rPr>
          <w:color w:val="auto"/>
          <w:sz w:val="28"/>
          <w:szCs w:val="28"/>
        </w:rPr>
      </w:pPr>
      <w:r>
        <w:rPr>
          <w:color w:val="auto"/>
          <w:sz w:val="28"/>
          <w:szCs w:val="28"/>
        </w:rPr>
        <w:t>（2）对于草地病虫害的发生，可采用一定的生物及仿生制剂、化学药剂、人工物理方法来防治病虫害。根据不同的草种在不同的生长期，根据病虫害种类的生长发育期选用不同的药物，使用不同的浓度和不同的使用方法。当杂草种子高出主草丛时，人工拔除。</w:t>
      </w:r>
    </w:p>
    <w:p w14:paraId="76BDF306">
      <w:pPr>
        <w:spacing w:line="360" w:lineRule="auto"/>
        <w:ind w:firstLine="560" w:firstLineChars="200"/>
        <w:rPr>
          <w:color w:val="auto"/>
          <w:sz w:val="28"/>
          <w:szCs w:val="28"/>
        </w:rPr>
      </w:pPr>
      <w:r>
        <w:rPr>
          <w:color w:val="auto"/>
          <w:sz w:val="28"/>
          <w:szCs w:val="28"/>
        </w:rPr>
        <w:t>（3）对于多年生、二年生或越年生草种来说，冬季的低温是一个逆境，如果管护不当，有可能发生冻害而不能安全越冬返青，或影响第二年的产草量。因此，须重视越冬与返青期管护，尤其是初建草地。</w:t>
      </w:r>
    </w:p>
    <w:p w14:paraId="70212271">
      <w:pPr>
        <w:pStyle w:val="3"/>
        <w:spacing w:before="120" w:beforeLines="50"/>
        <w:rPr>
          <w:rFonts w:ascii="Times New Roman" w:hAnsi="Times New Roman"/>
          <w:b w:val="0"/>
          <w:bCs/>
          <w:color w:val="auto"/>
          <w:sz w:val="28"/>
          <w:szCs w:val="28"/>
        </w:rPr>
      </w:pPr>
      <w:bookmarkStart w:id="86" w:name="_Toc29079"/>
      <w:r>
        <w:rPr>
          <w:rFonts w:ascii="Times New Roman" w:hAnsi="Times New Roman"/>
          <w:color w:val="auto"/>
        </w:rPr>
        <w:t>第三节  监测与管护工程量</w:t>
      </w:r>
      <w:bookmarkEnd w:id="86"/>
    </w:p>
    <w:p w14:paraId="42332D3B">
      <w:pPr>
        <w:pStyle w:val="4"/>
        <w:spacing w:line="360" w:lineRule="auto"/>
        <w:ind w:firstLine="562" w:firstLineChars="200"/>
        <w:rPr>
          <w:rFonts w:ascii="Times New Roman"/>
          <w:b/>
          <w:bCs/>
          <w:color w:val="auto"/>
          <w:sz w:val="28"/>
          <w:szCs w:val="24"/>
        </w:rPr>
      </w:pPr>
      <w:r>
        <w:rPr>
          <w:rFonts w:ascii="Times New Roman"/>
          <w:b/>
          <w:bCs/>
          <w:color w:val="auto"/>
          <w:sz w:val="28"/>
          <w:szCs w:val="24"/>
        </w:rPr>
        <w:t>一、监测工程</w:t>
      </w:r>
    </w:p>
    <w:p w14:paraId="405B04BA">
      <w:pPr>
        <w:pStyle w:val="44"/>
        <w:spacing w:line="360" w:lineRule="auto"/>
        <w:ind w:firstLine="560" w:firstLineChars="200"/>
        <w:jc w:val="both"/>
        <w:rPr>
          <w:rFonts w:ascii="Times New Roman" w:cs="Times New Roman"/>
          <w:color w:val="auto"/>
          <w:sz w:val="28"/>
          <w:szCs w:val="28"/>
        </w:rPr>
      </w:pPr>
      <w:r>
        <w:rPr>
          <w:rFonts w:ascii="Times New Roman" w:cs="Times New Roman"/>
          <w:color w:val="auto"/>
          <w:sz w:val="28"/>
          <w:szCs w:val="28"/>
        </w:rPr>
        <w:t>根据生态修复监测工程的设计，针对需要监测的场地设置针对性的</w:t>
      </w:r>
      <w:r>
        <w:rPr>
          <w:rFonts w:hint="eastAsia" w:ascii="Times New Roman" w:cs="Times New Roman"/>
          <w:color w:val="auto"/>
          <w:sz w:val="28"/>
          <w:szCs w:val="28"/>
          <w:lang w:val="en-US" w:eastAsia="zh-CN"/>
        </w:rPr>
        <w:t>监</w:t>
      </w:r>
      <w:r>
        <w:rPr>
          <w:rFonts w:ascii="Times New Roman" w:cs="Times New Roman"/>
          <w:color w:val="auto"/>
          <w:sz w:val="28"/>
          <w:szCs w:val="28"/>
        </w:rPr>
        <w:t>测点，</w:t>
      </w:r>
      <w:r>
        <w:rPr>
          <w:rFonts w:hint="eastAsia" w:ascii="Times New Roman" w:cs="Times New Roman"/>
          <w:color w:val="auto"/>
          <w:sz w:val="28"/>
          <w:szCs w:val="28"/>
          <w:lang w:val="en-US" w:eastAsia="zh-CN"/>
        </w:rPr>
        <w:t>监</w:t>
      </w:r>
      <w:r>
        <w:rPr>
          <w:rFonts w:ascii="Times New Roman" w:cs="Times New Roman"/>
          <w:color w:val="auto"/>
          <w:sz w:val="28"/>
          <w:szCs w:val="28"/>
        </w:rPr>
        <w:t>测点具有代表性，能对评估矿区是否存在隐患、污染源提供依据主要监测工程量计算表见表5-</w:t>
      </w:r>
      <w:r>
        <w:rPr>
          <w:rFonts w:hint="eastAsia" w:ascii="Times New Roman" w:cs="Times New Roman"/>
          <w:color w:val="auto"/>
          <w:sz w:val="28"/>
          <w:szCs w:val="28"/>
          <w:lang w:val="en-US" w:eastAsia="zh-CN"/>
        </w:rPr>
        <w:t>2</w:t>
      </w:r>
      <w:r>
        <w:rPr>
          <w:rFonts w:ascii="Times New Roman" w:cs="Times New Roman"/>
          <w:color w:val="auto"/>
          <w:sz w:val="28"/>
          <w:szCs w:val="28"/>
        </w:rPr>
        <w:t>，监测工程布置见附图6。</w:t>
      </w:r>
    </w:p>
    <w:p w14:paraId="7ED13AAB">
      <w:pPr>
        <w:pStyle w:val="71"/>
        <w:rPr>
          <w:rFonts w:hint="eastAsia" w:ascii="黑体" w:hAnsi="黑体" w:eastAsia="黑体" w:cs="宋体"/>
          <w:color w:val="auto"/>
          <w:sz w:val="24"/>
          <w:szCs w:val="24"/>
        </w:rPr>
      </w:pPr>
      <w:r>
        <w:rPr>
          <w:rFonts w:hint="eastAsia" w:ascii="黑体" w:hAnsi="黑体" w:eastAsia="黑体" w:cs="宋体"/>
          <w:color w:val="auto"/>
          <w:sz w:val="24"/>
          <w:szCs w:val="24"/>
        </w:rPr>
        <w:t>表5-</w:t>
      </w:r>
      <w:r>
        <w:rPr>
          <w:rFonts w:hint="eastAsia" w:ascii="黑体" w:hAnsi="黑体" w:eastAsia="黑体" w:cs="宋体"/>
          <w:color w:val="auto"/>
          <w:sz w:val="24"/>
          <w:szCs w:val="24"/>
          <w:lang w:val="en-US" w:eastAsia="zh-CN"/>
        </w:rPr>
        <w:t>2</w:t>
      </w:r>
      <w:r>
        <w:rPr>
          <w:rFonts w:hint="eastAsia" w:ascii="黑体" w:hAnsi="黑体" w:eastAsia="黑体" w:cs="宋体"/>
          <w:color w:val="auto"/>
          <w:sz w:val="24"/>
          <w:szCs w:val="24"/>
        </w:rPr>
        <w:t xml:space="preserve">  监测工程量一览表</w:t>
      </w:r>
    </w:p>
    <w:tbl>
      <w:tblPr>
        <w:tblStyle w:val="34"/>
        <w:tblW w:w="8435" w:type="dxa"/>
        <w:tblInd w:w="91" w:type="dxa"/>
        <w:tblLayout w:type="fixed"/>
        <w:tblCellMar>
          <w:top w:w="0" w:type="dxa"/>
          <w:left w:w="108" w:type="dxa"/>
          <w:bottom w:w="0" w:type="dxa"/>
          <w:right w:w="108" w:type="dxa"/>
        </w:tblCellMar>
      </w:tblPr>
      <w:tblGrid>
        <w:gridCol w:w="1521"/>
        <w:gridCol w:w="2425"/>
        <w:gridCol w:w="830"/>
        <w:gridCol w:w="1369"/>
        <w:gridCol w:w="950"/>
        <w:gridCol w:w="1340"/>
      </w:tblGrid>
      <w:tr w14:paraId="2FA3111F">
        <w:tblPrEx>
          <w:tblCellMar>
            <w:top w:w="0" w:type="dxa"/>
            <w:left w:w="108" w:type="dxa"/>
            <w:bottom w:w="0" w:type="dxa"/>
            <w:right w:w="108" w:type="dxa"/>
          </w:tblCellMar>
        </w:tblPrEx>
        <w:trPr>
          <w:trHeight w:val="340" w:hRule="atLeast"/>
        </w:trPr>
        <w:tc>
          <w:tcPr>
            <w:tcW w:w="1521" w:type="dxa"/>
            <w:vMerge w:val="restart"/>
            <w:tcBorders>
              <w:top w:val="single" w:color="000000" w:sz="4" w:space="0"/>
              <w:left w:val="single" w:color="000000" w:sz="4" w:space="0"/>
              <w:bottom w:val="single" w:color="000000" w:sz="4" w:space="0"/>
              <w:right w:val="single" w:color="000000" w:sz="4" w:space="0"/>
            </w:tcBorders>
            <w:noWrap/>
            <w:vAlign w:val="center"/>
          </w:tcPr>
          <w:p w14:paraId="47F01C0A">
            <w:pPr>
              <w:widowControl/>
              <w:jc w:val="center"/>
              <w:textAlignment w:val="center"/>
              <w:rPr>
                <w:b/>
                <w:bCs/>
                <w:color w:val="auto"/>
                <w:szCs w:val="21"/>
              </w:rPr>
            </w:pPr>
            <w:r>
              <w:rPr>
                <w:rFonts w:hint="eastAsia" w:ascii="宋体" w:hAnsi="宋体" w:cs="宋体"/>
                <w:b/>
                <w:bCs/>
                <w:color w:val="auto"/>
                <w:kern w:val="0"/>
                <w:szCs w:val="21"/>
              </w:rPr>
              <w:t>类别</w:t>
            </w:r>
          </w:p>
        </w:tc>
        <w:tc>
          <w:tcPr>
            <w:tcW w:w="2425" w:type="dxa"/>
            <w:vMerge w:val="restart"/>
            <w:tcBorders>
              <w:top w:val="single" w:color="000000" w:sz="4" w:space="0"/>
              <w:left w:val="single" w:color="000000" w:sz="4" w:space="0"/>
              <w:bottom w:val="single" w:color="000000" w:sz="4" w:space="0"/>
              <w:right w:val="single" w:color="000000" w:sz="4" w:space="0"/>
            </w:tcBorders>
            <w:noWrap/>
            <w:vAlign w:val="center"/>
          </w:tcPr>
          <w:p w14:paraId="5FE0ACAC">
            <w:pPr>
              <w:widowControl/>
              <w:jc w:val="center"/>
              <w:textAlignment w:val="center"/>
              <w:rPr>
                <w:b/>
                <w:bCs/>
                <w:color w:val="auto"/>
                <w:szCs w:val="21"/>
              </w:rPr>
            </w:pPr>
            <w:r>
              <w:rPr>
                <w:rFonts w:hint="eastAsia" w:ascii="宋体" w:hAnsi="宋体" w:cs="宋体"/>
                <w:b/>
                <w:bCs/>
                <w:color w:val="auto"/>
                <w:kern w:val="0"/>
                <w:szCs w:val="21"/>
              </w:rPr>
              <w:t>监测项目</w:t>
            </w:r>
          </w:p>
        </w:tc>
        <w:tc>
          <w:tcPr>
            <w:tcW w:w="830" w:type="dxa"/>
            <w:vMerge w:val="restart"/>
            <w:tcBorders>
              <w:top w:val="single" w:color="000000" w:sz="4" w:space="0"/>
              <w:left w:val="single" w:color="000000" w:sz="4" w:space="0"/>
              <w:bottom w:val="single" w:color="000000" w:sz="4" w:space="0"/>
              <w:right w:val="single" w:color="000000" w:sz="4" w:space="0"/>
            </w:tcBorders>
            <w:vAlign w:val="center"/>
          </w:tcPr>
          <w:p w14:paraId="5AF9B7E2">
            <w:pPr>
              <w:widowControl/>
              <w:jc w:val="center"/>
              <w:textAlignment w:val="center"/>
              <w:rPr>
                <w:b/>
                <w:bCs/>
                <w:color w:val="auto"/>
                <w:szCs w:val="21"/>
              </w:rPr>
            </w:pPr>
            <w:r>
              <w:rPr>
                <w:rFonts w:hint="eastAsia" w:ascii="宋体" w:hAnsi="宋体" w:cs="宋体"/>
                <w:b/>
                <w:bCs/>
                <w:color w:val="auto"/>
                <w:kern w:val="0"/>
                <w:szCs w:val="21"/>
              </w:rPr>
              <w:t>点位数量</w:t>
            </w:r>
          </w:p>
        </w:tc>
        <w:tc>
          <w:tcPr>
            <w:tcW w:w="1369" w:type="dxa"/>
            <w:tcBorders>
              <w:top w:val="single" w:color="000000" w:sz="4" w:space="0"/>
              <w:left w:val="single" w:color="000000" w:sz="4" w:space="0"/>
              <w:bottom w:val="single" w:color="000000" w:sz="4" w:space="0"/>
              <w:right w:val="single" w:color="000000" w:sz="4" w:space="0"/>
            </w:tcBorders>
            <w:noWrap/>
            <w:vAlign w:val="center"/>
          </w:tcPr>
          <w:p w14:paraId="14C165E0">
            <w:pPr>
              <w:widowControl/>
              <w:jc w:val="center"/>
              <w:textAlignment w:val="center"/>
              <w:rPr>
                <w:b/>
                <w:bCs/>
                <w:color w:val="auto"/>
                <w:szCs w:val="21"/>
              </w:rPr>
            </w:pPr>
            <w:r>
              <w:rPr>
                <w:rFonts w:hint="eastAsia" w:ascii="宋体" w:hAnsi="宋体" w:cs="宋体"/>
                <w:b/>
                <w:bCs/>
                <w:color w:val="auto"/>
                <w:kern w:val="0"/>
                <w:szCs w:val="21"/>
              </w:rPr>
              <w:t>频率</w:t>
            </w:r>
          </w:p>
        </w:tc>
        <w:tc>
          <w:tcPr>
            <w:tcW w:w="950" w:type="dxa"/>
            <w:vMerge w:val="restart"/>
            <w:tcBorders>
              <w:top w:val="single" w:color="000000" w:sz="4" w:space="0"/>
              <w:left w:val="single" w:color="000000" w:sz="4" w:space="0"/>
              <w:bottom w:val="single" w:color="000000" w:sz="4" w:space="0"/>
              <w:right w:val="single" w:color="000000" w:sz="4" w:space="0"/>
            </w:tcBorders>
            <w:noWrap/>
            <w:vAlign w:val="center"/>
          </w:tcPr>
          <w:p w14:paraId="6009ABAA">
            <w:pPr>
              <w:widowControl/>
              <w:jc w:val="center"/>
              <w:textAlignment w:val="center"/>
              <w:rPr>
                <w:rFonts w:hint="eastAsia" w:ascii="宋体" w:hAnsi="宋体" w:cs="宋体"/>
                <w:b/>
                <w:bCs/>
                <w:color w:val="auto"/>
                <w:kern w:val="0"/>
                <w:szCs w:val="21"/>
              </w:rPr>
            </w:pPr>
            <w:r>
              <w:rPr>
                <w:rFonts w:hint="eastAsia" w:ascii="宋体" w:hAnsi="宋体" w:cs="宋体"/>
                <w:b/>
                <w:bCs/>
                <w:color w:val="auto"/>
                <w:kern w:val="0"/>
                <w:szCs w:val="21"/>
              </w:rPr>
              <w:t>监测</w:t>
            </w:r>
          </w:p>
          <w:p w14:paraId="3A390A24">
            <w:pPr>
              <w:widowControl/>
              <w:jc w:val="center"/>
              <w:textAlignment w:val="center"/>
              <w:rPr>
                <w:b/>
                <w:bCs/>
                <w:color w:val="auto"/>
                <w:szCs w:val="21"/>
              </w:rPr>
            </w:pPr>
            <w:r>
              <w:rPr>
                <w:rFonts w:hint="eastAsia" w:ascii="宋体" w:hAnsi="宋体" w:cs="宋体"/>
                <w:b/>
                <w:bCs/>
                <w:color w:val="auto"/>
                <w:kern w:val="0"/>
                <w:szCs w:val="21"/>
              </w:rPr>
              <w:t>年限</w:t>
            </w:r>
          </w:p>
        </w:tc>
        <w:tc>
          <w:tcPr>
            <w:tcW w:w="1340" w:type="dxa"/>
            <w:tcBorders>
              <w:top w:val="single" w:color="000000" w:sz="4" w:space="0"/>
              <w:left w:val="single" w:color="000000" w:sz="4" w:space="0"/>
              <w:bottom w:val="single" w:color="000000" w:sz="4" w:space="0"/>
              <w:right w:val="single" w:color="000000" w:sz="4" w:space="0"/>
            </w:tcBorders>
            <w:noWrap/>
            <w:vAlign w:val="center"/>
          </w:tcPr>
          <w:p w14:paraId="6C2EDDF9">
            <w:pPr>
              <w:widowControl/>
              <w:jc w:val="center"/>
              <w:textAlignment w:val="center"/>
              <w:rPr>
                <w:b/>
                <w:bCs/>
                <w:color w:val="auto"/>
                <w:szCs w:val="21"/>
              </w:rPr>
            </w:pPr>
            <w:r>
              <w:rPr>
                <w:rFonts w:hint="eastAsia" w:ascii="宋体" w:hAnsi="宋体" w:cs="宋体"/>
                <w:b/>
                <w:bCs/>
                <w:color w:val="auto"/>
                <w:kern w:val="0"/>
                <w:szCs w:val="21"/>
              </w:rPr>
              <w:t>工程量</w:t>
            </w:r>
          </w:p>
        </w:tc>
      </w:tr>
      <w:tr w14:paraId="58330CF6">
        <w:tblPrEx>
          <w:tblCellMar>
            <w:top w:w="0" w:type="dxa"/>
            <w:left w:w="108" w:type="dxa"/>
            <w:bottom w:w="0" w:type="dxa"/>
            <w:right w:w="108" w:type="dxa"/>
          </w:tblCellMar>
        </w:tblPrEx>
        <w:trPr>
          <w:trHeight w:val="340" w:hRule="atLeast"/>
        </w:trPr>
        <w:tc>
          <w:tcPr>
            <w:tcW w:w="1521" w:type="dxa"/>
            <w:vMerge w:val="continue"/>
            <w:tcBorders>
              <w:top w:val="single" w:color="000000" w:sz="4" w:space="0"/>
              <w:left w:val="single" w:color="000000" w:sz="4" w:space="0"/>
              <w:bottom w:val="single" w:color="000000" w:sz="4" w:space="0"/>
              <w:right w:val="single" w:color="000000" w:sz="4" w:space="0"/>
            </w:tcBorders>
            <w:noWrap/>
            <w:vAlign w:val="center"/>
          </w:tcPr>
          <w:p w14:paraId="2AE71AF4">
            <w:pPr>
              <w:jc w:val="center"/>
              <w:rPr>
                <w:b/>
                <w:bCs/>
                <w:color w:val="auto"/>
                <w:szCs w:val="21"/>
              </w:rPr>
            </w:pPr>
          </w:p>
        </w:tc>
        <w:tc>
          <w:tcPr>
            <w:tcW w:w="2425" w:type="dxa"/>
            <w:vMerge w:val="continue"/>
            <w:tcBorders>
              <w:top w:val="single" w:color="000000" w:sz="4" w:space="0"/>
              <w:left w:val="single" w:color="000000" w:sz="4" w:space="0"/>
              <w:bottom w:val="single" w:color="000000" w:sz="4" w:space="0"/>
              <w:right w:val="single" w:color="000000" w:sz="4" w:space="0"/>
            </w:tcBorders>
            <w:noWrap/>
            <w:vAlign w:val="center"/>
          </w:tcPr>
          <w:p w14:paraId="680530F7">
            <w:pPr>
              <w:jc w:val="center"/>
              <w:rPr>
                <w:b/>
                <w:bCs/>
                <w:color w:val="auto"/>
                <w:szCs w:val="21"/>
              </w:rPr>
            </w:pPr>
          </w:p>
        </w:tc>
        <w:tc>
          <w:tcPr>
            <w:tcW w:w="830" w:type="dxa"/>
            <w:vMerge w:val="continue"/>
            <w:tcBorders>
              <w:top w:val="single" w:color="000000" w:sz="4" w:space="0"/>
              <w:left w:val="single" w:color="000000" w:sz="4" w:space="0"/>
              <w:bottom w:val="single" w:color="000000" w:sz="4" w:space="0"/>
              <w:right w:val="single" w:color="000000" w:sz="4" w:space="0"/>
            </w:tcBorders>
            <w:vAlign w:val="center"/>
          </w:tcPr>
          <w:p w14:paraId="305CC183">
            <w:pPr>
              <w:jc w:val="center"/>
              <w:rPr>
                <w:b/>
                <w:bCs/>
                <w:color w:val="auto"/>
                <w:szCs w:val="21"/>
              </w:rPr>
            </w:pPr>
          </w:p>
        </w:tc>
        <w:tc>
          <w:tcPr>
            <w:tcW w:w="1369" w:type="dxa"/>
            <w:tcBorders>
              <w:top w:val="single" w:color="000000" w:sz="4" w:space="0"/>
              <w:left w:val="single" w:color="000000" w:sz="4" w:space="0"/>
              <w:bottom w:val="single" w:color="000000" w:sz="4" w:space="0"/>
              <w:right w:val="single" w:color="000000" w:sz="4" w:space="0"/>
            </w:tcBorders>
            <w:noWrap/>
            <w:vAlign w:val="center"/>
          </w:tcPr>
          <w:p w14:paraId="2803C24A">
            <w:pPr>
              <w:widowControl/>
              <w:jc w:val="center"/>
              <w:textAlignment w:val="center"/>
              <w:rPr>
                <w:b/>
                <w:bCs/>
                <w:color w:val="auto"/>
                <w:szCs w:val="21"/>
              </w:rPr>
            </w:pPr>
            <w:r>
              <w:rPr>
                <w:rFonts w:hint="eastAsia" w:ascii="宋体" w:hAnsi="宋体" w:cs="宋体"/>
                <w:b/>
                <w:bCs/>
                <w:color w:val="auto"/>
                <w:kern w:val="0"/>
                <w:szCs w:val="21"/>
              </w:rPr>
              <w:t>（点次</w:t>
            </w:r>
            <w:r>
              <w:rPr>
                <w:b/>
                <w:bCs/>
                <w:color w:val="auto"/>
                <w:kern w:val="0"/>
                <w:szCs w:val="21"/>
              </w:rPr>
              <w:t>/</w:t>
            </w:r>
            <w:r>
              <w:rPr>
                <w:rFonts w:hint="eastAsia" w:ascii="宋体" w:hAnsi="宋体" w:cs="宋体"/>
                <w:b/>
                <w:bCs/>
                <w:color w:val="auto"/>
                <w:kern w:val="0"/>
                <w:szCs w:val="21"/>
              </w:rPr>
              <w:t>年）</w:t>
            </w:r>
          </w:p>
        </w:tc>
        <w:tc>
          <w:tcPr>
            <w:tcW w:w="950" w:type="dxa"/>
            <w:vMerge w:val="continue"/>
            <w:tcBorders>
              <w:top w:val="single" w:color="000000" w:sz="4" w:space="0"/>
              <w:left w:val="single" w:color="000000" w:sz="4" w:space="0"/>
              <w:bottom w:val="single" w:color="000000" w:sz="4" w:space="0"/>
              <w:right w:val="single" w:color="000000" w:sz="4" w:space="0"/>
            </w:tcBorders>
            <w:noWrap/>
            <w:vAlign w:val="center"/>
          </w:tcPr>
          <w:p w14:paraId="681A7D02">
            <w:pPr>
              <w:jc w:val="center"/>
              <w:rPr>
                <w:b/>
                <w:bCs/>
                <w:color w:val="auto"/>
                <w:szCs w:val="21"/>
              </w:rPr>
            </w:pPr>
          </w:p>
        </w:tc>
        <w:tc>
          <w:tcPr>
            <w:tcW w:w="1340" w:type="dxa"/>
            <w:tcBorders>
              <w:top w:val="single" w:color="000000" w:sz="4" w:space="0"/>
              <w:left w:val="single" w:color="000000" w:sz="4" w:space="0"/>
              <w:bottom w:val="single" w:color="000000" w:sz="4" w:space="0"/>
              <w:right w:val="single" w:color="000000" w:sz="4" w:space="0"/>
            </w:tcBorders>
            <w:noWrap/>
            <w:vAlign w:val="center"/>
          </w:tcPr>
          <w:p w14:paraId="445A2673">
            <w:pPr>
              <w:widowControl/>
              <w:jc w:val="center"/>
              <w:textAlignment w:val="center"/>
              <w:rPr>
                <w:b/>
                <w:bCs/>
                <w:color w:val="auto"/>
                <w:szCs w:val="21"/>
              </w:rPr>
            </w:pPr>
            <w:r>
              <w:rPr>
                <w:rFonts w:hint="eastAsia" w:ascii="宋体" w:hAnsi="宋体" w:cs="宋体"/>
                <w:b/>
                <w:bCs/>
                <w:color w:val="auto"/>
                <w:kern w:val="0"/>
                <w:szCs w:val="21"/>
              </w:rPr>
              <w:t>（点次）</w:t>
            </w:r>
          </w:p>
        </w:tc>
      </w:tr>
      <w:tr w14:paraId="14443081">
        <w:tblPrEx>
          <w:tblCellMar>
            <w:top w:w="0" w:type="dxa"/>
            <w:left w:w="108" w:type="dxa"/>
            <w:bottom w:w="0" w:type="dxa"/>
            <w:right w:w="108" w:type="dxa"/>
          </w:tblCellMar>
        </w:tblPrEx>
        <w:trPr>
          <w:trHeight w:val="340" w:hRule="atLeast"/>
        </w:trPr>
        <w:tc>
          <w:tcPr>
            <w:tcW w:w="1521" w:type="dxa"/>
            <w:tcBorders>
              <w:top w:val="single" w:color="auto" w:sz="4" w:space="0"/>
              <w:left w:val="single" w:color="000000" w:sz="4" w:space="0"/>
              <w:bottom w:val="single" w:color="000000" w:sz="4" w:space="0"/>
              <w:right w:val="single" w:color="000000" w:sz="4" w:space="0"/>
            </w:tcBorders>
            <w:vAlign w:val="center"/>
          </w:tcPr>
          <w:p w14:paraId="6232137F">
            <w:pPr>
              <w:jc w:val="center"/>
              <w:textAlignment w:val="center"/>
              <w:rPr>
                <w:color w:val="auto"/>
                <w:szCs w:val="21"/>
              </w:rPr>
            </w:pPr>
            <w:r>
              <w:rPr>
                <w:rFonts w:hint="eastAsia" w:ascii="宋体" w:hAnsi="宋体" w:cs="宋体"/>
                <w:color w:val="auto"/>
                <w:kern w:val="0"/>
                <w:szCs w:val="21"/>
              </w:rPr>
              <w:t>矿山地质环境监测工程</w:t>
            </w:r>
          </w:p>
        </w:tc>
        <w:tc>
          <w:tcPr>
            <w:tcW w:w="2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978AC">
            <w:pPr>
              <w:widowControl/>
              <w:jc w:val="center"/>
              <w:textAlignment w:val="center"/>
              <w:rPr>
                <w:rFonts w:hint="default" w:ascii="Times New Roman" w:hAnsi="Times New Roman" w:eastAsia="宋体" w:cs="Times New Roman"/>
                <w:color w:val="auto"/>
                <w:kern w:val="2"/>
                <w:sz w:val="21"/>
                <w:szCs w:val="21"/>
                <w:lang w:val="en-US" w:eastAsia="zh-CN" w:bidi="ar-SA"/>
              </w:rPr>
            </w:pPr>
            <w:r>
              <w:rPr>
                <w:rFonts w:hint="eastAsia" w:ascii="宋体" w:hAnsi="宋体" w:cs="宋体"/>
                <w:color w:val="auto"/>
                <w:kern w:val="0"/>
                <w:szCs w:val="21"/>
              </w:rPr>
              <w:t>地形地貌景观</w:t>
            </w:r>
            <w:r>
              <w:rPr>
                <w:rFonts w:hint="eastAsia" w:ascii="宋体" w:hAnsi="宋体" w:cs="宋体"/>
                <w:color w:val="auto"/>
                <w:kern w:val="0"/>
                <w:szCs w:val="21"/>
                <w:lang w:val="en-US" w:eastAsia="zh-CN"/>
              </w:rPr>
              <w:t>及土地资源</w:t>
            </w: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03491">
            <w:pPr>
              <w:widowControl/>
              <w:jc w:val="center"/>
              <w:textAlignment w:val="center"/>
              <w:rPr>
                <w:rFonts w:hint="default" w:ascii="Times New Roman" w:hAnsi="Times New Roman" w:eastAsia="宋体" w:cs="Times New Roman"/>
                <w:color w:val="auto"/>
                <w:kern w:val="2"/>
                <w:sz w:val="21"/>
                <w:szCs w:val="21"/>
                <w:lang w:val="en-US" w:eastAsia="zh-CN" w:bidi="ar-SA"/>
              </w:rPr>
            </w:pPr>
            <w:r>
              <w:rPr>
                <w:color w:val="auto"/>
                <w:kern w:val="0"/>
                <w:szCs w:val="21"/>
              </w:rPr>
              <w:t>1</w:t>
            </w:r>
          </w:p>
        </w:tc>
        <w:tc>
          <w:tcPr>
            <w:tcW w:w="13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2E72E">
            <w:pPr>
              <w:widowControl/>
              <w:jc w:val="center"/>
              <w:textAlignment w:val="center"/>
              <w:rPr>
                <w:rFonts w:hint="default" w:ascii="Times New Roman" w:hAnsi="Times New Roman" w:eastAsia="宋体" w:cs="Times New Roman"/>
                <w:color w:val="auto"/>
                <w:kern w:val="2"/>
                <w:sz w:val="21"/>
                <w:szCs w:val="21"/>
                <w:lang w:val="en-US" w:eastAsia="zh-CN" w:bidi="ar-SA"/>
              </w:rPr>
            </w:pPr>
            <w:r>
              <w:rPr>
                <w:color w:val="auto"/>
                <w:kern w:val="0"/>
                <w:szCs w:val="21"/>
              </w:rPr>
              <w:t>1</w:t>
            </w:r>
            <w:r>
              <w:rPr>
                <w:rFonts w:hint="eastAsia"/>
                <w:color w:val="auto"/>
                <w:kern w:val="0"/>
                <w:szCs w:val="21"/>
                <w:lang w:val="en-US" w:eastAsia="zh-CN"/>
              </w:rPr>
              <w:t>2</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06B14">
            <w:pPr>
              <w:widowControl/>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olor w:val="auto"/>
                <w:kern w:val="0"/>
                <w:szCs w:val="21"/>
                <w:lang w:val="en-US" w:eastAsia="zh-CN"/>
              </w:rPr>
              <w:t>1</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3122B">
            <w:pPr>
              <w:widowControl/>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olor w:val="auto"/>
                <w:szCs w:val="21"/>
                <w:lang w:val="en-US" w:eastAsia="zh-CN"/>
              </w:rPr>
              <w:t>12</w:t>
            </w:r>
          </w:p>
        </w:tc>
      </w:tr>
    </w:tbl>
    <w:p w14:paraId="37E6FF6E">
      <w:pPr>
        <w:pStyle w:val="4"/>
        <w:spacing w:before="240" w:beforeLines="100" w:line="360" w:lineRule="auto"/>
        <w:ind w:firstLine="562" w:firstLineChars="200"/>
        <w:rPr>
          <w:b/>
          <w:bCs/>
          <w:color w:val="auto"/>
          <w:sz w:val="28"/>
          <w:szCs w:val="24"/>
        </w:rPr>
      </w:pPr>
      <w:r>
        <w:rPr>
          <w:rFonts w:hint="eastAsia"/>
          <w:b/>
          <w:bCs/>
          <w:color w:val="auto"/>
          <w:sz w:val="28"/>
          <w:szCs w:val="24"/>
        </w:rPr>
        <w:t>二、管护工程</w:t>
      </w:r>
    </w:p>
    <w:p w14:paraId="33E1DE21">
      <w:pPr>
        <w:pStyle w:val="44"/>
        <w:spacing w:line="360" w:lineRule="auto"/>
        <w:ind w:firstLine="560" w:firstLineChars="200"/>
        <w:jc w:val="both"/>
        <w:rPr>
          <w:rFonts w:ascii="Times New Roman" w:cs="Times New Roman"/>
          <w:color w:val="auto"/>
          <w:sz w:val="28"/>
          <w:szCs w:val="28"/>
        </w:rPr>
      </w:pPr>
      <w:r>
        <w:rPr>
          <w:rFonts w:ascii="Times New Roman" w:cs="Times New Roman"/>
          <w:color w:val="auto"/>
          <w:sz w:val="28"/>
          <w:szCs w:val="28"/>
        </w:rPr>
        <w:t>根据土地复垦管护措施及内容，本方案植被管护面积为复垦的林地、草地，总面积</w:t>
      </w:r>
      <w:r>
        <w:rPr>
          <w:rFonts w:hint="eastAsia" w:ascii="Times New Roman" w:cs="Times New Roman"/>
          <w:color w:val="auto"/>
          <w:sz w:val="28"/>
          <w:szCs w:val="28"/>
          <w:lang w:val="en-US" w:eastAsia="zh-CN"/>
        </w:rPr>
        <w:t>7.6955</w:t>
      </w:r>
      <w:r>
        <w:rPr>
          <w:rFonts w:hint="eastAsia" w:ascii="Times New Roman" w:cs="Times New Roman"/>
          <w:color w:val="auto"/>
          <w:sz w:val="28"/>
          <w:szCs w:val="28"/>
        </w:rPr>
        <w:t>h</w:t>
      </w:r>
      <w:r>
        <w:rPr>
          <w:rFonts w:ascii="Times New Roman" w:cs="Times New Roman"/>
          <w:color w:val="auto"/>
          <w:sz w:val="28"/>
          <w:szCs w:val="28"/>
        </w:rPr>
        <w:t>m</w:t>
      </w:r>
      <w:r>
        <w:rPr>
          <w:rFonts w:ascii="Times New Roman" w:cs="Times New Roman"/>
          <w:color w:val="auto"/>
          <w:sz w:val="28"/>
          <w:szCs w:val="28"/>
          <w:vertAlign w:val="superscript"/>
        </w:rPr>
        <w:t>2</w:t>
      </w:r>
      <w:r>
        <w:rPr>
          <w:rFonts w:ascii="Times New Roman" w:cs="Times New Roman"/>
          <w:color w:val="auto"/>
          <w:sz w:val="28"/>
          <w:szCs w:val="28"/>
        </w:rPr>
        <w:t>。</w:t>
      </w:r>
    </w:p>
    <w:p w14:paraId="7B135BA5">
      <w:pPr>
        <w:pStyle w:val="44"/>
        <w:spacing w:line="360" w:lineRule="auto"/>
        <w:ind w:firstLine="560" w:firstLineChars="200"/>
        <w:jc w:val="both"/>
        <w:rPr>
          <w:rFonts w:ascii="Times New Roman" w:cs="Times New Roman"/>
          <w:color w:val="auto"/>
          <w:sz w:val="28"/>
          <w:szCs w:val="28"/>
        </w:rPr>
      </w:pPr>
      <w:r>
        <w:rPr>
          <w:rFonts w:ascii="Times New Roman" w:cs="Times New Roman"/>
          <w:color w:val="auto"/>
          <w:sz w:val="28"/>
          <w:szCs w:val="28"/>
        </w:rPr>
        <w:t>管护时间为矿区生态修复后的近</w:t>
      </w:r>
      <w:r>
        <w:rPr>
          <w:rFonts w:hint="eastAsia" w:ascii="Times New Roman" w:cs="Times New Roman"/>
          <w:color w:val="auto"/>
          <w:sz w:val="28"/>
          <w:szCs w:val="28"/>
          <w:lang w:val="en-US" w:eastAsia="zh-CN"/>
        </w:rPr>
        <w:t>3</w:t>
      </w:r>
      <w:r>
        <w:rPr>
          <w:rFonts w:ascii="Times New Roman" w:cs="Times New Roman"/>
          <w:color w:val="auto"/>
          <w:sz w:val="28"/>
          <w:szCs w:val="28"/>
        </w:rPr>
        <w:t>年时间，具体工程量见表5-</w:t>
      </w:r>
      <w:r>
        <w:rPr>
          <w:rFonts w:hint="eastAsia" w:ascii="Times New Roman" w:cs="Times New Roman"/>
          <w:color w:val="auto"/>
          <w:sz w:val="28"/>
          <w:szCs w:val="28"/>
          <w:lang w:val="en-US" w:eastAsia="zh-CN"/>
        </w:rPr>
        <w:t>3</w:t>
      </w:r>
      <w:r>
        <w:rPr>
          <w:rFonts w:ascii="Times New Roman" w:cs="Times New Roman"/>
          <w:color w:val="auto"/>
          <w:sz w:val="28"/>
          <w:szCs w:val="28"/>
        </w:rPr>
        <w:t>。</w:t>
      </w:r>
    </w:p>
    <w:p w14:paraId="30AFC9F8">
      <w:pPr>
        <w:pStyle w:val="71"/>
        <w:rPr>
          <w:rFonts w:hint="eastAsia" w:ascii="黑体" w:hAnsi="黑体" w:eastAsia="黑体" w:cs="宋体"/>
          <w:color w:val="auto"/>
          <w:sz w:val="24"/>
          <w:szCs w:val="24"/>
        </w:rPr>
      </w:pPr>
      <w:r>
        <w:rPr>
          <w:rFonts w:hint="eastAsia" w:ascii="黑体" w:hAnsi="黑体" w:eastAsia="黑体" w:cs="宋体"/>
          <w:color w:val="auto"/>
          <w:sz w:val="24"/>
          <w:szCs w:val="24"/>
        </w:rPr>
        <w:t>表5-</w:t>
      </w:r>
      <w:r>
        <w:rPr>
          <w:rFonts w:hint="eastAsia" w:ascii="黑体" w:hAnsi="黑体" w:eastAsia="黑体" w:cs="宋体"/>
          <w:color w:val="auto"/>
          <w:sz w:val="24"/>
          <w:szCs w:val="24"/>
          <w:lang w:val="en-US" w:eastAsia="zh-CN"/>
        </w:rPr>
        <w:t>3</w:t>
      </w:r>
      <w:r>
        <w:rPr>
          <w:rFonts w:hint="eastAsia" w:ascii="黑体" w:hAnsi="黑体" w:eastAsia="黑体" w:cs="宋体"/>
          <w:color w:val="auto"/>
          <w:sz w:val="24"/>
          <w:szCs w:val="24"/>
        </w:rPr>
        <w:t xml:space="preserve">  管护工程量表</w:t>
      </w:r>
    </w:p>
    <w:tbl>
      <w:tblPr>
        <w:tblStyle w:val="34"/>
        <w:tblW w:w="85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1"/>
        <w:gridCol w:w="1711"/>
        <w:gridCol w:w="1463"/>
        <w:gridCol w:w="1961"/>
        <w:gridCol w:w="1712"/>
      </w:tblGrid>
      <w:tr w14:paraId="17558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1711" w:type="dxa"/>
            <w:vAlign w:val="center"/>
          </w:tcPr>
          <w:p w14:paraId="62E400D7">
            <w:pPr>
              <w:widowControl/>
              <w:jc w:val="center"/>
              <w:rPr>
                <w:color w:val="auto"/>
                <w:kern w:val="0"/>
                <w:szCs w:val="21"/>
              </w:rPr>
            </w:pPr>
            <w:r>
              <w:rPr>
                <w:color w:val="auto"/>
                <w:kern w:val="0"/>
                <w:szCs w:val="21"/>
              </w:rPr>
              <w:t>位置</w:t>
            </w:r>
          </w:p>
        </w:tc>
        <w:tc>
          <w:tcPr>
            <w:tcW w:w="1711" w:type="dxa"/>
            <w:vAlign w:val="center"/>
          </w:tcPr>
          <w:p w14:paraId="60011876">
            <w:pPr>
              <w:widowControl/>
              <w:jc w:val="center"/>
              <w:rPr>
                <w:color w:val="auto"/>
                <w:kern w:val="0"/>
                <w:szCs w:val="21"/>
              </w:rPr>
            </w:pPr>
            <w:r>
              <w:rPr>
                <w:color w:val="auto"/>
                <w:kern w:val="0"/>
                <w:szCs w:val="21"/>
              </w:rPr>
              <w:t>面积（hm</w:t>
            </w:r>
            <w:r>
              <w:rPr>
                <w:color w:val="auto"/>
                <w:kern w:val="0"/>
                <w:szCs w:val="21"/>
                <w:vertAlign w:val="superscript"/>
              </w:rPr>
              <w:t>2</w:t>
            </w:r>
            <w:r>
              <w:rPr>
                <w:color w:val="auto"/>
                <w:kern w:val="0"/>
                <w:szCs w:val="21"/>
              </w:rPr>
              <w:t>）</w:t>
            </w:r>
          </w:p>
        </w:tc>
        <w:tc>
          <w:tcPr>
            <w:tcW w:w="1463" w:type="dxa"/>
            <w:vAlign w:val="center"/>
          </w:tcPr>
          <w:p w14:paraId="25145756">
            <w:pPr>
              <w:widowControl/>
              <w:jc w:val="center"/>
              <w:rPr>
                <w:color w:val="auto"/>
                <w:kern w:val="0"/>
                <w:szCs w:val="21"/>
              </w:rPr>
            </w:pPr>
            <w:r>
              <w:rPr>
                <w:color w:val="auto"/>
                <w:kern w:val="0"/>
                <w:szCs w:val="21"/>
              </w:rPr>
              <w:t>年限（a）</w:t>
            </w:r>
          </w:p>
        </w:tc>
        <w:tc>
          <w:tcPr>
            <w:tcW w:w="1961" w:type="dxa"/>
            <w:vAlign w:val="center"/>
          </w:tcPr>
          <w:p w14:paraId="18674A5F">
            <w:pPr>
              <w:widowControl/>
              <w:jc w:val="center"/>
              <w:rPr>
                <w:color w:val="auto"/>
                <w:kern w:val="0"/>
                <w:szCs w:val="21"/>
              </w:rPr>
            </w:pPr>
            <w:r>
              <w:rPr>
                <w:color w:val="auto"/>
                <w:kern w:val="0"/>
                <w:szCs w:val="21"/>
              </w:rPr>
              <w:t>工程量（a·hm</w:t>
            </w:r>
            <w:r>
              <w:rPr>
                <w:color w:val="auto"/>
                <w:kern w:val="0"/>
                <w:szCs w:val="21"/>
                <w:vertAlign w:val="superscript"/>
              </w:rPr>
              <w:t>2</w:t>
            </w:r>
            <w:r>
              <w:rPr>
                <w:color w:val="auto"/>
                <w:kern w:val="0"/>
                <w:szCs w:val="21"/>
              </w:rPr>
              <w:t>）</w:t>
            </w:r>
          </w:p>
        </w:tc>
        <w:tc>
          <w:tcPr>
            <w:tcW w:w="1712" w:type="dxa"/>
            <w:vAlign w:val="center"/>
          </w:tcPr>
          <w:p w14:paraId="4D9CE6F8">
            <w:pPr>
              <w:widowControl/>
              <w:jc w:val="center"/>
              <w:rPr>
                <w:color w:val="auto"/>
                <w:kern w:val="0"/>
                <w:szCs w:val="21"/>
              </w:rPr>
            </w:pPr>
            <w:r>
              <w:rPr>
                <w:color w:val="auto"/>
                <w:kern w:val="0"/>
                <w:szCs w:val="21"/>
              </w:rPr>
              <w:t>实施时间（a）</w:t>
            </w:r>
          </w:p>
        </w:tc>
      </w:tr>
      <w:tr w14:paraId="393F9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711" w:type="dxa"/>
            <w:vAlign w:val="center"/>
          </w:tcPr>
          <w:p w14:paraId="46C406E7">
            <w:pPr>
              <w:widowControl/>
              <w:jc w:val="center"/>
              <w:rPr>
                <w:color w:val="auto"/>
                <w:kern w:val="0"/>
                <w:szCs w:val="21"/>
              </w:rPr>
            </w:pPr>
            <w:r>
              <w:rPr>
                <w:color w:val="auto"/>
                <w:kern w:val="0"/>
                <w:szCs w:val="21"/>
              </w:rPr>
              <w:t>复垦区</w:t>
            </w:r>
          </w:p>
        </w:tc>
        <w:tc>
          <w:tcPr>
            <w:tcW w:w="1711" w:type="dxa"/>
            <w:vAlign w:val="center"/>
          </w:tcPr>
          <w:p w14:paraId="6949B650">
            <w:pPr>
              <w:widowControl/>
              <w:jc w:val="center"/>
              <w:rPr>
                <w:rFonts w:hint="default" w:eastAsia="宋体"/>
                <w:color w:val="auto"/>
                <w:kern w:val="0"/>
                <w:szCs w:val="21"/>
                <w:lang w:val="en-US" w:eastAsia="zh-CN"/>
              </w:rPr>
            </w:pPr>
            <w:r>
              <w:rPr>
                <w:rFonts w:hint="eastAsia"/>
                <w:color w:val="auto"/>
                <w:kern w:val="0"/>
                <w:szCs w:val="21"/>
                <w:lang w:val="en-US" w:eastAsia="zh-CN"/>
              </w:rPr>
              <w:t>7.6955</w:t>
            </w:r>
          </w:p>
        </w:tc>
        <w:tc>
          <w:tcPr>
            <w:tcW w:w="1463" w:type="dxa"/>
            <w:vAlign w:val="center"/>
          </w:tcPr>
          <w:p w14:paraId="4BE41891">
            <w:pPr>
              <w:widowControl/>
              <w:jc w:val="center"/>
              <w:rPr>
                <w:rFonts w:hint="eastAsia" w:eastAsia="宋体"/>
                <w:color w:val="auto"/>
                <w:kern w:val="0"/>
                <w:szCs w:val="21"/>
                <w:lang w:eastAsia="zh-CN"/>
              </w:rPr>
            </w:pPr>
            <w:r>
              <w:rPr>
                <w:rFonts w:hint="eastAsia"/>
                <w:color w:val="auto"/>
                <w:kern w:val="0"/>
                <w:szCs w:val="21"/>
                <w:lang w:val="en-US" w:eastAsia="zh-CN"/>
              </w:rPr>
              <w:t>3</w:t>
            </w:r>
          </w:p>
        </w:tc>
        <w:tc>
          <w:tcPr>
            <w:tcW w:w="1961" w:type="dxa"/>
            <w:vAlign w:val="center"/>
          </w:tcPr>
          <w:p w14:paraId="088F5609">
            <w:pPr>
              <w:widowControl/>
              <w:jc w:val="center"/>
              <w:rPr>
                <w:rFonts w:hint="default"/>
                <w:color w:val="auto"/>
                <w:kern w:val="0"/>
                <w:szCs w:val="21"/>
                <w:lang w:val="en-US"/>
              </w:rPr>
            </w:pPr>
            <w:r>
              <w:rPr>
                <w:rFonts w:hint="eastAsia"/>
                <w:color w:val="auto"/>
                <w:kern w:val="0"/>
                <w:szCs w:val="21"/>
                <w:lang w:val="en-US" w:eastAsia="zh-CN"/>
              </w:rPr>
              <w:t>7.6955</w:t>
            </w:r>
          </w:p>
        </w:tc>
        <w:tc>
          <w:tcPr>
            <w:tcW w:w="1712" w:type="dxa"/>
            <w:vAlign w:val="center"/>
          </w:tcPr>
          <w:p w14:paraId="7DE44532">
            <w:pPr>
              <w:widowControl/>
              <w:jc w:val="center"/>
              <w:rPr>
                <w:rFonts w:hint="eastAsia" w:eastAsia="宋体"/>
                <w:color w:val="auto"/>
                <w:kern w:val="0"/>
                <w:szCs w:val="21"/>
                <w:lang w:eastAsia="zh-CN"/>
              </w:rPr>
            </w:pPr>
            <w:r>
              <w:rPr>
                <w:rFonts w:hint="eastAsia"/>
                <w:color w:val="auto"/>
                <w:kern w:val="0"/>
                <w:szCs w:val="21"/>
                <w:lang w:val="en-US" w:eastAsia="zh-CN"/>
              </w:rPr>
              <w:t>3</w:t>
            </w:r>
          </w:p>
        </w:tc>
      </w:tr>
    </w:tbl>
    <w:p w14:paraId="5868A3EE">
      <w:pPr>
        <w:pStyle w:val="71"/>
        <w:jc w:val="both"/>
        <w:rPr>
          <w:rFonts w:hint="eastAsia" w:cs="宋体"/>
          <w:b/>
          <w:bCs/>
          <w:color w:val="auto"/>
          <w:sz w:val="21"/>
          <w:szCs w:val="21"/>
        </w:rPr>
      </w:pPr>
      <w:r>
        <w:rPr>
          <w:rFonts w:hint="eastAsia"/>
          <w:b/>
          <w:bCs/>
          <w:color w:val="auto"/>
          <w:sz w:val="21"/>
          <w:szCs w:val="21"/>
          <w:lang w:val="en-US" w:eastAsia="zh-CN"/>
        </w:rPr>
        <w:t>备注：</w:t>
      </w:r>
      <w:r>
        <w:rPr>
          <w:rFonts w:hint="eastAsia"/>
          <w:b/>
          <w:bCs/>
          <w:color w:val="auto"/>
          <w:sz w:val="21"/>
          <w:szCs w:val="21"/>
          <w:lang w:eastAsia="zh-CN"/>
        </w:rPr>
        <w:t>赤峰鑫鑫矿业有限公司管护1年，剩余2年管护期由土地权属人窑沟门村进行管护。</w:t>
      </w:r>
    </w:p>
    <w:p w14:paraId="76A9EC53">
      <w:pPr>
        <w:spacing w:line="360" w:lineRule="auto"/>
        <w:ind w:firstLine="560" w:firstLineChars="200"/>
        <w:rPr>
          <w:rFonts w:hint="eastAsia" w:ascii="宋体" w:hAnsi="宋体" w:cs="宋体"/>
          <w:color w:val="auto"/>
          <w:sz w:val="28"/>
          <w:szCs w:val="28"/>
        </w:rPr>
      </w:pPr>
    </w:p>
    <w:p w14:paraId="64B343D6">
      <w:pPr>
        <w:pStyle w:val="2"/>
        <w:spacing w:line="360" w:lineRule="auto"/>
        <w:jc w:val="center"/>
        <w:rPr>
          <w:rFonts w:hint="eastAsia" w:ascii="黑体" w:hAnsi="黑体" w:eastAsia="黑体" w:cs="黑体"/>
          <w:bCs/>
          <w:color w:val="auto"/>
        </w:rPr>
      </w:pPr>
      <w:bookmarkStart w:id="87" w:name="_Toc18653"/>
      <w:r>
        <w:rPr>
          <w:rFonts w:hint="eastAsia" w:ascii="黑体" w:hAnsi="黑体" w:eastAsia="黑体" w:cs="黑体"/>
          <w:bCs/>
          <w:color w:val="auto"/>
        </w:rPr>
        <w:t>第六章  工程部署与经费估算</w:t>
      </w:r>
      <w:bookmarkEnd w:id="87"/>
    </w:p>
    <w:p w14:paraId="4C3E6160">
      <w:pPr>
        <w:pStyle w:val="3"/>
        <w:spacing w:before="120" w:beforeLines="50"/>
        <w:rPr>
          <w:color w:val="auto"/>
          <w:sz w:val="28"/>
          <w:szCs w:val="28"/>
        </w:rPr>
      </w:pPr>
      <w:bookmarkStart w:id="88" w:name="_bookmark30"/>
      <w:bookmarkEnd w:id="88"/>
      <w:bookmarkStart w:id="89" w:name="第一节__总体工作部署__"/>
      <w:bookmarkEnd w:id="89"/>
      <w:bookmarkStart w:id="90" w:name="_Toc4746"/>
      <w:r>
        <w:rPr>
          <w:rFonts w:hint="eastAsia"/>
          <w:color w:val="auto"/>
        </w:rPr>
        <w:t>第一节  总体部署</w:t>
      </w:r>
      <w:bookmarkEnd w:id="90"/>
    </w:p>
    <w:p w14:paraId="1FBCB3D9">
      <w:pPr>
        <w:spacing w:line="360" w:lineRule="auto"/>
        <w:ind w:firstLine="560" w:firstLineChars="200"/>
        <w:rPr>
          <w:rFonts w:hint="eastAsia" w:ascii="宋体" w:hAnsi="宋体" w:cs="宋体"/>
          <w:color w:val="auto"/>
          <w:sz w:val="28"/>
          <w:szCs w:val="28"/>
        </w:rPr>
      </w:pPr>
      <w:r>
        <w:rPr>
          <w:rFonts w:hint="default" w:ascii="Times New Roman" w:hAnsi="Times New Roman" w:eastAsia="宋体" w:cs="Times New Roman"/>
          <w:color w:val="auto"/>
          <w:sz w:val="28"/>
          <w:szCs w:val="28"/>
          <w:highlight w:val="none"/>
          <w:lang w:val="en-US" w:eastAsia="zh-CN"/>
        </w:rPr>
        <w:t>根据复垦适宜性、生态恢复力，坚持“宜农则农、宜林则林、宜草则草、宜湿则湿”原则，通过工程、生物、化学等人工支持手段，使受损的土地达到可供利用状态，恢复生态系统功能；坚持尊重自然、顺应自然、保护自然，充分发挥自然恢复力的作用，逐步恢复本地生态系统的生物群落组成和结构，使修复生态系统达到自我维持、自我调节，最终实现良性循环。</w:t>
      </w:r>
    </w:p>
    <w:p w14:paraId="254C6200">
      <w:pPr>
        <w:pStyle w:val="3"/>
        <w:spacing w:before="120" w:beforeLines="50"/>
        <w:rPr>
          <w:color w:val="auto"/>
          <w:sz w:val="28"/>
          <w:szCs w:val="28"/>
        </w:rPr>
      </w:pPr>
      <w:bookmarkStart w:id="91" w:name="_Toc5431"/>
      <w:r>
        <w:rPr>
          <w:rFonts w:hint="eastAsia"/>
          <w:color w:val="auto"/>
        </w:rPr>
        <w:t>第二节  总体经费估算</w:t>
      </w:r>
      <w:bookmarkEnd w:id="91"/>
    </w:p>
    <w:p w14:paraId="7E586F7D">
      <w:pPr>
        <w:spacing w:line="360" w:lineRule="auto"/>
        <w:ind w:firstLine="562" w:firstLineChars="200"/>
        <w:jc w:val="left"/>
        <w:outlineLvl w:val="2"/>
        <w:rPr>
          <w:b/>
          <w:bCs/>
          <w:color w:val="auto"/>
          <w:sz w:val="28"/>
          <w:szCs w:val="28"/>
        </w:rPr>
      </w:pPr>
      <w:r>
        <w:rPr>
          <w:b/>
          <w:bCs/>
          <w:color w:val="auto"/>
          <w:sz w:val="28"/>
          <w:szCs w:val="28"/>
        </w:rPr>
        <w:t>一、经费估算依据</w:t>
      </w:r>
    </w:p>
    <w:p w14:paraId="364DAE37">
      <w:pPr>
        <w:spacing w:line="360" w:lineRule="auto"/>
        <w:ind w:firstLine="560" w:firstLineChars="200"/>
        <w:rPr>
          <w:color w:val="auto"/>
          <w:sz w:val="28"/>
          <w:szCs w:val="28"/>
        </w:rPr>
      </w:pPr>
      <w:r>
        <w:rPr>
          <w:rFonts w:hint="eastAsia"/>
          <w:color w:val="auto"/>
          <w:sz w:val="28"/>
          <w:szCs w:val="28"/>
          <w:lang w:val="en-US" w:eastAsia="zh-CN"/>
        </w:rPr>
        <w:t>1</w:t>
      </w:r>
      <w:r>
        <w:rPr>
          <w:color w:val="auto"/>
          <w:sz w:val="28"/>
          <w:szCs w:val="28"/>
        </w:rPr>
        <w:t>、《内蒙古自治区矿山</w:t>
      </w:r>
      <w:r>
        <w:rPr>
          <w:rFonts w:hint="eastAsia"/>
          <w:color w:val="auto"/>
          <w:sz w:val="28"/>
          <w:szCs w:val="28"/>
          <w:lang w:val="en-US" w:eastAsia="zh-CN"/>
        </w:rPr>
        <w:t>生态修复</w:t>
      </w:r>
      <w:r>
        <w:rPr>
          <w:color w:val="auto"/>
          <w:sz w:val="28"/>
          <w:szCs w:val="28"/>
        </w:rPr>
        <w:t>工程预算定额标准（</w:t>
      </w:r>
      <w:r>
        <w:rPr>
          <w:rFonts w:hint="eastAsia"/>
          <w:color w:val="auto"/>
          <w:sz w:val="28"/>
          <w:szCs w:val="28"/>
          <w:lang w:val="en-US" w:eastAsia="zh-CN"/>
        </w:rPr>
        <w:t>试行</w:t>
      </w:r>
      <w:r>
        <w:rPr>
          <w:color w:val="auto"/>
          <w:sz w:val="28"/>
          <w:szCs w:val="28"/>
        </w:rPr>
        <w:t>）》</w:t>
      </w:r>
      <w:r>
        <w:rPr>
          <w:rFonts w:hint="eastAsia"/>
          <w:color w:val="auto"/>
          <w:sz w:val="28"/>
          <w:szCs w:val="28"/>
          <w:lang w:eastAsia="zh-CN"/>
        </w:rPr>
        <w:t>（</w:t>
      </w:r>
      <w:r>
        <w:rPr>
          <w:rFonts w:hint="eastAsia"/>
          <w:color w:val="auto"/>
          <w:sz w:val="28"/>
          <w:szCs w:val="28"/>
          <w:lang w:val="en-US" w:eastAsia="zh-CN"/>
        </w:rPr>
        <w:t>2026版</w:t>
      </w:r>
      <w:r>
        <w:rPr>
          <w:rFonts w:hint="eastAsia"/>
          <w:color w:val="auto"/>
          <w:sz w:val="28"/>
          <w:szCs w:val="28"/>
          <w:lang w:eastAsia="zh-CN"/>
        </w:rPr>
        <w:t>）</w:t>
      </w:r>
      <w:r>
        <w:rPr>
          <w:color w:val="auto"/>
          <w:sz w:val="28"/>
          <w:szCs w:val="28"/>
        </w:rPr>
        <w:t>；</w:t>
      </w:r>
    </w:p>
    <w:p w14:paraId="5D215336">
      <w:pPr>
        <w:spacing w:line="360" w:lineRule="auto"/>
        <w:ind w:firstLine="560" w:firstLineChars="200"/>
        <w:rPr>
          <w:color w:val="auto"/>
          <w:sz w:val="28"/>
          <w:szCs w:val="28"/>
        </w:rPr>
      </w:pPr>
      <w:r>
        <w:rPr>
          <w:rFonts w:hint="eastAsia"/>
          <w:color w:val="auto"/>
          <w:sz w:val="28"/>
          <w:szCs w:val="28"/>
          <w:lang w:val="en-US" w:eastAsia="zh-CN"/>
        </w:rPr>
        <w:t>2</w:t>
      </w:r>
      <w:r>
        <w:rPr>
          <w:color w:val="auto"/>
          <w:sz w:val="28"/>
          <w:szCs w:val="28"/>
        </w:rPr>
        <w:t>、《关于深化增值税改革有关政策的公告》（财政部税务总局海关总署公告2019年第39号）；</w:t>
      </w:r>
    </w:p>
    <w:p w14:paraId="628239A6">
      <w:pPr>
        <w:spacing w:line="360" w:lineRule="auto"/>
        <w:ind w:firstLine="560" w:firstLineChars="200"/>
        <w:rPr>
          <w:color w:val="auto"/>
          <w:sz w:val="28"/>
          <w:szCs w:val="28"/>
        </w:rPr>
      </w:pPr>
      <w:r>
        <w:rPr>
          <w:color w:val="auto"/>
          <w:sz w:val="28"/>
          <w:szCs w:val="28"/>
        </w:rPr>
        <w:t>7、《住房和城乡建设部办公厅关于重新调整建设工程计价依据增值税税率的通知》建办标函[2019]193号；</w:t>
      </w:r>
    </w:p>
    <w:p w14:paraId="38EA78E3">
      <w:pPr>
        <w:spacing w:line="360" w:lineRule="auto"/>
        <w:ind w:firstLine="560" w:firstLineChars="200"/>
        <w:rPr>
          <w:color w:val="auto"/>
          <w:sz w:val="28"/>
          <w:szCs w:val="28"/>
        </w:rPr>
      </w:pPr>
      <w:r>
        <w:rPr>
          <w:rFonts w:hint="eastAsia"/>
          <w:color w:val="auto"/>
          <w:sz w:val="28"/>
          <w:szCs w:val="28"/>
          <w:lang w:val="en-US" w:eastAsia="zh-CN"/>
        </w:rPr>
        <w:t>4</w:t>
      </w:r>
      <w:r>
        <w:rPr>
          <w:color w:val="auto"/>
          <w:sz w:val="28"/>
          <w:szCs w:val="28"/>
        </w:rPr>
        <w:t>、《内蒙古自治区人民政府办公厅关于调整自治区最低工资标准及非全日制工作小时最低工资标准的通知》内政办发〔2021〕69号；</w:t>
      </w:r>
    </w:p>
    <w:p w14:paraId="162C5F4E">
      <w:pPr>
        <w:spacing w:line="360" w:lineRule="auto"/>
        <w:ind w:firstLine="560" w:firstLineChars="200"/>
        <w:rPr>
          <w:color w:val="auto"/>
          <w:sz w:val="28"/>
          <w:szCs w:val="28"/>
        </w:rPr>
      </w:pPr>
      <w:r>
        <w:rPr>
          <w:rFonts w:hint="eastAsia"/>
          <w:color w:val="auto"/>
          <w:sz w:val="28"/>
          <w:szCs w:val="28"/>
          <w:lang w:val="en-US" w:eastAsia="zh-CN"/>
        </w:rPr>
        <w:t>5</w:t>
      </w:r>
      <w:r>
        <w:rPr>
          <w:color w:val="auto"/>
          <w:sz w:val="28"/>
          <w:szCs w:val="28"/>
        </w:rPr>
        <w:t>、当地材料价格信息（202</w:t>
      </w:r>
      <w:r>
        <w:rPr>
          <w:rFonts w:hint="eastAsia"/>
          <w:color w:val="auto"/>
          <w:sz w:val="28"/>
          <w:szCs w:val="28"/>
          <w:lang w:val="en-US" w:eastAsia="zh-CN"/>
        </w:rPr>
        <w:t>6</w:t>
      </w:r>
      <w:r>
        <w:rPr>
          <w:color w:val="auto"/>
          <w:sz w:val="28"/>
          <w:szCs w:val="28"/>
        </w:rPr>
        <w:t>年</w:t>
      </w:r>
      <w:r>
        <w:rPr>
          <w:rFonts w:hint="eastAsia"/>
          <w:color w:val="auto"/>
          <w:sz w:val="28"/>
          <w:szCs w:val="28"/>
          <w:lang w:val="en-US" w:eastAsia="zh-CN"/>
        </w:rPr>
        <w:t>2</w:t>
      </w:r>
      <w:r>
        <w:rPr>
          <w:color w:val="auto"/>
          <w:sz w:val="28"/>
          <w:szCs w:val="28"/>
        </w:rPr>
        <w:t>季度）材料价格市场询价；</w:t>
      </w:r>
    </w:p>
    <w:p w14:paraId="3F50E7B6">
      <w:pPr>
        <w:spacing w:line="360" w:lineRule="auto"/>
        <w:ind w:firstLine="560" w:firstLineChars="200"/>
        <w:rPr>
          <w:color w:val="auto"/>
          <w:sz w:val="28"/>
          <w:szCs w:val="28"/>
        </w:rPr>
      </w:pPr>
      <w:r>
        <w:rPr>
          <w:rFonts w:hint="eastAsia"/>
          <w:color w:val="auto"/>
          <w:sz w:val="28"/>
          <w:szCs w:val="28"/>
          <w:lang w:val="en-US" w:eastAsia="zh-CN"/>
        </w:rPr>
        <w:t>6</w:t>
      </w:r>
      <w:r>
        <w:rPr>
          <w:color w:val="auto"/>
          <w:sz w:val="28"/>
          <w:szCs w:val="28"/>
        </w:rPr>
        <w:t>、其它有关规定和标准。</w:t>
      </w:r>
    </w:p>
    <w:p w14:paraId="1DD609AF">
      <w:pPr>
        <w:spacing w:line="360" w:lineRule="auto"/>
        <w:ind w:firstLine="560" w:firstLineChars="200"/>
        <w:jc w:val="left"/>
        <w:rPr>
          <w:color w:val="auto"/>
          <w:sz w:val="28"/>
          <w:szCs w:val="28"/>
        </w:rPr>
      </w:pPr>
      <w:r>
        <w:rPr>
          <w:color w:val="auto"/>
          <w:sz w:val="28"/>
          <w:szCs w:val="28"/>
        </w:rPr>
        <w:t>本方案投资估算水平年为202</w:t>
      </w:r>
      <w:r>
        <w:rPr>
          <w:rFonts w:hint="eastAsia"/>
          <w:color w:val="auto"/>
          <w:sz w:val="28"/>
          <w:szCs w:val="28"/>
          <w:lang w:val="en-US" w:eastAsia="zh-CN"/>
        </w:rPr>
        <w:t>6</w:t>
      </w:r>
      <w:r>
        <w:rPr>
          <w:color w:val="auto"/>
          <w:sz w:val="28"/>
          <w:szCs w:val="28"/>
        </w:rPr>
        <w:t>年，并以国家和地方政策文件规定的单价为标准。如与工程开工时间不在同一年份或物价有变动，应根据开工年的物价和政策在工程开工年重新调整。</w:t>
      </w:r>
    </w:p>
    <w:p w14:paraId="373E4CE0">
      <w:pPr>
        <w:spacing w:line="360" w:lineRule="auto"/>
        <w:ind w:firstLine="562" w:firstLineChars="200"/>
        <w:jc w:val="left"/>
        <w:outlineLvl w:val="2"/>
        <w:rPr>
          <w:color w:val="auto"/>
          <w:sz w:val="28"/>
          <w:szCs w:val="28"/>
        </w:rPr>
      </w:pPr>
      <w:r>
        <w:rPr>
          <w:b/>
          <w:bCs/>
          <w:color w:val="auto"/>
          <w:sz w:val="28"/>
          <w:szCs w:val="28"/>
        </w:rPr>
        <w:t>二、费用构成及计费标准</w:t>
      </w:r>
    </w:p>
    <w:p w14:paraId="6C180018">
      <w:pPr>
        <w:spacing w:line="360" w:lineRule="auto"/>
        <w:ind w:firstLine="560" w:firstLineChars="200"/>
        <w:jc w:val="left"/>
        <w:rPr>
          <w:color w:val="auto"/>
          <w:sz w:val="28"/>
          <w:szCs w:val="28"/>
        </w:rPr>
      </w:pPr>
      <w:r>
        <w:rPr>
          <w:color w:val="auto"/>
          <w:sz w:val="28"/>
          <w:szCs w:val="28"/>
        </w:rPr>
        <w:t>1、工程施工费</w:t>
      </w:r>
    </w:p>
    <w:p w14:paraId="6FC886F0">
      <w:pPr>
        <w:spacing w:line="360" w:lineRule="auto"/>
        <w:ind w:firstLine="560" w:firstLineChars="200"/>
        <w:jc w:val="left"/>
        <w:rPr>
          <w:color w:val="auto"/>
          <w:sz w:val="28"/>
          <w:szCs w:val="28"/>
        </w:rPr>
      </w:pPr>
      <w:r>
        <w:rPr>
          <w:color w:val="auto"/>
          <w:sz w:val="28"/>
          <w:szCs w:val="28"/>
        </w:rPr>
        <w:t>工程施工费包括直接费、间接费、利润</w:t>
      </w:r>
      <w:r>
        <w:rPr>
          <w:rFonts w:hint="eastAsia"/>
          <w:color w:val="auto"/>
          <w:sz w:val="28"/>
          <w:szCs w:val="28"/>
          <w:lang w:eastAsia="zh-CN"/>
        </w:rPr>
        <w:t>、</w:t>
      </w:r>
      <w:r>
        <w:rPr>
          <w:rFonts w:hint="eastAsia"/>
          <w:color w:val="auto"/>
          <w:sz w:val="28"/>
          <w:szCs w:val="28"/>
          <w:lang w:val="en-US" w:eastAsia="zh-CN"/>
        </w:rPr>
        <w:t>材料差价</w:t>
      </w:r>
      <w:r>
        <w:rPr>
          <w:color w:val="auto"/>
          <w:sz w:val="28"/>
          <w:szCs w:val="28"/>
        </w:rPr>
        <w:t>和税金。</w:t>
      </w:r>
    </w:p>
    <w:p w14:paraId="7AED8684">
      <w:pPr>
        <w:spacing w:line="360" w:lineRule="auto"/>
        <w:ind w:firstLine="560" w:firstLineChars="200"/>
        <w:jc w:val="left"/>
        <w:rPr>
          <w:color w:val="auto"/>
          <w:sz w:val="28"/>
          <w:szCs w:val="28"/>
        </w:rPr>
      </w:pPr>
      <w:r>
        <w:rPr>
          <w:color w:val="auto"/>
          <w:sz w:val="28"/>
          <w:szCs w:val="28"/>
        </w:rPr>
        <w:t>（1）直接费</w:t>
      </w:r>
    </w:p>
    <w:p w14:paraId="054E745C">
      <w:pPr>
        <w:spacing w:line="360" w:lineRule="auto"/>
        <w:ind w:firstLine="560" w:firstLineChars="200"/>
        <w:jc w:val="left"/>
        <w:rPr>
          <w:color w:val="auto"/>
          <w:sz w:val="28"/>
          <w:szCs w:val="28"/>
        </w:rPr>
      </w:pPr>
      <w:r>
        <w:rPr>
          <w:color w:val="auto"/>
          <w:sz w:val="28"/>
          <w:szCs w:val="28"/>
        </w:rPr>
        <w:t>直接费指工程施工过程中直接消耗在工程项目上的活劳动和物化劳动。由直接工程费、措施费组成。</w:t>
      </w:r>
    </w:p>
    <w:p w14:paraId="2DD2B162">
      <w:pPr>
        <w:spacing w:line="360" w:lineRule="auto"/>
        <w:ind w:firstLine="560" w:firstLineChars="200"/>
        <w:jc w:val="left"/>
        <w:rPr>
          <w:color w:val="auto"/>
          <w:sz w:val="28"/>
          <w:szCs w:val="28"/>
        </w:rPr>
      </w:pPr>
      <w:r>
        <w:rPr>
          <w:color w:val="auto"/>
          <w:sz w:val="28"/>
          <w:szCs w:val="28"/>
        </w:rPr>
        <w:t>①直接工程费</w:t>
      </w:r>
    </w:p>
    <w:p w14:paraId="06EBCCC7">
      <w:pPr>
        <w:spacing w:line="360" w:lineRule="auto"/>
        <w:ind w:firstLine="560" w:firstLineChars="200"/>
        <w:jc w:val="left"/>
        <w:rPr>
          <w:color w:val="auto"/>
          <w:sz w:val="28"/>
          <w:szCs w:val="28"/>
        </w:rPr>
      </w:pPr>
      <w:r>
        <w:rPr>
          <w:color w:val="auto"/>
          <w:sz w:val="28"/>
          <w:szCs w:val="28"/>
        </w:rPr>
        <w:t>直接工程费由人工费、材料费、施工机械使用费组成。</w:t>
      </w:r>
    </w:p>
    <w:p w14:paraId="1F1BAF68">
      <w:pPr>
        <w:spacing w:line="360" w:lineRule="auto"/>
        <w:ind w:firstLine="560" w:firstLineChars="200"/>
        <w:jc w:val="left"/>
        <w:rPr>
          <w:color w:val="auto"/>
          <w:sz w:val="28"/>
          <w:szCs w:val="28"/>
        </w:rPr>
      </w:pPr>
      <w:r>
        <w:rPr>
          <w:bCs/>
          <w:color w:val="auto"/>
          <w:sz w:val="28"/>
          <w:szCs w:val="28"/>
        </w:rPr>
        <w:t>人工费=定额劳动量（工日）×人工概算单价（元／工日），人工单价根据《内蒙古自治区矿山</w:t>
      </w:r>
      <w:r>
        <w:rPr>
          <w:rFonts w:hint="eastAsia"/>
          <w:bCs/>
          <w:color w:val="auto"/>
          <w:sz w:val="28"/>
          <w:szCs w:val="28"/>
          <w:lang w:val="en-US" w:eastAsia="zh-CN"/>
        </w:rPr>
        <w:t>生态修复</w:t>
      </w:r>
      <w:r>
        <w:rPr>
          <w:bCs/>
          <w:color w:val="auto"/>
          <w:sz w:val="28"/>
          <w:szCs w:val="28"/>
        </w:rPr>
        <w:t>工程预算定额标准》的规定计取，赤峰市松山区属于二类区，</w:t>
      </w:r>
      <w:r>
        <w:rPr>
          <w:color w:val="auto"/>
          <w:sz w:val="28"/>
          <w:szCs w:val="28"/>
        </w:rPr>
        <w:t>甲类工</w:t>
      </w:r>
      <w:r>
        <w:rPr>
          <w:rFonts w:hint="eastAsia"/>
          <w:color w:val="auto"/>
          <w:sz w:val="28"/>
          <w:szCs w:val="28"/>
          <w:lang w:val="en-US" w:eastAsia="zh-CN"/>
        </w:rPr>
        <w:t>180.08</w:t>
      </w:r>
      <w:r>
        <w:rPr>
          <w:color w:val="auto"/>
          <w:sz w:val="28"/>
          <w:szCs w:val="28"/>
        </w:rPr>
        <w:t>元/工日，乙类工</w:t>
      </w:r>
      <w:r>
        <w:rPr>
          <w:rFonts w:hint="eastAsia"/>
          <w:color w:val="auto"/>
          <w:sz w:val="28"/>
          <w:szCs w:val="28"/>
          <w:lang w:val="en-US" w:eastAsia="zh-CN"/>
        </w:rPr>
        <w:t>134.59</w:t>
      </w:r>
      <w:r>
        <w:rPr>
          <w:color w:val="auto"/>
          <w:sz w:val="28"/>
          <w:szCs w:val="28"/>
        </w:rPr>
        <w:t>元/工日。</w:t>
      </w:r>
    </w:p>
    <w:p w14:paraId="0424FCB4">
      <w:pPr>
        <w:spacing w:line="360" w:lineRule="auto"/>
        <w:ind w:firstLine="560" w:firstLineChars="200"/>
        <w:jc w:val="left"/>
        <w:rPr>
          <w:bCs/>
          <w:color w:val="auto"/>
          <w:sz w:val="28"/>
          <w:szCs w:val="28"/>
        </w:rPr>
      </w:pPr>
      <w:r>
        <w:rPr>
          <w:bCs/>
          <w:color w:val="auto"/>
          <w:sz w:val="28"/>
          <w:szCs w:val="28"/>
        </w:rPr>
        <w:t>材料费=定额材料用量×材料</w:t>
      </w:r>
      <w:r>
        <w:rPr>
          <w:rFonts w:hint="eastAsia"/>
          <w:bCs/>
          <w:color w:val="auto"/>
          <w:sz w:val="28"/>
          <w:szCs w:val="28"/>
          <w:lang w:val="en-US" w:eastAsia="zh-CN"/>
        </w:rPr>
        <w:t>预算</w:t>
      </w:r>
      <w:r>
        <w:rPr>
          <w:bCs/>
          <w:color w:val="auto"/>
          <w:sz w:val="28"/>
          <w:szCs w:val="28"/>
        </w:rPr>
        <w:t>单价，主要材料单价按照《内蒙古自治区矿山</w:t>
      </w:r>
      <w:r>
        <w:rPr>
          <w:rFonts w:hint="eastAsia"/>
          <w:bCs/>
          <w:color w:val="auto"/>
          <w:sz w:val="28"/>
          <w:szCs w:val="28"/>
          <w:lang w:val="en-US" w:eastAsia="zh-CN"/>
        </w:rPr>
        <w:t>生态修复</w:t>
      </w:r>
      <w:r>
        <w:rPr>
          <w:bCs/>
          <w:color w:val="auto"/>
          <w:sz w:val="28"/>
          <w:szCs w:val="28"/>
        </w:rPr>
        <w:t>工程预算定额标准》编制，超出限价部分单独计算材料价差，主要材料以外的材料价格以赤峰市202</w:t>
      </w:r>
      <w:r>
        <w:rPr>
          <w:rFonts w:hint="eastAsia"/>
          <w:bCs/>
          <w:color w:val="auto"/>
          <w:sz w:val="28"/>
          <w:szCs w:val="28"/>
          <w:lang w:val="en-US" w:eastAsia="zh-CN"/>
        </w:rPr>
        <w:t>6</w:t>
      </w:r>
      <w:r>
        <w:rPr>
          <w:bCs/>
          <w:color w:val="auto"/>
          <w:sz w:val="28"/>
          <w:szCs w:val="28"/>
        </w:rPr>
        <w:t>年2季度市场价格计取并以材料到工地实际价格计算。</w:t>
      </w:r>
    </w:p>
    <w:p w14:paraId="19FF49A7">
      <w:pPr>
        <w:spacing w:line="360" w:lineRule="auto"/>
        <w:ind w:firstLine="560" w:firstLineChars="200"/>
        <w:jc w:val="left"/>
        <w:rPr>
          <w:color w:val="auto"/>
          <w:sz w:val="28"/>
          <w:szCs w:val="28"/>
        </w:rPr>
      </w:pPr>
      <w:r>
        <w:rPr>
          <w:bCs/>
          <w:color w:val="auto"/>
          <w:sz w:val="28"/>
          <w:szCs w:val="28"/>
        </w:rPr>
        <w:t>施工机械使用费=定额机械使用量（台班）×施工机械台班费（元／台班）。台班费定额依据《</w:t>
      </w:r>
      <w:r>
        <w:rPr>
          <w:rFonts w:hint="eastAsia"/>
          <w:bCs/>
          <w:color w:val="auto"/>
          <w:sz w:val="28"/>
          <w:szCs w:val="28"/>
          <w:lang w:eastAsia="zh-CN"/>
        </w:rPr>
        <w:t>内蒙古自治区矿山生态修复工程预算定额标准</w:t>
      </w:r>
      <w:r>
        <w:rPr>
          <w:bCs/>
          <w:color w:val="auto"/>
          <w:sz w:val="28"/>
          <w:szCs w:val="28"/>
        </w:rPr>
        <w:t>》</w:t>
      </w:r>
      <w:r>
        <w:rPr>
          <w:rFonts w:hint="eastAsia"/>
          <w:bCs/>
          <w:color w:val="auto"/>
          <w:sz w:val="28"/>
          <w:szCs w:val="28"/>
          <w:lang w:eastAsia="zh-CN"/>
        </w:rPr>
        <w:t>（</w:t>
      </w:r>
      <w:r>
        <w:rPr>
          <w:rFonts w:hint="eastAsia"/>
          <w:bCs/>
          <w:color w:val="auto"/>
          <w:sz w:val="28"/>
          <w:szCs w:val="28"/>
          <w:lang w:val="en-US" w:eastAsia="zh-CN"/>
        </w:rPr>
        <w:t>试行</w:t>
      </w:r>
      <w:r>
        <w:rPr>
          <w:rFonts w:hint="eastAsia"/>
          <w:bCs/>
          <w:color w:val="auto"/>
          <w:sz w:val="28"/>
          <w:szCs w:val="28"/>
          <w:lang w:eastAsia="zh-CN"/>
        </w:rPr>
        <w:t>）</w:t>
      </w:r>
      <w:r>
        <w:rPr>
          <w:bCs/>
          <w:color w:val="auto"/>
          <w:sz w:val="28"/>
          <w:szCs w:val="28"/>
        </w:rPr>
        <w:t>编制，具体见定额单价取费表。</w:t>
      </w:r>
    </w:p>
    <w:p w14:paraId="71B95159">
      <w:pPr>
        <w:spacing w:line="360" w:lineRule="auto"/>
        <w:ind w:firstLine="560" w:firstLineChars="200"/>
        <w:jc w:val="left"/>
        <w:rPr>
          <w:color w:val="auto"/>
          <w:sz w:val="28"/>
          <w:szCs w:val="28"/>
        </w:rPr>
      </w:pPr>
      <w:r>
        <w:rPr>
          <w:color w:val="auto"/>
          <w:sz w:val="28"/>
          <w:szCs w:val="28"/>
        </w:rPr>
        <w:t>②措施费</w:t>
      </w:r>
    </w:p>
    <w:p w14:paraId="6D72C0AF">
      <w:pPr>
        <w:spacing w:line="360" w:lineRule="auto"/>
        <w:ind w:firstLine="560" w:firstLineChars="200"/>
        <w:jc w:val="left"/>
        <w:rPr>
          <w:color w:val="auto"/>
          <w:sz w:val="28"/>
          <w:szCs w:val="28"/>
        </w:rPr>
      </w:pPr>
      <w:r>
        <w:rPr>
          <w:color w:val="auto"/>
          <w:sz w:val="28"/>
          <w:szCs w:val="28"/>
        </w:rPr>
        <w:t>措施费是指为完成工程项目施工，发生于该工程施工前和施工过程中非工程实体项目的费用，包括临时设施费、冬雨季施工增加费、施工辅助费和安全施工措施费，本项目不计夜间施工增加费。措施费按项目直接工程费×措施费费率进行计算。其费率依据《</w:t>
      </w:r>
      <w:r>
        <w:rPr>
          <w:rFonts w:hint="eastAsia"/>
          <w:color w:val="auto"/>
          <w:sz w:val="28"/>
          <w:szCs w:val="28"/>
          <w:lang w:eastAsia="zh-CN"/>
        </w:rPr>
        <w:t>内蒙古自治区矿山生态修复工程预算定额标准</w:t>
      </w:r>
      <w:r>
        <w:rPr>
          <w:color w:val="auto"/>
          <w:sz w:val="28"/>
          <w:szCs w:val="28"/>
        </w:rPr>
        <w:t>》</w:t>
      </w:r>
      <w:r>
        <w:rPr>
          <w:rFonts w:hint="eastAsia"/>
          <w:color w:val="auto"/>
          <w:sz w:val="28"/>
          <w:szCs w:val="28"/>
          <w:lang w:eastAsia="zh-CN"/>
        </w:rPr>
        <w:t>（</w:t>
      </w:r>
      <w:r>
        <w:rPr>
          <w:rFonts w:hint="eastAsia"/>
          <w:bCs/>
          <w:color w:val="auto"/>
          <w:sz w:val="28"/>
          <w:szCs w:val="28"/>
          <w:lang w:val="en-US" w:eastAsia="zh-CN"/>
        </w:rPr>
        <w:t>试行）</w:t>
      </w:r>
      <w:r>
        <w:rPr>
          <w:color w:val="auto"/>
          <w:sz w:val="28"/>
          <w:szCs w:val="28"/>
        </w:rPr>
        <w:t>计取，取费标准见表6-1。</w:t>
      </w:r>
    </w:p>
    <w:p w14:paraId="3B7AA3E7">
      <w:pPr>
        <w:jc w:val="center"/>
        <w:rPr>
          <w:rFonts w:eastAsia="黑体"/>
          <w:color w:val="auto"/>
          <w:sz w:val="24"/>
          <w:szCs w:val="22"/>
        </w:rPr>
      </w:pPr>
    </w:p>
    <w:p w14:paraId="7FAEE616">
      <w:pPr>
        <w:jc w:val="center"/>
        <w:rPr>
          <w:rFonts w:eastAsia="黑体"/>
          <w:color w:val="auto"/>
          <w:sz w:val="24"/>
          <w:szCs w:val="22"/>
        </w:rPr>
      </w:pPr>
    </w:p>
    <w:p w14:paraId="696EDFED">
      <w:pPr>
        <w:jc w:val="center"/>
        <w:rPr>
          <w:rFonts w:eastAsia="黑体"/>
          <w:color w:val="auto"/>
          <w:sz w:val="24"/>
          <w:szCs w:val="22"/>
        </w:rPr>
      </w:pPr>
    </w:p>
    <w:p w14:paraId="6656F56E">
      <w:pPr>
        <w:jc w:val="center"/>
        <w:rPr>
          <w:rFonts w:eastAsia="黑体"/>
          <w:color w:val="auto"/>
          <w:sz w:val="24"/>
          <w:szCs w:val="22"/>
        </w:rPr>
      </w:pPr>
      <w:r>
        <w:rPr>
          <w:rFonts w:eastAsia="黑体"/>
          <w:color w:val="auto"/>
          <w:sz w:val="24"/>
          <w:szCs w:val="22"/>
        </w:rPr>
        <w:t>表6-1  措施费费率表</w:t>
      </w:r>
    </w:p>
    <w:tbl>
      <w:tblPr>
        <w:tblStyle w:val="34"/>
        <w:tblW w:w="48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61"/>
        <w:gridCol w:w="1215"/>
        <w:gridCol w:w="1132"/>
        <w:gridCol w:w="1539"/>
        <w:gridCol w:w="1140"/>
        <w:gridCol w:w="1344"/>
        <w:gridCol w:w="1062"/>
      </w:tblGrid>
      <w:tr w14:paraId="2ABEF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8" w:hRule="exact"/>
          <w:tblHeader/>
          <w:jc w:val="center"/>
        </w:trPr>
        <w:tc>
          <w:tcPr>
            <w:tcW w:w="351" w:type="pct"/>
            <w:tcBorders>
              <w:top w:val="single" w:color="auto" w:sz="4" w:space="0"/>
              <w:left w:val="single" w:color="auto" w:sz="4" w:space="0"/>
              <w:bottom w:val="single" w:color="auto" w:sz="4" w:space="0"/>
              <w:right w:val="single" w:color="auto" w:sz="4" w:space="0"/>
            </w:tcBorders>
            <w:vAlign w:val="center"/>
          </w:tcPr>
          <w:p w14:paraId="3112608B">
            <w:pPr>
              <w:jc w:val="center"/>
              <w:rPr>
                <w:color w:val="auto"/>
                <w:lang w:val="zh-CN"/>
              </w:rPr>
            </w:pPr>
            <w:r>
              <w:rPr>
                <w:color w:val="auto"/>
                <w:lang w:val="zh-CN"/>
              </w:rPr>
              <w:t>序号</w:t>
            </w:r>
          </w:p>
        </w:tc>
        <w:tc>
          <w:tcPr>
            <w:tcW w:w="760" w:type="pct"/>
            <w:tcBorders>
              <w:top w:val="single" w:color="auto" w:sz="4" w:space="0"/>
              <w:left w:val="single" w:color="auto" w:sz="4" w:space="0"/>
              <w:bottom w:val="single" w:color="auto" w:sz="4" w:space="0"/>
              <w:right w:val="single" w:color="auto" w:sz="4" w:space="0"/>
            </w:tcBorders>
            <w:vAlign w:val="center"/>
          </w:tcPr>
          <w:p w14:paraId="290E7755">
            <w:pPr>
              <w:jc w:val="center"/>
              <w:rPr>
                <w:color w:val="auto"/>
                <w:lang w:val="zh-CN"/>
              </w:rPr>
            </w:pPr>
            <w:r>
              <w:rPr>
                <w:color w:val="auto"/>
                <w:lang w:val="zh-CN"/>
              </w:rPr>
              <w:t>工程类别</w:t>
            </w:r>
          </w:p>
        </w:tc>
        <w:tc>
          <w:tcPr>
            <w:tcW w:w="708" w:type="pct"/>
            <w:tcBorders>
              <w:top w:val="single" w:color="auto" w:sz="4" w:space="0"/>
              <w:left w:val="single" w:color="auto" w:sz="4" w:space="0"/>
              <w:bottom w:val="single" w:color="auto" w:sz="4" w:space="0"/>
              <w:right w:val="single" w:color="auto" w:sz="4" w:space="0"/>
            </w:tcBorders>
            <w:vAlign w:val="center"/>
          </w:tcPr>
          <w:p w14:paraId="2B04D29E">
            <w:pPr>
              <w:jc w:val="center"/>
              <w:rPr>
                <w:color w:val="auto"/>
                <w:lang w:val="zh-CN"/>
              </w:rPr>
            </w:pPr>
            <w:r>
              <w:rPr>
                <w:color w:val="auto"/>
                <w:lang w:val="zh-CN"/>
              </w:rPr>
              <w:t>临时设施</w:t>
            </w:r>
          </w:p>
          <w:p w14:paraId="7310CFF6">
            <w:pPr>
              <w:jc w:val="center"/>
              <w:rPr>
                <w:color w:val="auto"/>
                <w:lang w:val="zh-CN"/>
              </w:rPr>
            </w:pPr>
            <w:r>
              <w:rPr>
                <w:color w:val="auto"/>
                <w:lang w:val="zh-CN"/>
              </w:rPr>
              <w:t>费率(%)</w:t>
            </w:r>
          </w:p>
        </w:tc>
        <w:tc>
          <w:tcPr>
            <w:tcW w:w="963" w:type="pct"/>
            <w:tcBorders>
              <w:top w:val="single" w:color="auto" w:sz="4" w:space="0"/>
              <w:left w:val="single" w:color="auto" w:sz="4" w:space="0"/>
              <w:bottom w:val="single" w:color="auto" w:sz="4" w:space="0"/>
              <w:right w:val="single" w:color="auto" w:sz="4" w:space="0"/>
            </w:tcBorders>
            <w:vAlign w:val="center"/>
          </w:tcPr>
          <w:p w14:paraId="67070507">
            <w:pPr>
              <w:jc w:val="center"/>
              <w:rPr>
                <w:color w:val="auto"/>
                <w:lang w:val="zh-CN"/>
              </w:rPr>
            </w:pPr>
            <w:r>
              <w:rPr>
                <w:color w:val="auto"/>
                <w:lang w:val="zh-CN"/>
              </w:rPr>
              <w:t>冬雨季施工</w:t>
            </w:r>
          </w:p>
          <w:p w14:paraId="1358D6B4">
            <w:pPr>
              <w:jc w:val="center"/>
              <w:rPr>
                <w:color w:val="auto"/>
                <w:lang w:val="zh-CN"/>
              </w:rPr>
            </w:pPr>
            <w:r>
              <w:rPr>
                <w:color w:val="auto"/>
                <w:lang w:val="zh-CN"/>
              </w:rPr>
              <w:t>增加费率(%)</w:t>
            </w:r>
          </w:p>
        </w:tc>
        <w:tc>
          <w:tcPr>
            <w:tcW w:w="713" w:type="pct"/>
            <w:tcBorders>
              <w:top w:val="single" w:color="auto" w:sz="4" w:space="0"/>
              <w:left w:val="single" w:color="auto" w:sz="4" w:space="0"/>
              <w:bottom w:val="single" w:color="auto" w:sz="4" w:space="0"/>
              <w:right w:val="single" w:color="auto" w:sz="4" w:space="0"/>
            </w:tcBorders>
            <w:vAlign w:val="center"/>
          </w:tcPr>
          <w:p w14:paraId="52318637">
            <w:pPr>
              <w:jc w:val="center"/>
              <w:rPr>
                <w:color w:val="auto"/>
                <w:lang w:val="zh-CN"/>
              </w:rPr>
            </w:pPr>
            <w:r>
              <w:rPr>
                <w:color w:val="auto"/>
                <w:lang w:val="zh-CN"/>
              </w:rPr>
              <w:t>施工辅助</w:t>
            </w:r>
          </w:p>
          <w:p w14:paraId="50F6C91E">
            <w:pPr>
              <w:jc w:val="center"/>
              <w:rPr>
                <w:color w:val="auto"/>
                <w:lang w:val="zh-CN"/>
              </w:rPr>
            </w:pPr>
            <w:r>
              <w:rPr>
                <w:color w:val="auto"/>
                <w:lang w:val="zh-CN"/>
              </w:rPr>
              <w:t>费率(%)</w:t>
            </w:r>
          </w:p>
        </w:tc>
        <w:tc>
          <w:tcPr>
            <w:tcW w:w="841" w:type="pct"/>
            <w:tcBorders>
              <w:top w:val="single" w:color="auto" w:sz="4" w:space="0"/>
              <w:left w:val="single" w:color="auto" w:sz="4" w:space="0"/>
              <w:bottom w:val="single" w:color="auto" w:sz="4" w:space="0"/>
              <w:right w:val="single" w:color="auto" w:sz="4" w:space="0"/>
            </w:tcBorders>
            <w:vAlign w:val="center"/>
          </w:tcPr>
          <w:p w14:paraId="268E5546">
            <w:pPr>
              <w:jc w:val="center"/>
              <w:rPr>
                <w:color w:val="auto"/>
                <w:lang w:val="zh-CN"/>
              </w:rPr>
            </w:pPr>
            <w:r>
              <w:rPr>
                <w:color w:val="auto"/>
                <w:lang w:val="zh-CN"/>
              </w:rPr>
              <w:t>安全施工措施费率(%)</w:t>
            </w:r>
          </w:p>
        </w:tc>
        <w:tc>
          <w:tcPr>
            <w:tcW w:w="664" w:type="pct"/>
            <w:tcBorders>
              <w:top w:val="single" w:color="auto" w:sz="4" w:space="0"/>
              <w:left w:val="single" w:color="auto" w:sz="4" w:space="0"/>
              <w:bottom w:val="single" w:color="auto" w:sz="4" w:space="0"/>
              <w:right w:val="single" w:color="auto" w:sz="4" w:space="0"/>
            </w:tcBorders>
            <w:vAlign w:val="center"/>
          </w:tcPr>
          <w:p w14:paraId="3D6A1BF2">
            <w:pPr>
              <w:jc w:val="center"/>
              <w:rPr>
                <w:color w:val="auto"/>
                <w:lang w:val="zh-CN"/>
              </w:rPr>
            </w:pPr>
            <w:r>
              <w:rPr>
                <w:color w:val="auto"/>
                <w:lang w:val="zh-CN"/>
              </w:rPr>
              <w:t>费率合计(%)</w:t>
            </w:r>
          </w:p>
        </w:tc>
      </w:tr>
      <w:tr w14:paraId="565C6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51" w:type="pct"/>
            <w:tcBorders>
              <w:top w:val="single" w:color="auto" w:sz="4" w:space="0"/>
              <w:left w:val="single" w:color="auto" w:sz="4" w:space="0"/>
              <w:bottom w:val="single" w:color="auto" w:sz="4" w:space="0"/>
              <w:right w:val="single" w:color="auto" w:sz="4" w:space="0"/>
            </w:tcBorders>
            <w:vAlign w:val="center"/>
          </w:tcPr>
          <w:p w14:paraId="7A485160">
            <w:pPr>
              <w:jc w:val="center"/>
              <w:rPr>
                <w:color w:val="auto"/>
                <w:lang w:val="zh-CN"/>
              </w:rPr>
            </w:pPr>
            <w:r>
              <w:rPr>
                <w:color w:val="auto"/>
                <w:lang w:val="zh-CN"/>
              </w:rPr>
              <w:t>1</w:t>
            </w:r>
          </w:p>
        </w:tc>
        <w:tc>
          <w:tcPr>
            <w:tcW w:w="760" w:type="pct"/>
            <w:tcBorders>
              <w:top w:val="single" w:color="auto" w:sz="4" w:space="0"/>
              <w:left w:val="single" w:color="auto" w:sz="4" w:space="0"/>
              <w:bottom w:val="single" w:color="auto" w:sz="4" w:space="0"/>
              <w:right w:val="single" w:color="auto" w:sz="4" w:space="0"/>
            </w:tcBorders>
            <w:vAlign w:val="center"/>
          </w:tcPr>
          <w:p w14:paraId="4366D04D">
            <w:pPr>
              <w:jc w:val="center"/>
              <w:rPr>
                <w:color w:val="auto"/>
                <w:lang w:val="zh-CN"/>
              </w:rPr>
            </w:pPr>
            <w:r>
              <w:rPr>
                <w:color w:val="auto"/>
                <w:lang w:val="zh-CN"/>
              </w:rPr>
              <w:t>土方工程</w:t>
            </w:r>
          </w:p>
        </w:tc>
        <w:tc>
          <w:tcPr>
            <w:tcW w:w="708" w:type="pct"/>
            <w:tcBorders>
              <w:top w:val="single" w:color="auto" w:sz="4" w:space="0"/>
              <w:left w:val="single" w:color="auto" w:sz="4" w:space="0"/>
              <w:bottom w:val="single" w:color="auto" w:sz="4" w:space="0"/>
              <w:right w:val="single" w:color="auto" w:sz="4" w:space="0"/>
            </w:tcBorders>
            <w:vAlign w:val="center"/>
          </w:tcPr>
          <w:p w14:paraId="5A5200B3">
            <w:pPr>
              <w:jc w:val="center"/>
              <w:rPr>
                <w:rFonts w:hint="default" w:eastAsia="宋体"/>
                <w:color w:val="auto"/>
                <w:lang w:val="en-US" w:eastAsia="zh-CN"/>
              </w:rPr>
            </w:pPr>
            <w:r>
              <w:rPr>
                <w:rFonts w:hint="eastAsia"/>
                <w:color w:val="auto"/>
                <w:lang w:val="en-US" w:eastAsia="zh-CN"/>
              </w:rPr>
              <w:t>0.85</w:t>
            </w:r>
          </w:p>
        </w:tc>
        <w:tc>
          <w:tcPr>
            <w:tcW w:w="963" w:type="pct"/>
            <w:tcBorders>
              <w:top w:val="single" w:color="auto" w:sz="4" w:space="0"/>
              <w:left w:val="single" w:color="auto" w:sz="4" w:space="0"/>
              <w:bottom w:val="single" w:color="auto" w:sz="4" w:space="0"/>
              <w:right w:val="single" w:color="auto" w:sz="4" w:space="0"/>
            </w:tcBorders>
            <w:vAlign w:val="center"/>
          </w:tcPr>
          <w:p w14:paraId="16F1ADFE">
            <w:pPr>
              <w:jc w:val="center"/>
              <w:rPr>
                <w:color w:val="auto"/>
                <w:lang w:val="zh-CN"/>
              </w:rPr>
            </w:pPr>
            <w:r>
              <w:rPr>
                <w:color w:val="auto"/>
                <w:lang w:val="zh-CN"/>
              </w:rPr>
              <w:t>0.7</w:t>
            </w:r>
          </w:p>
        </w:tc>
        <w:tc>
          <w:tcPr>
            <w:tcW w:w="713" w:type="pct"/>
            <w:tcBorders>
              <w:top w:val="single" w:color="auto" w:sz="4" w:space="0"/>
              <w:left w:val="single" w:color="auto" w:sz="4" w:space="0"/>
              <w:bottom w:val="single" w:color="auto" w:sz="4" w:space="0"/>
              <w:right w:val="single" w:color="auto" w:sz="4" w:space="0"/>
            </w:tcBorders>
            <w:vAlign w:val="center"/>
          </w:tcPr>
          <w:p w14:paraId="50ACB061">
            <w:pPr>
              <w:jc w:val="center"/>
              <w:rPr>
                <w:color w:val="auto"/>
                <w:lang w:val="zh-CN"/>
              </w:rPr>
            </w:pPr>
            <w:r>
              <w:rPr>
                <w:color w:val="auto"/>
                <w:lang w:val="zh-CN"/>
              </w:rPr>
              <w:t>0.7</w:t>
            </w:r>
          </w:p>
        </w:tc>
        <w:tc>
          <w:tcPr>
            <w:tcW w:w="841" w:type="pct"/>
            <w:tcBorders>
              <w:top w:val="single" w:color="auto" w:sz="4" w:space="0"/>
              <w:left w:val="single" w:color="auto" w:sz="4" w:space="0"/>
              <w:bottom w:val="single" w:color="auto" w:sz="4" w:space="0"/>
              <w:right w:val="single" w:color="auto" w:sz="4" w:space="0"/>
            </w:tcBorders>
            <w:vAlign w:val="center"/>
          </w:tcPr>
          <w:p w14:paraId="0BF7618B">
            <w:pPr>
              <w:jc w:val="center"/>
              <w:rPr>
                <w:rFonts w:hint="default" w:eastAsia="宋体"/>
                <w:color w:val="auto"/>
                <w:lang w:val="en-US" w:eastAsia="zh-CN"/>
              </w:rPr>
            </w:pPr>
            <w:r>
              <w:rPr>
                <w:rFonts w:hint="eastAsia"/>
                <w:color w:val="auto"/>
                <w:lang w:val="en-US" w:eastAsia="zh-CN"/>
              </w:rPr>
              <w:t>2.5</w:t>
            </w:r>
          </w:p>
        </w:tc>
        <w:tc>
          <w:tcPr>
            <w:tcW w:w="664" w:type="pct"/>
            <w:tcBorders>
              <w:top w:val="single" w:color="auto" w:sz="4" w:space="0"/>
              <w:left w:val="single" w:color="auto" w:sz="4" w:space="0"/>
              <w:bottom w:val="single" w:color="auto" w:sz="4" w:space="0"/>
              <w:right w:val="single" w:color="auto" w:sz="4" w:space="0"/>
            </w:tcBorders>
            <w:vAlign w:val="center"/>
          </w:tcPr>
          <w:p w14:paraId="2C65BEFB">
            <w:pPr>
              <w:jc w:val="center"/>
              <w:rPr>
                <w:rFonts w:hint="default" w:eastAsia="宋体"/>
                <w:color w:val="auto"/>
                <w:lang w:val="en-US" w:eastAsia="zh-CN"/>
              </w:rPr>
            </w:pPr>
            <w:r>
              <w:rPr>
                <w:rFonts w:hint="eastAsia"/>
                <w:color w:val="auto"/>
                <w:lang w:val="en-US" w:eastAsia="zh-CN"/>
              </w:rPr>
              <w:t>4.75</w:t>
            </w:r>
          </w:p>
        </w:tc>
      </w:tr>
      <w:tr w14:paraId="36867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51" w:type="pct"/>
            <w:tcBorders>
              <w:top w:val="single" w:color="auto" w:sz="4" w:space="0"/>
              <w:left w:val="single" w:color="auto" w:sz="4" w:space="0"/>
              <w:bottom w:val="single" w:color="auto" w:sz="4" w:space="0"/>
              <w:right w:val="single" w:color="auto" w:sz="4" w:space="0"/>
            </w:tcBorders>
            <w:vAlign w:val="center"/>
          </w:tcPr>
          <w:p w14:paraId="30EDF220">
            <w:pPr>
              <w:jc w:val="center"/>
              <w:rPr>
                <w:color w:val="auto"/>
                <w:lang w:val="zh-CN"/>
              </w:rPr>
            </w:pPr>
            <w:r>
              <w:rPr>
                <w:color w:val="auto"/>
                <w:lang w:val="zh-CN"/>
              </w:rPr>
              <w:t>2</w:t>
            </w:r>
          </w:p>
        </w:tc>
        <w:tc>
          <w:tcPr>
            <w:tcW w:w="760" w:type="pct"/>
            <w:tcBorders>
              <w:top w:val="single" w:color="auto" w:sz="4" w:space="0"/>
              <w:left w:val="single" w:color="auto" w:sz="4" w:space="0"/>
              <w:bottom w:val="single" w:color="auto" w:sz="4" w:space="0"/>
              <w:right w:val="single" w:color="auto" w:sz="4" w:space="0"/>
            </w:tcBorders>
            <w:vAlign w:val="center"/>
          </w:tcPr>
          <w:p w14:paraId="336E8C3E">
            <w:pPr>
              <w:jc w:val="center"/>
              <w:rPr>
                <w:color w:val="auto"/>
                <w:lang w:val="zh-CN"/>
              </w:rPr>
            </w:pPr>
            <w:r>
              <w:rPr>
                <w:color w:val="auto"/>
                <w:lang w:val="zh-CN"/>
              </w:rPr>
              <w:t>石方工程</w:t>
            </w:r>
          </w:p>
        </w:tc>
        <w:tc>
          <w:tcPr>
            <w:tcW w:w="708" w:type="pct"/>
            <w:tcBorders>
              <w:top w:val="single" w:color="auto" w:sz="4" w:space="0"/>
              <w:left w:val="single" w:color="auto" w:sz="4" w:space="0"/>
              <w:bottom w:val="single" w:color="auto" w:sz="4" w:space="0"/>
              <w:right w:val="single" w:color="auto" w:sz="4" w:space="0"/>
            </w:tcBorders>
            <w:vAlign w:val="center"/>
          </w:tcPr>
          <w:p w14:paraId="3306FF77">
            <w:pPr>
              <w:jc w:val="center"/>
              <w:rPr>
                <w:rFonts w:hint="default" w:eastAsia="宋体"/>
                <w:color w:val="auto"/>
                <w:lang w:val="en-US" w:eastAsia="zh-CN"/>
              </w:rPr>
            </w:pPr>
            <w:r>
              <w:rPr>
                <w:rFonts w:hint="eastAsia"/>
                <w:color w:val="auto"/>
                <w:lang w:val="en-US" w:eastAsia="zh-CN"/>
              </w:rPr>
              <w:t>0.85</w:t>
            </w:r>
          </w:p>
        </w:tc>
        <w:tc>
          <w:tcPr>
            <w:tcW w:w="963" w:type="pct"/>
            <w:tcBorders>
              <w:top w:val="single" w:color="auto" w:sz="4" w:space="0"/>
              <w:left w:val="single" w:color="auto" w:sz="4" w:space="0"/>
              <w:bottom w:val="single" w:color="auto" w:sz="4" w:space="0"/>
              <w:right w:val="single" w:color="auto" w:sz="4" w:space="0"/>
            </w:tcBorders>
            <w:vAlign w:val="center"/>
          </w:tcPr>
          <w:p w14:paraId="2E834303">
            <w:pPr>
              <w:jc w:val="center"/>
              <w:rPr>
                <w:color w:val="auto"/>
              </w:rPr>
            </w:pPr>
            <w:r>
              <w:rPr>
                <w:color w:val="auto"/>
                <w:lang w:val="zh-CN"/>
              </w:rPr>
              <w:t>0.7</w:t>
            </w:r>
          </w:p>
        </w:tc>
        <w:tc>
          <w:tcPr>
            <w:tcW w:w="713" w:type="pct"/>
            <w:tcBorders>
              <w:top w:val="single" w:color="auto" w:sz="4" w:space="0"/>
              <w:left w:val="single" w:color="auto" w:sz="4" w:space="0"/>
              <w:bottom w:val="single" w:color="auto" w:sz="4" w:space="0"/>
              <w:right w:val="single" w:color="auto" w:sz="4" w:space="0"/>
            </w:tcBorders>
            <w:vAlign w:val="center"/>
          </w:tcPr>
          <w:p w14:paraId="7CAE8834">
            <w:pPr>
              <w:jc w:val="center"/>
              <w:rPr>
                <w:color w:val="auto"/>
              </w:rPr>
            </w:pPr>
            <w:r>
              <w:rPr>
                <w:color w:val="auto"/>
                <w:lang w:val="zh-CN"/>
              </w:rPr>
              <w:t>0.7</w:t>
            </w:r>
          </w:p>
        </w:tc>
        <w:tc>
          <w:tcPr>
            <w:tcW w:w="841" w:type="pct"/>
            <w:tcBorders>
              <w:top w:val="single" w:color="auto" w:sz="4" w:space="0"/>
              <w:left w:val="single" w:color="auto" w:sz="4" w:space="0"/>
              <w:bottom w:val="single" w:color="auto" w:sz="4" w:space="0"/>
              <w:right w:val="single" w:color="auto" w:sz="4" w:space="0"/>
            </w:tcBorders>
            <w:vAlign w:val="center"/>
          </w:tcPr>
          <w:p w14:paraId="4EAC22FC">
            <w:pPr>
              <w:jc w:val="center"/>
              <w:rPr>
                <w:rFonts w:hint="default" w:eastAsia="宋体"/>
                <w:color w:val="auto"/>
                <w:lang w:val="en-US" w:eastAsia="zh-CN"/>
              </w:rPr>
            </w:pPr>
            <w:r>
              <w:rPr>
                <w:rFonts w:hint="eastAsia"/>
                <w:color w:val="auto"/>
                <w:lang w:val="en-US" w:eastAsia="zh-CN"/>
              </w:rPr>
              <w:t>2.5</w:t>
            </w:r>
          </w:p>
        </w:tc>
        <w:tc>
          <w:tcPr>
            <w:tcW w:w="664" w:type="pct"/>
            <w:tcBorders>
              <w:top w:val="single" w:color="auto" w:sz="4" w:space="0"/>
              <w:left w:val="single" w:color="auto" w:sz="4" w:space="0"/>
              <w:bottom w:val="single" w:color="auto" w:sz="4" w:space="0"/>
              <w:right w:val="single" w:color="auto" w:sz="4" w:space="0"/>
            </w:tcBorders>
            <w:vAlign w:val="center"/>
          </w:tcPr>
          <w:p w14:paraId="3CC6ED32">
            <w:pPr>
              <w:jc w:val="center"/>
              <w:rPr>
                <w:color w:val="auto"/>
              </w:rPr>
            </w:pPr>
            <w:r>
              <w:rPr>
                <w:rFonts w:hint="eastAsia"/>
                <w:color w:val="auto"/>
                <w:lang w:val="en-US" w:eastAsia="zh-CN"/>
              </w:rPr>
              <w:t>4.75</w:t>
            </w:r>
          </w:p>
        </w:tc>
      </w:tr>
      <w:tr w14:paraId="27E44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51" w:type="pct"/>
            <w:tcBorders>
              <w:top w:val="single" w:color="auto" w:sz="4" w:space="0"/>
              <w:left w:val="single" w:color="auto" w:sz="4" w:space="0"/>
              <w:bottom w:val="single" w:color="auto" w:sz="4" w:space="0"/>
              <w:right w:val="single" w:color="auto" w:sz="4" w:space="0"/>
            </w:tcBorders>
            <w:vAlign w:val="center"/>
          </w:tcPr>
          <w:p w14:paraId="5F259F79">
            <w:pPr>
              <w:jc w:val="center"/>
              <w:rPr>
                <w:color w:val="auto"/>
                <w:lang w:val="zh-CN"/>
              </w:rPr>
            </w:pPr>
            <w:r>
              <w:rPr>
                <w:color w:val="auto"/>
                <w:lang w:val="zh-CN"/>
              </w:rPr>
              <w:t>3</w:t>
            </w:r>
          </w:p>
        </w:tc>
        <w:tc>
          <w:tcPr>
            <w:tcW w:w="760" w:type="pct"/>
            <w:tcBorders>
              <w:top w:val="single" w:color="auto" w:sz="4" w:space="0"/>
              <w:left w:val="single" w:color="auto" w:sz="4" w:space="0"/>
              <w:bottom w:val="single" w:color="auto" w:sz="4" w:space="0"/>
              <w:right w:val="single" w:color="auto" w:sz="4" w:space="0"/>
            </w:tcBorders>
            <w:vAlign w:val="center"/>
          </w:tcPr>
          <w:p w14:paraId="4163CCF5">
            <w:pPr>
              <w:jc w:val="center"/>
              <w:rPr>
                <w:color w:val="auto"/>
                <w:lang w:val="zh-CN"/>
              </w:rPr>
            </w:pPr>
            <w:r>
              <w:rPr>
                <w:color w:val="auto"/>
                <w:lang w:val="zh-CN"/>
              </w:rPr>
              <w:t>砌体工程</w:t>
            </w:r>
          </w:p>
        </w:tc>
        <w:tc>
          <w:tcPr>
            <w:tcW w:w="708" w:type="pct"/>
            <w:tcBorders>
              <w:top w:val="single" w:color="auto" w:sz="4" w:space="0"/>
              <w:left w:val="single" w:color="auto" w:sz="4" w:space="0"/>
              <w:bottom w:val="single" w:color="auto" w:sz="4" w:space="0"/>
              <w:right w:val="single" w:color="auto" w:sz="4" w:space="0"/>
            </w:tcBorders>
            <w:vAlign w:val="center"/>
          </w:tcPr>
          <w:p w14:paraId="2CBAB157">
            <w:pPr>
              <w:jc w:val="center"/>
              <w:rPr>
                <w:rFonts w:hint="default" w:eastAsia="宋体"/>
                <w:color w:val="auto"/>
                <w:lang w:val="en-US" w:eastAsia="zh-CN"/>
              </w:rPr>
            </w:pPr>
            <w:r>
              <w:rPr>
                <w:rFonts w:hint="eastAsia"/>
                <w:color w:val="auto"/>
                <w:lang w:val="en-US" w:eastAsia="zh-CN"/>
              </w:rPr>
              <w:t>0.85</w:t>
            </w:r>
          </w:p>
        </w:tc>
        <w:tc>
          <w:tcPr>
            <w:tcW w:w="963" w:type="pct"/>
            <w:tcBorders>
              <w:top w:val="single" w:color="auto" w:sz="4" w:space="0"/>
              <w:left w:val="single" w:color="auto" w:sz="4" w:space="0"/>
              <w:bottom w:val="single" w:color="auto" w:sz="4" w:space="0"/>
              <w:right w:val="single" w:color="auto" w:sz="4" w:space="0"/>
            </w:tcBorders>
            <w:vAlign w:val="center"/>
          </w:tcPr>
          <w:p w14:paraId="11322462">
            <w:pPr>
              <w:jc w:val="center"/>
              <w:rPr>
                <w:color w:val="auto"/>
              </w:rPr>
            </w:pPr>
            <w:r>
              <w:rPr>
                <w:color w:val="auto"/>
                <w:lang w:val="zh-CN"/>
              </w:rPr>
              <w:t>0.7</w:t>
            </w:r>
          </w:p>
        </w:tc>
        <w:tc>
          <w:tcPr>
            <w:tcW w:w="713" w:type="pct"/>
            <w:tcBorders>
              <w:top w:val="single" w:color="auto" w:sz="4" w:space="0"/>
              <w:left w:val="single" w:color="auto" w:sz="4" w:space="0"/>
              <w:bottom w:val="single" w:color="auto" w:sz="4" w:space="0"/>
              <w:right w:val="single" w:color="auto" w:sz="4" w:space="0"/>
            </w:tcBorders>
            <w:vAlign w:val="center"/>
          </w:tcPr>
          <w:p w14:paraId="4BAA8BE8">
            <w:pPr>
              <w:jc w:val="center"/>
              <w:rPr>
                <w:color w:val="auto"/>
              </w:rPr>
            </w:pPr>
            <w:r>
              <w:rPr>
                <w:color w:val="auto"/>
                <w:lang w:val="zh-CN"/>
              </w:rPr>
              <w:t>0.7</w:t>
            </w:r>
          </w:p>
        </w:tc>
        <w:tc>
          <w:tcPr>
            <w:tcW w:w="841" w:type="pct"/>
            <w:tcBorders>
              <w:top w:val="single" w:color="auto" w:sz="4" w:space="0"/>
              <w:left w:val="single" w:color="auto" w:sz="4" w:space="0"/>
              <w:bottom w:val="single" w:color="auto" w:sz="4" w:space="0"/>
              <w:right w:val="single" w:color="auto" w:sz="4" w:space="0"/>
            </w:tcBorders>
            <w:vAlign w:val="center"/>
          </w:tcPr>
          <w:p w14:paraId="68C627FC">
            <w:pPr>
              <w:jc w:val="center"/>
              <w:rPr>
                <w:color w:val="auto"/>
              </w:rPr>
            </w:pPr>
            <w:r>
              <w:rPr>
                <w:rFonts w:hint="eastAsia"/>
                <w:color w:val="auto"/>
                <w:lang w:val="en-US" w:eastAsia="zh-CN"/>
              </w:rPr>
              <w:t>2.5</w:t>
            </w:r>
          </w:p>
        </w:tc>
        <w:tc>
          <w:tcPr>
            <w:tcW w:w="664" w:type="pct"/>
            <w:tcBorders>
              <w:top w:val="single" w:color="auto" w:sz="4" w:space="0"/>
              <w:left w:val="single" w:color="auto" w:sz="4" w:space="0"/>
              <w:bottom w:val="single" w:color="auto" w:sz="4" w:space="0"/>
              <w:right w:val="single" w:color="auto" w:sz="4" w:space="0"/>
            </w:tcBorders>
            <w:vAlign w:val="center"/>
          </w:tcPr>
          <w:p w14:paraId="14F8CD2F">
            <w:pPr>
              <w:jc w:val="center"/>
              <w:rPr>
                <w:color w:val="auto"/>
              </w:rPr>
            </w:pPr>
            <w:r>
              <w:rPr>
                <w:rFonts w:hint="eastAsia"/>
                <w:color w:val="auto"/>
                <w:lang w:val="en-US" w:eastAsia="zh-CN"/>
              </w:rPr>
              <w:t>4.75</w:t>
            </w:r>
          </w:p>
        </w:tc>
      </w:tr>
      <w:tr w14:paraId="0B071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51" w:type="pct"/>
            <w:tcBorders>
              <w:top w:val="single" w:color="auto" w:sz="4" w:space="0"/>
              <w:left w:val="single" w:color="auto" w:sz="4" w:space="0"/>
              <w:bottom w:val="single" w:color="auto" w:sz="4" w:space="0"/>
              <w:right w:val="single" w:color="auto" w:sz="4" w:space="0"/>
            </w:tcBorders>
            <w:vAlign w:val="center"/>
          </w:tcPr>
          <w:p w14:paraId="7B92729A">
            <w:pPr>
              <w:jc w:val="center"/>
              <w:rPr>
                <w:color w:val="auto"/>
                <w:lang w:val="zh-CN"/>
              </w:rPr>
            </w:pPr>
            <w:r>
              <w:rPr>
                <w:color w:val="auto"/>
                <w:lang w:val="zh-CN"/>
              </w:rPr>
              <w:t>4</w:t>
            </w:r>
          </w:p>
        </w:tc>
        <w:tc>
          <w:tcPr>
            <w:tcW w:w="760" w:type="pct"/>
            <w:tcBorders>
              <w:top w:val="single" w:color="auto" w:sz="4" w:space="0"/>
              <w:left w:val="single" w:color="auto" w:sz="4" w:space="0"/>
              <w:bottom w:val="single" w:color="auto" w:sz="4" w:space="0"/>
              <w:right w:val="single" w:color="auto" w:sz="4" w:space="0"/>
            </w:tcBorders>
            <w:vAlign w:val="center"/>
          </w:tcPr>
          <w:p w14:paraId="3C438A83">
            <w:pPr>
              <w:jc w:val="center"/>
              <w:rPr>
                <w:color w:val="auto"/>
                <w:lang w:val="zh-CN"/>
              </w:rPr>
            </w:pPr>
            <w:r>
              <w:rPr>
                <w:color w:val="auto"/>
                <w:lang w:val="zh-CN"/>
              </w:rPr>
              <w:t>混凝土工程</w:t>
            </w:r>
          </w:p>
        </w:tc>
        <w:tc>
          <w:tcPr>
            <w:tcW w:w="708" w:type="pct"/>
            <w:tcBorders>
              <w:top w:val="single" w:color="auto" w:sz="4" w:space="0"/>
              <w:left w:val="single" w:color="auto" w:sz="4" w:space="0"/>
              <w:bottom w:val="single" w:color="auto" w:sz="4" w:space="0"/>
              <w:right w:val="single" w:color="auto" w:sz="4" w:space="0"/>
            </w:tcBorders>
            <w:vAlign w:val="center"/>
          </w:tcPr>
          <w:p w14:paraId="06259424">
            <w:pPr>
              <w:jc w:val="center"/>
              <w:rPr>
                <w:rFonts w:hint="default" w:eastAsia="宋体"/>
                <w:color w:val="auto"/>
                <w:lang w:val="en-US" w:eastAsia="zh-CN"/>
              </w:rPr>
            </w:pPr>
            <w:r>
              <w:rPr>
                <w:rFonts w:hint="eastAsia"/>
                <w:color w:val="auto"/>
                <w:lang w:val="en-US" w:eastAsia="zh-CN"/>
              </w:rPr>
              <w:t>1.00</w:t>
            </w:r>
          </w:p>
        </w:tc>
        <w:tc>
          <w:tcPr>
            <w:tcW w:w="963" w:type="pct"/>
            <w:tcBorders>
              <w:top w:val="single" w:color="auto" w:sz="4" w:space="0"/>
              <w:left w:val="single" w:color="auto" w:sz="4" w:space="0"/>
              <w:bottom w:val="single" w:color="auto" w:sz="4" w:space="0"/>
              <w:right w:val="single" w:color="auto" w:sz="4" w:space="0"/>
            </w:tcBorders>
            <w:vAlign w:val="center"/>
          </w:tcPr>
          <w:p w14:paraId="6AB0E6AB">
            <w:pPr>
              <w:jc w:val="center"/>
              <w:rPr>
                <w:color w:val="auto"/>
              </w:rPr>
            </w:pPr>
            <w:r>
              <w:rPr>
                <w:color w:val="auto"/>
                <w:lang w:val="zh-CN"/>
              </w:rPr>
              <w:t>0.7</w:t>
            </w:r>
          </w:p>
        </w:tc>
        <w:tc>
          <w:tcPr>
            <w:tcW w:w="713" w:type="pct"/>
            <w:tcBorders>
              <w:top w:val="single" w:color="auto" w:sz="4" w:space="0"/>
              <w:left w:val="single" w:color="auto" w:sz="4" w:space="0"/>
              <w:bottom w:val="single" w:color="auto" w:sz="4" w:space="0"/>
              <w:right w:val="single" w:color="auto" w:sz="4" w:space="0"/>
            </w:tcBorders>
            <w:vAlign w:val="center"/>
          </w:tcPr>
          <w:p w14:paraId="1F8E13CD">
            <w:pPr>
              <w:jc w:val="center"/>
              <w:rPr>
                <w:color w:val="auto"/>
              </w:rPr>
            </w:pPr>
            <w:r>
              <w:rPr>
                <w:color w:val="auto"/>
                <w:lang w:val="zh-CN"/>
              </w:rPr>
              <w:t>0.7</w:t>
            </w:r>
          </w:p>
        </w:tc>
        <w:tc>
          <w:tcPr>
            <w:tcW w:w="841" w:type="pct"/>
            <w:tcBorders>
              <w:top w:val="single" w:color="auto" w:sz="4" w:space="0"/>
              <w:left w:val="single" w:color="auto" w:sz="4" w:space="0"/>
              <w:bottom w:val="single" w:color="auto" w:sz="4" w:space="0"/>
              <w:right w:val="single" w:color="auto" w:sz="4" w:space="0"/>
            </w:tcBorders>
            <w:vAlign w:val="center"/>
          </w:tcPr>
          <w:p w14:paraId="289A659B">
            <w:pPr>
              <w:jc w:val="center"/>
              <w:rPr>
                <w:color w:val="auto"/>
              </w:rPr>
            </w:pPr>
            <w:r>
              <w:rPr>
                <w:rFonts w:hint="eastAsia"/>
                <w:color w:val="auto"/>
                <w:lang w:val="en-US" w:eastAsia="zh-CN"/>
              </w:rPr>
              <w:t>2.5</w:t>
            </w:r>
          </w:p>
        </w:tc>
        <w:tc>
          <w:tcPr>
            <w:tcW w:w="664" w:type="pct"/>
            <w:tcBorders>
              <w:top w:val="single" w:color="auto" w:sz="4" w:space="0"/>
              <w:left w:val="single" w:color="auto" w:sz="4" w:space="0"/>
              <w:bottom w:val="single" w:color="auto" w:sz="4" w:space="0"/>
              <w:right w:val="single" w:color="auto" w:sz="4" w:space="0"/>
            </w:tcBorders>
            <w:vAlign w:val="center"/>
          </w:tcPr>
          <w:p w14:paraId="4638C5BF">
            <w:pPr>
              <w:jc w:val="center"/>
              <w:rPr>
                <w:rFonts w:hint="default" w:eastAsia="宋体"/>
                <w:color w:val="auto"/>
                <w:lang w:val="en-US" w:eastAsia="zh-CN"/>
              </w:rPr>
            </w:pPr>
            <w:r>
              <w:rPr>
                <w:rFonts w:hint="eastAsia"/>
                <w:color w:val="auto"/>
                <w:lang w:val="en-US" w:eastAsia="zh-CN"/>
              </w:rPr>
              <w:t>4.90</w:t>
            </w:r>
          </w:p>
        </w:tc>
      </w:tr>
      <w:tr w14:paraId="7A133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51" w:type="pct"/>
            <w:tcBorders>
              <w:top w:val="single" w:color="auto" w:sz="4" w:space="0"/>
              <w:left w:val="single" w:color="auto" w:sz="4" w:space="0"/>
              <w:bottom w:val="single" w:color="auto" w:sz="4" w:space="0"/>
              <w:right w:val="single" w:color="auto" w:sz="4" w:space="0"/>
            </w:tcBorders>
            <w:vAlign w:val="center"/>
          </w:tcPr>
          <w:p w14:paraId="2981B4D6">
            <w:pPr>
              <w:jc w:val="center"/>
              <w:rPr>
                <w:color w:val="auto"/>
                <w:lang w:val="zh-CN"/>
              </w:rPr>
            </w:pPr>
            <w:r>
              <w:rPr>
                <w:color w:val="auto"/>
                <w:lang w:val="zh-CN"/>
              </w:rPr>
              <w:t>5</w:t>
            </w:r>
          </w:p>
        </w:tc>
        <w:tc>
          <w:tcPr>
            <w:tcW w:w="760" w:type="pct"/>
            <w:tcBorders>
              <w:top w:val="single" w:color="auto" w:sz="4" w:space="0"/>
              <w:left w:val="single" w:color="auto" w:sz="4" w:space="0"/>
              <w:bottom w:val="single" w:color="auto" w:sz="4" w:space="0"/>
              <w:right w:val="single" w:color="auto" w:sz="4" w:space="0"/>
            </w:tcBorders>
            <w:vAlign w:val="center"/>
          </w:tcPr>
          <w:p w14:paraId="700346F6">
            <w:pPr>
              <w:jc w:val="center"/>
              <w:rPr>
                <w:color w:val="auto"/>
                <w:lang w:val="zh-CN"/>
              </w:rPr>
            </w:pPr>
            <w:r>
              <w:rPr>
                <w:color w:val="auto"/>
                <w:lang w:val="zh-CN"/>
              </w:rPr>
              <w:t>植被工程</w:t>
            </w:r>
          </w:p>
        </w:tc>
        <w:tc>
          <w:tcPr>
            <w:tcW w:w="708" w:type="pct"/>
            <w:tcBorders>
              <w:top w:val="single" w:color="auto" w:sz="4" w:space="0"/>
              <w:left w:val="single" w:color="auto" w:sz="4" w:space="0"/>
              <w:bottom w:val="single" w:color="auto" w:sz="4" w:space="0"/>
              <w:right w:val="single" w:color="auto" w:sz="4" w:space="0"/>
            </w:tcBorders>
            <w:vAlign w:val="center"/>
          </w:tcPr>
          <w:p w14:paraId="48C647AC">
            <w:pPr>
              <w:jc w:val="center"/>
              <w:rPr>
                <w:rFonts w:hint="default" w:eastAsia="宋体"/>
                <w:color w:val="auto"/>
                <w:lang w:val="en-US" w:eastAsia="zh-CN"/>
              </w:rPr>
            </w:pPr>
            <w:r>
              <w:rPr>
                <w:rFonts w:hint="eastAsia"/>
                <w:color w:val="auto"/>
                <w:lang w:val="en-US" w:eastAsia="zh-CN"/>
              </w:rPr>
              <w:t>0.85</w:t>
            </w:r>
          </w:p>
        </w:tc>
        <w:tc>
          <w:tcPr>
            <w:tcW w:w="963" w:type="pct"/>
            <w:tcBorders>
              <w:top w:val="single" w:color="auto" w:sz="4" w:space="0"/>
              <w:left w:val="single" w:color="auto" w:sz="4" w:space="0"/>
              <w:bottom w:val="single" w:color="auto" w:sz="4" w:space="0"/>
              <w:right w:val="single" w:color="auto" w:sz="4" w:space="0"/>
            </w:tcBorders>
            <w:vAlign w:val="center"/>
          </w:tcPr>
          <w:p w14:paraId="79B87882">
            <w:pPr>
              <w:jc w:val="center"/>
              <w:rPr>
                <w:color w:val="auto"/>
              </w:rPr>
            </w:pPr>
            <w:r>
              <w:rPr>
                <w:color w:val="auto"/>
                <w:lang w:val="zh-CN"/>
              </w:rPr>
              <w:t>0.7</w:t>
            </w:r>
          </w:p>
        </w:tc>
        <w:tc>
          <w:tcPr>
            <w:tcW w:w="713" w:type="pct"/>
            <w:tcBorders>
              <w:top w:val="single" w:color="auto" w:sz="4" w:space="0"/>
              <w:left w:val="single" w:color="auto" w:sz="4" w:space="0"/>
              <w:bottom w:val="single" w:color="auto" w:sz="4" w:space="0"/>
              <w:right w:val="single" w:color="auto" w:sz="4" w:space="0"/>
            </w:tcBorders>
            <w:vAlign w:val="center"/>
          </w:tcPr>
          <w:p w14:paraId="34F40A10">
            <w:pPr>
              <w:jc w:val="center"/>
              <w:rPr>
                <w:color w:val="auto"/>
              </w:rPr>
            </w:pPr>
            <w:r>
              <w:rPr>
                <w:color w:val="auto"/>
                <w:lang w:val="zh-CN"/>
              </w:rPr>
              <w:t>0.7</w:t>
            </w:r>
          </w:p>
        </w:tc>
        <w:tc>
          <w:tcPr>
            <w:tcW w:w="841" w:type="pct"/>
            <w:tcBorders>
              <w:top w:val="single" w:color="auto" w:sz="4" w:space="0"/>
              <w:left w:val="single" w:color="auto" w:sz="4" w:space="0"/>
              <w:bottom w:val="single" w:color="auto" w:sz="4" w:space="0"/>
              <w:right w:val="single" w:color="auto" w:sz="4" w:space="0"/>
            </w:tcBorders>
            <w:vAlign w:val="center"/>
          </w:tcPr>
          <w:p w14:paraId="1132E4F4">
            <w:pPr>
              <w:jc w:val="center"/>
              <w:rPr>
                <w:color w:val="auto"/>
              </w:rPr>
            </w:pPr>
            <w:r>
              <w:rPr>
                <w:rFonts w:hint="eastAsia"/>
                <w:color w:val="auto"/>
                <w:lang w:val="en-US" w:eastAsia="zh-CN"/>
              </w:rPr>
              <w:t>2.5</w:t>
            </w:r>
          </w:p>
        </w:tc>
        <w:tc>
          <w:tcPr>
            <w:tcW w:w="664" w:type="pct"/>
            <w:tcBorders>
              <w:top w:val="single" w:color="auto" w:sz="4" w:space="0"/>
              <w:left w:val="single" w:color="auto" w:sz="4" w:space="0"/>
              <w:bottom w:val="single" w:color="auto" w:sz="4" w:space="0"/>
              <w:right w:val="single" w:color="auto" w:sz="4" w:space="0"/>
            </w:tcBorders>
            <w:vAlign w:val="center"/>
          </w:tcPr>
          <w:p w14:paraId="68860FA6">
            <w:pPr>
              <w:jc w:val="center"/>
              <w:rPr>
                <w:color w:val="auto"/>
                <w:lang w:val="zh-CN"/>
              </w:rPr>
            </w:pPr>
            <w:r>
              <w:rPr>
                <w:rFonts w:hint="eastAsia"/>
                <w:color w:val="auto"/>
                <w:lang w:val="en-US" w:eastAsia="zh-CN"/>
              </w:rPr>
              <w:t>4.75</w:t>
            </w:r>
          </w:p>
        </w:tc>
      </w:tr>
      <w:tr w14:paraId="5CF33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351" w:type="pct"/>
            <w:tcBorders>
              <w:top w:val="single" w:color="auto" w:sz="4" w:space="0"/>
              <w:left w:val="single" w:color="auto" w:sz="4" w:space="0"/>
              <w:bottom w:val="single" w:color="auto" w:sz="4" w:space="0"/>
              <w:right w:val="single" w:color="auto" w:sz="4" w:space="0"/>
            </w:tcBorders>
            <w:vAlign w:val="center"/>
          </w:tcPr>
          <w:p w14:paraId="4E38E4C8">
            <w:pPr>
              <w:jc w:val="center"/>
              <w:rPr>
                <w:color w:val="auto"/>
                <w:lang w:val="zh-CN"/>
              </w:rPr>
            </w:pPr>
            <w:r>
              <w:rPr>
                <w:color w:val="auto"/>
                <w:lang w:val="zh-CN"/>
              </w:rPr>
              <w:t>5</w:t>
            </w:r>
          </w:p>
        </w:tc>
        <w:tc>
          <w:tcPr>
            <w:tcW w:w="760" w:type="pct"/>
            <w:tcBorders>
              <w:top w:val="single" w:color="auto" w:sz="4" w:space="0"/>
              <w:left w:val="single" w:color="auto" w:sz="4" w:space="0"/>
              <w:bottom w:val="single" w:color="auto" w:sz="4" w:space="0"/>
              <w:right w:val="single" w:color="auto" w:sz="4" w:space="0"/>
            </w:tcBorders>
            <w:vAlign w:val="center"/>
          </w:tcPr>
          <w:p w14:paraId="77ADBD45">
            <w:pPr>
              <w:jc w:val="center"/>
              <w:rPr>
                <w:color w:val="auto"/>
                <w:lang w:val="zh-CN"/>
              </w:rPr>
            </w:pPr>
            <w:r>
              <w:rPr>
                <w:color w:val="auto"/>
                <w:lang w:val="zh-CN"/>
              </w:rPr>
              <w:t>辅助工程</w:t>
            </w:r>
          </w:p>
        </w:tc>
        <w:tc>
          <w:tcPr>
            <w:tcW w:w="708" w:type="pct"/>
            <w:tcBorders>
              <w:top w:val="single" w:color="auto" w:sz="4" w:space="0"/>
              <w:left w:val="single" w:color="auto" w:sz="4" w:space="0"/>
              <w:bottom w:val="single" w:color="auto" w:sz="4" w:space="0"/>
              <w:right w:val="single" w:color="auto" w:sz="4" w:space="0"/>
            </w:tcBorders>
            <w:vAlign w:val="center"/>
          </w:tcPr>
          <w:p w14:paraId="5F43007E">
            <w:pPr>
              <w:jc w:val="center"/>
              <w:rPr>
                <w:rFonts w:hint="default" w:eastAsia="宋体"/>
                <w:color w:val="auto"/>
                <w:lang w:val="en-US" w:eastAsia="zh-CN"/>
              </w:rPr>
            </w:pPr>
            <w:r>
              <w:rPr>
                <w:rFonts w:hint="eastAsia"/>
                <w:color w:val="auto"/>
                <w:lang w:val="en-US" w:eastAsia="zh-CN"/>
              </w:rPr>
              <w:t>0.85</w:t>
            </w:r>
          </w:p>
        </w:tc>
        <w:tc>
          <w:tcPr>
            <w:tcW w:w="963" w:type="pct"/>
            <w:tcBorders>
              <w:top w:val="single" w:color="auto" w:sz="4" w:space="0"/>
              <w:left w:val="single" w:color="auto" w:sz="4" w:space="0"/>
              <w:bottom w:val="single" w:color="auto" w:sz="4" w:space="0"/>
              <w:right w:val="single" w:color="auto" w:sz="4" w:space="0"/>
            </w:tcBorders>
            <w:vAlign w:val="center"/>
          </w:tcPr>
          <w:p w14:paraId="2876C880">
            <w:pPr>
              <w:jc w:val="center"/>
              <w:rPr>
                <w:color w:val="auto"/>
              </w:rPr>
            </w:pPr>
            <w:r>
              <w:rPr>
                <w:color w:val="auto"/>
                <w:lang w:val="zh-CN"/>
              </w:rPr>
              <w:t>0.7</w:t>
            </w:r>
          </w:p>
        </w:tc>
        <w:tc>
          <w:tcPr>
            <w:tcW w:w="713" w:type="pct"/>
            <w:tcBorders>
              <w:top w:val="single" w:color="auto" w:sz="4" w:space="0"/>
              <w:left w:val="single" w:color="auto" w:sz="4" w:space="0"/>
              <w:bottom w:val="single" w:color="auto" w:sz="4" w:space="0"/>
              <w:right w:val="single" w:color="auto" w:sz="4" w:space="0"/>
            </w:tcBorders>
            <w:vAlign w:val="center"/>
          </w:tcPr>
          <w:p w14:paraId="6FF6B176">
            <w:pPr>
              <w:jc w:val="center"/>
              <w:rPr>
                <w:color w:val="auto"/>
              </w:rPr>
            </w:pPr>
            <w:r>
              <w:rPr>
                <w:color w:val="auto"/>
                <w:lang w:val="zh-CN"/>
              </w:rPr>
              <w:t>0.7</w:t>
            </w:r>
          </w:p>
        </w:tc>
        <w:tc>
          <w:tcPr>
            <w:tcW w:w="841" w:type="pct"/>
            <w:tcBorders>
              <w:top w:val="single" w:color="auto" w:sz="4" w:space="0"/>
              <w:left w:val="single" w:color="auto" w:sz="4" w:space="0"/>
              <w:bottom w:val="single" w:color="auto" w:sz="4" w:space="0"/>
              <w:right w:val="single" w:color="auto" w:sz="4" w:space="0"/>
            </w:tcBorders>
            <w:vAlign w:val="center"/>
          </w:tcPr>
          <w:p w14:paraId="6602E956">
            <w:pPr>
              <w:jc w:val="center"/>
              <w:rPr>
                <w:color w:val="auto"/>
              </w:rPr>
            </w:pPr>
            <w:r>
              <w:rPr>
                <w:rFonts w:hint="eastAsia"/>
                <w:color w:val="auto"/>
                <w:lang w:val="en-US" w:eastAsia="zh-CN"/>
              </w:rPr>
              <w:t>2.5</w:t>
            </w:r>
          </w:p>
        </w:tc>
        <w:tc>
          <w:tcPr>
            <w:tcW w:w="664" w:type="pct"/>
            <w:tcBorders>
              <w:top w:val="single" w:color="auto" w:sz="4" w:space="0"/>
              <w:left w:val="single" w:color="auto" w:sz="4" w:space="0"/>
              <w:bottom w:val="single" w:color="auto" w:sz="4" w:space="0"/>
              <w:right w:val="single" w:color="auto" w:sz="4" w:space="0"/>
            </w:tcBorders>
            <w:vAlign w:val="center"/>
          </w:tcPr>
          <w:p w14:paraId="18BE709F">
            <w:pPr>
              <w:jc w:val="center"/>
              <w:rPr>
                <w:color w:val="auto"/>
              </w:rPr>
            </w:pPr>
            <w:r>
              <w:rPr>
                <w:rFonts w:hint="eastAsia"/>
                <w:color w:val="auto"/>
                <w:lang w:val="en-US" w:eastAsia="zh-CN"/>
              </w:rPr>
              <w:t>4.75</w:t>
            </w:r>
          </w:p>
        </w:tc>
      </w:tr>
    </w:tbl>
    <w:p w14:paraId="61A95558">
      <w:pPr>
        <w:spacing w:line="360" w:lineRule="auto"/>
        <w:ind w:firstLine="560" w:firstLineChars="200"/>
        <w:jc w:val="left"/>
        <w:rPr>
          <w:color w:val="auto"/>
          <w:sz w:val="28"/>
          <w:szCs w:val="28"/>
        </w:rPr>
      </w:pPr>
      <w:r>
        <w:rPr>
          <w:color w:val="auto"/>
          <w:sz w:val="28"/>
          <w:szCs w:val="28"/>
        </w:rPr>
        <w:t>（2）间接费</w:t>
      </w:r>
    </w:p>
    <w:p w14:paraId="383C0A94">
      <w:pPr>
        <w:spacing w:line="360" w:lineRule="auto"/>
        <w:ind w:firstLine="560" w:firstLineChars="200"/>
        <w:jc w:val="left"/>
        <w:rPr>
          <w:color w:val="auto"/>
          <w:sz w:val="28"/>
          <w:szCs w:val="28"/>
        </w:rPr>
      </w:pPr>
      <w:r>
        <w:rPr>
          <w:color w:val="auto"/>
          <w:sz w:val="28"/>
          <w:szCs w:val="28"/>
        </w:rPr>
        <w:t>间接费包括企业管理费和规费，依据《</w:t>
      </w:r>
      <w:r>
        <w:rPr>
          <w:rFonts w:hint="eastAsia"/>
          <w:color w:val="auto"/>
          <w:sz w:val="28"/>
          <w:szCs w:val="28"/>
          <w:lang w:eastAsia="zh-CN"/>
        </w:rPr>
        <w:t>内蒙古自治区矿山生态修复工程预算定额标准</w:t>
      </w:r>
      <w:r>
        <w:rPr>
          <w:color w:val="auto"/>
          <w:sz w:val="28"/>
          <w:szCs w:val="28"/>
        </w:rPr>
        <w:t>》规定，间接费率按</w:t>
      </w:r>
      <w:r>
        <w:rPr>
          <w:rFonts w:hint="eastAsia"/>
          <w:color w:val="auto"/>
          <w:sz w:val="28"/>
          <w:szCs w:val="28"/>
          <w:lang w:val="en-US" w:eastAsia="zh-CN"/>
        </w:rPr>
        <w:t>不同</w:t>
      </w:r>
      <w:r>
        <w:rPr>
          <w:color w:val="auto"/>
          <w:sz w:val="28"/>
          <w:szCs w:val="28"/>
        </w:rPr>
        <w:t>工程类别进行计取，间接费按项目直接费×间接费费率进行计算，取费标准见表6-2。</w:t>
      </w:r>
    </w:p>
    <w:p w14:paraId="726EA209">
      <w:pPr>
        <w:jc w:val="center"/>
        <w:rPr>
          <w:rFonts w:eastAsia="黑体"/>
          <w:color w:val="auto"/>
          <w:sz w:val="24"/>
          <w:szCs w:val="22"/>
        </w:rPr>
      </w:pPr>
      <w:r>
        <w:rPr>
          <w:rFonts w:eastAsia="黑体"/>
          <w:color w:val="auto"/>
          <w:sz w:val="24"/>
          <w:szCs w:val="22"/>
        </w:rPr>
        <w:t>表6-2  间接费费率表</w:t>
      </w:r>
    </w:p>
    <w:tbl>
      <w:tblPr>
        <w:tblStyle w:val="3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74"/>
        <w:gridCol w:w="2325"/>
        <w:gridCol w:w="2341"/>
        <w:gridCol w:w="1857"/>
      </w:tblGrid>
      <w:tr w14:paraId="27AAB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069" w:type="pct"/>
            <w:tcBorders>
              <w:top w:val="single" w:color="auto" w:sz="4" w:space="0"/>
              <w:left w:val="single" w:color="auto" w:sz="4" w:space="0"/>
              <w:bottom w:val="single" w:color="auto" w:sz="4" w:space="0"/>
              <w:right w:val="single" w:color="auto" w:sz="4" w:space="0"/>
            </w:tcBorders>
            <w:vAlign w:val="center"/>
          </w:tcPr>
          <w:p w14:paraId="194B1E0C">
            <w:pPr>
              <w:jc w:val="center"/>
              <w:rPr>
                <w:color w:val="auto"/>
                <w:lang w:val="zh-CN"/>
              </w:rPr>
            </w:pPr>
            <w:r>
              <w:rPr>
                <w:color w:val="auto"/>
                <w:lang w:val="zh-CN"/>
              </w:rPr>
              <w:t>序号</w:t>
            </w:r>
          </w:p>
        </w:tc>
        <w:tc>
          <w:tcPr>
            <w:tcW w:w="1401" w:type="pct"/>
            <w:tcBorders>
              <w:top w:val="single" w:color="auto" w:sz="4" w:space="0"/>
              <w:left w:val="single" w:color="auto" w:sz="4" w:space="0"/>
              <w:bottom w:val="single" w:color="auto" w:sz="4" w:space="0"/>
              <w:right w:val="single" w:color="auto" w:sz="4" w:space="0"/>
            </w:tcBorders>
            <w:vAlign w:val="center"/>
          </w:tcPr>
          <w:p w14:paraId="71CC5FB0">
            <w:pPr>
              <w:jc w:val="center"/>
              <w:rPr>
                <w:color w:val="auto"/>
                <w:lang w:val="zh-CN"/>
              </w:rPr>
            </w:pPr>
            <w:r>
              <w:rPr>
                <w:color w:val="auto"/>
                <w:lang w:val="zh-CN"/>
              </w:rPr>
              <w:t>工程类别</w:t>
            </w:r>
          </w:p>
        </w:tc>
        <w:tc>
          <w:tcPr>
            <w:tcW w:w="1411" w:type="pct"/>
            <w:tcBorders>
              <w:top w:val="single" w:color="auto" w:sz="4" w:space="0"/>
              <w:left w:val="single" w:color="auto" w:sz="4" w:space="0"/>
              <w:bottom w:val="single" w:color="auto" w:sz="4" w:space="0"/>
              <w:right w:val="single" w:color="auto" w:sz="4" w:space="0"/>
            </w:tcBorders>
            <w:vAlign w:val="center"/>
          </w:tcPr>
          <w:p w14:paraId="487FDF05">
            <w:pPr>
              <w:jc w:val="center"/>
              <w:rPr>
                <w:color w:val="auto"/>
                <w:lang w:val="zh-CN"/>
              </w:rPr>
            </w:pPr>
            <w:r>
              <w:rPr>
                <w:color w:val="auto"/>
                <w:lang w:val="zh-CN"/>
              </w:rPr>
              <w:t>计算基础</w:t>
            </w:r>
          </w:p>
        </w:tc>
        <w:tc>
          <w:tcPr>
            <w:tcW w:w="1119" w:type="pct"/>
            <w:tcBorders>
              <w:top w:val="single" w:color="auto" w:sz="4" w:space="0"/>
              <w:left w:val="single" w:color="auto" w:sz="4" w:space="0"/>
              <w:bottom w:val="single" w:color="auto" w:sz="4" w:space="0"/>
              <w:right w:val="single" w:color="auto" w:sz="4" w:space="0"/>
            </w:tcBorders>
            <w:vAlign w:val="center"/>
          </w:tcPr>
          <w:p w14:paraId="6C9B94DC">
            <w:pPr>
              <w:jc w:val="center"/>
              <w:rPr>
                <w:color w:val="auto"/>
                <w:lang w:val="zh-CN"/>
              </w:rPr>
            </w:pPr>
            <w:r>
              <w:rPr>
                <w:color w:val="auto"/>
                <w:lang w:val="zh-CN"/>
              </w:rPr>
              <w:t>费率(%)</w:t>
            </w:r>
          </w:p>
        </w:tc>
      </w:tr>
      <w:tr w14:paraId="06697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069" w:type="pct"/>
            <w:tcBorders>
              <w:top w:val="single" w:color="auto" w:sz="4" w:space="0"/>
              <w:left w:val="single" w:color="auto" w:sz="4" w:space="0"/>
              <w:bottom w:val="single" w:color="auto" w:sz="4" w:space="0"/>
              <w:right w:val="single" w:color="auto" w:sz="4" w:space="0"/>
            </w:tcBorders>
            <w:vAlign w:val="center"/>
          </w:tcPr>
          <w:p w14:paraId="5B67904D">
            <w:pPr>
              <w:jc w:val="center"/>
              <w:rPr>
                <w:color w:val="auto"/>
                <w:lang w:val="zh-CN"/>
              </w:rPr>
            </w:pPr>
            <w:r>
              <w:rPr>
                <w:color w:val="auto"/>
                <w:lang w:val="zh-CN"/>
              </w:rPr>
              <w:t>L</w:t>
            </w:r>
          </w:p>
        </w:tc>
        <w:tc>
          <w:tcPr>
            <w:tcW w:w="1401" w:type="pct"/>
            <w:tcBorders>
              <w:top w:val="single" w:color="auto" w:sz="4" w:space="0"/>
              <w:left w:val="single" w:color="auto" w:sz="4" w:space="0"/>
              <w:bottom w:val="single" w:color="auto" w:sz="4" w:space="0"/>
              <w:right w:val="single" w:color="auto" w:sz="4" w:space="0"/>
            </w:tcBorders>
            <w:vAlign w:val="center"/>
          </w:tcPr>
          <w:p w14:paraId="2F17B589">
            <w:pPr>
              <w:jc w:val="center"/>
              <w:rPr>
                <w:color w:val="auto"/>
                <w:lang w:val="zh-CN"/>
              </w:rPr>
            </w:pPr>
            <w:r>
              <w:rPr>
                <w:color w:val="auto"/>
                <w:lang w:val="zh-CN"/>
              </w:rPr>
              <w:t>土方工程</w:t>
            </w:r>
          </w:p>
        </w:tc>
        <w:tc>
          <w:tcPr>
            <w:tcW w:w="1411" w:type="pct"/>
            <w:tcBorders>
              <w:top w:val="single" w:color="auto" w:sz="4" w:space="0"/>
              <w:left w:val="single" w:color="auto" w:sz="4" w:space="0"/>
              <w:bottom w:val="single" w:color="auto" w:sz="4" w:space="0"/>
              <w:right w:val="single" w:color="auto" w:sz="4" w:space="0"/>
            </w:tcBorders>
            <w:vAlign w:val="center"/>
          </w:tcPr>
          <w:p w14:paraId="3B9C2143">
            <w:pPr>
              <w:jc w:val="center"/>
              <w:rPr>
                <w:color w:val="auto"/>
                <w:lang w:val="zh-CN"/>
              </w:rPr>
            </w:pPr>
            <w:r>
              <w:rPr>
                <w:color w:val="auto"/>
                <w:lang w:val="zh-CN"/>
              </w:rPr>
              <w:t>直接费</w:t>
            </w:r>
          </w:p>
        </w:tc>
        <w:tc>
          <w:tcPr>
            <w:tcW w:w="1119" w:type="pct"/>
            <w:tcBorders>
              <w:top w:val="single" w:color="auto" w:sz="4" w:space="0"/>
              <w:left w:val="single" w:color="auto" w:sz="4" w:space="0"/>
              <w:bottom w:val="single" w:color="auto" w:sz="4" w:space="0"/>
              <w:right w:val="single" w:color="auto" w:sz="4" w:space="0"/>
            </w:tcBorders>
            <w:vAlign w:val="center"/>
          </w:tcPr>
          <w:p w14:paraId="6FB4CEAB">
            <w:pPr>
              <w:jc w:val="center"/>
              <w:rPr>
                <w:color w:val="auto"/>
                <w:lang w:val="zh-CN"/>
              </w:rPr>
            </w:pPr>
            <w:r>
              <w:rPr>
                <w:color w:val="auto"/>
                <w:lang w:val="zh-CN"/>
              </w:rPr>
              <w:t>5</w:t>
            </w:r>
          </w:p>
        </w:tc>
      </w:tr>
      <w:tr w14:paraId="75F3D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069" w:type="pct"/>
            <w:tcBorders>
              <w:top w:val="single" w:color="auto" w:sz="4" w:space="0"/>
              <w:left w:val="single" w:color="auto" w:sz="4" w:space="0"/>
              <w:bottom w:val="single" w:color="auto" w:sz="4" w:space="0"/>
              <w:right w:val="single" w:color="auto" w:sz="4" w:space="0"/>
            </w:tcBorders>
            <w:vAlign w:val="center"/>
          </w:tcPr>
          <w:p w14:paraId="167A2513">
            <w:pPr>
              <w:jc w:val="center"/>
              <w:rPr>
                <w:color w:val="auto"/>
                <w:lang w:val="zh-CN"/>
              </w:rPr>
            </w:pPr>
            <w:r>
              <w:rPr>
                <w:color w:val="auto"/>
                <w:lang w:val="zh-CN"/>
              </w:rPr>
              <w:t>2</w:t>
            </w:r>
          </w:p>
        </w:tc>
        <w:tc>
          <w:tcPr>
            <w:tcW w:w="1401" w:type="pct"/>
            <w:tcBorders>
              <w:top w:val="single" w:color="auto" w:sz="4" w:space="0"/>
              <w:left w:val="single" w:color="auto" w:sz="4" w:space="0"/>
              <w:bottom w:val="single" w:color="auto" w:sz="4" w:space="0"/>
              <w:right w:val="single" w:color="auto" w:sz="4" w:space="0"/>
            </w:tcBorders>
            <w:vAlign w:val="center"/>
          </w:tcPr>
          <w:p w14:paraId="66ED0F49">
            <w:pPr>
              <w:jc w:val="center"/>
              <w:rPr>
                <w:color w:val="auto"/>
                <w:lang w:val="zh-CN"/>
              </w:rPr>
            </w:pPr>
            <w:r>
              <w:rPr>
                <w:color w:val="auto"/>
                <w:lang w:val="zh-CN"/>
              </w:rPr>
              <w:t>石方工程</w:t>
            </w:r>
          </w:p>
        </w:tc>
        <w:tc>
          <w:tcPr>
            <w:tcW w:w="1411" w:type="pct"/>
            <w:tcBorders>
              <w:top w:val="single" w:color="auto" w:sz="4" w:space="0"/>
              <w:left w:val="single" w:color="auto" w:sz="4" w:space="0"/>
              <w:bottom w:val="single" w:color="auto" w:sz="4" w:space="0"/>
              <w:right w:val="single" w:color="auto" w:sz="4" w:space="0"/>
            </w:tcBorders>
            <w:vAlign w:val="center"/>
          </w:tcPr>
          <w:p w14:paraId="2F704501">
            <w:pPr>
              <w:jc w:val="center"/>
              <w:rPr>
                <w:color w:val="auto"/>
                <w:lang w:val="zh-CN"/>
              </w:rPr>
            </w:pPr>
            <w:r>
              <w:rPr>
                <w:color w:val="auto"/>
                <w:lang w:val="zh-CN"/>
              </w:rPr>
              <w:t>直接费</w:t>
            </w:r>
          </w:p>
        </w:tc>
        <w:tc>
          <w:tcPr>
            <w:tcW w:w="1119" w:type="pct"/>
            <w:tcBorders>
              <w:top w:val="single" w:color="auto" w:sz="4" w:space="0"/>
              <w:left w:val="single" w:color="auto" w:sz="4" w:space="0"/>
              <w:bottom w:val="single" w:color="auto" w:sz="4" w:space="0"/>
              <w:right w:val="single" w:color="auto" w:sz="4" w:space="0"/>
            </w:tcBorders>
            <w:vAlign w:val="center"/>
          </w:tcPr>
          <w:p w14:paraId="0113F6E8">
            <w:pPr>
              <w:jc w:val="center"/>
              <w:rPr>
                <w:color w:val="auto"/>
                <w:lang w:val="zh-CN"/>
              </w:rPr>
            </w:pPr>
            <w:r>
              <w:rPr>
                <w:color w:val="auto"/>
                <w:lang w:val="zh-CN"/>
              </w:rPr>
              <w:t>6</w:t>
            </w:r>
          </w:p>
        </w:tc>
      </w:tr>
      <w:tr w14:paraId="2F3BB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069" w:type="pct"/>
            <w:tcBorders>
              <w:top w:val="single" w:color="auto" w:sz="4" w:space="0"/>
              <w:left w:val="single" w:color="auto" w:sz="4" w:space="0"/>
              <w:bottom w:val="single" w:color="auto" w:sz="4" w:space="0"/>
              <w:right w:val="single" w:color="auto" w:sz="4" w:space="0"/>
            </w:tcBorders>
            <w:vAlign w:val="center"/>
          </w:tcPr>
          <w:p w14:paraId="268A4315">
            <w:pPr>
              <w:jc w:val="center"/>
              <w:rPr>
                <w:color w:val="auto"/>
                <w:lang w:val="zh-CN"/>
              </w:rPr>
            </w:pPr>
            <w:r>
              <w:rPr>
                <w:color w:val="auto"/>
                <w:lang w:val="zh-CN"/>
              </w:rPr>
              <w:t>3</w:t>
            </w:r>
          </w:p>
        </w:tc>
        <w:tc>
          <w:tcPr>
            <w:tcW w:w="1401" w:type="pct"/>
            <w:tcBorders>
              <w:top w:val="single" w:color="auto" w:sz="4" w:space="0"/>
              <w:left w:val="single" w:color="auto" w:sz="4" w:space="0"/>
              <w:bottom w:val="single" w:color="auto" w:sz="4" w:space="0"/>
              <w:right w:val="single" w:color="auto" w:sz="4" w:space="0"/>
            </w:tcBorders>
            <w:vAlign w:val="center"/>
          </w:tcPr>
          <w:p w14:paraId="213C45FC">
            <w:pPr>
              <w:jc w:val="center"/>
              <w:rPr>
                <w:color w:val="auto"/>
                <w:lang w:val="zh-CN"/>
              </w:rPr>
            </w:pPr>
            <w:r>
              <w:rPr>
                <w:color w:val="auto"/>
                <w:lang w:val="zh-CN"/>
              </w:rPr>
              <w:t>砌体工程</w:t>
            </w:r>
          </w:p>
        </w:tc>
        <w:tc>
          <w:tcPr>
            <w:tcW w:w="1411" w:type="pct"/>
            <w:tcBorders>
              <w:top w:val="single" w:color="auto" w:sz="4" w:space="0"/>
              <w:left w:val="single" w:color="auto" w:sz="4" w:space="0"/>
              <w:bottom w:val="single" w:color="auto" w:sz="4" w:space="0"/>
              <w:right w:val="single" w:color="auto" w:sz="4" w:space="0"/>
            </w:tcBorders>
            <w:vAlign w:val="center"/>
          </w:tcPr>
          <w:p w14:paraId="2055A7B8">
            <w:pPr>
              <w:jc w:val="center"/>
              <w:rPr>
                <w:color w:val="auto"/>
              </w:rPr>
            </w:pPr>
            <w:r>
              <w:rPr>
                <w:color w:val="auto"/>
                <w:lang w:val="zh-CN"/>
              </w:rPr>
              <w:t>直接费</w:t>
            </w:r>
          </w:p>
        </w:tc>
        <w:tc>
          <w:tcPr>
            <w:tcW w:w="1119" w:type="pct"/>
            <w:tcBorders>
              <w:top w:val="single" w:color="auto" w:sz="4" w:space="0"/>
              <w:left w:val="single" w:color="auto" w:sz="4" w:space="0"/>
              <w:bottom w:val="single" w:color="auto" w:sz="4" w:space="0"/>
              <w:right w:val="single" w:color="auto" w:sz="4" w:space="0"/>
            </w:tcBorders>
            <w:vAlign w:val="center"/>
          </w:tcPr>
          <w:p w14:paraId="11100926">
            <w:pPr>
              <w:jc w:val="center"/>
              <w:rPr>
                <w:color w:val="auto"/>
                <w:lang w:val="zh-CN"/>
              </w:rPr>
            </w:pPr>
            <w:r>
              <w:rPr>
                <w:color w:val="auto"/>
                <w:lang w:val="zh-CN"/>
              </w:rPr>
              <w:t>5</w:t>
            </w:r>
          </w:p>
        </w:tc>
      </w:tr>
      <w:tr w14:paraId="65D7C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069" w:type="pct"/>
            <w:tcBorders>
              <w:top w:val="single" w:color="auto" w:sz="4" w:space="0"/>
              <w:left w:val="single" w:color="auto" w:sz="4" w:space="0"/>
              <w:bottom w:val="single" w:color="auto" w:sz="4" w:space="0"/>
              <w:right w:val="single" w:color="auto" w:sz="4" w:space="0"/>
            </w:tcBorders>
            <w:vAlign w:val="center"/>
          </w:tcPr>
          <w:p w14:paraId="2228197D">
            <w:pPr>
              <w:jc w:val="center"/>
              <w:rPr>
                <w:color w:val="auto"/>
                <w:lang w:val="zh-CN"/>
              </w:rPr>
            </w:pPr>
            <w:r>
              <w:rPr>
                <w:color w:val="auto"/>
                <w:lang w:val="zh-CN"/>
              </w:rPr>
              <w:t>4</w:t>
            </w:r>
          </w:p>
        </w:tc>
        <w:tc>
          <w:tcPr>
            <w:tcW w:w="1401" w:type="pct"/>
            <w:tcBorders>
              <w:top w:val="single" w:color="auto" w:sz="4" w:space="0"/>
              <w:left w:val="single" w:color="auto" w:sz="4" w:space="0"/>
              <w:bottom w:val="single" w:color="auto" w:sz="4" w:space="0"/>
              <w:right w:val="single" w:color="auto" w:sz="4" w:space="0"/>
            </w:tcBorders>
            <w:vAlign w:val="center"/>
          </w:tcPr>
          <w:p w14:paraId="7766A2AE">
            <w:pPr>
              <w:jc w:val="center"/>
              <w:rPr>
                <w:color w:val="auto"/>
                <w:lang w:val="zh-CN"/>
              </w:rPr>
            </w:pPr>
            <w:r>
              <w:rPr>
                <w:color w:val="auto"/>
                <w:lang w:val="zh-CN"/>
              </w:rPr>
              <w:t>混凝土工程</w:t>
            </w:r>
          </w:p>
        </w:tc>
        <w:tc>
          <w:tcPr>
            <w:tcW w:w="1411" w:type="pct"/>
            <w:tcBorders>
              <w:top w:val="single" w:color="auto" w:sz="4" w:space="0"/>
              <w:left w:val="single" w:color="auto" w:sz="4" w:space="0"/>
              <w:bottom w:val="single" w:color="auto" w:sz="4" w:space="0"/>
              <w:right w:val="single" w:color="auto" w:sz="4" w:space="0"/>
            </w:tcBorders>
            <w:vAlign w:val="center"/>
          </w:tcPr>
          <w:p w14:paraId="377BD7FC">
            <w:pPr>
              <w:jc w:val="center"/>
              <w:rPr>
                <w:color w:val="auto"/>
                <w:lang w:val="zh-CN"/>
              </w:rPr>
            </w:pPr>
            <w:r>
              <w:rPr>
                <w:color w:val="auto"/>
                <w:lang w:val="zh-CN"/>
              </w:rPr>
              <w:t>直接费</w:t>
            </w:r>
          </w:p>
        </w:tc>
        <w:tc>
          <w:tcPr>
            <w:tcW w:w="1119" w:type="pct"/>
            <w:tcBorders>
              <w:top w:val="single" w:color="auto" w:sz="4" w:space="0"/>
              <w:left w:val="single" w:color="auto" w:sz="4" w:space="0"/>
              <w:bottom w:val="single" w:color="auto" w:sz="4" w:space="0"/>
              <w:right w:val="single" w:color="auto" w:sz="4" w:space="0"/>
            </w:tcBorders>
            <w:vAlign w:val="center"/>
          </w:tcPr>
          <w:p w14:paraId="2519B23E">
            <w:pPr>
              <w:jc w:val="center"/>
              <w:rPr>
                <w:color w:val="auto"/>
                <w:lang w:val="zh-CN"/>
              </w:rPr>
            </w:pPr>
            <w:r>
              <w:rPr>
                <w:color w:val="auto"/>
                <w:lang w:val="zh-CN"/>
              </w:rPr>
              <w:t>6</w:t>
            </w:r>
          </w:p>
        </w:tc>
      </w:tr>
      <w:tr w14:paraId="73EFE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069" w:type="pct"/>
            <w:tcBorders>
              <w:top w:val="single" w:color="auto" w:sz="4" w:space="0"/>
              <w:left w:val="single" w:color="auto" w:sz="4" w:space="0"/>
              <w:bottom w:val="single" w:color="auto" w:sz="4" w:space="0"/>
              <w:right w:val="single" w:color="auto" w:sz="4" w:space="0"/>
            </w:tcBorders>
            <w:vAlign w:val="center"/>
          </w:tcPr>
          <w:p w14:paraId="22767E92">
            <w:pPr>
              <w:jc w:val="center"/>
              <w:rPr>
                <w:color w:val="auto"/>
                <w:lang w:val="zh-CN"/>
              </w:rPr>
            </w:pPr>
            <w:r>
              <w:rPr>
                <w:color w:val="auto"/>
                <w:lang w:val="zh-CN"/>
              </w:rPr>
              <w:t>5</w:t>
            </w:r>
          </w:p>
        </w:tc>
        <w:tc>
          <w:tcPr>
            <w:tcW w:w="1401" w:type="pct"/>
            <w:tcBorders>
              <w:top w:val="single" w:color="auto" w:sz="4" w:space="0"/>
              <w:left w:val="single" w:color="auto" w:sz="4" w:space="0"/>
              <w:bottom w:val="single" w:color="auto" w:sz="4" w:space="0"/>
              <w:right w:val="single" w:color="auto" w:sz="4" w:space="0"/>
            </w:tcBorders>
            <w:vAlign w:val="center"/>
          </w:tcPr>
          <w:p w14:paraId="36E27CE8">
            <w:pPr>
              <w:jc w:val="center"/>
              <w:rPr>
                <w:color w:val="auto"/>
                <w:lang w:val="zh-CN"/>
              </w:rPr>
            </w:pPr>
            <w:r>
              <w:rPr>
                <w:color w:val="auto"/>
                <w:lang w:val="zh-CN"/>
              </w:rPr>
              <w:t>植被工程</w:t>
            </w:r>
          </w:p>
        </w:tc>
        <w:tc>
          <w:tcPr>
            <w:tcW w:w="1411" w:type="pct"/>
            <w:tcBorders>
              <w:top w:val="single" w:color="auto" w:sz="4" w:space="0"/>
              <w:left w:val="single" w:color="auto" w:sz="4" w:space="0"/>
              <w:bottom w:val="single" w:color="auto" w:sz="4" w:space="0"/>
              <w:right w:val="single" w:color="auto" w:sz="4" w:space="0"/>
            </w:tcBorders>
            <w:vAlign w:val="center"/>
          </w:tcPr>
          <w:p w14:paraId="29DEB044">
            <w:pPr>
              <w:jc w:val="center"/>
              <w:rPr>
                <w:color w:val="auto"/>
                <w:lang w:val="zh-CN"/>
              </w:rPr>
            </w:pPr>
            <w:r>
              <w:rPr>
                <w:color w:val="auto"/>
                <w:lang w:val="zh-CN"/>
              </w:rPr>
              <w:t>直接费</w:t>
            </w:r>
          </w:p>
        </w:tc>
        <w:tc>
          <w:tcPr>
            <w:tcW w:w="1119" w:type="pct"/>
            <w:tcBorders>
              <w:top w:val="single" w:color="auto" w:sz="4" w:space="0"/>
              <w:left w:val="single" w:color="auto" w:sz="4" w:space="0"/>
              <w:bottom w:val="single" w:color="auto" w:sz="4" w:space="0"/>
              <w:right w:val="single" w:color="auto" w:sz="4" w:space="0"/>
            </w:tcBorders>
            <w:vAlign w:val="center"/>
          </w:tcPr>
          <w:p w14:paraId="5F1CEE54">
            <w:pPr>
              <w:jc w:val="center"/>
              <w:rPr>
                <w:color w:val="auto"/>
                <w:lang w:val="zh-CN"/>
              </w:rPr>
            </w:pPr>
            <w:r>
              <w:rPr>
                <w:color w:val="auto"/>
                <w:lang w:val="zh-CN"/>
              </w:rPr>
              <w:t>5</w:t>
            </w:r>
          </w:p>
        </w:tc>
      </w:tr>
      <w:tr w14:paraId="17D1B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069" w:type="pct"/>
            <w:tcBorders>
              <w:top w:val="single" w:color="auto" w:sz="4" w:space="0"/>
              <w:left w:val="single" w:color="auto" w:sz="4" w:space="0"/>
              <w:bottom w:val="single" w:color="auto" w:sz="4" w:space="0"/>
              <w:right w:val="single" w:color="auto" w:sz="4" w:space="0"/>
            </w:tcBorders>
            <w:vAlign w:val="center"/>
          </w:tcPr>
          <w:p w14:paraId="566D76D5">
            <w:pPr>
              <w:jc w:val="center"/>
              <w:rPr>
                <w:color w:val="auto"/>
                <w:lang w:val="zh-CN"/>
              </w:rPr>
            </w:pPr>
            <w:r>
              <w:rPr>
                <w:color w:val="auto"/>
                <w:lang w:val="zh-CN"/>
              </w:rPr>
              <w:t>6</w:t>
            </w:r>
          </w:p>
        </w:tc>
        <w:tc>
          <w:tcPr>
            <w:tcW w:w="1401" w:type="pct"/>
            <w:tcBorders>
              <w:top w:val="single" w:color="auto" w:sz="4" w:space="0"/>
              <w:left w:val="single" w:color="auto" w:sz="4" w:space="0"/>
              <w:bottom w:val="single" w:color="auto" w:sz="4" w:space="0"/>
              <w:right w:val="single" w:color="auto" w:sz="4" w:space="0"/>
            </w:tcBorders>
            <w:vAlign w:val="center"/>
          </w:tcPr>
          <w:p w14:paraId="4074A76A">
            <w:pPr>
              <w:jc w:val="center"/>
              <w:rPr>
                <w:color w:val="auto"/>
                <w:lang w:val="zh-CN"/>
              </w:rPr>
            </w:pPr>
            <w:r>
              <w:rPr>
                <w:color w:val="auto"/>
                <w:lang w:val="zh-CN"/>
              </w:rPr>
              <w:t>辅助工程</w:t>
            </w:r>
          </w:p>
        </w:tc>
        <w:tc>
          <w:tcPr>
            <w:tcW w:w="1411" w:type="pct"/>
            <w:tcBorders>
              <w:top w:val="single" w:color="auto" w:sz="4" w:space="0"/>
              <w:left w:val="single" w:color="auto" w:sz="4" w:space="0"/>
              <w:bottom w:val="single" w:color="auto" w:sz="4" w:space="0"/>
              <w:right w:val="single" w:color="auto" w:sz="4" w:space="0"/>
            </w:tcBorders>
            <w:vAlign w:val="center"/>
          </w:tcPr>
          <w:p w14:paraId="564765C6">
            <w:pPr>
              <w:jc w:val="center"/>
              <w:rPr>
                <w:color w:val="auto"/>
              </w:rPr>
            </w:pPr>
            <w:r>
              <w:rPr>
                <w:color w:val="auto"/>
                <w:lang w:val="zh-CN"/>
              </w:rPr>
              <w:t>直接费</w:t>
            </w:r>
          </w:p>
        </w:tc>
        <w:tc>
          <w:tcPr>
            <w:tcW w:w="1119" w:type="pct"/>
            <w:tcBorders>
              <w:top w:val="single" w:color="auto" w:sz="4" w:space="0"/>
              <w:left w:val="single" w:color="auto" w:sz="4" w:space="0"/>
              <w:bottom w:val="single" w:color="auto" w:sz="4" w:space="0"/>
              <w:right w:val="single" w:color="auto" w:sz="4" w:space="0"/>
            </w:tcBorders>
            <w:vAlign w:val="center"/>
          </w:tcPr>
          <w:p w14:paraId="0C1835B9">
            <w:pPr>
              <w:jc w:val="center"/>
              <w:rPr>
                <w:color w:val="auto"/>
                <w:lang w:val="zh-CN"/>
              </w:rPr>
            </w:pPr>
            <w:r>
              <w:rPr>
                <w:color w:val="auto"/>
                <w:lang w:val="zh-CN"/>
              </w:rPr>
              <w:t>5</w:t>
            </w:r>
          </w:p>
        </w:tc>
      </w:tr>
    </w:tbl>
    <w:p w14:paraId="63683414">
      <w:pPr>
        <w:spacing w:line="360" w:lineRule="auto"/>
        <w:ind w:firstLine="560" w:firstLineChars="200"/>
        <w:jc w:val="left"/>
        <w:rPr>
          <w:color w:val="auto"/>
          <w:sz w:val="28"/>
          <w:szCs w:val="28"/>
        </w:rPr>
      </w:pPr>
      <w:r>
        <w:rPr>
          <w:color w:val="auto"/>
          <w:sz w:val="28"/>
          <w:szCs w:val="28"/>
        </w:rPr>
        <w:t>（3）利润</w:t>
      </w:r>
    </w:p>
    <w:p w14:paraId="2FA2D29C">
      <w:pPr>
        <w:spacing w:line="360" w:lineRule="auto"/>
        <w:ind w:firstLine="560" w:firstLineChars="200"/>
        <w:jc w:val="left"/>
        <w:rPr>
          <w:bCs/>
          <w:color w:val="auto"/>
          <w:sz w:val="28"/>
          <w:szCs w:val="28"/>
        </w:rPr>
      </w:pPr>
      <w:r>
        <w:rPr>
          <w:bCs/>
          <w:color w:val="auto"/>
          <w:sz w:val="28"/>
          <w:szCs w:val="28"/>
        </w:rPr>
        <w:t>依据《</w:t>
      </w:r>
      <w:r>
        <w:rPr>
          <w:rFonts w:hint="eastAsia"/>
          <w:bCs/>
          <w:color w:val="auto"/>
          <w:sz w:val="28"/>
          <w:szCs w:val="28"/>
          <w:lang w:eastAsia="zh-CN"/>
        </w:rPr>
        <w:t>内蒙古自治区矿山生态修复工程预算定额标准</w:t>
      </w:r>
      <w:r>
        <w:rPr>
          <w:bCs/>
          <w:color w:val="auto"/>
          <w:sz w:val="28"/>
          <w:szCs w:val="28"/>
        </w:rPr>
        <w:t>》</w:t>
      </w:r>
      <w:r>
        <w:rPr>
          <w:rFonts w:hint="eastAsia"/>
          <w:bCs/>
          <w:color w:val="auto"/>
          <w:sz w:val="28"/>
          <w:szCs w:val="28"/>
          <w:lang w:eastAsia="zh-CN"/>
        </w:rPr>
        <w:t>（</w:t>
      </w:r>
      <w:r>
        <w:rPr>
          <w:rFonts w:hint="eastAsia"/>
          <w:bCs/>
          <w:color w:val="auto"/>
          <w:sz w:val="28"/>
          <w:szCs w:val="28"/>
          <w:lang w:val="en-US" w:eastAsia="zh-CN"/>
        </w:rPr>
        <w:t>试行</w:t>
      </w:r>
      <w:r>
        <w:rPr>
          <w:rFonts w:hint="eastAsia"/>
          <w:bCs/>
          <w:color w:val="auto"/>
          <w:sz w:val="28"/>
          <w:szCs w:val="28"/>
          <w:lang w:eastAsia="zh-CN"/>
        </w:rPr>
        <w:t>）</w:t>
      </w:r>
      <w:r>
        <w:rPr>
          <w:bCs/>
          <w:color w:val="auto"/>
          <w:sz w:val="28"/>
          <w:szCs w:val="28"/>
        </w:rPr>
        <w:t>规定，利润按直接费与间接费之和的3%计取。</w:t>
      </w:r>
    </w:p>
    <w:p w14:paraId="1476815E">
      <w:pPr>
        <w:spacing w:line="360" w:lineRule="auto"/>
        <w:ind w:firstLine="560" w:firstLineChars="200"/>
        <w:jc w:val="left"/>
        <w:rPr>
          <w:color w:val="auto"/>
          <w:sz w:val="28"/>
          <w:szCs w:val="28"/>
        </w:rPr>
      </w:pPr>
      <w:r>
        <w:rPr>
          <w:color w:val="auto"/>
          <w:sz w:val="28"/>
          <w:szCs w:val="28"/>
        </w:rPr>
        <w:t>（4）税金</w:t>
      </w:r>
    </w:p>
    <w:p w14:paraId="257801A5">
      <w:pPr>
        <w:spacing w:line="360" w:lineRule="auto"/>
        <w:ind w:firstLine="560" w:firstLineChars="200"/>
        <w:jc w:val="left"/>
        <w:rPr>
          <w:color w:val="auto"/>
          <w:sz w:val="28"/>
          <w:szCs w:val="28"/>
        </w:rPr>
      </w:pPr>
      <w:r>
        <w:rPr>
          <w:bCs/>
          <w:color w:val="auto"/>
          <w:sz w:val="28"/>
          <w:szCs w:val="28"/>
        </w:rPr>
        <w:t>依据《</w:t>
      </w:r>
      <w:r>
        <w:rPr>
          <w:rFonts w:hint="eastAsia"/>
          <w:bCs/>
          <w:color w:val="auto"/>
          <w:sz w:val="28"/>
          <w:szCs w:val="28"/>
          <w:lang w:eastAsia="zh-CN"/>
        </w:rPr>
        <w:t>内蒙古自治区矿山生态修复工程预算定额标准</w:t>
      </w:r>
      <w:r>
        <w:rPr>
          <w:bCs/>
          <w:color w:val="auto"/>
          <w:sz w:val="28"/>
          <w:szCs w:val="28"/>
        </w:rPr>
        <w:t>》</w:t>
      </w:r>
      <w:r>
        <w:rPr>
          <w:rFonts w:hint="eastAsia"/>
          <w:bCs/>
          <w:color w:val="auto"/>
          <w:sz w:val="28"/>
          <w:szCs w:val="28"/>
          <w:lang w:eastAsia="zh-CN"/>
        </w:rPr>
        <w:t>（</w:t>
      </w:r>
      <w:r>
        <w:rPr>
          <w:rFonts w:hint="eastAsia"/>
          <w:bCs/>
          <w:color w:val="auto"/>
          <w:sz w:val="28"/>
          <w:szCs w:val="28"/>
          <w:lang w:val="en-US" w:eastAsia="zh-CN"/>
        </w:rPr>
        <w:t>试行</w:t>
      </w:r>
      <w:r>
        <w:rPr>
          <w:rFonts w:hint="eastAsia"/>
          <w:bCs/>
          <w:color w:val="auto"/>
          <w:sz w:val="28"/>
          <w:szCs w:val="28"/>
          <w:lang w:eastAsia="zh-CN"/>
        </w:rPr>
        <w:t>）</w:t>
      </w:r>
      <w:r>
        <w:rPr>
          <w:bCs/>
          <w:color w:val="auto"/>
          <w:sz w:val="28"/>
          <w:szCs w:val="28"/>
        </w:rPr>
        <w:t>规定</w:t>
      </w:r>
      <w:r>
        <w:rPr>
          <w:color w:val="auto"/>
          <w:sz w:val="28"/>
          <w:szCs w:val="28"/>
        </w:rPr>
        <w:t>，税金按直接费、间接费、利润</w:t>
      </w:r>
      <w:r>
        <w:rPr>
          <w:rFonts w:hint="eastAsia"/>
          <w:color w:val="auto"/>
          <w:sz w:val="28"/>
          <w:szCs w:val="28"/>
          <w:lang w:eastAsia="zh-CN"/>
        </w:rPr>
        <w:t>、</w:t>
      </w:r>
      <w:r>
        <w:rPr>
          <w:rFonts w:hint="eastAsia"/>
          <w:color w:val="auto"/>
          <w:sz w:val="28"/>
          <w:szCs w:val="28"/>
          <w:lang w:val="en-US" w:eastAsia="zh-CN"/>
        </w:rPr>
        <w:t>材料差价</w:t>
      </w:r>
      <w:r>
        <w:rPr>
          <w:color w:val="auto"/>
          <w:sz w:val="28"/>
          <w:szCs w:val="28"/>
        </w:rPr>
        <w:t>之和的9%计取。</w:t>
      </w:r>
    </w:p>
    <w:p w14:paraId="07E3DD27">
      <w:pPr>
        <w:spacing w:line="360" w:lineRule="auto"/>
        <w:ind w:firstLine="560" w:firstLineChars="200"/>
        <w:jc w:val="left"/>
        <w:rPr>
          <w:color w:val="auto"/>
          <w:sz w:val="28"/>
          <w:szCs w:val="28"/>
        </w:rPr>
      </w:pPr>
      <w:r>
        <w:rPr>
          <w:color w:val="auto"/>
          <w:sz w:val="28"/>
          <w:szCs w:val="28"/>
        </w:rPr>
        <w:t>2、其他费用</w:t>
      </w:r>
    </w:p>
    <w:p w14:paraId="4BA7DC36">
      <w:pPr>
        <w:spacing w:line="360" w:lineRule="auto"/>
        <w:ind w:firstLine="560" w:firstLineChars="200"/>
        <w:jc w:val="left"/>
        <w:rPr>
          <w:color w:val="auto"/>
          <w:sz w:val="28"/>
          <w:szCs w:val="28"/>
        </w:rPr>
      </w:pPr>
      <w:r>
        <w:rPr>
          <w:color w:val="auto"/>
          <w:sz w:val="28"/>
          <w:szCs w:val="28"/>
        </w:rPr>
        <w:t>其他费用包括前期工作费、工程监理费、竣工验收费、业主管理费。</w:t>
      </w:r>
    </w:p>
    <w:p w14:paraId="01B7E28E">
      <w:pPr>
        <w:spacing w:line="360" w:lineRule="auto"/>
        <w:ind w:firstLine="560" w:firstLineChars="200"/>
        <w:jc w:val="left"/>
        <w:rPr>
          <w:color w:val="auto"/>
          <w:sz w:val="28"/>
          <w:szCs w:val="28"/>
        </w:rPr>
      </w:pPr>
      <w:r>
        <w:rPr>
          <w:color w:val="auto"/>
          <w:sz w:val="28"/>
          <w:szCs w:val="28"/>
        </w:rPr>
        <w:t>（1）前期工作费</w:t>
      </w:r>
    </w:p>
    <w:p w14:paraId="067B1A63">
      <w:pPr>
        <w:spacing w:line="360" w:lineRule="auto"/>
        <w:ind w:firstLine="560" w:firstLineChars="200"/>
        <w:jc w:val="left"/>
        <w:rPr>
          <w:rFonts w:hint="eastAsia" w:eastAsia="宋体"/>
          <w:color w:val="auto"/>
          <w:sz w:val="28"/>
          <w:szCs w:val="28"/>
          <w:lang w:eastAsia="zh-CN"/>
        </w:rPr>
      </w:pPr>
      <w:r>
        <w:rPr>
          <w:color w:val="auto"/>
          <w:sz w:val="28"/>
          <w:szCs w:val="28"/>
        </w:rPr>
        <w:t>包括项目可研</w:t>
      </w:r>
      <w:r>
        <w:rPr>
          <w:rFonts w:hint="eastAsia"/>
          <w:color w:val="auto"/>
          <w:sz w:val="28"/>
          <w:szCs w:val="28"/>
          <w:lang w:val="en-US" w:eastAsia="zh-CN"/>
        </w:rPr>
        <w:t>编制</w:t>
      </w:r>
      <w:r>
        <w:rPr>
          <w:color w:val="auto"/>
          <w:sz w:val="28"/>
          <w:szCs w:val="28"/>
        </w:rPr>
        <w:t>费、项目勘测费、项目设计与预算编制费和项目招标代理费</w:t>
      </w:r>
      <w:r>
        <w:rPr>
          <w:rFonts w:hint="eastAsia"/>
          <w:color w:val="auto"/>
          <w:sz w:val="28"/>
          <w:szCs w:val="28"/>
          <w:lang w:eastAsia="zh-CN"/>
        </w:rPr>
        <w:t>。</w:t>
      </w:r>
    </w:p>
    <w:p w14:paraId="677C5BAA">
      <w:pPr>
        <w:spacing w:line="360" w:lineRule="auto"/>
        <w:ind w:firstLine="560" w:firstLineChars="200"/>
        <w:jc w:val="left"/>
        <w:rPr>
          <w:color w:val="auto"/>
          <w:sz w:val="28"/>
          <w:szCs w:val="28"/>
        </w:rPr>
      </w:pPr>
      <w:r>
        <w:rPr>
          <w:color w:val="auto"/>
          <w:sz w:val="28"/>
          <w:szCs w:val="28"/>
        </w:rPr>
        <w:t>项目可研</w:t>
      </w:r>
      <w:r>
        <w:rPr>
          <w:rFonts w:hint="eastAsia"/>
          <w:color w:val="auto"/>
          <w:sz w:val="28"/>
          <w:szCs w:val="28"/>
          <w:lang w:val="en-US" w:eastAsia="zh-CN"/>
        </w:rPr>
        <w:t>编制</w:t>
      </w:r>
      <w:r>
        <w:rPr>
          <w:color w:val="auto"/>
          <w:sz w:val="28"/>
          <w:szCs w:val="28"/>
        </w:rPr>
        <w:t>费以工程施工费作为计费基数，采用分档定额计费方式计算，各区间按内插法确定，见表6-3。</w:t>
      </w:r>
    </w:p>
    <w:p w14:paraId="28D57F99">
      <w:pPr>
        <w:jc w:val="center"/>
        <w:rPr>
          <w:rFonts w:eastAsia="黑体"/>
          <w:color w:val="auto"/>
          <w:sz w:val="24"/>
          <w:szCs w:val="22"/>
        </w:rPr>
      </w:pPr>
      <w:r>
        <w:rPr>
          <w:rFonts w:eastAsia="黑体"/>
          <w:color w:val="auto"/>
          <w:sz w:val="24"/>
          <w:szCs w:val="22"/>
        </w:rPr>
        <w:t>表6-3  项目可研</w:t>
      </w:r>
      <w:r>
        <w:rPr>
          <w:rFonts w:hint="eastAsia" w:eastAsia="黑体"/>
          <w:color w:val="auto"/>
          <w:sz w:val="24"/>
          <w:szCs w:val="22"/>
          <w:lang w:val="en-US" w:eastAsia="zh-CN"/>
        </w:rPr>
        <w:t>编制</w:t>
      </w:r>
      <w:r>
        <w:rPr>
          <w:rFonts w:eastAsia="黑体"/>
          <w:color w:val="auto"/>
          <w:sz w:val="24"/>
          <w:szCs w:val="22"/>
        </w:rPr>
        <w:t>费计费标准表</w:t>
      </w:r>
    </w:p>
    <w:tbl>
      <w:tblPr>
        <w:tblStyle w:val="34"/>
        <w:tblW w:w="4854" w:type="pct"/>
        <w:jc w:val="center"/>
        <w:tblLayout w:type="autofit"/>
        <w:tblCellMar>
          <w:top w:w="0" w:type="dxa"/>
          <w:left w:w="108" w:type="dxa"/>
          <w:bottom w:w="0" w:type="dxa"/>
          <w:right w:w="108" w:type="dxa"/>
        </w:tblCellMar>
      </w:tblPr>
      <w:tblGrid>
        <w:gridCol w:w="1283"/>
        <w:gridCol w:w="4453"/>
        <w:gridCol w:w="2333"/>
      </w:tblGrid>
      <w:tr w14:paraId="4DFAF069">
        <w:tblPrEx>
          <w:tblCellMar>
            <w:top w:w="0" w:type="dxa"/>
            <w:left w:w="108" w:type="dxa"/>
            <w:bottom w:w="0" w:type="dxa"/>
            <w:right w:w="108" w:type="dxa"/>
          </w:tblCellMar>
        </w:tblPrEx>
        <w:trPr>
          <w:trHeight w:val="340" w:hRule="atLeast"/>
          <w:tblHeader/>
          <w:jc w:val="center"/>
        </w:trPr>
        <w:tc>
          <w:tcPr>
            <w:tcW w:w="795" w:type="pct"/>
            <w:tcBorders>
              <w:top w:val="single" w:color="auto" w:sz="4" w:space="0"/>
              <w:left w:val="single" w:color="auto" w:sz="4" w:space="0"/>
              <w:bottom w:val="single" w:color="auto" w:sz="4" w:space="0"/>
              <w:right w:val="single" w:color="auto" w:sz="4" w:space="0"/>
            </w:tcBorders>
            <w:vAlign w:val="center"/>
          </w:tcPr>
          <w:p w14:paraId="218CC735">
            <w:pPr>
              <w:jc w:val="center"/>
              <w:rPr>
                <w:color w:val="auto"/>
              </w:rPr>
            </w:pPr>
            <w:r>
              <w:rPr>
                <w:color w:val="auto"/>
              </w:rPr>
              <w:t>序号</w:t>
            </w:r>
          </w:p>
        </w:tc>
        <w:tc>
          <w:tcPr>
            <w:tcW w:w="2758" w:type="pct"/>
            <w:tcBorders>
              <w:top w:val="single" w:color="auto" w:sz="4" w:space="0"/>
              <w:left w:val="single" w:color="auto" w:sz="4" w:space="0"/>
              <w:bottom w:val="single" w:color="auto" w:sz="4" w:space="0"/>
              <w:right w:val="single" w:color="auto" w:sz="4" w:space="0"/>
            </w:tcBorders>
            <w:vAlign w:val="center"/>
          </w:tcPr>
          <w:p w14:paraId="30C2FFB1">
            <w:pPr>
              <w:jc w:val="center"/>
              <w:rPr>
                <w:color w:val="auto"/>
              </w:rPr>
            </w:pPr>
            <w:r>
              <w:rPr>
                <w:color w:val="auto"/>
              </w:rPr>
              <w:t>计费基数(万元)</w:t>
            </w:r>
          </w:p>
        </w:tc>
        <w:tc>
          <w:tcPr>
            <w:tcW w:w="1445" w:type="pct"/>
            <w:tcBorders>
              <w:top w:val="single" w:color="auto" w:sz="4" w:space="0"/>
              <w:left w:val="single" w:color="auto" w:sz="4" w:space="0"/>
              <w:bottom w:val="single" w:color="auto" w:sz="4" w:space="0"/>
              <w:right w:val="single" w:color="auto" w:sz="4" w:space="0"/>
            </w:tcBorders>
            <w:vAlign w:val="center"/>
          </w:tcPr>
          <w:p w14:paraId="43D7EF0F">
            <w:pPr>
              <w:jc w:val="center"/>
              <w:rPr>
                <w:color w:val="auto"/>
              </w:rPr>
            </w:pPr>
            <w:r>
              <w:rPr>
                <w:color w:val="auto"/>
              </w:rPr>
              <w:t>项目可研</w:t>
            </w:r>
            <w:r>
              <w:rPr>
                <w:rFonts w:hint="eastAsia"/>
                <w:color w:val="auto"/>
                <w:lang w:val="en-US" w:eastAsia="zh-CN"/>
              </w:rPr>
              <w:t>编制</w:t>
            </w:r>
            <w:r>
              <w:rPr>
                <w:color w:val="auto"/>
              </w:rPr>
              <w:t>费(万元)</w:t>
            </w:r>
          </w:p>
        </w:tc>
      </w:tr>
      <w:tr w14:paraId="5301643A">
        <w:tblPrEx>
          <w:tblCellMar>
            <w:top w:w="0" w:type="dxa"/>
            <w:left w:w="108" w:type="dxa"/>
            <w:bottom w:w="0" w:type="dxa"/>
            <w:right w:w="108" w:type="dxa"/>
          </w:tblCellMar>
        </w:tblPrEx>
        <w:trPr>
          <w:trHeight w:val="340" w:hRule="atLeast"/>
          <w:jc w:val="center"/>
        </w:trPr>
        <w:tc>
          <w:tcPr>
            <w:tcW w:w="795" w:type="pct"/>
            <w:tcBorders>
              <w:top w:val="nil"/>
              <w:left w:val="single" w:color="auto" w:sz="4" w:space="0"/>
              <w:bottom w:val="single" w:color="auto" w:sz="4" w:space="0"/>
              <w:right w:val="single" w:color="auto" w:sz="4" w:space="0"/>
            </w:tcBorders>
            <w:shd w:val="clear" w:color="auto" w:fill="auto"/>
            <w:vAlign w:val="center"/>
          </w:tcPr>
          <w:p w14:paraId="7311DE67">
            <w:pPr>
              <w:jc w:val="center"/>
              <w:rPr>
                <w:rFonts w:ascii="Times New Roman" w:hAnsi="Times New Roman" w:eastAsia="宋体" w:cs="Times New Roman"/>
                <w:color w:val="auto"/>
                <w:kern w:val="2"/>
                <w:sz w:val="21"/>
                <w:lang w:val="en-US" w:eastAsia="zh-CN" w:bidi="ar-SA"/>
              </w:rPr>
            </w:pPr>
            <w:r>
              <w:rPr>
                <w:color w:val="auto"/>
              </w:rPr>
              <w:t>1</w:t>
            </w:r>
          </w:p>
        </w:tc>
        <w:tc>
          <w:tcPr>
            <w:tcW w:w="2758" w:type="pct"/>
            <w:tcBorders>
              <w:top w:val="nil"/>
              <w:left w:val="nil"/>
              <w:bottom w:val="single" w:color="auto" w:sz="4" w:space="0"/>
              <w:right w:val="single" w:color="auto" w:sz="4" w:space="0"/>
            </w:tcBorders>
            <w:vAlign w:val="center"/>
          </w:tcPr>
          <w:p w14:paraId="49A10BEC">
            <w:pPr>
              <w:jc w:val="center"/>
              <w:rPr>
                <w:rFonts w:hint="default" w:eastAsia="宋体"/>
                <w:color w:val="auto"/>
                <w:lang w:val="en-US" w:eastAsia="zh-CN"/>
              </w:rPr>
            </w:pPr>
            <w:r>
              <w:rPr>
                <w:rFonts w:hint="eastAsia"/>
                <w:color w:val="auto"/>
                <w:lang w:val="en-US" w:eastAsia="zh-CN"/>
              </w:rPr>
              <w:t>≤50</w:t>
            </w:r>
          </w:p>
        </w:tc>
        <w:tc>
          <w:tcPr>
            <w:tcW w:w="1445" w:type="pct"/>
            <w:tcBorders>
              <w:top w:val="nil"/>
              <w:left w:val="nil"/>
              <w:bottom w:val="single" w:color="auto" w:sz="4" w:space="0"/>
              <w:right w:val="single" w:color="auto" w:sz="4" w:space="0"/>
            </w:tcBorders>
            <w:vAlign w:val="center"/>
          </w:tcPr>
          <w:p w14:paraId="43D813FA">
            <w:pPr>
              <w:jc w:val="center"/>
              <w:rPr>
                <w:rFonts w:hint="eastAsia" w:eastAsia="宋体"/>
                <w:color w:val="auto"/>
                <w:lang w:val="en-US" w:eastAsia="zh-CN"/>
              </w:rPr>
            </w:pPr>
            <w:r>
              <w:rPr>
                <w:rFonts w:hint="eastAsia"/>
                <w:color w:val="auto"/>
                <w:lang w:val="en-US" w:eastAsia="zh-CN"/>
              </w:rPr>
              <w:t>1</w:t>
            </w:r>
          </w:p>
        </w:tc>
      </w:tr>
      <w:tr w14:paraId="4A0F4268">
        <w:tblPrEx>
          <w:tblCellMar>
            <w:top w:w="0" w:type="dxa"/>
            <w:left w:w="108" w:type="dxa"/>
            <w:bottom w:w="0" w:type="dxa"/>
            <w:right w:w="108" w:type="dxa"/>
          </w:tblCellMar>
        </w:tblPrEx>
        <w:trPr>
          <w:trHeight w:val="340" w:hRule="atLeast"/>
          <w:jc w:val="center"/>
        </w:trPr>
        <w:tc>
          <w:tcPr>
            <w:tcW w:w="795" w:type="pct"/>
            <w:tcBorders>
              <w:top w:val="nil"/>
              <w:left w:val="single" w:color="auto" w:sz="4" w:space="0"/>
              <w:bottom w:val="single" w:color="auto" w:sz="4" w:space="0"/>
              <w:right w:val="single" w:color="auto" w:sz="4" w:space="0"/>
            </w:tcBorders>
            <w:shd w:val="clear" w:color="auto" w:fill="auto"/>
            <w:vAlign w:val="center"/>
          </w:tcPr>
          <w:p w14:paraId="2EE5BD71">
            <w:pPr>
              <w:jc w:val="center"/>
              <w:rPr>
                <w:rFonts w:ascii="Times New Roman" w:hAnsi="Times New Roman" w:eastAsia="宋体" w:cs="Times New Roman"/>
                <w:color w:val="auto"/>
                <w:kern w:val="2"/>
                <w:sz w:val="21"/>
                <w:lang w:val="en-US" w:eastAsia="zh-CN" w:bidi="ar-SA"/>
              </w:rPr>
            </w:pPr>
            <w:r>
              <w:rPr>
                <w:color w:val="auto"/>
              </w:rPr>
              <w:t>2</w:t>
            </w:r>
          </w:p>
        </w:tc>
        <w:tc>
          <w:tcPr>
            <w:tcW w:w="2758" w:type="pct"/>
            <w:tcBorders>
              <w:top w:val="nil"/>
              <w:left w:val="nil"/>
              <w:bottom w:val="single" w:color="auto" w:sz="4" w:space="0"/>
              <w:right w:val="single" w:color="auto" w:sz="4" w:space="0"/>
            </w:tcBorders>
            <w:vAlign w:val="center"/>
          </w:tcPr>
          <w:p w14:paraId="3EA174F6">
            <w:pPr>
              <w:jc w:val="center"/>
              <w:rPr>
                <w:rFonts w:hint="default" w:eastAsia="宋体"/>
                <w:color w:val="auto"/>
                <w:lang w:val="en-US" w:eastAsia="zh-CN"/>
              </w:rPr>
            </w:pPr>
            <w:r>
              <w:rPr>
                <w:rFonts w:hint="eastAsia"/>
                <w:color w:val="auto"/>
                <w:lang w:val="en-US" w:eastAsia="zh-CN"/>
              </w:rPr>
              <w:t>100</w:t>
            </w:r>
          </w:p>
        </w:tc>
        <w:tc>
          <w:tcPr>
            <w:tcW w:w="1445" w:type="pct"/>
            <w:tcBorders>
              <w:top w:val="nil"/>
              <w:left w:val="nil"/>
              <w:bottom w:val="single" w:color="auto" w:sz="4" w:space="0"/>
              <w:right w:val="single" w:color="auto" w:sz="4" w:space="0"/>
            </w:tcBorders>
            <w:vAlign w:val="center"/>
          </w:tcPr>
          <w:p w14:paraId="5310E432">
            <w:pPr>
              <w:jc w:val="center"/>
              <w:rPr>
                <w:color w:val="auto"/>
              </w:rPr>
            </w:pPr>
            <w:r>
              <w:rPr>
                <w:color w:val="auto"/>
              </w:rPr>
              <w:t>2</w:t>
            </w:r>
          </w:p>
        </w:tc>
      </w:tr>
      <w:tr w14:paraId="07E72DD9">
        <w:tblPrEx>
          <w:tblCellMar>
            <w:top w:w="0" w:type="dxa"/>
            <w:left w:w="108" w:type="dxa"/>
            <w:bottom w:w="0" w:type="dxa"/>
            <w:right w:w="108" w:type="dxa"/>
          </w:tblCellMar>
        </w:tblPrEx>
        <w:trPr>
          <w:trHeight w:val="340" w:hRule="atLeast"/>
          <w:jc w:val="center"/>
        </w:trPr>
        <w:tc>
          <w:tcPr>
            <w:tcW w:w="795" w:type="pct"/>
            <w:tcBorders>
              <w:top w:val="single" w:color="auto" w:sz="4" w:space="0"/>
              <w:left w:val="single" w:color="auto" w:sz="4" w:space="0"/>
              <w:bottom w:val="single" w:color="auto" w:sz="4" w:space="0"/>
              <w:right w:val="single" w:color="auto" w:sz="4" w:space="0"/>
            </w:tcBorders>
            <w:shd w:val="clear" w:color="auto" w:fill="auto"/>
            <w:vAlign w:val="center"/>
          </w:tcPr>
          <w:p w14:paraId="46736D5E">
            <w:pPr>
              <w:jc w:val="center"/>
              <w:rPr>
                <w:rFonts w:ascii="Times New Roman" w:hAnsi="Times New Roman" w:eastAsia="宋体" w:cs="Times New Roman"/>
                <w:color w:val="auto"/>
                <w:kern w:val="2"/>
                <w:sz w:val="21"/>
                <w:lang w:val="en-US" w:eastAsia="zh-CN" w:bidi="ar-SA"/>
              </w:rPr>
            </w:pPr>
            <w:r>
              <w:rPr>
                <w:color w:val="auto"/>
              </w:rPr>
              <w:t>3</w:t>
            </w:r>
          </w:p>
        </w:tc>
        <w:tc>
          <w:tcPr>
            <w:tcW w:w="2758" w:type="pct"/>
            <w:tcBorders>
              <w:top w:val="single" w:color="auto" w:sz="4" w:space="0"/>
              <w:left w:val="nil"/>
              <w:bottom w:val="single" w:color="auto" w:sz="4" w:space="0"/>
              <w:right w:val="single" w:color="auto" w:sz="4" w:space="0"/>
            </w:tcBorders>
            <w:vAlign w:val="center"/>
          </w:tcPr>
          <w:p w14:paraId="553783F7">
            <w:pPr>
              <w:jc w:val="center"/>
              <w:rPr>
                <w:rFonts w:hint="default" w:eastAsia="宋体"/>
                <w:color w:val="auto"/>
                <w:lang w:val="en-US" w:eastAsia="zh-CN"/>
              </w:rPr>
            </w:pPr>
            <w:r>
              <w:rPr>
                <w:rFonts w:hint="eastAsia"/>
                <w:color w:val="auto"/>
                <w:lang w:val="en-US" w:eastAsia="zh-CN"/>
              </w:rPr>
              <w:t>200</w:t>
            </w:r>
          </w:p>
        </w:tc>
        <w:tc>
          <w:tcPr>
            <w:tcW w:w="1445" w:type="pct"/>
            <w:tcBorders>
              <w:top w:val="single" w:color="auto" w:sz="4" w:space="0"/>
              <w:left w:val="nil"/>
              <w:bottom w:val="single" w:color="auto" w:sz="4" w:space="0"/>
              <w:right w:val="single" w:color="auto" w:sz="4" w:space="0"/>
            </w:tcBorders>
            <w:vAlign w:val="center"/>
          </w:tcPr>
          <w:p w14:paraId="4DCE8C3F">
            <w:pPr>
              <w:jc w:val="center"/>
              <w:rPr>
                <w:rFonts w:hint="default" w:eastAsia="宋体"/>
                <w:color w:val="auto"/>
                <w:lang w:val="en-US" w:eastAsia="zh-CN"/>
              </w:rPr>
            </w:pPr>
            <w:r>
              <w:rPr>
                <w:rFonts w:hint="eastAsia"/>
                <w:color w:val="auto"/>
                <w:lang w:val="en-US" w:eastAsia="zh-CN"/>
              </w:rPr>
              <w:t>2.5</w:t>
            </w:r>
          </w:p>
        </w:tc>
      </w:tr>
      <w:tr w14:paraId="2E8FAE9B">
        <w:tblPrEx>
          <w:tblCellMar>
            <w:top w:w="0" w:type="dxa"/>
            <w:left w:w="108" w:type="dxa"/>
            <w:bottom w:w="0" w:type="dxa"/>
            <w:right w:w="108" w:type="dxa"/>
          </w:tblCellMar>
        </w:tblPrEx>
        <w:trPr>
          <w:trHeight w:val="340" w:hRule="atLeast"/>
          <w:jc w:val="center"/>
        </w:trPr>
        <w:tc>
          <w:tcPr>
            <w:tcW w:w="795" w:type="pct"/>
            <w:tcBorders>
              <w:top w:val="single" w:color="auto" w:sz="4" w:space="0"/>
              <w:left w:val="single" w:color="auto" w:sz="4" w:space="0"/>
              <w:bottom w:val="single" w:color="auto" w:sz="4" w:space="0"/>
              <w:right w:val="single" w:color="auto" w:sz="4" w:space="0"/>
            </w:tcBorders>
            <w:shd w:val="clear" w:color="auto" w:fill="auto"/>
            <w:vAlign w:val="center"/>
          </w:tcPr>
          <w:p w14:paraId="4AD692F5">
            <w:pPr>
              <w:jc w:val="center"/>
              <w:rPr>
                <w:rFonts w:ascii="Times New Roman" w:hAnsi="Times New Roman" w:eastAsia="宋体" w:cs="Times New Roman"/>
                <w:color w:val="auto"/>
                <w:kern w:val="2"/>
                <w:sz w:val="21"/>
                <w:lang w:val="en-US" w:eastAsia="zh-CN" w:bidi="ar-SA"/>
              </w:rPr>
            </w:pPr>
            <w:r>
              <w:rPr>
                <w:color w:val="auto"/>
              </w:rPr>
              <w:t>4</w:t>
            </w:r>
          </w:p>
        </w:tc>
        <w:tc>
          <w:tcPr>
            <w:tcW w:w="2758" w:type="pct"/>
            <w:tcBorders>
              <w:top w:val="single" w:color="auto" w:sz="4" w:space="0"/>
              <w:left w:val="nil"/>
              <w:bottom w:val="single" w:color="auto" w:sz="4" w:space="0"/>
              <w:right w:val="single" w:color="auto" w:sz="4" w:space="0"/>
            </w:tcBorders>
            <w:vAlign w:val="center"/>
          </w:tcPr>
          <w:p w14:paraId="24D09287">
            <w:pPr>
              <w:jc w:val="center"/>
              <w:rPr>
                <w:rFonts w:hint="default" w:eastAsia="宋体"/>
                <w:color w:val="auto"/>
                <w:lang w:val="en-US" w:eastAsia="zh-CN"/>
              </w:rPr>
            </w:pPr>
            <w:r>
              <w:rPr>
                <w:rFonts w:hint="eastAsia"/>
                <w:color w:val="auto"/>
                <w:lang w:val="en-US" w:eastAsia="zh-CN"/>
              </w:rPr>
              <w:t>500</w:t>
            </w:r>
          </w:p>
        </w:tc>
        <w:tc>
          <w:tcPr>
            <w:tcW w:w="1445" w:type="pct"/>
            <w:tcBorders>
              <w:top w:val="single" w:color="auto" w:sz="4" w:space="0"/>
              <w:left w:val="nil"/>
              <w:bottom w:val="single" w:color="auto" w:sz="4" w:space="0"/>
              <w:right w:val="single" w:color="auto" w:sz="4" w:space="0"/>
            </w:tcBorders>
            <w:vAlign w:val="center"/>
          </w:tcPr>
          <w:p w14:paraId="7092107E">
            <w:pPr>
              <w:jc w:val="center"/>
              <w:rPr>
                <w:rFonts w:hint="eastAsia" w:eastAsia="宋体"/>
                <w:color w:val="auto"/>
                <w:lang w:eastAsia="zh-CN"/>
              </w:rPr>
            </w:pPr>
            <w:r>
              <w:rPr>
                <w:rFonts w:hint="eastAsia"/>
                <w:color w:val="auto"/>
                <w:lang w:val="en-US" w:eastAsia="zh-CN"/>
              </w:rPr>
              <w:t>4</w:t>
            </w:r>
          </w:p>
        </w:tc>
      </w:tr>
      <w:tr w14:paraId="7CD2F699">
        <w:tblPrEx>
          <w:tblCellMar>
            <w:top w:w="0" w:type="dxa"/>
            <w:left w:w="108" w:type="dxa"/>
            <w:bottom w:w="0" w:type="dxa"/>
            <w:right w:w="108" w:type="dxa"/>
          </w:tblCellMar>
        </w:tblPrEx>
        <w:trPr>
          <w:trHeight w:val="340" w:hRule="atLeast"/>
          <w:jc w:val="center"/>
        </w:trPr>
        <w:tc>
          <w:tcPr>
            <w:tcW w:w="795" w:type="pct"/>
            <w:tcBorders>
              <w:top w:val="single" w:color="auto" w:sz="4" w:space="0"/>
              <w:left w:val="single" w:color="auto" w:sz="4" w:space="0"/>
              <w:bottom w:val="single" w:color="auto" w:sz="4" w:space="0"/>
              <w:right w:val="single" w:color="auto" w:sz="4" w:space="0"/>
            </w:tcBorders>
            <w:shd w:val="clear" w:color="auto" w:fill="auto"/>
            <w:vAlign w:val="center"/>
          </w:tcPr>
          <w:p w14:paraId="592A3B76">
            <w:pPr>
              <w:jc w:val="center"/>
              <w:rPr>
                <w:rFonts w:ascii="Times New Roman" w:hAnsi="Times New Roman" w:eastAsia="宋体" w:cs="Times New Roman"/>
                <w:color w:val="auto"/>
                <w:kern w:val="2"/>
                <w:sz w:val="21"/>
                <w:lang w:val="en-US" w:eastAsia="zh-CN" w:bidi="ar-SA"/>
              </w:rPr>
            </w:pPr>
            <w:r>
              <w:rPr>
                <w:color w:val="auto"/>
              </w:rPr>
              <w:t>5</w:t>
            </w:r>
          </w:p>
        </w:tc>
        <w:tc>
          <w:tcPr>
            <w:tcW w:w="2758" w:type="pct"/>
            <w:tcBorders>
              <w:top w:val="single" w:color="auto" w:sz="4" w:space="0"/>
              <w:left w:val="nil"/>
              <w:bottom w:val="single" w:color="auto" w:sz="4" w:space="0"/>
              <w:right w:val="single" w:color="auto" w:sz="4" w:space="0"/>
            </w:tcBorders>
            <w:vAlign w:val="center"/>
          </w:tcPr>
          <w:p w14:paraId="4437FED3">
            <w:pPr>
              <w:jc w:val="center"/>
              <w:rPr>
                <w:rFonts w:hint="default" w:eastAsia="宋体"/>
                <w:color w:val="auto"/>
                <w:lang w:val="en-US" w:eastAsia="zh-CN"/>
              </w:rPr>
            </w:pPr>
            <w:r>
              <w:rPr>
                <w:rFonts w:hint="eastAsia"/>
                <w:color w:val="auto"/>
                <w:lang w:val="en-US" w:eastAsia="zh-CN"/>
              </w:rPr>
              <w:t>1000</w:t>
            </w:r>
          </w:p>
        </w:tc>
        <w:tc>
          <w:tcPr>
            <w:tcW w:w="1445" w:type="pct"/>
            <w:tcBorders>
              <w:top w:val="single" w:color="auto" w:sz="4" w:space="0"/>
              <w:left w:val="nil"/>
              <w:bottom w:val="single" w:color="auto" w:sz="4" w:space="0"/>
              <w:right w:val="single" w:color="auto" w:sz="4" w:space="0"/>
            </w:tcBorders>
            <w:vAlign w:val="center"/>
          </w:tcPr>
          <w:p w14:paraId="3337C024">
            <w:pPr>
              <w:jc w:val="center"/>
              <w:rPr>
                <w:rFonts w:hint="eastAsia" w:eastAsia="宋体"/>
                <w:color w:val="auto"/>
                <w:lang w:eastAsia="zh-CN"/>
              </w:rPr>
            </w:pPr>
            <w:r>
              <w:rPr>
                <w:rFonts w:hint="eastAsia"/>
                <w:color w:val="auto"/>
                <w:lang w:val="en-US" w:eastAsia="zh-CN"/>
              </w:rPr>
              <w:t>6</w:t>
            </w:r>
          </w:p>
        </w:tc>
      </w:tr>
      <w:tr w14:paraId="5690017C">
        <w:tblPrEx>
          <w:tblCellMar>
            <w:top w:w="0" w:type="dxa"/>
            <w:left w:w="108" w:type="dxa"/>
            <w:bottom w:w="0" w:type="dxa"/>
            <w:right w:w="108" w:type="dxa"/>
          </w:tblCellMar>
        </w:tblPrEx>
        <w:trPr>
          <w:trHeight w:val="340" w:hRule="atLeast"/>
          <w:jc w:val="center"/>
        </w:trPr>
        <w:tc>
          <w:tcPr>
            <w:tcW w:w="795" w:type="pct"/>
            <w:tcBorders>
              <w:top w:val="single" w:color="auto" w:sz="4" w:space="0"/>
              <w:left w:val="single" w:color="auto" w:sz="4" w:space="0"/>
              <w:bottom w:val="single" w:color="auto" w:sz="4" w:space="0"/>
              <w:right w:val="single" w:color="auto" w:sz="4" w:space="0"/>
            </w:tcBorders>
            <w:shd w:val="clear" w:color="auto" w:fill="auto"/>
            <w:vAlign w:val="center"/>
          </w:tcPr>
          <w:p w14:paraId="444B3D66">
            <w:pPr>
              <w:jc w:val="center"/>
              <w:rPr>
                <w:rFonts w:hint="eastAsia" w:ascii="Times New Roman" w:hAnsi="Times New Roman" w:eastAsia="宋体" w:cs="Times New Roman"/>
                <w:color w:val="auto"/>
                <w:kern w:val="2"/>
                <w:sz w:val="21"/>
                <w:lang w:val="en-US" w:eastAsia="zh-CN" w:bidi="ar-SA"/>
              </w:rPr>
            </w:pPr>
            <w:r>
              <w:rPr>
                <w:rFonts w:hint="eastAsia"/>
                <w:color w:val="auto"/>
                <w:lang w:val="en-US" w:eastAsia="zh-CN"/>
              </w:rPr>
              <w:t>6</w:t>
            </w:r>
          </w:p>
        </w:tc>
        <w:tc>
          <w:tcPr>
            <w:tcW w:w="2758" w:type="pct"/>
            <w:tcBorders>
              <w:top w:val="single" w:color="auto" w:sz="4" w:space="0"/>
              <w:left w:val="nil"/>
              <w:bottom w:val="single" w:color="auto" w:sz="4" w:space="0"/>
              <w:right w:val="single" w:color="auto" w:sz="4" w:space="0"/>
            </w:tcBorders>
            <w:vAlign w:val="center"/>
          </w:tcPr>
          <w:p w14:paraId="157F489A">
            <w:pPr>
              <w:jc w:val="center"/>
              <w:rPr>
                <w:rFonts w:hint="default" w:eastAsia="宋体"/>
                <w:color w:val="auto"/>
                <w:lang w:val="en-US" w:eastAsia="zh-CN"/>
              </w:rPr>
            </w:pPr>
            <w:r>
              <w:rPr>
                <w:rFonts w:hint="eastAsia"/>
                <w:color w:val="auto"/>
                <w:lang w:val="en-US" w:eastAsia="zh-CN"/>
              </w:rPr>
              <w:t>3000</w:t>
            </w:r>
          </w:p>
        </w:tc>
        <w:tc>
          <w:tcPr>
            <w:tcW w:w="1445" w:type="pct"/>
            <w:tcBorders>
              <w:top w:val="single" w:color="auto" w:sz="4" w:space="0"/>
              <w:left w:val="nil"/>
              <w:bottom w:val="single" w:color="auto" w:sz="4" w:space="0"/>
              <w:right w:val="single" w:color="auto" w:sz="4" w:space="0"/>
            </w:tcBorders>
            <w:vAlign w:val="center"/>
          </w:tcPr>
          <w:p w14:paraId="4F10E78E">
            <w:pPr>
              <w:jc w:val="center"/>
              <w:rPr>
                <w:rFonts w:hint="default" w:eastAsia="宋体"/>
                <w:color w:val="auto"/>
                <w:lang w:val="en-US" w:eastAsia="zh-CN"/>
              </w:rPr>
            </w:pPr>
            <w:r>
              <w:rPr>
                <w:rFonts w:hint="eastAsia"/>
                <w:color w:val="auto"/>
                <w:lang w:val="en-US" w:eastAsia="zh-CN"/>
              </w:rPr>
              <w:t>12</w:t>
            </w:r>
          </w:p>
        </w:tc>
      </w:tr>
      <w:tr w14:paraId="2E4B19F9">
        <w:tblPrEx>
          <w:tblCellMar>
            <w:top w:w="0" w:type="dxa"/>
            <w:left w:w="108" w:type="dxa"/>
            <w:bottom w:w="0" w:type="dxa"/>
            <w:right w:w="108" w:type="dxa"/>
          </w:tblCellMar>
        </w:tblPrEx>
        <w:trPr>
          <w:trHeight w:val="340" w:hRule="atLeast"/>
          <w:jc w:val="center"/>
        </w:trPr>
        <w:tc>
          <w:tcPr>
            <w:tcW w:w="795" w:type="pct"/>
            <w:tcBorders>
              <w:top w:val="single" w:color="auto" w:sz="4" w:space="0"/>
              <w:left w:val="single" w:color="auto" w:sz="4" w:space="0"/>
              <w:bottom w:val="single" w:color="auto" w:sz="4" w:space="0"/>
              <w:right w:val="single" w:color="auto" w:sz="4" w:space="0"/>
            </w:tcBorders>
            <w:shd w:val="clear" w:color="auto" w:fill="auto"/>
            <w:vAlign w:val="center"/>
          </w:tcPr>
          <w:p w14:paraId="7276028A">
            <w:pPr>
              <w:jc w:val="center"/>
              <w:rPr>
                <w:rFonts w:hint="eastAsia" w:ascii="Times New Roman" w:hAnsi="Times New Roman" w:eastAsia="宋体" w:cs="Times New Roman"/>
                <w:color w:val="auto"/>
                <w:kern w:val="2"/>
                <w:sz w:val="21"/>
                <w:lang w:val="en-US" w:eastAsia="zh-CN" w:bidi="ar-SA"/>
              </w:rPr>
            </w:pPr>
            <w:r>
              <w:rPr>
                <w:rFonts w:hint="eastAsia"/>
                <w:color w:val="auto"/>
                <w:lang w:val="en-US" w:eastAsia="zh-CN"/>
              </w:rPr>
              <w:t>7</w:t>
            </w:r>
          </w:p>
        </w:tc>
        <w:tc>
          <w:tcPr>
            <w:tcW w:w="2758" w:type="pct"/>
            <w:tcBorders>
              <w:top w:val="single" w:color="auto" w:sz="4" w:space="0"/>
              <w:left w:val="nil"/>
              <w:bottom w:val="single" w:color="auto" w:sz="4" w:space="0"/>
              <w:right w:val="single" w:color="auto" w:sz="4" w:space="0"/>
            </w:tcBorders>
            <w:vAlign w:val="center"/>
          </w:tcPr>
          <w:p w14:paraId="17D823A0">
            <w:pPr>
              <w:jc w:val="center"/>
              <w:rPr>
                <w:rFonts w:hint="default"/>
                <w:color w:val="auto"/>
                <w:lang w:val="en-US" w:eastAsia="zh-CN"/>
              </w:rPr>
            </w:pPr>
            <w:r>
              <w:rPr>
                <w:rFonts w:hint="eastAsia"/>
                <w:color w:val="auto"/>
                <w:lang w:val="en-US" w:eastAsia="zh-CN"/>
              </w:rPr>
              <w:t>5000</w:t>
            </w:r>
          </w:p>
        </w:tc>
        <w:tc>
          <w:tcPr>
            <w:tcW w:w="1445" w:type="pct"/>
            <w:tcBorders>
              <w:top w:val="single" w:color="auto" w:sz="4" w:space="0"/>
              <w:left w:val="nil"/>
              <w:bottom w:val="single" w:color="auto" w:sz="4" w:space="0"/>
              <w:right w:val="single" w:color="auto" w:sz="4" w:space="0"/>
            </w:tcBorders>
            <w:vAlign w:val="center"/>
          </w:tcPr>
          <w:p w14:paraId="2B4F8824">
            <w:pPr>
              <w:jc w:val="center"/>
              <w:rPr>
                <w:rFonts w:hint="default" w:eastAsia="宋体"/>
                <w:color w:val="auto"/>
                <w:lang w:val="en-US" w:eastAsia="zh-CN"/>
              </w:rPr>
            </w:pPr>
            <w:r>
              <w:rPr>
                <w:rFonts w:hint="eastAsia"/>
                <w:color w:val="auto"/>
                <w:lang w:val="en-US" w:eastAsia="zh-CN"/>
              </w:rPr>
              <w:t>15</w:t>
            </w:r>
          </w:p>
        </w:tc>
      </w:tr>
      <w:tr w14:paraId="75565AAE">
        <w:tblPrEx>
          <w:tblCellMar>
            <w:top w:w="0" w:type="dxa"/>
            <w:left w:w="108" w:type="dxa"/>
            <w:bottom w:w="0" w:type="dxa"/>
            <w:right w:w="108" w:type="dxa"/>
          </w:tblCellMar>
        </w:tblPrEx>
        <w:trPr>
          <w:trHeight w:val="340" w:hRule="atLeast"/>
          <w:jc w:val="center"/>
        </w:trPr>
        <w:tc>
          <w:tcPr>
            <w:tcW w:w="795" w:type="pct"/>
            <w:tcBorders>
              <w:top w:val="single" w:color="auto" w:sz="4" w:space="0"/>
              <w:left w:val="single" w:color="auto" w:sz="4" w:space="0"/>
              <w:bottom w:val="single" w:color="auto" w:sz="4" w:space="0"/>
              <w:right w:val="single" w:color="auto" w:sz="4" w:space="0"/>
            </w:tcBorders>
            <w:vAlign w:val="center"/>
          </w:tcPr>
          <w:p w14:paraId="6D95D626">
            <w:pPr>
              <w:jc w:val="center"/>
              <w:rPr>
                <w:rFonts w:hint="default" w:eastAsia="宋体"/>
                <w:color w:val="auto"/>
                <w:lang w:val="en-US" w:eastAsia="zh-CN"/>
              </w:rPr>
            </w:pPr>
            <w:r>
              <w:rPr>
                <w:rFonts w:hint="eastAsia"/>
                <w:color w:val="auto"/>
                <w:lang w:val="en-US" w:eastAsia="zh-CN"/>
              </w:rPr>
              <w:t>8</w:t>
            </w:r>
          </w:p>
        </w:tc>
        <w:tc>
          <w:tcPr>
            <w:tcW w:w="2758" w:type="pct"/>
            <w:tcBorders>
              <w:top w:val="single" w:color="auto" w:sz="4" w:space="0"/>
              <w:left w:val="nil"/>
              <w:bottom w:val="single" w:color="auto" w:sz="4" w:space="0"/>
              <w:right w:val="single" w:color="auto" w:sz="4" w:space="0"/>
            </w:tcBorders>
            <w:vAlign w:val="center"/>
          </w:tcPr>
          <w:p w14:paraId="2845636C">
            <w:pPr>
              <w:jc w:val="center"/>
              <w:rPr>
                <w:color w:val="auto"/>
              </w:rPr>
            </w:pPr>
            <w:r>
              <w:rPr>
                <w:color w:val="auto"/>
              </w:rPr>
              <w:t>10000</w:t>
            </w:r>
          </w:p>
        </w:tc>
        <w:tc>
          <w:tcPr>
            <w:tcW w:w="1445" w:type="pct"/>
            <w:tcBorders>
              <w:top w:val="single" w:color="auto" w:sz="4" w:space="0"/>
              <w:left w:val="nil"/>
              <w:bottom w:val="single" w:color="auto" w:sz="4" w:space="0"/>
              <w:right w:val="single" w:color="auto" w:sz="4" w:space="0"/>
            </w:tcBorders>
            <w:vAlign w:val="center"/>
          </w:tcPr>
          <w:p w14:paraId="0903E434">
            <w:pPr>
              <w:jc w:val="center"/>
              <w:rPr>
                <w:color w:val="auto"/>
              </w:rPr>
            </w:pPr>
            <w:r>
              <w:rPr>
                <w:color w:val="auto"/>
              </w:rPr>
              <w:t>25</w:t>
            </w:r>
          </w:p>
        </w:tc>
      </w:tr>
    </w:tbl>
    <w:p w14:paraId="0CE1C378">
      <w:pPr>
        <w:spacing w:line="360" w:lineRule="auto"/>
        <w:ind w:firstLine="361" w:firstLineChars="200"/>
        <w:rPr>
          <w:b/>
          <w:bCs w:val="0"/>
          <w:color w:val="auto"/>
          <w:sz w:val="24"/>
          <w:szCs w:val="21"/>
        </w:rPr>
      </w:pPr>
      <w:r>
        <w:rPr>
          <w:b/>
          <w:bCs w:val="0"/>
          <w:color w:val="auto"/>
          <w:sz w:val="18"/>
          <w:szCs w:val="18"/>
        </w:rPr>
        <w:t>注：</w:t>
      </w:r>
      <w:r>
        <w:rPr>
          <w:rFonts w:hint="eastAsia"/>
          <w:b/>
          <w:bCs w:val="0"/>
          <w:color w:val="auto"/>
          <w:sz w:val="18"/>
          <w:szCs w:val="18"/>
          <w:lang w:val="en-US" w:eastAsia="zh-CN"/>
        </w:rPr>
        <w:t>计费基数不足50万元时，按1万元计取；</w:t>
      </w:r>
      <w:r>
        <w:rPr>
          <w:b/>
          <w:bCs w:val="0"/>
          <w:color w:val="auto"/>
          <w:sz w:val="18"/>
          <w:szCs w:val="18"/>
        </w:rPr>
        <w:t>计费基数大于1亿元时，按计费基数的0.25%计取。</w:t>
      </w:r>
    </w:p>
    <w:p w14:paraId="4C14889E">
      <w:pPr>
        <w:spacing w:line="360" w:lineRule="auto"/>
        <w:ind w:firstLine="560" w:firstLineChars="200"/>
        <w:jc w:val="left"/>
        <w:rPr>
          <w:color w:val="auto"/>
          <w:sz w:val="28"/>
          <w:szCs w:val="28"/>
        </w:rPr>
      </w:pPr>
      <w:r>
        <w:rPr>
          <w:color w:val="auto"/>
          <w:sz w:val="28"/>
          <w:szCs w:val="28"/>
        </w:rPr>
        <w:t>项目勘测费以工程施工费作为计费基数，采用分档定额计费方式计算，各区间按内插法确定。见表6-4。</w:t>
      </w:r>
    </w:p>
    <w:p w14:paraId="4AC9EDD0">
      <w:pPr>
        <w:jc w:val="center"/>
        <w:rPr>
          <w:rFonts w:eastAsia="黑体"/>
          <w:color w:val="auto"/>
          <w:sz w:val="24"/>
          <w:szCs w:val="22"/>
        </w:rPr>
      </w:pPr>
      <w:r>
        <w:rPr>
          <w:rFonts w:eastAsia="黑体"/>
          <w:color w:val="auto"/>
          <w:sz w:val="24"/>
          <w:szCs w:val="22"/>
        </w:rPr>
        <w:t>表6-4  项目勘测费计费标准表</w:t>
      </w:r>
    </w:p>
    <w:tbl>
      <w:tblPr>
        <w:tblStyle w:val="34"/>
        <w:tblW w:w="4981" w:type="pct"/>
        <w:jc w:val="center"/>
        <w:tblLayout w:type="autofit"/>
        <w:tblCellMar>
          <w:top w:w="0" w:type="dxa"/>
          <w:left w:w="108" w:type="dxa"/>
          <w:bottom w:w="0" w:type="dxa"/>
          <w:right w:w="108" w:type="dxa"/>
        </w:tblCellMar>
      </w:tblPr>
      <w:tblGrid>
        <w:gridCol w:w="1318"/>
        <w:gridCol w:w="4292"/>
        <w:gridCol w:w="2670"/>
      </w:tblGrid>
      <w:tr w14:paraId="2EA22E7D">
        <w:tblPrEx>
          <w:tblCellMar>
            <w:top w:w="0" w:type="dxa"/>
            <w:left w:w="108" w:type="dxa"/>
            <w:bottom w:w="0" w:type="dxa"/>
            <w:right w:w="108" w:type="dxa"/>
          </w:tblCellMar>
        </w:tblPrEx>
        <w:trPr>
          <w:trHeight w:val="340" w:hRule="atLeast"/>
          <w:tblHeader/>
          <w:jc w:val="center"/>
        </w:trPr>
        <w:tc>
          <w:tcPr>
            <w:tcW w:w="796" w:type="pct"/>
            <w:tcBorders>
              <w:top w:val="single" w:color="auto" w:sz="4" w:space="0"/>
              <w:left w:val="single" w:color="auto" w:sz="4" w:space="0"/>
              <w:bottom w:val="single" w:color="auto" w:sz="4" w:space="0"/>
              <w:right w:val="single" w:color="auto" w:sz="4" w:space="0"/>
            </w:tcBorders>
            <w:vAlign w:val="center"/>
          </w:tcPr>
          <w:p w14:paraId="3FB52B4A">
            <w:pPr>
              <w:jc w:val="center"/>
              <w:rPr>
                <w:color w:val="auto"/>
              </w:rPr>
            </w:pPr>
            <w:r>
              <w:rPr>
                <w:color w:val="auto"/>
              </w:rPr>
              <w:t>序号</w:t>
            </w:r>
          </w:p>
        </w:tc>
        <w:tc>
          <w:tcPr>
            <w:tcW w:w="2592" w:type="pct"/>
            <w:tcBorders>
              <w:top w:val="single" w:color="auto" w:sz="4" w:space="0"/>
              <w:left w:val="single" w:color="auto" w:sz="4" w:space="0"/>
              <w:bottom w:val="single" w:color="auto" w:sz="4" w:space="0"/>
              <w:right w:val="single" w:color="auto" w:sz="4" w:space="0"/>
            </w:tcBorders>
            <w:vAlign w:val="center"/>
          </w:tcPr>
          <w:p w14:paraId="244A90D9">
            <w:pPr>
              <w:jc w:val="center"/>
              <w:rPr>
                <w:color w:val="auto"/>
              </w:rPr>
            </w:pPr>
            <w:r>
              <w:rPr>
                <w:color w:val="auto"/>
              </w:rPr>
              <w:t>计费基数(万元)</w:t>
            </w:r>
          </w:p>
        </w:tc>
        <w:tc>
          <w:tcPr>
            <w:tcW w:w="1612" w:type="pct"/>
            <w:tcBorders>
              <w:top w:val="single" w:color="auto" w:sz="4" w:space="0"/>
              <w:left w:val="single" w:color="auto" w:sz="4" w:space="0"/>
              <w:bottom w:val="single" w:color="auto" w:sz="4" w:space="0"/>
              <w:right w:val="single" w:color="auto" w:sz="4" w:space="0"/>
            </w:tcBorders>
            <w:vAlign w:val="center"/>
          </w:tcPr>
          <w:p w14:paraId="5BA39BF0">
            <w:pPr>
              <w:jc w:val="center"/>
              <w:rPr>
                <w:color w:val="auto"/>
              </w:rPr>
            </w:pPr>
            <w:r>
              <w:rPr>
                <w:color w:val="auto"/>
              </w:rPr>
              <w:t>项目勘测费(万元)</w:t>
            </w:r>
          </w:p>
        </w:tc>
      </w:tr>
      <w:tr w14:paraId="1935A3A2">
        <w:tblPrEx>
          <w:tblCellMar>
            <w:top w:w="0" w:type="dxa"/>
            <w:left w:w="108" w:type="dxa"/>
            <w:bottom w:w="0" w:type="dxa"/>
            <w:right w:w="108" w:type="dxa"/>
          </w:tblCellMar>
        </w:tblPrEx>
        <w:trPr>
          <w:trHeight w:val="340" w:hRule="atLeast"/>
          <w:jc w:val="center"/>
        </w:trPr>
        <w:tc>
          <w:tcPr>
            <w:tcW w:w="796" w:type="pct"/>
            <w:tcBorders>
              <w:top w:val="nil"/>
              <w:left w:val="single" w:color="auto" w:sz="4" w:space="0"/>
              <w:bottom w:val="single" w:color="auto" w:sz="4" w:space="0"/>
              <w:right w:val="single" w:color="auto" w:sz="4" w:space="0"/>
            </w:tcBorders>
            <w:vAlign w:val="center"/>
          </w:tcPr>
          <w:p w14:paraId="1EDE4542">
            <w:pPr>
              <w:jc w:val="center"/>
              <w:rPr>
                <w:color w:val="auto"/>
              </w:rPr>
            </w:pPr>
            <w:r>
              <w:rPr>
                <w:color w:val="auto"/>
              </w:rPr>
              <w:t>1</w:t>
            </w:r>
          </w:p>
        </w:tc>
        <w:tc>
          <w:tcPr>
            <w:tcW w:w="4292" w:type="dxa"/>
            <w:tcBorders>
              <w:top w:val="nil"/>
              <w:left w:val="nil"/>
              <w:bottom w:val="single" w:color="auto" w:sz="4" w:space="0"/>
              <w:right w:val="single" w:color="auto" w:sz="4" w:space="0"/>
            </w:tcBorders>
            <w:vAlign w:val="center"/>
          </w:tcPr>
          <w:p w14:paraId="5013B244">
            <w:pPr>
              <w:jc w:val="center"/>
              <w:rPr>
                <w:color w:val="auto"/>
              </w:rPr>
            </w:pPr>
            <w:r>
              <w:rPr>
                <w:rFonts w:hint="eastAsia"/>
                <w:color w:val="auto"/>
                <w:lang w:val="en-US" w:eastAsia="zh-CN"/>
              </w:rPr>
              <w:t>≤50</w:t>
            </w:r>
          </w:p>
        </w:tc>
        <w:tc>
          <w:tcPr>
            <w:tcW w:w="1612" w:type="pct"/>
            <w:tcBorders>
              <w:top w:val="nil"/>
              <w:left w:val="nil"/>
              <w:bottom w:val="single" w:color="auto" w:sz="4" w:space="0"/>
              <w:right w:val="single" w:color="auto" w:sz="4" w:space="0"/>
            </w:tcBorders>
            <w:vAlign w:val="center"/>
          </w:tcPr>
          <w:p w14:paraId="1EAACAE0">
            <w:pPr>
              <w:jc w:val="center"/>
              <w:rPr>
                <w:rFonts w:hint="default" w:eastAsia="宋体"/>
                <w:color w:val="auto"/>
                <w:lang w:val="en-US" w:eastAsia="zh-CN"/>
              </w:rPr>
            </w:pPr>
            <w:r>
              <w:rPr>
                <w:rFonts w:hint="eastAsia"/>
                <w:color w:val="auto"/>
                <w:lang w:val="en-US" w:eastAsia="zh-CN"/>
              </w:rPr>
              <w:t>0.75</w:t>
            </w:r>
          </w:p>
        </w:tc>
      </w:tr>
      <w:tr w14:paraId="667F0FE1">
        <w:tblPrEx>
          <w:tblCellMar>
            <w:top w:w="0" w:type="dxa"/>
            <w:left w:w="108" w:type="dxa"/>
            <w:bottom w:w="0" w:type="dxa"/>
            <w:right w:w="108" w:type="dxa"/>
          </w:tblCellMar>
        </w:tblPrEx>
        <w:trPr>
          <w:trHeight w:val="340" w:hRule="atLeast"/>
          <w:jc w:val="center"/>
        </w:trPr>
        <w:tc>
          <w:tcPr>
            <w:tcW w:w="796" w:type="pct"/>
            <w:tcBorders>
              <w:top w:val="single" w:color="auto" w:sz="4" w:space="0"/>
              <w:left w:val="single" w:color="auto" w:sz="4" w:space="0"/>
              <w:bottom w:val="single" w:color="auto" w:sz="4" w:space="0"/>
              <w:right w:val="single" w:color="auto" w:sz="4" w:space="0"/>
            </w:tcBorders>
            <w:vAlign w:val="center"/>
          </w:tcPr>
          <w:p w14:paraId="39D3306E">
            <w:pPr>
              <w:jc w:val="center"/>
              <w:rPr>
                <w:color w:val="auto"/>
              </w:rPr>
            </w:pPr>
            <w:r>
              <w:rPr>
                <w:color w:val="auto"/>
              </w:rPr>
              <w:t>2</w:t>
            </w:r>
          </w:p>
        </w:tc>
        <w:tc>
          <w:tcPr>
            <w:tcW w:w="4292" w:type="dxa"/>
            <w:tcBorders>
              <w:top w:val="single" w:color="auto" w:sz="4" w:space="0"/>
              <w:left w:val="nil"/>
              <w:bottom w:val="single" w:color="auto" w:sz="4" w:space="0"/>
              <w:right w:val="single" w:color="auto" w:sz="4" w:space="0"/>
            </w:tcBorders>
            <w:vAlign w:val="center"/>
          </w:tcPr>
          <w:p w14:paraId="75F5B6BD">
            <w:pPr>
              <w:jc w:val="center"/>
              <w:rPr>
                <w:color w:val="auto"/>
              </w:rPr>
            </w:pPr>
            <w:r>
              <w:rPr>
                <w:rFonts w:hint="eastAsia"/>
                <w:color w:val="auto"/>
                <w:lang w:val="en-US" w:eastAsia="zh-CN"/>
              </w:rPr>
              <w:t>100</w:t>
            </w:r>
          </w:p>
        </w:tc>
        <w:tc>
          <w:tcPr>
            <w:tcW w:w="1612" w:type="pct"/>
            <w:tcBorders>
              <w:top w:val="single" w:color="auto" w:sz="4" w:space="0"/>
              <w:left w:val="nil"/>
              <w:bottom w:val="single" w:color="auto" w:sz="4" w:space="0"/>
              <w:right w:val="single" w:color="auto" w:sz="4" w:space="0"/>
            </w:tcBorders>
            <w:vAlign w:val="center"/>
          </w:tcPr>
          <w:p w14:paraId="6E705523">
            <w:pPr>
              <w:jc w:val="center"/>
              <w:rPr>
                <w:rFonts w:hint="default" w:eastAsia="宋体"/>
                <w:color w:val="auto"/>
                <w:lang w:val="en-US" w:eastAsia="zh-CN"/>
              </w:rPr>
            </w:pPr>
            <w:r>
              <w:rPr>
                <w:rFonts w:hint="eastAsia"/>
                <w:color w:val="auto"/>
                <w:lang w:val="en-US" w:eastAsia="zh-CN"/>
              </w:rPr>
              <w:t>1.4</w:t>
            </w:r>
          </w:p>
        </w:tc>
      </w:tr>
      <w:tr w14:paraId="67AD31CA">
        <w:tblPrEx>
          <w:tblCellMar>
            <w:top w:w="0" w:type="dxa"/>
            <w:left w:w="108" w:type="dxa"/>
            <w:bottom w:w="0" w:type="dxa"/>
            <w:right w:w="108" w:type="dxa"/>
          </w:tblCellMar>
        </w:tblPrEx>
        <w:trPr>
          <w:trHeight w:val="340" w:hRule="atLeast"/>
          <w:jc w:val="center"/>
        </w:trPr>
        <w:tc>
          <w:tcPr>
            <w:tcW w:w="796" w:type="pct"/>
            <w:tcBorders>
              <w:top w:val="single" w:color="auto" w:sz="4" w:space="0"/>
              <w:left w:val="single" w:color="auto" w:sz="4" w:space="0"/>
              <w:bottom w:val="single" w:color="auto" w:sz="4" w:space="0"/>
              <w:right w:val="single" w:color="auto" w:sz="4" w:space="0"/>
            </w:tcBorders>
            <w:vAlign w:val="center"/>
          </w:tcPr>
          <w:p w14:paraId="339127CB">
            <w:pPr>
              <w:jc w:val="center"/>
              <w:rPr>
                <w:color w:val="auto"/>
              </w:rPr>
            </w:pPr>
            <w:r>
              <w:rPr>
                <w:color w:val="auto"/>
              </w:rPr>
              <w:t>3</w:t>
            </w:r>
          </w:p>
        </w:tc>
        <w:tc>
          <w:tcPr>
            <w:tcW w:w="4292" w:type="dxa"/>
            <w:tcBorders>
              <w:top w:val="single" w:color="auto" w:sz="4" w:space="0"/>
              <w:left w:val="nil"/>
              <w:bottom w:val="single" w:color="auto" w:sz="4" w:space="0"/>
              <w:right w:val="single" w:color="auto" w:sz="4" w:space="0"/>
            </w:tcBorders>
            <w:vAlign w:val="center"/>
          </w:tcPr>
          <w:p w14:paraId="62B076A7">
            <w:pPr>
              <w:jc w:val="center"/>
              <w:rPr>
                <w:color w:val="auto"/>
              </w:rPr>
            </w:pPr>
            <w:r>
              <w:rPr>
                <w:rFonts w:hint="eastAsia"/>
                <w:color w:val="auto"/>
                <w:lang w:val="en-US" w:eastAsia="zh-CN"/>
              </w:rPr>
              <w:t>200</w:t>
            </w:r>
          </w:p>
        </w:tc>
        <w:tc>
          <w:tcPr>
            <w:tcW w:w="1612" w:type="pct"/>
            <w:tcBorders>
              <w:top w:val="single" w:color="auto" w:sz="4" w:space="0"/>
              <w:left w:val="nil"/>
              <w:bottom w:val="single" w:color="auto" w:sz="4" w:space="0"/>
              <w:right w:val="single" w:color="auto" w:sz="4" w:space="0"/>
            </w:tcBorders>
            <w:vAlign w:val="center"/>
          </w:tcPr>
          <w:p w14:paraId="26C4D1B1">
            <w:pPr>
              <w:jc w:val="center"/>
              <w:rPr>
                <w:rFonts w:hint="default" w:eastAsia="宋体"/>
                <w:color w:val="auto"/>
                <w:lang w:val="en-US" w:eastAsia="zh-CN"/>
              </w:rPr>
            </w:pPr>
            <w:r>
              <w:rPr>
                <w:rFonts w:hint="eastAsia"/>
                <w:color w:val="auto"/>
                <w:lang w:val="en-US" w:eastAsia="zh-CN"/>
              </w:rPr>
              <w:t>2.6</w:t>
            </w:r>
          </w:p>
        </w:tc>
      </w:tr>
      <w:tr w14:paraId="2206B368">
        <w:tblPrEx>
          <w:tblCellMar>
            <w:top w:w="0" w:type="dxa"/>
            <w:left w:w="108" w:type="dxa"/>
            <w:bottom w:w="0" w:type="dxa"/>
            <w:right w:w="108" w:type="dxa"/>
          </w:tblCellMar>
        </w:tblPrEx>
        <w:trPr>
          <w:trHeight w:val="340" w:hRule="atLeast"/>
          <w:jc w:val="center"/>
        </w:trPr>
        <w:tc>
          <w:tcPr>
            <w:tcW w:w="796" w:type="pct"/>
            <w:tcBorders>
              <w:top w:val="single" w:color="auto" w:sz="4" w:space="0"/>
              <w:left w:val="single" w:color="auto" w:sz="4" w:space="0"/>
              <w:bottom w:val="single" w:color="auto" w:sz="4" w:space="0"/>
              <w:right w:val="single" w:color="auto" w:sz="4" w:space="0"/>
            </w:tcBorders>
            <w:vAlign w:val="center"/>
          </w:tcPr>
          <w:p w14:paraId="7A5BFEF3">
            <w:pPr>
              <w:jc w:val="center"/>
              <w:rPr>
                <w:color w:val="auto"/>
              </w:rPr>
            </w:pPr>
            <w:r>
              <w:rPr>
                <w:color w:val="auto"/>
              </w:rPr>
              <w:t>4</w:t>
            </w:r>
          </w:p>
        </w:tc>
        <w:tc>
          <w:tcPr>
            <w:tcW w:w="4292" w:type="dxa"/>
            <w:tcBorders>
              <w:top w:val="single" w:color="auto" w:sz="4" w:space="0"/>
              <w:left w:val="nil"/>
              <w:bottom w:val="single" w:color="auto" w:sz="4" w:space="0"/>
              <w:right w:val="single" w:color="auto" w:sz="4" w:space="0"/>
            </w:tcBorders>
            <w:vAlign w:val="center"/>
          </w:tcPr>
          <w:p w14:paraId="3650B80C">
            <w:pPr>
              <w:jc w:val="center"/>
              <w:rPr>
                <w:color w:val="auto"/>
              </w:rPr>
            </w:pPr>
            <w:r>
              <w:rPr>
                <w:rFonts w:hint="eastAsia"/>
                <w:color w:val="auto"/>
                <w:lang w:val="en-US" w:eastAsia="zh-CN"/>
              </w:rPr>
              <w:t>500</w:t>
            </w:r>
          </w:p>
        </w:tc>
        <w:tc>
          <w:tcPr>
            <w:tcW w:w="1612" w:type="pct"/>
            <w:tcBorders>
              <w:top w:val="single" w:color="auto" w:sz="4" w:space="0"/>
              <w:left w:val="nil"/>
              <w:bottom w:val="single" w:color="auto" w:sz="4" w:space="0"/>
              <w:right w:val="single" w:color="auto" w:sz="4" w:space="0"/>
            </w:tcBorders>
            <w:vAlign w:val="center"/>
          </w:tcPr>
          <w:p w14:paraId="51B1834B">
            <w:pPr>
              <w:jc w:val="center"/>
              <w:rPr>
                <w:rFonts w:hint="eastAsia" w:eastAsia="宋体"/>
                <w:color w:val="auto"/>
                <w:lang w:eastAsia="zh-CN"/>
              </w:rPr>
            </w:pPr>
            <w:r>
              <w:rPr>
                <w:rFonts w:hint="eastAsia"/>
                <w:color w:val="auto"/>
                <w:lang w:val="en-US" w:eastAsia="zh-CN"/>
              </w:rPr>
              <w:t>6</w:t>
            </w:r>
          </w:p>
        </w:tc>
      </w:tr>
      <w:tr w14:paraId="4C2F03DB">
        <w:tblPrEx>
          <w:tblCellMar>
            <w:top w:w="0" w:type="dxa"/>
            <w:left w:w="108" w:type="dxa"/>
            <w:bottom w:w="0" w:type="dxa"/>
            <w:right w:w="108" w:type="dxa"/>
          </w:tblCellMar>
        </w:tblPrEx>
        <w:trPr>
          <w:trHeight w:val="340" w:hRule="atLeast"/>
          <w:jc w:val="center"/>
        </w:trPr>
        <w:tc>
          <w:tcPr>
            <w:tcW w:w="796" w:type="pct"/>
            <w:tcBorders>
              <w:top w:val="single" w:color="auto" w:sz="4" w:space="0"/>
              <w:left w:val="single" w:color="auto" w:sz="4" w:space="0"/>
              <w:bottom w:val="single" w:color="auto" w:sz="4" w:space="0"/>
              <w:right w:val="single" w:color="auto" w:sz="4" w:space="0"/>
            </w:tcBorders>
            <w:vAlign w:val="center"/>
          </w:tcPr>
          <w:p w14:paraId="761D6A7B">
            <w:pPr>
              <w:jc w:val="center"/>
              <w:rPr>
                <w:color w:val="auto"/>
              </w:rPr>
            </w:pPr>
            <w:r>
              <w:rPr>
                <w:color w:val="auto"/>
              </w:rPr>
              <w:t>5</w:t>
            </w:r>
          </w:p>
        </w:tc>
        <w:tc>
          <w:tcPr>
            <w:tcW w:w="4292" w:type="dxa"/>
            <w:tcBorders>
              <w:top w:val="single" w:color="auto" w:sz="4" w:space="0"/>
              <w:left w:val="nil"/>
              <w:bottom w:val="single" w:color="auto" w:sz="4" w:space="0"/>
              <w:right w:val="single" w:color="auto" w:sz="4" w:space="0"/>
            </w:tcBorders>
            <w:vAlign w:val="center"/>
          </w:tcPr>
          <w:p w14:paraId="618AD862">
            <w:pPr>
              <w:jc w:val="center"/>
              <w:rPr>
                <w:color w:val="auto"/>
              </w:rPr>
            </w:pPr>
            <w:r>
              <w:rPr>
                <w:rFonts w:hint="eastAsia"/>
                <w:color w:val="auto"/>
                <w:lang w:val="en-US" w:eastAsia="zh-CN"/>
              </w:rPr>
              <w:t>1000</w:t>
            </w:r>
          </w:p>
        </w:tc>
        <w:tc>
          <w:tcPr>
            <w:tcW w:w="1612" w:type="pct"/>
            <w:tcBorders>
              <w:top w:val="single" w:color="auto" w:sz="4" w:space="0"/>
              <w:left w:val="nil"/>
              <w:bottom w:val="single" w:color="auto" w:sz="4" w:space="0"/>
              <w:right w:val="single" w:color="auto" w:sz="4" w:space="0"/>
            </w:tcBorders>
            <w:vAlign w:val="center"/>
          </w:tcPr>
          <w:p w14:paraId="269C106E">
            <w:pPr>
              <w:jc w:val="center"/>
              <w:rPr>
                <w:rFonts w:hint="default" w:eastAsia="宋体"/>
                <w:color w:val="auto"/>
                <w:lang w:val="en-US" w:eastAsia="zh-CN"/>
              </w:rPr>
            </w:pPr>
            <w:r>
              <w:rPr>
                <w:rFonts w:hint="eastAsia"/>
                <w:color w:val="auto"/>
                <w:lang w:val="en-US" w:eastAsia="zh-CN"/>
              </w:rPr>
              <w:t>11</w:t>
            </w:r>
          </w:p>
        </w:tc>
      </w:tr>
      <w:tr w14:paraId="688A8BE7">
        <w:tblPrEx>
          <w:tblCellMar>
            <w:top w:w="0" w:type="dxa"/>
            <w:left w:w="108" w:type="dxa"/>
            <w:bottom w:w="0" w:type="dxa"/>
            <w:right w:w="108" w:type="dxa"/>
          </w:tblCellMar>
        </w:tblPrEx>
        <w:trPr>
          <w:trHeight w:val="340" w:hRule="atLeast"/>
          <w:jc w:val="center"/>
        </w:trPr>
        <w:tc>
          <w:tcPr>
            <w:tcW w:w="796" w:type="pct"/>
            <w:tcBorders>
              <w:top w:val="single" w:color="auto" w:sz="4" w:space="0"/>
              <w:left w:val="single" w:color="auto" w:sz="4" w:space="0"/>
              <w:bottom w:val="single" w:color="auto" w:sz="4" w:space="0"/>
              <w:right w:val="single" w:color="auto" w:sz="4" w:space="0"/>
            </w:tcBorders>
            <w:vAlign w:val="center"/>
          </w:tcPr>
          <w:p w14:paraId="42B3D5BB">
            <w:pPr>
              <w:jc w:val="center"/>
              <w:rPr>
                <w:color w:val="auto"/>
              </w:rPr>
            </w:pPr>
            <w:r>
              <w:rPr>
                <w:color w:val="auto"/>
              </w:rPr>
              <w:t>6</w:t>
            </w:r>
          </w:p>
        </w:tc>
        <w:tc>
          <w:tcPr>
            <w:tcW w:w="4292" w:type="dxa"/>
            <w:tcBorders>
              <w:top w:val="single" w:color="auto" w:sz="4" w:space="0"/>
              <w:left w:val="nil"/>
              <w:bottom w:val="single" w:color="auto" w:sz="4" w:space="0"/>
              <w:right w:val="single" w:color="auto" w:sz="4" w:space="0"/>
            </w:tcBorders>
            <w:vAlign w:val="center"/>
          </w:tcPr>
          <w:p w14:paraId="081B335D">
            <w:pPr>
              <w:jc w:val="center"/>
              <w:rPr>
                <w:color w:val="auto"/>
              </w:rPr>
            </w:pPr>
            <w:r>
              <w:rPr>
                <w:rFonts w:hint="eastAsia"/>
                <w:color w:val="auto"/>
                <w:lang w:val="en-US" w:eastAsia="zh-CN"/>
              </w:rPr>
              <w:t>3000</w:t>
            </w:r>
          </w:p>
        </w:tc>
        <w:tc>
          <w:tcPr>
            <w:tcW w:w="1612" w:type="pct"/>
            <w:tcBorders>
              <w:top w:val="single" w:color="auto" w:sz="4" w:space="0"/>
              <w:left w:val="nil"/>
              <w:bottom w:val="single" w:color="auto" w:sz="4" w:space="0"/>
              <w:right w:val="single" w:color="auto" w:sz="4" w:space="0"/>
            </w:tcBorders>
            <w:vAlign w:val="center"/>
          </w:tcPr>
          <w:p w14:paraId="168E34C1">
            <w:pPr>
              <w:jc w:val="center"/>
              <w:rPr>
                <w:rFonts w:hint="default" w:eastAsia="宋体"/>
                <w:color w:val="auto"/>
                <w:lang w:val="en-US" w:eastAsia="zh-CN"/>
              </w:rPr>
            </w:pPr>
            <w:r>
              <w:rPr>
                <w:rFonts w:hint="eastAsia"/>
                <w:color w:val="auto"/>
                <w:lang w:val="en-US" w:eastAsia="zh-CN"/>
              </w:rPr>
              <w:t>30</w:t>
            </w:r>
          </w:p>
        </w:tc>
      </w:tr>
      <w:tr w14:paraId="7D083AE9">
        <w:tblPrEx>
          <w:tblCellMar>
            <w:top w:w="0" w:type="dxa"/>
            <w:left w:w="108" w:type="dxa"/>
            <w:bottom w:w="0" w:type="dxa"/>
            <w:right w:w="108" w:type="dxa"/>
          </w:tblCellMar>
        </w:tblPrEx>
        <w:trPr>
          <w:trHeight w:val="340" w:hRule="atLeast"/>
          <w:jc w:val="center"/>
        </w:trPr>
        <w:tc>
          <w:tcPr>
            <w:tcW w:w="796" w:type="pct"/>
            <w:tcBorders>
              <w:top w:val="single" w:color="auto" w:sz="4" w:space="0"/>
              <w:left w:val="single" w:color="auto" w:sz="4" w:space="0"/>
              <w:bottom w:val="single" w:color="auto" w:sz="4" w:space="0"/>
              <w:right w:val="single" w:color="auto" w:sz="4" w:space="0"/>
            </w:tcBorders>
            <w:vAlign w:val="center"/>
          </w:tcPr>
          <w:p w14:paraId="459C139F">
            <w:pPr>
              <w:jc w:val="center"/>
              <w:rPr>
                <w:rFonts w:hint="eastAsia" w:eastAsia="宋体"/>
                <w:color w:val="auto"/>
                <w:lang w:val="en-US" w:eastAsia="zh-CN"/>
              </w:rPr>
            </w:pPr>
            <w:r>
              <w:rPr>
                <w:rFonts w:hint="eastAsia"/>
                <w:color w:val="auto"/>
                <w:lang w:val="en-US" w:eastAsia="zh-CN"/>
              </w:rPr>
              <w:t>7</w:t>
            </w:r>
          </w:p>
        </w:tc>
        <w:tc>
          <w:tcPr>
            <w:tcW w:w="4292" w:type="dxa"/>
            <w:tcBorders>
              <w:top w:val="single" w:color="auto" w:sz="4" w:space="0"/>
              <w:left w:val="nil"/>
              <w:bottom w:val="single" w:color="auto" w:sz="4" w:space="0"/>
              <w:right w:val="single" w:color="auto" w:sz="4" w:space="0"/>
            </w:tcBorders>
            <w:vAlign w:val="center"/>
          </w:tcPr>
          <w:p w14:paraId="3BF28C72">
            <w:pPr>
              <w:jc w:val="center"/>
              <w:rPr>
                <w:color w:val="auto"/>
              </w:rPr>
            </w:pPr>
            <w:r>
              <w:rPr>
                <w:rFonts w:hint="eastAsia"/>
                <w:color w:val="auto"/>
                <w:lang w:val="en-US" w:eastAsia="zh-CN"/>
              </w:rPr>
              <w:t>5000</w:t>
            </w:r>
          </w:p>
        </w:tc>
        <w:tc>
          <w:tcPr>
            <w:tcW w:w="1612" w:type="pct"/>
            <w:tcBorders>
              <w:top w:val="single" w:color="auto" w:sz="4" w:space="0"/>
              <w:left w:val="nil"/>
              <w:bottom w:val="single" w:color="auto" w:sz="4" w:space="0"/>
              <w:right w:val="single" w:color="auto" w:sz="4" w:space="0"/>
            </w:tcBorders>
            <w:vAlign w:val="center"/>
          </w:tcPr>
          <w:p w14:paraId="0B91CD8D">
            <w:pPr>
              <w:jc w:val="center"/>
              <w:rPr>
                <w:rFonts w:hint="default" w:eastAsia="宋体"/>
                <w:color w:val="auto"/>
                <w:lang w:val="en-US" w:eastAsia="zh-CN"/>
              </w:rPr>
            </w:pPr>
            <w:r>
              <w:rPr>
                <w:rFonts w:hint="eastAsia"/>
                <w:color w:val="auto"/>
                <w:lang w:val="en-US" w:eastAsia="zh-CN"/>
              </w:rPr>
              <w:t>45</w:t>
            </w:r>
          </w:p>
        </w:tc>
      </w:tr>
      <w:tr w14:paraId="1E605C23">
        <w:tblPrEx>
          <w:tblCellMar>
            <w:top w:w="0" w:type="dxa"/>
            <w:left w:w="108" w:type="dxa"/>
            <w:bottom w:w="0" w:type="dxa"/>
            <w:right w:w="108" w:type="dxa"/>
          </w:tblCellMar>
        </w:tblPrEx>
        <w:trPr>
          <w:trHeight w:val="340" w:hRule="atLeast"/>
          <w:jc w:val="center"/>
        </w:trPr>
        <w:tc>
          <w:tcPr>
            <w:tcW w:w="796" w:type="pct"/>
            <w:tcBorders>
              <w:top w:val="single" w:color="auto" w:sz="4" w:space="0"/>
              <w:left w:val="single" w:color="auto" w:sz="4" w:space="0"/>
              <w:bottom w:val="single" w:color="auto" w:sz="4" w:space="0"/>
              <w:right w:val="single" w:color="auto" w:sz="4" w:space="0"/>
            </w:tcBorders>
            <w:vAlign w:val="center"/>
          </w:tcPr>
          <w:p w14:paraId="3D333A27">
            <w:pPr>
              <w:jc w:val="center"/>
              <w:rPr>
                <w:rFonts w:hint="eastAsia" w:eastAsia="宋体"/>
                <w:color w:val="auto"/>
                <w:lang w:val="en-US" w:eastAsia="zh-CN"/>
              </w:rPr>
            </w:pPr>
            <w:r>
              <w:rPr>
                <w:rFonts w:hint="eastAsia"/>
                <w:color w:val="auto"/>
                <w:lang w:val="en-US" w:eastAsia="zh-CN"/>
              </w:rPr>
              <w:t>8</w:t>
            </w:r>
          </w:p>
        </w:tc>
        <w:tc>
          <w:tcPr>
            <w:tcW w:w="4292" w:type="dxa"/>
            <w:tcBorders>
              <w:top w:val="single" w:color="auto" w:sz="4" w:space="0"/>
              <w:left w:val="nil"/>
              <w:bottom w:val="single" w:color="auto" w:sz="4" w:space="0"/>
              <w:right w:val="single" w:color="auto" w:sz="4" w:space="0"/>
            </w:tcBorders>
            <w:vAlign w:val="center"/>
          </w:tcPr>
          <w:p w14:paraId="38FD82DC">
            <w:pPr>
              <w:jc w:val="center"/>
              <w:rPr>
                <w:color w:val="auto"/>
              </w:rPr>
            </w:pPr>
            <w:r>
              <w:rPr>
                <w:color w:val="auto"/>
              </w:rPr>
              <w:t>10000</w:t>
            </w:r>
          </w:p>
        </w:tc>
        <w:tc>
          <w:tcPr>
            <w:tcW w:w="1612" w:type="pct"/>
            <w:tcBorders>
              <w:top w:val="single" w:color="auto" w:sz="4" w:space="0"/>
              <w:left w:val="nil"/>
              <w:bottom w:val="single" w:color="auto" w:sz="4" w:space="0"/>
              <w:right w:val="single" w:color="auto" w:sz="4" w:space="0"/>
            </w:tcBorders>
            <w:vAlign w:val="center"/>
          </w:tcPr>
          <w:p w14:paraId="0F74874B">
            <w:pPr>
              <w:jc w:val="center"/>
              <w:rPr>
                <w:rFonts w:hint="default" w:eastAsia="宋体"/>
                <w:color w:val="auto"/>
                <w:lang w:val="en-US" w:eastAsia="zh-CN"/>
              </w:rPr>
            </w:pPr>
            <w:r>
              <w:rPr>
                <w:rFonts w:hint="eastAsia"/>
                <w:color w:val="auto"/>
                <w:lang w:val="en-US" w:eastAsia="zh-CN"/>
              </w:rPr>
              <w:t>80</w:t>
            </w:r>
          </w:p>
        </w:tc>
      </w:tr>
    </w:tbl>
    <w:p w14:paraId="26261B2D">
      <w:pPr>
        <w:spacing w:line="360" w:lineRule="auto"/>
        <w:ind w:firstLine="361" w:firstLineChars="200"/>
        <w:rPr>
          <w:b/>
          <w:bCs w:val="0"/>
          <w:color w:val="auto"/>
          <w:sz w:val="24"/>
        </w:rPr>
      </w:pPr>
      <w:r>
        <w:rPr>
          <w:b/>
          <w:bCs w:val="0"/>
          <w:color w:val="auto"/>
          <w:sz w:val="18"/>
          <w:szCs w:val="18"/>
        </w:rPr>
        <w:t>注：</w:t>
      </w:r>
      <w:r>
        <w:rPr>
          <w:rFonts w:hint="eastAsia"/>
          <w:b/>
          <w:bCs w:val="0"/>
          <w:color w:val="auto"/>
          <w:sz w:val="18"/>
          <w:szCs w:val="18"/>
          <w:lang w:val="en-US" w:eastAsia="zh-CN"/>
        </w:rPr>
        <w:t>计费基数不足50万元时，按0.75万元计取；</w:t>
      </w:r>
      <w:r>
        <w:rPr>
          <w:b/>
          <w:bCs w:val="0"/>
          <w:color w:val="auto"/>
          <w:sz w:val="18"/>
          <w:szCs w:val="18"/>
        </w:rPr>
        <w:t>计费基数大于1亿元时，按计费基数的</w:t>
      </w:r>
      <w:r>
        <w:rPr>
          <w:rFonts w:hint="eastAsia"/>
          <w:b/>
          <w:bCs w:val="0"/>
          <w:color w:val="auto"/>
          <w:sz w:val="18"/>
          <w:szCs w:val="18"/>
          <w:lang w:val="en-US" w:eastAsia="zh-CN"/>
        </w:rPr>
        <w:t>0.80</w:t>
      </w:r>
      <w:r>
        <w:rPr>
          <w:b/>
          <w:bCs w:val="0"/>
          <w:color w:val="auto"/>
          <w:sz w:val="18"/>
          <w:szCs w:val="18"/>
        </w:rPr>
        <w:t>%计取。</w:t>
      </w:r>
    </w:p>
    <w:p w14:paraId="407F63C8">
      <w:pPr>
        <w:spacing w:line="360" w:lineRule="auto"/>
        <w:ind w:firstLine="560" w:firstLineChars="200"/>
        <w:jc w:val="left"/>
        <w:rPr>
          <w:color w:val="auto"/>
          <w:sz w:val="28"/>
          <w:szCs w:val="28"/>
        </w:rPr>
      </w:pPr>
      <w:r>
        <w:rPr>
          <w:color w:val="auto"/>
          <w:sz w:val="28"/>
          <w:szCs w:val="28"/>
        </w:rPr>
        <w:t>项目设计与预算编制费</w:t>
      </w:r>
      <w:r>
        <w:rPr>
          <w:rFonts w:hint="eastAsia"/>
          <w:color w:val="auto"/>
          <w:sz w:val="28"/>
          <w:szCs w:val="28"/>
        </w:rPr>
        <w:t>以工程施工费作为计费基数，采用分档定额计费方式计算，各区间按内插法确定</w:t>
      </w:r>
      <w:r>
        <w:rPr>
          <w:color w:val="auto"/>
          <w:sz w:val="28"/>
          <w:szCs w:val="28"/>
        </w:rPr>
        <w:t>。见表6-</w:t>
      </w:r>
      <w:r>
        <w:rPr>
          <w:rFonts w:hint="eastAsia"/>
          <w:color w:val="auto"/>
          <w:sz w:val="28"/>
          <w:szCs w:val="28"/>
          <w:lang w:val="en-US" w:eastAsia="zh-CN"/>
        </w:rPr>
        <w:t>5</w:t>
      </w:r>
      <w:r>
        <w:rPr>
          <w:color w:val="auto"/>
          <w:sz w:val="28"/>
          <w:szCs w:val="28"/>
        </w:rPr>
        <w:t>。</w:t>
      </w:r>
    </w:p>
    <w:p w14:paraId="0C07C094">
      <w:pPr>
        <w:spacing w:line="360" w:lineRule="auto"/>
        <w:ind w:firstLine="480" w:firstLineChars="200"/>
        <w:jc w:val="center"/>
        <w:rPr>
          <w:rFonts w:ascii="Times New Roman" w:hAnsi="Times New Roman" w:eastAsia="黑体" w:cs="Times New Roman"/>
          <w:color w:val="auto"/>
          <w:sz w:val="24"/>
          <w:szCs w:val="22"/>
        </w:rPr>
      </w:pPr>
      <w:r>
        <w:rPr>
          <w:rFonts w:ascii="Times New Roman" w:hAnsi="Times New Roman" w:eastAsia="黑体" w:cs="Times New Roman"/>
          <w:color w:val="auto"/>
          <w:sz w:val="24"/>
          <w:szCs w:val="22"/>
        </w:rPr>
        <w:t>表6-</w:t>
      </w:r>
      <w:r>
        <w:rPr>
          <w:rFonts w:hint="eastAsia" w:ascii="Times New Roman" w:hAnsi="Times New Roman" w:eastAsia="黑体" w:cs="Times New Roman"/>
          <w:color w:val="auto"/>
          <w:sz w:val="24"/>
          <w:szCs w:val="22"/>
          <w:lang w:val="en-US" w:eastAsia="zh-CN"/>
        </w:rPr>
        <w:t xml:space="preserve">5  </w:t>
      </w:r>
      <w:r>
        <w:rPr>
          <w:rFonts w:hint="eastAsia" w:ascii="Times New Roman" w:hAnsi="Times New Roman" w:eastAsia="黑体" w:cs="Times New Roman"/>
          <w:color w:val="auto"/>
          <w:sz w:val="24"/>
          <w:szCs w:val="22"/>
        </w:rPr>
        <w:t>项目设计与预算编制费计费标准</w:t>
      </w:r>
    </w:p>
    <w:tbl>
      <w:tblPr>
        <w:tblStyle w:val="34"/>
        <w:tblW w:w="4980" w:type="pct"/>
        <w:jc w:val="center"/>
        <w:tblLayout w:type="autofit"/>
        <w:tblCellMar>
          <w:top w:w="0" w:type="dxa"/>
          <w:left w:w="108" w:type="dxa"/>
          <w:bottom w:w="0" w:type="dxa"/>
          <w:right w:w="108" w:type="dxa"/>
        </w:tblCellMar>
      </w:tblPr>
      <w:tblGrid>
        <w:gridCol w:w="1317"/>
        <w:gridCol w:w="3730"/>
        <w:gridCol w:w="3232"/>
      </w:tblGrid>
      <w:tr w14:paraId="18C37B6C">
        <w:tblPrEx>
          <w:tblCellMar>
            <w:top w:w="0" w:type="dxa"/>
            <w:left w:w="108" w:type="dxa"/>
            <w:bottom w:w="0" w:type="dxa"/>
            <w:right w:w="108" w:type="dxa"/>
          </w:tblCellMar>
        </w:tblPrEx>
        <w:trPr>
          <w:trHeight w:val="340" w:hRule="atLeast"/>
          <w:tblHeader/>
          <w:jc w:val="center"/>
        </w:trPr>
        <w:tc>
          <w:tcPr>
            <w:tcW w:w="795" w:type="pct"/>
            <w:tcBorders>
              <w:top w:val="single" w:color="auto" w:sz="4" w:space="0"/>
              <w:left w:val="single" w:color="auto" w:sz="4" w:space="0"/>
              <w:bottom w:val="single" w:color="auto" w:sz="4" w:space="0"/>
              <w:right w:val="single" w:color="auto" w:sz="4" w:space="0"/>
            </w:tcBorders>
            <w:vAlign w:val="center"/>
          </w:tcPr>
          <w:p w14:paraId="194FE44C">
            <w:pPr>
              <w:jc w:val="center"/>
              <w:rPr>
                <w:color w:val="auto"/>
              </w:rPr>
            </w:pPr>
            <w:r>
              <w:rPr>
                <w:color w:val="auto"/>
              </w:rPr>
              <w:t>序号</w:t>
            </w:r>
          </w:p>
        </w:tc>
        <w:tc>
          <w:tcPr>
            <w:tcW w:w="2252" w:type="pct"/>
            <w:tcBorders>
              <w:top w:val="single" w:color="auto" w:sz="4" w:space="0"/>
              <w:left w:val="single" w:color="auto" w:sz="4" w:space="0"/>
              <w:bottom w:val="single" w:color="auto" w:sz="4" w:space="0"/>
              <w:right w:val="single" w:color="auto" w:sz="4" w:space="0"/>
            </w:tcBorders>
            <w:vAlign w:val="center"/>
          </w:tcPr>
          <w:p w14:paraId="0B9D69A3">
            <w:pPr>
              <w:jc w:val="center"/>
              <w:rPr>
                <w:color w:val="auto"/>
              </w:rPr>
            </w:pPr>
            <w:r>
              <w:rPr>
                <w:color w:val="auto"/>
              </w:rPr>
              <w:t>计费基数(万元)</w:t>
            </w:r>
          </w:p>
        </w:tc>
        <w:tc>
          <w:tcPr>
            <w:tcW w:w="1951" w:type="pct"/>
            <w:tcBorders>
              <w:top w:val="single" w:color="auto" w:sz="4" w:space="0"/>
              <w:left w:val="single" w:color="auto" w:sz="4" w:space="0"/>
              <w:bottom w:val="single" w:color="auto" w:sz="4" w:space="0"/>
              <w:right w:val="single" w:color="auto" w:sz="4" w:space="0"/>
            </w:tcBorders>
            <w:vAlign w:val="center"/>
          </w:tcPr>
          <w:p w14:paraId="34D8AACF">
            <w:pPr>
              <w:jc w:val="center"/>
              <w:rPr>
                <w:rFonts w:ascii="Times New Roman" w:hAnsi="Times New Roman" w:cs="Times New Roman"/>
                <w:color w:val="auto"/>
              </w:rPr>
            </w:pPr>
            <w:r>
              <w:rPr>
                <w:rFonts w:hint="eastAsia" w:ascii="Times New Roman" w:hAnsi="Times New Roman" w:cs="Times New Roman"/>
                <w:color w:val="auto"/>
              </w:rPr>
              <w:t>项目设计与预算编制费</w:t>
            </w:r>
            <w:r>
              <w:rPr>
                <w:rFonts w:ascii="Times New Roman" w:hAnsi="Times New Roman" w:cs="Times New Roman"/>
                <w:color w:val="auto"/>
              </w:rPr>
              <w:t>(万元)</w:t>
            </w:r>
          </w:p>
        </w:tc>
      </w:tr>
      <w:tr w14:paraId="1DB69816">
        <w:tblPrEx>
          <w:tblCellMar>
            <w:top w:w="0" w:type="dxa"/>
            <w:left w:w="108" w:type="dxa"/>
            <w:bottom w:w="0" w:type="dxa"/>
            <w:right w:w="108" w:type="dxa"/>
          </w:tblCellMar>
        </w:tblPrEx>
        <w:trPr>
          <w:trHeight w:val="340" w:hRule="atLeast"/>
          <w:jc w:val="center"/>
        </w:trPr>
        <w:tc>
          <w:tcPr>
            <w:tcW w:w="795" w:type="pct"/>
            <w:tcBorders>
              <w:top w:val="nil"/>
              <w:left w:val="single" w:color="auto" w:sz="4" w:space="0"/>
              <w:bottom w:val="single" w:color="auto" w:sz="4" w:space="0"/>
              <w:right w:val="single" w:color="auto" w:sz="4" w:space="0"/>
            </w:tcBorders>
            <w:vAlign w:val="center"/>
          </w:tcPr>
          <w:p w14:paraId="3C7703F4">
            <w:pPr>
              <w:jc w:val="center"/>
              <w:rPr>
                <w:color w:val="auto"/>
              </w:rPr>
            </w:pPr>
            <w:r>
              <w:rPr>
                <w:color w:val="auto"/>
              </w:rPr>
              <w:t>1</w:t>
            </w:r>
          </w:p>
        </w:tc>
        <w:tc>
          <w:tcPr>
            <w:tcW w:w="2252" w:type="pct"/>
            <w:tcBorders>
              <w:top w:val="nil"/>
              <w:left w:val="nil"/>
              <w:bottom w:val="single" w:color="auto" w:sz="4" w:space="0"/>
              <w:right w:val="single" w:color="auto" w:sz="4" w:space="0"/>
            </w:tcBorders>
            <w:vAlign w:val="center"/>
          </w:tcPr>
          <w:p w14:paraId="4264B45A">
            <w:pPr>
              <w:jc w:val="center"/>
              <w:rPr>
                <w:color w:val="auto"/>
              </w:rPr>
            </w:pPr>
            <w:r>
              <w:rPr>
                <w:rFonts w:hint="eastAsia"/>
                <w:color w:val="auto"/>
                <w:lang w:val="en-US" w:eastAsia="zh-CN"/>
              </w:rPr>
              <w:t>≤50</w:t>
            </w:r>
          </w:p>
        </w:tc>
        <w:tc>
          <w:tcPr>
            <w:tcW w:w="1951" w:type="pct"/>
            <w:tcBorders>
              <w:top w:val="nil"/>
              <w:left w:val="nil"/>
              <w:bottom w:val="single" w:color="auto" w:sz="4" w:space="0"/>
              <w:right w:val="single" w:color="auto" w:sz="4" w:space="0"/>
            </w:tcBorders>
            <w:vAlign w:val="center"/>
          </w:tcPr>
          <w:p w14:paraId="2265FBA6">
            <w:pPr>
              <w:jc w:val="center"/>
              <w:rPr>
                <w:rFonts w:hint="default" w:eastAsia="宋体"/>
                <w:color w:val="auto"/>
                <w:lang w:val="en-US" w:eastAsia="zh-CN"/>
              </w:rPr>
            </w:pPr>
            <w:r>
              <w:rPr>
                <w:rFonts w:hint="eastAsia"/>
                <w:color w:val="auto"/>
                <w:lang w:val="en-US" w:eastAsia="zh-CN"/>
              </w:rPr>
              <w:t>2.25</w:t>
            </w:r>
          </w:p>
        </w:tc>
      </w:tr>
      <w:tr w14:paraId="03B36940">
        <w:tblPrEx>
          <w:tblCellMar>
            <w:top w:w="0" w:type="dxa"/>
            <w:left w:w="108" w:type="dxa"/>
            <w:bottom w:w="0" w:type="dxa"/>
            <w:right w:w="108" w:type="dxa"/>
          </w:tblCellMar>
        </w:tblPrEx>
        <w:trPr>
          <w:trHeight w:val="340" w:hRule="atLeast"/>
          <w:jc w:val="center"/>
        </w:trPr>
        <w:tc>
          <w:tcPr>
            <w:tcW w:w="795" w:type="pct"/>
            <w:tcBorders>
              <w:top w:val="single" w:color="auto" w:sz="4" w:space="0"/>
              <w:left w:val="single" w:color="auto" w:sz="4" w:space="0"/>
              <w:bottom w:val="single" w:color="auto" w:sz="4" w:space="0"/>
              <w:right w:val="single" w:color="auto" w:sz="4" w:space="0"/>
            </w:tcBorders>
            <w:vAlign w:val="center"/>
          </w:tcPr>
          <w:p w14:paraId="30F3E801">
            <w:pPr>
              <w:jc w:val="center"/>
              <w:rPr>
                <w:color w:val="auto"/>
              </w:rPr>
            </w:pPr>
            <w:r>
              <w:rPr>
                <w:color w:val="auto"/>
              </w:rPr>
              <w:t>2</w:t>
            </w:r>
          </w:p>
        </w:tc>
        <w:tc>
          <w:tcPr>
            <w:tcW w:w="2252" w:type="pct"/>
            <w:tcBorders>
              <w:top w:val="single" w:color="auto" w:sz="4" w:space="0"/>
              <w:left w:val="nil"/>
              <w:bottom w:val="single" w:color="auto" w:sz="4" w:space="0"/>
              <w:right w:val="single" w:color="auto" w:sz="4" w:space="0"/>
            </w:tcBorders>
            <w:vAlign w:val="center"/>
          </w:tcPr>
          <w:p w14:paraId="69C775C6">
            <w:pPr>
              <w:jc w:val="center"/>
              <w:rPr>
                <w:color w:val="auto"/>
              </w:rPr>
            </w:pPr>
            <w:r>
              <w:rPr>
                <w:rFonts w:hint="eastAsia"/>
                <w:color w:val="auto"/>
                <w:lang w:val="en-US" w:eastAsia="zh-CN"/>
              </w:rPr>
              <w:t>100</w:t>
            </w:r>
          </w:p>
        </w:tc>
        <w:tc>
          <w:tcPr>
            <w:tcW w:w="1951" w:type="pct"/>
            <w:tcBorders>
              <w:top w:val="single" w:color="auto" w:sz="4" w:space="0"/>
              <w:left w:val="nil"/>
              <w:bottom w:val="single" w:color="auto" w:sz="4" w:space="0"/>
              <w:right w:val="single" w:color="auto" w:sz="4" w:space="0"/>
            </w:tcBorders>
            <w:vAlign w:val="center"/>
          </w:tcPr>
          <w:p w14:paraId="662E06E9">
            <w:pPr>
              <w:jc w:val="center"/>
              <w:rPr>
                <w:rFonts w:hint="default" w:eastAsia="宋体"/>
                <w:color w:val="auto"/>
                <w:lang w:val="en-US" w:eastAsia="zh-CN"/>
              </w:rPr>
            </w:pPr>
            <w:r>
              <w:rPr>
                <w:rFonts w:hint="eastAsia"/>
                <w:color w:val="auto"/>
                <w:lang w:val="en-US" w:eastAsia="zh-CN"/>
              </w:rPr>
              <w:t>4.5</w:t>
            </w:r>
          </w:p>
        </w:tc>
      </w:tr>
      <w:tr w14:paraId="4A2F6CED">
        <w:tblPrEx>
          <w:tblCellMar>
            <w:top w:w="0" w:type="dxa"/>
            <w:left w:w="108" w:type="dxa"/>
            <w:bottom w:w="0" w:type="dxa"/>
            <w:right w:w="108" w:type="dxa"/>
          </w:tblCellMar>
        </w:tblPrEx>
        <w:trPr>
          <w:trHeight w:val="340" w:hRule="atLeast"/>
          <w:jc w:val="center"/>
        </w:trPr>
        <w:tc>
          <w:tcPr>
            <w:tcW w:w="795" w:type="pct"/>
            <w:tcBorders>
              <w:top w:val="single" w:color="auto" w:sz="4" w:space="0"/>
              <w:left w:val="single" w:color="auto" w:sz="4" w:space="0"/>
              <w:bottom w:val="single" w:color="auto" w:sz="4" w:space="0"/>
              <w:right w:val="single" w:color="auto" w:sz="4" w:space="0"/>
            </w:tcBorders>
            <w:vAlign w:val="center"/>
          </w:tcPr>
          <w:p w14:paraId="70EAB5B8">
            <w:pPr>
              <w:jc w:val="center"/>
              <w:rPr>
                <w:color w:val="auto"/>
              </w:rPr>
            </w:pPr>
            <w:r>
              <w:rPr>
                <w:color w:val="auto"/>
              </w:rPr>
              <w:t>3</w:t>
            </w:r>
          </w:p>
        </w:tc>
        <w:tc>
          <w:tcPr>
            <w:tcW w:w="2252" w:type="pct"/>
            <w:tcBorders>
              <w:top w:val="single" w:color="auto" w:sz="4" w:space="0"/>
              <w:left w:val="nil"/>
              <w:bottom w:val="single" w:color="auto" w:sz="4" w:space="0"/>
              <w:right w:val="single" w:color="auto" w:sz="4" w:space="0"/>
            </w:tcBorders>
            <w:vAlign w:val="center"/>
          </w:tcPr>
          <w:p w14:paraId="560AC6F2">
            <w:pPr>
              <w:jc w:val="center"/>
              <w:rPr>
                <w:color w:val="auto"/>
              </w:rPr>
            </w:pPr>
            <w:r>
              <w:rPr>
                <w:rFonts w:hint="eastAsia"/>
                <w:color w:val="auto"/>
                <w:lang w:val="en-US" w:eastAsia="zh-CN"/>
              </w:rPr>
              <w:t>200</w:t>
            </w:r>
          </w:p>
        </w:tc>
        <w:tc>
          <w:tcPr>
            <w:tcW w:w="1951" w:type="pct"/>
            <w:tcBorders>
              <w:top w:val="single" w:color="auto" w:sz="4" w:space="0"/>
              <w:left w:val="nil"/>
              <w:bottom w:val="single" w:color="auto" w:sz="4" w:space="0"/>
              <w:right w:val="single" w:color="auto" w:sz="4" w:space="0"/>
            </w:tcBorders>
            <w:vAlign w:val="center"/>
          </w:tcPr>
          <w:p w14:paraId="27E7F92E">
            <w:pPr>
              <w:jc w:val="center"/>
              <w:rPr>
                <w:rFonts w:hint="default" w:eastAsia="宋体"/>
                <w:color w:val="auto"/>
                <w:lang w:val="en-US" w:eastAsia="zh-CN"/>
              </w:rPr>
            </w:pPr>
            <w:r>
              <w:rPr>
                <w:rFonts w:hint="eastAsia"/>
                <w:color w:val="auto"/>
                <w:lang w:val="en-US" w:eastAsia="zh-CN"/>
              </w:rPr>
              <w:t>9</w:t>
            </w:r>
          </w:p>
        </w:tc>
      </w:tr>
      <w:tr w14:paraId="059AD1B9">
        <w:tblPrEx>
          <w:tblCellMar>
            <w:top w:w="0" w:type="dxa"/>
            <w:left w:w="108" w:type="dxa"/>
            <w:bottom w:w="0" w:type="dxa"/>
            <w:right w:w="108" w:type="dxa"/>
          </w:tblCellMar>
        </w:tblPrEx>
        <w:trPr>
          <w:trHeight w:val="340" w:hRule="atLeast"/>
          <w:jc w:val="center"/>
        </w:trPr>
        <w:tc>
          <w:tcPr>
            <w:tcW w:w="795" w:type="pct"/>
            <w:tcBorders>
              <w:top w:val="single" w:color="auto" w:sz="4" w:space="0"/>
              <w:left w:val="single" w:color="auto" w:sz="4" w:space="0"/>
              <w:bottom w:val="single" w:color="auto" w:sz="4" w:space="0"/>
              <w:right w:val="single" w:color="auto" w:sz="4" w:space="0"/>
            </w:tcBorders>
            <w:vAlign w:val="center"/>
          </w:tcPr>
          <w:p w14:paraId="15442B81">
            <w:pPr>
              <w:jc w:val="center"/>
              <w:rPr>
                <w:color w:val="auto"/>
              </w:rPr>
            </w:pPr>
            <w:r>
              <w:rPr>
                <w:color w:val="auto"/>
              </w:rPr>
              <w:t>4</w:t>
            </w:r>
          </w:p>
        </w:tc>
        <w:tc>
          <w:tcPr>
            <w:tcW w:w="2252" w:type="pct"/>
            <w:tcBorders>
              <w:top w:val="single" w:color="auto" w:sz="4" w:space="0"/>
              <w:left w:val="nil"/>
              <w:bottom w:val="single" w:color="auto" w:sz="4" w:space="0"/>
              <w:right w:val="single" w:color="auto" w:sz="4" w:space="0"/>
            </w:tcBorders>
            <w:vAlign w:val="center"/>
          </w:tcPr>
          <w:p w14:paraId="25246362">
            <w:pPr>
              <w:jc w:val="center"/>
              <w:rPr>
                <w:color w:val="auto"/>
              </w:rPr>
            </w:pPr>
            <w:r>
              <w:rPr>
                <w:rFonts w:hint="eastAsia"/>
                <w:color w:val="auto"/>
                <w:lang w:val="en-US" w:eastAsia="zh-CN"/>
              </w:rPr>
              <w:t>500</w:t>
            </w:r>
          </w:p>
        </w:tc>
        <w:tc>
          <w:tcPr>
            <w:tcW w:w="1951" w:type="pct"/>
            <w:tcBorders>
              <w:top w:val="single" w:color="auto" w:sz="4" w:space="0"/>
              <w:left w:val="nil"/>
              <w:bottom w:val="single" w:color="auto" w:sz="4" w:space="0"/>
              <w:right w:val="single" w:color="auto" w:sz="4" w:space="0"/>
            </w:tcBorders>
            <w:vAlign w:val="center"/>
          </w:tcPr>
          <w:p w14:paraId="3B8282BF">
            <w:pPr>
              <w:jc w:val="center"/>
              <w:rPr>
                <w:rFonts w:hint="default" w:eastAsia="宋体"/>
                <w:color w:val="auto"/>
                <w:lang w:val="en-US" w:eastAsia="zh-CN"/>
              </w:rPr>
            </w:pPr>
            <w:r>
              <w:rPr>
                <w:rFonts w:hint="eastAsia"/>
                <w:color w:val="auto"/>
                <w:lang w:val="en-US" w:eastAsia="zh-CN"/>
              </w:rPr>
              <w:t>20.9</w:t>
            </w:r>
          </w:p>
        </w:tc>
      </w:tr>
      <w:tr w14:paraId="384FEF64">
        <w:tblPrEx>
          <w:tblCellMar>
            <w:top w:w="0" w:type="dxa"/>
            <w:left w:w="108" w:type="dxa"/>
            <w:bottom w:w="0" w:type="dxa"/>
            <w:right w:w="108" w:type="dxa"/>
          </w:tblCellMar>
        </w:tblPrEx>
        <w:trPr>
          <w:trHeight w:val="340" w:hRule="atLeast"/>
          <w:jc w:val="center"/>
        </w:trPr>
        <w:tc>
          <w:tcPr>
            <w:tcW w:w="795" w:type="pct"/>
            <w:tcBorders>
              <w:top w:val="single" w:color="auto" w:sz="4" w:space="0"/>
              <w:left w:val="single" w:color="auto" w:sz="4" w:space="0"/>
              <w:bottom w:val="single" w:color="auto" w:sz="4" w:space="0"/>
              <w:right w:val="single" w:color="auto" w:sz="4" w:space="0"/>
            </w:tcBorders>
            <w:vAlign w:val="center"/>
          </w:tcPr>
          <w:p w14:paraId="7B10204B">
            <w:pPr>
              <w:jc w:val="center"/>
              <w:rPr>
                <w:color w:val="auto"/>
              </w:rPr>
            </w:pPr>
            <w:r>
              <w:rPr>
                <w:color w:val="auto"/>
              </w:rPr>
              <w:t>5</w:t>
            </w:r>
          </w:p>
        </w:tc>
        <w:tc>
          <w:tcPr>
            <w:tcW w:w="2252" w:type="pct"/>
            <w:tcBorders>
              <w:top w:val="single" w:color="auto" w:sz="4" w:space="0"/>
              <w:left w:val="nil"/>
              <w:bottom w:val="single" w:color="auto" w:sz="4" w:space="0"/>
              <w:right w:val="single" w:color="auto" w:sz="4" w:space="0"/>
            </w:tcBorders>
            <w:vAlign w:val="center"/>
          </w:tcPr>
          <w:p w14:paraId="6B46563C">
            <w:pPr>
              <w:jc w:val="center"/>
              <w:rPr>
                <w:color w:val="auto"/>
              </w:rPr>
            </w:pPr>
            <w:r>
              <w:rPr>
                <w:rFonts w:hint="eastAsia"/>
                <w:color w:val="auto"/>
                <w:lang w:val="en-US" w:eastAsia="zh-CN"/>
              </w:rPr>
              <w:t>1000</w:t>
            </w:r>
          </w:p>
        </w:tc>
        <w:tc>
          <w:tcPr>
            <w:tcW w:w="1951" w:type="pct"/>
            <w:tcBorders>
              <w:top w:val="single" w:color="auto" w:sz="4" w:space="0"/>
              <w:left w:val="nil"/>
              <w:bottom w:val="single" w:color="auto" w:sz="4" w:space="0"/>
              <w:right w:val="single" w:color="auto" w:sz="4" w:space="0"/>
            </w:tcBorders>
            <w:vAlign w:val="center"/>
          </w:tcPr>
          <w:p w14:paraId="4250A55B">
            <w:pPr>
              <w:jc w:val="center"/>
              <w:rPr>
                <w:rFonts w:hint="default" w:eastAsia="宋体"/>
                <w:color w:val="auto"/>
                <w:lang w:val="en-US" w:eastAsia="zh-CN"/>
              </w:rPr>
            </w:pPr>
            <w:r>
              <w:rPr>
                <w:rFonts w:hint="eastAsia"/>
                <w:color w:val="auto"/>
                <w:lang w:val="en-US" w:eastAsia="zh-CN"/>
              </w:rPr>
              <w:t>38.8</w:t>
            </w:r>
          </w:p>
        </w:tc>
      </w:tr>
      <w:tr w14:paraId="11550A06">
        <w:tblPrEx>
          <w:tblCellMar>
            <w:top w:w="0" w:type="dxa"/>
            <w:left w:w="108" w:type="dxa"/>
            <w:bottom w:w="0" w:type="dxa"/>
            <w:right w:w="108" w:type="dxa"/>
          </w:tblCellMar>
        </w:tblPrEx>
        <w:trPr>
          <w:trHeight w:val="340" w:hRule="atLeast"/>
          <w:jc w:val="center"/>
        </w:trPr>
        <w:tc>
          <w:tcPr>
            <w:tcW w:w="795" w:type="pct"/>
            <w:tcBorders>
              <w:top w:val="single" w:color="auto" w:sz="4" w:space="0"/>
              <w:left w:val="single" w:color="auto" w:sz="4" w:space="0"/>
              <w:bottom w:val="single" w:color="auto" w:sz="4" w:space="0"/>
              <w:right w:val="single" w:color="auto" w:sz="4" w:space="0"/>
            </w:tcBorders>
            <w:vAlign w:val="center"/>
          </w:tcPr>
          <w:p w14:paraId="65462D7D">
            <w:pPr>
              <w:jc w:val="center"/>
              <w:rPr>
                <w:color w:val="auto"/>
              </w:rPr>
            </w:pPr>
            <w:r>
              <w:rPr>
                <w:color w:val="auto"/>
              </w:rPr>
              <w:t>6</w:t>
            </w:r>
          </w:p>
        </w:tc>
        <w:tc>
          <w:tcPr>
            <w:tcW w:w="2252" w:type="pct"/>
            <w:tcBorders>
              <w:top w:val="single" w:color="auto" w:sz="4" w:space="0"/>
              <w:left w:val="nil"/>
              <w:bottom w:val="single" w:color="auto" w:sz="4" w:space="0"/>
              <w:right w:val="single" w:color="auto" w:sz="4" w:space="0"/>
            </w:tcBorders>
            <w:vAlign w:val="center"/>
          </w:tcPr>
          <w:p w14:paraId="2388A0BC">
            <w:pPr>
              <w:jc w:val="center"/>
              <w:rPr>
                <w:color w:val="auto"/>
              </w:rPr>
            </w:pPr>
            <w:r>
              <w:rPr>
                <w:rFonts w:hint="eastAsia"/>
                <w:color w:val="auto"/>
                <w:lang w:val="en-US" w:eastAsia="zh-CN"/>
              </w:rPr>
              <w:t>3000</w:t>
            </w:r>
          </w:p>
        </w:tc>
        <w:tc>
          <w:tcPr>
            <w:tcW w:w="1951" w:type="pct"/>
            <w:tcBorders>
              <w:top w:val="single" w:color="auto" w:sz="4" w:space="0"/>
              <w:left w:val="nil"/>
              <w:bottom w:val="single" w:color="auto" w:sz="4" w:space="0"/>
              <w:right w:val="single" w:color="auto" w:sz="4" w:space="0"/>
            </w:tcBorders>
            <w:vAlign w:val="center"/>
          </w:tcPr>
          <w:p w14:paraId="0DE692FD">
            <w:pPr>
              <w:jc w:val="center"/>
              <w:rPr>
                <w:rFonts w:hint="default" w:eastAsia="宋体"/>
                <w:color w:val="auto"/>
                <w:lang w:val="en-US" w:eastAsia="zh-CN"/>
              </w:rPr>
            </w:pPr>
            <w:r>
              <w:rPr>
                <w:rFonts w:hint="eastAsia"/>
                <w:color w:val="auto"/>
                <w:lang w:val="en-US" w:eastAsia="zh-CN"/>
              </w:rPr>
              <w:t>103.8</w:t>
            </w:r>
          </w:p>
        </w:tc>
      </w:tr>
      <w:tr w14:paraId="2F39A917">
        <w:tblPrEx>
          <w:tblCellMar>
            <w:top w:w="0" w:type="dxa"/>
            <w:left w:w="108" w:type="dxa"/>
            <w:bottom w:w="0" w:type="dxa"/>
            <w:right w:w="108" w:type="dxa"/>
          </w:tblCellMar>
        </w:tblPrEx>
        <w:trPr>
          <w:trHeight w:val="340" w:hRule="atLeast"/>
          <w:jc w:val="center"/>
        </w:trPr>
        <w:tc>
          <w:tcPr>
            <w:tcW w:w="795" w:type="pct"/>
            <w:tcBorders>
              <w:top w:val="single" w:color="auto" w:sz="4" w:space="0"/>
              <w:left w:val="single" w:color="auto" w:sz="4" w:space="0"/>
              <w:bottom w:val="single" w:color="auto" w:sz="4" w:space="0"/>
              <w:right w:val="single" w:color="auto" w:sz="4" w:space="0"/>
            </w:tcBorders>
            <w:vAlign w:val="center"/>
          </w:tcPr>
          <w:p w14:paraId="0F4E98F5">
            <w:pPr>
              <w:jc w:val="center"/>
              <w:rPr>
                <w:rFonts w:hint="eastAsia" w:eastAsia="宋体"/>
                <w:color w:val="auto"/>
                <w:lang w:val="en-US" w:eastAsia="zh-CN"/>
              </w:rPr>
            </w:pPr>
            <w:r>
              <w:rPr>
                <w:rFonts w:hint="eastAsia"/>
                <w:color w:val="auto"/>
                <w:lang w:val="en-US" w:eastAsia="zh-CN"/>
              </w:rPr>
              <w:t>7</w:t>
            </w:r>
          </w:p>
        </w:tc>
        <w:tc>
          <w:tcPr>
            <w:tcW w:w="2252" w:type="pct"/>
            <w:tcBorders>
              <w:top w:val="single" w:color="auto" w:sz="4" w:space="0"/>
              <w:left w:val="nil"/>
              <w:bottom w:val="single" w:color="auto" w:sz="4" w:space="0"/>
              <w:right w:val="single" w:color="auto" w:sz="4" w:space="0"/>
            </w:tcBorders>
            <w:vAlign w:val="center"/>
          </w:tcPr>
          <w:p w14:paraId="3FE9EFDF">
            <w:pPr>
              <w:jc w:val="center"/>
              <w:rPr>
                <w:color w:val="auto"/>
              </w:rPr>
            </w:pPr>
            <w:r>
              <w:rPr>
                <w:rFonts w:hint="eastAsia"/>
                <w:color w:val="auto"/>
                <w:lang w:val="en-US" w:eastAsia="zh-CN"/>
              </w:rPr>
              <w:t>5000</w:t>
            </w:r>
          </w:p>
        </w:tc>
        <w:tc>
          <w:tcPr>
            <w:tcW w:w="1951" w:type="pct"/>
            <w:tcBorders>
              <w:top w:val="single" w:color="auto" w:sz="4" w:space="0"/>
              <w:left w:val="nil"/>
              <w:bottom w:val="single" w:color="auto" w:sz="4" w:space="0"/>
              <w:right w:val="single" w:color="auto" w:sz="4" w:space="0"/>
            </w:tcBorders>
            <w:vAlign w:val="center"/>
          </w:tcPr>
          <w:p w14:paraId="335C8DA6">
            <w:pPr>
              <w:jc w:val="center"/>
              <w:rPr>
                <w:rFonts w:hint="default" w:eastAsia="宋体"/>
                <w:color w:val="auto"/>
                <w:lang w:val="en-US" w:eastAsia="zh-CN"/>
              </w:rPr>
            </w:pPr>
            <w:r>
              <w:rPr>
                <w:rFonts w:hint="eastAsia"/>
                <w:color w:val="auto"/>
                <w:lang w:val="en-US" w:eastAsia="zh-CN"/>
              </w:rPr>
              <w:t>163.9</w:t>
            </w:r>
          </w:p>
        </w:tc>
      </w:tr>
      <w:tr w14:paraId="2D65320A">
        <w:tblPrEx>
          <w:tblCellMar>
            <w:top w:w="0" w:type="dxa"/>
            <w:left w:w="108" w:type="dxa"/>
            <w:bottom w:w="0" w:type="dxa"/>
            <w:right w:w="108" w:type="dxa"/>
          </w:tblCellMar>
        </w:tblPrEx>
        <w:trPr>
          <w:trHeight w:val="340" w:hRule="atLeast"/>
          <w:jc w:val="center"/>
        </w:trPr>
        <w:tc>
          <w:tcPr>
            <w:tcW w:w="795" w:type="pct"/>
            <w:tcBorders>
              <w:top w:val="single" w:color="auto" w:sz="4" w:space="0"/>
              <w:left w:val="single" w:color="auto" w:sz="4" w:space="0"/>
              <w:bottom w:val="single" w:color="auto" w:sz="4" w:space="0"/>
              <w:right w:val="single" w:color="auto" w:sz="4" w:space="0"/>
            </w:tcBorders>
            <w:vAlign w:val="center"/>
          </w:tcPr>
          <w:p w14:paraId="3E92A34A">
            <w:pPr>
              <w:jc w:val="center"/>
              <w:rPr>
                <w:rFonts w:hint="eastAsia" w:eastAsia="宋体"/>
                <w:color w:val="auto"/>
                <w:lang w:val="en-US" w:eastAsia="zh-CN"/>
              </w:rPr>
            </w:pPr>
            <w:r>
              <w:rPr>
                <w:rFonts w:hint="eastAsia"/>
                <w:color w:val="auto"/>
                <w:lang w:val="en-US" w:eastAsia="zh-CN"/>
              </w:rPr>
              <w:t>8</w:t>
            </w:r>
          </w:p>
        </w:tc>
        <w:tc>
          <w:tcPr>
            <w:tcW w:w="2252" w:type="pct"/>
            <w:tcBorders>
              <w:top w:val="single" w:color="auto" w:sz="4" w:space="0"/>
              <w:left w:val="nil"/>
              <w:bottom w:val="single" w:color="auto" w:sz="4" w:space="0"/>
              <w:right w:val="single" w:color="auto" w:sz="4" w:space="0"/>
            </w:tcBorders>
            <w:vAlign w:val="center"/>
          </w:tcPr>
          <w:p w14:paraId="02E6A47E">
            <w:pPr>
              <w:jc w:val="center"/>
              <w:rPr>
                <w:color w:val="auto"/>
              </w:rPr>
            </w:pPr>
            <w:r>
              <w:rPr>
                <w:color w:val="auto"/>
              </w:rPr>
              <w:t>10000</w:t>
            </w:r>
          </w:p>
        </w:tc>
        <w:tc>
          <w:tcPr>
            <w:tcW w:w="1951" w:type="pct"/>
            <w:tcBorders>
              <w:top w:val="single" w:color="auto" w:sz="4" w:space="0"/>
              <w:left w:val="nil"/>
              <w:bottom w:val="single" w:color="auto" w:sz="4" w:space="0"/>
              <w:right w:val="single" w:color="auto" w:sz="4" w:space="0"/>
            </w:tcBorders>
            <w:vAlign w:val="center"/>
          </w:tcPr>
          <w:p w14:paraId="573D4EF2">
            <w:pPr>
              <w:jc w:val="center"/>
              <w:rPr>
                <w:rFonts w:hint="default" w:eastAsia="宋体"/>
                <w:color w:val="auto"/>
                <w:lang w:val="en-US" w:eastAsia="zh-CN"/>
              </w:rPr>
            </w:pPr>
            <w:r>
              <w:rPr>
                <w:rFonts w:hint="eastAsia"/>
                <w:color w:val="auto"/>
                <w:lang w:val="en-US" w:eastAsia="zh-CN"/>
              </w:rPr>
              <w:t>304.8</w:t>
            </w:r>
          </w:p>
        </w:tc>
      </w:tr>
    </w:tbl>
    <w:p w14:paraId="1BB8EF00">
      <w:pPr>
        <w:spacing w:line="360" w:lineRule="auto"/>
        <w:ind w:firstLine="361" w:firstLineChars="200"/>
        <w:rPr>
          <w:color w:val="auto"/>
          <w:sz w:val="28"/>
          <w:szCs w:val="28"/>
        </w:rPr>
      </w:pPr>
      <w:r>
        <w:rPr>
          <w:b/>
          <w:bCs w:val="0"/>
          <w:color w:val="auto"/>
          <w:sz w:val="18"/>
          <w:szCs w:val="18"/>
        </w:rPr>
        <w:t>注：</w:t>
      </w:r>
      <w:r>
        <w:rPr>
          <w:rFonts w:hint="eastAsia"/>
          <w:b/>
          <w:bCs w:val="0"/>
          <w:color w:val="auto"/>
          <w:sz w:val="18"/>
          <w:szCs w:val="18"/>
          <w:lang w:val="en-US" w:eastAsia="zh-CN"/>
        </w:rPr>
        <w:t>计费基数不足50万元时，按2.25万元计取；</w:t>
      </w:r>
      <w:r>
        <w:rPr>
          <w:b/>
          <w:bCs w:val="0"/>
          <w:color w:val="auto"/>
          <w:sz w:val="18"/>
          <w:szCs w:val="18"/>
        </w:rPr>
        <w:t>计费基数大于1亿元时，按计费基数的</w:t>
      </w:r>
      <w:r>
        <w:rPr>
          <w:rFonts w:hint="eastAsia"/>
          <w:b/>
          <w:bCs w:val="0"/>
          <w:color w:val="auto"/>
          <w:sz w:val="18"/>
          <w:szCs w:val="18"/>
          <w:lang w:val="en-US" w:eastAsia="zh-CN"/>
        </w:rPr>
        <w:t>3.04</w:t>
      </w:r>
      <w:r>
        <w:rPr>
          <w:b/>
          <w:bCs w:val="0"/>
          <w:color w:val="auto"/>
          <w:sz w:val="18"/>
          <w:szCs w:val="18"/>
        </w:rPr>
        <w:t>%计取。</w:t>
      </w:r>
    </w:p>
    <w:p w14:paraId="1EED434C">
      <w:pPr>
        <w:spacing w:line="360" w:lineRule="auto"/>
        <w:ind w:firstLine="560" w:firstLineChars="200"/>
        <w:jc w:val="left"/>
        <w:rPr>
          <w:color w:val="auto"/>
          <w:sz w:val="28"/>
          <w:szCs w:val="28"/>
        </w:rPr>
      </w:pPr>
      <w:r>
        <w:rPr>
          <w:color w:val="auto"/>
          <w:sz w:val="28"/>
          <w:szCs w:val="28"/>
        </w:rPr>
        <w:t>项目招标代理费以工程施工费作为计费基数，采用差额定率累进法计算，见表6-</w:t>
      </w:r>
      <w:r>
        <w:rPr>
          <w:rFonts w:hint="eastAsia"/>
          <w:color w:val="auto"/>
          <w:sz w:val="28"/>
          <w:szCs w:val="28"/>
          <w:lang w:val="en-US" w:eastAsia="zh-CN"/>
        </w:rPr>
        <w:t>6</w:t>
      </w:r>
      <w:r>
        <w:rPr>
          <w:color w:val="auto"/>
          <w:sz w:val="28"/>
          <w:szCs w:val="28"/>
        </w:rPr>
        <w:t>。</w:t>
      </w:r>
    </w:p>
    <w:p w14:paraId="0F3B8C0F">
      <w:pPr>
        <w:jc w:val="center"/>
        <w:rPr>
          <w:rFonts w:eastAsia="黑体"/>
          <w:color w:val="auto"/>
        </w:rPr>
      </w:pPr>
      <w:r>
        <w:rPr>
          <w:rFonts w:eastAsia="黑体"/>
          <w:color w:val="auto"/>
          <w:sz w:val="24"/>
          <w:szCs w:val="22"/>
        </w:rPr>
        <w:t>表6-</w:t>
      </w:r>
      <w:r>
        <w:rPr>
          <w:rFonts w:hint="eastAsia" w:eastAsia="黑体"/>
          <w:color w:val="auto"/>
          <w:sz w:val="24"/>
          <w:szCs w:val="22"/>
          <w:lang w:val="en-US" w:eastAsia="zh-CN"/>
        </w:rPr>
        <w:t>6</w:t>
      </w:r>
      <w:r>
        <w:rPr>
          <w:rFonts w:eastAsia="黑体"/>
          <w:color w:val="auto"/>
          <w:sz w:val="24"/>
          <w:szCs w:val="22"/>
        </w:rPr>
        <w:t xml:space="preserve">  项目招标代理费计费标准表</w:t>
      </w:r>
    </w:p>
    <w:tbl>
      <w:tblPr>
        <w:tblStyle w:val="34"/>
        <w:tblW w:w="5000" w:type="pct"/>
        <w:jc w:val="center"/>
        <w:tblLayout w:type="autofit"/>
        <w:tblCellMar>
          <w:top w:w="0" w:type="dxa"/>
          <w:left w:w="108" w:type="dxa"/>
          <w:bottom w:w="0" w:type="dxa"/>
          <w:right w:w="108" w:type="dxa"/>
        </w:tblCellMar>
      </w:tblPr>
      <w:tblGrid>
        <w:gridCol w:w="640"/>
        <w:gridCol w:w="1751"/>
        <w:gridCol w:w="1077"/>
        <w:gridCol w:w="1614"/>
        <w:gridCol w:w="3230"/>
      </w:tblGrid>
      <w:tr w14:paraId="133BFBD8">
        <w:tblPrEx>
          <w:tblCellMar>
            <w:top w:w="0" w:type="dxa"/>
            <w:left w:w="108" w:type="dxa"/>
            <w:bottom w:w="0" w:type="dxa"/>
            <w:right w:w="108" w:type="dxa"/>
          </w:tblCellMar>
        </w:tblPrEx>
        <w:trPr>
          <w:trHeight w:val="340" w:hRule="atLeast"/>
          <w:tblHeader/>
          <w:jc w:val="center"/>
        </w:trPr>
        <w:tc>
          <w:tcPr>
            <w:tcW w:w="385" w:type="pct"/>
            <w:vMerge w:val="restart"/>
            <w:tcBorders>
              <w:top w:val="single" w:color="auto" w:sz="4" w:space="0"/>
              <w:left w:val="single" w:color="auto" w:sz="4" w:space="0"/>
              <w:right w:val="single" w:color="auto" w:sz="4" w:space="0"/>
            </w:tcBorders>
            <w:vAlign w:val="center"/>
          </w:tcPr>
          <w:p w14:paraId="7A78DFEE">
            <w:pPr>
              <w:jc w:val="center"/>
              <w:rPr>
                <w:color w:val="auto"/>
              </w:rPr>
            </w:pPr>
            <w:r>
              <w:rPr>
                <w:color w:val="auto"/>
              </w:rPr>
              <w:t>序号</w:t>
            </w:r>
          </w:p>
        </w:tc>
        <w:tc>
          <w:tcPr>
            <w:tcW w:w="1053" w:type="pct"/>
            <w:vMerge w:val="restart"/>
            <w:tcBorders>
              <w:top w:val="single" w:color="auto" w:sz="4" w:space="0"/>
              <w:left w:val="single" w:color="auto" w:sz="4" w:space="0"/>
              <w:right w:val="single" w:color="auto" w:sz="4" w:space="0"/>
            </w:tcBorders>
            <w:vAlign w:val="center"/>
          </w:tcPr>
          <w:p w14:paraId="0A33AE6B">
            <w:pPr>
              <w:jc w:val="center"/>
              <w:rPr>
                <w:color w:val="auto"/>
              </w:rPr>
            </w:pPr>
            <w:r>
              <w:rPr>
                <w:color w:val="auto"/>
              </w:rPr>
              <w:t>计费基础(万元)</w:t>
            </w:r>
          </w:p>
        </w:tc>
        <w:tc>
          <w:tcPr>
            <w:tcW w:w="648" w:type="pct"/>
            <w:vMerge w:val="restart"/>
            <w:tcBorders>
              <w:top w:val="single" w:color="auto" w:sz="4" w:space="0"/>
              <w:left w:val="single" w:color="auto" w:sz="4" w:space="0"/>
              <w:right w:val="single" w:color="auto" w:sz="4" w:space="0"/>
            </w:tcBorders>
            <w:vAlign w:val="center"/>
          </w:tcPr>
          <w:p w14:paraId="7BB6E335">
            <w:pPr>
              <w:jc w:val="center"/>
              <w:rPr>
                <w:color w:val="auto"/>
              </w:rPr>
            </w:pPr>
            <w:r>
              <w:rPr>
                <w:color w:val="auto"/>
              </w:rPr>
              <w:t>费率(%)</w:t>
            </w:r>
          </w:p>
        </w:tc>
        <w:tc>
          <w:tcPr>
            <w:tcW w:w="2914" w:type="pct"/>
            <w:gridSpan w:val="2"/>
            <w:tcBorders>
              <w:top w:val="single" w:color="auto" w:sz="4" w:space="0"/>
              <w:left w:val="single" w:color="auto" w:sz="4" w:space="0"/>
              <w:bottom w:val="single" w:color="auto" w:sz="4" w:space="0"/>
              <w:right w:val="single" w:color="auto" w:sz="4" w:space="0"/>
            </w:tcBorders>
            <w:vAlign w:val="center"/>
          </w:tcPr>
          <w:p w14:paraId="32376C21">
            <w:pPr>
              <w:jc w:val="center"/>
              <w:rPr>
                <w:color w:val="auto"/>
              </w:rPr>
            </w:pPr>
            <w:r>
              <w:rPr>
                <w:color w:val="auto"/>
              </w:rPr>
              <w:t>算例</w:t>
            </w:r>
          </w:p>
        </w:tc>
      </w:tr>
      <w:tr w14:paraId="6A844370">
        <w:tblPrEx>
          <w:tblCellMar>
            <w:top w:w="0" w:type="dxa"/>
            <w:left w:w="108" w:type="dxa"/>
            <w:bottom w:w="0" w:type="dxa"/>
            <w:right w:w="108" w:type="dxa"/>
          </w:tblCellMar>
        </w:tblPrEx>
        <w:trPr>
          <w:trHeight w:val="340" w:hRule="atLeast"/>
          <w:tblHeader/>
          <w:jc w:val="center"/>
        </w:trPr>
        <w:tc>
          <w:tcPr>
            <w:tcW w:w="385" w:type="pct"/>
            <w:vMerge w:val="continue"/>
            <w:tcBorders>
              <w:left w:val="single" w:color="auto" w:sz="4" w:space="0"/>
              <w:bottom w:val="single" w:color="auto" w:sz="4" w:space="0"/>
              <w:right w:val="single" w:color="auto" w:sz="4" w:space="0"/>
            </w:tcBorders>
            <w:vAlign w:val="center"/>
          </w:tcPr>
          <w:p w14:paraId="7F393660">
            <w:pPr>
              <w:jc w:val="center"/>
              <w:rPr>
                <w:color w:val="auto"/>
              </w:rPr>
            </w:pPr>
          </w:p>
        </w:tc>
        <w:tc>
          <w:tcPr>
            <w:tcW w:w="1053" w:type="pct"/>
            <w:vMerge w:val="continue"/>
            <w:tcBorders>
              <w:left w:val="single" w:color="auto" w:sz="4" w:space="0"/>
              <w:bottom w:val="single" w:color="auto" w:sz="4" w:space="0"/>
              <w:right w:val="single" w:color="auto" w:sz="4" w:space="0"/>
            </w:tcBorders>
            <w:vAlign w:val="center"/>
          </w:tcPr>
          <w:p w14:paraId="50E807D2">
            <w:pPr>
              <w:jc w:val="center"/>
              <w:rPr>
                <w:color w:val="auto"/>
              </w:rPr>
            </w:pPr>
          </w:p>
        </w:tc>
        <w:tc>
          <w:tcPr>
            <w:tcW w:w="648" w:type="pct"/>
            <w:vMerge w:val="continue"/>
            <w:tcBorders>
              <w:left w:val="single" w:color="auto" w:sz="4" w:space="0"/>
              <w:bottom w:val="single" w:color="auto" w:sz="4" w:space="0"/>
              <w:right w:val="single" w:color="auto" w:sz="4" w:space="0"/>
            </w:tcBorders>
            <w:vAlign w:val="center"/>
          </w:tcPr>
          <w:p w14:paraId="7080E25F">
            <w:pPr>
              <w:jc w:val="center"/>
              <w:rPr>
                <w:color w:val="auto"/>
              </w:rPr>
            </w:pPr>
          </w:p>
        </w:tc>
        <w:tc>
          <w:tcPr>
            <w:tcW w:w="971" w:type="pct"/>
            <w:tcBorders>
              <w:top w:val="single" w:color="auto" w:sz="4" w:space="0"/>
              <w:left w:val="single" w:color="auto" w:sz="4" w:space="0"/>
              <w:bottom w:val="single" w:color="auto" w:sz="4" w:space="0"/>
              <w:right w:val="single" w:color="auto" w:sz="4" w:space="0"/>
            </w:tcBorders>
            <w:vAlign w:val="center"/>
          </w:tcPr>
          <w:p w14:paraId="1B79439C">
            <w:pPr>
              <w:jc w:val="center"/>
              <w:rPr>
                <w:color w:val="auto"/>
              </w:rPr>
            </w:pPr>
            <w:r>
              <w:rPr>
                <w:color w:val="auto"/>
              </w:rPr>
              <w:t>计费基础(万元)</w:t>
            </w:r>
          </w:p>
        </w:tc>
        <w:tc>
          <w:tcPr>
            <w:tcW w:w="1943" w:type="pct"/>
            <w:tcBorders>
              <w:top w:val="single" w:color="auto" w:sz="4" w:space="0"/>
              <w:left w:val="single" w:color="auto" w:sz="4" w:space="0"/>
              <w:bottom w:val="single" w:color="auto" w:sz="4" w:space="0"/>
              <w:right w:val="single" w:color="auto" w:sz="4" w:space="0"/>
            </w:tcBorders>
            <w:vAlign w:val="center"/>
          </w:tcPr>
          <w:p w14:paraId="16237D22">
            <w:pPr>
              <w:jc w:val="center"/>
              <w:rPr>
                <w:color w:val="auto"/>
              </w:rPr>
            </w:pPr>
            <w:r>
              <w:rPr>
                <w:color w:val="auto"/>
              </w:rPr>
              <w:t>项目招标代理费(万元)</w:t>
            </w:r>
          </w:p>
        </w:tc>
      </w:tr>
      <w:tr w14:paraId="209ACF12">
        <w:tblPrEx>
          <w:tblCellMar>
            <w:top w:w="0" w:type="dxa"/>
            <w:left w:w="108" w:type="dxa"/>
            <w:bottom w:w="0" w:type="dxa"/>
            <w:right w:w="108" w:type="dxa"/>
          </w:tblCellMar>
        </w:tblPrEx>
        <w:trPr>
          <w:trHeight w:val="340" w:hRule="atLeast"/>
          <w:jc w:val="center"/>
        </w:trPr>
        <w:tc>
          <w:tcPr>
            <w:tcW w:w="385" w:type="pct"/>
            <w:tcBorders>
              <w:top w:val="nil"/>
              <w:left w:val="single" w:color="auto" w:sz="4" w:space="0"/>
              <w:bottom w:val="single" w:color="auto" w:sz="4" w:space="0"/>
              <w:right w:val="single" w:color="auto" w:sz="4" w:space="0"/>
            </w:tcBorders>
            <w:vAlign w:val="center"/>
          </w:tcPr>
          <w:p w14:paraId="6F1C0177">
            <w:pPr>
              <w:jc w:val="center"/>
              <w:rPr>
                <w:color w:val="auto"/>
              </w:rPr>
            </w:pPr>
            <w:r>
              <w:rPr>
                <w:color w:val="auto"/>
              </w:rPr>
              <w:t>1</w:t>
            </w:r>
          </w:p>
        </w:tc>
        <w:tc>
          <w:tcPr>
            <w:tcW w:w="1053" w:type="pct"/>
            <w:tcBorders>
              <w:top w:val="nil"/>
              <w:left w:val="nil"/>
              <w:bottom w:val="single" w:color="auto" w:sz="4" w:space="0"/>
              <w:right w:val="single" w:color="auto" w:sz="4" w:space="0"/>
            </w:tcBorders>
            <w:vAlign w:val="center"/>
          </w:tcPr>
          <w:p w14:paraId="20713402">
            <w:pPr>
              <w:jc w:val="center"/>
              <w:rPr>
                <w:rFonts w:hint="default" w:eastAsia="宋体"/>
                <w:color w:val="auto"/>
                <w:lang w:val="en-US" w:eastAsia="zh-CN"/>
              </w:rPr>
            </w:pPr>
            <w:r>
              <w:rPr>
                <w:color w:val="auto"/>
              </w:rPr>
              <w:t>≤</w:t>
            </w:r>
            <w:r>
              <w:rPr>
                <w:rFonts w:hint="eastAsia"/>
                <w:color w:val="auto"/>
                <w:lang w:val="en-US" w:eastAsia="zh-CN"/>
              </w:rPr>
              <w:t>50</w:t>
            </w:r>
          </w:p>
        </w:tc>
        <w:tc>
          <w:tcPr>
            <w:tcW w:w="648" w:type="pct"/>
            <w:tcBorders>
              <w:top w:val="nil"/>
              <w:left w:val="nil"/>
              <w:bottom w:val="single" w:color="auto" w:sz="4" w:space="0"/>
              <w:right w:val="single" w:color="auto" w:sz="4" w:space="0"/>
            </w:tcBorders>
            <w:vAlign w:val="center"/>
          </w:tcPr>
          <w:p w14:paraId="31E4FB48">
            <w:pPr>
              <w:jc w:val="center"/>
              <w:rPr>
                <w:rFonts w:hint="eastAsia" w:eastAsia="宋体"/>
                <w:color w:val="auto"/>
                <w:lang w:eastAsia="zh-CN"/>
              </w:rPr>
            </w:pPr>
            <w:r>
              <w:rPr>
                <w:rFonts w:hint="eastAsia"/>
                <w:color w:val="auto"/>
                <w:lang w:val="en-US" w:eastAsia="zh-CN"/>
              </w:rPr>
              <w:t>1</w:t>
            </w:r>
          </w:p>
        </w:tc>
        <w:tc>
          <w:tcPr>
            <w:tcW w:w="971" w:type="pct"/>
            <w:tcBorders>
              <w:top w:val="nil"/>
              <w:left w:val="nil"/>
              <w:bottom w:val="single" w:color="auto" w:sz="4" w:space="0"/>
              <w:right w:val="single" w:color="auto" w:sz="4" w:space="0"/>
            </w:tcBorders>
            <w:vAlign w:val="center"/>
          </w:tcPr>
          <w:p w14:paraId="3888C8BB">
            <w:pPr>
              <w:jc w:val="center"/>
              <w:rPr>
                <w:color w:val="auto"/>
              </w:rPr>
            </w:pPr>
            <w:r>
              <w:rPr>
                <w:color w:val="auto"/>
              </w:rPr>
              <w:t>50</w:t>
            </w:r>
          </w:p>
        </w:tc>
        <w:tc>
          <w:tcPr>
            <w:tcW w:w="1943" w:type="pct"/>
            <w:tcBorders>
              <w:top w:val="nil"/>
              <w:left w:val="nil"/>
              <w:bottom w:val="single" w:color="auto" w:sz="4" w:space="0"/>
              <w:right w:val="single" w:color="auto" w:sz="4" w:space="0"/>
            </w:tcBorders>
            <w:vAlign w:val="center"/>
          </w:tcPr>
          <w:p w14:paraId="72898406">
            <w:pPr>
              <w:jc w:val="center"/>
              <w:rPr>
                <w:rFonts w:hint="default" w:eastAsia="宋体"/>
                <w:color w:val="auto"/>
                <w:lang w:val="en-US" w:eastAsia="zh-CN"/>
              </w:rPr>
            </w:pPr>
            <w:r>
              <w:rPr>
                <w:color w:val="auto"/>
              </w:rPr>
              <w:t>50×</w:t>
            </w:r>
            <w:r>
              <w:rPr>
                <w:rFonts w:hint="eastAsia"/>
                <w:color w:val="auto"/>
                <w:lang w:val="en-US" w:eastAsia="zh-CN"/>
              </w:rPr>
              <w:t>1</w:t>
            </w:r>
            <w:r>
              <w:rPr>
                <w:color w:val="auto"/>
              </w:rPr>
              <w:t>%=</w:t>
            </w:r>
            <w:r>
              <w:rPr>
                <w:rFonts w:hint="eastAsia"/>
                <w:color w:val="auto"/>
                <w:lang w:val="en-US" w:eastAsia="zh-CN"/>
              </w:rPr>
              <w:t>0.50</w:t>
            </w:r>
          </w:p>
        </w:tc>
      </w:tr>
      <w:tr w14:paraId="26A744E6">
        <w:tblPrEx>
          <w:tblCellMar>
            <w:top w:w="0" w:type="dxa"/>
            <w:left w:w="108" w:type="dxa"/>
            <w:bottom w:w="0" w:type="dxa"/>
            <w:right w:w="108" w:type="dxa"/>
          </w:tblCellMar>
        </w:tblPrEx>
        <w:trPr>
          <w:trHeight w:val="340" w:hRule="atLeast"/>
          <w:jc w:val="center"/>
        </w:trPr>
        <w:tc>
          <w:tcPr>
            <w:tcW w:w="385" w:type="pct"/>
            <w:tcBorders>
              <w:top w:val="nil"/>
              <w:left w:val="single" w:color="auto" w:sz="4" w:space="0"/>
              <w:bottom w:val="single" w:color="auto" w:sz="4" w:space="0"/>
              <w:right w:val="single" w:color="auto" w:sz="4" w:space="0"/>
            </w:tcBorders>
            <w:vAlign w:val="center"/>
          </w:tcPr>
          <w:p w14:paraId="6E06A6CD">
            <w:pPr>
              <w:jc w:val="center"/>
              <w:rPr>
                <w:color w:val="auto"/>
              </w:rPr>
            </w:pPr>
            <w:r>
              <w:rPr>
                <w:color w:val="auto"/>
              </w:rPr>
              <w:t>2</w:t>
            </w:r>
          </w:p>
        </w:tc>
        <w:tc>
          <w:tcPr>
            <w:tcW w:w="1053" w:type="pct"/>
            <w:tcBorders>
              <w:top w:val="nil"/>
              <w:left w:val="nil"/>
              <w:bottom w:val="single" w:color="auto" w:sz="4" w:space="0"/>
              <w:right w:val="single" w:color="auto" w:sz="4" w:space="0"/>
            </w:tcBorders>
            <w:vAlign w:val="center"/>
          </w:tcPr>
          <w:p w14:paraId="1039E855">
            <w:pPr>
              <w:jc w:val="center"/>
              <w:rPr>
                <w:color w:val="auto"/>
              </w:rPr>
            </w:pPr>
            <w:r>
              <w:rPr>
                <w:color w:val="auto"/>
              </w:rPr>
              <w:t>50</w:t>
            </w:r>
            <w:r>
              <w:rPr>
                <w:rFonts w:hint="eastAsia"/>
                <w:color w:val="auto"/>
                <w:lang w:val="en-US" w:eastAsia="zh-CN"/>
              </w:rPr>
              <w:t>-</w:t>
            </w:r>
            <w:r>
              <w:rPr>
                <w:color w:val="auto"/>
              </w:rPr>
              <w:t>100</w:t>
            </w:r>
          </w:p>
        </w:tc>
        <w:tc>
          <w:tcPr>
            <w:tcW w:w="648" w:type="pct"/>
            <w:tcBorders>
              <w:top w:val="nil"/>
              <w:left w:val="nil"/>
              <w:bottom w:val="single" w:color="auto" w:sz="4" w:space="0"/>
              <w:right w:val="single" w:color="auto" w:sz="4" w:space="0"/>
            </w:tcBorders>
            <w:vAlign w:val="center"/>
          </w:tcPr>
          <w:p w14:paraId="1892C10D">
            <w:pPr>
              <w:jc w:val="center"/>
              <w:rPr>
                <w:rFonts w:hint="default" w:eastAsia="宋体"/>
                <w:color w:val="auto"/>
                <w:lang w:val="en-US" w:eastAsia="zh-CN"/>
              </w:rPr>
            </w:pPr>
            <w:r>
              <w:rPr>
                <w:color w:val="auto"/>
              </w:rPr>
              <w:t>0.</w:t>
            </w:r>
            <w:r>
              <w:rPr>
                <w:rFonts w:hint="eastAsia"/>
                <w:color w:val="auto"/>
                <w:lang w:val="en-US" w:eastAsia="zh-CN"/>
              </w:rPr>
              <w:t>5</w:t>
            </w:r>
          </w:p>
        </w:tc>
        <w:tc>
          <w:tcPr>
            <w:tcW w:w="971" w:type="pct"/>
            <w:tcBorders>
              <w:top w:val="nil"/>
              <w:left w:val="nil"/>
              <w:bottom w:val="single" w:color="auto" w:sz="4" w:space="0"/>
              <w:right w:val="single" w:color="auto" w:sz="4" w:space="0"/>
            </w:tcBorders>
            <w:vAlign w:val="center"/>
          </w:tcPr>
          <w:p w14:paraId="5104BDBA">
            <w:pPr>
              <w:jc w:val="center"/>
              <w:rPr>
                <w:color w:val="auto"/>
              </w:rPr>
            </w:pPr>
            <w:r>
              <w:rPr>
                <w:color w:val="auto"/>
              </w:rPr>
              <w:t>100</w:t>
            </w:r>
          </w:p>
        </w:tc>
        <w:tc>
          <w:tcPr>
            <w:tcW w:w="1943" w:type="pct"/>
            <w:tcBorders>
              <w:top w:val="nil"/>
              <w:left w:val="nil"/>
              <w:bottom w:val="single" w:color="auto" w:sz="4" w:space="0"/>
              <w:right w:val="single" w:color="auto" w:sz="4" w:space="0"/>
            </w:tcBorders>
            <w:vAlign w:val="center"/>
          </w:tcPr>
          <w:p w14:paraId="3DEF76A4">
            <w:pPr>
              <w:jc w:val="center"/>
              <w:rPr>
                <w:rFonts w:hint="default" w:eastAsia="宋体"/>
                <w:color w:val="auto"/>
                <w:lang w:val="en-US" w:eastAsia="zh-CN"/>
              </w:rPr>
            </w:pPr>
            <w:r>
              <w:rPr>
                <w:rFonts w:hint="eastAsia"/>
                <w:color w:val="auto"/>
                <w:lang w:val="en-US" w:eastAsia="zh-CN"/>
              </w:rPr>
              <w:t>0</w:t>
            </w:r>
            <w:r>
              <w:rPr>
                <w:color w:val="auto"/>
              </w:rPr>
              <w:t>.5+(100-50)×0.</w:t>
            </w:r>
            <w:r>
              <w:rPr>
                <w:rFonts w:hint="eastAsia"/>
                <w:color w:val="auto"/>
                <w:lang w:val="en-US" w:eastAsia="zh-CN"/>
              </w:rPr>
              <w:t>5</w:t>
            </w:r>
            <w:r>
              <w:rPr>
                <w:color w:val="auto"/>
              </w:rPr>
              <w:t>%=</w:t>
            </w:r>
            <w:r>
              <w:rPr>
                <w:rFonts w:hint="eastAsia"/>
                <w:color w:val="auto"/>
                <w:lang w:val="en-US" w:eastAsia="zh-CN"/>
              </w:rPr>
              <w:t>0.75</w:t>
            </w:r>
          </w:p>
        </w:tc>
      </w:tr>
      <w:tr w14:paraId="0492A8AB">
        <w:tblPrEx>
          <w:tblCellMar>
            <w:top w:w="0" w:type="dxa"/>
            <w:left w:w="108" w:type="dxa"/>
            <w:bottom w:w="0" w:type="dxa"/>
            <w:right w:w="108" w:type="dxa"/>
          </w:tblCellMar>
        </w:tblPrEx>
        <w:trPr>
          <w:trHeight w:val="340" w:hRule="atLeast"/>
          <w:jc w:val="center"/>
        </w:trPr>
        <w:tc>
          <w:tcPr>
            <w:tcW w:w="385" w:type="pct"/>
            <w:tcBorders>
              <w:top w:val="single" w:color="auto" w:sz="4" w:space="0"/>
              <w:left w:val="single" w:color="auto" w:sz="4" w:space="0"/>
              <w:bottom w:val="single" w:color="auto" w:sz="4" w:space="0"/>
              <w:right w:val="single" w:color="auto" w:sz="4" w:space="0"/>
            </w:tcBorders>
            <w:vAlign w:val="center"/>
          </w:tcPr>
          <w:p w14:paraId="7A0B04CB">
            <w:pPr>
              <w:jc w:val="center"/>
              <w:rPr>
                <w:color w:val="auto"/>
              </w:rPr>
            </w:pPr>
            <w:r>
              <w:rPr>
                <w:color w:val="auto"/>
              </w:rPr>
              <w:t>3</w:t>
            </w:r>
          </w:p>
        </w:tc>
        <w:tc>
          <w:tcPr>
            <w:tcW w:w="1053" w:type="pct"/>
            <w:tcBorders>
              <w:top w:val="single" w:color="auto" w:sz="4" w:space="0"/>
              <w:left w:val="nil"/>
              <w:bottom w:val="single" w:color="auto" w:sz="4" w:space="0"/>
              <w:right w:val="single" w:color="auto" w:sz="4" w:space="0"/>
            </w:tcBorders>
            <w:vAlign w:val="center"/>
          </w:tcPr>
          <w:p w14:paraId="13C3C667">
            <w:pPr>
              <w:jc w:val="center"/>
              <w:rPr>
                <w:rFonts w:hint="default" w:eastAsia="宋体"/>
                <w:color w:val="auto"/>
                <w:lang w:val="en-US" w:eastAsia="zh-CN"/>
              </w:rPr>
            </w:pPr>
            <w:r>
              <w:rPr>
                <w:color w:val="auto"/>
              </w:rPr>
              <w:t>100</w:t>
            </w:r>
            <w:r>
              <w:rPr>
                <w:rFonts w:hint="eastAsia"/>
                <w:color w:val="auto"/>
                <w:lang w:val="en-US" w:eastAsia="zh-CN"/>
              </w:rPr>
              <w:t>-200</w:t>
            </w:r>
          </w:p>
        </w:tc>
        <w:tc>
          <w:tcPr>
            <w:tcW w:w="648" w:type="pct"/>
            <w:tcBorders>
              <w:top w:val="single" w:color="auto" w:sz="4" w:space="0"/>
              <w:left w:val="nil"/>
              <w:bottom w:val="single" w:color="auto" w:sz="4" w:space="0"/>
              <w:right w:val="single" w:color="auto" w:sz="4" w:space="0"/>
            </w:tcBorders>
            <w:vAlign w:val="center"/>
          </w:tcPr>
          <w:p w14:paraId="589F0B33">
            <w:pPr>
              <w:jc w:val="center"/>
              <w:rPr>
                <w:rFonts w:hint="default" w:eastAsia="宋体"/>
                <w:color w:val="auto"/>
                <w:lang w:val="en-US" w:eastAsia="zh-CN"/>
              </w:rPr>
            </w:pPr>
            <w:r>
              <w:rPr>
                <w:color w:val="auto"/>
              </w:rPr>
              <w:t>0.</w:t>
            </w:r>
            <w:r>
              <w:rPr>
                <w:rFonts w:hint="eastAsia"/>
                <w:color w:val="auto"/>
                <w:lang w:val="en-US" w:eastAsia="zh-CN"/>
              </w:rPr>
              <w:t>46</w:t>
            </w:r>
          </w:p>
        </w:tc>
        <w:tc>
          <w:tcPr>
            <w:tcW w:w="971" w:type="pct"/>
            <w:tcBorders>
              <w:top w:val="single" w:color="auto" w:sz="4" w:space="0"/>
              <w:left w:val="nil"/>
              <w:bottom w:val="single" w:color="auto" w:sz="4" w:space="0"/>
              <w:right w:val="single" w:color="auto" w:sz="4" w:space="0"/>
            </w:tcBorders>
            <w:vAlign w:val="center"/>
          </w:tcPr>
          <w:p w14:paraId="687D7CB1">
            <w:pPr>
              <w:jc w:val="center"/>
              <w:rPr>
                <w:rFonts w:hint="default" w:eastAsia="宋体"/>
                <w:color w:val="auto"/>
                <w:lang w:val="en-US" w:eastAsia="zh-CN"/>
              </w:rPr>
            </w:pPr>
            <w:r>
              <w:rPr>
                <w:rFonts w:hint="eastAsia"/>
                <w:color w:val="auto"/>
                <w:lang w:val="en-US" w:eastAsia="zh-CN"/>
              </w:rPr>
              <w:t>200</w:t>
            </w:r>
          </w:p>
        </w:tc>
        <w:tc>
          <w:tcPr>
            <w:tcW w:w="1943" w:type="pct"/>
            <w:tcBorders>
              <w:top w:val="single" w:color="auto" w:sz="4" w:space="0"/>
              <w:left w:val="nil"/>
              <w:bottom w:val="single" w:color="auto" w:sz="4" w:space="0"/>
              <w:right w:val="single" w:color="auto" w:sz="4" w:space="0"/>
            </w:tcBorders>
            <w:vAlign w:val="center"/>
          </w:tcPr>
          <w:p w14:paraId="312571FC">
            <w:pPr>
              <w:jc w:val="center"/>
              <w:rPr>
                <w:rFonts w:hint="default" w:eastAsia="宋体"/>
                <w:color w:val="auto"/>
                <w:lang w:val="en-US" w:eastAsia="zh-CN"/>
              </w:rPr>
            </w:pPr>
            <w:r>
              <w:rPr>
                <w:rFonts w:hint="eastAsia"/>
                <w:color w:val="auto"/>
                <w:lang w:val="en-US" w:eastAsia="zh-CN"/>
              </w:rPr>
              <w:t>0.75</w:t>
            </w:r>
            <w:r>
              <w:rPr>
                <w:color w:val="auto"/>
              </w:rPr>
              <w:t>+(</w:t>
            </w:r>
            <w:r>
              <w:rPr>
                <w:rFonts w:hint="eastAsia"/>
                <w:color w:val="auto"/>
                <w:lang w:val="en-US" w:eastAsia="zh-CN"/>
              </w:rPr>
              <w:t>2</w:t>
            </w:r>
            <w:r>
              <w:rPr>
                <w:color w:val="auto"/>
              </w:rPr>
              <w:t>00-</w:t>
            </w:r>
            <w:r>
              <w:rPr>
                <w:rFonts w:hint="eastAsia"/>
                <w:color w:val="auto"/>
                <w:lang w:val="en-US" w:eastAsia="zh-CN"/>
              </w:rPr>
              <w:t>1</w:t>
            </w:r>
            <w:r>
              <w:rPr>
                <w:color w:val="auto"/>
              </w:rPr>
              <w:t>00)×0.</w:t>
            </w:r>
            <w:r>
              <w:rPr>
                <w:rFonts w:hint="eastAsia"/>
                <w:color w:val="auto"/>
                <w:lang w:val="en-US" w:eastAsia="zh-CN"/>
              </w:rPr>
              <w:t>46</w:t>
            </w:r>
            <w:r>
              <w:rPr>
                <w:color w:val="auto"/>
              </w:rPr>
              <w:t>%=</w:t>
            </w:r>
            <w:r>
              <w:rPr>
                <w:rFonts w:hint="eastAsia"/>
                <w:color w:val="auto"/>
                <w:lang w:val="en-US" w:eastAsia="zh-CN"/>
              </w:rPr>
              <w:t>1.21</w:t>
            </w:r>
          </w:p>
        </w:tc>
      </w:tr>
      <w:tr w14:paraId="2327D85D">
        <w:tblPrEx>
          <w:tblCellMar>
            <w:top w:w="0" w:type="dxa"/>
            <w:left w:w="108" w:type="dxa"/>
            <w:bottom w:w="0" w:type="dxa"/>
            <w:right w:w="108" w:type="dxa"/>
          </w:tblCellMar>
        </w:tblPrEx>
        <w:trPr>
          <w:trHeight w:val="340" w:hRule="atLeast"/>
          <w:jc w:val="center"/>
        </w:trPr>
        <w:tc>
          <w:tcPr>
            <w:tcW w:w="385" w:type="pct"/>
            <w:tcBorders>
              <w:top w:val="single" w:color="auto" w:sz="4" w:space="0"/>
              <w:left w:val="single" w:color="auto" w:sz="4" w:space="0"/>
              <w:bottom w:val="single" w:color="auto" w:sz="4" w:space="0"/>
              <w:right w:val="single" w:color="auto" w:sz="4" w:space="0"/>
            </w:tcBorders>
            <w:vAlign w:val="center"/>
          </w:tcPr>
          <w:p w14:paraId="095D4C9D">
            <w:pPr>
              <w:jc w:val="center"/>
              <w:rPr>
                <w:color w:val="auto"/>
              </w:rPr>
            </w:pPr>
            <w:r>
              <w:rPr>
                <w:color w:val="auto"/>
              </w:rPr>
              <w:t>4</w:t>
            </w:r>
          </w:p>
        </w:tc>
        <w:tc>
          <w:tcPr>
            <w:tcW w:w="1053" w:type="pct"/>
            <w:tcBorders>
              <w:top w:val="single" w:color="auto" w:sz="4" w:space="0"/>
              <w:left w:val="nil"/>
              <w:bottom w:val="single" w:color="auto" w:sz="4" w:space="0"/>
              <w:right w:val="single" w:color="auto" w:sz="4" w:space="0"/>
            </w:tcBorders>
            <w:vAlign w:val="center"/>
          </w:tcPr>
          <w:p w14:paraId="5B50E81E">
            <w:pPr>
              <w:jc w:val="center"/>
              <w:rPr>
                <w:color w:val="auto"/>
              </w:rPr>
            </w:pPr>
            <w:r>
              <w:rPr>
                <w:rFonts w:hint="eastAsia"/>
                <w:color w:val="auto"/>
                <w:lang w:val="en-US" w:eastAsia="zh-CN"/>
              </w:rPr>
              <w:t>2</w:t>
            </w:r>
            <w:r>
              <w:rPr>
                <w:color w:val="auto"/>
              </w:rPr>
              <w:t>00</w:t>
            </w:r>
            <w:r>
              <w:rPr>
                <w:rFonts w:hint="eastAsia"/>
                <w:color w:val="auto"/>
                <w:lang w:val="en-US" w:eastAsia="zh-CN"/>
              </w:rPr>
              <w:t>-</w:t>
            </w:r>
            <w:r>
              <w:rPr>
                <w:color w:val="auto"/>
              </w:rPr>
              <w:t>500</w:t>
            </w:r>
          </w:p>
        </w:tc>
        <w:tc>
          <w:tcPr>
            <w:tcW w:w="648" w:type="pct"/>
            <w:tcBorders>
              <w:top w:val="single" w:color="auto" w:sz="4" w:space="0"/>
              <w:left w:val="nil"/>
              <w:bottom w:val="single" w:color="auto" w:sz="4" w:space="0"/>
              <w:right w:val="single" w:color="auto" w:sz="4" w:space="0"/>
            </w:tcBorders>
            <w:vAlign w:val="center"/>
          </w:tcPr>
          <w:p w14:paraId="49E5B2DF">
            <w:pPr>
              <w:jc w:val="center"/>
              <w:rPr>
                <w:rFonts w:hint="default" w:eastAsia="宋体"/>
                <w:color w:val="auto"/>
                <w:lang w:val="en-US" w:eastAsia="zh-CN"/>
              </w:rPr>
            </w:pPr>
            <w:r>
              <w:rPr>
                <w:color w:val="auto"/>
              </w:rPr>
              <w:t>0.</w:t>
            </w:r>
            <w:r>
              <w:rPr>
                <w:rFonts w:hint="eastAsia"/>
                <w:color w:val="auto"/>
                <w:lang w:val="en-US" w:eastAsia="zh-CN"/>
              </w:rPr>
              <w:t>43</w:t>
            </w:r>
          </w:p>
        </w:tc>
        <w:tc>
          <w:tcPr>
            <w:tcW w:w="971" w:type="pct"/>
            <w:tcBorders>
              <w:top w:val="single" w:color="auto" w:sz="4" w:space="0"/>
              <w:left w:val="nil"/>
              <w:bottom w:val="single" w:color="auto" w:sz="4" w:space="0"/>
              <w:right w:val="single" w:color="auto" w:sz="4" w:space="0"/>
            </w:tcBorders>
            <w:vAlign w:val="center"/>
          </w:tcPr>
          <w:p w14:paraId="0C0BE50A">
            <w:pPr>
              <w:jc w:val="center"/>
              <w:rPr>
                <w:rFonts w:hint="default" w:eastAsia="宋体"/>
                <w:color w:val="auto"/>
                <w:lang w:val="en-US" w:eastAsia="zh-CN"/>
              </w:rPr>
            </w:pPr>
            <w:r>
              <w:rPr>
                <w:rFonts w:hint="eastAsia"/>
                <w:color w:val="auto"/>
                <w:lang w:val="en-US" w:eastAsia="zh-CN"/>
              </w:rPr>
              <w:t>500</w:t>
            </w:r>
          </w:p>
        </w:tc>
        <w:tc>
          <w:tcPr>
            <w:tcW w:w="1943" w:type="pct"/>
            <w:tcBorders>
              <w:top w:val="single" w:color="auto" w:sz="4" w:space="0"/>
              <w:left w:val="nil"/>
              <w:bottom w:val="single" w:color="auto" w:sz="4" w:space="0"/>
              <w:right w:val="single" w:color="auto" w:sz="4" w:space="0"/>
            </w:tcBorders>
            <w:vAlign w:val="center"/>
          </w:tcPr>
          <w:p w14:paraId="3F5E63CF">
            <w:pPr>
              <w:jc w:val="center"/>
              <w:rPr>
                <w:rFonts w:hint="default" w:eastAsia="宋体"/>
                <w:color w:val="auto"/>
                <w:lang w:val="en-US" w:eastAsia="zh-CN"/>
              </w:rPr>
            </w:pPr>
            <w:r>
              <w:rPr>
                <w:rFonts w:hint="eastAsia"/>
                <w:color w:val="auto"/>
                <w:lang w:val="en-US" w:eastAsia="zh-CN"/>
              </w:rPr>
              <w:t>1.21</w:t>
            </w:r>
            <w:r>
              <w:rPr>
                <w:color w:val="auto"/>
              </w:rPr>
              <w:t>+(500-</w:t>
            </w:r>
            <w:r>
              <w:rPr>
                <w:rFonts w:hint="eastAsia"/>
                <w:color w:val="auto"/>
                <w:lang w:val="en-US" w:eastAsia="zh-CN"/>
              </w:rPr>
              <w:t>2</w:t>
            </w:r>
            <w:r>
              <w:rPr>
                <w:color w:val="auto"/>
              </w:rPr>
              <w:t>00)×0.</w:t>
            </w:r>
            <w:r>
              <w:rPr>
                <w:rFonts w:hint="eastAsia"/>
                <w:color w:val="auto"/>
                <w:lang w:val="en-US" w:eastAsia="zh-CN"/>
              </w:rPr>
              <w:t>43</w:t>
            </w:r>
            <w:r>
              <w:rPr>
                <w:color w:val="auto"/>
              </w:rPr>
              <w:t>%=</w:t>
            </w:r>
            <w:r>
              <w:rPr>
                <w:rFonts w:hint="eastAsia"/>
                <w:color w:val="auto"/>
                <w:lang w:val="en-US" w:eastAsia="zh-CN"/>
              </w:rPr>
              <w:t>2.50</w:t>
            </w:r>
          </w:p>
        </w:tc>
      </w:tr>
      <w:tr w14:paraId="0B5A13C1">
        <w:tblPrEx>
          <w:tblCellMar>
            <w:top w:w="0" w:type="dxa"/>
            <w:left w:w="108" w:type="dxa"/>
            <w:bottom w:w="0" w:type="dxa"/>
            <w:right w:w="108" w:type="dxa"/>
          </w:tblCellMar>
        </w:tblPrEx>
        <w:trPr>
          <w:trHeight w:val="340" w:hRule="atLeast"/>
          <w:jc w:val="center"/>
        </w:trPr>
        <w:tc>
          <w:tcPr>
            <w:tcW w:w="385" w:type="pct"/>
            <w:tcBorders>
              <w:top w:val="single" w:color="auto" w:sz="4" w:space="0"/>
              <w:left w:val="single" w:color="auto" w:sz="4" w:space="0"/>
              <w:bottom w:val="single" w:color="auto" w:sz="4" w:space="0"/>
              <w:right w:val="single" w:color="auto" w:sz="4" w:space="0"/>
            </w:tcBorders>
            <w:vAlign w:val="center"/>
          </w:tcPr>
          <w:p w14:paraId="4AA42B4C">
            <w:pPr>
              <w:jc w:val="center"/>
              <w:rPr>
                <w:color w:val="auto"/>
              </w:rPr>
            </w:pPr>
            <w:r>
              <w:rPr>
                <w:color w:val="auto"/>
              </w:rPr>
              <w:t>5</w:t>
            </w:r>
          </w:p>
        </w:tc>
        <w:tc>
          <w:tcPr>
            <w:tcW w:w="1053" w:type="pct"/>
            <w:tcBorders>
              <w:top w:val="single" w:color="auto" w:sz="4" w:space="0"/>
              <w:left w:val="nil"/>
              <w:bottom w:val="single" w:color="auto" w:sz="4" w:space="0"/>
              <w:right w:val="single" w:color="auto" w:sz="4" w:space="0"/>
            </w:tcBorders>
            <w:vAlign w:val="center"/>
          </w:tcPr>
          <w:p w14:paraId="171DCF57">
            <w:pPr>
              <w:jc w:val="center"/>
              <w:rPr>
                <w:color w:val="auto"/>
              </w:rPr>
            </w:pPr>
            <w:r>
              <w:rPr>
                <w:color w:val="auto"/>
              </w:rPr>
              <w:t>500</w:t>
            </w:r>
            <w:r>
              <w:rPr>
                <w:rFonts w:hint="eastAsia"/>
                <w:color w:val="auto"/>
                <w:lang w:val="en-US" w:eastAsia="zh-CN"/>
              </w:rPr>
              <w:t>-</w:t>
            </w:r>
            <w:r>
              <w:rPr>
                <w:color w:val="auto"/>
              </w:rPr>
              <w:t>1000</w:t>
            </w:r>
          </w:p>
        </w:tc>
        <w:tc>
          <w:tcPr>
            <w:tcW w:w="648" w:type="pct"/>
            <w:tcBorders>
              <w:top w:val="single" w:color="auto" w:sz="4" w:space="0"/>
              <w:left w:val="nil"/>
              <w:bottom w:val="single" w:color="auto" w:sz="4" w:space="0"/>
              <w:right w:val="single" w:color="auto" w:sz="4" w:space="0"/>
            </w:tcBorders>
            <w:vAlign w:val="center"/>
          </w:tcPr>
          <w:p w14:paraId="6DA7F014">
            <w:pPr>
              <w:jc w:val="center"/>
              <w:rPr>
                <w:rFonts w:hint="eastAsia" w:eastAsia="宋体"/>
                <w:color w:val="auto"/>
                <w:lang w:val="en-US" w:eastAsia="zh-CN"/>
              </w:rPr>
            </w:pPr>
            <w:r>
              <w:rPr>
                <w:color w:val="auto"/>
              </w:rPr>
              <w:t>0.</w:t>
            </w:r>
            <w:r>
              <w:rPr>
                <w:rFonts w:hint="eastAsia"/>
                <w:color w:val="auto"/>
                <w:lang w:val="en-US" w:eastAsia="zh-CN"/>
              </w:rPr>
              <w:t>4</w:t>
            </w:r>
          </w:p>
        </w:tc>
        <w:tc>
          <w:tcPr>
            <w:tcW w:w="971" w:type="pct"/>
            <w:tcBorders>
              <w:top w:val="single" w:color="auto" w:sz="4" w:space="0"/>
              <w:left w:val="nil"/>
              <w:bottom w:val="single" w:color="auto" w:sz="4" w:space="0"/>
              <w:right w:val="single" w:color="auto" w:sz="4" w:space="0"/>
            </w:tcBorders>
            <w:vAlign w:val="center"/>
          </w:tcPr>
          <w:p w14:paraId="5EB2274D">
            <w:pPr>
              <w:jc w:val="center"/>
              <w:rPr>
                <w:rFonts w:hint="default" w:eastAsia="宋体"/>
                <w:color w:val="auto"/>
                <w:lang w:val="en-US" w:eastAsia="zh-CN"/>
              </w:rPr>
            </w:pPr>
            <w:r>
              <w:rPr>
                <w:rFonts w:hint="eastAsia"/>
                <w:color w:val="auto"/>
                <w:lang w:val="en-US" w:eastAsia="zh-CN"/>
              </w:rPr>
              <w:t>1000</w:t>
            </w:r>
          </w:p>
        </w:tc>
        <w:tc>
          <w:tcPr>
            <w:tcW w:w="1943" w:type="pct"/>
            <w:tcBorders>
              <w:top w:val="single" w:color="auto" w:sz="4" w:space="0"/>
              <w:left w:val="nil"/>
              <w:bottom w:val="single" w:color="auto" w:sz="4" w:space="0"/>
              <w:right w:val="single" w:color="auto" w:sz="4" w:space="0"/>
            </w:tcBorders>
            <w:vAlign w:val="center"/>
          </w:tcPr>
          <w:p w14:paraId="739A8E82">
            <w:pPr>
              <w:jc w:val="center"/>
              <w:rPr>
                <w:rFonts w:hint="default" w:eastAsia="宋体"/>
                <w:color w:val="auto"/>
                <w:lang w:val="en-US" w:eastAsia="zh-CN"/>
              </w:rPr>
            </w:pPr>
            <w:r>
              <w:rPr>
                <w:rFonts w:hint="eastAsia"/>
                <w:color w:val="auto"/>
                <w:lang w:val="en-US" w:eastAsia="zh-CN"/>
              </w:rPr>
              <w:t>2.50</w:t>
            </w:r>
            <w:r>
              <w:rPr>
                <w:color w:val="auto"/>
              </w:rPr>
              <w:t>+(1000-500)×0.</w:t>
            </w:r>
            <w:r>
              <w:rPr>
                <w:rFonts w:hint="eastAsia"/>
                <w:color w:val="auto"/>
                <w:lang w:val="en-US" w:eastAsia="zh-CN"/>
              </w:rPr>
              <w:t>4</w:t>
            </w:r>
            <w:r>
              <w:rPr>
                <w:color w:val="auto"/>
              </w:rPr>
              <w:t>%=</w:t>
            </w:r>
            <w:r>
              <w:rPr>
                <w:rFonts w:hint="eastAsia"/>
                <w:color w:val="auto"/>
                <w:lang w:val="en-US" w:eastAsia="zh-CN"/>
              </w:rPr>
              <w:t>4.50</w:t>
            </w:r>
          </w:p>
        </w:tc>
      </w:tr>
      <w:tr w14:paraId="243DE697">
        <w:tblPrEx>
          <w:tblCellMar>
            <w:top w:w="0" w:type="dxa"/>
            <w:left w:w="108" w:type="dxa"/>
            <w:bottom w:w="0" w:type="dxa"/>
            <w:right w:w="108" w:type="dxa"/>
          </w:tblCellMar>
        </w:tblPrEx>
        <w:trPr>
          <w:trHeight w:val="340" w:hRule="atLeast"/>
          <w:jc w:val="center"/>
        </w:trPr>
        <w:tc>
          <w:tcPr>
            <w:tcW w:w="385" w:type="pct"/>
            <w:tcBorders>
              <w:top w:val="single" w:color="auto" w:sz="4" w:space="0"/>
              <w:left w:val="single" w:color="auto" w:sz="4" w:space="0"/>
              <w:bottom w:val="single" w:color="auto" w:sz="4" w:space="0"/>
              <w:right w:val="single" w:color="auto" w:sz="4" w:space="0"/>
            </w:tcBorders>
            <w:vAlign w:val="center"/>
          </w:tcPr>
          <w:p w14:paraId="19B496C7">
            <w:pPr>
              <w:jc w:val="center"/>
              <w:rPr>
                <w:color w:val="auto"/>
              </w:rPr>
            </w:pPr>
            <w:r>
              <w:rPr>
                <w:color w:val="auto"/>
              </w:rPr>
              <w:t>6</w:t>
            </w:r>
          </w:p>
        </w:tc>
        <w:tc>
          <w:tcPr>
            <w:tcW w:w="1053" w:type="pct"/>
            <w:tcBorders>
              <w:top w:val="single" w:color="auto" w:sz="4" w:space="0"/>
              <w:left w:val="nil"/>
              <w:bottom w:val="single" w:color="auto" w:sz="4" w:space="0"/>
              <w:right w:val="single" w:color="auto" w:sz="4" w:space="0"/>
            </w:tcBorders>
            <w:vAlign w:val="center"/>
          </w:tcPr>
          <w:p w14:paraId="40090498">
            <w:pPr>
              <w:jc w:val="center"/>
              <w:rPr>
                <w:color w:val="auto"/>
              </w:rPr>
            </w:pPr>
            <w:r>
              <w:rPr>
                <w:rFonts w:hint="eastAsia"/>
                <w:color w:val="auto"/>
                <w:lang w:val="en-US" w:eastAsia="zh-CN"/>
              </w:rPr>
              <w:t>1000-3</w:t>
            </w:r>
            <w:r>
              <w:rPr>
                <w:color w:val="auto"/>
              </w:rPr>
              <w:t>000</w:t>
            </w:r>
          </w:p>
        </w:tc>
        <w:tc>
          <w:tcPr>
            <w:tcW w:w="648" w:type="pct"/>
            <w:tcBorders>
              <w:top w:val="single" w:color="auto" w:sz="4" w:space="0"/>
              <w:left w:val="nil"/>
              <w:bottom w:val="single" w:color="auto" w:sz="4" w:space="0"/>
              <w:right w:val="single" w:color="auto" w:sz="4" w:space="0"/>
            </w:tcBorders>
            <w:vAlign w:val="center"/>
          </w:tcPr>
          <w:p w14:paraId="35020CD1">
            <w:pPr>
              <w:jc w:val="center"/>
              <w:rPr>
                <w:rFonts w:hint="eastAsia" w:eastAsia="宋体"/>
                <w:color w:val="auto"/>
                <w:lang w:val="en-US" w:eastAsia="zh-CN"/>
              </w:rPr>
            </w:pPr>
            <w:r>
              <w:rPr>
                <w:color w:val="auto"/>
              </w:rPr>
              <w:t>0.</w:t>
            </w:r>
            <w:r>
              <w:rPr>
                <w:rFonts w:hint="eastAsia"/>
                <w:color w:val="auto"/>
                <w:lang w:val="en-US" w:eastAsia="zh-CN"/>
              </w:rPr>
              <w:t>3</w:t>
            </w:r>
          </w:p>
        </w:tc>
        <w:tc>
          <w:tcPr>
            <w:tcW w:w="971" w:type="pct"/>
            <w:tcBorders>
              <w:top w:val="single" w:color="auto" w:sz="4" w:space="0"/>
              <w:left w:val="nil"/>
              <w:bottom w:val="single" w:color="auto" w:sz="4" w:space="0"/>
              <w:right w:val="single" w:color="auto" w:sz="4" w:space="0"/>
            </w:tcBorders>
            <w:vAlign w:val="center"/>
          </w:tcPr>
          <w:p w14:paraId="2AB28059">
            <w:pPr>
              <w:jc w:val="center"/>
              <w:rPr>
                <w:rFonts w:hint="default" w:eastAsia="宋体"/>
                <w:color w:val="auto"/>
                <w:lang w:val="en-US" w:eastAsia="zh-CN"/>
              </w:rPr>
            </w:pPr>
            <w:r>
              <w:rPr>
                <w:rFonts w:hint="eastAsia"/>
                <w:color w:val="auto"/>
                <w:lang w:val="en-US" w:eastAsia="zh-CN"/>
              </w:rPr>
              <w:t>3000</w:t>
            </w:r>
          </w:p>
        </w:tc>
        <w:tc>
          <w:tcPr>
            <w:tcW w:w="1943" w:type="pct"/>
            <w:tcBorders>
              <w:top w:val="single" w:color="auto" w:sz="4" w:space="0"/>
              <w:left w:val="nil"/>
              <w:bottom w:val="single" w:color="auto" w:sz="4" w:space="0"/>
              <w:right w:val="single" w:color="auto" w:sz="4" w:space="0"/>
            </w:tcBorders>
            <w:vAlign w:val="center"/>
          </w:tcPr>
          <w:p w14:paraId="1CF2A8AE">
            <w:pPr>
              <w:jc w:val="center"/>
              <w:rPr>
                <w:rFonts w:hint="default" w:eastAsia="宋体"/>
                <w:color w:val="auto"/>
                <w:lang w:val="en-US" w:eastAsia="zh-CN"/>
              </w:rPr>
            </w:pPr>
            <w:r>
              <w:rPr>
                <w:rFonts w:hint="eastAsia"/>
                <w:color w:val="auto"/>
                <w:lang w:val="en-US" w:eastAsia="zh-CN"/>
              </w:rPr>
              <w:t>4.50</w:t>
            </w:r>
            <w:r>
              <w:rPr>
                <w:color w:val="auto"/>
              </w:rPr>
              <w:t>+(</w:t>
            </w:r>
            <w:r>
              <w:rPr>
                <w:rFonts w:hint="eastAsia"/>
                <w:color w:val="auto"/>
                <w:lang w:val="en-US" w:eastAsia="zh-CN"/>
              </w:rPr>
              <w:t>3</w:t>
            </w:r>
            <w:r>
              <w:rPr>
                <w:color w:val="auto"/>
              </w:rPr>
              <w:t>000-1000)×0</w:t>
            </w:r>
            <w:r>
              <w:rPr>
                <w:rFonts w:hint="eastAsia"/>
                <w:color w:val="auto"/>
                <w:lang w:val="en-US" w:eastAsia="zh-CN"/>
              </w:rPr>
              <w:t>.3</w:t>
            </w:r>
            <w:r>
              <w:rPr>
                <w:color w:val="auto"/>
              </w:rPr>
              <w:t>%=</w:t>
            </w:r>
            <w:r>
              <w:rPr>
                <w:rFonts w:hint="eastAsia"/>
                <w:color w:val="auto"/>
                <w:lang w:val="en-US" w:eastAsia="zh-CN"/>
              </w:rPr>
              <w:t>10.50</w:t>
            </w:r>
          </w:p>
        </w:tc>
      </w:tr>
      <w:tr w14:paraId="4DEB3D9E">
        <w:tblPrEx>
          <w:tblCellMar>
            <w:top w:w="0" w:type="dxa"/>
            <w:left w:w="108" w:type="dxa"/>
            <w:bottom w:w="0" w:type="dxa"/>
            <w:right w:w="108" w:type="dxa"/>
          </w:tblCellMar>
        </w:tblPrEx>
        <w:trPr>
          <w:trHeight w:val="340" w:hRule="atLeast"/>
          <w:jc w:val="center"/>
        </w:trPr>
        <w:tc>
          <w:tcPr>
            <w:tcW w:w="385" w:type="pct"/>
            <w:tcBorders>
              <w:top w:val="single" w:color="auto" w:sz="4" w:space="0"/>
              <w:left w:val="single" w:color="auto" w:sz="4" w:space="0"/>
              <w:bottom w:val="single" w:color="auto" w:sz="4" w:space="0"/>
              <w:right w:val="single" w:color="auto" w:sz="4" w:space="0"/>
            </w:tcBorders>
            <w:vAlign w:val="center"/>
          </w:tcPr>
          <w:p w14:paraId="41A098D5">
            <w:pPr>
              <w:jc w:val="center"/>
              <w:rPr>
                <w:rFonts w:hint="eastAsia" w:eastAsia="宋体"/>
                <w:color w:val="auto"/>
                <w:lang w:val="en-US" w:eastAsia="zh-CN"/>
              </w:rPr>
            </w:pPr>
            <w:r>
              <w:rPr>
                <w:rFonts w:hint="eastAsia"/>
                <w:color w:val="auto"/>
                <w:lang w:val="en-US" w:eastAsia="zh-CN"/>
              </w:rPr>
              <w:t>7</w:t>
            </w:r>
          </w:p>
        </w:tc>
        <w:tc>
          <w:tcPr>
            <w:tcW w:w="1053" w:type="pct"/>
            <w:tcBorders>
              <w:top w:val="single" w:color="auto" w:sz="4" w:space="0"/>
              <w:left w:val="nil"/>
              <w:bottom w:val="single" w:color="auto" w:sz="4" w:space="0"/>
              <w:right w:val="single" w:color="auto" w:sz="4" w:space="0"/>
            </w:tcBorders>
            <w:vAlign w:val="center"/>
          </w:tcPr>
          <w:p w14:paraId="6B5A77DD">
            <w:pPr>
              <w:jc w:val="center"/>
              <w:rPr>
                <w:rFonts w:hint="default" w:eastAsia="宋体"/>
                <w:color w:val="auto"/>
                <w:lang w:val="en-US" w:eastAsia="zh-CN"/>
              </w:rPr>
            </w:pPr>
            <w:r>
              <w:rPr>
                <w:rFonts w:hint="eastAsia"/>
                <w:color w:val="auto"/>
                <w:lang w:val="en-US" w:eastAsia="zh-CN"/>
              </w:rPr>
              <w:t>3000-5000</w:t>
            </w:r>
          </w:p>
        </w:tc>
        <w:tc>
          <w:tcPr>
            <w:tcW w:w="648" w:type="pct"/>
            <w:tcBorders>
              <w:top w:val="single" w:color="auto" w:sz="4" w:space="0"/>
              <w:left w:val="nil"/>
              <w:bottom w:val="single" w:color="auto" w:sz="4" w:space="0"/>
              <w:right w:val="single" w:color="auto" w:sz="4" w:space="0"/>
            </w:tcBorders>
            <w:vAlign w:val="center"/>
          </w:tcPr>
          <w:p w14:paraId="5B47A12F">
            <w:pPr>
              <w:jc w:val="center"/>
              <w:rPr>
                <w:rFonts w:hint="default" w:eastAsia="宋体"/>
                <w:color w:val="auto"/>
                <w:lang w:val="en-US" w:eastAsia="zh-CN"/>
              </w:rPr>
            </w:pPr>
            <w:r>
              <w:rPr>
                <w:rFonts w:hint="eastAsia"/>
                <w:color w:val="auto"/>
                <w:lang w:val="en-US" w:eastAsia="zh-CN"/>
              </w:rPr>
              <w:t>0.2</w:t>
            </w:r>
          </w:p>
        </w:tc>
        <w:tc>
          <w:tcPr>
            <w:tcW w:w="971" w:type="pct"/>
            <w:tcBorders>
              <w:top w:val="single" w:color="auto" w:sz="4" w:space="0"/>
              <w:left w:val="nil"/>
              <w:bottom w:val="single" w:color="auto" w:sz="4" w:space="0"/>
              <w:right w:val="single" w:color="auto" w:sz="4" w:space="0"/>
            </w:tcBorders>
            <w:vAlign w:val="center"/>
          </w:tcPr>
          <w:p w14:paraId="2040444A">
            <w:pPr>
              <w:jc w:val="center"/>
              <w:rPr>
                <w:rFonts w:hint="default" w:eastAsia="宋体"/>
                <w:color w:val="auto"/>
                <w:lang w:val="en-US" w:eastAsia="zh-CN"/>
              </w:rPr>
            </w:pPr>
            <w:r>
              <w:rPr>
                <w:rFonts w:hint="eastAsia"/>
                <w:color w:val="auto"/>
                <w:lang w:val="en-US" w:eastAsia="zh-CN"/>
              </w:rPr>
              <w:t>5000</w:t>
            </w:r>
          </w:p>
        </w:tc>
        <w:tc>
          <w:tcPr>
            <w:tcW w:w="1943" w:type="pct"/>
            <w:tcBorders>
              <w:top w:val="single" w:color="auto" w:sz="4" w:space="0"/>
              <w:left w:val="nil"/>
              <w:bottom w:val="single" w:color="auto" w:sz="4" w:space="0"/>
              <w:right w:val="single" w:color="auto" w:sz="4" w:space="0"/>
            </w:tcBorders>
            <w:vAlign w:val="center"/>
          </w:tcPr>
          <w:p w14:paraId="3CDDD20F">
            <w:pPr>
              <w:jc w:val="center"/>
              <w:rPr>
                <w:rFonts w:hint="default"/>
                <w:color w:val="auto"/>
                <w:lang w:val="en-US"/>
              </w:rPr>
            </w:pPr>
            <w:r>
              <w:rPr>
                <w:rFonts w:hint="eastAsia"/>
                <w:color w:val="auto"/>
                <w:lang w:val="en-US" w:eastAsia="zh-CN"/>
              </w:rPr>
              <w:t>10.50</w:t>
            </w:r>
            <w:r>
              <w:rPr>
                <w:color w:val="auto"/>
              </w:rPr>
              <w:t>+(</w:t>
            </w:r>
            <w:r>
              <w:rPr>
                <w:rFonts w:hint="eastAsia"/>
                <w:color w:val="auto"/>
                <w:lang w:val="en-US" w:eastAsia="zh-CN"/>
              </w:rPr>
              <w:t>50</w:t>
            </w:r>
            <w:r>
              <w:rPr>
                <w:color w:val="auto"/>
              </w:rPr>
              <w:t>00-</w:t>
            </w:r>
            <w:r>
              <w:rPr>
                <w:rFonts w:hint="eastAsia"/>
                <w:color w:val="auto"/>
                <w:lang w:val="en-US" w:eastAsia="zh-CN"/>
              </w:rPr>
              <w:t>3</w:t>
            </w:r>
            <w:r>
              <w:rPr>
                <w:color w:val="auto"/>
              </w:rPr>
              <w:t>000)×0</w:t>
            </w:r>
            <w:r>
              <w:rPr>
                <w:rFonts w:hint="eastAsia"/>
                <w:color w:val="auto"/>
                <w:lang w:val="en-US" w:eastAsia="zh-CN"/>
              </w:rPr>
              <w:t>.2</w:t>
            </w:r>
            <w:r>
              <w:rPr>
                <w:color w:val="auto"/>
              </w:rPr>
              <w:t>%=</w:t>
            </w:r>
            <w:r>
              <w:rPr>
                <w:rFonts w:hint="eastAsia"/>
                <w:color w:val="auto"/>
                <w:lang w:val="en-US" w:eastAsia="zh-CN"/>
              </w:rPr>
              <w:t>14.50</w:t>
            </w:r>
          </w:p>
        </w:tc>
      </w:tr>
      <w:tr w14:paraId="75AF35CC">
        <w:tblPrEx>
          <w:tblCellMar>
            <w:top w:w="0" w:type="dxa"/>
            <w:left w:w="108" w:type="dxa"/>
            <w:bottom w:w="0" w:type="dxa"/>
            <w:right w:w="108" w:type="dxa"/>
          </w:tblCellMar>
        </w:tblPrEx>
        <w:trPr>
          <w:trHeight w:val="340" w:hRule="atLeast"/>
          <w:jc w:val="center"/>
        </w:trPr>
        <w:tc>
          <w:tcPr>
            <w:tcW w:w="385" w:type="pct"/>
            <w:tcBorders>
              <w:top w:val="single" w:color="auto" w:sz="4" w:space="0"/>
              <w:left w:val="single" w:color="auto" w:sz="4" w:space="0"/>
              <w:bottom w:val="single" w:color="auto" w:sz="4" w:space="0"/>
              <w:right w:val="single" w:color="auto" w:sz="4" w:space="0"/>
            </w:tcBorders>
            <w:vAlign w:val="center"/>
          </w:tcPr>
          <w:p w14:paraId="580F27F1">
            <w:pPr>
              <w:jc w:val="center"/>
              <w:rPr>
                <w:rFonts w:hint="eastAsia" w:eastAsia="宋体"/>
                <w:color w:val="auto"/>
                <w:lang w:val="en-US" w:eastAsia="zh-CN"/>
              </w:rPr>
            </w:pPr>
            <w:r>
              <w:rPr>
                <w:rFonts w:hint="eastAsia"/>
                <w:color w:val="auto"/>
                <w:lang w:val="en-US" w:eastAsia="zh-CN"/>
              </w:rPr>
              <w:t>8</w:t>
            </w:r>
          </w:p>
        </w:tc>
        <w:tc>
          <w:tcPr>
            <w:tcW w:w="1053" w:type="pct"/>
            <w:tcBorders>
              <w:top w:val="single" w:color="auto" w:sz="4" w:space="0"/>
              <w:left w:val="nil"/>
              <w:bottom w:val="single" w:color="auto" w:sz="4" w:space="0"/>
              <w:right w:val="single" w:color="auto" w:sz="4" w:space="0"/>
            </w:tcBorders>
            <w:vAlign w:val="center"/>
          </w:tcPr>
          <w:p w14:paraId="07DF8C46">
            <w:pPr>
              <w:jc w:val="center"/>
              <w:rPr>
                <w:rFonts w:hint="default" w:eastAsia="宋体"/>
                <w:color w:val="auto"/>
                <w:lang w:val="en-US" w:eastAsia="zh-CN"/>
              </w:rPr>
            </w:pPr>
            <w:r>
              <w:rPr>
                <w:rFonts w:hint="eastAsia"/>
                <w:color w:val="auto"/>
                <w:lang w:val="en-US" w:eastAsia="zh-CN"/>
              </w:rPr>
              <w:t>5000-10000</w:t>
            </w:r>
          </w:p>
        </w:tc>
        <w:tc>
          <w:tcPr>
            <w:tcW w:w="648" w:type="pct"/>
            <w:tcBorders>
              <w:top w:val="single" w:color="auto" w:sz="4" w:space="0"/>
              <w:left w:val="nil"/>
              <w:bottom w:val="single" w:color="auto" w:sz="4" w:space="0"/>
              <w:right w:val="single" w:color="auto" w:sz="4" w:space="0"/>
            </w:tcBorders>
            <w:vAlign w:val="center"/>
          </w:tcPr>
          <w:p w14:paraId="1D93D3F3">
            <w:pPr>
              <w:jc w:val="center"/>
              <w:rPr>
                <w:rFonts w:hint="default" w:eastAsia="宋体"/>
                <w:color w:val="auto"/>
                <w:lang w:val="en-US" w:eastAsia="zh-CN"/>
              </w:rPr>
            </w:pPr>
            <w:r>
              <w:rPr>
                <w:rFonts w:hint="eastAsia"/>
                <w:color w:val="auto"/>
                <w:lang w:val="en-US" w:eastAsia="zh-CN"/>
              </w:rPr>
              <w:t>0.1</w:t>
            </w:r>
          </w:p>
        </w:tc>
        <w:tc>
          <w:tcPr>
            <w:tcW w:w="971" w:type="pct"/>
            <w:tcBorders>
              <w:top w:val="single" w:color="auto" w:sz="4" w:space="0"/>
              <w:left w:val="nil"/>
              <w:bottom w:val="single" w:color="auto" w:sz="4" w:space="0"/>
              <w:right w:val="single" w:color="auto" w:sz="4" w:space="0"/>
            </w:tcBorders>
            <w:vAlign w:val="center"/>
          </w:tcPr>
          <w:p w14:paraId="4D4198D1">
            <w:pPr>
              <w:jc w:val="center"/>
              <w:rPr>
                <w:rFonts w:hint="default" w:eastAsia="宋体"/>
                <w:color w:val="auto"/>
                <w:lang w:val="en-US" w:eastAsia="zh-CN"/>
              </w:rPr>
            </w:pPr>
            <w:r>
              <w:rPr>
                <w:rFonts w:hint="eastAsia"/>
                <w:color w:val="auto"/>
                <w:lang w:val="en-US" w:eastAsia="zh-CN"/>
              </w:rPr>
              <w:t>10000</w:t>
            </w:r>
          </w:p>
        </w:tc>
        <w:tc>
          <w:tcPr>
            <w:tcW w:w="1943" w:type="pct"/>
            <w:tcBorders>
              <w:top w:val="single" w:color="auto" w:sz="4" w:space="0"/>
              <w:left w:val="nil"/>
              <w:bottom w:val="single" w:color="auto" w:sz="4" w:space="0"/>
              <w:right w:val="single" w:color="auto" w:sz="4" w:space="0"/>
            </w:tcBorders>
            <w:vAlign w:val="center"/>
          </w:tcPr>
          <w:p w14:paraId="0798287D">
            <w:pPr>
              <w:jc w:val="center"/>
              <w:rPr>
                <w:color w:val="auto"/>
              </w:rPr>
            </w:pPr>
            <w:r>
              <w:rPr>
                <w:rFonts w:hint="eastAsia"/>
                <w:color w:val="auto"/>
                <w:lang w:val="en-US" w:eastAsia="zh-CN"/>
              </w:rPr>
              <w:t>14.50</w:t>
            </w:r>
            <w:r>
              <w:rPr>
                <w:color w:val="auto"/>
              </w:rPr>
              <w:t>+(</w:t>
            </w:r>
            <w:r>
              <w:rPr>
                <w:rFonts w:hint="eastAsia"/>
                <w:color w:val="auto"/>
                <w:lang w:val="en-US" w:eastAsia="zh-CN"/>
              </w:rPr>
              <w:t>10</w:t>
            </w:r>
            <w:r>
              <w:rPr>
                <w:color w:val="auto"/>
              </w:rPr>
              <w:t>000-</w:t>
            </w:r>
            <w:r>
              <w:rPr>
                <w:rFonts w:hint="eastAsia"/>
                <w:color w:val="auto"/>
                <w:lang w:val="en-US" w:eastAsia="zh-CN"/>
              </w:rPr>
              <w:t>5</w:t>
            </w:r>
            <w:r>
              <w:rPr>
                <w:color w:val="auto"/>
              </w:rPr>
              <w:t>000)×0</w:t>
            </w:r>
            <w:r>
              <w:rPr>
                <w:rFonts w:hint="eastAsia"/>
                <w:color w:val="auto"/>
                <w:lang w:val="en-US" w:eastAsia="zh-CN"/>
              </w:rPr>
              <w:t>.1</w:t>
            </w:r>
            <w:r>
              <w:rPr>
                <w:color w:val="auto"/>
              </w:rPr>
              <w:t>%=</w:t>
            </w:r>
            <w:r>
              <w:rPr>
                <w:rFonts w:hint="eastAsia"/>
                <w:color w:val="auto"/>
                <w:lang w:val="en-US" w:eastAsia="zh-CN"/>
              </w:rPr>
              <w:t>19.50</w:t>
            </w:r>
          </w:p>
        </w:tc>
      </w:tr>
    </w:tbl>
    <w:p w14:paraId="5618F81A">
      <w:pPr>
        <w:spacing w:line="360" w:lineRule="auto"/>
        <w:ind w:firstLine="361" w:firstLineChars="200"/>
        <w:rPr>
          <w:color w:val="auto"/>
          <w:sz w:val="28"/>
          <w:szCs w:val="28"/>
        </w:rPr>
      </w:pPr>
      <w:r>
        <w:rPr>
          <w:b/>
          <w:bCs w:val="0"/>
          <w:color w:val="auto"/>
          <w:sz w:val="18"/>
          <w:szCs w:val="18"/>
        </w:rPr>
        <w:t>注：</w:t>
      </w:r>
      <w:r>
        <w:rPr>
          <w:rFonts w:hint="eastAsia"/>
          <w:b/>
          <w:bCs w:val="0"/>
          <w:color w:val="auto"/>
          <w:sz w:val="18"/>
          <w:szCs w:val="18"/>
          <w:lang w:val="en-US" w:eastAsia="zh-CN"/>
        </w:rPr>
        <w:t>计费基数不足50万元时，按0.5万元计取；</w:t>
      </w:r>
      <w:r>
        <w:rPr>
          <w:b/>
          <w:bCs w:val="0"/>
          <w:color w:val="auto"/>
          <w:sz w:val="18"/>
          <w:szCs w:val="18"/>
        </w:rPr>
        <w:t>计费基数大于1亿元时，按计费基数的</w:t>
      </w:r>
      <w:r>
        <w:rPr>
          <w:rFonts w:hint="eastAsia"/>
          <w:b/>
          <w:bCs w:val="0"/>
          <w:color w:val="auto"/>
          <w:sz w:val="18"/>
          <w:szCs w:val="18"/>
          <w:lang w:val="en-US" w:eastAsia="zh-CN"/>
        </w:rPr>
        <w:t>0.05</w:t>
      </w:r>
      <w:r>
        <w:rPr>
          <w:b/>
          <w:bCs w:val="0"/>
          <w:color w:val="auto"/>
          <w:sz w:val="18"/>
          <w:szCs w:val="18"/>
        </w:rPr>
        <w:t>%计取。</w:t>
      </w:r>
    </w:p>
    <w:p w14:paraId="7B01B82E">
      <w:pPr>
        <w:spacing w:line="360" w:lineRule="auto"/>
        <w:ind w:firstLine="560" w:firstLineChars="200"/>
        <w:jc w:val="left"/>
        <w:rPr>
          <w:color w:val="auto"/>
          <w:sz w:val="28"/>
          <w:szCs w:val="28"/>
        </w:rPr>
      </w:pPr>
      <w:r>
        <w:rPr>
          <w:color w:val="auto"/>
          <w:sz w:val="28"/>
          <w:szCs w:val="28"/>
        </w:rPr>
        <w:t>（2）工程监理费</w:t>
      </w:r>
    </w:p>
    <w:p w14:paraId="0C03B5B9">
      <w:pPr>
        <w:spacing w:line="360" w:lineRule="auto"/>
        <w:ind w:firstLine="560" w:firstLineChars="200"/>
        <w:jc w:val="left"/>
        <w:rPr>
          <w:color w:val="auto"/>
          <w:sz w:val="28"/>
          <w:szCs w:val="28"/>
        </w:rPr>
      </w:pPr>
      <w:r>
        <w:rPr>
          <w:color w:val="auto"/>
          <w:sz w:val="28"/>
          <w:szCs w:val="28"/>
        </w:rPr>
        <w:t>以工程施工费作为计费基数，采用分档定额计算方式计算，各区间按内插法确定，具体费率见表6-</w:t>
      </w:r>
      <w:r>
        <w:rPr>
          <w:rFonts w:hint="eastAsia"/>
          <w:color w:val="auto"/>
          <w:sz w:val="28"/>
          <w:szCs w:val="28"/>
          <w:lang w:val="en-US" w:eastAsia="zh-CN"/>
        </w:rPr>
        <w:t>7</w:t>
      </w:r>
      <w:r>
        <w:rPr>
          <w:color w:val="auto"/>
          <w:sz w:val="28"/>
          <w:szCs w:val="28"/>
        </w:rPr>
        <w:t>。</w:t>
      </w:r>
    </w:p>
    <w:p w14:paraId="055F3B2C">
      <w:pPr>
        <w:jc w:val="center"/>
        <w:rPr>
          <w:rFonts w:eastAsia="黑体"/>
          <w:color w:val="auto"/>
          <w:sz w:val="24"/>
          <w:szCs w:val="22"/>
        </w:rPr>
      </w:pPr>
      <w:r>
        <w:rPr>
          <w:rFonts w:eastAsia="黑体"/>
          <w:color w:val="auto"/>
          <w:sz w:val="24"/>
          <w:szCs w:val="22"/>
        </w:rPr>
        <w:t>表6-</w:t>
      </w:r>
      <w:r>
        <w:rPr>
          <w:rFonts w:hint="eastAsia" w:eastAsia="黑体"/>
          <w:color w:val="auto"/>
          <w:sz w:val="24"/>
          <w:szCs w:val="22"/>
          <w:lang w:val="en-US" w:eastAsia="zh-CN"/>
        </w:rPr>
        <w:t>7</w:t>
      </w:r>
      <w:r>
        <w:rPr>
          <w:rFonts w:eastAsia="黑体"/>
          <w:color w:val="auto"/>
          <w:sz w:val="24"/>
          <w:szCs w:val="22"/>
        </w:rPr>
        <w:t xml:space="preserve">  工程监理费计费标准表</w:t>
      </w:r>
    </w:p>
    <w:tbl>
      <w:tblPr>
        <w:tblStyle w:val="34"/>
        <w:tblW w:w="4981" w:type="pct"/>
        <w:jc w:val="center"/>
        <w:tblLayout w:type="autofit"/>
        <w:tblCellMar>
          <w:top w:w="0" w:type="dxa"/>
          <w:left w:w="108" w:type="dxa"/>
          <w:bottom w:w="0" w:type="dxa"/>
          <w:right w:w="108" w:type="dxa"/>
        </w:tblCellMar>
      </w:tblPr>
      <w:tblGrid>
        <w:gridCol w:w="1318"/>
        <w:gridCol w:w="4292"/>
        <w:gridCol w:w="2670"/>
      </w:tblGrid>
      <w:tr w14:paraId="15691304">
        <w:tblPrEx>
          <w:tblCellMar>
            <w:top w:w="0" w:type="dxa"/>
            <w:left w:w="108" w:type="dxa"/>
            <w:bottom w:w="0" w:type="dxa"/>
            <w:right w:w="108" w:type="dxa"/>
          </w:tblCellMar>
        </w:tblPrEx>
        <w:trPr>
          <w:trHeight w:val="340" w:hRule="atLeast"/>
          <w:tblHeader/>
          <w:jc w:val="center"/>
        </w:trPr>
        <w:tc>
          <w:tcPr>
            <w:tcW w:w="796" w:type="pct"/>
            <w:tcBorders>
              <w:top w:val="single" w:color="auto" w:sz="4" w:space="0"/>
              <w:left w:val="single" w:color="auto" w:sz="4" w:space="0"/>
              <w:bottom w:val="single" w:color="auto" w:sz="4" w:space="0"/>
              <w:right w:val="single" w:color="auto" w:sz="4" w:space="0"/>
            </w:tcBorders>
            <w:vAlign w:val="center"/>
          </w:tcPr>
          <w:p w14:paraId="4F4E9808">
            <w:pPr>
              <w:jc w:val="center"/>
              <w:rPr>
                <w:color w:val="auto"/>
              </w:rPr>
            </w:pPr>
            <w:r>
              <w:rPr>
                <w:color w:val="auto"/>
              </w:rPr>
              <w:t>序号</w:t>
            </w:r>
          </w:p>
        </w:tc>
        <w:tc>
          <w:tcPr>
            <w:tcW w:w="2592" w:type="pct"/>
            <w:tcBorders>
              <w:top w:val="single" w:color="auto" w:sz="4" w:space="0"/>
              <w:left w:val="single" w:color="auto" w:sz="4" w:space="0"/>
              <w:bottom w:val="single" w:color="auto" w:sz="4" w:space="0"/>
              <w:right w:val="single" w:color="auto" w:sz="4" w:space="0"/>
            </w:tcBorders>
            <w:vAlign w:val="center"/>
          </w:tcPr>
          <w:p w14:paraId="6D346127">
            <w:pPr>
              <w:jc w:val="center"/>
              <w:rPr>
                <w:color w:val="auto"/>
              </w:rPr>
            </w:pPr>
            <w:r>
              <w:rPr>
                <w:color w:val="auto"/>
              </w:rPr>
              <w:t>计费基数(万元)</w:t>
            </w:r>
          </w:p>
        </w:tc>
        <w:tc>
          <w:tcPr>
            <w:tcW w:w="1612" w:type="pct"/>
            <w:tcBorders>
              <w:top w:val="single" w:color="auto" w:sz="4" w:space="0"/>
              <w:left w:val="single" w:color="auto" w:sz="4" w:space="0"/>
              <w:bottom w:val="single" w:color="auto" w:sz="4" w:space="0"/>
              <w:right w:val="single" w:color="auto" w:sz="4" w:space="0"/>
            </w:tcBorders>
            <w:vAlign w:val="center"/>
          </w:tcPr>
          <w:p w14:paraId="2816923C">
            <w:pPr>
              <w:jc w:val="center"/>
              <w:rPr>
                <w:color w:val="auto"/>
              </w:rPr>
            </w:pPr>
            <w:r>
              <w:rPr>
                <w:rFonts w:hint="eastAsia"/>
                <w:color w:val="auto"/>
                <w:lang w:val="en-US" w:eastAsia="zh-CN"/>
              </w:rPr>
              <w:t>工程监理</w:t>
            </w:r>
            <w:r>
              <w:rPr>
                <w:color w:val="auto"/>
              </w:rPr>
              <w:t>费(万元)</w:t>
            </w:r>
          </w:p>
        </w:tc>
      </w:tr>
      <w:tr w14:paraId="473D2DB1">
        <w:tblPrEx>
          <w:tblCellMar>
            <w:top w:w="0" w:type="dxa"/>
            <w:left w:w="108" w:type="dxa"/>
            <w:bottom w:w="0" w:type="dxa"/>
            <w:right w:w="108" w:type="dxa"/>
          </w:tblCellMar>
        </w:tblPrEx>
        <w:trPr>
          <w:trHeight w:val="340" w:hRule="atLeast"/>
          <w:jc w:val="center"/>
        </w:trPr>
        <w:tc>
          <w:tcPr>
            <w:tcW w:w="796" w:type="pct"/>
            <w:tcBorders>
              <w:top w:val="nil"/>
              <w:left w:val="single" w:color="auto" w:sz="4" w:space="0"/>
              <w:bottom w:val="single" w:color="auto" w:sz="4" w:space="0"/>
              <w:right w:val="single" w:color="auto" w:sz="4" w:space="0"/>
            </w:tcBorders>
            <w:vAlign w:val="center"/>
          </w:tcPr>
          <w:p w14:paraId="2AA4DFDB">
            <w:pPr>
              <w:jc w:val="center"/>
              <w:rPr>
                <w:color w:val="auto"/>
              </w:rPr>
            </w:pPr>
            <w:r>
              <w:rPr>
                <w:color w:val="auto"/>
              </w:rPr>
              <w:t>1</w:t>
            </w:r>
          </w:p>
        </w:tc>
        <w:tc>
          <w:tcPr>
            <w:tcW w:w="4292" w:type="dxa"/>
            <w:tcBorders>
              <w:top w:val="nil"/>
              <w:left w:val="nil"/>
              <w:bottom w:val="single" w:color="auto" w:sz="4" w:space="0"/>
              <w:right w:val="single" w:color="auto" w:sz="4" w:space="0"/>
            </w:tcBorders>
            <w:vAlign w:val="center"/>
          </w:tcPr>
          <w:p w14:paraId="03011DD2">
            <w:pPr>
              <w:jc w:val="center"/>
              <w:rPr>
                <w:color w:val="auto"/>
              </w:rPr>
            </w:pPr>
            <w:r>
              <w:rPr>
                <w:rFonts w:hint="eastAsia"/>
                <w:color w:val="auto"/>
                <w:lang w:val="en-US" w:eastAsia="zh-CN"/>
              </w:rPr>
              <w:t>≤50</w:t>
            </w:r>
          </w:p>
        </w:tc>
        <w:tc>
          <w:tcPr>
            <w:tcW w:w="1612" w:type="pct"/>
            <w:tcBorders>
              <w:top w:val="nil"/>
              <w:left w:val="nil"/>
              <w:bottom w:val="single" w:color="auto" w:sz="4" w:space="0"/>
              <w:right w:val="single" w:color="auto" w:sz="4" w:space="0"/>
            </w:tcBorders>
            <w:vAlign w:val="center"/>
          </w:tcPr>
          <w:p w14:paraId="42CD0240">
            <w:pPr>
              <w:jc w:val="center"/>
              <w:rPr>
                <w:rFonts w:hint="default" w:eastAsia="宋体"/>
                <w:color w:val="auto"/>
                <w:lang w:val="en-US" w:eastAsia="zh-CN"/>
              </w:rPr>
            </w:pPr>
            <w:r>
              <w:rPr>
                <w:rFonts w:hint="eastAsia"/>
                <w:color w:val="auto"/>
                <w:lang w:val="en-US" w:eastAsia="zh-CN"/>
              </w:rPr>
              <w:t>2.3</w:t>
            </w:r>
          </w:p>
        </w:tc>
      </w:tr>
      <w:tr w14:paraId="22F09ED0">
        <w:tblPrEx>
          <w:tblCellMar>
            <w:top w:w="0" w:type="dxa"/>
            <w:left w:w="108" w:type="dxa"/>
            <w:bottom w:w="0" w:type="dxa"/>
            <w:right w:w="108" w:type="dxa"/>
          </w:tblCellMar>
        </w:tblPrEx>
        <w:trPr>
          <w:trHeight w:val="340" w:hRule="atLeast"/>
          <w:jc w:val="center"/>
        </w:trPr>
        <w:tc>
          <w:tcPr>
            <w:tcW w:w="796" w:type="pct"/>
            <w:tcBorders>
              <w:top w:val="single" w:color="auto" w:sz="4" w:space="0"/>
              <w:left w:val="single" w:color="auto" w:sz="4" w:space="0"/>
              <w:bottom w:val="single" w:color="auto" w:sz="4" w:space="0"/>
              <w:right w:val="single" w:color="auto" w:sz="4" w:space="0"/>
            </w:tcBorders>
            <w:vAlign w:val="center"/>
          </w:tcPr>
          <w:p w14:paraId="3427AC45">
            <w:pPr>
              <w:jc w:val="center"/>
              <w:rPr>
                <w:color w:val="auto"/>
              </w:rPr>
            </w:pPr>
            <w:r>
              <w:rPr>
                <w:color w:val="auto"/>
              </w:rPr>
              <w:t>2</w:t>
            </w:r>
          </w:p>
        </w:tc>
        <w:tc>
          <w:tcPr>
            <w:tcW w:w="4292" w:type="dxa"/>
            <w:tcBorders>
              <w:top w:val="single" w:color="auto" w:sz="4" w:space="0"/>
              <w:left w:val="nil"/>
              <w:bottom w:val="single" w:color="auto" w:sz="4" w:space="0"/>
              <w:right w:val="single" w:color="auto" w:sz="4" w:space="0"/>
            </w:tcBorders>
            <w:vAlign w:val="center"/>
          </w:tcPr>
          <w:p w14:paraId="74241481">
            <w:pPr>
              <w:jc w:val="center"/>
              <w:rPr>
                <w:color w:val="auto"/>
              </w:rPr>
            </w:pPr>
            <w:r>
              <w:rPr>
                <w:rFonts w:hint="eastAsia"/>
                <w:color w:val="auto"/>
                <w:lang w:val="en-US" w:eastAsia="zh-CN"/>
              </w:rPr>
              <w:t>100</w:t>
            </w:r>
          </w:p>
        </w:tc>
        <w:tc>
          <w:tcPr>
            <w:tcW w:w="1612" w:type="pct"/>
            <w:tcBorders>
              <w:top w:val="single" w:color="auto" w:sz="4" w:space="0"/>
              <w:left w:val="nil"/>
              <w:bottom w:val="single" w:color="auto" w:sz="4" w:space="0"/>
              <w:right w:val="single" w:color="auto" w:sz="4" w:space="0"/>
            </w:tcBorders>
            <w:vAlign w:val="center"/>
          </w:tcPr>
          <w:p w14:paraId="12CBA628">
            <w:pPr>
              <w:jc w:val="center"/>
              <w:rPr>
                <w:rFonts w:hint="default" w:eastAsia="宋体"/>
                <w:color w:val="auto"/>
                <w:lang w:val="en-US" w:eastAsia="zh-CN"/>
              </w:rPr>
            </w:pPr>
            <w:r>
              <w:rPr>
                <w:rFonts w:hint="eastAsia"/>
                <w:color w:val="auto"/>
                <w:lang w:val="en-US" w:eastAsia="zh-CN"/>
              </w:rPr>
              <w:t>4.2</w:t>
            </w:r>
          </w:p>
        </w:tc>
      </w:tr>
      <w:tr w14:paraId="786559AB">
        <w:tblPrEx>
          <w:tblCellMar>
            <w:top w:w="0" w:type="dxa"/>
            <w:left w:w="108" w:type="dxa"/>
            <w:bottom w:w="0" w:type="dxa"/>
            <w:right w:w="108" w:type="dxa"/>
          </w:tblCellMar>
        </w:tblPrEx>
        <w:trPr>
          <w:trHeight w:val="340" w:hRule="atLeast"/>
          <w:jc w:val="center"/>
        </w:trPr>
        <w:tc>
          <w:tcPr>
            <w:tcW w:w="796" w:type="pct"/>
            <w:tcBorders>
              <w:top w:val="single" w:color="auto" w:sz="4" w:space="0"/>
              <w:left w:val="single" w:color="auto" w:sz="4" w:space="0"/>
              <w:bottom w:val="single" w:color="auto" w:sz="4" w:space="0"/>
              <w:right w:val="single" w:color="auto" w:sz="4" w:space="0"/>
            </w:tcBorders>
            <w:vAlign w:val="center"/>
          </w:tcPr>
          <w:p w14:paraId="24E545D4">
            <w:pPr>
              <w:jc w:val="center"/>
              <w:rPr>
                <w:color w:val="auto"/>
              </w:rPr>
            </w:pPr>
            <w:r>
              <w:rPr>
                <w:color w:val="auto"/>
              </w:rPr>
              <w:t>3</w:t>
            </w:r>
          </w:p>
        </w:tc>
        <w:tc>
          <w:tcPr>
            <w:tcW w:w="4292" w:type="dxa"/>
            <w:tcBorders>
              <w:top w:val="single" w:color="auto" w:sz="4" w:space="0"/>
              <w:left w:val="nil"/>
              <w:bottom w:val="single" w:color="auto" w:sz="4" w:space="0"/>
              <w:right w:val="single" w:color="auto" w:sz="4" w:space="0"/>
            </w:tcBorders>
            <w:vAlign w:val="center"/>
          </w:tcPr>
          <w:p w14:paraId="3EDAAC12">
            <w:pPr>
              <w:jc w:val="center"/>
              <w:rPr>
                <w:color w:val="auto"/>
              </w:rPr>
            </w:pPr>
            <w:r>
              <w:rPr>
                <w:rFonts w:hint="eastAsia"/>
                <w:color w:val="auto"/>
                <w:lang w:val="en-US" w:eastAsia="zh-CN"/>
              </w:rPr>
              <w:t>200</w:t>
            </w:r>
          </w:p>
        </w:tc>
        <w:tc>
          <w:tcPr>
            <w:tcW w:w="1612" w:type="pct"/>
            <w:tcBorders>
              <w:top w:val="single" w:color="auto" w:sz="4" w:space="0"/>
              <w:left w:val="nil"/>
              <w:bottom w:val="single" w:color="auto" w:sz="4" w:space="0"/>
              <w:right w:val="single" w:color="auto" w:sz="4" w:space="0"/>
            </w:tcBorders>
            <w:vAlign w:val="center"/>
          </w:tcPr>
          <w:p w14:paraId="1E5103E6">
            <w:pPr>
              <w:jc w:val="center"/>
              <w:rPr>
                <w:rFonts w:hint="default" w:eastAsia="宋体"/>
                <w:color w:val="auto"/>
                <w:lang w:val="en-US" w:eastAsia="zh-CN"/>
              </w:rPr>
            </w:pPr>
            <w:r>
              <w:rPr>
                <w:rFonts w:hint="eastAsia"/>
                <w:color w:val="auto"/>
                <w:lang w:val="en-US" w:eastAsia="zh-CN"/>
              </w:rPr>
              <w:t>7.5</w:t>
            </w:r>
          </w:p>
        </w:tc>
      </w:tr>
      <w:tr w14:paraId="11DDEBF8">
        <w:tblPrEx>
          <w:tblCellMar>
            <w:top w:w="0" w:type="dxa"/>
            <w:left w:w="108" w:type="dxa"/>
            <w:bottom w:w="0" w:type="dxa"/>
            <w:right w:w="108" w:type="dxa"/>
          </w:tblCellMar>
        </w:tblPrEx>
        <w:trPr>
          <w:trHeight w:val="340" w:hRule="atLeast"/>
          <w:jc w:val="center"/>
        </w:trPr>
        <w:tc>
          <w:tcPr>
            <w:tcW w:w="796" w:type="pct"/>
            <w:tcBorders>
              <w:top w:val="single" w:color="auto" w:sz="4" w:space="0"/>
              <w:left w:val="single" w:color="auto" w:sz="4" w:space="0"/>
              <w:bottom w:val="single" w:color="auto" w:sz="4" w:space="0"/>
              <w:right w:val="single" w:color="auto" w:sz="4" w:space="0"/>
            </w:tcBorders>
            <w:vAlign w:val="center"/>
          </w:tcPr>
          <w:p w14:paraId="05B9AC32">
            <w:pPr>
              <w:jc w:val="center"/>
              <w:rPr>
                <w:color w:val="auto"/>
              </w:rPr>
            </w:pPr>
            <w:r>
              <w:rPr>
                <w:color w:val="auto"/>
              </w:rPr>
              <w:t>4</w:t>
            </w:r>
          </w:p>
        </w:tc>
        <w:tc>
          <w:tcPr>
            <w:tcW w:w="4292" w:type="dxa"/>
            <w:tcBorders>
              <w:top w:val="single" w:color="auto" w:sz="4" w:space="0"/>
              <w:left w:val="nil"/>
              <w:bottom w:val="single" w:color="auto" w:sz="4" w:space="0"/>
              <w:right w:val="single" w:color="auto" w:sz="4" w:space="0"/>
            </w:tcBorders>
            <w:vAlign w:val="center"/>
          </w:tcPr>
          <w:p w14:paraId="7C68CFB0">
            <w:pPr>
              <w:jc w:val="center"/>
              <w:rPr>
                <w:color w:val="auto"/>
              </w:rPr>
            </w:pPr>
            <w:r>
              <w:rPr>
                <w:rFonts w:hint="eastAsia"/>
                <w:color w:val="auto"/>
                <w:lang w:val="en-US" w:eastAsia="zh-CN"/>
              </w:rPr>
              <w:t>500</w:t>
            </w:r>
          </w:p>
        </w:tc>
        <w:tc>
          <w:tcPr>
            <w:tcW w:w="1612" w:type="pct"/>
            <w:tcBorders>
              <w:top w:val="single" w:color="auto" w:sz="4" w:space="0"/>
              <w:left w:val="nil"/>
              <w:bottom w:val="single" w:color="auto" w:sz="4" w:space="0"/>
              <w:right w:val="single" w:color="auto" w:sz="4" w:space="0"/>
            </w:tcBorders>
            <w:vAlign w:val="center"/>
          </w:tcPr>
          <w:p w14:paraId="4CEE63BE">
            <w:pPr>
              <w:jc w:val="center"/>
              <w:rPr>
                <w:rFonts w:hint="default" w:eastAsia="宋体"/>
                <w:color w:val="auto"/>
                <w:lang w:val="en-US" w:eastAsia="zh-CN"/>
              </w:rPr>
            </w:pPr>
            <w:r>
              <w:rPr>
                <w:rFonts w:hint="eastAsia"/>
                <w:color w:val="auto"/>
                <w:lang w:val="en-US" w:eastAsia="zh-CN"/>
              </w:rPr>
              <w:t>16.5</w:t>
            </w:r>
          </w:p>
        </w:tc>
      </w:tr>
      <w:tr w14:paraId="0BDCC06E">
        <w:tblPrEx>
          <w:tblCellMar>
            <w:top w:w="0" w:type="dxa"/>
            <w:left w:w="108" w:type="dxa"/>
            <w:bottom w:w="0" w:type="dxa"/>
            <w:right w:w="108" w:type="dxa"/>
          </w:tblCellMar>
        </w:tblPrEx>
        <w:trPr>
          <w:trHeight w:val="340" w:hRule="atLeast"/>
          <w:jc w:val="center"/>
        </w:trPr>
        <w:tc>
          <w:tcPr>
            <w:tcW w:w="796" w:type="pct"/>
            <w:tcBorders>
              <w:top w:val="single" w:color="auto" w:sz="4" w:space="0"/>
              <w:left w:val="single" w:color="auto" w:sz="4" w:space="0"/>
              <w:bottom w:val="single" w:color="auto" w:sz="4" w:space="0"/>
              <w:right w:val="single" w:color="auto" w:sz="4" w:space="0"/>
            </w:tcBorders>
            <w:vAlign w:val="center"/>
          </w:tcPr>
          <w:p w14:paraId="39660109">
            <w:pPr>
              <w:jc w:val="center"/>
              <w:rPr>
                <w:color w:val="auto"/>
              </w:rPr>
            </w:pPr>
            <w:r>
              <w:rPr>
                <w:color w:val="auto"/>
              </w:rPr>
              <w:t>5</w:t>
            </w:r>
          </w:p>
        </w:tc>
        <w:tc>
          <w:tcPr>
            <w:tcW w:w="4292" w:type="dxa"/>
            <w:tcBorders>
              <w:top w:val="single" w:color="auto" w:sz="4" w:space="0"/>
              <w:left w:val="nil"/>
              <w:bottom w:val="single" w:color="auto" w:sz="4" w:space="0"/>
              <w:right w:val="single" w:color="auto" w:sz="4" w:space="0"/>
            </w:tcBorders>
            <w:vAlign w:val="center"/>
          </w:tcPr>
          <w:p w14:paraId="4D9016C9">
            <w:pPr>
              <w:jc w:val="center"/>
              <w:rPr>
                <w:color w:val="auto"/>
              </w:rPr>
            </w:pPr>
            <w:r>
              <w:rPr>
                <w:rFonts w:hint="eastAsia"/>
                <w:color w:val="auto"/>
                <w:lang w:val="en-US" w:eastAsia="zh-CN"/>
              </w:rPr>
              <w:t>1000</w:t>
            </w:r>
          </w:p>
        </w:tc>
        <w:tc>
          <w:tcPr>
            <w:tcW w:w="1612" w:type="pct"/>
            <w:tcBorders>
              <w:top w:val="single" w:color="auto" w:sz="4" w:space="0"/>
              <w:left w:val="nil"/>
              <w:bottom w:val="single" w:color="auto" w:sz="4" w:space="0"/>
              <w:right w:val="single" w:color="auto" w:sz="4" w:space="0"/>
            </w:tcBorders>
            <w:vAlign w:val="center"/>
          </w:tcPr>
          <w:p w14:paraId="4713478B">
            <w:pPr>
              <w:jc w:val="center"/>
              <w:rPr>
                <w:rFonts w:hint="default" w:eastAsia="宋体"/>
                <w:color w:val="auto"/>
                <w:lang w:val="en-US" w:eastAsia="zh-CN"/>
              </w:rPr>
            </w:pPr>
            <w:r>
              <w:rPr>
                <w:rFonts w:hint="eastAsia"/>
                <w:color w:val="auto"/>
                <w:lang w:val="en-US" w:eastAsia="zh-CN"/>
              </w:rPr>
              <w:t>30.1</w:t>
            </w:r>
          </w:p>
        </w:tc>
      </w:tr>
      <w:tr w14:paraId="42E31378">
        <w:tblPrEx>
          <w:tblCellMar>
            <w:top w:w="0" w:type="dxa"/>
            <w:left w:w="108" w:type="dxa"/>
            <w:bottom w:w="0" w:type="dxa"/>
            <w:right w:w="108" w:type="dxa"/>
          </w:tblCellMar>
        </w:tblPrEx>
        <w:trPr>
          <w:trHeight w:val="340" w:hRule="atLeast"/>
          <w:jc w:val="center"/>
        </w:trPr>
        <w:tc>
          <w:tcPr>
            <w:tcW w:w="796" w:type="pct"/>
            <w:tcBorders>
              <w:top w:val="single" w:color="auto" w:sz="4" w:space="0"/>
              <w:left w:val="single" w:color="auto" w:sz="4" w:space="0"/>
              <w:bottom w:val="single" w:color="auto" w:sz="4" w:space="0"/>
              <w:right w:val="single" w:color="auto" w:sz="4" w:space="0"/>
            </w:tcBorders>
            <w:vAlign w:val="center"/>
          </w:tcPr>
          <w:p w14:paraId="0D1D287A">
            <w:pPr>
              <w:jc w:val="center"/>
              <w:rPr>
                <w:color w:val="auto"/>
              </w:rPr>
            </w:pPr>
            <w:r>
              <w:rPr>
                <w:color w:val="auto"/>
              </w:rPr>
              <w:t>6</w:t>
            </w:r>
          </w:p>
        </w:tc>
        <w:tc>
          <w:tcPr>
            <w:tcW w:w="4292" w:type="dxa"/>
            <w:tcBorders>
              <w:top w:val="single" w:color="auto" w:sz="4" w:space="0"/>
              <w:left w:val="nil"/>
              <w:bottom w:val="single" w:color="auto" w:sz="4" w:space="0"/>
              <w:right w:val="single" w:color="auto" w:sz="4" w:space="0"/>
            </w:tcBorders>
            <w:vAlign w:val="center"/>
          </w:tcPr>
          <w:p w14:paraId="7077AF45">
            <w:pPr>
              <w:jc w:val="center"/>
              <w:rPr>
                <w:color w:val="auto"/>
              </w:rPr>
            </w:pPr>
            <w:r>
              <w:rPr>
                <w:rFonts w:hint="eastAsia"/>
                <w:color w:val="auto"/>
                <w:lang w:val="en-US" w:eastAsia="zh-CN"/>
              </w:rPr>
              <w:t>3000</w:t>
            </w:r>
          </w:p>
        </w:tc>
        <w:tc>
          <w:tcPr>
            <w:tcW w:w="1612" w:type="pct"/>
            <w:tcBorders>
              <w:top w:val="single" w:color="auto" w:sz="4" w:space="0"/>
              <w:left w:val="nil"/>
              <w:bottom w:val="single" w:color="auto" w:sz="4" w:space="0"/>
              <w:right w:val="single" w:color="auto" w:sz="4" w:space="0"/>
            </w:tcBorders>
            <w:vAlign w:val="center"/>
          </w:tcPr>
          <w:p w14:paraId="43EAB26F">
            <w:pPr>
              <w:jc w:val="center"/>
              <w:rPr>
                <w:rFonts w:hint="default" w:eastAsia="宋体"/>
                <w:color w:val="auto"/>
                <w:lang w:val="en-US" w:eastAsia="zh-CN"/>
              </w:rPr>
            </w:pPr>
            <w:r>
              <w:rPr>
                <w:rFonts w:hint="eastAsia"/>
                <w:color w:val="auto"/>
                <w:lang w:val="en-US" w:eastAsia="zh-CN"/>
              </w:rPr>
              <w:t>78.1</w:t>
            </w:r>
          </w:p>
        </w:tc>
      </w:tr>
      <w:tr w14:paraId="0B703023">
        <w:tblPrEx>
          <w:tblCellMar>
            <w:top w:w="0" w:type="dxa"/>
            <w:left w:w="108" w:type="dxa"/>
            <w:bottom w:w="0" w:type="dxa"/>
            <w:right w:w="108" w:type="dxa"/>
          </w:tblCellMar>
        </w:tblPrEx>
        <w:trPr>
          <w:trHeight w:val="340" w:hRule="atLeast"/>
          <w:jc w:val="center"/>
        </w:trPr>
        <w:tc>
          <w:tcPr>
            <w:tcW w:w="796" w:type="pct"/>
            <w:tcBorders>
              <w:top w:val="single" w:color="auto" w:sz="4" w:space="0"/>
              <w:left w:val="single" w:color="auto" w:sz="4" w:space="0"/>
              <w:bottom w:val="single" w:color="auto" w:sz="4" w:space="0"/>
              <w:right w:val="single" w:color="auto" w:sz="4" w:space="0"/>
            </w:tcBorders>
            <w:vAlign w:val="center"/>
          </w:tcPr>
          <w:p w14:paraId="6545923C">
            <w:pPr>
              <w:jc w:val="center"/>
              <w:rPr>
                <w:rFonts w:hint="eastAsia" w:eastAsia="宋体"/>
                <w:color w:val="auto"/>
                <w:lang w:val="en-US" w:eastAsia="zh-CN"/>
              </w:rPr>
            </w:pPr>
            <w:r>
              <w:rPr>
                <w:rFonts w:hint="eastAsia"/>
                <w:color w:val="auto"/>
                <w:lang w:val="en-US" w:eastAsia="zh-CN"/>
              </w:rPr>
              <w:t>7</w:t>
            </w:r>
          </w:p>
        </w:tc>
        <w:tc>
          <w:tcPr>
            <w:tcW w:w="4292" w:type="dxa"/>
            <w:tcBorders>
              <w:top w:val="single" w:color="auto" w:sz="4" w:space="0"/>
              <w:left w:val="nil"/>
              <w:bottom w:val="single" w:color="auto" w:sz="4" w:space="0"/>
              <w:right w:val="single" w:color="auto" w:sz="4" w:space="0"/>
            </w:tcBorders>
            <w:vAlign w:val="center"/>
          </w:tcPr>
          <w:p w14:paraId="2FDBB070">
            <w:pPr>
              <w:jc w:val="center"/>
              <w:rPr>
                <w:color w:val="auto"/>
              </w:rPr>
            </w:pPr>
            <w:r>
              <w:rPr>
                <w:rFonts w:hint="eastAsia"/>
                <w:color w:val="auto"/>
                <w:lang w:val="en-US" w:eastAsia="zh-CN"/>
              </w:rPr>
              <w:t>5000</w:t>
            </w:r>
          </w:p>
        </w:tc>
        <w:tc>
          <w:tcPr>
            <w:tcW w:w="1612" w:type="pct"/>
            <w:tcBorders>
              <w:top w:val="single" w:color="auto" w:sz="4" w:space="0"/>
              <w:left w:val="nil"/>
              <w:bottom w:val="single" w:color="auto" w:sz="4" w:space="0"/>
              <w:right w:val="single" w:color="auto" w:sz="4" w:space="0"/>
            </w:tcBorders>
            <w:vAlign w:val="center"/>
          </w:tcPr>
          <w:p w14:paraId="3340B119">
            <w:pPr>
              <w:jc w:val="center"/>
              <w:rPr>
                <w:rFonts w:hint="default" w:eastAsia="宋体"/>
                <w:color w:val="auto"/>
                <w:lang w:val="en-US" w:eastAsia="zh-CN"/>
              </w:rPr>
            </w:pPr>
            <w:r>
              <w:rPr>
                <w:rFonts w:hint="eastAsia"/>
                <w:color w:val="auto"/>
                <w:lang w:val="en-US" w:eastAsia="zh-CN"/>
              </w:rPr>
              <w:t>120.8</w:t>
            </w:r>
          </w:p>
        </w:tc>
      </w:tr>
      <w:tr w14:paraId="6457B143">
        <w:tblPrEx>
          <w:tblCellMar>
            <w:top w:w="0" w:type="dxa"/>
            <w:left w:w="108" w:type="dxa"/>
            <w:bottom w:w="0" w:type="dxa"/>
            <w:right w:w="108" w:type="dxa"/>
          </w:tblCellMar>
        </w:tblPrEx>
        <w:trPr>
          <w:trHeight w:val="340" w:hRule="atLeast"/>
          <w:jc w:val="center"/>
        </w:trPr>
        <w:tc>
          <w:tcPr>
            <w:tcW w:w="796" w:type="pct"/>
            <w:tcBorders>
              <w:top w:val="single" w:color="auto" w:sz="4" w:space="0"/>
              <w:left w:val="single" w:color="auto" w:sz="4" w:space="0"/>
              <w:bottom w:val="single" w:color="auto" w:sz="4" w:space="0"/>
              <w:right w:val="single" w:color="auto" w:sz="4" w:space="0"/>
            </w:tcBorders>
            <w:vAlign w:val="center"/>
          </w:tcPr>
          <w:p w14:paraId="1FB00D54">
            <w:pPr>
              <w:jc w:val="center"/>
              <w:rPr>
                <w:rFonts w:hint="eastAsia" w:eastAsia="宋体"/>
                <w:color w:val="auto"/>
                <w:lang w:val="en-US" w:eastAsia="zh-CN"/>
              </w:rPr>
            </w:pPr>
            <w:r>
              <w:rPr>
                <w:rFonts w:hint="eastAsia"/>
                <w:color w:val="auto"/>
                <w:lang w:val="en-US" w:eastAsia="zh-CN"/>
              </w:rPr>
              <w:t>8</w:t>
            </w:r>
          </w:p>
        </w:tc>
        <w:tc>
          <w:tcPr>
            <w:tcW w:w="4292" w:type="dxa"/>
            <w:tcBorders>
              <w:top w:val="single" w:color="auto" w:sz="4" w:space="0"/>
              <w:left w:val="nil"/>
              <w:bottom w:val="single" w:color="auto" w:sz="4" w:space="0"/>
              <w:right w:val="single" w:color="auto" w:sz="4" w:space="0"/>
            </w:tcBorders>
            <w:vAlign w:val="center"/>
          </w:tcPr>
          <w:p w14:paraId="6FFAFC5C">
            <w:pPr>
              <w:jc w:val="center"/>
              <w:rPr>
                <w:color w:val="auto"/>
              </w:rPr>
            </w:pPr>
            <w:r>
              <w:rPr>
                <w:color w:val="auto"/>
              </w:rPr>
              <w:t>10000</w:t>
            </w:r>
          </w:p>
        </w:tc>
        <w:tc>
          <w:tcPr>
            <w:tcW w:w="1612" w:type="pct"/>
            <w:tcBorders>
              <w:top w:val="single" w:color="auto" w:sz="4" w:space="0"/>
              <w:left w:val="nil"/>
              <w:bottom w:val="single" w:color="auto" w:sz="4" w:space="0"/>
              <w:right w:val="single" w:color="auto" w:sz="4" w:space="0"/>
            </w:tcBorders>
            <w:vAlign w:val="center"/>
          </w:tcPr>
          <w:p w14:paraId="2A9221EF">
            <w:pPr>
              <w:jc w:val="center"/>
              <w:rPr>
                <w:rFonts w:hint="default" w:eastAsia="宋体"/>
                <w:color w:val="auto"/>
                <w:lang w:val="en-US" w:eastAsia="zh-CN"/>
              </w:rPr>
            </w:pPr>
            <w:r>
              <w:rPr>
                <w:rFonts w:hint="eastAsia"/>
                <w:color w:val="auto"/>
                <w:lang w:val="en-US" w:eastAsia="zh-CN"/>
              </w:rPr>
              <w:t>218.6</w:t>
            </w:r>
          </w:p>
        </w:tc>
      </w:tr>
    </w:tbl>
    <w:p w14:paraId="40E55FC8">
      <w:pPr>
        <w:spacing w:line="360" w:lineRule="auto"/>
        <w:ind w:firstLine="361" w:firstLineChars="200"/>
        <w:rPr>
          <w:color w:val="auto"/>
          <w:sz w:val="28"/>
          <w:szCs w:val="28"/>
        </w:rPr>
      </w:pPr>
      <w:r>
        <w:rPr>
          <w:b/>
          <w:bCs w:val="0"/>
          <w:color w:val="auto"/>
          <w:sz w:val="18"/>
          <w:szCs w:val="18"/>
        </w:rPr>
        <w:t>注：</w:t>
      </w:r>
      <w:r>
        <w:rPr>
          <w:rFonts w:hint="eastAsia"/>
          <w:b/>
          <w:bCs w:val="0"/>
          <w:color w:val="auto"/>
          <w:sz w:val="18"/>
          <w:szCs w:val="18"/>
          <w:lang w:val="en-US" w:eastAsia="zh-CN"/>
        </w:rPr>
        <w:t>计费基数不足50万元时，按2.3万元计取；</w:t>
      </w:r>
      <w:r>
        <w:rPr>
          <w:b/>
          <w:bCs w:val="0"/>
          <w:color w:val="auto"/>
          <w:sz w:val="18"/>
          <w:szCs w:val="18"/>
        </w:rPr>
        <w:t>计费基数大于1亿元时，按计费基数的</w:t>
      </w:r>
      <w:r>
        <w:rPr>
          <w:rFonts w:hint="eastAsia"/>
          <w:b/>
          <w:bCs w:val="0"/>
          <w:color w:val="auto"/>
          <w:sz w:val="18"/>
          <w:szCs w:val="18"/>
          <w:lang w:val="en-US" w:eastAsia="zh-CN"/>
        </w:rPr>
        <w:t>2.18</w:t>
      </w:r>
      <w:r>
        <w:rPr>
          <w:b/>
          <w:bCs w:val="0"/>
          <w:color w:val="auto"/>
          <w:sz w:val="18"/>
          <w:szCs w:val="18"/>
        </w:rPr>
        <w:t>%计取。</w:t>
      </w:r>
    </w:p>
    <w:p w14:paraId="417268F5">
      <w:pPr>
        <w:spacing w:line="360" w:lineRule="auto"/>
        <w:ind w:firstLine="560" w:firstLineChars="200"/>
        <w:jc w:val="left"/>
        <w:rPr>
          <w:color w:val="auto"/>
          <w:sz w:val="28"/>
          <w:szCs w:val="28"/>
        </w:rPr>
      </w:pPr>
      <w:r>
        <w:rPr>
          <w:color w:val="auto"/>
          <w:sz w:val="28"/>
          <w:szCs w:val="28"/>
        </w:rPr>
        <w:t>（3）竣工验收费</w:t>
      </w:r>
    </w:p>
    <w:p w14:paraId="5D3163EE">
      <w:pPr>
        <w:spacing w:line="360" w:lineRule="auto"/>
        <w:ind w:firstLine="560" w:firstLineChars="200"/>
        <w:jc w:val="left"/>
        <w:rPr>
          <w:color w:val="auto"/>
          <w:sz w:val="28"/>
          <w:szCs w:val="28"/>
        </w:rPr>
      </w:pPr>
      <w:r>
        <w:rPr>
          <w:color w:val="auto"/>
          <w:sz w:val="28"/>
          <w:szCs w:val="28"/>
        </w:rPr>
        <w:t>竣工验收费包括工程</w:t>
      </w:r>
      <w:r>
        <w:rPr>
          <w:rFonts w:hint="eastAsia"/>
          <w:color w:val="auto"/>
          <w:sz w:val="28"/>
          <w:szCs w:val="28"/>
          <w:lang w:val="en-US" w:eastAsia="zh-CN"/>
        </w:rPr>
        <w:t>复核</w:t>
      </w:r>
      <w:r>
        <w:rPr>
          <w:color w:val="auto"/>
          <w:sz w:val="28"/>
          <w:szCs w:val="28"/>
        </w:rPr>
        <w:t>费、</w:t>
      </w:r>
      <w:r>
        <w:rPr>
          <w:rFonts w:hint="eastAsia"/>
          <w:color w:val="auto"/>
          <w:sz w:val="28"/>
          <w:szCs w:val="28"/>
          <w:lang w:val="en-US" w:eastAsia="zh-CN"/>
        </w:rPr>
        <w:t>工程验收费、</w:t>
      </w:r>
      <w:r>
        <w:rPr>
          <w:color w:val="auto"/>
          <w:sz w:val="28"/>
          <w:szCs w:val="28"/>
        </w:rPr>
        <w:t>项目</w:t>
      </w:r>
      <w:r>
        <w:rPr>
          <w:rFonts w:hint="eastAsia"/>
          <w:color w:val="auto"/>
          <w:sz w:val="28"/>
          <w:szCs w:val="28"/>
          <w:lang w:val="en-US" w:eastAsia="zh-CN"/>
        </w:rPr>
        <w:t>结（决）</w:t>
      </w:r>
      <w:r>
        <w:rPr>
          <w:color w:val="auto"/>
          <w:sz w:val="28"/>
          <w:szCs w:val="28"/>
        </w:rPr>
        <w:t>算审计费，竣工验收费以工程施工费作为计费基数，采用差额定率累进法计算，各区间按内插法确定</w:t>
      </w:r>
      <w:r>
        <w:rPr>
          <w:rFonts w:hint="eastAsia"/>
          <w:color w:val="auto"/>
          <w:sz w:val="28"/>
          <w:szCs w:val="28"/>
          <w:lang w:eastAsia="zh-CN"/>
        </w:rPr>
        <w:t>。</w:t>
      </w:r>
      <w:r>
        <w:rPr>
          <w:color w:val="auto"/>
          <w:sz w:val="28"/>
          <w:szCs w:val="28"/>
        </w:rPr>
        <w:t>见表6-</w:t>
      </w:r>
      <w:r>
        <w:rPr>
          <w:rFonts w:hint="eastAsia"/>
          <w:color w:val="auto"/>
          <w:sz w:val="28"/>
          <w:szCs w:val="28"/>
          <w:lang w:val="en-US" w:eastAsia="zh-CN"/>
        </w:rPr>
        <w:t>8</w:t>
      </w:r>
      <w:r>
        <w:rPr>
          <w:color w:val="auto"/>
          <w:sz w:val="28"/>
          <w:szCs w:val="28"/>
        </w:rPr>
        <w:t>。</w:t>
      </w:r>
    </w:p>
    <w:p w14:paraId="4F6357FB">
      <w:pPr>
        <w:spacing w:line="360" w:lineRule="auto"/>
        <w:ind w:firstLine="480" w:firstLineChars="200"/>
        <w:jc w:val="center"/>
        <w:rPr>
          <w:color w:val="auto"/>
          <w:sz w:val="28"/>
          <w:szCs w:val="28"/>
        </w:rPr>
      </w:pPr>
      <w:r>
        <w:rPr>
          <w:rFonts w:eastAsia="黑体"/>
          <w:color w:val="auto"/>
          <w:sz w:val="24"/>
          <w:szCs w:val="22"/>
        </w:rPr>
        <w:t>表6-</w:t>
      </w:r>
      <w:r>
        <w:rPr>
          <w:rFonts w:hint="eastAsia" w:eastAsia="黑体"/>
          <w:color w:val="auto"/>
          <w:sz w:val="24"/>
          <w:szCs w:val="22"/>
          <w:lang w:val="en-US" w:eastAsia="zh-CN"/>
        </w:rPr>
        <w:t>8</w:t>
      </w:r>
      <w:r>
        <w:rPr>
          <w:rFonts w:eastAsia="黑体"/>
          <w:color w:val="auto"/>
          <w:sz w:val="24"/>
          <w:szCs w:val="22"/>
        </w:rPr>
        <w:t xml:space="preserve">  工程</w:t>
      </w:r>
      <w:r>
        <w:rPr>
          <w:rFonts w:hint="eastAsia" w:eastAsia="黑体"/>
          <w:color w:val="auto"/>
          <w:sz w:val="24"/>
          <w:szCs w:val="22"/>
          <w:lang w:val="en-US" w:eastAsia="zh-CN"/>
        </w:rPr>
        <w:t>复核</w:t>
      </w:r>
      <w:r>
        <w:rPr>
          <w:rFonts w:eastAsia="黑体"/>
          <w:color w:val="auto"/>
          <w:sz w:val="24"/>
          <w:szCs w:val="22"/>
        </w:rPr>
        <w:t>费计费标准表</w:t>
      </w:r>
    </w:p>
    <w:tbl>
      <w:tblPr>
        <w:tblStyle w:val="34"/>
        <w:tblW w:w="4981" w:type="pct"/>
        <w:jc w:val="center"/>
        <w:tblLayout w:type="autofit"/>
        <w:tblCellMar>
          <w:top w:w="0" w:type="dxa"/>
          <w:left w:w="108" w:type="dxa"/>
          <w:bottom w:w="0" w:type="dxa"/>
          <w:right w:w="108" w:type="dxa"/>
        </w:tblCellMar>
      </w:tblPr>
      <w:tblGrid>
        <w:gridCol w:w="1318"/>
        <w:gridCol w:w="4292"/>
        <w:gridCol w:w="2670"/>
      </w:tblGrid>
      <w:tr w14:paraId="70CF995C">
        <w:tblPrEx>
          <w:tblCellMar>
            <w:top w:w="0" w:type="dxa"/>
            <w:left w:w="108" w:type="dxa"/>
            <w:bottom w:w="0" w:type="dxa"/>
            <w:right w:w="108" w:type="dxa"/>
          </w:tblCellMar>
        </w:tblPrEx>
        <w:trPr>
          <w:trHeight w:val="340" w:hRule="atLeast"/>
          <w:tblHeader/>
          <w:jc w:val="center"/>
        </w:trPr>
        <w:tc>
          <w:tcPr>
            <w:tcW w:w="796" w:type="pct"/>
            <w:tcBorders>
              <w:top w:val="single" w:color="auto" w:sz="4" w:space="0"/>
              <w:left w:val="single" w:color="auto" w:sz="4" w:space="0"/>
              <w:bottom w:val="single" w:color="auto" w:sz="4" w:space="0"/>
              <w:right w:val="single" w:color="auto" w:sz="4" w:space="0"/>
            </w:tcBorders>
            <w:vAlign w:val="center"/>
          </w:tcPr>
          <w:p w14:paraId="7A54705F">
            <w:pPr>
              <w:jc w:val="center"/>
              <w:rPr>
                <w:color w:val="auto"/>
              </w:rPr>
            </w:pPr>
            <w:r>
              <w:rPr>
                <w:color w:val="auto"/>
              </w:rPr>
              <w:t>序号</w:t>
            </w:r>
          </w:p>
        </w:tc>
        <w:tc>
          <w:tcPr>
            <w:tcW w:w="2592" w:type="pct"/>
            <w:tcBorders>
              <w:top w:val="single" w:color="auto" w:sz="4" w:space="0"/>
              <w:left w:val="single" w:color="auto" w:sz="4" w:space="0"/>
              <w:bottom w:val="single" w:color="auto" w:sz="4" w:space="0"/>
              <w:right w:val="single" w:color="auto" w:sz="4" w:space="0"/>
            </w:tcBorders>
            <w:vAlign w:val="center"/>
          </w:tcPr>
          <w:p w14:paraId="3FAC83E8">
            <w:pPr>
              <w:jc w:val="center"/>
              <w:rPr>
                <w:color w:val="auto"/>
              </w:rPr>
            </w:pPr>
            <w:r>
              <w:rPr>
                <w:color w:val="auto"/>
              </w:rPr>
              <w:t>计费基数(万元)</w:t>
            </w:r>
          </w:p>
        </w:tc>
        <w:tc>
          <w:tcPr>
            <w:tcW w:w="1612" w:type="pct"/>
            <w:tcBorders>
              <w:top w:val="single" w:color="auto" w:sz="4" w:space="0"/>
              <w:left w:val="single" w:color="auto" w:sz="4" w:space="0"/>
              <w:bottom w:val="single" w:color="auto" w:sz="4" w:space="0"/>
              <w:right w:val="single" w:color="auto" w:sz="4" w:space="0"/>
            </w:tcBorders>
            <w:vAlign w:val="center"/>
          </w:tcPr>
          <w:p w14:paraId="5846AB75">
            <w:pPr>
              <w:jc w:val="center"/>
              <w:rPr>
                <w:color w:val="auto"/>
              </w:rPr>
            </w:pPr>
            <w:r>
              <w:rPr>
                <w:rFonts w:hint="eastAsia"/>
                <w:color w:val="auto"/>
                <w:lang w:val="en-US" w:eastAsia="zh-CN"/>
              </w:rPr>
              <w:t>工程复核</w:t>
            </w:r>
            <w:r>
              <w:rPr>
                <w:color w:val="auto"/>
              </w:rPr>
              <w:t>费(万元)</w:t>
            </w:r>
          </w:p>
        </w:tc>
      </w:tr>
      <w:tr w14:paraId="14596A1F">
        <w:tblPrEx>
          <w:tblCellMar>
            <w:top w:w="0" w:type="dxa"/>
            <w:left w:w="108" w:type="dxa"/>
            <w:bottom w:w="0" w:type="dxa"/>
            <w:right w:w="108" w:type="dxa"/>
          </w:tblCellMar>
        </w:tblPrEx>
        <w:trPr>
          <w:trHeight w:val="340" w:hRule="atLeast"/>
          <w:jc w:val="center"/>
        </w:trPr>
        <w:tc>
          <w:tcPr>
            <w:tcW w:w="796" w:type="pct"/>
            <w:tcBorders>
              <w:top w:val="nil"/>
              <w:left w:val="single" w:color="auto" w:sz="4" w:space="0"/>
              <w:bottom w:val="single" w:color="auto" w:sz="4" w:space="0"/>
              <w:right w:val="single" w:color="auto" w:sz="4" w:space="0"/>
            </w:tcBorders>
            <w:vAlign w:val="center"/>
          </w:tcPr>
          <w:p w14:paraId="286C923D">
            <w:pPr>
              <w:jc w:val="center"/>
              <w:rPr>
                <w:color w:val="auto"/>
              </w:rPr>
            </w:pPr>
            <w:r>
              <w:rPr>
                <w:color w:val="auto"/>
              </w:rPr>
              <w:t>1</w:t>
            </w:r>
          </w:p>
        </w:tc>
        <w:tc>
          <w:tcPr>
            <w:tcW w:w="4292" w:type="dxa"/>
            <w:tcBorders>
              <w:top w:val="nil"/>
              <w:left w:val="nil"/>
              <w:bottom w:val="single" w:color="auto" w:sz="4" w:space="0"/>
              <w:right w:val="single" w:color="auto" w:sz="4" w:space="0"/>
            </w:tcBorders>
            <w:vAlign w:val="center"/>
          </w:tcPr>
          <w:p w14:paraId="57663ED7">
            <w:pPr>
              <w:jc w:val="center"/>
              <w:rPr>
                <w:color w:val="auto"/>
              </w:rPr>
            </w:pPr>
            <w:r>
              <w:rPr>
                <w:rFonts w:hint="eastAsia"/>
                <w:color w:val="auto"/>
                <w:lang w:val="en-US" w:eastAsia="zh-CN"/>
              </w:rPr>
              <w:t>≤50</w:t>
            </w:r>
          </w:p>
        </w:tc>
        <w:tc>
          <w:tcPr>
            <w:tcW w:w="1612" w:type="pct"/>
            <w:tcBorders>
              <w:top w:val="nil"/>
              <w:left w:val="nil"/>
              <w:bottom w:val="single" w:color="auto" w:sz="4" w:space="0"/>
              <w:right w:val="single" w:color="auto" w:sz="4" w:space="0"/>
            </w:tcBorders>
            <w:vAlign w:val="center"/>
          </w:tcPr>
          <w:p w14:paraId="2A13AC27">
            <w:pPr>
              <w:jc w:val="center"/>
              <w:rPr>
                <w:rFonts w:hint="default" w:eastAsia="宋体"/>
                <w:color w:val="auto"/>
                <w:lang w:val="en-US" w:eastAsia="zh-CN"/>
              </w:rPr>
            </w:pPr>
            <w:r>
              <w:rPr>
                <w:rFonts w:hint="eastAsia"/>
                <w:color w:val="auto"/>
                <w:lang w:val="en-US" w:eastAsia="zh-CN"/>
              </w:rPr>
              <w:t>1.15</w:t>
            </w:r>
          </w:p>
        </w:tc>
      </w:tr>
      <w:tr w14:paraId="7B3B79A2">
        <w:tblPrEx>
          <w:tblCellMar>
            <w:top w:w="0" w:type="dxa"/>
            <w:left w:w="108" w:type="dxa"/>
            <w:bottom w:w="0" w:type="dxa"/>
            <w:right w:w="108" w:type="dxa"/>
          </w:tblCellMar>
        </w:tblPrEx>
        <w:trPr>
          <w:trHeight w:val="340" w:hRule="atLeast"/>
          <w:jc w:val="center"/>
        </w:trPr>
        <w:tc>
          <w:tcPr>
            <w:tcW w:w="796" w:type="pct"/>
            <w:tcBorders>
              <w:top w:val="single" w:color="auto" w:sz="4" w:space="0"/>
              <w:left w:val="single" w:color="auto" w:sz="4" w:space="0"/>
              <w:bottom w:val="single" w:color="auto" w:sz="4" w:space="0"/>
              <w:right w:val="single" w:color="auto" w:sz="4" w:space="0"/>
            </w:tcBorders>
            <w:vAlign w:val="center"/>
          </w:tcPr>
          <w:p w14:paraId="318271C3">
            <w:pPr>
              <w:jc w:val="center"/>
              <w:rPr>
                <w:color w:val="auto"/>
              </w:rPr>
            </w:pPr>
            <w:r>
              <w:rPr>
                <w:color w:val="auto"/>
              </w:rPr>
              <w:t>2</w:t>
            </w:r>
          </w:p>
        </w:tc>
        <w:tc>
          <w:tcPr>
            <w:tcW w:w="4292" w:type="dxa"/>
            <w:tcBorders>
              <w:top w:val="single" w:color="auto" w:sz="4" w:space="0"/>
              <w:left w:val="nil"/>
              <w:bottom w:val="single" w:color="auto" w:sz="4" w:space="0"/>
              <w:right w:val="single" w:color="auto" w:sz="4" w:space="0"/>
            </w:tcBorders>
            <w:vAlign w:val="center"/>
          </w:tcPr>
          <w:p w14:paraId="6277549D">
            <w:pPr>
              <w:jc w:val="center"/>
              <w:rPr>
                <w:color w:val="auto"/>
              </w:rPr>
            </w:pPr>
            <w:r>
              <w:rPr>
                <w:rFonts w:hint="eastAsia"/>
                <w:color w:val="auto"/>
                <w:lang w:val="en-US" w:eastAsia="zh-CN"/>
              </w:rPr>
              <w:t>100</w:t>
            </w:r>
          </w:p>
        </w:tc>
        <w:tc>
          <w:tcPr>
            <w:tcW w:w="1612" w:type="pct"/>
            <w:tcBorders>
              <w:top w:val="single" w:color="auto" w:sz="4" w:space="0"/>
              <w:left w:val="nil"/>
              <w:bottom w:val="single" w:color="auto" w:sz="4" w:space="0"/>
              <w:right w:val="single" w:color="auto" w:sz="4" w:space="0"/>
            </w:tcBorders>
            <w:vAlign w:val="center"/>
          </w:tcPr>
          <w:p w14:paraId="760FD2F3">
            <w:pPr>
              <w:jc w:val="center"/>
              <w:rPr>
                <w:rFonts w:hint="default" w:eastAsia="宋体"/>
                <w:color w:val="auto"/>
                <w:lang w:val="en-US" w:eastAsia="zh-CN"/>
              </w:rPr>
            </w:pPr>
            <w:r>
              <w:rPr>
                <w:rFonts w:hint="eastAsia"/>
                <w:color w:val="auto"/>
                <w:lang w:val="en-US" w:eastAsia="zh-CN"/>
              </w:rPr>
              <w:t>2.2</w:t>
            </w:r>
          </w:p>
        </w:tc>
      </w:tr>
      <w:tr w14:paraId="3A727D50">
        <w:tblPrEx>
          <w:tblCellMar>
            <w:top w:w="0" w:type="dxa"/>
            <w:left w:w="108" w:type="dxa"/>
            <w:bottom w:w="0" w:type="dxa"/>
            <w:right w:w="108" w:type="dxa"/>
          </w:tblCellMar>
        </w:tblPrEx>
        <w:trPr>
          <w:trHeight w:val="340" w:hRule="atLeast"/>
          <w:jc w:val="center"/>
        </w:trPr>
        <w:tc>
          <w:tcPr>
            <w:tcW w:w="796" w:type="pct"/>
            <w:tcBorders>
              <w:top w:val="single" w:color="auto" w:sz="4" w:space="0"/>
              <w:left w:val="single" w:color="auto" w:sz="4" w:space="0"/>
              <w:bottom w:val="single" w:color="auto" w:sz="4" w:space="0"/>
              <w:right w:val="single" w:color="auto" w:sz="4" w:space="0"/>
            </w:tcBorders>
            <w:vAlign w:val="center"/>
          </w:tcPr>
          <w:p w14:paraId="33801FD7">
            <w:pPr>
              <w:jc w:val="center"/>
              <w:rPr>
                <w:color w:val="auto"/>
              </w:rPr>
            </w:pPr>
            <w:r>
              <w:rPr>
                <w:color w:val="auto"/>
              </w:rPr>
              <w:t>3</w:t>
            </w:r>
          </w:p>
        </w:tc>
        <w:tc>
          <w:tcPr>
            <w:tcW w:w="4292" w:type="dxa"/>
            <w:tcBorders>
              <w:top w:val="single" w:color="auto" w:sz="4" w:space="0"/>
              <w:left w:val="nil"/>
              <w:bottom w:val="single" w:color="auto" w:sz="4" w:space="0"/>
              <w:right w:val="single" w:color="auto" w:sz="4" w:space="0"/>
            </w:tcBorders>
            <w:vAlign w:val="center"/>
          </w:tcPr>
          <w:p w14:paraId="50A39502">
            <w:pPr>
              <w:jc w:val="center"/>
              <w:rPr>
                <w:color w:val="auto"/>
              </w:rPr>
            </w:pPr>
            <w:r>
              <w:rPr>
                <w:rFonts w:hint="eastAsia"/>
                <w:color w:val="auto"/>
                <w:lang w:val="en-US" w:eastAsia="zh-CN"/>
              </w:rPr>
              <w:t>200</w:t>
            </w:r>
          </w:p>
        </w:tc>
        <w:tc>
          <w:tcPr>
            <w:tcW w:w="1612" w:type="pct"/>
            <w:tcBorders>
              <w:top w:val="single" w:color="auto" w:sz="4" w:space="0"/>
              <w:left w:val="nil"/>
              <w:bottom w:val="single" w:color="auto" w:sz="4" w:space="0"/>
              <w:right w:val="single" w:color="auto" w:sz="4" w:space="0"/>
            </w:tcBorders>
            <w:vAlign w:val="center"/>
          </w:tcPr>
          <w:p w14:paraId="1A807441">
            <w:pPr>
              <w:jc w:val="center"/>
              <w:rPr>
                <w:rFonts w:hint="default" w:eastAsia="宋体"/>
                <w:color w:val="auto"/>
                <w:lang w:val="en-US" w:eastAsia="zh-CN"/>
              </w:rPr>
            </w:pPr>
            <w:r>
              <w:rPr>
                <w:rFonts w:hint="eastAsia"/>
                <w:color w:val="auto"/>
                <w:lang w:val="en-US" w:eastAsia="zh-CN"/>
              </w:rPr>
              <w:t>3.8</w:t>
            </w:r>
          </w:p>
        </w:tc>
      </w:tr>
      <w:tr w14:paraId="78BCE2BC">
        <w:tblPrEx>
          <w:tblCellMar>
            <w:top w:w="0" w:type="dxa"/>
            <w:left w:w="108" w:type="dxa"/>
            <w:bottom w:w="0" w:type="dxa"/>
            <w:right w:w="108" w:type="dxa"/>
          </w:tblCellMar>
        </w:tblPrEx>
        <w:trPr>
          <w:trHeight w:val="340" w:hRule="atLeast"/>
          <w:jc w:val="center"/>
        </w:trPr>
        <w:tc>
          <w:tcPr>
            <w:tcW w:w="796" w:type="pct"/>
            <w:tcBorders>
              <w:top w:val="single" w:color="auto" w:sz="4" w:space="0"/>
              <w:left w:val="single" w:color="auto" w:sz="4" w:space="0"/>
              <w:bottom w:val="single" w:color="auto" w:sz="4" w:space="0"/>
              <w:right w:val="single" w:color="auto" w:sz="4" w:space="0"/>
            </w:tcBorders>
            <w:vAlign w:val="center"/>
          </w:tcPr>
          <w:p w14:paraId="1A66AD22">
            <w:pPr>
              <w:jc w:val="center"/>
              <w:rPr>
                <w:color w:val="auto"/>
              </w:rPr>
            </w:pPr>
            <w:r>
              <w:rPr>
                <w:color w:val="auto"/>
              </w:rPr>
              <w:t>4</w:t>
            </w:r>
          </w:p>
        </w:tc>
        <w:tc>
          <w:tcPr>
            <w:tcW w:w="4292" w:type="dxa"/>
            <w:tcBorders>
              <w:top w:val="single" w:color="auto" w:sz="4" w:space="0"/>
              <w:left w:val="nil"/>
              <w:bottom w:val="single" w:color="auto" w:sz="4" w:space="0"/>
              <w:right w:val="single" w:color="auto" w:sz="4" w:space="0"/>
            </w:tcBorders>
            <w:vAlign w:val="center"/>
          </w:tcPr>
          <w:p w14:paraId="23094F7F">
            <w:pPr>
              <w:jc w:val="center"/>
              <w:rPr>
                <w:color w:val="auto"/>
              </w:rPr>
            </w:pPr>
            <w:r>
              <w:rPr>
                <w:rFonts w:hint="eastAsia"/>
                <w:color w:val="auto"/>
                <w:lang w:val="en-US" w:eastAsia="zh-CN"/>
              </w:rPr>
              <w:t>500</w:t>
            </w:r>
          </w:p>
        </w:tc>
        <w:tc>
          <w:tcPr>
            <w:tcW w:w="1612" w:type="pct"/>
            <w:tcBorders>
              <w:top w:val="single" w:color="auto" w:sz="4" w:space="0"/>
              <w:left w:val="nil"/>
              <w:bottom w:val="single" w:color="auto" w:sz="4" w:space="0"/>
              <w:right w:val="single" w:color="auto" w:sz="4" w:space="0"/>
            </w:tcBorders>
            <w:vAlign w:val="center"/>
          </w:tcPr>
          <w:p w14:paraId="71CB3F2A">
            <w:pPr>
              <w:jc w:val="center"/>
              <w:rPr>
                <w:rFonts w:hint="default" w:eastAsia="宋体"/>
                <w:color w:val="auto"/>
                <w:lang w:val="en-US" w:eastAsia="zh-CN"/>
              </w:rPr>
            </w:pPr>
            <w:r>
              <w:rPr>
                <w:rFonts w:hint="eastAsia"/>
                <w:color w:val="auto"/>
                <w:lang w:val="en-US" w:eastAsia="zh-CN"/>
              </w:rPr>
              <w:t>8.4</w:t>
            </w:r>
          </w:p>
        </w:tc>
      </w:tr>
      <w:tr w14:paraId="65222790">
        <w:tblPrEx>
          <w:tblCellMar>
            <w:top w:w="0" w:type="dxa"/>
            <w:left w:w="108" w:type="dxa"/>
            <w:bottom w:w="0" w:type="dxa"/>
            <w:right w:w="108" w:type="dxa"/>
          </w:tblCellMar>
        </w:tblPrEx>
        <w:trPr>
          <w:trHeight w:val="340" w:hRule="atLeast"/>
          <w:jc w:val="center"/>
        </w:trPr>
        <w:tc>
          <w:tcPr>
            <w:tcW w:w="796" w:type="pct"/>
            <w:tcBorders>
              <w:top w:val="single" w:color="auto" w:sz="4" w:space="0"/>
              <w:left w:val="single" w:color="auto" w:sz="4" w:space="0"/>
              <w:bottom w:val="single" w:color="auto" w:sz="4" w:space="0"/>
              <w:right w:val="single" w:color="auto" w:sz="4" w:space="0"/>
            </w:tcBorders>
            <w:vAlign w:val="center"/>
          </w:tcPr>
          <w:p w14:paraId="762DC3CB">
            <w:pPr>
              <w:jc w:val="center"/>
              <w:rPr>
                <w:color w:val="auto"/>
              </w:rPr>
            </w:pPr>
            <w:r>
              <w:rPr>
                <w:color w:val="auto"/>
              </w:rPr>
              <w:t>5</w:t>
            </w:r>
          </w:p>
        </w:tc>
        <w:tc>
          <w:tcPr>
            <w:tcW w:w="4292" w:type="dxa"/>
            <w:tcBorders>
              <w:top w:val="single" w:color="auto" w:sz="4" w:space="0"/>
              <w:left w:val="nil"/>
              <w:bottom w:val="single" w:color="auto" w:sz="4" w:space="0"/>
              <w:right w:val="single" w:color="auto" w:sz="4" w:space="0"/>
            </w:tcBorders>
            <w:vAlign w:val="center"/>
          </w:tcPr>
          <w:p w14:paraId="03310930">
            <w:pPr>
              <w:jc w:val="center"/>
              <w:rPr>
                <w:color w:val="auto"/>
              </w:rPr>
            </w:pPr>
            <w:r>
              <w:rPr>
                <w:rFonts w:hint="eastAsia"/>
                <w:color w:val="auto"/>
                <w:lang w:val="en-US" w:eastAsia="zh-CN"/>
              </w:rPr>
              <w:t>1000</w:t>
            </w:r>
          </w:p>
        </w:tc>
        <w:tc>
          <w:tcPr>
            <w:tcW w:w="1612" w:type="pct"/>
            <w:tcBorders>
              <w:top w:val="single" w:color="auto" w:sz="4" w:space="0"/>
              <w:left w:val="nil"/>
              <w:bottom w:val="single" w:color="auto" w:sz="4" w:space="0"/>
              <w:right w:val="single" w:color="auto" w:sz="4" w:space="0"/>
            </w:tcBorders>
            <w:vAlign w:val="center"/>
          </w:tcPr>
          <w:p w14:paraId="0CCE5640">
            <w:pPr>
              <w:jc w:val="center"/>
              <w:rPr>
                <w:rFonts w:hint="default" w:eastAsia="宋体"/>
                <w:color w:val="auto"/>
                <w:lang w:val="en-US" w:eastAsia="zh-CN"/>
              </w:rPr>
            </w:pPr>
            <w:r>
              <w:rPr>
                <w:rFonts w:hint="eastAsia"/>
                <w:color w:val="auto"/>
                <w:lang w:val="en-US" w:eastAsia="zh-CN"/>
              </w:rPr>
              <w:t>14.9</w:t>
            </w:r>
          </w:p>
        </w:tc>
      </w:tr>
      <w:tr w14:paraId="58E806E3">
        <w:tblPrEx>
          <w:tblCellMar>
            <w:top w:w="0" w:type="dxa"/>
            <w:left w:w="108" w:type="dxa"/>
            <w:bottom w:w="0" w:type="dxa"/>
            <w:right w:w="108" w:type="dxa"/>
          </w:tblCellMar>
        </w:tblPrEx>
        <w:trPr>
          <w:trHeight w:val="340" w:hRule="atLeast"/>
          <w:jc w:val="center"/>
        </w:trPr>
        <w:tc>
          <w:tcPr>
            <w:tcW w:w="796" w:type="pct"/>
            <w:tcBorders>
              <w:top w:val="single" w:color="auto" w:sz="4" w:space="0"/>
              <w:left w:val="single" w:color="auto" w:sz="4" w:space="0"/>
              <w:bottom w:val="single" w:color="auto" w:sz="4" w:space="0"/>
              <w:right w:val="single" w:color="auto" w:sz="4" w:space="0"/>
            </w:tcBorders>
            <w:vAlign w:val="center"/>
          </w:tcPr>
          <w:p w14:paraId="285C5834">
            <w:pPr>
              <w:jc w:val="center"/>
              <w:rPr>
                <w:color w:val="auto"/>
              </w:rPr>
            </w:pPr>
            <w:r>
              <w:rPr>
                <w:color w:val="auto"/>
              </w:rPr>
              <w:t>6</w:t>
            </w:r>
          </w:p>
        </w:tc>
        <w:tc>
          <w:tcPr>
            <w:tcW w:w="4292" w:type="dxa"/>
            <w:tcBorders>
              <w:top w:val="single" w:color="auto" w:sz="4" w:space="0"/>
              <w:left w:val="nil"/>
              <w:bottom w:val="single" w:color="auto" w:sz="4" w:space="0"/>
              <w:right w:val="single" w:color="auto" w:sz="4" w:space="0"/>
            </w:tcBorders>
            <w:vAlign w:val="center"/>
          </w:tcPr>
          <w:p w14:paraId="68DDD5D6">
            <w:pPr>
              <w:jc w:val="center"/>
              <w:rPr>
                <w:color w:val="auto"/>
              </w:rPr>
            </w:pPr>
            <w:r>
              <w:rPr>
                <w:rFonts w:hint="eastAsia"/>
                <w:color w:val="auto"/>
                <w:lang w:val="en-US" w:eastAsia="zh-CN"/>
              </w:rPr>
              <w:t>3000</w:t>
            </w:r>
          </w:p>
        </w:tc>
        <w:tc>
          <w:tcPr>
            <w:tcW w:w="1612" w:type="pct"/>
            <w:tcBorders>
              <w:top w:val="single" w:color="auto" w:sz="4" w:space="0"/>
              <w:left w:val="nil"/>
              <w:bottom w:val="single" w:color="auto" w:sz="4" w:space="0"/>
              <w:right w:val="single" w:color="auto" w:sz="4" w:space="0"/>
            </w:tcBorders>
            <w:vAlign w:val="center"/>
          </w:tcPr>
          <w:p w14:paraId="21FA364D">
            <w:pPr>
              <w:jc w:val="center"/>
              <w:rPr>
                <w:rFonts w:hint="default" w:eastAsia="宋体"/>
                <w:color w:val="auto"/>
                <w:lang w:val="en-US" w:eastAsia="zh-CN"/>
              </w:rPr>
            </w:pPr>
            <w:r>
              <w:rPr>
                <w:rFonts w:hint="eastAsia"/>
                <w:color w:val="auto"/>
                <w:lang w:val="en-US" w:eastAsia="zh-CN"/>
              </w:rPr>
              <w:t>35.9</w:t>
            </w:r>
          </w:p>
        </w:tc>
      </w:tr>
      <w:tr w14:paraId="6C3FA94F">
        <w:tblPrEx>
          <w:tblCellMar>
            <w:top w:w="0" w:type="dxa"/>
            <w:left w:w="108" w:type="dxa"/>
            <w:bottom w:w="0" w:type="dxa"/>
            <w:right w:w="108" w:type="dxa"/>
          </w:tblCellMar>
        </w:tblPrEx>
        <w:trPr>
          <w:trHeight w:val="340" w:hRule="atLeast"/>
          <w:jc w:val="center"/>
        </w:trPr>
        <w:tc>
          <w:tcPr>
            <w:tcW w:w="796" w:type="pct"/>
            <w:tcBorders>
              <w:top w:val="single" w:color="auto" w:sz="4" w:space="0"/>
              <w:left w:val="single" w:color="auto" w:sz="4" w:space="0"/>
              <w:bottom w:val="single" w:color="auto" w:sz="4" w:space="0"/>
              <w:right w:val="single" w:color="auto" w:sz="4" w:space="0"/>
            </w:tcBorders>
            <w:vAlign w:val="center"/>
          </w:tcPr>
          <w:p w14:paraId="466FA5E5">
            <w:pPr>
              <w:jc w:val="center"/>
              <w:rPr>
                <w:rFonts w:hint="eastAsia" w:eastAsia="宋体"/>
                <w:color w:val="auto"/>
                <w:lang w:val="en-US" w:eastAsia="zh-CN"/>
              </w:rPr>
            </w:pPr>
            <w:r>
              <w:rPr>
                <w:rFonts w:hint="eastAsia"/>
                <w:color w:val="auto"/>
                <w:lang w:val="en-US" w:eastAsia="zh-CN"/>
              </w:rPr>
              <w:t>7</w:t>
            </w:r>
          </w:p>
        </w:tc>
        <w:tc>
          <w:tcPr>
            <w:tcW w:w="4292" w:type="dxa"/>
            <w:tcBorders>
              <w:top w:val="single" w:color="auto" w:sz="4" w:space="0"/>
              <w:left w:val="nil"/>
              <w:bottom w:val="single" w:color="auto" w:sz="4" w:space="0"/>
              <w:right w:val="single" w:color="auto" w:sz="4" w:space="0"/>
            </w:tcBorders>
            <w:vAlign w:val="center"/>
          </w:tcPr>
          <w:p w14:paraId="345E8593">
            <w:pPr>
              <w:jc w:val="center"/>
              <w:rPr>
                <w:color w:val="auto"/>
              </w:rPr>
            </w:pPr>
            <w:r>
              <w:rPr>
                <w:rFonts w:hint="eastAsia"/>
                <w:color w:val="auto"/>
                <w:lang w:val="en-US" w:eastAsia="zh-CN"/>
              </w:rPr>
              <w:t>5000</w:t>
            </w:r>
          </w:p>
        </w:tc>
        <w:tc>
          <w:tcPr>
            <w:tcW w:w="1612" w:type="pct"/>
            <w:tcBorders>
              <w:top w:val="single" w:color="auto" w:sz="4" w:space="0"/>
              <w:left w:val="nil"/>
              <w:bottom w:val="single" w:color="auto" w:sz="4" w:space="0"/>
              <w:right w:val="single" w:color="auto" w:sz="4" w:space="0"/>
            </w:tcBorders>
            <w:vAlign w:val="center"/>
          </w:tcPr>
          <w:p w14:paraId="2B239F3A">
            <w:pPr>
              <w:jc w:val="center"/>
              <w:rPr>
                <w:rFonts w:hint="default" w:eastAsia="宋体"/>
                <w:color w:val="auto"/>
                <w:lang w:val="en-US" w:eastAsia="zh-CN"/>
              </w:rPr>
            </w:pPr>
            <w:r>
              <w:rPr>
                <w:rFonts w:hint="eastAsia"/>
                <w:color w:val="auto"/>
                <w:lang w:val="en-US" w:eastAsia="zh-CN"/>
              </w:rPr>
              <w:t>52.9</w:t>
            </w:r>
          </w:p>
        </w:tc>
      </w:tr>
      <w:tr w14:paraId="4E80B645">
        <w:tblPrEx>
          <w:tblCellMar>
            <w:top w:w="0" w:type="dxa"/>
            <w:left w:w="108" w:type="dxa"/>
            <w:bottom w:w="0" w:type="dxa"/>
            <w:right w:w="108" w:type="dxa"/>
          </w:tblCellMar>
        </w:tblPrEx>
        <w:trPr>
          <w:trHeight w:val="340" w:hRule="atLeast"/>
          <w:jc w:val="center"/>
        </w:trPr>
        <w:tc>
          <w:tcPr>
            <w:tcW w:w="796" w:type="pct"/>
            <w:tcBorders>
              <w:top w:val="single" w:color="auto" w:sz="4" w:space="0"/>
              <w:left w:val="single" w:color="auto" w:sz="4" w:space="0"/>
              <w:bottom w:val="single" w:color="auto" w:sz="4" w:space="0"/>
              <w:right w:val="single" w:color="auto" w:sz="4" w:space="0"/>
            </w:tcBorders>
            <w:vAlign w:val="center"/>
          </w:tcPr>
          <w:p w14:paraId="31DAF60E">
            <w:pPr>
              <w:jc w:val="center"/>
              <w:rPr>
                <w:rFonts w:hint="eastAsia" w:eastAsia="宋体"/>
                <w:color w:val="auto"/>
                <w:lang w:val="en-US" w:eastAsia="zh-CN"/>
              </w:rPr>
            </w:pPr>
            <w:r>
              <w:rPr>
                <w:rFonts w:hint="eastAsia"/>
                <w:color w:val="auto"/>
                <w:lang w:val="en-US" w:eastAsia="zh-CN"/>
              </w:rPr>
              <w:t>8</w:t>
            </w:r>
          </w:p>
        </w:tc>
        <w:tc>
          <w:tcPr>
            <w:tcW w:w="4292" w:type="dxa"/>
            <w:tcBorders>
              <w:top w:val="single" w:color="auto" w:sz="4" w:space="0"/>
              <w:left w:val="nil"/>
              <w:bottom w:val="single" w:color="auto" w:sz="4" w:space="0"/>
              <w:right w:val="single" w:color="auto" w:sz="4" w:space="0"/>
            </w:tcBorders>
            <w:vAlign w:val="center"/>
          </w:tcPr>
          <w:p w14:paraId="6B9BE9EC">
            <w:pPr>
              <w:jc w:val="center"/>
              <w:rPr>
                <w:color w:val="auto"/>
              </w:rPr>
            </w:pPr>
            <w:r>
              <w:rPr>
                <w:color w:val="auto"/>
              </w:rPr>
              <w:t>10000</w:t>
            </w:r>
          </w:p>
        </w:tc>
        <w:tc>
          <w:tcPr>
            <w:tcW w:w="1612" w:type="pct"/>
            <w:tcBorders>
              <w:top w:val="single" w:color="auto" w:sz="4" w:space="0"/>
              <w:left w:val="nil"/>
              <w:bottom w:val="single" w:color="auto" w:sz="4" w:space="0"/>
              <w:right w:val="single" w:color="auto" w:sz="4" w:space="0"/>
            </w:tcBorders>
            <w:vAlign w:val="center"/>
          </w:tcPr>
          <w:p w14:paraId="668CE6A6">
            <w:pPr>
              <w:jc w:val="center"/>
              <w:rPr>
                <w:rFonts w:hint="default" w:eastAsia="宋体"/>
                <w:color w:val="auto"/>
                <w:lang w:val="en-US" w:eastAsia="zh-CN"/>
              </w:rPr>
            </w:pPr>
            <w:r>
              <w:rPr>
                <w:rFonts w:hint="eastAsia"/>
                <w:color w:val="auto"/>
                <w:lang w:val="en-US" w:eastAsia="zh-CN"/>
              </w:rPr>
              <w:t>87.9</w:t>
            </w:r>
          </w:p>
        </w:tc>
      </w:tr>
    </w:tbl>
    <w:p w14:paraId="5C9B33A4">
      <w:pPr>
        <w:spacing w:line="360" w:lineRule="auto"/>
        <w:ind w:firstLine="361" w:firstLineChars="200"/>
        <w:rPr>
          <w:color w:val="auto"/>
          <w:sz w:val="28"/>
          <w:szCs w:val="28"/>
        </w:rPr>
      </w:pPr>
      <w:r>
        <w:rPr>
          <w:b/>
          <w:bCs w:val="0"/>
          <w:color w:val="auto"/>
          <w:sz w:val="18"/>
          <w:szCs w:val="18"/>
        </w:rPr>
        <w:t>注：</w:t>
      </w:r>
      <w:r>
        <w:rPr>
          <w:rFonts w:hint="eastAsia"/>
          <w:b/>
          <w:bCs w:val="0"/>
          <w:color w:val="auto"/>
          <w:sz w:val="18"/>
          <w:szCs w:val="18"/>
          <w:lang w:val="en-US" w:eastAsia="zh-CN"/>
        </w:rPr>
        <w:t>计费基数不足50万元时，按1.15万元计取；</w:t>
      </w:r>
      <w:r>
        <w:rPr>
          <w:b/>
          <w:bCs w:val="0"/>
          <w:color w:val="auto"/>
          <w:sz w:val="18"/>
          <w:szCs w:val="18"/>
        </w:rPr>
        <w:t>计费基数大于1亿元时，按计费基数的</w:t>
      </w:r>
      <w:r>
        <w:rPr>
          <w:rFonts w:hint="eastAsia"/>
          <w:b/>
          <w:bCs w:val="0"/>
          <w:color w:val="auto"/>
          <w:sz w:val="18"/>
          <w:szCs w:val="18"/>
          <w:lang w:val="en-US" w:eastAsia="zh-CN"/>
        </w:rPr>
        <w:t>0.88</w:t>
      </w:r>
      <w:r>
        <w:rPr>
          <w:b/>
          <w:bCs w:val="0"/>
          <w:color w:val="auto"/>
          <w:sz w:val="18"/>
          <w:szCs w:val="18"/>
        </w:rPr>
        <w:t>%计取。</w:t>
      </w:r>
    </w:p>
    <w:p w14:paraId="4AD39500">
      <w:pPr>
        <w:jc w:val="center"/>
        <w:rPr>
          <w:rFonts w:eastAsia="黑体"/>
          <w:color w:val="auto"/>
          <w:sz w:val="24"/>
          <w:szCs w:val="22"/>
        </w:rPr>
      </w:pPr>
      <w:r>
        <w:rPr>
          <w:rFonts w:eastAsia="黑体"/>
          <w:color w:val="auto"/>
          <w:sz w:val="24"/>
          <w:szCs w:val="22"/>
        </w:rPr>
        <w:t>表6-</w:t>
      </w:r>
      <w:r>
        <w:rPr>
          <w:rFonts w:hint="eastAsia" w:eastAsia="黑体"/>
          <w:color w:val="auto"/>
          <w:sz w:val="24"/>
          <w:szCs w:val="22"/>
          <w:lang w:val="en-US" w:eastAsia="zh-CN"/>
        </w:rPr>
        <w:t>9</w:t>
      </w:r>
      <w:r>
        <w:rPr>
          <w:rFonts w:eastAsia="黑体"/>
          <w:color w:val="auto"/>
          <w:sz w:val="24"/>
          <w:szCs w:val="22"/>
        </w:rPr>
        <w:t xml:space="preserve">  工程验收费计费标准表</w:t>
      </w:r>
    </w:p>
    <w:tbl>
      <w:tblPr>
        <w:tblStyle w:val="34"/>
        <w:tblW w:w="4981" w:type="pct"/>
        <w:jc w:val="center"/>
        <w:tblLayout w:type="autofit"/>
        <w:tblCellMar>
          <w:top w:w="0" w:type="dxa"/>
          <w:left w:w="108" w:type="dxa"/>
          <w:bottom w:w="0" w:type="dxa"/>
          <w:right w:w="108" w:type="dxa"/>
        </w:tblCellMar>
      </w:tblPr>
      <w:tblGrid>
        <w:gridCol w:w="1318"/>
        <w:gridCol w:w="4292"/>
        <w:gridCol w:w="2670"/>
      </w:tblGrid>
      <w:tr w14:paraId="70772D06">
        <w:tblPrEx>
          <w:tblCellMar>
            <w:top w:w="0" w:type="dxa"/>
            <w:left w:w="108" w:type="dxa"/>
            <w:bottom w:w="0" w:type="dxa"/>
            <w:right w:w="108" w:type="dxa"/>
          </w:tblCellMar>
        </w:tblPrEx>
        <w:trPr>
          <w:trHeight w:val="340" w:hRule="atLeast"/>
          <w:tblHeader/>
          <w:jc w:val="center"/>
        </w:trPr>
        <w:tc>
          <w:tcPr>
            <w:tcW w:w="796" w:type="pct"/>
            <w:tcBorders>
              <w:top w:val="single" w:color="auto" w:sz="4" w:space="0"/>
              <w:left w:val="single" w:color="auto" w:sz="4" w:space="0"/>
              <w:bottom w:val="single" w:color="auto" w:sz="4" w:space="0"/>
              <w:right w:val="single" w:color="auto" w:sz="4" w:space="0"/>
            </w:tcBorders>
            <w:vAlign w:val="center"/>
          </w:tcPr>
          <w:p w14:paraId="230FD65B">
            <w:pPr>
              <w:jc w:val="center"/>
              <w:rPr>
                <w:color w:val="auto"/>
              </w:rPr>
            </w:pPr>
            <w:r>
              <w:rPr>
                <w:color w:val="auto"/>
              </w:rPr>
              <w:t>序号</w:t>
            </w:r>
          </w:p>
        </w:tc>
        <w:tc>
          <w:tcPr>
            <w:tcW w:w="2592" w:type="pct"/>
            <w:tcBorders>
              <w:top w:val="single" w:color="auto" w:sz="4" w:space="0"/>
              <w:left w:val="single" w:color="auto" w:sz="4" w:space="0"/>
              <w:bottom w:val="single" w:color="auto" w:sz="4" w:space="0"/>
              <w:right w:val="single" w:color="auto" w:sz="4" w:space="0"/>
            </w:tcBorders>
            <w:vAlign w:val="center"/>
          </w:tcPr>
          <w:p w14:paraId="52316AA1">
            <w:pPr>
              <w:jc w:val="center"/>
              <w:rPr>
                <w:color w:val="auto"/>
              </w:rPr>
            </w:pPr>
            <w:r>
              <w:rPr>
                <w:color w:val="auto"/>
              </w:rPr>
              <w:t>计费基数(万元)</w:t>
            </w:r>
          </w:p>
        </w:tc>
        <w:tc>
          <w:tcPr>
            <w:tcW w:w="1612" w:type="pct"/>
            <w:tcBorders>
              <w:top w:val="single" w:color="auto" w:sz="4" w:space="0"/>
              <w:left w:val="single" w:color="auto" w:sz="4" w:space="0"/>
              <w:bottom w:val="single" w:color="auto" w:sz="4" w:space="0"/>
              <w:right w:val="single" w:color="auto" w:sz="4" w:space="0"/>
            </w:tcBorders>
            <w:vAlign w:val="center"/>
          </w:tcPr>
          <w:p w14:paraId="4C161384">
            <w:pPr>
              <w:jc w:val="center"/>
              <w:rPr>
                <w:color w:val="auto"/>
              </w:rPr>
            </w:pPr>
            <w:r>
              <w:rPr>
                <w:rFonts w:hint="eastAsia"/>
                <w:color w:val="auto"/>
                <w:lang w:val="en-US" w:eastAsia="zh-CN"/>
              </w:rPr>
              <w:t>工程验收</w:t>
            </w:r>
            <w:r>
              <w:rPr>
                <w:color w:val="auto"/>
              </w:rPr>
              <w:t>费(万元)</w:t>
            </w:r>
          </w:p>
        </w:tc>
      </w:tr>
      <w:tr w14:paraId="1149D19F">
        <w:tblPrEx>
          <w:tblCellMar>
            <w:top w:w="0" w:type="dxa"/>
            <w:left w:w="108" w:type="dxa"/>
            <w:bottom w:w="0" w:type="dxa"/>
            <w:right w:w="108" w:type="dxa"/>
          </w:tblCellMar>
        </w:tblPrEx>
        <w:trPr>
          <w:trHeight w:val="340" w:hRule="atLeast"/>
          <w:jc w:val="center"/>
        </w:trPr>
        <w:tc>
          <w:tcPr>
            <w:tcW w:w="796" w:type="pct"/>
            <w:tcBorders>
              <w:top w:val="nil"/>
              <w:left w:val="single" w:color="auto" w:sz="4" w:space="0"/>
              <w:bottom w:val="single" w:color="auto" w:sz="4" w:space="0"/>
              <w:right w:val="single" w:color="auto" w:sz="4" w:space="0"/>
            </w:tcBorders>
            <w:vAlign w:val="center"/>
          </w:tcPr>
          <w:p w14:paraId="42A27FB7">
            <w:pPr>
              <w:jc w:val="center"/>
              <w:rPr>
                <w:color w:val="auto"/>
              </w:rPr>
            </w:pPr>
            <w:r>
              <w:rPr>
                <w:color w:val="auto"/>
              </w:rPr>
              <w:t>1</w:t>
            </w:r>
          </w:p>
        </w:tc>
        <w:tc>
          <w:tcPr>
            <w:tcW w:w="4292" w:type="dxa"/>
            <w:tcBorders>
              <w:top w:val="nil"/>
              <w:left w:val="nil"/>
              <w:bottom w:val="single" w:color="auto" w:sz="4" w:space="0"/>
              <w:right w:val="single" w:color="auto" w:sz="4" w:space="0"/>
            </w:tcBorders>
            <w:vAlign w:val="center"/>
          </w:tcPr>
          <w:p w14:paraId="3C8D6B69">
            <w:pPr>
              <w:jc w:val="center"/>
              <w:rPr>
                <w:color w:val="auto"/>
              </w:rPr>
            </w:pPr>
            <w:r>
              <w:rPr>
                <w:rFonts w:hint="eastAsia"/>
                <w:color w:val="auto"/>
                <w:lang w:val="en-US" w:eastAsia="zh-CN"/>
              </w:rPr>
              <w:t>≤50</w:t>
            </w:r>
          </w:p>
        </w:tc>
        <w:tc>
          <w:tcPr>
            <w:tcW w:w="1612" w:type="pct"/>
            <w:tcBorders>
              <w:top w:val="nil"/>
              <w:left w:val="nil"/>
              <w:bottom w:val="single" w:color="auto" w:sz="4" w:space="0"/>
              <w:right w:val="single" w:color="auto" w:sz="4" w:space="0"/>
            </w:tcBorders>
            <w:vAlign w:val="center"/>
          </w:tcPr>
          <w:p w14:paraId="48116430">
            <w:pPr>
              <w:jc w:val="center"/>
              <w:rPr>
                <w:rFonts w:hint="default" w:eastAsia="宋体"/>
                <w:color w:val="auto"/>
                <w:lang w:val="en-US" w:eastAsia="zh-CN"/>
              </w:rPr>
            </w:pPr>
            <w:r>
              <w:rPr>
                <w:rFonts w:hint="eastAsia"/>
                <w:color w:val="auto"/>
                <w:lang w:val="en-US" w:eastAsia="zh-CN"/>
              </w:rPr>
              <w:t>1</w:t>
            </w:r>
          </w:p>
        </w:tc>
      </w:tr>
      <w:tr w14:paraId="56508E8A">
        <w:tblPrEx>
          <w:tblCellMar>
            <w:top w:w="0" w:type="dxa"/>
            <w:left w:w="108" w:type="dxa"/>
            <w:bottom w:w="0" w:type="dxa"/>
            <w:right w:w="108" w:type="dxa"/>
          </w:tblCellMar>
        </w:tblPrEx>
        <w:trPr>
          <w:trHeight w:val="340" w:hRule="atLeast"/>
          <w:jc w:val="center"/>
        </w:trPr>
        <w:tc>
          <w:tcPr>
            <w:tcW w:w="796" w:type="pct"/>
            <w:tcBorders>
              <w:top w:val="single" w:color="auto" w:sz="4" w:space="0"/>
              <w:left w:val="single" w:color="auto" w:sz="4" w:space="0"/>
              <w:bottom w:val="single" w:color="auto" w:sz="4" w:space="0"/>
              <w:right w:val="single" w:color="auto" w:sz="4" w:space="0"/>
            </w:tcBorders>
            <w:vAlign w:val="center"/>
          </w:tcPr>
          <w:p w14:paraId="2B221C19">
            <w:pPr>
              <w:jc w:val="center"/>
              <w:rPr>
                <w:color w:val="auto"/>
              </w:rPr>
            </w:pPr>
            <w:r>
              <w:rPr>
                <w:color w:val="auto"/>
              </w:rPr>
              <w:t>2</w:t>
            </w:r>
          </w:p>
        </w:tc>
        <w:tc>
          <w:tcPr>
            <w:tcW w:w="4292" w:type="dxa"/>
            <w:tcBorders>
              <w:top w:val="single" w:color="auto" w:sz="4" w:space="0"/>
              <w:left w:val="nil"/>
              <w:bottom w:val="single" w:color="auto" w:sz="4" w:space="0"/>
              <w:right w:val="single" w:color="auto" w:sz="4" w:space="0"/>
            </w:tcBorders>
            <w:vAlign w:val="center"/>
          </w:tcPr>
          <w:p w14:paraId="2CF51E88">
            <w:pPr>
              <w:jc w:val="center"/>
              <w:rPr>
                <w:color w:val="auto"/>
              </w:rPr>
            </w:pPr>
            <w:r>
              <w:rPr>
                <w:rFonts w:hint="eastAsia"/>
                <w:color w:val="auto"/>
                <w:lang w:val="en-US" w:eastAsia="zh-CN"/>
              </w:rPr>
              <w:t>100</w:t>
            </w:r>
          </w:p>
        </w:tc>
        <w:tc>
          <w:tcPr>
            <w:tcW w:w="1612" w:type="pct"/>
            <w:tcBorders>
              <w:top w:val="single" w:color="auto" w:sz="4" w:space="0"/>
              <w:left w:val="nil"/>
              <w:bottom w:val="single" w:color="auto" w:sz="4" w:space="0"/>
              <w:right w:val="single" w:color="auto" w:sz="4" w:space="0"/>
            </w:tcBorders>
            <w:vAlign w:val="center"/>
          </w:tcPr>
          <w:p w14:paraId="5B81CF58">
            <w:pPr>
              <w:jc w:val="center"/>
              <w:rPr>
                <w:rFonts w:hint="default" w:eastAsia="宋体"/>
                <w:color w:val="auto"/>
                <w:lang w:val="en-US" w:eastAsia="zh-CN"/>
              </w:rPr>
            </w:pPr>
            <w:r>
              <w:rPr>
                <w:rFonts w:hint="eastAsia"/>
                <w:color w:val="auto"/>
                <w:lang w:val="en-US" w:eastAsia="zh-CN"/>
              </w:rPr>
              <w:t>1.6</w:t>
            </w:r>
          </w:p>
        </w:tc>
      </w:tr>
      <w:tr w14:paraId="2A110CB7">
        <w:tblPrEx>
          <w:tblCellMar>
            <w:top w:w="0" w:type="dxa"/>
            <w:left w:w="108" w:type="dxa"/>
            <w:bottom w:w="0" w:type="dxa"/>
            <w:right w:w="108" w:type="dxa"/>
          </w:tblCellMar>
        </w:tblPrEx>
        <w:trPr>
          <w:trHeight w:val="340" w:hRule="atLeast"/>
          <w:jc w:val="center"/>
        </w:trPr>
        <w:tc>
          <w:tcPr>
            <w:tcW w:w="796" w:type="pct"/>
            <w:tcBorders>
              <w:top w:val="single" w:color="auto" w:sz="4" w:space="0"/>
              <w:left w:val="single" w:color="auto" w:sz="4" w:space="0"/>
              <w:bottom w:val="single" w:color="auto" w:sz="4" w:space="0"/>
              <w:right w:val="single" w:color="auto" w:sz="4" w:space="0"/>
            </w:tcBorders>
            <w:vAlign w:val="center"/>
          </w:tcPr>
          <w:p w14:paraId="3DE380EA">
            <w:pPr>
              <w:jc w:val="center"/>
              <w:rPr>
                <w:color w:val="auto"/>
              </w:rPr>
            </w:pPr>
            <w:r>
              <w:rPr>
                <w:color w:val="auto"/>
              </w:rPr>
              <w:t>3</w:t>
            </w:r>
          </w:p>
        </w:tc>
        <w:tc>
          <w:tcPr>
            <w:tcW w:w="4292" w:type="dxa"/>
            <w:tcBorders>
              <w:top w:val="single" w:color="auto" w:sz="4" w:space="0"/>
              <w:left w:val="nil"/>
              <w:bottom w:val="single" w:color="auto" w:sz="4" w:space="0"/>
              <w:right w:val="single" w:color="auto" w:sz="4" w:space="0"/>
            </w:tcBorders>
            <w:vAlign w:val="center"/>
          </w:tcPr>
          <w:p w14:paraId="36EE63BD">
            <w:pPr>
              <w:jc w:val="center"/>
              <w:rPr>
                <w:color w:val="auto"/>
              </w:rPr>
            </w:pPr>
            <w:r>
              <w:rPr>
                <w:rFonts w:hint="eastAsia"/>
                <w:color w:val="auto"/>
                <w:lang w:val="en-US" w:eastAsia="zh-CN"/>
              </w:rPr>
              <w:t>200</w:t>
            </w:r>
          </w:p>
        </w:tc>
        <w:tc>
          <w:tcPr>
            <w:tcW w:w="1612" w:type="pct"/>
            <w:tcBorders>
              <w:top w:val="single" w:color="auto" w:sz="4" w:space="0"/>
              <w:left w:val="nil"/>
              <w:bottom w:val="single" w:color="auto" w:sz="4" w:space="0"/>
              <w:right w:val="single" w:color="auto" w:sz="4" w:space="0"/>
            </w:tcBorders>
            <w:vAlign w:val="center"/>
          </w:tcPr>
          <w:p w14:paraId="42264C94">
            <w:pPr>
              <w:jc w:val="center"/>
              <w:rPr>
                <w:rFonts w:hint="default" w:eastAsia="宋体"/>
                <w:color w:val="auto"/>
                <w:lang w:val="en-US" w:eastAsia="zh-CN"/>
              </w:rPr>
            </w:pPr>
            <w:r>
              <w:rPr>
                <w:rFonts w:hint="eastAsia"/>
                <w:color w:val="auto"/>
                <w:lang w:val="en-US" w:eastAsia="zh-CN"/>
              </w:rPr>
              <w:t>2.8</w:t>
            </w:r>
          </w:p>
        </w:tc>
      </w:tr>
      <w:tr w14:paraId="34B4362E">
        <w:tblPrEx>
          <w:tblCellMar>
            <w:top w:w="0" w:type="dxa"/>
            <w:left w:w="108" w:type="dxa"/>
            <w:bottom w:w="0" w:type="dxa"/>
            <w:right w:w="108" w:type="dxa"/>
          </w:tblCellMar>
        </w:tblPrEx>
        <w:trPr>
          <w:trHeight w:val="340" w:hRule="atLeast"/>
          <w:jc w:val="center"/>
        </w:trPr>
        <w:tc>
          <w:tcPr>
            <w:tcW w:w="796" w:type="pct"/>
            <w:tcBorders>
              <w:top w:val="single" w:color="auto" w:sz="4" w:space="0"/>
              <w:left w:val="single" w:color="auto" w:sz="4" w:space="0"/>
              <w:bottom w:val="single" w:color="auto" w:sz="4" w:space="0"/>
              <w:right w:val="single" w:color="auto" w:sz="4" w:space="0"/>
            </w:tcBorders>
            <w:vAlign w:val="center"/>
          </w:tcPr>
          <w:p w14:paraId="58BD00F4">
            <w:pPr>
              <w:jc w:val="center"/>
              <w:rPr>
                <w:color w:val="auto"/>
              </w:rPr>
            </w:pPr>
            <w:r>
              <w:rPr>
                <w:color w:val="auto"/>
              </w:rPr>
              <w:t>4</w:t>
            </w:r>
          </w:p>
        </w:tc>
        <w:tc>
          <w:tcPr>
            <w:tcW w:w="4292" w:type="dxa"/>
            <w:tcBorders>
              <w:top w:val="single" w:color="auto" w:sz="4" w:space="0"/>
              <w:left w:val="nil"/>
              <w:bottom w:val="single" w:color="auto" w:sz="4" w:space="0"/>
              <w:right w:val="single" w:color="auto" w:sz="4" w:space="0"/>
            </w:tcBorders>
            <w:vAlign w:val="center"/>
          </w:tcPr>
          <w:p w14:paraId="17E6ED71">
            <w:pPr>
              <w:jc w:val="center"/>
              <w:rPr>
                <w:color w:val="auto"/>
              </w:rPr>
            </w:pPr>
            <w:r>
              <w:rPr>
                <w:rFonts w:hint="eastAsia"/>
                <w:color w:val="auto"/>
                <w:lang w:val="en-US" w:eastAsia="zh-CN"/>
              </w:rPr>
              <w:t>500</w:t>
            </w:r>
          </w:p>
        </w:tc>
        <w:tc>
          <w:tcPr>
            <w:tcW w:w="1612" w:type="pct"/>
            <w:tcBorders>
              <w:top w:val="single" w:color="auto" w:sz="4" w:space="0"/>
              <w:left w:val="nil"/>
              <w:bottom w:val="single" w:color="auto" w:sz="4" w:space="0"/>
              <w:right w:val="single" w:color="auto" w:sz="4" w:space="0"/>
            </w:tcBorders>
            <w:vAlign w:val="center"/>
          </w:tcPr>
          <w:p w14:paraId="0AA3F93D">
            <w:pPr>
              <w:jc w:val="center"/>
              <w:rPr>
                <w:rFonts w:hint="default" w:eastAsia="宋体"/>
                <w:color w:val="auto"/>
                <w:lang w:val="en-US" w:eastAsia="zh-CN"/>
              </w:rPr>
            </w:pPr>
            <w:r>
              <w:rPr>
                <w:rFonts w:hint="eastAsia"/>
                <w:color w:val="auto"/>
                <w:lang w:val="en-US" w:eastAsia="zh-CN"/>
              </w:rPr>
              <w:t>6</w:t>
            </w:r>
          </w:p>
        </w:tc>
      </w:tr>
      <w:tr w14:paraId="1C962793">
        <w:tblPrEx>
          <w:tblCellMar>
            <w:top w:w="0" w:type="dxa"/>
            <w:left w:w="108" w:type="dxa"/>
            <w:bottom w:w="0" w:type="dxa"/>
            <w:right w:w="108" w:type="dxa"/>
          </w:tblCellMar>
        </w:tblPrEx>
        <w:trPr>
          <w:trHeight w:val="340" w:hRule="atLeast"/>
          <w:jc w:val="center"/>
        </w:trPr>
        <w:tc>
          <w:tcPr>
            <w:tcW w:w="796" w:type="pct"/>
            <w:tcBorders>
              <w:top w:val="single" w:color="auto" w:sz="4" w:space="0"/>
              <w:left w:val="single" w:color="auto" w:sz="4" w:space="0"/>
              <w:bottom w:val="single" w:color="auto" w:sz="4" w:space="0"/>
              <w:right w:val="single" w:color="auto" w:sz="4" w:space="0"/>
            </w:tcBorders>
            <w:vAlign w:val="center"/>
          </w:tcPr>
          <w:p w14:paraId="16BF8D6D">
            <w:pPr>
              <w:jc w:val="center"/>
              <w:rPr>
                <w:color w:val="auto"/>
              </w:rPr>
            </w:pPr>
            <w:r>
              <w:rPr>
                <w:color w:val="auto"/>
              </w:rPr>
              <w:t>5</w:t>
            </w:r>
          </w:p>
        </w:tc>
        <w:tc>
          <w:tcPr>
            <w:tcW w:w="4292" w:type="dxa"/>
            <w:tcBorders>
              <w:top w:val="single" w:color="auto" w:sz="4" w:space="0"/>
              <w:left w:val="nil"/>
              <w:bottom w:val="single" w:color="auto" w:sz="4" w:space="0"/>
              <w:right w:val="single" w:color="auto" w:sz="4" w:space="0"/>
            </w:tcBorders>
            <w:vAlign w:val="center"/>
          </w:tcPr>
          <w:p w14:paraId="5215A584">
            <w:pPr>
              <w:jc w:val="center"/>
              <w:rPr>
                <w:color w:val="auto"/>
              </w:rPr>
            </w:pPr>
            <w:r>
              <w:rPr>
                <w:rFonts w:hint="eastAsia"/>
                <w:color w:val="auto"/>
                <w:lang w:val="en-US" w:eastAsia="zh-CN"/>
              </w:rPr>
              <w:t>1000</w:t>
            </w:r>
          </w:p>
        </w:tc>
        <w:tc>
          <w:tcPr>
            <w:tcW w:w="1612" w:type="pct"/>
            <w:tcBorders>
              <w:top w:val="single" w:color="auto" w:sz="4" w:space="0"/>
              <w:left w:val="nil"/>
              <w:bottom w:val="single" w:color="auto" w:sz="4" w:space="0"/>
              <w:right w:val="single" w:color="auto" w:sz="4" w:space="0"/>
            </w:tcBorders>
            <w:vAlign w:val="center"/>
          </w:tcPr>
          <w:p w14:paraId="0236FDE9">
            <w:pPr>
              <w:jc w:val="center"/>
              <w:rPr>
                <w:rFonts w:hint="default" w:eastAsia="宋体"/>
                <w:color w:val="auto"/>
                <w:lang w:val="en-US" w:eastAsia="zh-CN"/>
              </w:rPr>
            </w:pPr>
            <w:r>
              <w:rPr>
                <w:rFonts w:hint="eastAsia"/>
                <w:color w:val="auto"/>
                <w:lang w:val="en-US" w:eastAsia="zh-CN"/>
              </w:rPr>
              <w:t>10</w:t>
            </w:r>
          </w:p>
        </w:tc>
      </w:tr>
      <w:tr w14:paraId="776DDEAB">
        <w:tblPrEx>
          <w:tblCellMar>
            <w:top w:w="0" w:type="dxa"/>
            <w:left w:w="108" w:type="dxa"/>
            <w:bottom w:w="0" w:type="dxa"/>
            <w:right w:w="108" w:type="dxa"/>
          </w:tblCellMar>
        </w:tblPrEx>
        <w:trPr>
          <w:trHeight w:val="340" w:hRule="atLeast"/>
          <w:jc w:val="center"/>
        </w:trPr>
        <w:tc>
          <w:tcPr>
            <w:tcW w:w="796" w:type="pct"/>
            <w:tcBorders>
              <w:top w:val="single" w:color="auto" w:sz="4" w:space="0"/>
              <w:left w:val="single" w:color="auto" w:sz="4" w:space="0"/>
              <w:bottom w:val="single" w:color="auto" w:sz="4" w:space="0"/>
              <w:right w:val="single" w:color="auto" w:sz="4" w:space="0"/>
            </w:tcBorders>
            <w:vAlign w:val="center"/>
          </w:tcPr>
          <w:p w14:paraId="7259FFB8">
            <w:pPr>
              <w:jc w:val="center"/>
              <w:rPr>
                <w:color w:val="auto"/>
              </w:rPr>
            </w:pPr>
            <w:r>
              <w:rPr>
                <w:color w:val="auto"/>
              </w:rPr>
              <w:t>6</w:t>
            </w:r>
          </w:p>
        </w:tc>
        <w:tc>
          <w:tcPr>
            <w:tcW w:w="4292" w:type="dxa"/>
            <w:tcBorders>
              <w:top w:val="single" w:color="auto" w:sz="4" w:space="0"/>
              <w:left w:val="nil"/>
              <w:bottom w:val="single" w:color="auto" w:sz="4" w:space="0"/>
              <w:right w:val="single" w:color="auto" w:sz="4" w:space="0"/>
            </w:tcBorders>
            <w:vAlign w:val="center"/>
          </w:tcPr>
          <w:p w14:paraId="6148BADB">
            <w:pPr>
              <w:jc w:val="center"/>
              <w:rPr>
                <w:color w:val="auto"/>
              </w:rPr>
            </w:pPr>
            <w:r>
              <w:rPr>
                <w:rFonts w:hint="eastAsia"/>
                <w:color w:val="auto"/>
                <w:lang w:val="en-US" w:eastAsia="zh-CN"/>
              </w:rPr>
              <w:t>3000</w:t>
            </w:r>
          </w:p>
        </w:tc>
        <w:tc>
          <w:tcPr>
            <w:tcW w:w="1612" w:type="pct"/>
            <w:tcBorders>
              <w:top w:val="single" w:color="auto" w:sz="4" w:space="0"/>
              <w:left w:val="nil"/>
              <w:bottom w:val="single" w:color="auto" w:sz="4" w:space="0"/>
              <w:right w:val="single" w:color="auto" w:sz="4" w:space="0"/>
            </w:tcBorders>
            <w:vAlign w:val="center"/>
          </w:tcPr>
          <w:p w14:paraId="317EF3D6">
            <w:pPr>
              <w:jc w:val="center"/>
              <w:rPr>
                <w:rFonts w:hint="default" w:eastAsia="宋体"/>
                <w:color w:val="auto"/>
                <w:lang w:val="en-US" w:eastAsia="zh-CN"/>
              </w:rPr>
            </w:pPr>
            <w:r>
              <w:rPr>
                <w:rFonts w:hint="eastAsia"/>
                <w:color w:val="auto"/>
                <w:lang w:val="en-US" w:eastAsia="zh-CN"/>
              </w:rPr>
              <w:t>27</w:t>
            </w:r>
          </w:p>
        </w:tc>
      </w:tr>
      <w:tr w14:paraId="28D26B7D">
        <w:tblPrEx>
          <w:tblCellMar>
            <w:top w:w="0" w:type="dxa"/>
            <w:left w:w="108" w:type="dxa"/>
            <w:bottom w:w="0" w:type="dxa"/>
            <w:right w:w="108" w:type="dxa"/>
          </w:tblCellMar>
        </w:tblPrEx>
        <w:trPr>
          <w:trHeight w:val="340" w:hRule="atLeast"/>
          <w:jc w:val="center"/>
        </w:trPr>
        <w:tc>
          <w:tcPr>
            <w:tcW w:w="796" w:type="pct"/>
            <w:tcBorders>
              <w:top w:val="single" w:color="auto" w:sz="4" w:space="0"/>
              <w:left w:val="single" w:color="auto" w:sz="4" w:space="0"/>
              <w:bottom w:val="single" w:color="auto" w:sz="4" w:space="0"/>
              <w:right w:val="single" w:color="auto" w:sz="4" w:space="0"/>
            </w:tcBorders>
            <w:vAlign w:val="center"/>
          </w:tcPr>
          <w:p w14:paraId="0EC55C14">
            <w:pPr>
              <w:jc w:val="center"/>
              <w:rPr>
                <w:rFonts w:hint="eastAsia" w:eastAsia="宋体"/>
                <w:color w:val="auto"/>
                <w:lang w:val="en-US" w:eastAsia="zh-CN"/>
              </w:rPr>
            </w:pPr>
            <w:r>
              <w:rPr>
                <w:rFonts w:hint="eastAsia"/>
                <w:color w:val="auto"/>
                <w:lang w:val="en-US" w:eastAsia="zh-CN"/>
              </w:rPr>
              <w:t>7</w:t>
            </w:r>
          </w:p>
        </w:tc>
        <w:tc>
          <w:tcPr>
            <w:tcW w:w="4292" w:type="dxa"/>
            <w:tcBorders>
              <w:top w:val="single" w:color="auto" w:sz="4" w:space="0"/>
              <w:left w:val="nil"/>
              <w:bottom w:val="single" w:color="auto" w:sz="4" w:space="0"/>
              <w:right w:val="single" w:color="auto" w:sz="4" w:space="0"/>
            </w:tcBorders>
            <w:vAlign w:val="center"/>
          </w:tcPr>
          <w:p w14:paraId="6E0B7906">
            <w:pPr>
              <w:jc w:val="center"/>
              <w:rPr>
                <w:color w:val="auto"/>
              </w:rPr>
            </w:pPr>
            <w:r>
              <w:rPr>
                <w:rFonts w:hint="eastAsia"/>
                <w:color w:val="auto"/>
                <w:lang w:val="en-US" w:eastAsia="zh-CN"/>
              </w:rPr>
              <w:t>5000</w:t>
            </w:r>
          </w:p>
        </w:tc>
        <w:tc>
          <w:tcPr>
            <w:tcW w:w="1612" w:type="pct"/>
            <w:tcBorders>
              <w:top w:val="single" w:color="auto" w:sz="4" w:space="0"/>
              <w:left w:val="nil"/>
              <w:bottom w:val="single" w:color="auto" w:sz="4" w:space="0"/>
              <w:right w:val="single" w:color="auto" w:sz="4" w:space="0"/>
            </w:tcBorders>
            <w:vAlign w:val="center"/>
          </w:tcPr>
          <w:p w14:paraId="12B2D5E6">
            <w:pPr>
              <w:jc w:val="center"/>
              <w:rPr>
                <w:rFonts w:hint="default" w:eastAsia="宋体"/>
                <w:color w:val="auto"/>
                <w:lang w:val="en-US" w:eastAsia="zh-CN"/>
              </w:rPr>
            </w:pPr>
            <w:r>
              <w:rPr>
                <w:rFonts w:hint="eastAsia"/>
                <w:color w:val="auto"/>
                <w:lang w:val="en-US" w:eastAsia="zh-CN"/>
              </w:rPr>
              <w:t>40</w:t>
            </w:r>
          </w:p>
        </w:tc>
      </w:tr>
      <w:tr w14:paraId="2C4F999F">
        <w:tblPrEx>
          <w:tblCellMar>
            <w:top w:w="0" w:type="dxa"/>
            <w:left w:w="108" w:type="dxa"/>
            <w:bottom w:w="0" w:type="dxa"/>
            <w:right w:w="108" w:type="dxa"/>
          </w:tblCellMar>
        </w:tblPrEx>
        <w:trPr>
          <w:trHeight w:val="340" w:hRule="atLeast"/>
          <w:jc w:val="center"/>
        </w:trPr>
        <w:tc>
          <w:tcPr>
            <w:tcW w:w="796" w:type="pct"/>
            <w:tcBorders>
              <w:top w:val="single" w:color="auto" w:sz="4" w:space="0"/>
              <w:left w:val="single" w:color="auto" w:sz="4" w:space="0"/>
              <w:bottom w:val="single" w:color="auto" w:sz="4" w:space="0"/>
              <w:right w:val="single" w:color="auto" w:sz="4" w:space="0"/>
            </w:tcBorders>
            <w:vAlign w:val="center"/>
          </w:tcPr>
          <w:p w14:paraId="4FE2D993">
            <w:pPr>
              <w:jc w:val="center"/>
              <w:rPr>
                <w:rFonts w:hint="eastAsia" w:eastAsia="宋体"/>
                <w:color w:val="auto"/>
                <w:lang w:val="en-US" w:eastAsia="zh-CN"/>
              </w:rPr>
            </w:pPr>
            <w:r>
              <w:rPr>
                <w:rFonts w:hint="eastAsia"/>
                <w:color w:val="auto"/>
                <w:lang w:val="en-US" w:eastAsia="zh-CN"/>
              </w:rPr>
              <w:t>8</w:t>
            </w:r>
          </w:p>
        </w:tc>
        <w:tc>
          <w:tcPr>
            <w:tcW w:w="4292" w:type="dxa"/>
            <w:tcBorders>
              <w:top w:val="single" w:color="auto" w:sz="4" w:space="0"/>
              <w:left w:val="nil"/>
              <w:bottom w:val="single" w:color="auto" w:sz="4" w:space="0"/>
              <w:right w:val="single" w:color="auto" w:sz="4" w:space="0"/>
            </w:tcBorders>
            <w:vAlign w:val="center"/>
          </w:tcPr>
          <w:p w14:paraId="19D13D63">
            <w:pPr>
              <w:jc w:val="center"/>
              <w:rPr>
                <w:color w:val="auto"/>
              </w:rPr>
            </w:pPr>
            <w:r>
              <w:rPr>
                <w:color w:val="auto"/>
              </w:rPr>
              <w:t>10000</w:t>
            </w:r>
          </w:p>
        </w:tc>
        <w:tc>
          <w:tcPr>
            <w:tcW w:w="1612" w:type="pct"/>
            <w:tcBorders>
              <w:top w:val="single" w:color="auto" w:sz="4" w:space="0"/>
              <w:left w:val="nil"/>
              <w:bottom w:val="single" w:color="auto" w:sz="4" w:space="0"/>
              <w:right w:val="single" w:color="auto" w:sz="4" w:space="0"/>
            </w:tcBorders>
            <w:vAlign w:val="center"/>
          </w:tcPr>
          <w:p w14:paraId="54FF25BE">
            <w:pPr>
              <w:jc w:val="center"/>
              <w:rPr>
                <w:rFonts w:hint="default" w:eastAsia="宋体"/>
                <w:color w:val="auto"/>
                <w:lang w:val="en-US" w:eastAsia="zh-CN"/>
              </w:rPr>
            </w:pPr>
            <w:r>
              <w:rPr>
                <w:rFonts w:hint="eastAsia"/>
                <w:color w:val="auto"/>
                <w:lang w:val="en-US" w:eastAsia="zh-CN"/>
              </w:rPr>
              <w:t>60</w:t>
            </w:r>
          </w:p>
        </w:tc>
      </w:tr>
    </w:tbl>
    <w:p w14:paraId="6EB1A417">
      <w:pPr>
        <w:spacing w:line="360" w:lineRule="auto"/>
        <w:ind w:firstLine="361" w:firstLineChars="200"/>
        <w:rPr>
          <w:color w:val="auto"/>
          <w:sz w:val="28"/>
          <w:szCs w:val="28"/>
        </w:rPr>
      </w:pPr>
      <w:r>
        <w:rPr>
          <w:b/>
          <w:bCs w:val="0"/>
          <w:color w:val="auto"/>
          <w:sz w:val="18"/>
          <w:szCs w:val="18"/>
        </w:rPr>
        <w:t>注：</w:t>
      </w:r>
      <w:r>
        <w:rPr>
          <w:rFonts w:hint="eastAsia"/>
          <w:b/>
          <w:bCs w:val="0"/>
          <w:color w:val="auto"/>
          <w:sz w:val="18"/>
          <w:szCs w:val="18"/>
          <w:lang w:val="en-US" w:eastAsia="zh-CN"/>
        </w:rPr>
        <w:t>计费基数不足50万元时，按1万元计取；</w:t>
      </w:r>
      <w:r>
        <w:rPr>
          <w:b/>
          <w:bCs w:val="0"/>
          <w:color w:val="auto"/>
          <w:sz w:val="18"/>
          <w:szCs w:val="18"/>
        </w:rPr>
        <w:t>计费基数大于1亿元时，按计费基数的</w:t>
      </w:r>
      <w:r>
        <w:rPr>
          <w:rFonts w:hint="eastAsia"/>
          <w:b/>
          <w:bCs w:val="0"/>
          <w:color w:val="auto"/>
          <w:sz w:val="18"/>
          <w:szCs w:val="18"/>
          <w:lang w:val="en-US" w:eastAsia="zh-CN"/>
        </w:rPr>
        <w:t>0.60</w:t>
      </w:r>
      <w:r>
        <w:rPr>
          <w:b/>
          <w:bCs w:val="0"/>
          <w:color w:val="auto"/>
          <w:sz w:val="18"/>
          <w:szCs w:val="18"/>
        </w:rPr>
        <w:t>%计取。</w:t>
      </w:r>
    </w:p>
    <w:p w14:paraId="358221E0">
      <w:pPr>
        <w:jc w:val="center"/>
        <w:rPr>
          <w:rFonts w:eastAsia="黑体"/>
          <w:color w:val="auto"/>
          <w:sz w:val="24"/>
          <w:szCs w:val="22"/>
        </w:rPr>
      </w:pPr>
      <w:r>
        <w:rPr>
          <w:rFonts w:eastAsia="黑体"/>
          <w:color w:val="auto"/>
          <w:sz w:val="24"/>
          <w:szCs w:val="22"/>
        </w:rPr>
        <w:t>表6-</w:t>
      </w:r>
      <w:r>
        <w:rPr>
          <w:rFonts w:hint="eastAsia" w:eastAsia="黑体"/>
          <w:color w:val="auto"/>
          <w:sz w:val="24"/>
          <w:szCs w:val="22"/>
          <w:lang w:val="en-US" w:eastAsia="zh-CN"/>
        </w:rPr>
        <w:t>9</w:t>
      </w:r>
      <w:r>
        <w:rPr>
          <w:rFonts w:eastAsia="黑体"/>
          <w:color w:val="auto"/>
          <w:sz w:val="24"/>
          <w:szCs w:val="22"/>
        </w:rPr>
        <w:t xml:space="preserve">  项目</w:t>
      </w:r>
      <w:r>
        <w:rPr>
          <w:rFonts w:hint="eastAsia" w:eastAsia="黑体"/>
          <w:color w:val="auto"/>
          <w:sz w:val="24"/>
          <w:szCs w:val="22"/>
          <w:lang w:val="en-US" w:eastAsia="zh-CN"/>
        </w:rPr>
        <w:t>结（决）</w:t>
      </w:r>
      <w:r>
        <w:rPr>
          <w:rFonts w:eastAsia="黑体"/>
          <w:color w:val="auto"/>
          <w:sz w:val="24"/>
          <w:szCs w:val="22"/>
        </w:rPr>
        <w:t>算审计费计费标准表</w:t>
      </w:r>
    </w:p>
    <w:tbl>
      <w:tblPr>
        <w:tblStyle w:val="34"/>
        <w:tblW w:w="4980" w:type="pct"/>
        <w:jc w:val="center"/>
        <w:tblLayout w:type="autofit"/>
        <w:tblCellMar>
          <w:top w:w="0" w:type="dxa"/>
          <w:left w:w="108" w:type="dxa"/>
          <w:bottom w:w="0" w:type="dxa"/>
          <w:right w:w="108" w:type="dxa"/>
        </w:tblCellMar>
      </w:tblPr>
      <w:tblGrid>
        <w:gridCol w:w="1317"/>
        <w:gridCol w:w="3642"/>
        <w:gridCol w:w="3320"/>
      </w:tblGrid>
      <w:tr w14:paraId="2FA54842">
        <w:tblPrEx>
          <w:tblCellMar>
            <w:top w:w="0" w:type="dxa"/>
            <w:left w:w="108" w:type="dxa"/>
            <w:bottom w:w="0" w:type="dxa"/>
            <w:right w:w="108" w:type="dxa"/>
          </w:tblCellMar>
        </w:tblPrEx>
        <w:trPr>
          <w:trHeight w:val="340" w:hRule="atLeast"/>
          <w:tblHeader/>
          <w:jc w:val="center"/>
        </w:trPr>
        <w:tc>
          <w:tcPr>
            <w:tcW w:w="795" w:type="pct"/>
            <w:tcBorders>
              <w:top w:val="single" w:color="auto" w:sz="4" w:space="0"/>
              <w:left w:val="single" w:color="auto" w:sz="4" w:space="0"/>
              <w:bottom w:val="single" w:color="auto" w:sz="4" w:space="0"/>
              <w:right w:val="single" w:color="auto" w:sz="4" w:space="0"/>
            </w:tcBorders>
            <w:vAlign w:val="center"/>
          </w:tcPr>
          <w:p w14:paraId="0194BD02">
            <w:pPr>
              <w:jc w:val="center"/>
              <w:rPr>
                <w:color w:val="auto"/>
              </w:rPr>
            </w:pPr>
            <w:r>
              <w:rPr>
                <w:color w:val="auto"/>
              </w:rPr>
              <w:t>序号</w:t>
            </w:r>
          </w:p>
        </w:tc>
        <w:tc>
          <w:tcPr>
            <w:tcW w:w="2199" w:type="pct"/>
            <w:tcBorders>
              <w:top w:val="single" w:color="auto" w:sz="4" w:space="0"/>
              <w:left w:val="single" w:color="auto" w:sz="4" w:space="0"/>
              <w:bottom w:val="single" w:color="auto" w:sz="4" w:space="0"/>
              <w:right w:val="single" w:color="auto" w:sz="4" w:space="0"/>
            </w:tcBorders>
            <w:vAlign w:val="center"/>
          </w:tcPr>
          <w:p w14:paraId="147B313A">
            <w:pPr>
              <w:jc w:val="center"/>
              <w:rPr>
                <w:color w:val="auto"/>
              </w:rPr>
            </w:pPr>
            <w:r>
              <w:rPr>
                <w:color w:val="auto"/>
              </w:rPr>
              <w:t>计费基数(万元)</w:t>
            </w:r>
          </w:p>
        </w:tc>
        <w:tc>
          <w:tcPr>
            <w:tcW w:w="2004" w:type="pct"/>
            <w:tcBorders>
              <w:top w:val="single" w:color="auto" w:sz="4" w:space="0"/>
              <w:left w:val="single" w:color="auto" w:sz="4" w:space="0"/>
              <w:bottom w:val="single" w:color="auto" w:sz="4" w:space="0"/>
              <w:right w:val="single" w:color="auto" w:sz="4" w:space="0"/>
            </w:tcBorders>
            <w:vAlign w:val="center"/>
          </w:tcPr>
          <w:p w14:paraId="161CF582">
            <w:pPr>
              <w:jc w:val="center"/>
              <w:rPr>
                <w:color w:val="auto"/>
              </w:rPr>
            </w:pPr>
            <w:r>
              <w:rPr>
                <w:rFonts w:ascii="Times New Roman" w:hAnsi="Times New Roman" w:cs="Times New Roman"/>
                <w:color w:val="auto"/>
              </w:rPr>
              <w:t>项目</w:t>
            </w:r>
            <w:r>
              <w:rPr>
                <w:rFonts w:hint="eastAsia" w:ascii="Times New Roman" w:hAnsi="Times New Roman" w:cs="Times New Roman"/>
                <w:color w:val="auto"/>
                <w:lang w:val="en-US" w:eastAsia="zh-CN"/>
              </w:rPr>
              <w:t>结（决）</w:t>
            </w:r>
            <w:r>
              <w:rPr>
                <w:rFonts w:ascii="Times New Roman" w:hAnsi="Times New Roman" w:cs="Times New Roman"/>
                <w:color w:val="auto"/>
              </w:rPr>
              <w:t>算审计费(万元</w:t>
            </w:r>
            <w:r>
              <w:rPr>
                <w:color w:val="auto"/>
              </w:rPr>
              <w:t>)</w:t>
            </w:r>
          </w:p>
        </w:tc>
      </w:tr>
      <w:tr w14:paraId="203E6E19">
        <w:tblPrEx>
          <w:tblCellMar>
            <w:top w:w="0" w:type="dxa"/>
            <w:left w:w="108" w:type="dxa"/>
            <w:bottom w:w="0" w:type="dxa"/>
            <w:right w:w="108" w:type="dxa"/>
          </w:tblCellMar>
        </w:tblPrEx>
        <w:trPr>
          <w:trHeight w:val="340" w:hRule="atLeast"/>
          <w:jc w:val="center"/>
        </w:trPr>
        <w:tc>
          <w:tcPr>
            <w:tcW w:w="795" w:type="pct"/>
            <w:tcBorders>
              <w:top w:val="nil"/>
              <w:left w:val="single" w:color="auto" w:sz="4" w:space="0"/>
              <w:bottom w:val="single" w:color="auto" w:sz="4" w:space="0"/>
              <w:right w:val="single" w:color="auto" w:sz="4" w:space="0"/>
            </w:tcBorders>
            <w:vAlign w:val="center"/>
          </w:tcPr>
          <w:p w14:paraId="07CA9E1F">
            <w:pPr>
              <w:jc w:val="center"/>
              <w:rPr>
                <w:color w:val="auto"/>
              </w:rPr>
            </w:pPr>
            <w:r>
              <w:rPr>
                <w:color w:val="auto"/>
              </w:rPr>
              <w:t>1</w:t>
            </w:r>
          </w:p>
        </w:tc>
        <w:tc>
          <w:tcPr>
            <w:tcW w:w="2199" w:type="pct"/>
            <w:tcBorders>
              <w:top w:val="nil"/>
              <w:left w:val="nil"/>
              <w:bottom w:val="single" w:color="auto" w:sz="4" w:space="0"/>
              <w:right w:val="single" w:color="auto" w:sz="4" w:space="0"/>
            </w:tcBorders>
            <w:vAlign w:val="center"/>
          </w:tcPr>
          <w:p w14:paraId="50A91F17">
            <w:pPr>
              <w:jc w:val="center"/>
              <w:rPr>
                <w:color w:val="auto"/>
              </w:rPr>
            </w:pPr>
            <w:r>
              <w:rPr>
                <w:rFonts w:hint="eastAsia"/>
                <w:color w:val="auto"/>
                <w:lang w:val="en-US" w:eastAsia="zh-CN"/>
              </w:rPr>
              <w:t>≤50</w:t>
            </w:r>
          </w:p>
        </w:tc>
        <w:tc>
          <w:tcPr>
            <w:tcW w:w="2004" w:type="pct"/>
            <w:tcBorders>
              <w:top w:val="nil"/>
              <w:left w:val="nil"/>
              <w:bottom w:val="single" w:color="auto" w:sz="4" w:space="0"/>
              <w:right w:val="single" w:color="auto" w:sz="4" w:space="0"/>
            </w:tcBorders>
            <w:vAlign w:val="center"/>
          </w:tcPr>
          <w:p w14:paraId="2EC9412C">
            <w:pPr>
              <w:jc w:val="center"/>
              <w:rPr>
                <w:rFonts w:hint="default" w:eastAsia="宋体"/>
                <w:color w:val="auto"/>
                <w:lang w:val="en-US" w:eastAsia="zh-CN"/>
              </w:rPr>
            </w:pPr>
            <w:r>
              <w:rPr>
                <w:rFonts w:hint="eastAsia"/>
                <w:color w:val="auto"/>
                <w:lang w:val="en-US" w:eastAsia="zh-CN"/>
              </w:rPr>
              <w:t>0.3</w:t>
            </w:r>
          </w:p>
        </w:tc>
      </w:tr>
      <w:tr w14:paraId="28CA38FE">
        <w:tblPrEx>
          <w:tblCellMar>
            <w:top w:w="0" w:type="dxa"/>
            <w:left w:w="108" w:type="dxa"/>
            <w:bottom w:w="0" w:type="dxa"/>
            <w:right w:w="108" w:type="dxa"/>
          </w:tblCellMar>
        </w:tblPrEx>
        <w:trPr>
          <w:trHeight w:val="340" w:hRule="atLeast"/>
          <w:jc w:val="center"/>
        </w:trPr>
        <w:tc>
          <w:tcPr>
            <w:tcW w:w="795" w:type="pct"/>
            <w:tcBorders>
              <w:top w:val="single" w:color="auto" w:sz="4" w:space="0"/>
              <w:left w:val="single" w:color="auto" w:sz="4" w:space="0"/>
              <w:bottom w:val="single" w:color="auto" w:sz="4" w:space="0"/>
              <w:right w:val="single" w:color="auto" w:sz="4" w:space="0"/>
            </w:tcBorders>
            <w:vAlign w:val="center"/>
          </w:tcPr>
          <w:p w14:paraId="5C33D4E2">
            <w:pPr>
              <w:jc w:val="center"/>
              <w:rPr>
                <w:color w:val="auto"/>
              </w:rPr>
            </w:pPr>
            <w:r>
              <w:rPr>
                <w:color w:val="auto"/>
              </w:rPr>
              <w:t>2</w:t>
            </w:r>
          </w:p>
        </w:tc>
        <w:tc>
          <w:tcPr>
            <w:tcW w:w="2199" w:type="pct"/>
            <w:tcBorders>
              <w:top w:val="single" w:color="auto" w:sz="4" w:space="0"/>
              <w:left w:val="nil"/>
              <w:bottom w:val="single" w:color="auto" w:sz="4" w:space="0"/>
              <w:right w:val="single" w:color="auto" w:sz="4" w:space="0"/>
            </w:tcBorders>
            <w:vAlign w:val="center"/>
          </w:tcPr>
          <w:p w14:paraId="450FBCDD">
            <w:pPr>
              <w:jc w:val="center"/>
              <w:rPr>
                <w:color w:val="auto"/>
              </w:rPr>
            </w:pPr>
            <w:r>
              <w:rPr>
                <w:rFonts w:hint="eastAsia"/>
                <w:color w:val="auto"/>
                <w:lang w:val="en-US" w:eastAsia="zh-CN"/>
              </w:rPr>
              <w:t>100</w:t>
            </w:r>
          </w:p>
        </w:tc>
        <w:tc>
          <w:tcPr>
            <w:tcW w:w="2004" w:type="pct"/>
            <w:tcBorders>
              <w:top w:val="single" w:color="auto" w:sz="4" w:space="0"/>
              <w:left w:val="nil"/>
              <w:bottom w:val="single" w:color="auto" w:sz="4" w:space="0"/>
              <w:right w:val="single" w:color="auto" w:sz="4" w:space="0"/>
            </w:tcBorders>
            <w:vAlign w:val="center"/>
          </w:tcPr>
          <w:p w14:paraId="5C2C996B">
            <w:pPr>
              <w:jc w:val="center"/>
              <w:rPr>
                <w:rFonts w:hint="default" w:eastAsia="宋体"/>
                <w:color w:val="auto"/>
                <w:lang w:val="en-US" w:eastAsia="zh-CN"/>
              </w:rPr>
            </w:pPr>
            <w:r>
              <w:rPr>
                <w:rFonts w:hint="eastAsia"/>
                <w:color w:val="auto"/>
                <w:lang w:val="en-US" w:eastAsia="zh-CN"/>
              </w:rPr>
              <w:t>0.6</w:t>
            </w:r>
          </w:p>
        </w:tc>
      </w:tr>
      <w:tr w14:paraId="3446D752">
        <w:tblPrEx>
          <w:tblCellMar>
            <w:top w:w="0" w:type="dxa"/>
            <w:left w:w="108" w:type="dxa"/>
            <w:bottom w:w="0" w:type="dxa"/>
            <w:right w:w="108" w:type="dxa"/>
          </w:tblCellMar>
        </w:tblPrEx>
        <w:trPr>
          <w:trHeight w:val="340" w:hRule="atLeast"/>
          <w:jc w:val="center"/>
        </w:trPr>
        <w:tc>
          <w:tcPr>
            <w:tcW w:w="795" w:type="pct"/>
            <w:tcBorders>
              <w:top w:val="single" w:color="auto" w:sz="4" w:space="0"/>
              <w:left w:val="single" w:color="auto" w:sz="4" w:space="0"/>
              <w:bottom w:val="single" w:color="auto" w:sz="4" w:space="0"/>
              <w:right w:val="single" w:color="auto" w:sz="4" w:space="0"/>
            </w:tcBorders>
            <w:vAlign w:val="center"/>
          </w:tcPr>
          <w:p w14:paraId="2ECC1121">
            <w:pPr>
              <w:jc w:val="center"/>
              <w:rPr>
                <w:color w:val="auto"/>
              </w:rPr>
            </w:pPr>
            <w:r>
              <w:rPr>
                <w:color w:val="auto"/>
              </w:rPr>
              <w:t>3</w:t>
            </w:r>
          </w:p>
        </w:tc>
        <w:tc>
          <w:tcPr>
            <w:tcW w:w="2199" w:type="pct"/>
            <w:tcBorders>
              <w:top w:val="single" w:color="auto" w:sz="4" w:space="0"/>
              <w:left w:val="nil"/>
              <w:bottom w:val="single" w:color="auto" w:sz="4" w:space="0"/>
              <w:right w:val="single" w:color="auto" w:sz="4" w:space="0"/>
            </w:tcBorders>
            <w:vAlign w:val="center"/>
          </w:tcPr>
          <w:p w14:paraId="171607E9">
            <w:pPr>
              <w:jc w:val="center"/>
              <w:rPr>
                <w:color w:val="auto"/>
              </w:rPr>
            </w:pPr>
            <w:r>
              <w:rPr>
                <w:rFonts w:hint="eastAsia"/>
                <w:color w:val="auto"/>
                <w:lang w:val="en-US" w:eastAsia="zh-CN"/>
              </w:rPr>
              <w:t>200</w:t>
            </w:r>
          </w:p>
        </w:tc>
        <w:tc>
          <w:tcPr>
            <w:tcW w:w="2004" w:type="pct"/>
            <w:tcBorders>
              <w:top w:val="single" w:color="auto" w:sz="4" w:space="0"/>
              <w:left w:val="nil"/>
              <w:bottom w:val="single" w:color="auto" w:sz="4" w:space="0"/>
              <w:right w:val="single" w:color="auto" w:sz="4" w:space="0"/>
            </w:tcBorders>
            <w:vAlign w:val="center"/>
          </w:tcPr>
          <w:p w14:paraId="598544A1">
            <w:pPr>
              <w:jc w:val="center"/>
              <w:rPr>
                <w:rFonts w:hint="default" w:eastAsia="宋体"/>
                <w:color w:val="auto"/>
                <w:lang w:val="en-US" w:eastAsia="zh-CN"/>
              </w:rPr>
            </w:pPr>
            <w:r>
              <w:rPr>
                <w:rFonts w:hint="eastAsia"/>
                <w:color w:val="auto"/>
                <w:lang w:val="en-US" w:eastAsia="zh-CN"/>
              </w:rPr>
              <w:t>0.9</w:t>
            </w:r>
          </w:p>
        </w:tc>
      </w:tr>
      <w:tr w14:paraId="13D0364D">
        <w:tblPrEx>
          <w:tblCellMar>
            <w:top w:w="0" w:type="dxa"/>
            <w:left w:w="108" w:type="dxa"/>
            <w:bottom w:w="0" w:type="dxa"/>
            <w:right w:w="108" w:type="dxa"/>
          </w:tblCellMar>
        </w:tblPrEx>
        <w:trPr>
          <w:trHeight w:val="340" w:hRule="atLeast"/>
          <w:jc w:val="center"/>
        </w:trPr>
        <w:tc>
          <w:tcPr>
            <w:tcW w:w="795" w:type="pct"/>
            <w:tcBorders>
              <w:top w:val="single" w:color="auto" w:sz="4" w:space="0"/>
              <w:left w:val="single" w:color="auto" w:sz="4" w:space="0"/>
              <w:bottom w:val="single" w:color="auto" w:sz="4" w:space="0"/>
              <w:right w:val="single" w:color="auto" w:sz="4" w:space="0"/>
            </w:tcBorders>
            <w:vAlign w:val="center"/>
          </w:tcPr>
          <w:p w14:paraId="1B740E4F">
            <w:pPr>
              <w:jc w:val="center"/>
              <w:rPr>
                <w:color w:val="auto"/>
              </w:rPr>
            </w:pPr>
            <w:r>
              <w:rPr>
                <w:color w:val="auto"/>
              </w:rPr>
              <w:t>4</w:t>
            </w:r>
          </w:p>
        </w:tc>
        <w:tc>
          <w:tcPr>
            <w:tcW w:w="2199" w:type="pct"/>
            <w:tcBorders>
              <w:top w:val="single" w:color="auto" w:sz="4" w:space="0"/>
              <w:left w:val="nil"/>
              <w:bottom w:val="single" w:color="auto" w:sz="4" w:space="0"/>
              <w:right w:val="single" w:color="auto" w:sz="4" w:space="0"/>
            </w:tcBorders>
            <w:vAlign w:val="center"/>
          </w:tcPr>
          <w:p w14:paraId="708C46CF">
            <w:pPr>
              <w:jc w:val="center"/>
              <w:rPr>
                <w:color w:val="auto"/>
              </w:rPr>
            </w:pPr>
            <w:r>
              <w:rPr>
                <w:rFonts w:hint="eastAsia"/>
                <w:color w:val="auto"/>
                <w:lang w:val="en-US" w:eastAsia="zh-CN"/>
              </w:rPr>
              <w:t>500</w:t>
            </w:r>
          </w:p>
        </w:tc>
        <w:tc>
          <w:tcPr>
            <w:tcW w:w="2004" w:type="pct"/>
            <w:tcBorders>
              <w:top w:val="single" w:color="auto" w:sz="4" w:space="0"/>
              <w:left w:val="nil"/>
              <w:bottom w:val="single" w:color="auto" w:sz="4" w:space="0"/>
              <w:right w:val="single" w:color="auto" w:sz="4" w:space="0"/>
            </w:tcBorders>
            <w:vAlign w:val="center"/>
          </w:tcPr>
          <w:p w14:paraId="24C5AA48">
            <w:pPr>
              <w:jc w:val="center"/>
              <w:rPr>
                <w:rFonts w:hint="default" w:eastAsia="宋体"/>
                <w:color w:val="auto"/>
                <w:lang w:val="en-US" w:eastAsia="zh-CN"/>
              </w:rPr>
            </w:pPr>
            <w:r>
              <w:rPr>
                <w:rFonts w:hint="eastAsia"/>
                <w:color w:val="auto"/>
                <w:lang w:val="en-US" w:eastAsia="zh-CN"/>
              </w:rPr>
              <w:t>1.8</w:t>
            </w:r>
          </w:p>
        </w:tc>
      </w:tr>
      <w:tr w14:paraId="5B7E2070">
        <w:tblPrEx>
          <w:tblCellMar>
            <w:top w:w="0" w:type="dxa"/>
            <w:left w:w="108" w:type="dxa"/>
            <w:bottom w:w="0" w:type="dxa"/>
            <w:right w:w="108" w:type="dxa"/>
          </w:tblCellMar>
        </w:tblPrEx>
        <w:trPr>
          <w:trHeight w:val="340" w:hRule="atLeast"/>
          <w:jc w:val="center"/>
        </w:trPr>
        <w:tc>
          <w:tcPr>
            <w:tcW w:w="795" w:type="pct"/>
            <w:tcBorders>
              <w:top w:val="single" w:color="auto" w:sz="4" w:space="0"/>
              <w:left w:val="single" w:color="auto" w:sz="4" w:space="0"/>
              <w:bottom w:val="single" w:color="auto" w:sz="4" w:space="0"/>
              <w:right w:val="single" w:color="auto" w:sz="4" w:space="0"/>
            </w:tcBorders>
            <w:vAlign w:val="center"/>
          </w:tcPr>
          <w:p w14:paraId="4D583CE7">
            <w:pPr>
              <w:jc w:val="center"/>
              <w:rPr>
                <w:color w:val="auto"/>
              </w:rPr>
            </w:pPr>
            <w:r>
              <w:rPr>
                <w:color w:val="auto"/>
              </w:rPr>
              <w:t>5</w:t>
            </w:r>
          </w:p>
        </w:tc>
        <w:tc>
          <w:tcPr>
            <w:tcW w:w="2199" w:type="pct"/>
            <w:tcBorders>
              <w:top w:val="single" w:color="auto" w:sz="4" w:space="0"/>
              <w:left w:val="nil"/>
              <w:bottom w:val="single" w:color="auto" w:sz="4" w:space="0"/>
              <w:right w:val="single" w:color="auto" w:sz="4" w:space="0"/>
            </w:tcBorders>
            <w:vAlign w:val="center"/>
          </w:tcPr>
          <w:p w14:paraId="0400771A">
            <w:pPr>
              <w:jc w:val="center"/>
              <w:rPr>
                <w:color w:val="auto"/>
              </w:rPr>
            </w:pPr>
            <w:r>
              <w:rPr>
                <w:rFonts w:hint="eastAsia"/>
                <w:color w:val="auto"/>
                <w:lang w:val="en-US" w:eastAsia="zh-CN"/>
              </w:rPr>
              <w:t>1000</w:t>
            </w:r>
          </w:p>
        </w:tc>
        <w:tc>
          <w:tcPr>
            <w:tcW w:w="2004" w:type="pct"/>
            <w:tcBorders>
              <w:top w:val="single" w:color="auto" w:sz="4" w:space="0"/>
              <w:left w:val="nil"/>
              <w:bottom w:val="single" w:color="auto" w:sz="4" w:space="0"/>
              <w:right w:val="single" w:color="auto" w:sz="4" w:space="0"/>
            </w:tcBorders>
            <w:vAlign w:val="center"/>
          </w:tcPr>
          <w:p w14:paraId="629A7CF2">
            <w:pPr>
              <w:jc w:val="center"/>
              <w:rPr>
                <w:rFonts w:hint="default" w:eastAsia="宋体"/>
                <w:color w:val="auto"/>
                <w:lang w:val="en-US" w:eastAsia="zh-CN"/>
              </w:rPr>
            </w:pPr>
            <w:r>
              <w:rPr>
                <w:rFonts w:hint="eastAsia"/>
                <w:color w:val="auto"/>
                <w:lang w:val="en-US" w:eastAsia="zh-CN"/>
              </w:rPr>
              <w:t>3.05</w:t>
            </w:r>
          </w:p>
        </w:tc>
      </w:tr>
      <w:tr w14:paraId="7201CEF4">
        <w:tblPrEx>
          <w:tblCellMar>
            <w:top w:w="0" w:type="dxa"/>
            <w:left w:w="108" w:type="dxa"/>
            <w:bottom w:w="0" w:type="dxa"/>
            <w:right w:w="108" w:type="dxa"/>
          </w:tblCellMar>
        </w:tblPrEx>
        <w:trPr>
          <w:trHeight w:val="340" w:hRule="atLeast"/>
          <w:jc w:val="center"/>
        </w:trPr>
        <w:tc>
          <w:tcPr>
            <w:tcW w:w="795" w:type="pct"/>
            <w:tcBorders>
              <w:top w:val="single" w:color="auto" w:sz="4" w:space="0"/>
              <w:left w:val="single" w:color="auto" w:sz="4" w:space="0"/>
              <w:bottom w:val="single" w:color="auto" w:sz="4" w:space="0"/>
              <w:right w:val="single" w:color="auto" w:sz="4" w:space="0"/>
            </w:tcBorders>
            <w:vAlign w:val="center"/>
          </w:tcPr>
          <w:p w14:paraId="67E2D3F5">
            <w:pPr>
              <w:jc w:val="center"/>
              <w:rPr>
                <w:color w:val="auto"/>
              </w:rPr>
            </w:pPr>
            <w:r>
              <w:rPr>
                <w:color w:val="auto"/>
              </w:rPr>
              <w:t>6</w:t>
            </w:r>
          </w:p>
        </w:tc>
        <w:tc>
          <w:tcPr>
            <w:tcW w:w="2199" w:type="pct"/>
            <w:tcBorders>
              <w:top w:val="single" w:color="auto" w:sz="4" w:space="0"/>
              <w:left w:val="nil"/>
              <w:bottom w:val="single" w:color="auto" w:sz="4" w:space="0"/>
              <w:right w:val="single" w:color="auto" w:sz="4" w:space="0"/>
            </w:tcBorders>
            <w:vAlign w:val="center"/>
          </w:tcPr>
          <w:p w14:paraId="0237F8F7">
            <w:pPr>
              <w:jc w:val="center"/>
              <w:rPr>
                <w:color w:val="auto"/>
              </w:rPr>
            </w:pPr>
            <w:r>
              <w:rPr>
                <w:rFonts w:hint="eastAsia"/>
                <w:color w:val="auto"/>
                <w:lang w:val="en-US" w:eastAsia="zh-CN"/>
              </w:rPr>
              <w:t>3000</w:t>
            </w:r>
          </w:p>
        </w:tc>
        <w:tc>
          <w:tcPr>
            <w:tcW w:w="2004" w:type="pct"/>
            <w:tcBorders>
              <w:top w:val="single" w:color="auto" w:sz="4" w:space="0"/>
              <w:left w:val="nil"/>
              <w:bottom w:val="single" w:color="auto" w:sz="4" w:space="0"/>
              <w:right w:val="single" w:color="auto" w:sz="4" w:space="0"/>
            </w:tcBorders>
            <w:vAlign w:val="center"/>
          </w:tcPr>
          <w:p w14:paraId="7545FDD9">
            <w:pPr>
              <w:jc w:val="center"/>
              <w:rPr>
                <w:rFonts w:hint="default" w:eastAsia="宋体"/>
                <w:color w:val="auto"/>
                <w:lang w:val="en-US" w:eastAsia="zh-CN"/>
              </w:rPr>
            </w:pPr>
            <w:r>
              <w:rPr>
                <w:rFonts w:hint="eastAsia"/>
                <w:color w:val="auto"/>
                <w:lang w:val="en-US" w:eastAsia="zh-CN"/>
              </w:rPr>
              <w:t>6.05</w:t>
            </w:r>
          </w:p>
        </w:tc>
      </w:tr>
      <w:tr w14:paraId="7F92B573">
        <w:tblPrEx>
          <w:tblCellMar>
            <w:top w:w="0" w:type="dxa"/>
            <w:left w:w="108" w:type="dxa"/>
            <w:bottom w:w="0" w:type="dxa"/>
            <w:right w:w="108" w:type="dxa"/>
          </w:tblCellMar>
        </w:tblPrEx>
        <w:trPr>
          <w:trHeight w:val="340" w:hRule="atLeast"/>
          <w:jc w:val="center"/>
        </w:trPr>
        <w:tc>
          <w:tcPr>
            <w:tcW w:w="795" w:type="pct"/>
            <w:tcBorders>
              <w:top w:val="single" w:color="auto" w:sz="4" w:space="0"/>
              <w:left w:val="single" w:color="auto" w:sz="4" w:space="0"/>
              <w:bottom w:val="single" w:color="auto" w:sz="4" w:space="0"/>
              <w:right w:val="single" w:color="auto" w:sz="4" w:space="0"/>
            </w:tcBorders>
            <w:vAlign w:val="center"/>
          </w:tcPr>
          <w:p w14:paraId="7DF48955">
            <w:pPr>
              <w:jc w:val="center"/>
              <w:rPr>
                <w:rFonts w:hint="eastAsia" w:eastAsia="宋体"/>
                <w:color w:val="auto"/>
                <w:lang w:val="en-US" w:eastAsia="zh-CN"/>
              </w:rPr>
            </w:pPr>
            <w:r>
              <w:rPr>
                <w:rFonts w:hint="eastAsia"/>
                <w:color w:val="auto"/>
                <w:lang w:val="en-US" w:eastAsia="zh-CN"/>
              </w:rPr>
              <w:t>7</w:t>
            </w:r>
          </w:p>
        </w:tc>
        <w:tc>
          <w:tcPr>
            <w:tcW w:w="2199" w:type="pct"/>
            <w:tcBorders>
              <w:top w:val="single" w:color="auto" w:sz="4" w:space="0"/>
              <w:left w:val="nil"/>
              <w:bottom w:val="single" w:color="auto" w:sz="4" w:space="0"/>
              <w:right w:val="single" w:color="auto" w:sz="4" w:space="0"/>
            </w:tcBorders>
            <w:vAlign w:val="center"/>
          </w:tcPr>
          <w:p w14:paraId="026D9EA0">
            <w:pPr>
              <w:jc w:val="center"/>
              <w:rPr>
                <w:color w:val="auto"/>
              </w:rPr>
            </w:pPr>
            <w:r>
              <w:rPr>
                <w:rFonts w:hint="eastAsia"/>
                <w:color w:val="auto"/>
                <w:lang w:val="en-US" w:eastAsia="zh-CN"/>
              </w:rPr>
              <w:t>5000</w:t>
            </w:r>
          </w:p>
        </w:tc>
        <w:tc>
          <w:tcPr>
            <w:tcW w:w="2004" w:type="pct"/>
            <w:tcBorders>
              <w:top w:val="single" w:color="auto" w:sz="4" w:space="0"/>
              <w:left w:val="nil"/>
              <w:bottom w:val="single" w:color="auto" w:sz="4" w:space="0"/>
              <w:right w:val="single" w:color="auto" w:sz="4" w:space="0"/>
            </w:tcBorders>
            <w:vAlign w:val="center"/>
          </w:tcPr>
          <w:p w14:paraId="02C100DC">
            <w:pPr>
              <w:jc w:val="center"/>
              <w:rPr>
                <w:rFonts w:hint="default" w:eastAsia="宋体"/>
                <w:color w:val="auto"/>
                <w:lang w:val="en-US" w:eastAsia="zh-CN"/>
              </w:rPr>
            </w:pPr>
            <w:r>
              <w:rPr>
                <w:rFonts w:hint="eastAsia"/>
                <w:color w:val="auto"/>
                <w:lang w:val="en-US" w:eastAsia="zh-CN"/>
              </w:rPr>
              <w:t>9.05</w:t>
            </w:r>
          </w:p>
        </w:tc>
      </w:tr>
      <w:tr w14:paraId="7BD5108A">
        <w:tblPrEx>
          <w:tblCellMar>
            <w:top w:w="0" w:type="dxa"/>
            <w:left w:w="108" w:type="dxa"/>
            <w:bottom w:w="0" w:type="dxa"/>
            <w:right w:w="108" w:type="dxa"/>
          </w:tblCellMar>
        </w:tblPrEx>
        <w:trPr>
          <w:trHeight w:val="340" w:hRule="atLeast"/>
          <w:jc w:val="center"/>
        </w:trPr>
        <w:tc>
          <w:tcPr>
            <w:tcW w:w="795" w:type="pct"/>
            <w:tcBorders>
              <w:top w:val="single" w:color="auto" w:sz="4" w:space="0"/>
              <w:left w:val="single" w:color="auto" w:sz="4" w:space="0"/>
              <w:bottom w:val="single" w:color="auto" w:sz="4" w:space="0"/>
              <w:right w:val="single" w:color="auto" w:sz="4" w:space="0"/>
            </w:tcBorders>
            <w:vAlign w:val="center"/>
          </w:tcPr>
          <w:p w14:paraId="131AB2E8">
            <w:pPr>
              <w:jc w:val="center"/>
              <w:rPr>
                <w:rFonts w:hint="eastAsia" w:eastAsia="宋体"/>
                <w:color w:val="auto"/>
                <w:lang w:val="en-US" w:eastAsia="zh-CN"/>
              </w:rPr>
            </w:pPr>
            <w:r>
              <w:rPr>
                <w:rFonts w:hint="eastAsia"/>
                <w:color w:val="auto"/>
                <w:lang w:val="en-US" w:eastAsia="zh-CN"/>
              </w:rPr>
              <w:t>8</w:t>
            </w:r>
          </w:p>
        </w:tc>
        <w:tc>
          <w:tcPr>
            <w:tcW w:w="2199" w:type="pct"/>
            <w:tcBorders>
              <w:top w:val="single" w:color="auto" w:sz="4" w:space="0"/>
              <w:left w:val="nil"/>
              <w:bottom w:val="single" w:color="auto" w:sz="4" w:space="0"/>
              <w:right w:val="single" w:color="auto" w:sz="4" w:space="0"/>
            </w:tcBorders>
            <w:vAlign w:val="center"/>
          </w:tcPr>
          <w:p w14:paraId="1F7F14E6">
            <w:pPr>
              <w:jc w:val="center"/>
              <w:rPr>
                <w:color w:val="auto"/>
              </w:rPr>
            </w:pPr>
            <w:r>
              <w:rPr>
                <w:color w:val="auto"/>
              </w:rPr>
              <w:t>10000</w:t>
            </w:r>
          </w:p>
        </w:tc>
        <w:tc>
          <w:tcPr>
            <w:tcW w:w="2004" w:type="pct"/>
            <w:tcBorders>
              <w:top w:val="single" w:color="auto" w:sz="4" w:space="0"/>
              <w:left w:val="nil"/>
              <w:bottom w:val="single" w:color="auto" w:sz="4" w:space="0"/>
              <w:right w:val="single" w:color="auto" w:sz="4" w:space="0"/>
            </w:tcBorders>
            <w:vAlign w:val="center"/>
          </w:tcPr>
          <w:p w14:paraId="3B7F1CBD">
            <w:pPr>
              <w:jc w:val="center"/>
              <w:rPr>
                <w:rFonts w:hint="default" w:eastAsia="宋体"/>
                <w:color w:val="auto"/>
                <w:lang w:val="en-US" w:eastAsia="zh-CN"/>
              </w:rPr>
            </w:pPr>
            <w:r>
              <w:rPr>
                <w:rFonts w:hint="eastAsia"/>
                <w:color w:val="auto"/>
                <w:lang w:val="en-US" w:eastAsia="zh-CN"/>
              </w:rPr>
              <w:t>14.05</w:t>
            </w:r>
          </w:p>
        </w:tc>
      </w:tr>
    </w:tbl>
    <w:p w14:paraId="5BD8B3BD">
      <w:pPr>
        <w:spacing w:line="360" w:lineRule="auto"/>
        <w:ind w:firstLine="361" w:firstLineChars="200"/>
        <w:rPr>
          <w:color w:val="auto"/>
          <w:sz w:val="28"/>
          <w:szCs w:val="28"/>
        </w:rPr>
      </w:pPr>
      <w:r>
        <w:rPr>
          <w:b/>
          <w:bCs w:val="0"/>
          <w:color w:val="auto"/>
          <w:sz w:val="18"/>
          <w:szCs w:val="18"/>
        </w:rPr>
        <w:t>注：</w:t>
      </w:r>
      <w:r>
        <w:rPr>
          <w:rFonts w:hint="eastAsia"/>
          <w:b/>
          <w:bCs w:val="0"/>
          <w:color w:val="auto"/>
          <w:sz w:val="18"/>
          <w:szCs w:val="18"/>
          <w:lang w:val="en-US" w:eastAsia="zh-CN"/>
        </w:rPr>
        <w:t>计费基数不足50万元时，按0.3万元计取；</w:t>
      </w:r>
      <w:r>
        <w:rPr>
          <w:b/>
          <w:bCs w:val="0"/>
          <w:color w:val="auto"/>
          <w:sz w:val="18"/>
          <w:szCs w:val="18"/>
        </w:rPr>
        <w:t>计费基数大于1亿元时，按计费基数的</w:t>
      </w:r>
      <w:r>
        <w:rPr>
          <w:rFonts w:hint="eastAsia"/>
          <w:b/>
          <w:bCs w:val="0"/>
          <w:color w:val="auto"/>
          <w:sz w:val="18"/>
          <w:szCs w:val="18"/>
          <w:lang w:val="en-US" w:eastAsia="zh-CN"/>
        </w:rPr>
        <w:t>0.14</w:t>
      </w:r>
      <w:r>
        <w:rPr>
          <w:b/>
          <w:bCs w:val="0"/>
          <w:color w:val="auto"/>
          <w:sz w:val="18"/>
          <w:szCs w:val="18"/>
        </w:rPr>
        <w:t>%计取。</w:t>
      </w:r>
    </w:p>
    <w:p w14:paraId="6B33BE52">
      <w:pPr>
        <w:spacing w:line="360" w:lineRule="auto"/>
        <w:ind w:firstLine="560" w:firstLineChars="200"/>
        <w:jc w:val="left"/>
        <w:rPr>
          <w:color w:val="auto"/>
          <w:sz w:val="28"/>
          <w:szCs w:val="28"/>
        </w:rPr>
      </w:pPr>
      <w:r>
        <w:rPr>
          <w:color w:val="auto"/>
          <w:sz w:val="28"/>
          <w:szCs w:val="28"/>
        </w:rPr>
        <w:t>（4）</w:t>
      </w:r>
      <w:r>
        <w:rPr>
          <w:rFonts w:hint="eastAsia"/>
          <w:color w:val="auto"/>
          <w:sz w:val="28"/>
          <w:szCs w:val="28"/>
          <w:lang w:val="en-US" w:eastAsia="zh-CN"/>
        </w:rPr>
        <w:t>项目</w:t>
      </w:r>
      <w:r>
        <w:rPr>
          <w:color w:val="auto"/>
          <w:sz w:val="28"/>
          <w:szCs w:val="28"/>
        </w:rPr>
        <w:t>管理费</w:t>
      </w:r>
    </w:p>
    <w:p w14:paraId="3B1939AA">
      <w:pPr>
        <w:spacing w:line="360" w:lineRule="auto"/>
        <w:ind w:firstLine="560" w:firstLineChars="200"/>
        <w:jc w:val="left"/>
        <w:rPr>
          <w:color w:val="auto"/>
          <w:sz w:val="28"/>
          <w:szCs w:val="28"/>
        </w:rPr>
      </w:pPr>
      <w:r>
        <w:rPr>
          <w:color w:val="auto"/>
          <w:sz w:val="28"/>
          <w:szCs w:val="28"/>
        </w:rPr>
        <w:t>以工程施工费、前期工作费、工程监理费和竣工验收费之和作为计费基数，采用差额定率累进法计算，见表6-</w:t>
      </w:r>
      <w:r>
        <w:rPr>
          <w:rFonts w:hint="eastAsia"/>
          <w:color w:val="auto"/>
          <w:sz w:val="28"/>
          <w:szCs w:val="28"/>
          <w:lang w:val="en-US" w:eastAsia="zh-CN"/>
        </w:rPr>
        <w:t>10</w:t>
      </w:r>
      <w:r>
        <w:rPr>
          <w:color w:val="auto"/>
          <w:sz w:val="28"/>
          <w:szCs w:val="28"/>
        </w:rPr>
        <w:t>。</w:t>
      </w:r>
    </w:p>
    <w:p w14:paraId="33507DC2">
      <w:pPr>
        <w:jc w:val="center"/>
        <w:rPr>
          <w:rFonts w:hint="eastAsia" w:eastAsia="黑体"/>
          <w:color w:val="auto"/>
          <w:sz w:val="24"/>
          <w:szCs w:val="24"/>
          <w:lang w:val="en-US" w:eastAsia="zh-CN"/>
        </w:rPr>
      </w:pPr>
      <w:r>
        <w:rPr>
          <w:rFonts w:hint="eastAsia" w:eastAsia="黑体"/>
          <w:color w:val="auto"/>
          <w:sz w:val="24"/>
          <w:szCs w:val="24"/>
          <w:lang w:val="en-US" w:eastAsia="zh-CN"/>
        </w:rPr>
        <w:t>表6-10  项目管理费计费标准表</w:t>
      </w:r>
    </w:p>
    <w:tbl>
      <w:tblPr>
        <w:tblStyle w:val="34"/>
        <w:tblW w:w="8753" w:type="dxa"/>
        <w:jc w:val="center"/>
        <w:tblLayout w:type="fixed"/>
        <w:tblCellMar>
          <w:top w:w="0" w:type="dxa"/>
          <w:left w:w="108" w:type="dxa"/>
          <w:bottom w:w="0" w:type="dxa"/>
          <w:right w:w="108" w:type="dxa"/>
        </w:tblCellMar>
      </w:tblPr>
      <w:tblGrid>
        <w:gridCol w:w="674"/>
        <w:gridCol w:w="1843"/>
        <w:gridCol w:w="1133"/>
        <w:gridCol w:w="1701"/>
        <w:gridCol w:w="3402"/>
      </w:tblGrid>
      <w:tr w14:paraId="4A889450">
        <w:tblPrEx>
          <w:tblCellMar>
            <w:top w:w="0" w:type="dxa"/>
            <w:left w:w="108" w:type="dxa"/>
            <w:bottom w:w="0" w:type="dxa"/>
            <w:right w:w="108" w:type="dxa"/>
          </w:tblCellMar>
        </w:tblPrEx>
        <w:trPr>
          <w:trHeight w:val="340" w:hRule="atLeast"/>
          <w:tblHeader/>
          <w:jc w:val="center"/>
        </w:trPr>
        <w:tc>
          <w:tcPr>
            <w:tcW w:w="674" w:type="dxa"/>
            <w:vMerge w:val="restart"/>
            <w:tcBorders>
              <w:top w:val="single" w:color="auto" w:sz="4" w:space="0"/>
              <w:left w:val="single" w:color="auto" w:sz="4" w:space="0"/>
              <w:right w:val="single" w:color="auto" w:sz="4" w:space="0"/>
            </w:tcBorders>
            <w:vAlign w:val="center"/>
          </w:tcPr>
          <w:p w14:paraId="31F54907">
            <w:pPr>
              <w:jc w:val="center"/>
              <w:rPr>
                <w:color w:val="auto"/>
              </w:rPr>
            </w:pPr>
            <w:r>
              <w:rPr>
                <w:color w:val="auto"/>
              </w:rPr>
              <w:t>序号</w:t>
            </w:r>
          </w:p>
        </w:tc>
        <w:tc>
          <w:tcPr>
            <w:tcW w:w="1843" w:type="dxa"/>
            <w:vMerge w:val="restart"/>
            <w:tcBorders>
              <w:top w:val="single" w:color="auto" w:sz="4" w:space="0"/>
              <w:left w:val="single" w:color="auto" w:sz="4" w:space="0"/>
              <w:right w:val="single" w:color="auto" w:sz="4" w:space="0"/>
            </w:tcBorders>
            <w:vAlign w:val="center"/>
          </w:tcPr>
          <w:p w14:paraId="29FF6B4F">
            <w:pPr>
              <w:jc w:val="center"/>
              <w:rPr>
                <w:color w:val="auto"/>
              </w:rPr>
            </w:pPr>
            <w:r>
              <w:rPr>
                <w:color w:val="auto"/>
              </w:rPr>
              <w:t>计费基础(万元)</w:t>
            </w:r>
          </w:p>
        </w:tc>
        <w:tc>
          <w:tcPr>
            <w:tcW w:w="1133" w:type="dxa"/>
            <w:vMerge w:val="restart"/>
            <w:tcBorders>
              <w:top w:val="single" w:color="auto" w:sz="4" w:space="0"/>
              <w:left w:val="single" w:color="auto" w:sz="4" w:space="0"/>
              <w:right w:val="single" w:color="auto" w:sz="4" w:space="0"/>
            </w:tcBorders>
            <w:vAlign w:val="center"/>
          </w:tcPr>
          <w:p w14:paraId="46C48067">
            <w:pPr>
              <w:jc w:val="center"/>
              <w:rPr>
                <w:color w:val="auto"/>
              </w:rPr>
            </w:pPr>
            <w:r>
              <w:rPr>
                <w:color w:val="auto"/>
              </w:rPr>
              <w:t>费率(%)</w:t>
            </w:r>
          </w:p>
        </w:tc>
        <w:tc>
          <w:tcPr>
            <w:tcW w:w="5103" w:type="dxa"/>
            <w:gridSpan w:val="2"/>
            <w:tcBorders>
              <w:top w:val="single" w:color="auto" w:sz="4" w:space="0"/>
              <w:left w:val="single" w:color="auto" w:sz="4" w:space="0"/>
              <w:bottom w:val="single" w:color="auto" w:sz="4" w:space="0"/>
              <w:right w:val="single" w:color="auto" w:sz="4" w:space="0"/>
            </w:tcBorders>
            <w:vAlign w:val="center"/>
          </w:tcPr>
          <w:p w14:paraId="7B7ECCED">
            <w:pPr>
              <w:jc w:val="center"/>
              <w:rPr>
                <w:color w:val="auto"/>
              </w:rPr>
            </w:pPr>
            <w:r>
              <w:rPr>
                <w:color w:val="auto"/>
              </w:rPr>
              <w:t>算例</w:t>
            </w:r>
          </w:p>
        </w:tc>
      </w:tr>
      <w:tr w14:paraId="7B710A5C">
        <w:tblPrEx>
          <w:tblCellMar>
            <w:top w:w="0" w:type="dxa"/>
            <w:left w:w="108" w:type="dxa"/>
            <w:bottom w:w="0" w:type="dxa"/>
            <w:right w:w="108" w:type="dxa"/>
          </w:tblCellMar>
        </w:tblPrEx>
        <w:trPr>
          <w:trHeight w:val="340" w:hRule="atLeast"/>
          <w:tblHeader/>
          <w:jc w:val="center"/>
        </w:trPr>
        <w:tc>
          <w:tcPr>
            <w:tcW w:w="674" w:type="dxa"/>
            <w:vMerge w:val="continue"/>
            <w:tcBorders>
              <w:left w:val="single" w:color="auto" w:sz="4" w:space="0"/>
              <w:bottom w:val="single" w:color="auto" w:sz="4" w:space="0"/>
              <w:right w:val="single" w:color="auto" w:sz="4" w:space="0"/>
            </w:tcBorders>
            <w:vAlign w:val="center"/>
          </w:tcPr>
          <w:p w14:paraId="74AE9069">
            <w:pPr>
              <w:jc w:val="center"/>
              <w:rPr>
                <w:color w:val="auto"/>
              </w:rPr>
            </w:pPr>
          </w:p>
        </w:tc>
        <w:tc>
          <w:tcPr>
            <w:tcW w:w="1843" w:type="dxa"/>
            <w:vMerge w:val="continue"/>
            <w:tcBorders>
              <w:left w:val="single" w:color="auto" w:sz="4" w:space="0"/>
              <w:bottom w:val="single" w:color="auto" w:sz="4" w:space="0"/>
              <w:right w:val="single" w:color="auto" w:sz="4" w:space="0"/>
            </w:tcBorders>
            <w:vAlign w:val="center"/>
          </w:tcPr>
          <w:p w14:paraId="67E6F3B1">
            <w:pPr>
              <w:jc w:val="center"/>
              <w:rPr>
                <w:color w:val="auto"/>
              </w:rPr>
            </w:pPr>
          </w:p>
        </w:tc>
        <w:tc>
          <w:tcPr>
            <w:tcW w:w="1133" w:type="dxa"/>
            <w:vMerge w:val="continue"/>
            <w:tcBorders>
              <w:left w:val="single" w:color="auto" w:sz="4" w:space="0"/>
              <w:bottom w:val="single" w:color="auto" w:sz="4" w:space="0"/>
              <w:right w:val="single" w:color="auto" w:sz="4" w:space="0"/>
            </w:tcBorders>
            <w:vAlign w:val="center"/>
          </w:tcPr>
          <w:p w14:paraId="221FCEB4">
            <w:pPr>
              <w:jc w:val="center"/>
              <w:rPr>
                <w:color w:val="auto"/>
              </w:rPr>
            </w:pPr>
          </w:p>
        </w:tc>
        <w:tc>
          <w:tcPr>
            <w:tcW w:w="1701" w:type="dxa"/>
            <w:tcBorders>
              <w:top w:val="single" w:color="auto" w:sz="4" w:space="0"/>
              <w:left w:val="single" w:color="auto" w:sz="4" w:space="0"/>
              <w:bottom w:val="single" w:color="auto" w:sz="4" w:space="0"/>
              <w:right w:val="single" w:color="auto" w:sz="4" w:space="0"/>
            </w:tcBorders>
            <w:vAlign w:val="center"/>
          </w:tcPr>
          <w:p w14:paraId="39499D77">
            <w:pPr>
              <w:jc w:val="center"/>
              <w:rPr>
                <w:color w:val="auto"/>
              </w:rPr>
            </w:pPr>
            <w:r>
              <w:rPr>
                <w:color w:val="auto"/>
              </w:rPr>
              <w:t>计费基础(万元)</w:t>
            </w:r>
          </w:p>
        </w:tc>
        <w:tc>
          <w:tcPr>
            <w:tcW w:w="3402" w:type="dxa"/>
            <w:tcBorders>
              <w:top w:val="single" w:color="auto" w:sz="4" w:space="0"/>
              <w:left w:val="single" w:color="auto" w:sz="4" w:space="0"/>
              <w:bottom w:val="single" w:color="auto" w:sz="4" w:space="0"/>
              <w:right w:val="single" w:color="auto" w:sz="4" w:space="0"/>
            </w:tcBorders>
            <w:vAlign w:val="center"/>
          </w:tcPr>
          <w:p w14:paraId="582AC269">
            <w:pPr>
              <w:jc w:val="center"/>
              <w:rPr>
                <w:color w:val="auto"/>
              </w:rPr>
            </w:pPr>
            <w:r>
              <w:rPr>
                <w:color w:val="auto"/>
              </w:rPr>
              <w:t>项目管理费(万元)</w:t>
            </w:r>
          </w:p>
        </w:tc>
      </w:tr>
      <w:tr w14:paraId="2C52E3A4">
        <w:tblPrEx>
          <w:tblCellMar>
            <w:top w:w="0" w:type="dxa"/>
            <w:left w:w="108" w:type="dxa"/>
            <w:bottom w:w="0" w:type="dxa"/>
            <w:right w:w="108" w:type="dxa"/>
          </w:tblCellMar>
        </w:tblPrEx>
        <w:trPr>
          <w:trHeight w:val="340" w:hRule="atLeast"/>
          <w:jc w:val="center"/>
        </w:trPr>
        <w:tc>
          <w:tcPr>
            <w:tcW w:w="674" w:type="dxa"/>
            <w:tcBorders>
              <w:top w:val="nil"/>
              <w:left w:val="single" w:color="auto" w:sz="4" w:space="0"/>
              <w:bottom w:val="single" w:color="auto" w:sz="4" w:space="0"/>
              <w:right w:val="single" w:color="auto" w:sz="4" w:space="0"/>
            </w:tcBorders>
            <w:vAlign w:val="center"/>
          </w:tcPr>
          <w:p w14:paraId="3AA771EB">
            <w:pPr>
              <w:jc w:val="center"/>
              <w:rPr>
                <w:color w:val="auto"/>
              </w:rPr>
            </w:pPr>
            <w:r>
              <w:rPr>
                <w:color w:val="auto"/>
              </w:rPr>
              <w:t>1</w:t>
            </w:r>
          </w:p>
        </w:tc>
        <w:tc>
          <w:tcPr>
            <w:tcW w:w="1843" w:type="dxa"/>
            <w:tcBorders>
              <w:top w:val="nil"/>
              <w:left w:val="nil"/>
              <w:bottom w:val="single" w:color="auto" w:sz="4" w:space="0"/>
              <w:right w:val="single" w:color="auto" w:sz="4" w:space="0"/>
            </w:tcBorders>
            <w:vAlign w:val="center"/>
          </w:tcPr>
          <w:p w14:paraId="44CA2002">
            <w:pPr>
              <w:jc w:val="center"/>
              <w:rPr>
                <w:color w:val="auto"/>
              </w:rPr>
            </w:pPr>
            <w:r>
              <w:rPr>
                <w:color w:val="auto"/>
              </w:rPr>
              <w:t>≤</w:t>
            </w:r>
            <w:r>
              <w:rPr>
                <w:rFonts w:hint="eastAsia"/>
                <w:color w:val="auto"/>
                <w:lang w:val="en-US" w:eastAsia="zh-CN"/>
              </w:rPr>
              <w:t>50</w:t>
            </w:r>
          </w:p>
        </w:tc>
        <w:tc>
          <w:tcPr>
            <w:tcW w:w="1133" w:type="dxa"/>
            <w:tcBorders>
              <w:top w:val="nil"/>
              <w:left w:val="nil"/>
              <w:bottom w:val="single" w:color="auto" w:sz="4" w:space="0"/>
              <w:right w:val="single" w:color="auto" w:sz="4" w:space="0"/>
            </w:tcBorders>
            <w:vAlign w:val="center"/>
          </w:tcPr>
          <w:p w14:paraId="193ACC30">
            <w:pPr>
              <w:jc w:val="center"/>
              <w:rPr>
                <w:rFonts w:hint="default"/>
                <w:color w:val="auto"/>
                <w:lang w:val="en-US"/>
              </w:rPr>
            </w:pPr>
            <w:r>
              <w:rPr>
                <w:rFonts w:hint="eastAsia"/>
                <w:color w:val="auto"/>
                <w:lang w:val="en-US" w:eastAsia="zh-CN"/>
              </w:rPr>
              <w:t>2.00</w:t>
            </w:r>
          </w:p>
        </w:tc>
        <w:tc>
          <w:tcPr>
            <w:tcW w:w="1701" w:type="dxa"/>
            <w:tcBorders>
              <w:top w:val="nil"/>
              <w:left w:val="nil"/>
              <w:bottom w:val="single" w:color="auto" w:sz="4" w:space="0"/>
              <w:right w:val="single" w:color="auto" w:sz="4" w:space="0"/>
            </w:tcBorders>
            <w:vAlign w:val="center"/>
          </w:tcPr>
          <w:p w14:paraId="7FB810A5">
            <w:pPr>
              <w:jc w:val="center"/>
              <w:rPr>
                <w:color w:val="auto"/>
              </w:rPr>
            </w:pPr>
            <w:r>
              <w:rPr>
                <w:color w:val="auto"/>
              </w:rPr>
              <w:t>50</w:t>
            </w:r>
          </w:p>
        </w:tc>
        <w:tc>
          <w:tcPr>
            <w:tcW w:w="3402" w:type="dxa"/>
            <w:tcBorders>
              <w:top w:val="nil"/>
              <w:left w:val="nil"/>
              <w:bottom w:val="single" w:color="auto" w:sz="4" w:space="0"/>
              <w:right w:val="single" w:color="auto" w:sz="4" w:space="0"/>
            </w:tcBorders>
            <w:vAlign w:val="center"/>
          </w:tcPr>
          <w:p w14:paraId="53638785">
            <w:pPr>
              <w:jc w:val="center"/>
              <w:rPr>
                <w:color w:val="auto"/>
              </w:rPr>
            </w:pPr>
            <w:r>
              <w:rPr>
                <w:color w:val="auto"/>
              </w:rPr>
              <w:t>50×</w:t>
            </w:r>
            <w:r>
              <w:rPr>
                <w:rFonts w:hint="eastAsia"/>
                <w:color w:val="auto"/>
                <w:lang w:val="en-US" w:eastAsia="zh-CN"/>
              </w:rPr>
              <w:t>2</w:t>
            </w:r>
            <w:r>
              <w:rPr>
                <w:color w:val="auto"/>
              </w:rPr>
              <w:t>%=</w:t>
            </w:r>
            <w:r>
              <w:rPr>
                <w:rFonts w:hint="eastAsia"/>
                <w:color w:val="auto"/>
                <w:lang w:val="en-US" w:eastAsia="zh-CN"/>
              </w:rPr>
              <w:t>1</w:t>
            </w:r>
          </w:p>
        </w:tc>
      </w:tr>
      <w:tr w14:paraId="63884590">
        <w:tblPrEx>
          <w:tblCellMar>
            <w:top w:w="0" w:type="dxa"/>
            <w:left w:w="108" w:type="dxa"/>
            <w:bottom w:w="0" w:type="dxa"/>
            <w:right w:w="108" w:type="dxa"/>
          </w:tblCellMar>
        </w:tblPrEx>
        <w:trPr>
          <w:trHeight w:val="340" w:hRule="atLeast"/>
          <w:jc w:val="center"/>
        </w:trPr>
        <w:tc>
          <w:tcPr>
            <w:tcW w:w="674" w:type="dxa"/>
            <w:tcBorders>
              <w:top w:val="nil"/>
              <w:left w:val="single" w:color="auto" w:sz="4" w:space="0"/>
              <w:bottom w:val="single" w:color="auto" w:sz="4" w:space="0"/>
              <w:right w:val="single" w:color="auto" w:sz="4" w:space="0"/>
            </w:tcBorders>
            <w:vAlign w:val="center"/>
          </w:tcPr>
          <w:p w14:paraId="02F3DAC1">
            <w:pPr>
              <w:jc w:val="center"/>
              <w:rPr>
                <w:color w:val="auto"/>
              </w:rPr>
            </w:pPr>
            <w:r>
              <w:rPr>
                <w:color w:val="auto"/>
              </w:rPr>
              <w:t>2</w:t>
            </w:r>
          </w:p>
        </w:tc>
        <w:tc>
          <w:tcPr>
            <w:tcW w:w="1843" w:type="dxa"/>
            <w:tcBorders>
              <w:top w:val="nil"/>
              <w:left w:val="nil"/>
              <w:bottom w:val="single" w:color="auto" w:sz="4" w:space="0"/>
              <w:right w:val="single" w:color="auto" w:sz="4" w:space="0"/>
            </w:tcBorders>
            <w:vAlign w:val="center"/>
          </w:tcPr>
          <w:p w14:paraId="601BDF39">
            <w:pPr>
              <w:jc w:val="center"/>
              <w:rPr>
                <w:color w:val="auto"/>
              </w:rPr>
            </w:pPr>
            <w:r>
              <w:rPr>
                <w:color w:val="auto"/>
              </w:rPr>
              <w:t>50</w:t>
            </w:r>
            <w:r>
              <w:rPr>
                <w:rFonts w:hint="eastAsia"/>
                <w:color w:val="auto"/>
                <w:lang w:val="en-US" w:eastAsia="zh-CN"/>
              </w:rPr>
              <w:t>-</w:t>
            </w:r>
            <w:r>
              <w:rPr>
                <w:color w:val="auto"/>
              </w:rPr>
              <w:t>100</w:t>
            </w:r>
          </w:p>
        </w:tc>
        <w:tc>
          <w:tcPr>
            <w:tcW w:w="1133" w:type="dxa"/>
            <w:tcBorders>
              <w:top w:val="nil"/>
              <w:left w:val="nil"/>
              <w:bottom w:val="single" w:color="auto" w:sz="4" w:space="0"/>
              <w:right w:val="single" w:color="auto" w:sz="4" w:space="0"/>
            </w:tcBorders>
            <w:vAlign w:val="center"/>
          </w:tcPr>
          <w:p w14:paraId="284F87FE">
            <w:pPr>
              <w:jc w:val="center"/>
              <w:rPr>
                <w:rFonts w:hint="default" w:eastAsia="宋体"/>
                <w:color w:val="auto"/>
                <w:lang w:val="en-US" w:eastAsia="zh-CN"/>
              </w:rPr>
            </w:pPr>
            <w:r>
              <w:rPr>
                <w:rFonts w:hint="eastAsia"/>
                <w:color w:val="auto"/>
                <w:lang w:val="en-US" w:eastAsia="zh-CN"/>
              </w:rPr>
              <w:t>1.50</w:t>
            </w:r>
          </w:p>
        </w:tc>
        <w:tc>
          <w:tcPr>
            <w:tcW w:w="1701" w:type="dxa"/>
            <w:tcBorders>
              <w:top w:val="nil"/>
              <w:left w:val="nil"/>
              <w:bottom w:val="single" w:color="auto" w:sz="4" w:space="0"/>
              <w:right w:val="single" w:color="auto" w:sz="4" w:space="0"/>
            </w:tcBorders>
            <w:vAlign w:val="center"/>
          </w:tcPr>
          <w:p w14:paraId="0E20F68A">
            <w:pPr>
              <w:jc w:val="center"/>
              <w:rPr>
                <w:color w:val="auto"/>
              </w:rPr>
            </w:pPr>
            <w:r>
              <w:rPr>
                <w:color w:val="auto"/>
              </w:rPr>
              <w:t>100</w:t>
            </w:r>
          </w:p>
        </w:tc>
        <w:tc>
          <w:tcPr>
            <w:tcW w:w="3402" w:type="dxa"/>
            <w:tcBorders>
              <w:top w:val="nil"/>
              <w:left w:val="nil"/>
              <w:bottom w:val="single" w:color="auto" w:sz="4" w:space="0"/>
              <w:right w:val="single" w:color="auto" w:sz="4" w:space="0"/>
            </w:tcBorders>
            <w:vAlign w:val="center"/>
          </w:tcPr>
          <w:p w14:paraId="219EC8C1">
            <w:pPr>
              <w:jc w:val="center"/>
              <w:rPr>
                <w:color w:val="auto"/>
              </w:rPr>
            </w:pPr>
            <w:r>
              <w:rPr>
                <w:rFonts w:hint="eastAsia"/>
                <w:color w:val="auto"/>
                <w:lang w:val="en-US" w:eastAsia="zh-CN"/>
              </w:rPr>
              <w:t>1</w:t>
            </w:r>
            <w:r>
              <w:rPr>
                <w:color w:val="auto"/>
              </w:rPr>
              <w:t>+(100-50)×</w:t>
            </w:r>
            <w:r>
              <w:rPr>
                <w:rFonts w:hint="eastAsia"/>
                <w:color w:val="auto"/>
                <w:lang w:val="en-US" w:eastAsia="zh-CN"/>
              </w:rPr>
              <w:t>1</w:t>
            </w:r>
            <w:r>
              <w:rPr>
                <w:color w:val="auto"/>
              </w:rPr>
              <w:t>.</w:t>
            </w:r>
            <w:r>
              <w:rPr>
                <w:rFonts w:hint="eastAsia"/>
                <w:color w:val="auto"/>
                <w:lang w:val="en-US" w:eastAsia="zh-CN"/>
              </w:rPr>
              <w:t>5</w:t>
            </w:r>
            <w:r>
              <w:rPr>
                <w:color w:val="auto"/>
              </w:rPr>
              <w:t>%=</w:t>
            </w:r>
            <w:r>
              <w:rPr>
                <w:rFonts w:hint="eastAsia"/>
                <w:color w:val="auto"/>
                <w:lang w:val="en-US" w:eastAsia="zh-CN"/>
              </w:rPr>
              <w:t>1.75</w:t>
            </w:r>
          </w:p>
        </w:tc>
      </w:tr>
      <w:tr w14:paraId="2F2DD20B">
        <w:tblPrEx>
          <w:tblCellMar>
            <w:top w:w="0" w:type="dxa"/>
            <w:left w:w="108" w:type="dxa"/>
            <w:bottom w:w="0" w:type="dxa"/>
            <w:right w:w="108" w:type="dxa"/>
          </w:tblCellMar>
        </w:tblPrEx>
        <w:trPr>
          <w:trHeight w:val="34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7DE1A104">
            <w:pPr>
              <w:jc w:val="center"/>
              <w:rPr>
                <w:color w:val="auto"/>
              </w:rPr>
            </w:pPr>
            <w:r>
              <w:rPr>
                <w:color w:val="auto"/>
              </w:rPr>
              <w:t>3</w:t>
            </w:r>
          </w:p>
        </w:tc>
        <w:tc>
          <w:tcPr>
            <w:tcW w:w="1843" w:type="dxa"/>
            <w:tcBorders>
              <w:top w:val="single" w:color="auto" w:sz="4" w:space="0"/>
              <w:left w:val="nil"/>
              <w:bottom w:val="single" w:color="auto" w:sz="4" w:space="0"/>
              <w:right w:val="single" w:color="auto" w:sz="4" w:space="0"/>
            </w:tcBorders>
            <w:vAlign w:val="center"/>
          </w:tcPr>
          <w:p w14:paraId="53EB1262">
            <w:pPr>
              <w:jc w:val="center"/>
              <w:rPr>
                <w:color w:val="auto"/>
              </w:rPr>
            </w:pPr>
            <w:r>
              <w:rPr>
                <w:color w:val="auto"/>
              </w:rPr>
              <w:t>100</w:t>
            </w:r>
            <w:r>
              <w:rPr>
                <w:rFonts w:hint="eastAsia"/>
                <w:color w:val="auto"/>
                <w:lang w:val="en-US" w:eastAsia="zh-CN"/>
              </w:rPr>
              <w:t>-200</w:t>
            </w:r>
          </w:p>
        </w:tc>
        <w:tc>
          <w:tcPr>
            <w:tcW w:w="1133" w:type="dxa"/>
            <w:tcBorders>
              <w:top w:val="single" w:color="auto" w:sz="4" w:space="0"/>
              <w:left w:val="nil"/>
              <w:bottom w:val="single" w:color="auto" w:sz="4" w:space="0"/>
              <w:right w:val="single" w:color="auto" w:sz="4" w:space="0"/>
            </w:tcBorders>
            <w:vAlign w:val="center"/>
          </w:tcPr>
          <w:p w14:paraId="7C2D2439">
            <w:pPr>
              <w:jc w:val="center"/>
              <w:rPr>
                <w:rFonts w:hint="default" w:eastAsia="宋体"/>
                <w:color w:val="auto"/>
                <w:lang w:val="en-US" w:eastAsia="zh-CN"/>
              </w:rPr>
            </w:pPr>
            <w:r>
              <w:rPr>
                <w:rFonts w:hint="eastAsia"/>
                <w:color w:val="auto"/>
                <w:lang w:val="en-US" w:eastAsia="zh-CN"/>
              </w:rPr>
              <w:t>1.20</w:t>
            </w:r>
          </w:p>
        </w:tc>
        <w:tc>
          <w:tcPr>
            <w:tcW w:w="1701" w:type="dxa"/>
            <w:tcBorders>
              <w:top w:val="single" w:color="auto" w:sz="4" w:space="0"/>
              <w:left w:val="nil"/>
              <w:bottom w:val="single" w:color="auto" w:sz="4" w:space="0"/>
              <w:right w:val="single" w:color="auto" w:sz="4" w:space="0"/>
            </w:tcBorders>
            <w:vAlign w:val="center"/>
          </w:tcPr>
          <w:p w14:paraId="6AD38AC0">
            <w:pPr>
              <w:jc w:val="center"/>
              <w:rPr>
                <w:color w:val="auto"/>
              </w:rPr>
            </w:pPr>
            <w:r>
              <w:rPr>
                <w:rFonts w:hint="eastAsia"/>
                <w:color w:val="auto"/>
                <w:lang w:val="en-US" w:eastAsia="zh-CN"/>
              </w:rPr>
              <w:t>200</w:t>
            </w:r>
          </w:p>
        </w:tc>
        <w:tc>
          <w:tcPr>
            <w:tcW w:w="3402" w:type="dxa"/>
            <w:tcBorders>
              <w:top w:val="single" w:color="auto" w:sz="4" w:space="0"/>
              <w:left w:val="nil"/>
              <w:bottom w:val="single" w:color="auto" w:sz="4" w:space="0"/>
              <w:right w:val="single" w:color="auto" w:sz="4" w:space="0"/>
            </w:tcBorders>
            <w:vAlign w:val="center"/>
          </w:tcPr>
          <w:p w14:paraId="507EE541">
            <w:pPr>
              <w:jc w:val="center"/>
              <w:rPr>
                <w:rFonts w:hint="default"/>
                <w:color w:val="auto"/>
                <w:lang w:val="en-US"/>
              </w:rPr>
            </w:pPr>
            <w:r>
              <w:rPr>
                <w:rFonts w:hint="eastAsia"/>
                <w:color w:val="auto"/>
                <w:lang w:val="en-US" w:eastAsia="zh-CN"/>
              </w:rPr>
              <w:t>1.75</w:t>
            </w:r>
            <w:r>
              <w:rPr>
                <w:color w:val="auto"/>
              </w:rPr>
              <w:t>+(</w:t>
            </w:r>
            <w:r>
              <w:rPr>
                <w:rFonts w:hint="eastAsia"/>
                <w:color w:val="auto"/>
                <w:lang w:val="en-US" w:eastAsia="zh-CN"/>
              </w:rPr>
              <w:t>2</w:t>
            </w:r>
            <w:r>
              <w:rPr>
                <w:color w:val="auto"/>
              </w:rPr>
              <w:t>00-</w:t>
            </w:r>
            <w:r>
              <w:rPr>
                <w:rFonts w:hint="eastAsia"/>
                <w:color w:val="auto"/>
                <w:lang w:val="en-US" w:eastAsia="zh-CN"/>
              </w:rPr>
              <w:t>1</w:t>
            </w:r>
            <w:r>
              <w:rPr>
                <w:color w:val="auto"/>
              </w:rPr>
              <w:t>00)×</w:t>
            </w:r>
            <w:r>
              <w:rPr>
                <w:rFonts w:hint="eastAsia"/>
                <w:color w:val="auto"/>
                <w:lang w:val="en-US" w:eastAsia="zh-CN"/>
              </w:rPr>
              <w:t>1.20</w:t>
            </w:r>
            <w:r>
              <w:rPr>
                <w:color w:val="auto"/>
              </w:rPr>
              <w:t>%=</w:t>
            </w:r>
            <w:r>
              <w:rPr>
                <w:rFonts w:hint="eastAsia"/>
                <w:color w:val="auto"/>
                <w:lang w:val="en-US" w:eastAsia="zh-CN"/>
              </w:rPr>
              <w:t>2.95</w:t>
            </w:r>
          </w:p>
        </w:tc>
      </w:tr>
      <w:tr w14:paraId="18CDEF59">
        <w:tblPrEx>
          <w:tblCellMar>
            <w:top w:w="0" w:type="dxa"/>
            <w:left w:w="108" w:type="dxa"/>
            <w:bottom w:w="0" w:type="dxa"/>
            <w:right w:w="108" w:type="dxa"/>
          </w:tblCellMar>
        </w:tblPrEx>
        <w:trPr>
          <w:trHeight w:val="34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0BDFCB43">
            <w:pPr>
              <w:jc w:val="center"/>
              <w:rPr>
                <w:color w:val="auto"/>
              </w:rPr>
            </w:pPr>
            <w:r>
              <w:rPr>
                <w:color w:val="auto"/>
              </w:rPr>
              <w:t>4</w:t>
            </w:r>
          </w:p>
        </w:tc>
        <w:tc>
          <w:tcPr>
            <w:tcW w:w="1843" w:type="dxa"/>
            <w:tcBorders>
              <w:top w:val="single" w:color="auto" w:sz="4" w:space="0"/>
              <w:left w:val="nil"/>
              <w:bottom w:val="single" w:color="auto" w:sz="4" w:space="0"/>
              <w:right w:val="single" w:color="auto" w:sz="4" w:space="0"/>
            </w:tcBorders>
            <w:vAlign w:val="center"/>
          </w:tcPr>
          <w:p w14:paraId="238585F5">
            <w:pPr>
              <w:jc w:val="center"/>
              <w:rPr>
                <w:color w:val="auto"/>
              </w:rPr>
            </w:pPr>
            <w:r>
              <w:rPr>
                <w:rFonts w:hint="eastAsia"/>
                <w:color w:val="auto"/>
                <w:lang w:val="en-US" w:eastAsia="zh-CN"/>
              </w:rPr>
              <w:t>2</w:t>
            </w:r>
            <w:r>
              <w:rPr>
                <w:color w:val="auto"/>
              </w:rPr>
              <w:t>00</w:t>
            </w:r>
            <w:r>
              <w:rPr>
                <w:rFonts w:hint="eastAsia"/>
                <w:color w:val="auto"/>
                <w:lang w:val="en-US" w:eastAsia="zh-CN"/>
              </w:rPr>
              <w:t>-</w:t>
            </w:r>
            <w:r>
              <w:rPr>
                <w:color w:val="auto"/>
              </w:rPr>
              <w:t>500</w:t>
            </w:r>
          </w:p>
        </w:tc>
        <w:tc>
          <w:tcPr>
            <w:tcW w:w="1133" w:type="dxa"/>
            <w:tcBorders>
              <w:top w:val="single" w:color="auto" w:sz="4" w:space="0"/>
              <w:left w:val="nil"/>
              <w:bottom w:val="single" w:color="auto" w:sz="4" w:space="0"/>
              <w:right w:val="single" w:color="auto" w:sz="4" w:space="0"/>
            </w:tcBorders>
            <w:vAlign w:val="center"/>
          </w:tcPr>
          <w:p w14:paraId="5470DFD2">
            <w:pPr>
              <w:jc w:val="center"/>
              <w:rPr>
                <w:rFonts w:hint="default" w:eastAsia="宋体"/>
                <w:color w:val="auto"/>
                <w:lang w:val="en-US" w:eastAsia="zh-CN"/>
              </w:rPr>
            </w:pPr>
            <w:r>
              <w:rPr>
                <w:rFonts w:hint="eastAsia"/>
                <w:color w:val="auto"/>
                <w:lang w:val="en-US" w:eastAsia="zh-CN"/>
              </w:rPr>
              <w:t>1.00</w:t>
            </w:r>
          </w:p>
        </w:tc>
        <w:tc>
          <w:tcPr>
            <w:tcW w:w="1701" w:type="dxa"/>
            <w:tcBorders>
              <w:top w:val="single" w:color="auto" w:sz="4" w:space="0"/>
              <w:left w:val="nil"/>
              <w:bottom w:val="single" w:color="auto" w:sz="4" w:space="0"/>
              <w:right w:val="single" w:color="auto" w:sz="4" w:space="0"/>
            </w:tcBorders>
            <w:vAlign w:val="center"/>
          </w:tcPr>
          <w:p w14:paraId="094750A3">
            <w:pPr>
              <w:jc w:val="center"/>
              <w:rPr>
                <w:color w:val="auto"/>
              </w:rPr>
            </w:pPr>
            <w:r>
              <w:rPr>
                <w:rFonts w:hint="eastAsia"/>
                <w:color w:val="auto"/>
                <w:lang w:val="en-US" w:eastAsia="zh-CN"/>
              </w:rPr>
              <w:t>500</w:t>
            </w:r>
          </w:p>
        </w:tc>
        <w:tc>
          <w:tcPr>
            <w:tcW w:w="3402" w:type="dxa"/>
            <w:tcBorders>
              <w:top w:val="single" w:color="auto" w:sz="4" w:space="0"/>
              <w:left w:val="nil"/>
              <w:bottom w:val="single" w:color="auto" w:sz="4" w:space="0"/>
              <w:right w:val="single" w:color="auto" w:sz="4" w:space="0"/>
            </w:tcBorders>
            <w:vAlign w:val="center"/>
          </w:tcPr>
          <w:p w14:paraId="0FED2C6C">
            <w:pPr>
              <w:jc w:val="center"/>
              <w:rPr>
                <w:color w:val="auto"/>
              </w:rPr>
            </w:pPr>
            <w:r>
              <w:rPr>
                <w:rFonts w:hint="eastAsia"/>
                <w:color w:val="auto"/>
                <w:lang w:val="en-US" w:eastAsia="zh-CN"/>
              </w:rPr>
              <w:t>2.95</w:t>
            </w:r>
            <w:r>
              <w:rPr>
                <w:color w:val="auto"/>
              </w:rPr>
              <w:t>+(500-</w:t>
            </w:r>
            <w:r>
              <w:rPr>
                <w:rFonts w:hint="eastAsia"/>
                <w:color w:val="auto"/>
                <w:lang w:val="en-US" w:eastAsia="zh-CN"/>
              </w:rPr>
              <w:t>2</w:t>
            </w:r>
            <w:r>
              <w:rPr>
                <w:color w:val="auto"/>
              </w:rPr>
              <w:t>00)×</w:t>
            </w:r>
            <w:r>
              <w:rPr>
                <w:rFonts w:hint="eastAsia"/>
                <w:color w:val="auto"/>
                <w:lang w:val="en-US" w:eastAsia="zh-CN"/>
              </w:rPr>
              <w:t>1</w:t>
            </w:r>
            <w:r>
              <w:rPr>
                <w:color w:val="auto"/>
              </w:rPr>
              <w:t>%=</w:t>
            </w:r>
            <w:r>
              <w:rPr>
                <w:rFonts w:hint="eastAsia"/>
                <w:color w:val="auto"/>
                <w:lang w:val="en-US" w:eastAsia="zh-CN"/>
              </w:rPr>
              <w:t>5.95</w:t>
            </w:r>
          </w:p>
        </w:tc>
      </w:tr>
      <w:tr w14:paraId="556E4A4F">
        <w:tblPrEx>
          <w:tblCellMar>
            <w:top w:w="0" w:type="dxa"/>
            <w:left w:w="108" w:type="dxa"/>
            <w:bottom w:w="0" w:type="dxa"/>
            <w:right w:w="108" w:type="dxa"/>
          </w:tblCellMar>
        </w:tblPrEx>
        <w:trPr>
          <w:trHeight w:val="34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2F63E114">
            <w:pPr>
              <w:jc w:val="center"/>
              <w:rPr>
                <w:color w:val="auto"/>
              </w:rPr>
            </w:pPr>
            <w:r>
              <w:rPr>
                <w:color w:val="auto"/>
              </w:rPr>
              <w:t>5</w:t>
            </w:r>
          </w:p>
        </w:tc>
        <w:tc>
          <w:tcPr>
            <w:tcW w:w="1843" w:type="dxa"/>
            <w:tcBorders>
              <w:top w:val="single" w:color="auto" w:sz="4" w:space="0"/>
              <w:left w:val="nil"/>
              <w:bottom w:val="single" w:color="auto" w:sz="4" w:space="0"/>
              <w:right w:val="single" w:color="auto" w:sz="4" w:space="0"/>
            </w:tcBorders>
            <w:vAlign w:val="center"/>
          </w:tcPr>
          <w:p w14:paraId="25BE9B80">
            <w:pPr>
              <w:jc w:val="center"/>
              <w:rPr>
                <w:color w:val="auto"/>
              </w:rPr>
            </w:pPr>
            <w:r>
              <w:rPr>
                <w:color w:val="auto"/>
              </w:rPr>
              <w:t>500</w:t>
            </w:r>
            <w:r>
              <w:rPr>
                <w:rFonts w:hint="eastAsia"/>
                <w:color w:val="auto"/>
                <w:lang w:val="en-US" w:eastAsia="zh-CN"/>
              </w:rPr>
              <w:t>-</w:t>
            </w:r>
            <w:r>
              <w:rPr>
                <w:color w:val="auto"/>
              </w:rPr>
              <w:t>1000</w:t>
            </w:r>
          </w:p>
        </w:tc>
        <w:tc>
          <w:tcPr>
            <w:tcW w:w="1133" w:type="dxa"/>
            <w:tcBorders>
              <w:top w:val="single" w:color="auto" w:sz="4" w:space="0"/>
              <w:left w:val="nil"/>
              <w:bottom w:val="single" w:color="auto" w:sz="4" w:space="0"/>
              <w:right w:val="single" w:color="auto" w:sz="4" w:space="0"/>
            </w:tcBorders>
            <w:vAlign w:val="center"/>
          </w:tcPr>
          <w:p w14:paraId="1C60522C">
            <w:pPr>
              <w:jc w:val="center"/>
              <w:rPr>
                <w:rFonts w:hint="default" w:eastAsia="宋体"/>
                <w:color w:val="auto"/>
                <w:lang w:val="en-US" w:eastAsia="zh-CN"/>
              </w:rPr>
            </w:pPr>
            <w:r>
              <w:rPr>
                <w:rFonts w:hint="eastAsia"/>
                <w:color w:val="auto"/>
                <w:lang w:val="en-US" w:eastAsia="zh-CN"/>
              </w:rPr>
              <w:t>0.70</w:t>
            </w:r>
          </w:p>
        </w:tc>
        <w:tc>
          <w:tcPr>
            <w:tcW w:w="1701" w:type="dxa"/>
            <w:tcBorders>
              <w:top w:val="single" w:color="auto" w:sz="4" w:space="0"/>
              <w:left w:val="nil"/>
              <w:bottom w:val="single" w:color="auto" w:sz="4" w:space="0"/>
              <w:right w:val="single" w:color="auto" w:sz="4" w:space="0"/>
            </w:tcBorders>
            <w:vAlign w:val="center"/>
          </w:tcPr>
          <w:p w14:paraId="363D1F34">
            <w:pPr>
              <w:jc w:val="center"/>
              <w:rPr>
                <w:color w:val="auto"/>
              </w:rPr>
            </w:pPr>
            <w:r>
              <w:rPr>
                <w:rFonts w:hint="eastAsia"/>
                <w:color w:val="auto"/>
                <w:lang w:val="en-US" w:eastAsia="zh-CN"/>
              </w:rPr>
              <w:t>1000</w:t>
            </w:r>
          </w:p>
        </w:tc>
        <w:tc>
          <w:tcPr>
            <w:tcW w:w="3402" w:type="dxa"/>
            <w:tcBorders>
              <w:top w:val="single" w:color="auto" w:sz="4" w:space="0"/>
              <w:left w:val="nil"/>
              <w:bottom w:val="single" w:color="auto" w:sz="4" w:space="0"/>
              <w:right w:val="single" w:color="auto" w:sz="4" w:space="0"/>
            </w:tcBorders>
            <w:vAlign w:val="center"/>
          </w:tcPr>
          <w:p w14:paraId="61E2D0BA">
            <w:pPr>
              <w:jc w:val="center"/>
              <w:rPr>
                <w:rFonts w:hint="default"/>
                <w:color w:val="auto"/>
                <w:lang w:val="en-US"/>
              </w:rPr>
            </w:pPr>
            <w:r>
              <w:rPr>
                <w:rFonts w:hint="eastAsia"/>
                <w:color w:val="auto"/>
                <w:lang w:val="en-US" w:eastAsia="zh-CN"/>
              </w:rPr>
              <w:t>5.95</w:t>
            </w:r>
            <w:r>
              <w:rPr>
                <w:color w:val="auto"/>
              </w:rPr>
              <w:t>+(1000-500)×0.</w:t>
            </w:r>
            <w:r>
              <w:rPr>
                <w:rFonts w:hint="eastAsia"/>
                <w:color w:val="auto"/>
                <w:lang w:val="en-US" w:eastAsia="zh-CN"/>
              </w:rPr>
              <w:t>70</w:t>
            </w:r>
            <w:r>
              <w:rPr>
                <w:color w:val="auto"/>
              </w:rPr>
              <w:t>%=</w:t>
            </w:r>
            <w:r>
              <w:rPr>
                <w:rFonts w:hint="eastAsia"/>
                <w:color w:val="auto"/>
                <w:lang w:val="en-US" w:eastAsia="zh-CN"/>
              </w:rPr>
              <w:t>9.45</w:t>
            </w:r>
          </w:p>
        </w:tc>
      </w:tr>
      <w:tr w14:paraId="723481C9">
        <w:tblPrEx>
          <w:tblCellMar>
            <w:top w:w="0" w:type="dxa"/>
            <w:left w:w="108" w:type="dxa"/>
            <w:bottom w:w="0" w:type="dxa"/>
            <w:right w:w="108" w:type="dxa"/>
          </w:tblCellMar>
        </w:tblPrEx>
        <w:trPr>
          <w:trHeight w:val="34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03259145">
            <w:pPr>
              <w:jc w:val="center"/>
              <w:rPr>
                <w:color w:val="auto"/>
              </w:rPr>
            </w:pPr>
            <w:r>
              <w:rPr>
                <w:color w:val="auto"/>
              </w:rPr>
              <w:t>6</w:t>
            </w:r>
          </w:p>
        </w:tc>
        <w:tc>
          <w:tcPr>
            <w:tcW w:w="1843" w:type="dxa"/>
            <w:tcBorders>
              <w:top w:val="single" w:color="auto" w:sz="4" w:space="0"/>
              <w:left w:val="nil"/>
              <w:bottom w:val="single" w:color="auto" w:sz="4" w:space="0"/>
              <w:right w:val="single" w:color="auto" w:sz="4" w:space="0"/>
            </w:tcBorders>
            <w:vAlign w:val="center"/>
          </w:tcPr>
          <w:p w14:paraId="5342AC01">
            <w:pPr>
              <w:jc w:val="center"/>
              <w:rPr>
                <w:color w:val="auto"/>
              </w:rPr>
            </w:pPr>
            <w:r>
              <w:rPr>
                <w:rFonts w:hint="eastAsia"/>
                <w:color w:val="auto"/>
                <w:lang w:val="en-US" w:eastAsia="zh-CN"/>
              </w:rPr>
              <w:t>1000-3</w:t>
            </w:r>
            <w:r>
              <w:rPr>
                <w:color w:val="auto"/>
              </w:rPr>
              <w:t>000</w:t>
            </w:r>
          </w:p>
        </w:tc>
        <w:tc>
          <w:tcPr>
            <w:tcW w:w="1133" w:type="dxa"/>
            <w:tcBorders>
              <w:top w:val="single" w:color="auto" w:sz="4" w:space="0"/>
              <w:left w:val="nil"/>
              <w:bottom w:val="single" w:color="auto" w:sz="4" w:space="0"/>
              <w:right w:val="single" w:color="auto" w:sz="4" w:space="0"/>
            </w:tcBorders>
            <w:vAlign w:val="center"/>
          </w:tcPr>
          <w:p w14:paraId="3FCD7516">
            <w:pPr>
              <w:jc w:val="center"/>
              <w:rPr>
                <w:rFonts w:hint="default" w:eastAsia="宋体"/>
                <w:color w:val="auto"/>
                <w:lang w:val="en-US" w:eastAsia="zh-CN"/>
              </w:rPr>
            </w:pPr>
            <w:r>
              <w:rPr>
                <w:rFonts w:hint="eastAsia"/>
                <w:color w:val="auto"/>
                <w:lang w:val="en-US" w:eastAsia="zh-CN"/>
              </w:rPr>
              <w:t>0.40</w:t>
            </w:r>
          </w:p>
        </w:tc>
        <w:tc>
          <w:tcPr>
            <w:tcW w:w="1701" w:type="dxa"/>
            <w:tcBorders>
              <w:top w:val="single" w:color="auto" w:sz="4" w:space="0"/>
              <w:left w:val="nil"/>
              <w:bottom w:val="single" w:color="auto" w:sz="4" w:space="0"/>
              <w:right w:val="single" w:color="auto" w:sz="4" w:space="0"/>
            </w:tcBorders>
            <w:vAlign w:val="center"/>
          </w:tcPr>
          <w:p w14:paraId="4811ABDA">
            <w:pPr>
              <w:jc w:val="center"/>
              <w:rPr>
                <w:color w:val="auto"/>
              </w:rPr>
            </w:pPr>
            <w:r>
              <w:rPr>
                <w:rFonts w:hint="eastAsia"/>
                <w:color w:val="auto"/>
                <w:lang w:val="en-US" w:eastAsia="zh-CN"/>
              </w:rPr>
              <w:t>3000</w:t>
            </w:r>
          </w:p>
        </w:tc>
        <w:tc>
          <w:tcPr>
            <w:tcW w:w="3402" w:type="dxa"/>
            <w:tcBorders>
              <w:top w:val="single" w:color="auto" w:sz="4" w:space="0"/>
              <w:left w:val="nil"/>
              <w:bottom w:val="single" w:color="auto" w:sz="4" w:space="0"/>
              <w:right w:val="single" w:color="auto" w:sz="4" w:space="0"/>
            </w:tcBorders>
            <w:vAlign w:val="center"/>
          </w:tcPr>
          <w:p w14:paraId="68FAA262">
            <w:pPr>
              <w:jc w:val="center"/>
              <w:rPr>
                <w:rFonts w:hint="default"/>
                <w:color w:val="auto"/>
                <w:lang w:val="en-US"/>
              </w:rPr>
            </w:pPr>
            <w:r>
              <w:rPr>
                <w:rFonts w:hint="eastAsia"/>
                <w:color w:val="auto"/>
                <w:lang w:val="en-US" w:eastAsia="zh-CN"/>
              </w:rPr>
              <w:t>9.45</w:t>
            </w:r>
            <w:r>
              <w:rPr>
                <w:color w:val="auto"/>
              </w:rPr>
              <w:t>+(</w:t>
            </w:r>
            <w:r>
              <w:rPr>
                <w:rFonts w:hint="eastAsia"/>
                <w:color w:val="auto"/>
                <w:lang w:val="en-US" w:eastAsia="zh-CN"/>
              </w:rPr>
              <w:t>3</w:t>
            </w:r>
            <w:r>
              <w:rPr>
                <w:color w:val="auto"/>
              </w:rPr>
              <w:t>000-1000)×0</w:t>
            </w:r>
            <w:r>
              <w:rPr>
                <w:rFonts w:hint="eastAsia"/>
                <w:color w:val="auto"/>
                <w:lang w:val="en-US" w:eastAsia="zh-CN"/>
              </w:rPr>
              <w:t>.40</w:t>
            </w:r>
            <w:r>
              <w:rPr>
                <w:color w:val="auto"/>
              </w:rPr>
              <w:t>%=</w:t>
            </w:r>
            <w:r>
              <w:rPr>
                <w:rFonts w:hint="eastAsia"/>
                <w:color w:val="auto"/>
                <w:lang w:val="en-US" w:eastAsia="zh-CN"/>
              </w:rPr>
              <w:t>17.45</w:t>
            </w:r>
          </w:p>
        </w:tc>
      </w:tr>
      <w:tr w14:paraId="617E18D3">
        <w:tblPrEx>
          <w:tblCellMar>
            <w:top w:w="0" w:type="dxa"/>
            <w:left w:w="108" w:type="dxa"/>
            <w:bottom w:w="0" w:type="dxa"/>
            <w:right w:w="108" w:type="dxa"/>
          </w:tblCellMar>
        </w:tblPrEx>
        <w:trPr>
          <w:trHeight w:val="34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7AC31A03">
            <w:pPr>
              <w:jc w:val="center"/>
              <w:rPr>
                <w:rFonts w:hint="eastAsia" w:eastAsia="宋体"/>
                <w:color w:val="auto"/>
                <w:lang w:val="en-US" w:eastAsia="zh-CN"/>
              </w:rPr>
            </w:pPr>
            <w:r>
              <w:rPr>
                <w:rFonts w:hint="eastAsia"/>
                <w:color w:val="auto"/>
                <w:lang w:val="en-US" w:eastAsia="zh-CN"/>
              </w:rPr>
              <w:t>7</w:t>
            </w:r>
          </w:p>
        </w:tc>
        <w:tc>
          <w:tcPr>
            <w:tcW w:w="1843" w:type="dxa"/>
            <w:tcBorders>
              <w:top w:val="single" w:color="auto" w:sz="4" w:space="0"/>
              <w:left w:val="nil"/>
              <w:bottom w:val="single" w:color="auto" w:sz="4" w:space="0"/>
              <w:right w:val="single" w:color="auto" w:sz="4" w:space="0"/>
            </w:tcBorders>
            <w:vAlign w:val="center"/>
          </w:tcPr>
          <w:p w14:paraId="7CD6CA9E">
            <w:pPr>
              <w:jc w:val="center"/>
              <w:rPr>
                <w:color w:val="auto"/>
              </w:rPr>
            </w:pPr>
            <w:r>
              <w:rPr>
                <w:rFonts w:hint="eastAsia"/>
                <w:color w:val="auto"/>
                <w:lang w:val="en-US" w:eastAsia="zh-CN"/>
              </w:rPr>
              <w:t>3000-5000</w:t>
            </w:r>
          </w:p>
        </w:tc>
        <w:tc>
          <w:tcPr>
            <w:tcW w:w="1133" w:type="dxa"/>
            <w:tcBorders>
              <w:top w:val="single" w:color="auto" w:sz="4" w:space="0"/>
              <w:left w:val="nil"/>
              <w:bottom w:val="single" w:color="auto" w:sz="4" w:space="0"/>
              <w:right w:val="single" w:color="auto" w:sz="4" w:space="0"/>
            </w:tcBorders>
            <w:vAlign w:val="center"/>
          </w:tcPr>
          <w:p w14:paraId="10FB9609">
            <w:pPr>
              <w:jc w:val="center"/>
              <w:rPr>
                <w:rFonts w:hint="default" w:eastAsia="宋体"/>
                <w:color w:val="auto"/>
                <w:lang w:val="en-US" w:eastAsia="zh-CN"/>
              </w:rPr>
            </w:pPr>
            <w:r>
              <w:rPr>
                <w:rFonts w:hint="eastAsia"/>
                <w:color w:val="auto"/>
                <w:lang w:val="en-US" w:eastAsia="zh-CN"/>
              </w:rPr>
              <w:t>0.10</w:t>
            </w:r>
          </w:p>
        </w:tc>
        <w:tc>
          <w:tcPr>
            <w:tcW w:w="1701" w:type="dxa"/>
            <w:tcBorders>
              <w:top w:val="single" w:color="auto" w:sz="4" w:space="0"/>
              <w:left w:val="nil"/>
              <w:bottom w:val="single" w:color="auto" w:sz="4" w:space="0"/>
              <w:right w:val="single" w:color="auto" w:sz="4" w:space="0"/>
            </w:tcBorders>
            <w:vAlign w:val="center"/>
          </w:tcPr>
          <w:p w14:paraId="379576BB">
            <w:pPr>
              <w:jc w:val="center"/>
              <w:rPr>
                <w:color w:val="auto"/>
              </w:rPr>
            </w:pPr>
            <w:r>
              <w:rPr>
                <w:rFonts w:hint="eastAsia"/>
                <w:color w:val="auto"/>
                <w:lang w:val="en-US" w:eastAsia="zh-CN"/>
              </w:rPr>
              <w:t>5000</w:t>
            </w:r>
          </w:p>
        </w:tc>
        <w:tc>
          <w:tcPr>
            <w:tcW w:w="3402" w:type="dxa"/>
            <w:tcBorders>
              <w:top w:val="single" w:color="auto" w:sz="4" w:space="0"/>
              <w:left w:val="nil"/>
              <w:bottom w:val="single" w:color="auto" w:sz="4" w:space="0"/>
              <w:right w:val="single" w:color="auto" w:sz="4" w:space="0"/>
            </w:tcBorders>
            <w:vAlign w:val="center"/>
          </w:tcPr>
          <w:p w14:paraId="7012A478">
            <w:pPr>
              <w:jc w:val="center"/>
              <w:rPr>
                <w:rFonts w:hint="default"/>
                <w:color w:val="auto"/>
                <w:lang w:val="en-US"/>
              </w:rPr>
            </w:pPr>
            <w:r>
              <w:rPr>
                <w:rFonts w:hint="eastAsia"/>
                <w:color w:val="auto"/>
                <w:lang w:val="en-US" w:eastAsia="zh-CN"/>
              </w:rPr>
              <w:t>17.45</w:t>
            </w:r>
            <w:r>
              <w:rPr>
                <w:color w:val="auto"/>
              </w:rPr>
              <w:t>+(</w:t>
            </w:r>
            <w:r>
              <w:rPr>
                <w:rFonts w:hint="eastAsia"/>
                <w:color w:val="auto"/>
                <w:lang w:val="en-US" w:eastAsia="zh-CN"/>
              </w:rPr>
              <w:t>50</w:t>
            </w:r>
            <w:r>
              <w:rPr>
                <w:color w:val="auto"/>
              </w:rPr>
              <w:t>00-</w:t>
            </w:r>
            <w:r>
              <w:rPr>
                <w:rFonts w:hint="eastAsia"/>
                <w:color w:val="auto"/>
                <w:lang w:val="en-US" w:eastAsia="zh-CN"/>
              </w:rPr>
              <w:t>3</w:t>
            </w:r>
            <w:r>
              <w:rPr>
                <w:color w:val="auto"/>
              </w:rPr>
              <w:t>000)×0</w:t>
            </w:r>
            <w:r>
              <w:rPr>
                <w:rFonts w:hint="eastAsia"/>
                <w:color w:val="auto"/>
                <w:lang w:val="en-US" w:eastAsia="zh-CN"/>
              </w:rPr>
              <w:t>.10</w:t>
            </w:r>
            <w:r>
              <w:rPr>
                <w:color w:val="auto"/>
              </w:rPr>
              <w:t>%=</w:t>
            </w:r>
            <w:r>
              <w:rPr>
                <w:rFonts w:hint="eastAsia"/>
                <w:color w:val="auto"/>
                <w:lang w:val="en-US" w:eastAsia="zh-CN"/>
              </w:rPr>
              <w:t>19.45</w:t>
            </w:r>
          </w:p>
        </w:tc>
      </w:tr>
      <w:tr w14:paraId="6EB798A9">
        <w:tblPrEx>
          <w:tblCellMar>
            <w:top w:w="0" w:type="dxa"/>
            <w:left w:w="108" w:type="dxa"/>
            <w:bottom w:w="0" w:type="dxa"/>
            <w:right w:w="108" w:type="dxa"/>
          </w:tblCellMar>
        </w:tblPrEx>
        <w:trPr>
          <w:trHeight w:val="34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0C0C9CA4">
            <w:pPr>
              <w:jc w:val="center"/>
              <w:rPr>
                <w:rFonts w:hint="eastAsia" w:eastAsia="宋体"/>
                <w:color w:val="auto"/>
                <w:lang w:val="en-US" w:eastAsia="zh-CN"/>
              </w:rPr>
            </w:pPr>
            <w:r>
              <w:rPr>
                <w:rFonts w:hint="eastAsia"/>
                <w:color w:val="auto"/>
                <w:lang w:val="en-US" w:eastAsia="zh-CN"/>
              </w:rPr>
              <w:t>8</w:t>
            </w:r>
          </w:p>
        </w:tc>
        <w:tc>
          <w:tcPr>
            <w:tcW w:w="1843" w:type="dxa"/>
            <w:tcBorders>
              <w:top w:val="single" w:color="auto" w:sz="4" w:space="0"/>
              <w:left w:val="nil"/>
              <w:bottom w:val="single" w:color="auto" w:sz="4" w:space="0"/>
              <w:right w:val="single" w:color="auto" w:sz="4" w:space="0"/>
            </w:tcBorders>
            <w:vAlign w:val="center"/>
          </w:tcPr>
          <w:p w14:paraId="06F6A66A">
            <w:pPr>
              <w:jc w:val="center"/>
              <w:rPr>
                <w:color w:val="auto"/>
              </w:rPr>
            </w:pPr>
            <w:r>
              <w:rPr>
                <w:rFonts w:hint="eastAsia"/>
                <w:color w:val="auto"/>
                <w:lang w:val="en-US" w:eastAsia="zh-CN"/>
              </w:rPr>
              <w:t>5000-10000</w:t>
            </w:r>
          </w:p>
        </w:tc>
        <w:tc>
          <w:tcPr>
            <w:tcW w:w="1133" w:type="dxa"/>
            <w:tcBorders>
              <w:top w:val="single" w:color="auto" w:sz="4" w:space="0"/>
              <w:left w:val="nil"/>
              <w:bottom w:val="single" w:color="auto" w:sz="4" w:space="0"/>
              <w:right w:val="single" w:color="auto" w:sz="4" w:space="0"/>
            </w:tcBorders>
            <w:vAlign w:val="center"/>
          </w:tcPr>
          <w:p w14:paraId="066BE893">
            <w:pPr>
              <w:jc w:val="center"/>
              <w:rPr>
                <w:rFonts w:hint="default" w:eastAsia="宋体"/>
                <w:color w:val="auto"/>
                <w:lang w:val="en-US" w:eastAsia="zh-CN"/>
              </w:rPr>
            </w:pPr>
            <w:r>
              <w:rPr>
                <w:rFonts w:hint="eastAsia"/>
                <w:color w:val="auto"/>
                <w:lang w:val="en-US" w:eastAsia="zh-CN"/>
              </w:rPr>
              <w:t>0.06</w:t>
            </w:r>
          </w:p>
        </w:tc>
        <w:tc>
          <w:tcPr>
            <w:tcW w:w="1701" w:type="dxa"/>
            <w:tcBorders>
              <w:top w:val="single" w:color="auto" w:sz="4" w:space="0"/>
              <w:left w:val="nil"/>
              <w:bottom w:val="single" w:color="auto" w:sz="4" w:space="0"/>
              <w:right w:val="single" w:color="auto" w:sz="4" w:space="0"/>
            </w:tcBorders>
            <w:vAlign w:val="center"/>
          </w:tcPr>
          <w:p w14:paraId="05147440">
            <w:pPr>
              <w:jc w:val="center"/>
              <w:rPr>
                <w:color w:val="auto"/>
              </w:rPr>
            </w:pPr>
            <w:r>
              <w:rPr>
                <w:rFonts w:hint="eastAsia"/>
                <w:color w:val="auto"/>
                <w:lang w:val="en-US" w:eastAsia="zh-CN"/>
              </w:rPr>
              <w:t>10000</w:t>
            </w:r>
          </w:p>
        </w:tc>
        <w:tc>
          <w:tcPr>
            <w:tcW w:w="3402" w:type="dxa"/>
            <w:tcBorders>
              <w:top w:val="single" w:color="auto" w:sz="4" w:space="0"/>
              <w:left w:val="nil"/>
              <w:bottom w:val="single" w:color="auto" w:sz="4" w:space="0"/>
              <w:right w:val="single" w:color="auto" w:sz="4" w:space="0"/>
            </w:tcBorders>
            <w:vAlign w:val="center"/>
          </w:tcPr>
          <w:p w14:paraId="004C8323">
            <w:pPr>
              <w:jc w:val="center"/>
              <w:rPr>
                <w:rFonts w:hint="default"/>
                <w:color w:val="auto"/>
                <w:lang w:val="en-US"/>
              </w:rPr>
            </w:pPr>
            <w:r>
              <w:rPr>
                <w:rFonts w:hint="eastAsia"/>
                <w:color w:val="auto"/>
                <w:lang w:val="en-US" w:eastAsia="zh-CN"/>
              </w:rPr>
              <w:t>19.45</w:t>
            </w:r>
            <w:r>
              <w:rPr>
                <w:color w:val="auto"/>
              </w:rPr>
              <w:t>+(</w:t>
            </w:r>
            <w:r>
              <w:rPr>
                <w:rFonts w:hint="eastAsia"/>
                <w:color w:val="auto"/>
                <w:lang w:val="en-US" w:eastAsia="zh-CN"/>
              </w:rPr>
              <w:t>10</w:t>
            </w:r>
            <w:r>
              <w:rPr>
                <w:color w:val="auto"/>
              </w:rPr>
              <w:t>000-</w:t>
            </w:r>
            <w:r>
              <w:rPr>
                <w:rFonts w:hint="eastAsia"/>
                <w:color w:val="auto"/>
                <w:lang w:val="en-US" w:eastAsia="zh-CN"/>
              </w:rPr>
              <w:t>5</w:t>
            </w:r>
            <w:r>
              <w:rPr>
                <w:color w:val="auto"/>
              </w:rPr>
              <w:t>000)×0</w:t>
            </w:r>
            <w:r>
              <w:rPr>
                <w:rFonts w:hint="eastAsia"/>
                <w:color w:val="auto"/>
                <w:lang w:val="en-US" w:eastAsia="zh-CN"/>
              </w:rPr>
              <w:t>.06</w:t>
            </w:r>
            <w:r>
              <w:rPr>
                <w:color w:val="auto"/>
              </w:rPr>
              <w:t>%=</w:t>
            </w:r>
            <w:r>
              <w:rPr>
                <w:rFonts w:hint="eastAsia"/>
                <w:color w:val="auto"/>
                <w:lang w:val="en-US" w:eastAsia="zh-CN"/>
              </w:rPr>
              <w:t>22.45</w:t>
            </w:r>
          </w:p>
        </w:tc>
      </w:tr>
    </w:tbl>
    <w:p w14:paraId="4038CFFD">
      <w:pPr>
        <w:spacing w:line="360" w:lineRule="auto"/>
        <w:ind w:firstLine="361" w:firstLineChars="200"/>
        <w:rPr>
          <w:color w:val="auto"/>
          <w:sz w:val="28"/>
          <w:szCs w:val="28"/>
        </w:rPr>
      </w:pPr>
      <w:r>
        <w:rPr>
          <w:b/>
          <w:bCs w:val="0"/>
          <w:color w:val="auto"/>
          <w:sz w:val="18"/>
          <w:szCs w:val="18"/>
        </w:rPr>
        <w:t>注：</w:t>
      </w:r>
      <w:r>
        <w:rPr>
          <w:rFonts w:hint="eastAsia"/>
          <w:b/>
          <w:bCs w:val="0"/>
          <w:color w:val="auto"/>
          <w:sz w:val="18"/>
          <w:szCs w:val="18"/>
          <w:lang w:val="en-US" w:eastAsia="zh-CN"/>
        </w:rPr>
        <w:t>计费基数不足50万元时，按1万元计取；</w:t>
      </w:r>
      <w:r>
        <w:rPr>
          <w:b/>
          <w:bCs w:val="0"/>
          <w:color w:val="auto"/>
          <w:sz w:val="18"/>
          <w:szCs w:val="18"/>
        </w:rPr>
        <w:t>计费基数大于1亿元时，按计费基数的</w:t>
      </w:r>
      <w:r>
        <w:rPr>
          <w:rFonts w:hint="eastAsia"/>
          <w:b/>
          <w:bCs w:val="0"/>
          <w:color w:val="auto"/>
          <w:sz w:val="18"/>
          <w:szCs w:val="18"/>
          <w:lang w:val="en-US" w:eastAsia="zh-CN"/>
        </w:rPr>
        <w:t>0.04</w:t>
      </w:r>
      <w:r>
        <w:rPr>
          <w:b/>
          <w:bCs w:val="0"/>
          <w:color w:val="auto"/>
          <w:sz w:val="18"/>
          <w:szCs w:val="18"/>
        </w:rPr>
        <w:t>%计取。</w:t>
      </w:r>
    </w:p>
    <w:p w14:paraId="6363E358">
      <w:pPr>
        <w:spacing w:line="360" w:lineRule="auto"/>
        <w:ind w:firstLine="560" w:firstLineChars="200"/>
        <w:jc w:val="left"/>
        <w:rPr>
          <w:color w:val="auto"/>
          <w:sz w:val="28"/>
          <w:szCs w:val="28"/>
        </w:rPr>
      </w:pPr>
      <w:r>
        <w:rPr>
          <w:color w:val="auto"/>
          <w:sz w:val="28"/>
          <w:szCs w:val="28"/>
        </w:rPr>
        <w:t>3、</w:t>
      </w:r>
      <w:r>
        <w:rPr>
          <w:rFonts w:hint="eastAsia"/>
          <w:color w:val="auto"/>
          <w:sz w:val="28"/>
          <w:szCs w:val="28"/>
          <w:lang w:val="en-US" w:eastAsia="zh-CN"/>
        </w:rPr>
        <w:t>不可预见</w:t>
      </w:r>
      <w:r>
        <w:rPr>
          <w:color w:val="auto"/>
          <w:sz w:val="28"/>
          <w:szCs w:val="28"/>
        </w:rPr>
        <w:t>费</w:t>
      </w:r>
    </w:p>
    <w:p w14:paraId="24116919">
      <w:pPr>
        <w:spacing w:line="360" w:lineRule="auto"/>
        <w:ind w:firstLine="560" w:firstLineChars="200"/>
        <w:jc w:val="left"/>
        <w:rPr>
          <w:color w:val="auto"/>
          <w:sz w:val="28"/>
          <w:szCs w:val="28"/>
        </w:rPr>
      </w:pPr>
      <w:r>
        <w:rPr>
          <w:rFonts w:hint="eastAsia"/>
          <w:color w:val="auto"/>
          <w:sz w:val="28"/>
          <w:szCs w:val="28"/>
        </w:rPr>
        <w:t>基本预备费</w:t>
      </w:r>
      <w:r>
        <w:rPr>
          <w:rFonts w:hint="eastAsia"/>
          <w:color w:val="auto"/>
          <w:sz w:val="28"/>
          <w:szCs w:val="28"/>
          <w:lang w:eastAsia="zh-CN"/>
        </w:rPr>
        <w:t>：</w:t>
      </w:r>
      <w:r>
        <w:rPr>
          <w:rFonts w:hint="eastAsia"/>
          <w:color w:val="auto"/>
          <w:sz w:val="28"/>
          <w:szCs w:val="28"/>
        </w:rPr>
        <w:t>以工程施工费、其他费用之和作为计费基数，采用差额定率累进法计算。</w:t>
      </w:r>
    </w:p>
    <w:p w14:paraId="7D78F341">
      <w:pPr>
        <w:jc w:val="center"/>
        <w:rPr>
          <w:rFonts w:hint="eastAsia" w:eastAsia="黑体"/>
          <w:color w:val="auto"/>
          <w:sz w:val="24"/>
          <w:szCs w:val="24"/>
          <w:lang w:val="en-US" w:eastAsia="zh-CN"/>
        </w:rPr>
      </w:pPr>
      <w:r>
        <w:rPr>
          <w:rFonts w:hint="eastAsia" w:eastAsia="黑体"/>
          <w:color w:val="auto"/>
          <w:sz w:val="24"/>
          <w:szCs w:val="24"/>
          <w:lang w:val="en-US" w:eastAsia="zh-CN"/>
        </w:rPr>
        <w:t>表6-11  基本预备费计费标准表</w:t>
      </w:r>
    </w:p>
    <w:tbl>
      <w:tblPr>
        <w:tblStyle w:val="34"/>
        <w:tblW w:w="8753" w:type="dxa"/>
        <w:jc w:val="center"/>
        <w:tblLayout w:type="fixed"/>
        <w:tblCellMar>
          <w:top w:w="0" w:type="dxa"/>
          <w:left w:w="108" w:type="dxa"/>
          <w:bottom w:w="0" w:type="dxa"/>
          <w:right w:w="108" w:type="dxa"/>
        </w:tblCellMar>
      </w:tblPr>
      <w:tblGrid>
        <w:gridCol w:w="674"/>
        <w:gridCol w:w="1843"/>
        <w:gridCol w:w="1133"/>
        <w:gridCol w:w="1701"/>
        <w:gridCol w:w="3402"/>
      </w:tblGrid>
      <w:tr w14:paraId="11E7B3E9">
        <w:tblPrEx>
          <w:tblCellMar>
            <w:top w:w="0" w:type="dxa"/>
            <w:left w:w="108" w:type="dxa"/>
            <w:bottom w:w="0" w:type="dxa"/>
            <w:right w:w="108" w:type="dxa"/>
          </w:tblCellMar>
        </w:tblPrEx>
        <w:trPr>
          <w:trHeight w:val="340" w:hRule="atLeast"/>
          <w:tblHeader/>
          <w:jc w:val="center"/>
        </w:trPr>
        <w:tc>
          <w:tcPr>
            <w:tcW w:w="674" w:type="dxa"/>
            <w:vMerge w:val="restart"/>
            <w:tcBorders>
              <w:top w:val="single" w:color="auto" w:sz="4" w:space="0"/>
              <w:left w:val="single" w:color="auto" w:sz="4" w:space="0"/>
              <w:right w:val="single" w:color="auto" w:sz="4" w:space="0"/>
            </w:tcBorders>
            <w:vAlign w:val="center"/>
          </w:tcPr>
          <w:p w14:paraId="5E43AAF2">
            <w:pPr>
              <w:jc w:val="center"/>
              <w:rPr>
                <w:color w:val="auto"/>
              </w:rPr>
            </w:pPr>
            <w:r>
              <w:rPr>
                <w:color w:val="auto"/>
              </w:rPr>
              <w:t>序号</w:t>
            </w:r>
          </w:p>
        </w:tc>
        <w:tc>
          <w:tcPr>
            <w:tcW w:w="1843" w:type="dxa"/>
            <w:vMerge w:val="restart"/>
            <w:tcBorders>
              <w:top w:val="single" w:color="auto" w:sz="4" w:space="0"/>
              <w:left w:val="single" w:color="auto" w:sz="4" w:space="0"/>
              <w:right w:val="single" w:color="auto" w:sz="4" w:space="0"/>
            </w:tcBorders>
            <w:vAlign w:val="center"/>
          </w:tcPr>
          <w:p w14:paraId="3E7C0CD2">
            <w:pPr>
              <w:jc w:val="center"/>
              <w:rPr>
                <w:color w:val="auto"/>
              </w:rPr>
            </w:pPr>
            <w:r>
              <w:rPr>
                <w:color w:val="auto"/>
              </w:rPr>
              <w:t>计费基础(万元)</w:t>
            </w:r>
          </w:p>
        </w:tc>
        <w:tc>
          <w:tcPr>
            <w:tcW w:w="1133" w:type="dxa"/>
            <w:vMerge w:val="restart"/>
            <w:tcBorders>
              <w:top w:val="single" w:color="auto" w:sz="4" w:space="0"/>
              <w:left w:val="single" w:color="auto" w:sz="4" w:space="0"/>
              <w:right w:val="single" w:color="auto" w:sz="4" w:space="0"/>
            </w:tcBorders>
            <w:vAlign w:val="center"/>
          </w:tcPr>
          <w:p w14:paraId="00C3F490">
            <w:pPr>
              <w:jc w:val="center"/>
              <w:rPr>
                <w:color w:val="auto"/>
              </w:rPr>
            </w:pPr>
            <w:r>
              <w:rPr>
                <w:color w:val="auto"/>
              </w:rPr>
              <w:t>费率(%)</w:t>
            </w:r>
          </w:p>
        </w:tc>
        <w:tc>
          <w:tcPr>
            <w:tcW w:w="5103" w:type="dxa"/>
            <w:gridSpan w:val="2"/>
            <w:tcBorders>
              <w:top w:val="single" w:color="auto" w:sz="4" w:space="0"/>
              <w:left w:val="single" w:color="auto" w:sz="4" w:space="0"/>
              <w:bottom w:val="single" w:color="auto" w:sz="4" w:space="0"/>
              <w:right w:val="single" w:color="auto" w:sz="4" w:space="0"/>
            </w:tcBorders>
            <w:vAlign w:val="center"/>
          </w:tcPr>
          <w:p w14:paraId="225313A1">
            <w:pPr>
              <w:jc w:val="center"/>
              <w:rPr>
                <w:color w:val="auto"/>
              </w:rPr>
            </w:pPr>
            <w:r>
              <w:rPr>
                <w:color w:val="auto"/>
              </w:rPr>
              <w:t>算例</w:t>
            </w:r>
          </w:p>
        </w:tc>
      </w:tr>
      <w:tr w14:paraId="623974FF">
        <w:tblPrEx>
          <w:tblCellMar>
            <w:top w:w="0" w:type="dxa"/>
            <w:left w:w="108" w:type="dxa"/>
            <w:bottom w:w="0" w:type="dxa"/>
            <w:right w:w="108" w:type="dxa"/>
          </w:tblCellMar>
        </w:tblPrEx>
        <w:trPr>
          <w:trHeight w:val="340" w:hRule="atLeast"/>
          <w:tblHeader/>
          <w:jc w:val="center"/>
        </w:trPr>
        <w:tc>
          <w:tcPr>
            <w:tcW w:w="674" w:type="dxa"/>
            <w:vMerge w:val="continue"/>
            <w:tcBorders>
              <w:left w:val="single" w:color="auto" w:sz="4" w:space="0"/>
              <w:bottom w:val="single" w:color="auto" w:sz="4" w:space="0"/>
              <w:right w:val="single" w:color="auto" w:sz="4" w:space="0"/>
            </w:tcBorders>
            <w:vAlign w:val="center"/>
          </w:tcPr>
          <w:p w14:paraId="6FB85A5A">
            <w:pPr>
              <w:jc w:val="center"/>
              <w:rPr>
                <w:color w:val="auto"/>
              </w:rPr>
            </w:pPr>
          </w:p>
        </w:tc>
        <w:tc>
          <w:tcPr>
            <w:tcW w:w="1843" w:type="dxa"/>
            <w:vMerge w:val="continue"/>
            <w:tcBorders>
              <w:left w:val="single" w:color="auto" w:sz="4" w:space="0"/>
              <w:bottom w:val="single" w:color="auto" w:sz="4" w:space="0"/>
              <w:right w:val="single" w:color="auto" w:sz="4" w:space="0"/>
            </w:tcBorders>
            <w:vAlign w:val="center"/>
          </w:tcPr>
          <w:p w14:paraId="6B66D4E2">
            <w:pPr>
              <w:jc w:val="center"/>
              <w:rPr>
                <w:color w:val="auto"/>
              </w:rPr>
            </w:pPr>
          </w:p>
        </w:tc>
        <w:tc>
          <w:tcPr>
            <w:tcW w:w="1133" w:type="dxa"/>
            <w:vMerge w:val="continue"/>
            <w:tcBorders>
              <w:left w:val="single" w:color="auto" w:sz="4" w:space="0"/>
              <w:bottom w:val="single" w:color="auto" w:sz="4" w:space="0"/>
              <w:right w:val="single" w:color="auto" w:sz="4" w:space="0"/>
            </w:tcBorders>
            <w:vAlign w:val="center"/>
          </w:tcPr>
          <w:p w14:paraId="683623B5">
            <w:pPr>
              <w:jc w:val="center"/>
              <w:rPr>
                <w:color w:val="auto"/>
              </w:rPr>
            </w:pPr>
          </w:p>
        </w:tc>
        <w:tc>
          <w:tcPr>
            <w:tcW w:w="1701" w:type="dxa"/>
            <w:tcBorders>
              <w:top w:val="single" w:color="auto" w:sz="4" w:space="0"/>
              <w:left w:val="single" w:color="auto" w:sz="4" w:space="0"/>
              <w:bottom w:val="single" w:color="auto" w:sz="4" w:space="0"/>
              <w:right w:val="single" w:color="auto" w:sz="4" w:space="0"/>
            </w:tcBorders>
            <w:vAlign w:val="center"/>
          </w:tcPr>
          <w:p w14:paraId="77260825">
            <w:pPr>
              <w:jc w:val="center"/>
              <w:rPr>
                <w:color w:val="auto"/>
              </w:rPr>
            </w:pPr>
            <w:r>
              <w:rPr>
                <w:color w:val="auto"/>
              </w:rPr>
              <w:t>计费基础(万元)</w:t>
            </w:r>
          </w:p>
        </w:tc>
        <w:tc>
          <w:tcPr>
            <w:tcW w:w="3402" w:type="dxa"/>
            <w:tcBorders>
              <w:top w:val="single" w:color="auto" w:sz="4" w:space="0"/>
              <w:left w:val="single" w:color="auto" w:sz="4" w:space="0"/>
              <w:bottom w:val="single" w:color="auto" w:sz="4" w:space="0"/>
              <w:right w:val="single" w:color="auto" w:sz="4" w:space="0"/>
            </w:tcBorders>
            <w:vAlign w:val="center"/>
          </w:tcPr>
          <w:p w14:paraId="482C23F6">
            <w:pPr>
              <w:jc w:val="center"/>
              <w:rPr>
                <w:color w:val="auto"/>
              </w:rPr>
            </w:pPr>
            <w:r>
              <w:rPr>
                <w:color w:val="auto"/>
              </w:rPr>
              <w:t>项目管理费(万元)</w:t>
            </w:r>
          </w:p>
        </w:tc>
      </w:tr>
      <w:tr w14:paraId="1FBFB316">
        <w:tblPrEx>
          <w:tblCellMar>
            <w:top w:w="0" w:type="dxa"/>
            <w:left w:w="108" w:type="dxa"/>
            <w:bottom w:w="0" w:type="dxa"/>
            <w:right w:w="108" w:type="dxa"/>
          </w:tblCellMar>
        </w:tblPrEx>
        <w:trPr>
          <w:trHeight w:val="340" w:hRule="atLeast"/>
          <w:jc w:val="center"/>
        </w:trPr>
        <w:tc>
          <w:tcPr>
            <w:tcW w:w="674" w:type="dxa"/>
            <w:tcBorders>
              <w:top w:val="nil"/>
              <w:left w:val="single" w:color="auto" w:sz="4" w:space="0"/>
              <w:bottom w:val="single" w:color="auto" w:sz="4" w:space="0"/>
              <w:right w:val="single" w:color="auto" w:sz="4" w:space="0"/>
            </w:tcBorders>
            <w:vAlign w:val="center"/>
          </w:tcPr>
          <w:p w14:paraId="1E47D486">
            <w:pPr>
              <w:jc w:val="center"/>
              <w:rPr>
                <w:color w:val="auto"/>
              </w:rPr>
            </w:pPr>
            <w:r>
              <w:rPr>
                <w:color w:val="auto"/>
              </w:rPr>
              <w:t>1</w:t>
            </w:r>
          </w:p>
        </w:tc>
        <w:tc>
          <w:tcPr>
            <w:tcW w:w="1843" w:type="dxa"/>
            <w:tcBorders>
              <w:top w:val="nil"/>
              <w:left w:val="nil"/>
              <w:bottom w:val="single" w:color="auto" w:sz="4" w:space="0"/>
              <w:right w:val="single" w:color="auto" w:sz="4" w:space="0"/>
            </w:tcBorders>
            <w:vAlign w:val="center"/>
          </w:tcPr>
          <w:p w14:paraId="32AE4FC5">
            <w:pPr>
              <w:jc w:val="center"/>
              <w:rPr>
                <w:color w:val="auto"/>
              </w:rPr>
            </w:pPr>
            <w:r>
              <w:rPr>
                <w:color w:val="auto"/>
              </w:rPr>
              <w:t>≤</w:t>
            </w:r>
            <w:r>
              <w:rPr>
                <w:rFonts w:hint="eastAsia"/>
                <w:color w:val="auto"/>
                <w:lang w:val="en-US" w:eastAsia="zh-CN"/>
              </w:rPr>
              <w:t>50</w:t>
            </w:r>
          </w:p>
        </w:tc>
        <w:tc>
          <w:tcPr>
            <w:tcW w:w="1133" w:type="dxa"/>
            <w:tcBorders>
              <w:top w:val="nil"/>
              <w:left w:val="nil"/>
              <w:bottom w:val="single" w:color="auto" w:sz="4" w:space="0"/>
              <w:right w:val="single" w:color="auto" w:sz="4" w:space="0"/>
            </w:tcBorders>
            <w:vAlign w:val="center"/>
          </w:tcPr>
          <w:p w14:paraId="70034E02">
            <w:pPr>
              <w:jc w:val="center"/>
              <w:rPr>
                <w:rFonts w:hint="eastAsia" w:eastAsia="宋体"/>
                <w:color w:val="auto"/>
                <w:lang w:val="en-US" w:eastAsia="zh-CN"/>
              </w:rPr>
            </w:pPr>
            <w:r>
              <w:rPr>
                <w:rFonts w:hint="eastAsia"/>
                <w:color w:val="auto"/>
                <w:lang w:val="en-US" w:eastAsia="zh-CN"/>
              </w:rPr>
              <w:t>2</w:t>
            </w:r>
          </w:p>
        </w:tc>
        <w:tc>
          <w:tcPr>
            <w:tcW w:w="1701" w:type="dxa"/>
            <w:tcBorders>
              <w:top w:val="nil"/>
              <w:left w:val="nil"/>
              <w:bottom w:val="single" w:color="auto" w:sz="4" w:space="0"/>
              <w:right w:val="single" w:color="auto" w:sz="4" w:space="0"/>
            </w:tcBorders>
            <w:vAlign w:val="center"/>
          </w:tcPr>
          <w:p w14:paraId="3146098B">
            <w:pPr>
              <w:jc w:val="center"/>
              <w:rPr>
                <w:color w:val="auto"/>
              </w:rPr>
            </w:pPr>
            <w:r>
              <w:rPr>
                <w:color w:val="auto"/>
              </w:rPr>
              <w:t>50</w:t>
            </w:r>
          </w:p>
        </w:tc>
        <w:tc>
          <w:tcPr>
            <w:tcW w:w="3402" w:type="dxa"/>
            <w:tcBorders>
              <w:top w:val="nil"/>
              <w:left w:val="nil"/>
              <w:bottom w:val="single" w:color="auto" w:sz="4" w:space="0"/>
              <w:right w:val="single" w:color="auto" w:sz="4" w:space="0"/>
            </w:tcBorders>
            <w:vAlign w:val="center"/>
          </w:tcPr>
          <w:p w14:paraId="5785EF97">
            <w:pPr>
              <w:jc w:val="center"/>
              <w:rPr>
                <w:color w:val="auto"/>
              </w:rPr>
            </w:pPr>
            <w:r>
              <w:rPr>
                <w:color w:val="auto"/>
              </w:rPr>
              <w:t>50×</w:t>
            </w:r>
            <w:r>
              <w:rPr>
                <w:rFonts w:hint="eastAsia"/>
                <w:color w:val="auto"/>
                <w:lang w:val="en-US" w:eastAsia="zh-CN"/>
              </w:rPr>
              <w:t>2</w:t>
            </w:r>
            <w:r>
              <w:rPr>
                <w:color w:val="auto"/>
              </w:rPr>
              <w:t>%=</w:t>
            </w:r>
            <w:r>
              <w:rPr>
                <w:rFonts w:hint="eastAsia"/>
                <w:color w:val="auto"/>
                <w:lang w:val="en-US" w:eastAsia="zh-CN"/>
              </w:rPr>
              <w:t>1</w:t>
            </w:r>
          </w:p>
        </w:tc>
      </w:tr>
      <w:tr w14:paraId="7AD39899">
        <w:tblPrEx>
          <w:tblCellMar>
            <w:top w:w="0" w:type="dxa"/>
            <w:left w:w="108" w:type="dxa"/>
            <w:bottom w:w="0" w:type="dxa"/>
            <w:right w:w="108" w:type="dxa"/>
          </w:tblCellMar>
        </w:tblPrEx>
        <w:trPr>
          <w:trHeight w:val="340" w:hRule="atLeast"/>
          <w:jc w:val="center"/>
        </w:trPr>
        <w:tc>
          <w:tcPr>
            <w:tcW w:w="674" w:type="dxa"/>
            <w:tcBorders>
              <w:top w:val="nil"/>
              <w:left w:val="single" w:color="auto" w:sz="4" w:space="0"/>
              <w:bottom w:val="single" w:color="auto" w:sz="4" w:space="0"/>
              <w:right w:val="single" w:color="auto" w:sz="4" w:space="0"/>
            </w:tcBorders>
            <w:vAlign w:val="center"/>
          </w:tcPr>
          <w:p w14:paraId="00782F92">
            <w:pPr>
              <w:jc w:val="center"/>
              <w:rPr>
                <w:color w:val="auto"/>
              </w:rPr>
            </w:pPr>
            <w:r>
              <w:rPr>
                <w:color w:val="auto"/>
              </w:rPr>
              <w:t>2</w:t>
            </w:r>
          </w:p>
        </w:tc>
        <w:tc>
          <w:tcPr>
            <w:tcW w:w="1843" w:type="dxa"/>
            <w:tcBorders>
              <w:top w:val="nil"/>
              <w:left w:val="nil"/>
              <w:bottom w:val="single" w:color="auto" w:sz="4" w:space="0"/>
              <w:right w:val="single" w:color="auto" w:sz="4" w:space="0"/>
            </w:tcBorders>
            <w:vAlign w:val="center"/>
          </w:tcPr>
          <w:p w14:paraId="28650C02">
            <w:pPr>
              <w:jc w:val="center"/>
              <w:rPr>
                <w:color w:val="auto"/>
              </w:rPr>
            </w:pPr>
            <w:r>
              <w:rPr>
                <w:color w:val="auto"/>
              </w:rPr>
              <w:t>50</w:t>
            </w:r>
            <w:r>
              <w:rPr>
                <w:rFonts w:hint="eastAsia"/>
                <w:color w:val="auto"/>
                <w:lang w:val="en-US" w:eastAsia="zh-CN"/>
              </w:rPr>
              <w:t>-</w:t>
            </w:r>
            <w:r>
              <w:rPr>
                <w:color w:val="auto"/>
              </w:rPr>
              <w:t>100</w:t>
            </w:r>
          </w:p>
        </w:tc>
        <w:tc>
          <w:tcPr>
            <w:tcW w:w="1133" w:type="dxa"/>
            <w:tcBorders>
              <w:top w:val="nil"/>
              <w:left w:val="nil"/>
              <w:bottom w:val="single" w:color="auto" w:sz="4" w:space="0"/>
              <w:right w:val="single" w:color="auto" w:sz="4" w:space="0"/>
            </w:tcBorders>
            <w:vAlign w:val="center"/>
          </w:tcPr>
          <w:p w14:paraId="4858DF7D">
            <w:pPr>
              <w:jc w:val="center"/>
              <w:rPr>
                <w:rFonts w:hint="default" w:eastAsia="宋体"/>
                <w:color w:val="auto"/>
                <w:lang w:val="en-US" w:eastAsia="zh-CN"/>
              </w:rPr>
            </w:pPr>
            <w:r>
              <w:rPr>
                <w:rFonts w:hint="eastAsia"/>
                <w:color w:val="auto"/>
                <w:lang w:val="en-US" w:eastAsia="zh-CN"/>
              </w:rPr>
              <w:t>1.5</w:t>
            </w:r>
          </w:p>
        </w:tc>
        <w:tc>
          <w:tcPr>
            <w:tcW w:w="1701" w:type="dxa"/>
            <w:tcBorders>
              <w:top w:val="nil"/>
              <w:left w:val="nil"/>
              <w:bottom w:val="single" w:color="auto" w:sz="4" w:space="0"/>
              <w:right w:val="single" w:color="auto" w:sz="4" w:space="0"/>
            </w:tcBorders>
            <w:vAlign w:val="center"/>
          </w:tcPr>
          <w:p w14:paraId="6565EF21">
            <w:pPr>
              <w:jc w:val="center"/>
              <w:rPr>
                <w:color w:val="auto"/>
              </w:rPr>
            </w:pPr>
            <w:r>
              <w:rPr>
                <w:color w:val="auto"/>
              </w:rPr>
              <w:t>100</w:t>
            </w:r>
          </w:p>
        </w:tc>
        <w:tc>
          <w:tcPr>
            <w:tcW w:w="3402" w:type="dxa"/>
            <w:tcBorders>
              <w:top w:val="nil"/>
              <w:left w:val="nil"/>
              <w:bottom w:val="single" w:color="auto" w:sz="4" w:space="0"/>
              <w:right w:val="single" w:color="auto" w:sz="4" w:space="0"/>
            </w:tcBorders>
            <w:vAlign w:val="center"/>
          </w:tcPr>
          <w:p w14:paraId="7AE76E62">
            <w:pPr>
              <w:jc w:val="center"/>
              <w:rPr>
                <w:color w:val="auto"/>
              </w:rPr>
            </w:pPr>
            <w:r>
              <w:rPr>
                <w:rFonts w:hint="eastAsia"/>
                <w:color w:val="auto"/>
                <w:lang w:val="en-US" w:eastAsia="zh-CN"/>
              </w:rPr>
              <w:t>1</w:t>
            </w:r>
            <w:r>
              <w:rPr>
                <w:color w:val="auto"/>
              </w:rPr>
              <w:t>+(100-50)×</w:t>
            </w:r>
            <w:r>
              <w:rPr>
                <w:rFonts w:hint="eastAsia"/>
                <w:color w:val="auto"/>
                <w:lang w:val="en-US" w:eastAsia="zh-CN"/>
              </w:rPr>
              <w:t>1</w:t>
            </w:r>
            <w:r>
              <w:rPr>
                <w:color w:val="auto"/>
              </w:rPr>
              <w:t>.</w:t>
            </w:r>
            <w:r>
              <w:rPr>
                <w:rFonts w:hint="eastAsia"/>
                <w:color w:val="auto"/>
                <w:lang w:val="en-US" w:eastAsia="zh-CN"/>
              </w:rPr>
              <w:t>5</w:t>
            </w:r>
            <w:r>
              <w:rPr>
                <w:color w:val="auto"/>
              </w:rPr>
              <w:t>%=</w:t>
            </w:r>
            <w:r>
              <w:rPr>
                <w:rFonts w:hint="eastAsia"/>
                <w:color w:val="auto"/>
                <w:lang w:val="en-US" w:eastAsia="zh-CN"/>
              </w:rPr>
              <w:t>1.75</w:t>
            </w:r>
          </w:p>
        </w:tc>
      </w:tr>
      <w:tr w14:paraId="4821DE2C">
        <w:tblPrEx>
          <w:tblCellMar>
            <w:top w:w="0" w:type="dxa"/>
            <w:left w:w="108" w:type="dxa"/>
            <w:bottom w:w="0" w:type="dxa"/>
            <w:right w:w="108" w:type="dxa"/>
          </w:tblCellMar>
        </w:tblPrEx>
        <w:trPr>
          <w:trHeight w:val="34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6E491B86">
            <w:pPr>
              <w:jc w:val="center"/>
              <w:rPr>
                <w:color w:val="auto"/>
              </w:rPr>
            </w:pPr>
            <w:r>
              <w:rPr>
                <w:color w:val="auto"/>
              </w:rPr>
              <w:t>3</w:t>
            </w:r>
          </w:p>
        </w:tc>
        <w:tc>
          <w:tcPr>
            <w:tcW w:w="1843" w:type="dxa"/>
            <w:tcBorders>
              <w:top w:val="single" w:color="auto" w:sz="4" w:space="0"/>
              <w:left w:val="nil"/>
              <w:bottom w:val="single" w:color="auto" w:sz="4" w:space="0"/>
              <w:right w:val="single" w:color="auto" w:sz="4" w:space="0"/>
            </w:tcBorders>
            <w:vAlign w:val="center"/>
          </w:tcPr>
          <w:p w14:paraId="5328226A">
            <w:pPr>
              <w:jc w:val="center"/>
              <w:rPr>
                <w:color w:val="auto"/>
              </w:rPr>
            </w:pPr>
            <w:r>
              <w:rPr>
                <w:color w:val="auto"/>
              </w:rPr>
              <w:t>100</w:t>
            </w:r>
            <w:r>
              <w:rPr>
                <w:rFonts w:hint="eastAsia"/>
                <w:color w:val="auto"/>
                <w:lang w:val="en-US" w:eastAsia="zh-CN"/>
              </w:rPr>
              <w:t>-200</w:t>
            </w:r>
          </w:p>
        </w:tc>
        <w:tc>
          <w:tcPr>
            <w:tcW w:w="1133" w:type="dxa"/>
            <w:tcBorders>
              <w:top w:val="single" w:color="auto" w:sz="4" w:space="0"/>
              <w:left w:val="nil"/>
              <w:bottom w:val="single" w:color="auto" w:sz="4" w:space="0"/>
              <w:right w:val="single" w:color="auto" w:sz="4" w:space="0"/>
            </w:tcBorders>
            <w:vAlign w:val="center"/>
          </w:tcPr>
          <w:p w14:paraId="379618F9">
            <w:pPr>
              <w:jc w:val="center"/>
              <w:rPr>
                <w:rFonts w:hint="default" w:eastAsia="宋体"/>
                <w:color w:val="auto"/>
                <w:lang w:val="en-US" w:eastAsia="zh-CN"/>
              </w:rPr>
            </w:pPr>
            <w:r>
              <w:rPr>
                <w:rFonts w:hint="eastAsia"/>
                <w:color w:val="auto"/>
                <w:lang w:val="en-US" w:eastAsia="zh-CN"/>
              </w:rPr>
              <w:t>1</w:t>
            </w:r>
          </w:p>
        </w:tc>
        <w:tc>
          <w:tcPr>
            <w:tcW w:w="1701" w:type="dxa"/>
            <w:tcBorders>
              <w:top w:val="single" w:color="auto" w:sz="4" w:space="0"/>
              <w:left w:val="nil"/>
              <w:bottom w:val="single" w:color="auto" w:sz="4" w:space="0"/>
              <w:right w:val="single" w:color="auto" w:sz="4" w:space="0"/>
            </w:tcBorders>
            <w:vAlign w:val="center"/>
          </w:tcPr>
          <w:p w14:paraId="42BF9249">
            <w:pPr>
              <w:jc w:val="center"/>
              <w:rPr>
                <w:color w:val="auto"/>
              </w:rPr>
            </w:pPr>
            <w:r>
              <w:rPr>
                <w:rFonts w:hint="eastAsia"/>
                <w:color w:val="auto"/>
                <w:lang w:val="en-US" w:eastAsia="zh-CN"/>
              </w:rPr>
              <w:t>200</w:t>
            </w:r>
          </w:p>
        </w:tc>
        <w:tc>
          <w:tcPr>
            <w:tcW w:w="3402" w:type="dxa"/>
            <w:tcBorders>
              <w:top w:val="single" w:color="auto" w:sz="4" w:space="0"/>
              <w:left w:val="nil"/>
              <w:bottom w:val="single" w:color="auto" w:sz="4" w:space="0"/>
              <w:right w:val="single" w:color="auto" w:sz="4" w:space="0"/>
            </w:tcBorders>
            <w:vAlign w:val="center"/>
          </w:tcPr>
          <w:p w14:paraId="1FF6BDAE">
            <w:pPr>
              <w:jc w:val="center"/>
              <w:rPr>
                <w:rFonts w:hint="default"/>
                <w:color w:val="auto"/>
                <w:lang w:val="en-US"/>
              </w:rPr>
            </w:pPr>
            <w:r>
              <w:rPr>
                <w:rFonts w:hint="eastAsia"/>
                <w:color w:val="auto"/>
                <w:lang w:val="en-US" w:eastAsia="zh-CN"/>
              </w:rPr>
              <w:t>1.75</w:t>
            </w:r>
            <w:r>
              <w:rPr>
                <w:color w:val="auto"/>
              </w:rPr>
              <w:t>+(</w:t>
            </w:r>
            <w:r>
              <w:rPr>
                <w:rFonts w:hint="eastAsia"/>
                <w:color w:val="auto"/>
                <w:lang w:val="en-US" w:eastAsia="zh-CN"/>
              </w:rPr>
              <w:t>2</w:t>
            </w:r>
            <w:r>
              <w:rPr>
                <w:color w:val="auto"/>
              </w:rPr>
              <w:t>00-</w:t>
            </w:r>
            <w:r>
              <w:rPr>
                <w:rFonts w:hint="eastAsia"/>
                <w:color w:val="auto"/>
                <w:lang w:val="en-US" w:eastAsia="zh-CN"/>
              </w:rPr>
              <w:t>1</w:t>
            </w:r>
            <w:r>
              <w:rPr>
                <w:color w:val="auto"/>
              </w:rPr>
              <w:t>00)×</w:t>
            </w:r>
            <w:r>
              <w:rPr>
                <w:rFonts w:hint="eastAsia"/>
                <w:color w:val="auto"/>
                <w:lang w:val="en-US" w:eastAsia="zh-CN"/>
              </w:rPr>
              <w:t>1.20</w:t>
            </w:r>
            <w:r>
              <w:rPr>
                <w:color w:val="auto"/>
              </w:rPr>
              <w:t>%=</w:t>
            </w:r>
            <w:r>
              <w:rPr>
                <w:rFonts w:hint="eastAsia"/>
                <w:color w:val="auto"/>
                <w:lang w:val="en-US" w:eastAsia="zh-CN"/>
              </w:rPr>
              <w:t>2.75</w:t>
            </w:r>
          </w:p>
        </w:tc>
      </w:tr>
      <w:tr w14:paraId="26104020">
        <w:tblPrEx>
          <w:tblCellMar>
            <w:top w:w="0" w:type="dxa"/>
            <w:left w:w="108" w:type="dxa"/>
            <w:bottom w:w="0" w:type="dxa"/>
            <w:right w:w="108" w:type="dxa"/>
          </w:tblCellMar>
        </w:tblPrEx>
        <w:trPr>
          <w:trHeight w:val="34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61CF7182">
            <w:pPr>
              <w:jc w:val="center"/>
              <w:rPr>
                <w:color w:val="auto"/>
              </w:rPr>
            </w:pPr>
            <w:r>
              <w:rPr>
                <w:color w:val="auto"/>
              </w:rPr>
              <w:t>4</w:t>
            </w:r>
          </w:p>
        </w:tc>
        <w:tc>
          <w:tcPr>
            <w:tcW w:w="1843" w:type="dxa"/>
            <w:tcBorders>
              <w:top w:val="single" w:color="auto" w:sz="4" w:space="0"/>
              <w:left w:val="nil"/>
              <w:bottom w:val="single" w:color="auto" w:sz="4" w:space="0"/>
              <w:right w:val="single" w:color="auto" w:sz="4" w:space="0"/>
            </w:tcBorders>
            <w:vAlign w:val="center"/>
          </w:tcPr>
          <w:p w14:paraId="5D1F9F01">
            <w:pPr>
              <w:jc w:val="center"/>
              <w:rPr>
                <w:color w:val="auto"/>
              </w:rPr>
            </w:pPr>
            <w:r>
              <w:rPr>
                <w:rFonts w:hint="eastAsia"/>
                <w:color w:val="auto"/>
                <w:lang w:val="en-US" w:eastAsia="zh-CN"/>
              </w:rPr>
              <w:t>2</w:t>
            </w:r>
            <w:r>
              <w:rPr>
                <w:color w:val="auto"/>
              </w:rPr>
              <w:t>00</w:t>
            </w:r>
            <w:r>
              <w:rPr>
                <w:rFonts w:hint="eastAsia"/>
                <w:color w:val="auto"/>
                <w:lang w:val="en-US" w:eastAsia="zh-CN"/>
              </w:rPr>
              <w:t>-</w:t>
            </w:r>
            <w:r>
              <w:rPr>
                <w:color w:val="auto"/>
              </w:rPr>
              <w:t>500</w:t>
            </w:r>
          </w:p>
        </w:tc>
        <w:tc>
          <w:tcPr>
            <w:tcW w:w="1133" w:type="dxa"/>
            <w:tcBorders>
              <w:top w:val="single" w:color="auto" w:sz="4" w:space="0"/>
              <w:left w:val="nil"/>
              <w:bottom w:val="single" w:color="auto" w:sz="4" w:space="0"/>
              <w:right w:val="single" w:color="auto" w:sz="4" w:space="0"/>
            </w:tcBorders>
            <w:vAlign w:val="center"/>
          </w:tcPr>
          <w:p w14:paraId="0E94174D">
            <w:pPr>
              <w:jc w:val="center"/>
              <w:rPr>
                <w:rFonts w:hint="default" w:eastAsia="宋体"/>
                <w:color w:val="auto"/>
                <w:lang w:val="en-US" w:eastAsia="zh-CN"/>
              </w:rPr>
            </w:pPr>
            <w:r>
              <w:rPr>
                <w:rFonts w:hint="eastAsia"/>
                <w:color w:val="auto"/>
                <w:lang w:val="en-US" w:eastAsia="zh-CN"/>
              </w:rPr>
              <w:t>0.8</w:t>
            </w:r>
          </w:p>
        </w:tc>
        <w:tc>
          <w:tcPr>
            <w:tcW w:w="1701" w:type="dxa"/>
            <w:tcBorders>
              <w:top w:val="single" w:color="auto" w:sz="4" w:space="0"/>
              <w:left w:val="nil"/>
              <w:bottom w:val="single" w:color="auto" w:sz="4" w:space="0"/>
              <w:right w:val="single" w:color="auto" w:sz="4" w:space="0"/>
            </w:tcBorders>
            <w:vAlign w:val="center"/>
          </w:tcPr>
          <w:p w14:paraId="14E34C5F">
            <w:pPr>
              <w:jc w:val="center"/>
              <w:rPr>
                <w:color w:val="auto"/>
              </w:rPr>
            </w:pPr>
            <w:r>
              <w:rPr>
                <w:rFonts w:hint="eastAsia"/>
                <w:color w:val="auto"/>
                <w:lang w:val="en-US" w:eastAsia="zh-CN"/>
              </w:rPr>
              <w:t>500</w:t>
            </w:r>
          </w:p>
        </w:tc>
        <w:tc>
          <w:tcPr>
            <w:tcW w:w="3402" w:type="dxa"/>
            <w:tcBorders>
              <w:top w:val="single" w:color="auto" w:sz="4" w:space="0"/>
              <w:left w:val="nil"/>
              <w:bottom w:val="single" w:color="auto" w:sz="4" w:space="0"/>
              <w:right w:val="single" w:color="auto" w:sz="4" w:space="0"/>
            </w:tcBorders>
            <w:vAlign w:val="center"/>
          </w:tcPr>
          <w:p w14:paraId="70711AD0">
            <w:pPr>
              <w:jc w:val="center"/>
              <w:rPr>
                <w:color w:val="auto"/>
              </w:rPr>
            </w:pPr>
            <w:r>
              <w:rPr>
                <w:rFonts w:hint="eastAsia"/>
                <w:color w:val="auto"/>
                <w:lang w:val="en-US" w:eastAsia="zh-CN"/>
              </w:rPr>
              <w:t>2.75</w:t>
            </w:r>
            <w:r>
              <w:rPr>
                <w:color w:val="auto"/>
              </w:rPr>
              <w:t>+(500-</w:t>
            </w:r>
            <w:r>
              <w:rPr>
                <w:rFonts w:hint="eastAsia"/>
                <w:color w:val="auto"/>
                <w:lang w:val="en-US" w:eastAsia="zh-CN"/>
              </w:rPr>
              <w:t>2</w:t>
            </w:r>
            <w:r>
              <w:rPr>
                <w:color w:val="auto"/>
              </w:rPr>
              <w:t>00)×</w:t>
            </w:r>
            <w:r>
              <w:rPr>
                <w:rFonts w:hint="eastAsia"/>
                <w:color w:val="auto"/>
                <w:lang w:val="en-US" w:eastAsia="zh-CN"/>
              </w:rPr>
              <w:t>1</w:t>
            </w:r>
            <w:r>
              <w:rPr>
                <w:color w:val="auto"/>
              </w:rPr>
              <w:t>%=</w:t>
            </w:r>
            <w:r>
              <w:rPr>
                <w:rFonts w:hint="eastAsia"/>
                <w:color w:val="auto"/>
                <w:lang w:val="en-US" w:eastAsia="zh-CN"/>
              </w:rPr>
              <w:t>5.15</w:t>
            </w:r>
          </w:p>
        </w:tc>
      </w:tr>
      <w:tr w14:paraId="69777F01">
        <w:tblPrEx>
          <w:tblCellMar>
            <w:top w:w="0" w:type="dxa"/>
            <w:left w:w="108" w:type="dxa"/>
            <w:bottom w:w="0" w:type="dxa"/>
            <w:right w:w="108" w:type="dxa"/>
          </w:tblCellMar>
        </w:tblPrEx>
        <w:trPr>
          <w:trHeight w:val="34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6C6185B5">
            <w:pPr>
              <w:jc w:val="center"/>
              <w:rPr>
                <w:color w:val="auto"/>
              </w:rPr>
            </w:pPr>
            <w:r>
              <w:rPr>
                <w:color w:val="auto"/>
              </w:rPr>
              <w:t>5</w:t>
            </w:r>
          </w:p>
        </w:tc>
        <w:tc>
          <w:tcPr>
            <w:tcW w:w="1843" w:type="dxa"/>
            <w:tcBorders>
              <w:top w:val="single" w:color="auto" w:sz="4" w:space="0"/>
              <w:left w:val="nil"/>
              <w:bottom w:val="single" w:color="auto" w:sz="4" w:space="0"/>
              <w:right w:val="single" w:color="auto" w:sz="4" w:space="0"/>
            </w:tcBorders>
            <w:vAlign w:val="center"/>
          </w:tcPr>
          <w:p w14:paraId="2724B5B8">
            <w:pPr>
              <w:jc w:val="center"/>
              <w:rPr>
                <w:color w:val="auto"/>
              </w:rPr>
            </w:pPr>
            <w:r>
              <w:rPr>
                <w:color w:val="auto"/>
              </w:rPr>
              <w:t>500</w:t>
            </w:r>
            <w:r>
              <w:rPr>
                <w:rFonts w:hint="eastAsia"/>
                <w:color w:val="auto"/>
                <w:lang w:val="en-US" w:eastAsia="zh-CN"/>
              </w:rPr>
              <w:t>-</w:t>
            </w:r>
            <w:r>
              <w:rPr>
                <w:color w:val="auto"/>
              </w:rPr>
              <w:t>1000</w:t>
            </w:r>
          </w:p>
        </w:tc>
        <w:tc>
          <w:tcPr>
            <w:tcW w:w="1133" w:type="dxa"/>
            <w:tcBorders>
              <w:top w:val="single" w:color="auto" w:sz="4" w:space="0"/>
              <w:left w:val="nil"/>
              <w:bottom w:val="single" w:color="auto" w:sz="4" w:space="0"/>
              <w:right w:val="single" w:color="auto" w:sz="4" w:space="0"/>
            </w:tcBorders>
            <w:vAlign w:val="center"/>
          </w:tcPr>
          <w:p w14:paraId="1C31A285">
            <w:pPr>
              <w:jc w:val="center"/>
              <w:rPr>
                <w:rFonts w:hint="default" w:eastAsia="宋体"/>
                <w:color w:val="auto"/>
                <w:lang w:val="en-US" w:eastAsia="zh-CN"/>
              </w:rPr>
            </w:pPr>
            <w:r>
              <w:rPr>
                <w:rFonts w:hint="eastAsia"/>
                <w:color w:val="auto"/>
                <w:lang w:val="en-US" w:eastAsia="zh-CN"/>
              </w:rPr>
              <w:t>0.5</w:t>
            </w:r>
          </w:p>
        </w:tc>
        <w:tc>
          <w:tcPr>
            <w:tcW w:w="1701" w:type="dxa"/>
            <w:tcBorders>
              <w:top w:val="single" w:color="auto" w:sz="4" w:space="0"/>
              <w:left w:val="nil"/>
              <w:bottom w:val="single" w:color="auto" w:sz="4" w:space="0"/>
              <w:right w:val="single" w:color="auto" w:sz="4" w:space="0"/>
            </w:tcBorders>
            <w:vAlign w:val="center"/>
          </w:tcPr>
          <w:p w14:paraId="07883811">
            <w:pPr>
              <w:jc w:val="center"/>
              <w:rPr>
                <w:color w:val="auto"/>
              </w:rPr>
            </w:pPr>
            <w:r>
              <w:rPr>
                <w:rFonts w:hint="eastAsia"/>
                <w:color w:val="auto"/>
                <w:lang w:val="en-US" w:eastAsia="zh-CN"/>
              </w:rPr>
              <w:t>1000</w:t>
            </w:r>
          </w:p>
        </w:tc>
        <w:tc>
          <w:tcPr>
            <w:tcW w:w="3402" w:type="dxa"/>
            <w:tcBorders>
              <w:top w:val="single" w:color="auto" w:sz="4" w:space="0"/>
              <w:left w:val="nil"/>
              <w:bottom w:val="single" w:color="auto" w:sz="4" w:space="0"/>
              <w:right w:val="single" w:color="auto" w:sz="4" w:space="0"/>
            </w:tcBorders>
            <w:vAlign w:val="center"/>
          </w:tcPr>
          <w:p w14:paraId="7D930DC3">
            <w:pPr>
              <w:jc w:val="center"/>
              <w:rPr>
                <w:rFonts w:hint="default"/>
                <w:color w:val="auto"/>
                <w:lang w:val="en-US"/>
              </w:rPr>
            </w:pPr>
            <w:r>
              <w:rPr>
                <w:rFonts w:hint="eastAsia"/>
                <w:color w:val="auto"/>
                <w:lang w:val="en-US" w:eastAsia="zh-CN"/>
              </w:rPr>
              <w:t>5.15</w:t>
            </w:r>
            <w:r>
              <w:rPr>
                <w:color w:val="auto"/>
              </w:rPr>
              <w:t>+(1000-500)×0.</w:t>
            </w:r>
            <w:r>
              <w:rPr>
                <w:rFonts w:hint="eastAsia"/>
                <w:color w:val="auto"/>
                <w:lang w:val="en-US" w:eastAsia="zh-CN"/>
              </w:rPr>
              <w:t>70</w:t>
            </w:r>
            <w:r>
              <w:rPr>
                <w:color w:val="auto"/>
              </w:rPr>
              <w:t>%=</w:t>
            </w:r>
            <w:r>
              <w:rPr>
                <w:rFonts w:hint="eastAsia"/>
                <w:color w:val="auto"/>
                <w:lang w:val="en-US" w:eastAsia="zh-CN"/>
              </w:rPr>
              <w:t>7.65</w:t>
            </w:r>
          </w:p>
        </w:tc>
      </w:tr>
      <w:tr w14:paraId="57A31126">
        <w:tblPrEx>
          <w:tblCellMar>
            <w:top w:w="0" w:type="dxa"/>
            <w:left w:w="108" w:type="dxa"/>
            <w:bottom w:w="0" w:type="dxa"/>
            <w:right w:w="108" w:type="dxa"/>
          </w:tblCellMar>
        </w:tblPrEx>
        <w:trPr>
          <w:trHeight w:val="34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5C6FE84E">
            <w:pPr>
              <w:jc w:val="center"/>
              <w:rPr>
                <w:color w:val="auto"/>
              </w:rPr>
            </w:pPr>
            <w:r>
              <w:rPr>
                <w:color w:val="auto"/>
              </w:rPr>
              <w:t>6</w:t>
            </w:r>
          </w:p>
        </w:tc>
        <w:tc>
          <w:tcPr>
            <w:tcW w:w="1843" w:type="dxa"/>
            <w:tcBorders>
              <w:top w:val="single" w:color="auto" w:sz="4" w:space="0"/>
              <w:left w:val="nil"/>
              <w:bottom w:val="single" w:color="auto" w:sz="4" w:space="0"/>
              <w:right w:val="single" w:color="auto" w:sz="4" w:space="0"/>
            </w:tcBorders>
            <w:vAlign w:val="center"/>
          </w:tcPr>
          <w:p w14:paraId="51B1E22E">
            <w:pPr>
              <w:jc w:val="center"/>
              <w:rPr>
                <w:color w:val="auto"/>
              </w:rPr>
            </w:pPr>
            <w:r>
              <w:rPr>
                <w:rFonts w:hint="eastAsia"/>
                <w:color w:val="auto"/>
                <w:lang w:val="en-US" w:eastAsia="zh-CN"/>
              </w:rPr>
              <w:t>1000-3</w:t>
            </w:r>
            <w:r>
              <w:rPr>
                <w:color w:val="auto"/>
              </w:rPr>
              <w:t>000</w:t>
            </w:r>
          </w:p>
        </w:tc>
        <w:tc>
          <w:tcPr>
            <w:tcW w:w="1133" w:type="dxa"/>
            <w:tcBorders>
              <w:top w:val="single" w:color="auto" w:sz="4" w:space="0"/>
              <w:left w:val="nil"/>
              <w:bottom w:val="single" w:color="auto" w:sz="4" w:space="0"/>
              <w:right w:val="single" w:color="auto" w:sz="4" w:space="0"/>
            </w:tcBorders>
            <w:vAlign w:val="center"/>
          </w:tcPr>
          <w:p w14:paraId="2849C025">
            <w:pPr>
              <w:jc w:val="center"/>
              <w:rPr>
                <w:rFonts w:hint="default" w:eastAsia="宋体"/>
                <w:color w:val="auto"/>
                <w:lang w:val="en-US" w:eastAsia="zh-CN"/>
              </w:rPr>
            </w:pPr>
            <w:r>
              <w:rPr>
                <w:rFonts w:hint="eastAsia"/>
                <w:color w:val="auto"/>
                <w:lang w:val="en-US" w:eastAsia="zh-CN"/>
              </w:rPr>
              <w:t>0.3</w:t>
            </w:r>
          </w:p>
        </w:tc>
        <w:tc>
          <w:tcPr>
            <w:tcW w:w="1701" w:type="dxa"/>
            <w:tcBorders>
              <w:top w:val="single" w:color="auto" w:sz="4" w:space="0"/>
              <w:left w:val="nil"/>
              <w:bottom w:val="single" w:color="auto" w:sz="4" w:space="0"/>
              <w:right w:val="single" w:color="auto" w:sz="4" w:space="0"/>
            </w:tcBorders>
            <w:vAlign w:val="center"/>
          </w:tcPr>
          <w:p w14:paraId="323A10CA">
            <w:pPr>
              <w:jc w:val="center"/>
              <w:rPr>
                <w:color w:val="auto"/>
              </w:rPr>
            </w:pPr>
            <w:r>
              <w:rPr>
                <w:rFonts w:hint="eastAsia"/>
                <w:color w:val="auto"/>
                <w:lang w:val="en-US" w:eastAsia="zh-CN"/>
              </w:rPr>
              <w:t>3000</w:t>
            </w:r>
          </w:p>
        </w:tc>
        <w:tc>
          <w:tcPr>
            <w:tcW w:w="3402" w:type="dxa"/>
            <w:tcBorders>
              <w:top w:val="single" w:color="auto" w:sz="4" w:space="0"/>
              <w:left w:val="nil"/>
              <w:bottom w:val="single" w:color="auto" w:sz="4" w:space="0"/>
              <w:right w:val="single" w:color="auto" w:sz="4" w:space="0"/>
            </w:tcBorders>
            <w:vAlign w:val="center"/>
          </w:tcPr>
          <w:p w14:paraId="7C14D46D">
            <w:pPr>
              <w:jc w:val="center"/>
              <w:rPr>
                <w:rFonts w:hint="default"/>
                <w:color w:val="auto"/>
                <w:lang w:val="en-US"/>
              </w:rPr>
            </w:pPr>
            <w:r>
              <w:rPr>
                <w:rFonts w:hint="eastAsia"/>
                <w:color w:val="auto"/>
                <w:lang w:val="en-US" w:eastAsia="zh-CN"/>
              </w:rPr>
              <w:t>7.65</w:t>
            </w:r>
            <w:r>
              <w:rPr>
                <w:color w:val="auto"/>
              </w:rPr>
              <w:t>+(</w:t>
            </w:r>
            <w:r>
              <w:rPr>
                <w:rFonts w:hint="eastAsia"/>
                <w:color w:val="auto"/>
                <w:lang w:val="en-US" w:eastAsia="zh-CN"/>
              </w:rPr>
              <w:t>3</w:t>
            </w:r>
            <w:r>
              <w:rPr>
                <w:color w:val="auto"/>
              </w:rPr>
              <w:t>000-1000)×0</w:t>
            </w:r>
            <w:r>
              <w:rPr>
                <w:rFonts w:hint="eastAsia"/>
                <w:color w:val="auto"/>
                <w:lang w:val="en-US" w:eastAsia="zh-CN"/>
              </w:rPr>
              <w:t>.40</w:t>
            </w:r>
            <w:r>
              <w:rPr>
                <w:color w:val="auto"/>
              </w:rPr>
              <w:t>%=</w:t>
            </w:r>
            <w:r>
              <w:rPr>
                <w:rFonts w:hint="eastAsia"/>
                <w:color w:val="auto"/>
                <w:lang w:val="en-US" w:eastAsia="zh-CN"/>
              </w:rPr>
              <w:t>13.65</w:t>
            </w:r>
          </w:p>
        </w:tc>
      </w:tr>
      <w:tr w14:paraId="331E9320">
        <w:tblPrEx>
          <w:tblCellMar>
            <w:top w:w="0" w:type="dxa"/>
            <w:left w:w="108" w:type="dxa"/>
            <w:bottom w:w="0" w:type="dxa"/>
            <w:right w:w="108" w:type="dxa"/>
          </w:tblCellMar>
        </w:tblPrEx>
        <w:trPr>
          <w:trHeight w:val="34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2599C395">
            <w:pPr>
              <w:jc w:val="center"/>
              <w:rPr>
                <w:rFonts w:hint="eastAsia" w:eastAsia="宋体"/>
                <w:color w:val="auto"/>
                <w:lang w:val="en-US" w:eastAsia="zh-CN"/>
              </w:rPr>
            </w:pPr>
            <w:r>
              <w:rPr>
                <w:rFonts w:hint="eastAsia"/>
                <w:color w:val="auto"/>
                <w:lang w:val="en-US" w:eastAsia="zh-CN"/>
              </w:rPr>
              <w:t>7</w:t>
            </w:r>
          </w:p>
        </w:tc>
        <w:tc>
          <w:tcPr>
            <w:tcW w:w="1843" w:type="dxa"/>
            <w:tcBorders>
              <w:top w:val="single" w:color="auto" w:sz="4" w:space="0"/>
              <w:left w:val="nil"/>
              <w:bottom w:val="single" w:color="auto" w:sz="4" w:space="0"/>
              <w:right w:val="single" w:color="auto" w:sz="4" w:space="0"/>
            </w:tcBorders>
            <w:vAlign w:val="center"/>
          </w:tcPr>
          <w:p w14:paraId="133F9904">
            <w:pPr>
              <w:jc w:val="center"/>
              <w:rPr>
                <w:color w:val="auto"/>
              </w:rPr>
            </w:pPr>
            <w:r>
              <w:rPr>
                <w:rFonts w:hint="eastAsia"/>
                <w:color w:val="auto"/>
                <w:lang w:val="en-US" w:eastAsia="zh-CN"/>
              </w:rPr>
              <w:t>3000-5000</w:t>
            </w:r>
          </w:p>
        </w:tc>
        <w:tc>
          <w:tcPr>
            <w:tcW w:w="1133" w:type="dxa"/>
            <w:tcBorders>
              <w:top w:val="single" w:color="auto" w:sz="4" w:space="0"/>
              <w:left w:val="nil"/>
              <w:bottom w:val="single" w:color="auto" w:sz="4" w:space="0"/>
              <w:right w:val="single" w:color="auto" w:sz="4" w:space="0"/>
            </w:tcBorders>
            <w:vAlign w:val="center"/>
          </w:tcPr>
          <w:p w14:paraId="6CFD2C0D">
            <w:pPr>
              <w:jc w:val="center"/>
              <w:rPr>
                <w:rFonts w:hint="default" w:eastAsia="宋体"/>
                <w:color w:val="auto"/>
                <w:lang w:val="en-US" w:eastAsia="zh-CN"/>
              </w:rPr>
            </w:pPr>
            <w:r>
              <w:rPr>
                <w:rFonts w:hint="eastAsia"/>
                <w:color w:val="auto"/>
                <w:lang w:val="en-US" w:eastAsia="zh-CN"/>
              </w:rPr>
              <w:t>0.2</w:t>
            </w:r>
          </w:p>
        </w:tc>
        <w:tc>
          <w:tcPr>
            <w:tcW w:w="1701" w:type="dxa"/>
            <w:tcBorders>
              <w:top w:val="single" w:color="auto" w:sz="4" w:space="0"/>
              <w:left w:val="nil"/>
              <w:bottom w:val="single" w:color="auto" w:sz="4" w:space="0"/>
              <w:right w:val="single" w:color="auto" w:sz="4" w:space="0"/>
            </w:tcBorders>
            <w:vAlign w:val="center"/>
          </w:tcPr>
          <w:p w14:paraId="543EB87B">
            <w:pPr>
              <w:jc w:val="center"/>
              <w:rPr>
                <w:color w:val="auto"/>
              </w:rPr>
            </w:pPr>
            <w:r>
              <w:rPr>
                <w:rFonts w:hint="eastAsia"/>
                <w:color w:val="auto"/>
                <w:lang w:val="en-US" w:eastAsia="zh-CN"/>
              </w:rPr>
              <w:t>5000</w:t>
            </w:r>
          </w:p>
        </w:tc>
        <w:tc>
          <w:tcPr>
            <w:tcW w:w="3402" w:type="dxa"/>
            <w:tcBorders>
              <w:top w:val="single" w:color="auto" w:sz="4" w:space="0"/>
              <w:left w:val="nil"/>
              <w:bottom w:val="single" w:color="auto" w:sz="4" w:space="0"/>
              <w:right w:val="single" w:color="auto" w:sz="4" w:space="0"/>
            </w:tcBorders>
            <w:vAlign w:val="center"/>
          </w:tcPr>
          <w:p w14:paraId="109B36EF">
            <w:pPr>
              <w:jc w:val="center"/>
              <w:rPr>
                <w:rFonts w:hint="default"/>
                <w:color w:val="auto"/>
                <w:lang w:val="en-US"/>
              </w:rPr>
            </w:pPr>
            <w:r>
              <w:rPr>
                <w:rFonts w:hint="eastAsia"/>
                <w:color w:val="auto"/>
                <w:lang w:val="en-US" w:eastAsia="zh-CN"/>
              </w:rPr>
              <w:t>13.65</w:t>
            </w:r>
            <w:r>
              <w:rPr>
                <w:color w:val="auto"/>
              </w:rPr>
              <w:t>+(</w:t>
            </w:r>
            <w:r>
              <w:rPr>
                <w:rFonts w:hint="eastAsia"/>
                <w:color w:val="auto"/>
                <w:lang w:val="en-US" w:eastAsia="zh-CN"/>
              </w:rPr>
              <w:t>50</w:t>
            </w:r>
            <w:r>
              <w:rPr>
                <w:color w:val="auto"/>
              </w:rPr>
              <w:t>00-</w:t>
            </w:r>
            <w:r>
              <w:rPr>
                <w:rFonts w:hint="eastAsia"/>
                <w:color w:val="auto"/>
                <w:lang w:val="en-US" w:eastAsia="zh-CN"/>
              </w:rPr>
              <w:t>3</w:t>
            </w:r>
            <w:r>
              <w:rPr>
                <w:color w:val="auto"/>
              </w:rPr>
              <w:t>000)×0</w:t>
            </w:r>
            <w:r>
              <w:rPr>
                <w:rFonts w:hint="eastAsia"/>
                <w:color w:val="auto"/>
                <w:lang w:val="en-US" w:eastAsia="zh-CN"/>
              </w:rPr>
              <w:t>.10</w:t>
            </w:r>
            <w:r>
              <w:rPr>
                <w:color w:val="auto"/>
              </w:rPr>
              <w:t>%=</w:t>
            </w:r>
            <w:r>
              <w:rPr>
                <w:rFonts w:hint="eastAsia"/>
                <w:color w:val="auto"/>
                <w:lang w:val="en-US" w:eastAsia="zh-CN"/>
              </w:rPr>
              <w:t>17.65</w:t>
            </w:r>
          </w:p>
        </w:tc>
      </w:tr>
      <w:tr w14:paraId="135C44DC">
        <w:tblPrEx>
          <w:tblCellMar>
            <w:top w:w="0" w:type="dxa"/>
            <w:left w:w="108" w:type="dxa"/>
            <w:bottom w:w="0" w:type="dxa"/>
            <w:right w:w="108" w:type="dxa"/>
          </w:tblCellMar>
        </w:tblPrEx>
        <w:trPr>
          <w:trHeight w:val="34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41EEC85C">
            <w:pPr>
              <w:jc w:val="center"/>
              <w:rPr>
                <w:rFonts w:hint="eastAsia" w:eastAsia="宋体"/>
                <w:color w:val="auto"/>
                <w:lang w:val="en-US" w:eastAsia="zh-CN"/>
              </w:rPr>
            </w:pPr>
            <w:r>
              <w:rPr>
                <w:rFonts w:hint="eastAsia"/>
                <w:color w:val="auto"/>
                <w:lang w:val="en-US" w:eastAsia="zh-CN"/>
              </w:rPr>
              <w:t>8</w:t>
            </w:r>
          </w:p>
        </w:tc>
        <w:tc>
          <w:tcPr>
            <w:tcW w:w="1843" w:type="dxa"/>
            <w:tcBorders>
              <w:top w:val="single" w:color="auto" w:sz="4" w:space="0"/>
              <w:left w:val="nil"/>
              <w:bottom w:val="single" w:color="auto" w:sz="4" w:space="0"/>
              <w:right w:val="single" w:color="auto" w:sz="4" w:space="0"/>
            </w:tcBorders>
            <w:vAlign w:val="center"/>
          </w:tcPr>
          <w:p w14:paraId="41FFCD9D">
            <w:pPr>
              <w:jc w:val="center"/>
              <w:rPr>
                <w:color w:val="auto"/>
              </w:rPr>
            </w:pPr>
            <w:r>
              <w:rPr>
                <w:rFonts w:hint="eastAsia"/>
                <w:color w:val="auto"/>
                <w:lang w:val="en-US" w:eastAsia="zh-CN"/>
              </w:rPr>
              <w:t>5000-10000</w:t>
            </w:r>
          </w:p>
        </w:tc>
        <w:tc>
          <w:tcPr>
            <w:tcW w:w="1133" w:type="dxa"/>
            <w:tcBorders>
              <w:top w:val="single" w:color="auto" w:sz="4" w:space="0"/>
              <w:left w:val="nil"/>
              <w:bottom w:val="single" w:color="auto" w:sz="4" w:space="0"/>
              <w:right w:val="single" w:color="auto" w:sz="4" w:space="0"/>
            </w:tcBorders>
            <w:vAlign w:val="center"/>
          </w:tcPr>
          <w:p w14:paraId="4B586EEF">
            <w:pPr>
              <w:jc w:val="center"/>
              <w:rPr>
                <w:rFonts w:hint="default" w:eastAsia="宋体"/>
                <w:color w:val="auto"/>
                <w:lang w:val="en-US" w:eastAsia="zh-CN"/>
              </w:rPr>
            </w:pPr>
            <w:r>
              <w:rPr>
                <w:rFonts w:hint="eastAsia"/>
                <w:color w:val="auto"/>
                <w:lang w:val="en-US" w:eastAsia="zh-CN"/>
              </w:rPr>
              <w:t>0.1</w:t>
            </w:r>
          </w:p>
        </w:tc>
        <w:tc>
          <w:tcPr>
            <w:tcW w:w="1701" w:type="dxa"/>
            <w:tcBorders>
              <w:top w:val="single" w:color="auto" w:sz="4" w:space="0"/>
              <w:left w:val="nil"/>
              <w:bottom w:val="single" w:color="auto" w:sz="4" w:space="0"/>
              <w:right w:val="single" w:color="auto" w:sz="4" w:space="0"/>
            </w:tcBorders>
            <w:vAlign w:val="center"/>
          </w:tcPr>
          <w:p w14:paraId="4EA32393">
            <w:pPr>
              <w:jc w:val="center"/>
              <w:rPr>
                <w:color w:val="auto"/>
              </w:rPr>
            </w:pPr>
            <w:r>
              <w:rPr>
                <w:rFonts w:hint="eastAsia"/>
                <w:color w:val="auto"/>
                <w:lang w:val="en-US" w:eastAsia="zh-CN"/>
              </w:rPr>
              <w:t>10000</w:t>
            </w:r>
          </w:p>
        </w:tc>
        <w:tc>
          <w:tcPr>
            <w:tcW w:w="3402" w:type="dxa"/>
            <w:tcBorders>
              <w:top w:val="single" w:color="auto" w:sz="4" w:space="0"/>
              <w:left w:val="nil"/>
              <w:bottom w:val="single" w:color="auto" w:sz="4" w:space="0"/>
              <w:right w:val="single" w:color="auto" w:sz="4" w:space="0"/>
            </w:tcBorders>
            <w:vAlign w:val="center"/>
          </w:tcPr>
          <w:p w14:paraId="421124D1">
            <w:pPr>
              <w:jc w:val="center"/>
              <w:rPr>
                <w:rFonts w:hint="default"/>
                <w:color w:val="auto"/>
                <w:lang w:val="en-US"/>
              </w:rPr>
            </w:pPr>
            <w:r>
              <w:rPr>
                <w:rFonts w:hint="eastAsia"/>
                <w:color w:val="auto"/>
                <w:lang w:val="en-US" w:eastAsia="zh-CN"/>
              </w:rPr>
              <w:t>17.65</w:t>
            </w:r>
            <w:r>
              <w:rPr>
                <w:color w:val="auto"/>
              </w:rPr>
              <w:t>+(</w:t>
            </w:r>
            <w:r>
              <w:rPr>
                <w:rFonts w:hint="eastAsia"/>
                <w:color w:val="auto"/>
                <w:lang w:val="en-US" w:eastAsia="zh-CN"/>
              </w:rPr>
              <w:t>10</w:t>
            </w:r>
            <w:r>
              <w:rPr>
                <w:color w:val="auto"/>
              </w:rPr>
              <w:t>000-</w:t>
            </w:r>
            <w:r>
              <w:rPr>
                <w:rFonts w:hint="eastAsia"/>
                <w:color w:val="auto"/>
                <w:lang w:val="en-US" w:eastAsia="zh-CN"/>
              </w:rPr>
              <w:t>5</w:t>
            </w:r>
            <w:r>
              <w:rPr>
                <w:color w:val="auto"/>
              </w:rPr>
              <w:t>000)×0</w:t>
            </w:r>
            <w:r>
              <w:rPr>
                <w:rFonts w:hint="eastAsia"/>
                <w:color w:val="auto"/>
                <w:lang w:val="en-US" w:eastAsia="zh-CN"/>
              </w:rPr>
              <w:t>.06</w:t>
            </w:r>
            <w:r>
              <w:rPr>
                <w:color w:val="auto"/>
              </w:rPr>
              <w:t>%=</w:t>
            </w:r>
            <w:r>
              <w:rPr>
                <w:rFonts w:hint="eastAsia"/>
                <w:color w:val="auto"/>
                <w:lang w:val="en-US" w:eastAsia="zh-CN"/>
              </w:rPr>
              <w:t>22.65</w:t>
            </w:r>
          </w:p>
        </w:tc>
      </w:tr>
    </w:tbl>
    <w:p w14:paraId="7F5F431F">
      <w:pPr>
        <w:spacing w:line="360" w:lineRule="auto"/>
        <w:ind w:firstLine="361" w:firstLineChars="200"/>
        <w:rPr>
          <w:b/>
          <w:bCs w:val="0"/>
          <w:color w:val="auto"/>
          <w:sz w:val="18"/>
          <w:szCs w:val="18"/>
        </w:rPr>
      </w:pPr>
      <w:r>
        <w:rPr>
          <w:b/>
          <w:bCs w:val="0"/>
          <w:color w:val="auto"/>
          <w:sz w:val="18"/>
          <w:szCs w:val="18"/>
        </w:rPr>
        <w:t>注：</w:t>
      </w:r>
      <w:r>
        <w:rPr>
          <w:rFonts w:hint="eastAsia"/>
          <w:b/>
          <w:bCs w:val="0"/>
          <w:color w:val="auto"/>
          <w:sz w:val="18"/>
          <w:szCs w:val="18"/>
          <w:lang w:val="en-US" w:eastAsia="zh-CN"/>
        </w:rPr>
        <w:t>计费基数不足50万元时，按1万元计取；</w:t>
      </w:r>
      <w:r>
        <w:rPr>
          <w:b/>
          <w:bCs w:val="0"/>
          <w:color w:val="auto"/>
          <w:sz w:val="18"/>
          <w:szCs w:val="18"/>
        </w:rPr>
        <w:t>计费基数大于1亿元时，按计费基数的</w:t>
      </w:r>
      <w:r>
        <w:rPr>
          <w:rFonts w:hint="eastAsia"/>
          <w:b/>
          <w:bCs w:val="0"/>
          <w:color w:val="auto"/>
          <w:sz w:val="18"/>
          <w:szCs w:val="18"/>
          <w:lang w:val="en-US" w:eastAsia="zh-CN"/>
        </w:rPr>
        <w:t>0.05</w:t>
      </w:r>
      <w:r>
        <w:rPr>
          <w:b/>
          <w:bCs w:val="0"/>
          <w:color w:val="auto"/>
          <w:sz w:val="18"/>
          <w:szCs w:val="18"/>
        </w:rPr>
        <w:t>%计取。</w:t>
      </w:r>
    </w:p>
    <w:p w14:paraId="0E8081F1">
      <w:pPr>
        <w:spacing w:line="360" w:lineRule="auto"/>
        <w:ind w:firstLine="560" w:firstLineChars="200"/>
        <w:jc w:val="left"/>
        <w:rPr>
          <w:rFonts w:hint="eastAsia" w:ascii="Times New Roman" w:hAnsi="Times New Roman" w:cs="Times New Roman"/>
          <w:color w:val="auto"/>
          <w:sz w:val="28"/>
          <w:szCs w:val="28"/>
          <w:lang w:eastAsia="zh-CN"/>
        </w:rPr>
      </w:pPr>
      <w:r>
        <w:rPr>
          <w:rFonts w:hint="eastAsia" w:ascii="Times New Roman" w:hAnsi="Times New Roman" w:cs="Times New Roman"/>
          <w:color w:val="auto"/>
          <w:sz w:val="28"/>
          <w:szCs w:val="28"/>
        </w:rPr>
        <w:t>价差预备费</w:t>
      </w:r>
      <w:r>
        <w:rPr>
          <w:rFonts w:hint="eastAsia" w:ascii="Times New Roman" w:hAnsi="Times New Roman" w:cs="Times New Roman"/>
          <w:color w:val="auto"/>
          <w:sz w:val="28"/>
          <w:szCs w:val="28"/>
          <w:lang w:eastAsia="zh-CN"/>
        </w:rPr>
        <w:t>：</w:t>
      </w:r>
      <w:r>
        <w:rPr>
          <w:rFonts w:hint="eastAsia" w:ascii="Times New Roman" w:hAnsi="Times New Roman" w:cs="Times New Roman"/>
          <w:color w:val="auto"/>
          <w:sz w:val="28"/>
          <w:szCs w:val="28"/>
        </w:rPr>
        <w:t>指为在建设期内利率、汇率或价格等因素的变化而预留的可能增加的费用。内容包括</w:t>
      </w:r>
      <w:r>
        <w:rPr>
          <w:rFonts w:hint="eastAsia" w:ascii="Times New Roman" w:hAnsi="Times New Roman" w:cs="Times New Roman"/>
          <w:color w:val="auto"/>
          <w:sz w:val="28"/>
          <w:szCs w:val="28"/>
          <w:lang w:eastAsia="zh-CN"/>
        </w:rPr>
        <w:t>：</w:t>
      </w:r>
      <w:r>
        <w:rPr>
          <w:rFonts w:hint="eastAsia" w:ascii="Times New Roman" w:hAnsi="Times New Roman" w:cs="Times New Roman"/>
          <w:color w:val="auto"/>
          <w:sz w:val="28"/>
          <w:szCs w:val="28"/>
        </w:rPr>
        <w:t>人工、设备、材料、施工机具的价差费，利率、汇率调整等增加的费用。价差预备费的计算公式为</w:t>
      </w:r>
      <w:r>
        <w:rPr>
          <w:rFonts w:hint="eastAsia" w:ascii="Times New Roman" w:hAnsi="Times New Roman" w:cs="Times New Roman"/>
          <w:color w:val="auto"/>
          <w:sz w:val="28"/>
          <w:szCs w:val="28"/>
          <w:lang w:eastAsia="zh-CN"/>
        </w:rPr>
        <w:t>：</w:t>
      </w:r>
    </w:p>
    <w:p w14:paraId="2F5AE019">
      <w:pPr>
        <w:spacing w:line="360" w:lineRule="auto"/>
        <w:ind w:firstLine="420" w:firstLineChars="200"/>
        <w:jc w:val="center"/>
        <w:rPr>
          <w:rFonts w:hint="eastAsia" w:ascii="Times New Roman" w:hAnsi="Times New Roman" w:eastAsia="宋体" w:cs="Times New Roman"/>
          <w:color w:val="auto"/>
          <w:sz w:val="28"/>
          <w:szCs w:val="28"/>
          <w:lang w:eastAsia="zh-CN"/>
        </w:rPr>
      </w:pPr>
      <w:r>
        <w:rPr>
          <w:rFonts w:hint="eastAsia"/>
          <w:color w:val="auto"/>
          <w:lang w:eastAsia="zh-CN"/>
        </w:rPr>
        <w:t xml:space="preserve">    </w:t>
      </w:r>
    </w:p>
    <w:p w14:paraId="5EA88AE8">
      <w:pPr>
        <w:spacing w:line="360" w:lineRule="auto"/>
        <w:ind w:firstLine="560" w:firstLineChars="200"/>
        <w:jc w:val="left"/>
        <w:rPr>
          <w:rFonts w:hint="eastAsia" w:ascii="Times New Roman" w:hAnsi="Times New Roman" w:cs="Times New Roman"/>
          <w:color w:val="auto"/>
          <w:sz w:val="28"/>
          <w:szCs w:val="28"/>
          <w:lang w:eastAsia="zh-CN"/>
        </w:rPr>
      </w:pPr>
      <w:r>
        <w:rPr>
          <w:rFonts w:hint="eastAsia" w:ascii="Times New Roman" w:hAnsi="Times New Roman" w:cs="Times New Roman"/>
          <w:color w:val="auto"/>
          <w:sz w:val="28"/>
          <w:szCs w:val="28"/>
          <w:lang w:eastAsia="zh-CN"/>
        </w:rPr>
        <w:t>备注：</w:t>
      </w:r>
    </w:p>
    <w:p w14:paraId="587BA379">
      <w:pPr>
        <w:spacing w:line="360" w:lineRule="auto"/>
        <w:ind w:firstLine="560" w:firstLineChars="200"/>
        <w:jc w:val="left"/>
        <w:rPr>
          <w:rFonts w:hint="eastAsia" w:ascii="Times New Roman" w:hAnsi="Times New Roman" w:cs="Times New Roman"/>
          <w:color w:val="auto"/>
          <w:sz w:val="28"/>
          <w:szCs w:val="28"/>
          <w:lang w:eastAsia="zh-CN"/>
        </w:rPr>
      </w:pPr>
      <w:r>
        <w:rPr>
          <w:rFonts w:hint="eastAsia" w:ascii="Times New Roman" w:hAnsi="Times New Roman" w:cs="Times New Roman"/>
          <w:color w:val="auto"/>
          <w:sz w:val="28"/>
          <w:szCs w:val="28"/>
          <w:lang w:eastAsia="zh-CN"/>
        </w:rPr>
        <w:t>PF：价差预备费；</w:t>
      </w:r>
    </w:p>
    <w:p w14:paraId="07EC15AE">
      <w:pPr>
        <w:spacing w:line="360" w:lineRule="auto"/>
        <w:ind w:firstLine="560" w:firstLineChars="200"/>
        <w:jc w:val="left"/>
        <w:rPr>
          <w:rFonts w:hint="eastAsia" w:ascii="Times New Roman" w:hAnsi="Times New Roman" w:cs="Times New Roman"/>
          <w:color w:val="auto"/>
          <w:sz w:val="28"/>
          <w:szCs w:val="28"/>
          <w:lang w:eastAsia="zh-CN"/>
        </w:rPr>
      </w:pPr>
      <w:r>
        <w:rPr>
          <w:rFonts w:hint="eastAsia" w:ascii="Times New Roman" w:hAnsi="Times New Roman" w:cs="Times New Roman"/>
          <w:color w:val="auto"/>
          <w:sz w:val="28"/>
          <w:szCs w:val="28"/>
          <w:lang w:val="en-US" w:eastAsia="zh-CN"/>
        </w:rPr>
        <w:t>n</w:t>
      </w:r>
      <w:r>
        <w:rPr>
          <w:rFonts w:hint="eastAsia" w:ascii="Times New Roman" w:hAnsi="Times New Roman" w:cs="Times New Roman"/>
          <w:color w:val="auto"/>
          <w:sz w:val="28"/>
          <w:szCs w:val="28"/>
          <w:lang w:eastAsia="zh-CN"/>
        </w:rPr>
        <w:t>：建设期年份数；</w:t>
      </w:r>
    </w:p>
    <w:p w14:paraId="4C93B230">
      <w:pPr>
        <w:spacing w:line="360" w:lineRule="auto"/>
        <w:ind w:firstLine="560" w:firstLineChars="200"/>
        <w:jc w:val="left"/>
        <w:rPr>
          <w:rFonts w:hint="eastAsia" w:ascii="Times New Roman" w:hAnsi="Times New Roman" w:cs="Times New Roman"/>
          <w:color w:val="auto"/>
          <w:sz w:val="28"/>
          <w:szCs w:val="28"/>
          <w:lang w:eastAsia="zh-CN"/>
        </w:rPr>
      </w:pPr>
      <w:r>
        <w:rPr>
          <w:rFonts w:hint="eastAsia" w:ascii="Times New Roman" w:hAnsi="Times New Roman" w:cs="Times New Roman"/>
          <w:color w:val="auto"/>
          <w:sz w:val="28"/>
          <w:szCs w:val="28"/>
          <w:lang w:eastAsia="zh-CN"/>
        </w:rPr>
        <w:t>It：建设期中第t年的静态投资计划额，包括工程费用、工程建设其他费用及基本预备费；</w:t>
      </w:r>
    </w:p>
    <w:p w14:paraId="5B659BD6">
      <w:pPr>
        <w:spacing w:line="360" w:lineRule="auto"/>
        <w:ind w:firstLine="560" w:firstLineChars="200"/>
        <w:jc w:val="left"/>
        <w:rPr>
          <w:rFonts w:hint="eastAsia" w:ascii="Times New Roman" w:hAnsi="Times New Roman" w:cs="Times New Roman"/>
          <w:color w:val="auto"/>
          <w:sz w:val="28"/>
          <w:szCs w:val="28"/>
          <w:lang w:eastAsia="zh-CN"/>
        </w:rPr>
      </w:pPr>
      <w:r>
        <w:rPr>
          <w:rFonts w:hint="eastAsia" w:ascii="Times New Roman" w:hAnsi="Times New Roman" w:cs="Times New Roman"/>
          <w:color w:val="auto"/>
          <w:sz w:val="28"/>
          <w:szCs w:val="28"/>
          <w:lang w:eastAsia="zh-CN"/>
        </w:rPr>
        <w:t>F：年涨价率;；注:年涨价率根据政府部门有规定的按规定执行，没有规定的由可行性研究人员预测。</w:t>
      </w:r>
    </w:p>
    <w:p w14:paraId="37148457">
      <w:pPr>
        <w:spacing w:line="360" w:lineRule="auto"/>
        <w:ind w:firstLine="560" w:firstLineChars="200"/>
        <w:jc w:val="left"/>
        <w:rPr>
          <w:rFonts w:hint="eastAsia" w:ascii="Times New Roman" w:hAnsi="Times New Roman" w:cs="Times New Roman"/>
          <w:color w:val="auto"/>
          <w:sz w:val="28"/>
          <w:szCs w:val="28"/>
          <w:lang w:eastAsia="zh-CN"/>
        </w:rPr>
      </w:pPr>
      <w:r>
        <w:rPr>
          <w:rFonts w:hint="eastAsia" w:ascii="Times New Roman" w:hAnsi="Times New Roman" w:cs="Times New Roman"/>
          <w:color w:val="auto"/>
          <w:sz w:val="28"/>
          <w:szCs w:val="28"/>
          <w:lang w:val="en-US" w:eastAsia="zh-CN"/>
        </w:rPr>
        <w:t>m</w:t>
      </w:r>
      <w:r>
        <w:rPr>
          <w:rFonts w:hint="eastAsia" w:ascii="Times New Roman" w:hAnsi="Times New Roman" w:cs="Times New Roman"/>
          <w:color w:val="auto"/>
          <w:sz w:val="28"/>
          <w:szCs w:val="28"/>
          <w:lang w:eastAsia="zh-CN"/>
        </w:rPr>
        <w:t>：建设前期年限(从编制估算到开工建设，单位：年)。</w:t>
      </w:r>
    </w:p>
    <w:p w14:paraId="1CC3FBB0">
      <w:pPr>
        <w:spacing w:line="360" w:lineRule="auto"/>
        <w:ind w:firstLine="560" w:firstLineChars="200"/>
        <w:jc w:val="left"/>
        <w:rPr>
          <w:color w:val="auto"/>
          <w:sz w:val="28"/>
          <w:szCs w:val="28"/>
        </w:rPr>
      </w:pPr>
      <w:r>
        <w:rPr>
          <w:color w:val="auto"/>
          <w:sz w:val="28"/>
          <w:szCs w:val="28"/>
        </w:rPr>
        <w:t>4、监测管护费</w:t>
      </w:r>
    </w:p>
    <w:p w14:paraId="2A4E0E1F">
      <w:pPr>
        <w:pStyle w:val="20"/>
        <w:spacing w:line="360" w:lineRule="auto"/>
        <w:rPr>
          <w:rFonts w:hint="eastAsia"/>
          <w:color w:val="auto"/>
          <w:sz w:val="28"/>
          <w:szCs w:val="28"/>
        </w:rPr>
      </w:pPr>
      <w:r>
        <w:rPr>
          <w:rFonts w:hint="eastAsia"/>
          <w:color w:val="auto"/>
          <w:sz w:val="28"/>
          <w:szCs w:val="28"/>
        </w:rPr>
        <w:t>监测管护费=监测费+管护费</w:t>
      </w:r>
    </w:p>
    <w:p w14:paraId="0EA54C0A">
      <w:pPr>
        <w:pStyle w:val="20"/>
        <w:spacing w:line="360" w:lineRule="auto"/>
        <w:rPr>
          <w:rFonts w:hint="eastAsia" w:eastAsia="宋体"/>
          <w:color w:val="auto"/>
          <w:sz w:val="28"/>
          <w:szCs w:val="28"/>
          <w:lang w:eastAsia="zh-CN"/>
        </w:rPr>
      </w:pPr>
      <w:r>
        <w:rPr>
          <w:rFonts w:hint="eastAsia"/>
          <w:color w:val="auto"/>
          <w:sz w:val="28"/>
          <w:szCs w:val="28"/>
        </w:rPr>
        <w:t>监测费</w:t>
      </w:r>
      <w:r>
        <w:rPr>
          <w:rFonts w:hint="eastAsia"/>
          <w:color w:val="auto"/>
          <w:sz w:val="28"/>
          <w:szCs w:val="28"/>
          <w:lang w:eastAsia="zh-CN"/>
        </w:rPr>
        <w:t>：</w:t>
      </w:r>
    </w:p>
    <w:p w14:paraId="3C0E831C">
      <w:pPr>
        <w:pStyle w:val="20"/>
        <w:spacing w:line="360" w:lineRule="auto"/>
        <w:rPr>
          <w:rFonts w:hint="eastAsia"/>
          <w:color w:val="auto"/>
          <w:sz w:val="28"/>
          <w:szCs w:val="28"/>
        </w:rPr>
      </w:pPr>
      <w:r>
        <w:rPr>
          <w:rFonts w:hint="eastAsia"/>
          <w:color w:val="auto"/>
          <w:sz w:val="28"/>
          <w:szCs w:val="28"/>
        </w:rPr>
        <w:t>以工程施工费作为计费基数，一次监测费用可按不超过工程施工费的0.3%计算。计算公式为</w:t>
      </w:r>
      <w:r>
        <w:rPr>
          <w:rFonts w:hint="eastAsia"/>
          <w:color w:val="auto"/>
          <w:sz w:val="28"/>
          <w:szCs w:val="28"/>
          <w:lang w:eastAsia="zh-CN"/>
        </w:rPr>
        <w:t>：</w:t>
      </w:r>
      <w:r>
        <w:rPr>
          <w:rFonts w:hint="eastAsia"/>
          <w:color w:val="auto"/>
          <w:sz w:val="28"/>
          <w:szCs w:val="28"/>
        </w:rPr>
        <w:t>监测费=工程施工费</w:t>
      </w:r>
      <w:r>
        <w:rPr>
          <w:rFonts w:hint="eastAsia"/>
          <w:color w:val="auto"/>
          <w:sz w:val="28"/>
          <w:szCs w:val="28"/>
          <w:lang w:val="en-US" w:eastAsia="zh-CN"/>
        </w:rPr>
        <w:t>×</w:t>
      </w:r>
      <w:r>
        <w:rPr>
          <w:rFonts w:hint="eastAsia"/>
          <w:color w:val="auto"/>
          <w:sz w:val="28"/>
          <w:szCs w:val="28"/>
        </w:rPr>
        <w:t>费率</w:t>
      </w:r>
      <w:r>
        <w:rPr>
          <w:rFonts w:hint="eastAsia"/>
          <w:color w:val="auto"/>
          <w:sz w:val="28"/>
          <w:szCs w:val="28"/>
          <w:lang w:val="en-US" w:eastAsia="zh-CN"/>
        </w:rPr>
        <w:t>×</w:t>
      </w:r>
      <w:r>
        <w:rPr>
          <w:rFonts w:hint="eastAsia"/>
          <w:color w:val="auto"/>
          <w:sz w:val="28"/>
          <w:szCs w:val="28"/>
        </w:rPr>
        <w:t>监测次数</w:t>
      </w:r>
    </w:p>
    <w:p w14:paraId="6831BE69">
      <w:pPr>
        <w:pStyle w:val="20"/>
        <w:spacing w:line="360" w:lineRule="auto"/>
        <w:rPr>
          <w:rFonts w:hint="eastAsia" w:eastAsia="宋体"/>
          <w:color w:val="auto"/>
          <w:sz w:val="28"/>
          <w:szCs w:val="28"/>
          <w:lang w:eastAsia="zh-CN"/>
        </w:rPr>
      </w:pPr>
      <w:r>
        <w:rPr>
          <w:rFonts w:hint="eastAsia"/>
          <w:color w:val="auto"/>
          <w:sz w:val="28"/>
          <w:szCs w:val="28"/>
        </w:rPr>
        <w:t>管护费</w:t>
      </w:r>
      <w:r>
        <w:rPr>
          <w:rFonts w:hint="eastAsia"/>
          <w:color w:val="auto"/>
          <w:sz w:val="28"/>
          <w:szCs w:val="28"/>
          <w:lang w:eastAsia="zh-CN"/>
        </w:rPr>
        <w:t>：</w:t>
      </w:r>
    </w:p>
    <w:p w14:paraId="283F0B56">
      <w:pPr>
        <w:pStyle w:val="20"/>
        <w:spacing w:line="360" w:lineRule="auto"/>
        <w:rPr>
          <w:rFonts w:hint="eastAsia" w:eastAsia="宋体"/>
          <w:color w:val="auto"/>
          <w:sz w:val="28"/>
          <w:szCs w:val="28"/>
          <w:lang w:eastAsia="zh-CN"/>
        </w:rPr>
      </w:pPr>
      <w:r>
        <w:rPr>
          <w:rFonts w:hint="eastAsia"/>
          <w:color w:val="auto"/>
          <w:sz w:val="28"/>
          <w:szCs w:val="28"/>
        </w:rPr>
        <w:t>以项目植物工程的工程施工费作为计费基数，一次管护费用可按不超过植物工程的工程施工费的8%计算。计算公式为</w:t>
      </w:r>
      <w:r>
        <w:rPr>
          <w:rFonts w:hint="eastAsia"/>
          <w:color w:val="auto"/>
          <w:sz w:val="28"/>
          <w:szCs w:val="28"/>
          <w:lang w:eastAsia="zh-CN"/>
        </w:rPr>
        <w:t>：</w:t>
      </w:r>
      <w:r>
        <w:rPr>
          <w:rFonts w:hint="eastAsia"/>
          <w:color w:val="auto"/>
          <w:sz w:val="28"/>
          <w:szCs w:val="28"/>
        </w:rPr>
        <w:t>管护费=植物工程的工程施工费</w:t>
      </w:r>
      <w:r>
        <w:rPr>
          <w:rFonts w:hint="eastAsia"/>
          <w:color w:val="auto"/>
          <w:sz w:val="28"/>
          <w:szCs w:val="28"/>
          <w:lang w:val="en-US" w:eastAsia="zh-CN"/>
        </w:rPr>
        <w:t>×</w:t>
      </w:r>
      <w:r>
        <w:rPr>
          <w:rFonts w:hint="eastAsia"/>
          <w:color w:val="auto"/>
          <w:sz w:val="28"/>
          <w:szCs w:val="28"/>
        </w:rPr>
        <w:t>费率</w:t>
      </w:r>
      <w:r>
        <w:rPr>
          <w:rFonts w:hint="eastAsia"/>
          <w:color w:val="auto"/>
          <w:sz w:val="28"/>
          <w:szCs w:val="28"/>
          <w:lang w:val="en-US" w:eastAsia="zh-CN"/>
        </w:rPr>
        <w:t>×</w:t>
      </w:r>
      <w:r>
        <w:rPr>
          <w:rFonts w:hint="eastAsia"/>
          <w:color w:val="auto"/>
          <w:sz w:val="28"/>
          <w:szCs w:val="28"/>
        </w:rPr>
        <w:t>管护次数</w:t>
      </w:r>
      <w:r>
        <w:rPr>
          <w:rFonts w:hint="eastAsia"/>
          <w:color w:val="auto"/>
          <w:sz w:val="28"/>
          <w:szCs w:val="28"/>
          <w:lang w:eastAsia="zh-CN"/>
        </w:rPr>
        <w:t>。</w:t>
      </w:r>
    </w:p>
    <w:p w14:paraId="7A7C1B4C">
      <w:pPr>
        <w:spacing w:line="360" w:lineRule="auto"/>
        <w:ind w:firstLine="562" w:firstLineChars="200"/>
        <w:jc w:val="left"/>
        <w:outlineLvl w:val="2"/>
        <w:rPr>
          <w:rFonts w:eastAsiaTheme="minorEastAsia"/>
          <w:color w:val="auto"/>
        </w:rPr>
      </w:pPr>
      <w:r>
        <w:rPr>
          <w:b/>
          <w:bCs/>
          <w:color w:val="auto"/>
          <w:sz w:val="28"/>
          <w:szCs w:val="28"/>
        </w:rPr>
        <w:t>三、经费估算</w:t>
      </w:r>
    </w:p>
    <w:p w14:paraId="2086439A">
      <w:pPr>
        <w:pStyle w:val="20"/>
        <w:spacing w:line="360" w:lineRule="auto"/>
        <w:rPr>
          <w:rFonts w:ascii="Times New Roman" w:hAnsi="Times New Roman" w:eastAsiaTheme="minorEastAsia"/>
          <w:color w:val="auto"/>
        </w:rPr>
      </w:pPr>
      <w:r>
        <w:rPr>
          <w:rFonts w:ascii="Times New Roman" w:hAnsi="Times New Roman" w:eastAsiaTheme="minorEastAsia"/>
          <w:color w:val="auto"/>
        </w:rPr>
        <w:t>矿区生态修复工程总投资经费</w:t>
      </w:r>
      <w:r>
        <w:rPr>
          <w:rFonts w:hint="eastAsia" w:ascii="Times New Roman" w:hAnsi="Times New Roman" w:eastAsiaTheme="minorEastAsia"/>
          <w:color w:val="auto"/>
          <w:lang w:val="en-US" w:eastAsia="zh-CN"/>
        </w:rPr>
        <w:t>207.29</w:t>
      </w:r>
      <w:r>
        <w:rPr>
          <w:rFonts w:ascii="Times New Roman" w:hAnsi="Times New Roman" w:eastAsiaTheme="minorEastAsia"/>
          <w:color w:val="auto"/>
        </w:rPr>
        <w:t>万元，其中工程施工费</w:t>
      </w:r>
      <w:r>
        <w:rPr>
          <w:rFonts w:hint="eastAsia" w:ascii="Times New Roman" w:hAnsi="Times New Roman" w:eastAsiaTheme="minorEastAsia"/>
          <w:color w:val="auto"/>
          <w:lang w:val="en-US" w:eastAsia="zh-CN"/>
        </w:rPr>
        <w:t>167.98</w:t>
      </w:r>
      <w:r>
        <w:rPr>
          <w:rFonts w:ascii="Times New Roman" w:hAnsi="Times New Roman" w:eastAsiaTheme="minorEastAsia"/>
          <w:color w:val="auto"/>
        </w:rPr>
        <w:t>万元，其他费用</w:t>
      </w:r>
      <w:r>
        <w:rPr>
          <w:rFonts w:hint="eastAsia" w:ascii="Times New Roman" w:hAnsi="Times New Roman" w:eastAsiaTheme="minorEastAsia"/>
          <w:color w:val="auto"/>
          <w:lang w:val="en-US" w:eastAsia="zh-CN"/>
        </w:rPr>
        <w:t>30.74</w:t>
      </w:r>
      <w:r>
        <w:rPr>
          <w:rFonts w:ascii="Times New Roman" w:hAnsi="Times New Roman" w:eastAsiaTheme="minorEastAsia"/>
          <w:color w:val="auto"/>
        </w:rPr>
        <w:t>万元，监测+管护费</w:t>
      </w:r>
      <w:r>
        <w:rPr>
          <w:rFonts w:hint="eastAsia" w:ascii="Times New Roman" w:hAnsi="Times New Roman" w:eastAsiaTheme="minorEastAsia"/>
          <w:color w:val="auto"/>
          <w:lang w:val="en-US" w:eastAsia="zh-CN"/>
        </w:rPr>
        <w:t>6.58</w:t>
      </w:r>
      <w:r>
        <w:rPr>
          <w:rFonts w:ascii="Times New Roman" w:hAnsi="Times New Roman" w:eastAsiaTheme="minorEastAsia"/>
          <w:color w:val="auto"/>
        </w:rPr>
        <w:t>万元，动态投资经费为</w:t>
      </w:r>
      <w:r>
        <w:rPr>
          <w:rFonts w:hint="eastAsia" w:ascii="Times New Roman" w:hAnsi="Times New Roman" w:eastAsiaTheme="minorEastAsia"/>
          <w:color w:val="auto"/>
          <w:lang w:val="en-US" w:eastAsia="zh-CN"/>
        </w:rPr>
        <w:t>1.99</w:t>
      </w:r>
      <w:r>
        <w:rPr>
          <w:rFonts w:ascii="Times New Roman" w:hAnsi="Times New Roman" w:eastAsiaTheme="minorEastAsia"/>
          <w:color w:val="auto"/>
        </w:rPr>
        <w:t>万元。详见生态修复总费用组成分析表，表6-1</w:t>
      </w:r>
      <w:r>
        <w:rPr>
          <w:rFonts w:hint="eastAsia" w:ascii="Times New Roman" w:hAnsi="Times New Roman" w:eastAsiaTheme="minorEastAsia"/>
          <w:color w:val="auto"/>
          <w:lang w:val="en-US" w:eastAsia="zh-CN"/>
        </w:rPr>
        <w:t>2至</w:t>
      </w:r>
      <w:r>
        <w:rPr>
          <w:rFonts w:ascii="Times New Roman" w:hAnsi="Times New Roman" w:eastAsiaTheme="minorEastAsia"/>
          <w:color w:val="auto"/>
        </w:rPr>
        <w:t>6-</w:t>
      </w:r>
      <w:r>
        <w:rPr>
          <w:rFonts w:hint="eastAsia" w:ascii="Times New Roman" w:hAnsi="Times New Roman" w:eastAsiaTheme="minorEastAsia"/>
          <w:color w:val="auto"/>
          <w:lang w:val="en-US" w:eastAsia="zh-CN"/>
        </w:rPr>
        <w:t>20</w:t>
      </w:r>
      <w:r>
        <w:rPr>
          <w:rFonts w:ascii="Times New Roman" w:hAnsi="Times New Roman" w:eastAsiaTheme="minorEastAsia"/>
          <w:color w:val="auto"/>
        </w:rPr>
        <w:t>。</w:t>
      </w:r>
    </w:p>
    <w:p w14:paraId="2E3BD834">
      <w:pPr>
        <w:jc w:val="center"/>
        <w:rPr>
          <w:rFonts w:eastAsia="黑体"/>
          <w:color w:val="auto"/>
          <w:sz w:val="24"/>
          <w:szCs w:val="24"/>
        </w:rPr>
      </w:pPr>
    </w:p>
    <w:p w14:paraId="532782C0">
      <w:pPr>
        <w:jc w:val="center"/>
        <w:rPr>
          <w:rFonts w:eastAsia="黑体"/>
          <w:color w:val="auto"/>
          <w:sz w:val="24"/>
          <w:szCs w:val="24"/>
        </w:rPr>
      </w:pPr>
    </w:p>
    <w:p w14:paraId="3DE7BDAD">
      <w:pPr>
        <w:jc w:val="center"/>
        <w:rPr>
          <w:rFonts w:eastAsia="黑体"/>
          <w:color w:val="auto"/>
          <w:sz w:val="24"/>
          <w:szCs w:val="24"/>
        </w:rPr>
      </w:pPr>
    </w:p>
    <w:p w14:paraId="2EDBC595">
      <w:pPr>
        <w:jc w:val="center"/>
        <w:rPr>
          <w:rFonts w:eastAsia="黑体"/>
          <w:color w:val="auto"/>
          <w:sz w:val="24"/>
          <w:szCs w:val="24"/>
        </w:rPr>
      </w:pPr>
    </w:p>
    <w:p w14:paraId="613B2F80">
      <w:pPr>
        <w:jc w:val="center"/>
        <w:rPr>
          <w:rFonts w:eastAsia="黑体"/>
          <w:color w:val="auto"/>
          <w:sz w:val="24"/>
          <w:szCs w:val="24"/>
        </w:rPr>
      </w:pPr>
    </w:p>
    <w:p w14:paraId="486B4E76">
      <w:pPr>
        <w:jc w:val="center"/>
        <w:rPr>
          <w:rFonts w:eastAsia="黑体"/>
          <w:color w:val="auto"/>
          <w:sz w:val="24"/>
          <w:szCs w:val="24"/>
        </w:rPr>
      </w:pPr>
    </w:p>
    <w:p w14:paraId="7C664BA9">
      <w:pPr>
        <w:jc w:val="center"/>
        <w:rPr>
          <w:rFonts w:eastAsia="黑体"/>
          <w:color w:val="auto"/>
          <w:sz w:val="24"/>
          <w:szCs w:val="24"/>
        </w:rPr>
      </w:pPr>
    </w:p>
    <w:p w14:paraId="113CC349">
      <w:pPr>
        <w:jc w:val="center"/>
        <w:rPr>
          <w:rFonts w:eastAsia="黑体"/>
          <w:color w:val="auto"/>
          <w:sz w:val="24"/>
          <w:szCs w:val="24"/>
        </w:rPr>
      </w:pPr>
    </w:p>
    <w:p w14:paraId="7AA1DD53">
      <w:pPr>
        <w:jc w:val="center"/>
        <w:rPr>
          <w:rFonts w:eastAsia="黑体"/>
          <w:color w:val="auto"/>
          <w:sz w:val="24"/>
          <w:szCs w:val="24"/>
        </w:rPr>
      </w:pPr>
    </w:p>
    <w:p w14:paraId="6F0CCA50">
      <w:pPr>
        <w:jc w:val="center"/>
        <w:rPr>
          <w:rFonts w:eastAsia="黑体"/>
          <w:color w:val="auto"/>
          <w:sz w:val="24"/>
          <w:szCs w:val="24"/>
        </w:rPr>
      </w:pPr>
    </w:p>
    <w:p w14:paraId="2932C2FE">
      <w:pPr>
        <w:jc w:val="center"/>
        <w:rPr>
          <w:rFonts w:eastAsia="黑体"/>
          <w:color w:val="auto"/>
          <w:sz w:val="24"/>
          <w:szCs w:val="24"/>
        </w:rPr>
      </w:pPr>
      <w:r>
        <w:rPr>
          <w:rFonts w:eastAsia="黑体"/>
          <w:color w:val="auto"/>
          <w:sz w:val="24"/>
          <w:szCs w:val="24"/>
        </w:rPr>
        <w:t>表6-1</w:t>
      </w:r>
      <w:r>
        <w:rPr>
          <w:rFonts w:hint="eastAsia" w:eastAsia="黑体"/>
          <w:color w:val="auto"/>
          <w:sz w:val="24"/>
          <w:szCs w:val="24"/>
          <w:lang w:val="en-US" w:eastAsia="zh-CN"/>
        </w:rPr>
        <w:t xml:space="preserve">2  </w:t>
      </w:r>
      <w:r>
        <w:rPr>
          <w:rFonts w:eastAsia="黑体"/>
          <w:color w:val="auto"/>
          <w:sz w:val="24"/>
          <w:szCs w:val="24"/>
        </w:rPr>
        <w:t>生态修复费用总表</w:t>
      </w:r>
    </w:p>
    <w:tbl>
      <w:tblPr>
        <w:tblStyle w:val="34"/>
        <w:tblW w:w="497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081"/>
        <w:gridCol w:w="2280"/>
        <w:gridCol w:w="1955"/>
        <w:gridCol w:w="2943"/>
      </w:tblGrid>
      <w:tr w14:paraId="4CD69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5" w:hRule="atLeast"/>
        </w:trPr>
        <w:tc>
          <w:tcPr>
            <w:tcW w:w="654" w:type="pct"/>
            <w:vMerge w:val="restart"/>
            <w:shd w:val="clear" w:color="auto" w:fill="auto"/>
            <w:vAlign w:val="center"/>
          </w:tcPr>
          <w:p w14:paraId="3A75B6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序号</w:t>
            </w:r>
          </w:p>
        </w:tc>
        <w:tc>
          <w:tcPr>
            <w:tcW w:w="1379" w:type="pct"/>
            <w:shd w:val="clear" w:color="auto" w:fill="auto"/>
            <w:vAlign w:val="center"/>
          </w:tcPr>
          <w:p w14:paraId="6138E4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工程或费用名称</w:t>
            </w:r>
          </w:p>
        </w:tc>
        <w:tc>
          <w:tcPr>
            <w:tcW w:w="1183" w:type="pct"/>
            <w:shd w:val="clear" w:color="auto" w:fill="auto"/>
            <w:vAlign w:val="center"/>
          </w:tcPr>
          <w:p w14:paraId="4526C8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预算金额（万元）</w:t>
            </w:r>
          </w:p>
        </w:tc>
        <w:tc>
          <w:tcPr>
            <w:tcW w:w="1781" w:type="pct"/>
            <w:shd w:val="clear" w:color="auto" w:fill="auto"/>
            <w:vAlign w:val="center"/>
          </w:tcPr>
          <w:p w14:paraId="728A8D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各费用占总费用的比例（</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w:t>
            </w:r>
          </w:p>
        </w:tc>
      </w:tr>
      <w:tr w14:paraId="67064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54" w:type="pct"/>
            <w:vMerge w:val="continue"/>
            <w:shd w:val="clear" w:color="auto" w:fill="auto"/>
            <w:vAlign w:val="center"/>
          </w:tcPr>
          <w:p w14:paraId="58D24ABF">
            <w:pPr>
              <w:jc w:val="center"/>
              <w:rPr>
                <w:rFonts w:hint="eastAsia" w:ascii="宋体" w:hAnsi="宋体" w:eastAsia="宋体" w:cs="宋体"/>
                <w:i w:val="0"/>
                <w:iCs w:val="0"/>
                <w:color w:val="auto"/>
                <w:sz w:val="21"/>
                <w:szCs w:val="21"/>
                <w:u w:val="none"/>
              </w:rPr>
            </w:pPr>
          </w:p>
        </w:tc>
        <w:tc>
          <w:tcPr>
            <w:tcW w:w="1379" w:type="pct"/>
            <w:shd w:val="clear" w:color="auto" w:fill="auto"/>
            <w:vAlign w:val="center"/>
          </w:tcPr>
          <w:p w14:paraId="05A43F0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183" w:type="pct"/>
            <w:shd w:val="clear" w:color="auto" w:fill="auto"/>
            <w:vAlign w:val="center"/>
          </w:tcPr>
          <w:p w14:paraId="3D0BB23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781" w:type="pct"/>
            <w:shd w:val="clear" w:color="auto" w:fill="auto"/>
            <w:vAlign w:val="center"/>
          </w:tcPr>
          <w:p w14:paraId="3CFBDA6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r>
      <w:tr w14:paraId="7D54E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54" w:type="pct"/>
            <w:shd w:val="clear" w:color="auto" w:fill="auto"/>
            <w:vAlign w:val="center"/>
          </w:tcPr>
          <w:p w14:paraId="07250D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一</w:t>
            </w:r>
          </w:p>
        </w:tc>
        <w:tc>
          <w:tcPr>
            <w:tcW w:w="1379" w:type="pct"/>
            <w:shd w:val="clear" w:color="auto" w:fill="auto"/>
            <w:vAlign w:val="center"/>
          </w:tcPr>
          <w:p w14:paraId="48B652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工程施工费</w:t>
            </w:r>
          </w:p>
        </w:tc>
        <w:tc>
          <w:tcPr>
            <w:tcW w:w="1183" w:type="pct"/>
            <w:shd w:val="clear" w:color="auto" w:fill="auto"/>
            <w:vAlign w:val="center"/>
          </w:tcPr>
          <w:p w14:paraId="12ACF15F">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167.98</w:t>
            </w:r>
          </w:p>
        </w:tc>
        <w:tc>
          <w:tcPr>
            <w:tcW w:w="1781" w:type="pct"/>
            <w:shd w:val="clear" w:color="auto" w:fill="auto"/>
            <w:vAlign w:val="center"/>
          </w:tcPr>
          <w:p w14:paraId="7439C33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81.04 </w:t>
            </w:r>
          </w:p>
        </w:tc>
      </w:tr>
      <w:tr w14:paraId="7EC7E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54" w:type="pct"/>
            <w:shd w:val="clear" w:color="auto" w:fill="auto"/>
            <w:vAlign w:val="center"/>
          </w:tcPr>
          <w:p w14:paraId="063B42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二</w:t>
            </w:r>
          </w:p>
        </w:tc>
        <w:tc>
          <w:tcPr>
            <w:tcW w:w="1379" w:type="pct"/>
            <w:shd w:val="clear" w:color="auto" w:fill="auto"/>
            <w:vAlign w:val="center"/>
          </w:tcPr>
          <w:p w14:paraId="2D8E34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其他费用</w:t>
            </w:r>
          </w:p>
        </w:tc>
        <w:tc>
          <w:tcPr>
            <w:tcW w:w="1183" w:type="pct"/>
            <w:shd w:val="clear" w:color="auto" w:fill="auto"/>
            <w:vAlign w:val="center"/>
          </w:tcPr>
          <w:p w14:paraId="38A1419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30.74</w:t>
            </w:r>
          </w:p>
        </w:tc>
        <w:tc>
          <w:tcPr>
            <w:tcW w:w="1781" w:type="pct"/>
            <w:shd w:val="clear" w:color="auto" w:fill="auto"/>
            <w:vAlign w:val="center"/>
          </w:tcPr>
          <w:p w14:paraId="68A74CE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14.83 </w:t>
            </w:r>
          </w:p>
        </w:tc>
      </w:tr>
      <w:tr w14:paraId="54610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54" w:type="pct"/>
            <w:shd w:val="clear" w:color="auto" w:fill="auto"/>
            <w:vAlign w:val="center"/>
          </w:tcPr>
          <w:p w14:paraId="41D650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w:t>
            </w:r>
          </w:p>
        </w:tc>
        <w:tc>
          <w:tcPr>
            <w:tcW w:w="1379" w:type="pct"/>
            <w:shd w:val="clear" w:color="auto" w:fill="auto"/>
            <w:vAlign w:val="center"/>
          </w:tcPr>
          <w:p w14:paraId="32214F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监测管护费</w:t>
            </w:r>
          </w:p>
        </w:tc>
        <w:tc>
          <w:tcPr>
            <w:tcW w:w="1183" w:type="pct"/>
            <w:shd w:val="clear" w:color="auto" w:fill="auto"/>
            <w:vAlign w:val="center"/>
          </w:tcPr>
          <w:p w14:paraId="218DE40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6.58</w:t>
            </w:r>
          </w:p>
        </w:tc>
        <w:tc>
          <w:tcPr>
            <w:tcW w:w="1781" w:type="pct"/>
            <w:shd w:val="clear" w:color="auto" w:fill="auto"/>
            <w:vAlign w:val="center"/>
          </w:tcPr>
          <w:p w14:paraId="408F04D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3.17 </w:t>
            </w:r>
          </w:p>
        </w:tc>
      </w:tr>
      <w:tr w14:paraId="1EC88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54" w:type="pct"/>
            <w:shd w:val="clear" w:color="auto" w:fill="auto"/>
            <w:vAlign w:val="center"/>
          </w:tcPr>
          <w:p w14:paraId="29EA37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四</w:t>
            </w:r>
          </w:p>
        </w:tc>
        <w:tc>
          <w:tcPr>
            <w:tcW w:w="1379" w:type="pct"/>
            <w:shd w:val="clear" w:color="auto" w:fill="auto"/>
            <w:vAlign w:val="center"/>
          </w:tcPr>
          <w:p w14:paraId="1E413E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不可预见费</w:t>
            </w:r>
          </w:p>
        </w:tc>
        <w:tc>
          <w:tcPr>
            <w:tcW w:w="1183" w:type="pct"/>
            <w:shd w:val="clear" w:color="auto" w:fill="auto"/>
            <w:vAlign w:val="center"/>
          </w:tcPr>
          <w:p w14:paraId="2A4BF44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1.99</w:t>
            </w:r>
          </w:p>
        </w:tc>
        <w:tc>
          <w:tcPr>
            <w:tcW w:w="1781" w:type="pct"/>
            <w:shd w:val="clear" w:color="auto" w:fill="auto"/>
            <w:vAlign w:val="center"/>
          </w:tcPr>
          <w:p w14:paraId="1A23DBE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0.96 </w:t>
            </w:r>
          </w:p>
        </w:tc>
      </w:tr>
      <w:tr w14:paraId="043BE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54" w:type="pct"/>
            <w:shd w:val="clear" w:color="auto" w:fill="auto"/>
            <w:vAlign w:val="center"/>
          </w:tcPr>
          <w:p w14:paraId="0C90040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79" w:type="pct"/>
            <w:shd w:val="clear" w:color="auto" w:fill="auto"/>
            <w:vAlign w:val="center"/>
          </w:tcPr>
          <w:p w14:paraId="3EC963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基本预备费</w:t>
            </w:r>
          </w:p>
        </w:tc>
        <w:tc>
          <w:tcPr>
            <w:tcW w:w="1183" w:type="pct"/>
            <w:shd w:val="clear" w:color="auto" w:fill="auto"/>
            <w:vAlign w:val="center"/>
          </w:tcPr>
          <w:p w14:paraId="70A08EA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1.99</w:t>
            </w:r>
          </w:p>
        </w:tc>
        <w:tc>
          <w:tcPr>
            <w:tcW w:w="1781" w:type="pct"/>
            <w:shd w:val="clear" w:color="auto" w:fill="auto"/>
            <w:vAlign w:val="center"/>
          </w:tcPr>
          <w:p w14:paraId="14E7F50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0.96 </w:t>
            </w:r>
          </w:p>
        </w:tc>
      </w:tr>
      <w:tr w14:paraId="74ECF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54" w:type="pct"/>
            <w:shd w:val="clear" w:color="auto" w:fill="auto"/>
            <w:vAlign w:val="center"/>
          </w:tcPr>
          <w:p w14:paraId="02FD69D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379" w:type="pct"/>
            <w:shd w:val="clear" w:color="auto" w:fill="auto"/>
            <w:vAlign w:val="center"/>
          </w:tcPr>
          <w:p w14:paraId="2FF2A0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价差预备费</w:t>
            </w:r>
          </w:p>
        </w:tc>
        <w:tc>
          <w:tcPr>
            <w:tcW w:w="1183" w:type="pct"/>
            <w:shd w:val="clear" w:color="auto" w:fill="auto"/>
            <w:vAlign w:val="center"/>
          </w:tcPr>
          <w:p w14:paraId="6D1A6C6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1781" w:type="pct"/>
            <w:shd w:val="clear" w:color="auto" w:fill="auto"/>
            <w:vAlign w:val="center"/>
          </w:tcPr>
          <w:p w14:paraId="620C5A1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r>
      <w:tr w14:paraId="62329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034" w:type="pct"/>
            <w:gridSpan w:val="2"/>
            <w:shd w:val="clear" w:color="auto" w:fill="auto"/>
            <w:vAlign w:val="center"/>
          </w:tcPr>
          <w:p w14:paraId="342D987F">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总</w:t>
            </w:r>
            <w:r>
              <w:rPr>
                <w:rFonts w:hint="default" w:ascii="Times New Roman" w:hAnsi="Times New Roman" w:eastAsia="宋体" w:cs="Times New Roman"/>
                <w:b/>
                <w:bCs/>
                <w:i w:val="0"/>
                <w:iCs w:val="0"/>
                <w:color w:val="auto"/>
                <w:kern w:val="0"/>
                <w:sz w:val="21"/>
                <w:szCs w:val="21"/>
                <w:u w:val="none"/>
                <w:lang w:val="en-US" w:eastAsia="zh-CN" w:bidi="ar"/>
              </w:rPr>
              <w:t xml:space="preserve">  </w:t>
            </w:r>
            <w:r>
              <w:rPr>
                <w:rFonts w:hint="eastAsia" w:ascii="宋体" w:hAnsi="宋体" w:eastAsia="宋体" w:cs="宋体"/>
                <w:b/>
                <w:bCs/>
                <w:i w:val="0"/>
                <w:iCs w:val="0"/>
                <w:color w:val="auto"/>
                <w:kern w:val="0"/>
                <w:sz w:val="21"/>
                <w:szCs w:val="21"/>
                <w:u w:val="none"/>
                <w:lang w:val="en-US" w:eastAsia="zh-CN" w:bidi="ar"/>
              </w:rPr>
              <w:t>计</w:t>
            </w:r>
          </w:p>
        </w:tc>
        <w:tc>
          <w:tcPr>
            <w:tcW w:w="1183" w:type="pct"/>
            <w:shd w:val="clear" w:color="auto" w:fill="auto"/>
            <w:vAlign w:val="center"/>
          </w:tcPr>
          <w:p w14:paraId="1EBF457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207.29</w:t>
            </w:r>
          </w:p>
        </w:tc>
        <w:tc>
          <w:tcPr>
            <w:tcW w:w="1781" w:type="pct"/>
            <w:shd w:val="clear" w:color="auto" w:fill="auto"/>
            <w:vAlign w:val="center"/>
          </w:tcPr>
          <w:p w14:paraId="270AA3D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r>
    </w:tbl>
    <w:p w14:paraId="0B716BD0">
      <w:pPr>
        <w:jc w:val="center"/>
        <w:rPr>
          <w:rFonts w:eastAsia="黑体"/>
          <w:color w:val="auto"/>
          <w:sz w:val="24"/>
          <w:szCs w:val="24"/>
        </w:rPr>
      </w:pPr>
      <w:r>
        <w:rPr>
          <w:rFonts w:eastAsia="黑体"/>
          <w:color w:val="auto"/>
          <w:sz w:val="24"/>
          <w:szCs w:val="24"/>
        </w:rPr>
        <w:t>表6-1</w:t>
      </w:r>
      <w:r>
        <w:rPr>
          <w:rFonts w:hint="eastAsia" w:eastAsia="黑体"/>
          <w:color w:val="auto"/>
          <w:sz w:val="24"/>
          <w:szCs w:val="24"/>
          <w:lang w:val="en-US" w:eastAsia="zh-CN"/>
        </w:rPr>
        <w:t>3</w:t>
      </w:r>
      <w:r>
        <w:rPr>
          <w:rFonts w:eastAsia="黑体"/>
          <w:color w:val="auto"/>
          <w:sz w:val="24"/>
          <w:szCs w:val="24"/>
        </w:rPr>
        <w:t xml:space="preserve">  工程施工费预算总表</w:t>
      </w:r>
    </w:p>
    <w:tbl>
      <w:tblPr>
        <w:tblStyle w:val="34"/>
        <w:tblW w:w="8354" w:type="dxa"/>
        <w:jc w:val="center"/>
        <w:tblLayout w:type="autofit"/>
        <w:tblCellMar>
          <w:top w:w="0" w:type="dxa"/>
          <w:left w:w="108" w:type="dxa"/>
          <w:bottom w:w="0" w:type="dxa"/>
          <w:right w:w="108" w:type="dxa"/>
        </w:tblCellMar>
      </w:tblPr>
      <w:tblGrid>
        <w:gridCol w:w="734"/>
        <w:gridCol w:w="1702"/>
        <w:gridCol w:w="2146"/>
        <w:gridCol w:w="3772"/>
      </w:tblGrid>
      <w:tr w14:paraId="1C8EC8A1">
        <w:tblPrEx>
          <w:tblCellMar>
            <w:top w:w="0" w:type="dxa"/>
            <w:left w:w="108" w:type="dxa"/>
            <w:bottom w:w="0" w:type="dxa"/>
            <w:right w:w="108" w:type="dxa"/>
          </w:tblCellMar>
        </w:tblPrEx>
        <w:trPr>
          <w:trHeight w:val="369" w:hRule="exact"/>
          <w:jc w:val="center"/>
        </w:trPr>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1941C8C1">
            <w:pPr>
              <w:widowControl/>
              <w:ind w:left="0" w:leftChars="0" w:right="0" w:rightChars="0" w:firstLine="0" w:firstLineChars="0"/>
              <w:jc w:val="center"/>
              <w:textAlignment w:val="center"/>
              <w:rPr>
                <w:color w:val="auto"/>
                <w:szCs w:val="21"/>
              </w:rPr>
            </w:pPr>
            <w:r>
              <w:rPr>
                <w:color w:val="auto"/>
                <w:kern w:val="0"/>
                <w:szCs w:val="21"/>
                <w:lang w:bidi="ar"/>
              </w:rPr>
              <w:t>序号</w:t>
            </w:r>
          </w:p>
        </w:tc>
        <w:tc>
          <w:tcPr>
            <w:tcW w:w="0" w:type="auto"/>
            <w:tcBorders>
              <w:top w:val="single" w:color="000000" w:sz="4" w:space="0"/>
              <w:left w:val="single" w:color="000000" w:sz="4" w:space="0"/>
              <w:bottom w:val="single" w:color="000000" w:sz="4" w:space="0"/>
              <w:right w:val="single" w:color="000000" w:sz="4" w:space="0"/>
            </w:tcBorders>
            <w:vAlign w:val="center"/>
          </w:tcPr>
          <w:p w14:paraId="0BBF64D1">
            <w:pPr>
              <w:widowControl/>
              <w:ind w:left="0" w:leftChars="0" w:right="0" w:rightChars="0" w:firstLine="0" w:firstLineChars="0"/>
              <w:jc w:val="center"/>
              <w:textAlignment w:val="center"/>
              <w:rPr>
                <w:color w:val="auto"/>
                <w:szCs w:val="21"/>
              </w:rPr>
            </w:pPr>
            <w:r>
              <w:rPr>
                <w:color w:val="auto"/>
                <w:kern w:val="0"/>
                <w:szCs w:val="21"/>
                <w:lang w:bidi="ar"/>
              </w:rPr>
              <w:t>单项名称</w:t>
            </w:r>
          </w:p>
        </w:tc>
        <w:tc>
          <w:tcPr>
            <w:tcW w:w="0" w:type="auto"/>
            <w:tcBorders>
              <w:top w:val="single" w:color="000000" w:sz="4" w:space="0"/>
              <w:left w:val="single" w:color="000000" w:sz="4" w:space="0"/>
              <w:bottom w:val="single" w:color="000000" w:sz="4" w:space="0"/>
              <w:right w:val="single" w:color="000000" w:sz="4" w:space="0"/>
            </w:tcBorders>
            <w:vAlign w:val="center"/>
          </w:tcPr>
          <w:p w14:paraId="488B4B17">
            <w:pPr>
              <w:widowControl/>
              <w:ind w:left="0" w:leftChars="0" w:right="0" w:rightChars="0" w:firstLine="0" w:firstLineChars="0"/>
              <w:jc w:val="center"/>
              <w:textAlignment w:val="center"/>
              <w:rPr>
                <w:color w:val="auto"/>
                <w:szCs w:val="21"/>
              </w:rPr>
            </w:pPr>
            <w:r>
              <w:rPr>
                <w:color w:val="auto"/>
                <w:kern w:val="0"/>
                <w:szCs w:val="21"/>
                <w:lang w:bidi="ar"/>
              </w:rPr>
              <w:t>预算金额（万元）</w:t>
            </w:r>
          </w:p>
        </w:tc>
        <w:tc>
          <w:tcPr>
            <w:tcW w:w="3772" w:type="dxa"/>
            <w:tcBorders>
              <w:top w:val="single" w:color="000000" w:sz="4" w:space="0"/>
              <w:left w:val="single" w:color="000000" w:sz="4" w:space="0"/>
              <w:bottom w:val="single" w:color="000000" w:sz="4" w:space="0"/>
              <w:right w:val="single" w:color="000000" w:sz="4" w:space="0"/>
            </w:tcBorders>
            <w:vAlign w:val="center"/>
          </w:tcPr>
          <w:p w14:paraId="22CC8ECB">
            <w:pPr>
              <w:widowControl/>
              <w:ind w:left="0" w:leftChars="0" w:right="0" w:rightChars="0" w:firstLine="0" w:firstLineChars="0"/>
              <w:jc w:val="center"/>
              <w:textAlignment w:val="center"/>
              <w:rPr>
                <w:color w:val="auto"/>
                <w:szCs w:val="21"/>
              </w:rPr>
            </w:pPr>
            <w:r>
              <w:rPr>
                <w:color w:val="auto"/>
                <w:kern w:val="0"/>
                <w:szCs w:val="21"/>
                <w:lang w:bidi="ar"/>
              </w:rPr>
              <w:t>各费用占工程施工费的比例（%）</w:t>
            </w:r>
          </w:p>
        </w:tc>
      </w:tr>
      <w:tr w14:paraId="7FC35301">
        <w:tblPrEx>
          <w:tblCellMar>
            <w:top w:w="0" w:type="dxa"/>
            <w:left w:w="108" w:type="dxa"/>
            <w:bottom w:w="0" w:type="dxa"/>
            <w:right w:w="108" w:type="dxa"/>
          </w:tblCellMar>
        </w:tblPrEx>
        <w:trPr>
          <w:trHeight w:val="369"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CB39BE3">
            <w:pPr>
              <w:ind w:left="0" w:leftChars="0" w:right="0" w:rightChars="0" w:firstLine="0" w:firstLineChars="0"/>
              <w:jc w:val="center"/>
              <w:rPr>
                <w:color w:val="auto"/>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1700D50">
            <w:pPr>
              <w:widowControl/>
              <w:ind w:left="0" w:leftChars="0" w:right="0" w:rightChars="0" w:firstLine="0" w:firstLineChars="0"/>
              <w:jc w:val="center"/>
              <w:textAlignment w:val="center"/>
              <w:rPr>
                <w:color w:val="auto"/>
                <w:szCs w:val="21"/>
              </w:rPr>
            </w:pPr>
            <w:r>
              <w:rPr>
                <w:color w:val="auto"/>
                <w:kern w:val="0"/>
                <w:szCs w:val="21"/>
                <w:lang w:bidi="ar"/>
              </w:rPr>
              <w:t>1</w:t>
            </w:r>
          </w:p>
        </w:tc>
        <w:tc>
          <w:tcPr>
            <w:tcW w:w="0" w:type="auto"/>
            <w:tcBorders>
              <w:top w:val="single" w:color="000000" w:sz="4" w:space="0"/>
              <w:left w:val="single" w:color="000000" w:sz="4" w:space="0"/>
              <w:bottom w:val="single" w:color="000000" w:sz="4" w:space="0"/>
              <w:right w:val="single" w:color="000000" w:sz="4" w:space="0"/>
            </w:tcBorders>
            <w:vAlign w:val="center"/>
          </w:tcPr>
          <w:p w14:paraId="42BB723B">
            <w:pPr>
              <w:widowControl/>
              <w:ind w:left="0" w:leftChars="0" w:right="0" w:rightChars="0" w:firstLine="0" w:firstLineChars="0"/>
              <w:jc w:val="center"/>
              <w:textAlignment w:val="center"/>
              <w:rPr>
                <w:color w:val="auto"/>
                <w:szCs w:val="21"/>
              </w:rPr>
            </w:pPr>
            <w:r>
              <w:rPr>
                <w:color w:val="auto"/>
                <w:kern w:val="0"/>
                <w:szCs w:val="21"/>
                <w:lang w:bidi="ar"/>
              </w:rPr>
              <w:t>2</w:t>
            </w:r>
          </w:p>
        </w:tc>
        <w:tc>
          <w:tcPr>
            <w:tcW w:w="3772" w:type="dxa"/>
            <w:tcBorders>
              <w:top w:val="single" w:color="000000" w:sz="4" w:space="0"/>
              <w:left w:val="single" w:color="000000" w:sz="4" w:space="0"/>
              <w:bottom w:val="single" w:color="000000" w:sz="4" w:space="0"/>
              <w:right w:val="single" w:color="000000" w:sz="4" w:space="0"/>
            </w:tcBorders>
            <w:vAlign w:val="center"/>
          </w:tcPr>
          <w:p w14:paraId="2C1A15CE">
            <w:pPr>
              <w:widowControl/>
              <w:ind w:left="0" w:leftChars="0" w:right="0" w:rightChars="0" w:firstLine="0" w:firstLineChars="0"/>
              <w:jc w:val="center"/>
              <w:textAlignment w:val="center"/>
              <w:rPr>
                <w:color w:val="auto"/>
                <w:szCs w:val="21"/>
              </w:rPr>
            </w:pPr>
            <w:r>
              <w:rPr>
                <w:color w:val="auto"/>
                <w:kern w:val="0"/>
                <w:szCs w:val="21"/>
                <w:lang w:bidi="ar"/>
              </w:rPr>
              <w:t>3</w:t>
            </w:r>
          </w:p>
        </w:tc>
      </w:tr>
      <w:tr w14:paraId="56D88BFD">
        <w:tblPrEx>
          <w:tblCellMar>
            <w:top w:w="0" w:type="dxa"/>
            <w:left w:w="108" w:type="dxa"/>
            <w:bottom w:w="0" w:type="dxa"/>
            <w:right w:w="108" w:type="dxa"/>
          </w:tblCellMar>
        </w:tblPrEx>
        <w:trPr>
          <w:trHeight w:val="369" w:hRule="exac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03543F09">
            <w:pPr>
              <w:widowControl/>
              <w:ind w:left="0" w:leftChars="0" w:right="0" w:rightChars="0" w:firstLine="0" w:firstLineChars="0"/>
              <w:jc w:val="center"/>
              <w:textAlignment w:val="center"/>
              <w:rPr>
                <w:color w:val="auto"/>
                <w:szCs w:val="21"/>
              </w:rPr>
            </w:pPr>
            <w:r>
              <w:rPr>
                <w:color w:val="auto"/>
                <w:kern w:val="0"/>
                <w:szCs w:val="21"/>
                <w:lang w:bidi="ar"/>
              </w:rPr>
              <w:t>1</w:t>
            </w:r>
          </w:p>
        </w:tc>
        <w:tc>
          <w:tcPr>
            <w:tcW w:w="0" w:type="auto"/>
            <w:tcBorders>
              <w:top w:val="single" w:color="000000" w:sz="4" w:space="0"/>
              <w:left w:val="single" w:color="000000" w:sz="4" w:space="0"/>
              <w:bottom w:val="single" w:color="000000" w:sz="4" w:space="0"/>
              <w:right w:val="single" w:color="000000" w:sz="4" w:space="0"/>
            </w:tcBorders>
            <w:vAlign w:val="center"/>
          </w:tcPr>
          <w:p w14:paraId="5202DE83">
            <w:pPr>
              <w:widowControl/>
              <w:ind w:left="0" w:leftChars="0" w:right="0" w:rightChars="0" w:firstLine="0" w:firstLineChars="0"/>
              <w:jc w:val="center"/>
              <w:textAlignment w:val="center"/>
              <w:rPr>
                <w:color w:val="auto"/>
                <w:szCs w:val="21"/>
              </w:rPr>
            </w:pPr>
            <w:r>
              <w:rPr>
                <w:color w:val="auto"/>
                <w:kern w:val="0"/>
                <w:szCs w:val="21"/>
                <w:lang w:bidi="ar"/>
              </w:rPr>
              <w:t>土方工程</w:t>
            </w:r>
          </w:p>
        </w:tc>
        <w:tc>
          <w:tcPr>
            <w:tcW w:w="0" w:type="auto"/>
            <w:tcBorders>
              <w:top w:val="single" w:color="000000" w:sz="4" w:space="0"/>
              <w:left w:val="single" w:color="000000" w:sz="4" w:space="0"/>
              <w:bottom w:val="single" w:color="000000" w:sz="4" w:space="0"/>
              <w:right w:val="single" w:color="000000" w:sz="4" w:space="0"/>
            </w:tcBorders>
            <w:vAlign w:val="center"/>
          </w:tcPr>
          <w:p w14:paraId="531F21CE">
            <w:pPr>
              <w:widowControl/>
              <w:ind w:left="0" w:leftChars="0" w:right="0" w:rightChars="0" w:firstLine="0" w:firstLineChars="0"/>
              <w:jc w:val="center"/>
              <w:textAlignment w:val="center"/>
              <w:rPr>
                <w:rFonts w:hint="default" w:eastAsia="宋体"/>
                <w:color w:val="auto"/>
                <w:szCs w:val="21"/>
                <w:lang w:val="en-US" w:eastAsia="zh-CN"/>
              </w:rPr>
            </w:pPr>
            <w:r>
              <w:rPr>
                <w:rFonts w:hint="eastAsia"/>
                <w:color w:val="auto"/>
                <w:kern w:val="0"/>
                <w:szCs w:val="21"/>
                <w:lang w:val="en-US" w:eastAsia="zh-CN" w:bidi="ar"/>
              </w:rPr>
              <w:t>33.63</w:t>
            </w:r>
          </w:p>
        </w:tc>
        <w:tc>
          <w:tcPr>
            <w:tcW w:w="3772" w:type="dxa"/>
            <w:tcBorders>
              <w:top w:val="single" w:color="000000" w:sz="4" w:space="0"/>
              <w:left w:val="single" w:color="000000" w:sz="4" w:space="0"/>
              <w:bottom w:val="single" w:color="000000" w:sz="4" w:space="0"/>
              <w:right w:val="single" w:color="000000" w:sz="4" w:space="0"/>
            </w:tcBorders>
            <w:vAlign w:val="center"/>
          </w:tcPr>
          <w:p w14:paraId="6C60C0FD">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17.98 </w:t>
            </w:r>
          </w:p>
        </w:tc>
      </w:tr>
      <w:tr w14:paraId="33A084D5">
        <w:tblPrEx>
          <w:tblCellMar>
            <w:top w:w="0" w:type="dxa"/>
            <w:left w:w="108" w:type="dxa"/>
            <w:bottom w:w="0" w:type="dxa"/>
            <w:right w:w="108" w:type="dxa"/>
          </w:tblCellMar>
        </w:tblPrEx>
        <w:trPr>
          <w:trHeight w:val="369" w:hRule="exac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4C7F6045">
            <w:pPr>
              <w:widowControl/>
              <w:ind w:left="0" w:leftChars="0" w:right="0" w:rightChars="0" w:firstLine="0" w:firstLineChars="0"/>
              <w:jc w:val="center"/>
              <w:textAlignment w:val="center"/>
              <w:rPr>
                <w:color w:val="auto"/>
                <w:szCs w:val="21"/>
              </w:rPr>
            </w:pPr>
            <w:r>
              <w:rPr>
                <w:color w:val="auto"/>
                <w:kern w:val="0"/>
                <w:szCs w:val="21"/>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4D9D1E78">
            <w:pPr>
              <w:widowControl/>
              <w:ind w:left="0" w:leftChars="0" w:right="0" w:rightChars="0" w:firstLine="0" w:firstLineChars="0"/>
              <w:jc w:val="center"/>
              <w:textAlignment w:val="center"/>
              <w:rPr>
                <w:color w:val="auto"/>
                <w:szCs w:val="21"/>
              </w:rPr>
            </w:pPr>
            <w:r>
              <w:rPr>
                <w:color w:val="auto"/>
                <w:kern w:val="0"/>
                <w:szCs w:val="21"/>
                <w:lang w:bidi="ar"/>
              </w:rPr>
              <w:t>石方工程</w:t>
            </w:r>
          </w:p>
        </w:tc>
        <w:tc>
          <w:tcPr>
            <w:tcW w:w="0" w:type="auto"/>
            <w:tcBorders>
              <w:top w:val="single" w:color="000000" w:sz="4" w:space="0"/>
              <w:left w:val="single" w:color="000000" w:sz="4" w:space="0"/>
              <w:bottom w:val="single" w:color="000000" w:sz="4" w:space="0"/>
              <w:right w:val="single" w:color="000000" w:sz="4" w:space="0"/>
            </w:tcBorders>
            <w:vAlign w:val="center"/>
          </w:tcPr>
          <w:p w14:paraId="1FA6AE8C">
            <w:pPr>
              <w:widowControl/>
              <w:ind w:left="0" w:leftChars="0" w:right="0" w:rightChars="0" w:firstLine="0" w:firstLineChars="0"/>
              <w:jc w:val="center"/>
              <w:textAlignment w:val="center"/>
              <w:rPr>
                <w:rFonts w:hint="default" w:eastAsia="宋体"/>
                <w:color w:val="auto"/>
                <w:szCs w:val="21"/>
                <w:lang w:val="en-US" w:eastAsia="zh-CN"/>
              </w:rPr>
            </w:pPr>
            <w:r>
              <w:rPr>
                <w:rFonts w:hint="eastAsia"/>
                <w:color w:val="auto"/>
                <w:kern w:val="0"/>
                <w:szCs w:val="21"/>
                <w:lang w:val="en-US" w:eastAsia="zh-CN" w:bidi="ar"/>
              </w:rPr>
              <w:t>149.61</w:t>
            </w:r>
          </w:p>
        </w:tc>
        <w:tc>
          <w:tcPr>
            <w:tcW w:w="3772" w:type="dxa"/>
            <w:tcBorders>
              <w:top w:val="single" w:color="000000" w:sz="4" w:space="0"/>
              <w:left w:val="single" w:color="000000" w:sz="4" w:space="0"/>
              <w:bottom w:val="single" w:color="000000" w:sz="4" w:space="0"/>
              <w:right w:val="single" w:color="000000" w:sz="4" w:space="0"/>
            </w:tcBorders>
            <w:vAlign w:val="center"/>
          </w:tcPr>
          <w:p w14:paraId="5882F93D">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80.01 </w:t>
            </w:r>
          </w:p>
        </w:tc>
      </w:tr>
      <w:tr w14:paraId="13A48581">
        <w:tblPrEx>
          <w:tblCellMar>
            <w:top w:w="0" w:type="dxa"/>
            <w:left w:w="108" w:type="dxa"/>
            <w:bottom w:w="0" w:type="dxa"/>
            <w:right w:w="108" w:type="dxa"/>
          </w:tblCellMar>
        </w:tblPrEx>
        <w:trPr>
          <w:trHeight w:val="369" w:hRule="exac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4038E802">
            <w:pPr>
              <w:widowControl/>
              <w:ind w:left="0" w:leftChars="0" w:right="0" w:rightChars="0" w:firstLine="0" w:firstLineChars="0"/>
              <w:jc w:val="center"/>
              <w:textAlignment w:val="center"/>
              <w:rPr>
                <w:rFonts w:hint="eastAsia" w:eastAsia="宋体"/>
                <w:color w:val="auto"/>
                <w:szCs w:val="21"/>
                <w:lang w:eastAsia="zh-CN"/>
              </w:rPr>
            </w:pPr>
            <w:r>
              <w:rPr>
                <w:rFonts w:hint="eastAsia"/>
                <w:color w:val="auto"/>
                <w:kern w:val="0"/>
                <w:szCs w:val="21"/>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vAlign w:val="center"/>
          </w:tcPr>
          <w:p w14:paraId="6229602D">
            <w:pPr>
              <w:widowControl/>
              <w:ind w:left="0" w:leftChars="0" w:right="0" w:rightChars="0" w:firstLine="0" w:firstLineChars="0"/>
              <w:jc w:val="center"/>
              <w:textAlignment w:val="center"/>
              <w:rPr>
                <w:color w:val="auto"/>
                <w:szCs w:val="21"/>
              </w:rPr>
            </w:pPr>
            <w:r>
              <w:rPr>
                <w:color w:val="auto"/>
                <w:kern w:val="0"/>
                <w:szCs w:val="21"/>
                <w:lang w:bidi="ar"/>
              </w:rPr>
              <w:t>植被恢复工程</w:t>
            </w:r>
          </w:p>
        </w:tc>
        <w:tc>
          <w:tcPr>
            <w:tcW w:w="0" w:type="auto"/>
            <w:tcBorders>
              <w:top w:val="single" w:color="000000" w:sz="4" w:space="0"/>
              <w:left w:val="single" w:color="000000" w:sz="4" w:space="0"/>
              <w:bottom w:val="single" w:color="000000" w:sz="4" w:space="0"/>
              <w:right w:val="single" w:color="000000" w:sz="4" w:space="0"/>
            </w:tcBorders>
            <w:vAlign w:val="center"/>
          </w:tcPr>
          <w:p w14:paraId="685B9B2D">
            <w:pPr>
              <w:widowControl/>
              <w:ind w:left="0" w:leftChars="0" w:right="0" w:rightChars="0" w:firstLine="0" w:firstLineChars="0"/>
              <w:jc w:val="center"/>
              <w:textAlignment w:val="center"/>
              <w:rPr>
                <w:rFonts w:hint="default" w:eastAsia="宋体"/>
                <w:color w:val="auto"/>
                <w:szCs w:val="21"/>
                <w:lang w:val="en-US" w:eastAsia="zh-CN"/>
              </w:rPr>
            </w:pPr>
            <w:r>
              <w:rPr>
                <w:rFonts w:hint="eastAsia"/>
                <w:color w:val="auto"/>
                <w:kern w:val="0"/>
                <w:szCs w:val="21"/>
                <w:lang w:val="en-US" w:eastAsia="zh-CN" w:bidi="ar"/>
              </w:rPr>
              <w:t>3.76</w:t>
            </w:r>
          </w:p>
        </w:tc>
        <w:tc>
          <w:tcPr>
            <w:tcW w:w="3772" w:type="dxa"/>
            <w:tcBorders>
              <w:top w:val="single" w:color="000000" w:sz="4" w:space="0"/>
              <w:left w:val="single" w:color="000000" w:sz="4" w:space="0"/>
              <w:bottom w:val="single" w:color="000000" w:sz="4" w:space="0"/>
              <w:right w:val="single" w:color="000000" w:sz="4" w:space="0"/>
            </w:tcBorders>
            <w:vAlign w:val="center"/>
          </w:tcPr>
          <w:p w14:paraId="1D5CFEB7">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2.01 </w:t>
            </w:r>
          </w:p>
        </w:tc>
      </w:tr>
      <w:tr w14:paraId="66334D10">
        <w:tblPrEx>
          <w:tblCellMar>
            <w:top w:w="0" w:type="dxa"/>
            <w:left w:w="108" w:type="dxa"/>
            <w:bottom w:w="0" w:type="dxa"/>
            <w:right w:w="108" w:type="dxa"/>
          </w:tblCellMar>
        </w:tblPrEx>
        <w:trPr>
          <w:trHeight w:val="369" w:hRule="exact"/>
          <w:jc w:val="center"/>
        </w:trPr>
        <w:tc>
          <w:tcPr>
            <w:tcW w:w="2436" w:type="dxa"/>
            <w:gridSpan w:val="2"/>
            <w:tcBorders>
              <w:top w:val="single" w:color="000000" w:sz="4" w:space="0"/>
              <w:left w:val="single" w:color="000000" w:sz="4" w:space="0"/>
              <w:bottom w:val="single" w:color="000000" w:sz="4" w:space="0"/>
              <w:right w:val="single" w:color="000000" w:sz="4" w:space="0"/>
            </w:tcBorders>
            <w:vAlign w:val="center"/>
          </w:tcPr>
          <w:p w14:paraId="29A2633B">
            <w:pPr>
              <w:widowControl/>
              <w:ind w:left="0" w:leftChars="0" w:right="0" w:rightChars="0" w:firstLine="0" w:firstLineChars="0"/>
              <w:jc w:val="center"/>
              <w:textAlignment w:val="center"/>
              <w:rPr>
                <w:color w:val="auto"/>
                <w:szCs w:val="21"/>
              </w:rPr>
            </w:pPr>
            <w:r>
              <w:rPr>
                <w:color w:val="auto"/>
                <w:kern w:val="0"/>
                <w:szCs w:val="21"/>
                <w:lang w:bidi="ar"/>
              </w:rPr>
              <w:t>总  计</w:t>
            </w:r>
          </w:p>
        </w:tc>
        <w:tc>
          <w:tcPr>
            <w:tcW w:w="2146" w:type="dxa"/>
            <w:tcBorders>
              <w:top w:val="single" w:color="000000" w:sz="4" w:space="0"/>
              <w:left w:val="single" w:color="000000" w:sz="4" w:space="0"/>
              <w:bottom w:val="single" w:color="000000" w:sz="4" w:space="0"/>
              <w:right w:val="single" w:color="000000" w:sz="4" w:space="0"/>
            </w:tcBorders>
            <w:vAlign w:val="center"/>
          </w:tcPr>
          <w:p w14:paraId="55C59F35">
            <w:pPr>
              <w:widowControl/>
              <w:ind w:left="0" w:leftChars="0" w:right="0" w:rightChars="0" w:firstLine="0" w:firstLineChars="0"/>
              <w:jc w:val="center"/>
              <w:textAlignment w:val="center"/>
              <w:rPr>
                <w:rFonts w:hint="default" w:eastAsia="宋体"/>
                <w:b/>
                <w:bCs/>
                <w:color w:val="auto"/>
                <w:szCs w:val="21"/>
                <w:lang w:val="en-US" w:eastAsia="zh-CN"/>
              </w:rPr>
            </w:pPr>
            <w:r>
              <w:rPr>
                <w:rFonts w:hint="eastAsia"/>
                <w:b/>
                <w:bCs/>
                <w:color w:val="auto"/>
                <w:kern w:val="0"/>
                <w:szCs w:val="21"/>
                <w:lang w:val="en-US" w:eastAsia="zh-CN" w:bidi="ar"/>
              </w:rPr>
              <w:t>187.00</w:t>
            </w:r>
          </w:p>
        </w:tc>
        <w:tc>
          <w:tcPr>
            <w:tcW w:w="3772" w:type="dxa"/>
            <w:tcBorders>
              <w:top w:val="single" w:color="000000" w:sz="4" w:space="0"/>
              <w:left w:val="single" w:color="000000" w:sz="4" w:space="0"/>
              <w:bottom w:val="single" w:color="000000" w:sz="4" w:space="0"/>
              <w:right w:val="single" w:color="000000" w:sz="4" w:space="0"/>
            </w:tcBorders>
            <w:vAlign w:val="center"/>
          </w:tcPr>
          <w:p w14:paraId="197986C1">
            <w:pPr>
              <w:widowControl/>
              <w:ind w:left="0" w:leftChars="0" w:right="0" w:rightChars="0" w:firstLine="0" w:firstLineChars="0"/>
              <w:jc w:val="center"/>
              <w:textAlignment w:val="center"/>
              <w:rPr>
                <w:color w:val="auto"/>
                <w:szCs w:val="21"/>
              </w:rPr>
            </w:pPr>
            <w:r>
              <w:rPr>
                <w:color w:val="auto"/>
                <w:kern w:val="0"/>
                <w:szCs w:val="21"/>
                <w:lang w:bidi="ar"/>
              </w:rPr>
              <w:t xml:space="preserve">100.00 </w:t>
            </w:r>
          </w:p>
        </w:tc>
      </w:tr>
    </w:tbl>
    <w:p w14:paraId="47210E33">
      <w:pPr>
        <w:jc w:val="center"/>
        <w:rPr>
          <w:rFonts w:eastAsia="黑体"/>
          <w:color w:val="auto"/>
          <w:sz w:val="24"/>
          <w:szCs w:val="24"/>
        </w:rPr>
      </w:pPr>
      <w:r>
        <w:rPr>
          <w:rFonts w:eastAsia="黑体"/>
          <w:color w:val="auto"/>
          <w:sz w:val="24"/>
          <w:szCs w:val="24"/>
        </w:rPr>
        <w:t>表6-1</w:t>
      </w:r>
      <w:r>
        <w:rPr>
          <w:rFonts w:hint="eastAsia" w:eastAsia="黑体"/>
          <w:color w:val="auto"/>
          <w:sz w:val="24"/>
          <w:szCs w:val="24"/>
          <w:lang w:val="en-US" w:eastAsia="zh-CN"/>
        </w:rPr>
        <w:t>4</w:t>
      </w:r>
      <w:r>
        <w:rPr>
          <w:rFonts w:eastAsia="黑体"/>
          <w:color w:val="auto"/>
          <w:sz w:val="24"/>
          <w:szCs w:val="24"/>
        </w:rPr>
        <w:t xml:space="preserve">   工程施工费估算表</w:t>
      </w:r>
    </w:p>
    <w:tbl>
      <w:tblPr>
        <w:tblStyle w:val="34"/>
        <w:tblW w:w="499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31"/>
        <w:gridCol w:w="1026"/>
        <w:gridCol w:w="2262"/>
        <w:gridCol w:w="997"/>
        <w:gridCol w:w="899"/>
        <w:gridCol w:w="1178"/>
        <w:gridCol w:w="1111"/>
      </w:tblGrid>
      <w:tr w14:paraId="3AF4D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jc w:val="center"/>
        </w:trPr>
        <w:tc>
          <w:tcPr>
            <w:tcW w:w="5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35A1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序号</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DAF4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定额</w:t>
            </w:r>
          </w:p>
          <w:p w14:paraId="5F73F9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编号</w:t>
            </w:r>
          </w:p>
        </w:tc>
        <w:tc>
          <w:tcPr>
            <w:tcW w:w="1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8B5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单项名称</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D5B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工程量</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753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单位</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A2A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综合单价（元）</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0F41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合计</w:t>
            </w:r>
          </w:p>
          <w:p w14:paraId="3522F8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（万元）</w:t>
            </w:r>
          </w:p>
        </w:tc>
      </w:tr>
      <w:tr w14:paraId="1F776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5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C40CF">
            <w:pPr>
              <w:jc w:val="center"/>
              <w:rPr>
                <w:rFonts w:hint="eastAsia" w:ascii="宋体" w:hAnsi="宋体" w:eastAsia="宋体" w:cs="宋体"/>
                <w:i w:val="0"/>
                <w:iCs w:val="0"/>
                <w:color w:val="auto"/>
                <w:sz w:val="21"/>
                <w:szCs w:val="21"/>
                <w:u w:val="none"/>
              </w:rPr>
            </w:pP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9A5B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⑴</w:t>
            </w:r>
          </w:p>
        </w:tc>
        <w:tc>
          <w:tcPr>
            <w:tcW w:w="1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8AC7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⑵</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52D9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⑶</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01FF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⑷</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D362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⑸</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D799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⑹</w:t>
            </w:r>
          </w:p>
        </w:tc>
      </w:tr>
      <w:tr w14:paraId="6E8DF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4D8A5">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一</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E8DCB">
            <w:pPr>
              <w:jc w:val="center"/>
              <w:rPr>
                <w:rFonts w:hint="default" w:ascii="Times New Roman" w:hAnsi="Times New Roman" w:eastAsia="宋体" w:cs="Times New Roman"/>
                <w:b/>
                <w:bCs/>
                <w:i w:val="0"/>
                <w:iCs w:val="0"/>
                <w:color w:val="auto"/>
                <w:sz w:val="21"/>
                <w:szCs w:val="21"/>
                <w:u w:val="none"/>
              </w:rPr>
            </w:pPr>
          </w:p>
        </w:tc>
        <w:tc>
          <w:tcPr>
            <w:tcW w:w="1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6A5B9">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土方工程</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570CC">
            <w:pPr>
              <w:jc w:val="center"/>
              <w:rPr>
                <w:rFonts w:hint="default" w:ascii="Times New Roman" w:hAnsi="Times New Roman" w:eastAsia="宋体" w:cs="Times New Roman"/>
                <w:b/>
                <w:bCs/>
                <w:i w:val="0"/>
                <w:iCs w:val="0"/>
                <w:color w:val="auto"/>
                <w:sz w:val="21"/>
                <w:szCs w:val="21"/>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4B511">
            <w:pPr>
              <w:jc w:val="center"/>
              <w:rPr>
                <w:rFonts w:hint="default" w:ascii="Times New Roman" w:hAnsi="Times New Roman" w:eastAsia="宋体" w:cs="Times New Roman"/>
                <w:b/>
                <w:bCs/>
                <w:i w:val="0"/>
                <w:iCs w:val="0"/>
                <w:color w:val="auto"/>
                <w:sz w:val="21"/>
                <w:szCs w:val="21"/>
                <w:u w:val="none"/>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E3410">
            <w:pPr>
              <w:jc w:val="center"/>
              <w:rPr>
                <w:rFonts w:hint="default" w:ascii="Times New Roman" w:hAnsi="Times New Roman" w:eastAsia="宋体" w:cs="Times New Roman"/>
                <w:b/>
                <w:bCs/>
                <w:i w:val="0"/>
                <w:iCs w:val="0"/>
                <w:color w:val="auto"/>
                <w:sz w:val="21"/>
                <w:szCs w:val="21"/>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17E5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 xml:space="preserve">41.96 </w:t>
            </w:r>
          </w:p>
        </w:tc>
      </w:tr>
      <w:tr w14:paraId="6085A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278C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6094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10196</w:t>
            </w:r>
          </w:p>
        </w:tc>
        <w:tc>
          <w:tcPr>
            <w:tcW w:w="1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85A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一般覆土</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运距</w:t>
            </w:r>
            <w:r>
              <w:rPr>
                <w:rFonts w:hint="default" w:ascii="Times New Roman" w:hAnsi="Times New Roman" w:eastAsia="宋体" w:cs="Times New Roman"/>
                <w:i w:val="0"/>
                <w:iCs w:val="0"/>
                <w:color w:val="auto"/>
                <w:kern w:val="0"/>
                <w:sz w:val="21"/>
                <w:szCs w:val="21"/>
                <w:u w:val="none"/>
                <w:lang w:val="en-US" w:eastAsia="zh-CN" w:bidi="ar"/>
              </w:rPr>
              <w:t>0.5</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1km)</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C27A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23275</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06A5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B429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18.03 </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04C9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41.96 </w:t>
            </w:r>
          </w:p>
        </w:tc>
      </w:tr>
      <w:tr w14:paraId="767CA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E3FEC">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二</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550A0">
            <w:pPr>
              <w:jc w:val="center"/>
              <w:rPr>
                <w:rFonts w:hint="default" w:ascii="Times New Roman" w:hAnsi="Times New Roman" w:eastAsia="宋体" w:cs="Times New Roman"/>
                <w:b/>
                <w:bCs/>
                <w:i w:val="0"/>
                <w:iCs w:val="0"/>
                <w:color w:val="auto"/>
                <w:sz w:val="21"/>
                <w:szCs w:val="21"/>
                <w:u w:val="none"/>
              </w:rPr>
            </w:pPr>
          </w:p>
        </w:tc>
        <w:tc>
          <w:tcPr>
            <w:tcW w:w="1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F3E49">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石方工程</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1250F">
            <w:pPr>
              <w:jc w:val="center"/>
              <w:rPr>
                <w:rFonts w:hint="default" w:ascii="Times New Roman" w:hAnsi="Times New Roman" w:eastAsia="宋体" w:cs="Times New Roman"/>
                <w:b/>
                <w:bCs/>
                <w:i w:val="0"/>
                <w:iCs w:val="0"/>
                <w:color w:val="auto"/>
                <w:sz w:val="21"/>
                <w:szCs w:val="21"/>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A85EC">
            <w:pPr>
              <w:jc w:val="center"/>
              <w:rPr>
                <w:rFonts w:hint="default" w:ascii="Times New Roman" w:hAnsi="Times New Roman" w:eastAsia="宋体" w:cs="Times New Roman"/>
                <w:b/>
                <w:bCs/>
                <w:i w:val="0"/>
                <w:iCs w:val="0"/>
                <w:color w:val="auto"/>
                <w:sz w:val="21"/>
                <w:szCs w:val="21"/>
                <w:u w:val="none"/>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8D67A">
            <w:pPr>
              <w:jc w:val="center"/>
              <w:rPr>
                <w:rFonts w:hint="default" w:ascii="Times New Roman" w:hAnsi="Times New Roman" w:eastAsia="宋体" w:cs="Times New Roman"/>
                <w:b/>
                <w:bCs/>
                <w:i w:val="0"/>
                <w:iCs w:val="0"/>
                <w:color w:val="auto"/>
                <w:sz w:val="21"/>
                <w:szCs w:val="21"/>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BA28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lang w:val="en-US"/>
              </w:rPr>
            </w:pPr>
            <w:r>
              <w:rPr>
                <w:rFonts w:hint="default" w:ascii="Times New Roman" w:hAnsi="Times New Roman" w:eastAsia="宋体" w:cs="Times New Roman"/>
                <w:b/>
                <w:bCs/>
                <w:i w:val="0"/>
                <w:iCs w:val="0"/>
                <w:color w:val="auto"/>
                <w:kern w:val="0"/>
                <w:sz w:val="21"/>
                <w:szCs w:val="21"/>
                <w:u w:val="none"/>
                <w:lang w:val="en-US" w:eastAsia="zh-CN" w:bidi="ar"/>
              </w:rPr>
              <w:t>121.4</w:t>
            </w:r>
            <w:r>
              <w:rPr>
                <w:rFonts w:hint="eastAsia" w:cs="Times New Roman"/>
                <w:b/>
                <w:bCs/>
                <w:i w:val="0"/>
                <w:iCs w:val="0"/>
                <w:color w:val="auto"/>
                <w:kern w:val="0"/>
                <w:sz w:val="21"/>
                <w:szCs w:val="21"/>
                <w:u w:val="none"/>
                <w:lang w:val="en-US" w:eastAsia="zh-CN" w:bidi="ar"/>
              </w:rPr>
              <w:t>7</w:t>
            </w:r>
          </w:p>
        </w:tc>
      </w:tr>
      <w:tr w14:paraId="6F114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58BB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B84C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20013</w:t>
            </w:r>
          </w:p>
        </w:tc>
        <w:tc>
          <w:tcPr>
            <w:tcW w:w="1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0E1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削坡整形</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8D97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1373</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1956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FA5F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25.38 </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4B00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3.48 </w:t>
            </w:r>
          </w:p>
        </w:tc>
      </w:tr>
      <w:tr w14:paraId="10E3B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A2790">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cs="宋体"/>
                <w:b/>
                <w:bCs/>
                <w:i w:val="0"/>
                <w:iCs w:val="0"/>
                <w:color w:val="auto"/>
                <w:kern w:val="0"/>
                <w:sz w:val="21"/>
                <w:szCs w:val="21"/>
                <w:u w:val="none"/>
                <w:lang w:val="en-US" w:eastAsia="zh-CN" w:bidi="ar"/>
              </w:rPr>
              <w:t>2</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64B6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20343</w:t>
            </w:r>
          </w:p>
        </w:tc>
        <w:tc>
          <w:tcPr>
            <w:tcW w:w="1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ACD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清运、岩体清除</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FB48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43603</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73CF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54C7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27.05 </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061E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117.95 </w:t>
            </w:r>
          </w:p>
        </w:tc>
      </w:tr>
      <w:tr w14:paraId="16690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221CC">
            <w:pPr>
              <w:keepNext w:val="0"/>
              <w:keepLines w:val="0"/>
              <w:widowControl/>
              <w:suppressLineNumbers w:val="0"/>
              <w:jc w:val="center"/>
              <w:textAlignment w:val="center"/>
              <w:rPr>
                <w:rFonts w:hint="eastAsia" w:ascii="宋体" w:hAnsi="宋体" w:cs="宋体"/>
                <w:b/>
                <w:bCs/>
                <w:i w:val="0"/>
                <w:iCs w:val="0"/>
                <w:color w:val="auto"/>
                <w:kern w:val="0"/>
                <w:sz w:val="21"/>
                <w:szCs w:val="21"/>
                <w:u w:val="none"/>
                <w:lang w:val="en-US" w:eastAsia="zh-CN" w:bidi="ar"/>
              </w:rPr>
            </w:pPr>
            <w:r>
              <w:rPr>
                <w:rFonts w:hint="eastAsia" w:ascii="宋体" w:hAnsi="宋体" w:cs="宋体"/>
                <w:b/>
                <w:bCs/>
                <w:i w:val="0"/>
                <w:iCs w:val="0"/>
                <w:color w:val="auto"/>
                <w:kern w:val="0"/>
                <w:sz w:val="21"/>
                <w:szCs w:val="21"/>
                <w:u w:val="none"/>
                <w:lang w:val="en-US" w:eastAsia="zh-CN" w:bidi="ar"/>
              </w:rPr>
              <w:t>3</w:t>
            </w:r>
          </w:p>
        </w:tc>
        <w:tc>
          <w:tcPr>
            <w:tcW w:w="1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FC1E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20343</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C301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整平</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52BB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15</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C6DA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F035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27.05 </w:t>
            </w: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36FC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0.04</w:t>
            </w:r>
          </w:p>
        </w:tc>
      </w:tr>
      <w:tr w14:paraId="492FC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611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370BE">
            <w:pPr>
              <w:jc w:val="center"/>
              <w:rPr>
                <w:rFonts w:hint="default" w:ascii="Times New Roman" w:hAnsi="Times New Roman" w:eastAsia="宋体" w:cs="Times New Roman"/>
                <w:i w:val="0"/>
                <w:iCs w:val="0"/>
                <w:color w:val="auto"/>
                <w:sz w:val="21"/>
                <w:szCs w:val="21"/>
                <w:u w:val="none"/>
              </w:rPr>
            </w:pPr>
          </w:p>
        </w:tc>
        <w:tc>
          <w:tcPr>
            <w:tcW w:w="1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D92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浆砌石工程</w:t>
            </w:r>
          </w:p>
        </w:tc>
        <w:tc>
          <w:tcPr>
            <w:tcW w:w="6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7CCB2">
            <w:pPr>
              <w:jc w:val="center"/>
              <w:rPr>
                <w:rFonts w:hint="default" w:ascii="Times New Roman" w:hAnsi="Times New Roman" w:eastAsia="宋体" w:cs="Times New Roman"/>
                <w:b/>
                <w:bCs/>
                <w:i w:val="0"/>
                <w:iCs w:val="0"/>
                <w:color w:val="auto"/>
                <w:sz w:val="21"/>
                <w:szCs w:val="21"/>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80498">
            <w:pPr>
              <w:jc w:val="center"/>
              <w:rPr>
                <w:rFonts w:hint="default" w:ascii="Times New Roman" w:hAnsi="Times New Roman" w:eastAsia="宋体" w:cs="Times New Roman"/>
                <w:i w:val="0"/>
                <w:iCs w:val="0"/>
                <w:color w:val="auto"/>
                <w:sz w:val="21"/>
                <w:szCs w:val="21"/>
                <w:u w:val="none"/>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F7AC2">
            <w:pPr>
              <w:jc w:val="center"/>
              <w:rPr>
                <w:rFonts w:hint="default" w:ascii="Times New Roman" w:hAnsi="Times New Roman" w:eastAsia="宋体" w:cs="Times New Roman"/>
                <w:i w:val="0"/>
                <w:iCs w:val="0"/>
                <w:color w:val="auto"/>
                <w:sz w:val="21"/>
                <w:szCs w:val="21"/>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49A64">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 xml:space="preserve">1.25 </w:t>
            </w:r>
          </w:p>
        </w:tc>
      </w:tr>
      <w:tr w14:paraId="380D4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3633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5B4F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30039</w:t>
            </w:r>
          </w:p>
        </w:tc>
        <w:tc>
          <w:tcPr>
            <w:tcW w:w="1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C85E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砌体拆除</w:t>
            </w:r>
          </w:p>
        </w:tc>
        <w:tc>
          <w:tcPr>
            <w:tcW w:w="6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DA92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150</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BA72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7119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83.60 </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4F50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1.25 </w:t>
            </w:r>
          </w:p>
        </w:tc>
      </w:tr>
      <w:tr w14:paraId="405C0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8CCF2">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四</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913F8">
            <w:pPr>
              <w:jc w:val="center"/>
              <w:rPr>
                <w:rFonts w:hint="default" w:ascii="Times New Roman" w:hAnsi="Times New Roman" w:eastAsia="宋体" w:cs="Times New Roman"/>
                <w:b/>
                <w:bCs/>
                <w:i w:val="0"/>
                <w:iCs w:val="0"/>
                <w:color w:val="auto"/>
                <w:sz w:val="21"/>
                <w:szCs w:val="21"/>
                <w:u w:val="none"/>
              </w:rPr>
            </w:pPr>
          </w:p>
        </w:tc>
        <w:tc>
          <w:tcPr>
            <w:tcW w:w="1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08238">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植被恢复工程</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853B9">
            <w:pPr>
              <w:jc w:val="center"/>
              <w:rPr>
                <w:rFonts w:hint="default" w:ascii="Times New Roman" w:hAnsi="Times New Roman" w:eastAsia="宋体" w:cs="Times New Roman"/>
                <w:b/>
                <w:bCs/>
                <w:i w:val="0"/>
                <w:iCs w:val="0"/>
                <w:color w:val="auto"/>
                <w:sz w:val="21"/>
                <w:szCs w:val="21"/>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3F3C0">
            <w:pPr>
              <w:jc w:val="center"/>
              <w:rPr>
                <w:rFonts w:hint="default" w:ascii="Times New Roman" w:hAnsi="Times New Roman" w:eastAsia="宋体" w:cs="Times New Roman"/>
                <w:b/>
                <w:bCs/>
                <w:i w:val="0"/>
                <w:iCs w:val="0"/>
                <w:color w:val="auto"/>
                <w:sz w:val="21"/>
                <w:szCs w:val="21"/>
                <w:u w:val="none"/>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B4CA4">
            <w:pPr>
              <w:jc w:val="center"/>
              <w:rPr>
                <w:rFonts w:hint="default" w:ascii="Times New Roman" w:hAnsi="Times New Roman" w:eastAsia="宋体" w:cs="Times New Roman"/>
                <w:b/>
                <w:bCs/>
                <w:i w:val="0"/>
                <w:iCs w:val="0"/>
                <w:color w:val="auto"/>
                <w:sz w:val="21"/>
                <w:szCs w:val="21"/>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54E5E">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 xml:space="preserve">3.33 </w:t>
            </w:r>
          </w:p>
        </w:tc>
      </w:tr>
      <w:tr w14:paraId="14374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5303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BA38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50018</w:t>
            </w:r>
          </w:p>
        </w:tc>
        <w:tc>
          <w:tcPr>
            <w:tcW w:w="1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EC5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栽植乔木</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EC4F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107</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C73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株</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2F3C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64.58 </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3E59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0.69 </w:t>
            </w:r>
          </w:p>
        </w:tc>
      </w:tr>
      <w:tr w14:paraId="62476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0EEE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2167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50031</w:t>
            </w:r>
          </w:p>
        </w:tc>
        <w:tc>
          <w:tcPr>
            <w:tcW w:w="1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45F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散播种草（覆土）</w:t>
            </w:r>
          </w:p>
        </w:tc>
        <w:tc>
          <w:tcPr>
            <w:tcW w:w="6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15C3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7.6615</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80F2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hm</w:t>
            </w:r>
            <w:r>
              <w:rPr>
                <w:rFonts w:hint="default" w:ascii="Times New Roman" w:hAnsi="Times New Roman" w:eastAsia="宋体" w:cs="Times New Roman"/>
                <w:i w:val="0"/>
                <w:iCs w:val="0"/>
                <w:color w:val="auto"/>
                <w:kern w:val="0"/>
                <w:sz w:val="21"/>
                <w:szCs w:val="21"/>
                <w:u w:val="none"/>
                <w:vertAlign w:val="superscript"/>
                <w:lang w:val="en-US" w:eastAsia="zh-CN" w:bidi="ar"/>
              </w:rPr>
              <w:t>2</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C732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3439.80 </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0DC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2.64 </w:t>
            </w:r>
          </w:p>
        </w:tc>
      </w:tr>
      <w:tr w14:paraId="178EE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47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58387D">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总</w:t>
            </w:r>
            <w:r>
              <w:rPr>
                <w:rFonts w:hint="default" w:ascii="Times New Roman" w:hAnsi="Times New Roman" w:eastAsia="宋体" w:cs="Times New Roman"/>
                <w:b/>
                <w:bCs/>
                <w:i w:val="0"/>
                <w:iCs w:val="0"/>
                <w:color w:val="auto"/>
                <w:kern w:val="0"/>
                <w:sz w:val="21"/>
                <w:szCs w:val="21"/>
                <w:u w:val="none"/>
                <w:lang w:val="en-US" w:eastAsia="zh-CN" w:bidi="ar"/>
              </w:rPr>
              <w:t xml:space="preserve">  </w:t>
            </w:r>
            <w:r>
              <w:rPr>
                <w:rFonts w:hint="eastAsia" w:ascii="宋体" w:hAnsi="宋体" w:eastAsia="宋体" w:cs="宋体"/>
                <w:b/>
                <w:bCs/>
                <w:i w:val="0"/>
                <w:iCs w:val="0"/>
                <w:color w:val="auto"/>
                <w:kern w:val="0"/>
                <w:sz w:val="21"/>
                <w:szCs w:val="21"/>
                <w:u w:val="none"/>
                <w:lang w:val="en-US" w:eastAsia="zh-CN" w:bidi="ar"/>
              </w:rPr>
              <w:t>计</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0C3A6">
            <w:pPr>
              <w:jc w:val="center"/>
              <w:rPr>
                <w:rFonts w:hint="default" w:ascii="Times New Roman" w:hAnsi="Times New Roman" w:eastAsia="宋体" w:cs="Times New Roman"/>
                <w:b/>
                <w:bCs/>
                <w:i w:val="0"/>
                <w:iCs w:val="0"/>
                <w:color w:val="auto"/>
                <w:sz w:val="21"/>
                <w:szCs w:val="21"/>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19D1F">
            <w:pPr>
              <w:jc w:val="center"/>
              <w:rPr>
                <w:rFonts w:hint="default" w:ascii="Times New Roman" w:hAnsi="Times New Roman" w:eastAsia="宋体" w:cs="Times New Roman"/>
                <w:b/>
                <w:bCs/>
                <w:i w:val="0"/>
                <w:iCs w:val="0"/>
                <w:color w:val="auto"/>
                <w:sz w:val="21"/>
                <w:szCs w:val="21"/>
                <w:u w:val="none"/>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CE37A">
            <w:pPr>
              <w:jc w:val="center"/>
              <w:rPr>
                <w:rFonts w:hint="default" w:ascii="Times New Roman" w:hAnsi="Times New Roman" w:eastAsia="宋体" w:cs="Times New Roman"/>
                <w:b/>
                <w:bCs/>
                <w:i w:val="0"/>
                <w:iCs w:val="0"/>
                <w:color w:val="auto"/>
                <w:sz w:val="21"/>
                <w:szCs w:val="21"/>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187E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 xml:space="preserve">167.98 </w:t>
            </w:r>
          </w:p>
        </w:tc>
      </w:tr>
    </w:tbl>
    <w:p w14:paraId="4F8C2A50">
      <w:pPr>
        <w:jc w:val="left"/>
        <w:rPr>
          <w:rFonts w:hint="eastAsia" w:eastAsia="黑体"/>
          <w:color w:val="auto"/>
          <w:sz w:val="21"/>
          <w:szCs w:val="21"/>
          <w:lang w:val="en-US" w:eastAsia="zh-CN"/>
        </w:rPr>
      </w:pPr>
      <w:r>
        <w:rPr>
          <w:rFonts w:hint="eastAsia" w:eastAsia="黑体"/>
          <w:color w:val="auto"/>
          <w:sz w:val="21"/>
          <w:szCs w:val="21"/>
          <w:lang w:val="en-US" w:eastAsia="zh-CN"/>
        </w:rPr>
        <w:t>备注：垫坡、回填与岩体清除、清运工程量在费用计算时属于重复工程量，方案只计算岩体清除、清运施工费用</w:t>
      </w:r>
    </w:p>
    <w:p w14:paraId="454E795B">
      <w:pPr>
        <w:jc w:val="left"/>
        <w:rPr>
          <w:rFonts w:hint="default" w:eastAsia="黑体"/>
          <w:color w:val="auto"/>
          <w:sz w:val="24"/>
          <w:szCs w:val="24"/>
          <w:lang w:val="en-US" w:eastAsia="zh-CN"/>
        </w:rPr>
      </w:pPr>
    </w:p>
    <w:p w14:paraId="0B9D3FAC">
      <w:pPr>
        <w:jc w:val="center"/>
        <w:rPr>
          <w:rFonts w:eastAsia="黑体"/>
          <w:color w:val="auto"/>
          <w:sz w:val="24"/>
          <w:szCs w:val="24"/>
        </w:rPr>
      </w:pPr>
    </w:p>
    <w:p w14:paraId="3CFD3593">
      <w:pPr>
        <w:jc w:val="center"/>
        <w:rPr>
          <w:rFonts w:eastAsia="黑体"/>
          <w:color w:val="auto"/>
          <w:sz w:val="24"/>
          <w:szCs w:val="24"/>
        </w:rPr>
      </w:pPr>
    </w:p>
    <w:p w14:paraId="42E7C38C">
      <w:pPr>
        <w:jc w:val="center"/>
        <w:rPr>
          <w:rFonts w:eastAsia="黑体"/>
          <w:color w:val="auto"/>
          <w:sz w:val="24"/>
          <w:szCs w:val="24"/>
        </w:rPr>
      </w:pPr>
    </w:p>
    <w:p w14:paraId="0C20ED50">
      <w:pPr>
        <w:jc w:val="center"/>
        <w:rPr>
          <w:rFonts w:eastAsia="黑体"/>
          <w:color w:val="auto"/>
          <w:sz w:val="24"/>
          <w:szCs w:val="24"/>
        </w:rPr>
      </w:pPr>
    </w:p>
    <w:p w14:paraId="39DA41E1">
      <w:pPr>
        <w:jc w:val="center"/>
        <w:rPr>
          <w:rFonts w:eastAsia="黑体"/>
          <w:color w:val="auto"/>
          <w:sz w:val="24"/>
          <w:szCs w:val="24"/>
        </w:rPr>
      </w:pPr>
    </w:p>
    <w:p w14:paraId="346FFCD7">
      <w:pPr>
        <w:jc w:val="center"/>
        <w:rPr>
          <w:rFonts w:eastAsia="黑体"/>
          <w:color w:val="auto"/>
          <w:sz w:val="24"/>
          <w:szCs w:val="24"/>
        </w:rPr>
      </w:pPr>
      <w:r>
        <w:rPr>
          <w:rFonts w:eastAsia="黑体"/>
          <w:color w:val="auto"/>
          <w:sz w:val="24"/>
          <w:szCs w:val="24"/>
        </w:rPr>
        <w:t>表6-</w:t>
      </w:r>
      <w:r>
        <w:rPr>
          <w:rFonts w:hint="eastAsia" w:eastAsia="黑体"/>
          <w:color w:val="auto"/>
          <w:sz w:val="24"/>
          <w:szCs w:val="24"/>
          <w:lang w:val="en-US" w:eastAsia="zh-CN"/>
        </w:rPr>
        <w:t>15</w:t>
      </w:r>
      <w:r>
        <w:rPr>
          <w:rFonts w:eastAsia="黑体"/>
          <w:color w:val="auto"/>
          <w:sz w:val="24"/>
          <w:szCs w:val="24"/>
        </w:rPr>
        <w:t xml:space="preserve">   其他费用估算表</w:t>
      </w:r>
    </w:p>
    <w:tbl>
      <w:tblPr>
        <w:tblStyle w:val="3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60"/>
        <w:gridCol w:w="1512"/>
        <w:gridCol w:w="3403"/>
        <w:gridCol w:w="973"/>
        <w:gridCol w:w="1949"/>
      </w:tblGrid>
      <w:tr w14:paraId="1F805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5" w:hRule="atLeast"/>
        </w:trPr>
        <w:tc>
          <w:tcPr>
            <w:tcW w:w="277" w:type="pct"/>
            <w:vMerge w:val="restart"/>
            <w:shd w:val="clear" w:color="auto" w:fill="auto"/>
            <w:vAlign w:val="center"/>
          </w:tcPr>
          <w:p w14:paraId="0CCA01C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序号</w:t>
            </w:r>
          </w:p>
        </w:tc>
        <w:tc>
          <w:tcPr>
            <w:tcW w:w="911" w:type="pct"/>
            <w:shd w:val="clear" w:color="auto" w:fill="auto"/>
            <w:vAlign w:val="center"/>
          </w:tcPr>
          <w:p w14:paraId="198A263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费用名称</w:t>
            </w:r>
          </w:p>
        </w:tc>
        <w:tc>
          <w:tcPr>
            <w:tcW w:w="2049" w:type="pct"/>
            <w:shd w:val="clear" w:color="auto" w:fill="auto"/>
            <w:vAlign w:val="center"/>
          </w:tcPr>
          <w:p w14:paraId="4A318CB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计算式</w:t>
            </w:r>
          </w:p>
        </w:tc>
        <w:tc>
          <w:tcPr>
            <w:tcW w:w="586" w:type="pct"/>
            <w:shd w:val="clear" w:color="auto" w:fill="auto"/>
            <w:vAlign w:val="center"/>
          </w:tcPr>
          <w:p w14:paraId="66CC161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预算金额</w:t>
            </w:r>
          </w:p>
        </w:tc>
        <w:tc>
          <w:tcPr>
            <w:tcW w:w="1174" w:type="pct"/>
            <w:shd w:val="clear" w:color="auto" w:fill="auto"/>
            <w:vAlign w:val="center"/>
          </w:tcPr>
          <w:p w14:paraId="48053E8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各项费用占</w:t>
            </w:r>
          </w:p>
          <w:p w14:paraId="0BF9E6DB">
            <w:pPr>
              <w:keepNext w:val="0"/>
              <w:keepLines w:val="0"/>
              <w:widowControl/>
              <w:suppressLineNumbers w:val="0"/>
              <w:ind w:left="0" w:leftChars="0" w:right="0" w:rightChars="0" w:firstLine="0" w:firstLineChars="0"/>
              <w:jc w:val="both"/>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其他费用的比例（</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w:t>
            </w:r>
          </w:p>
        </w:tc>
      </w:tr>
      <w:tr w14:paraId="77B2B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7" w:type="pct"/>
            <w:vMerge w:val="continue"/>
            <w:shd w:val="clear" w:color="auto" w:fill="auto"/>
            <w:vAlign w:val="center"/>
          </w:tcPr>
          <w:p w14:paraId="1B383CEB">
            <w:pPr>
              <w:ind w:left="0" w:leftChars="0" w:right="0" w:rightChars="0" w:firstLine="0" w:firstLineChars="0"/>
              <w:jc w:val="center"/>
              <w:rPr>
                <w:rFonts w:hint="eastAsia" w:ascii="宋体" w:hAnsi="宋体" w:eastAsia="宋体" w:cs="宋体"/>
                <w:i w:val="0"/>
                <w:iCs w:val="0"/>
                <w:color w:val="auto"/>
                <w:sz w:val="21"/>
                <w:szCs w:val="21"/>
                <w:u w:val="none"/>
              </w:rPr>
            </w:pPr>
          </w:p>
        </w:tc>
        <w:tc>
          <w:tcPr>
            <w:tcW w:w="911" w:type="pct"/>
            <w:shd w:val="clear" w:color="auto" w:fill="auto"/>
            <w:vAlign w:val="center"/>
          </w:tcPr>
          <w:p w14:paraId="113DD353">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⑴</w:t>
            </w:r>
          </w:p>
        </w:tc>
        <w:tc>
          <w:tcPr>
            <w:tcW w:w="2049" w:type="pct"/>
            <w:shd w:val="clear" w:color="auto" w:fill="auto"/>
            <w:vAlign w:val="center"/>
          </w:tcPr>
          <w:p w14:paraId="609EFA61">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⑵</w:t>
            </w:r>
          </w:p>
        </w:tc>
        <w:tc>
          <w:tcPr>
            <w:tcW w:w="586" w:type="pct"/>
            <w:shd w:val="clear" w:color="auto" w:fill="auto"/>
            <w:vAlign w:val="center"/>
          </w:tcPr>
          <w:p w14:paraId="20C385A3">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⑶</w:t>
            </w:r>
          </w:p>
        </w:tc>
        <w:tc>
          <w:tcPr>
            <w:tcW w:w="1174" w:type="pct"/>
            <w:shd w:val="clear" w:color="auto" w:fill="auto"/>
            <w:vAlign w:val="center"/>
          </w:tcPr>
          <w:p w14:paraId="289F6E19">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⑷</w:t>
            </w:r>
          </w:p>
        </w:tc>
      </w:tr>
      <w:tr w14:paraId="65D71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7" w:type="pct"/>
            <w:shd w:val="clear" w:color="auto" w:fill="auto"/>
            <w:vAlign w:val="center"/>
          </w:tcPr>
          <w:p w14:paraId="2EE9A8F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911" w:type="pct"/>
            <w:shd w:val="clear" w:color="auto" w:fill="auto"/>
            <w:vAlign w:val="center"/>
          </w:tcPr>
          <w:p w14:paraId="01C1656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前期工作费</w:t>
            </w:r>
          </w:p>
        </w:tc>
        <w:tc>
          <w:tcPr>
            <w:tcW w:w="2049" w:type="pct"/>
            <w:shd w:val="clear" w:color="auto" w:fill="auto"/>
            <w:vAlign w:val="center"/>
          </w:tcPr>
          <w:p w14:paraId="24BA209A">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586" w:type="pct"/>
            <w:shd w:val="clear" w:color="auto" w:fill="auto"/>
            <w:vAlign w:val="center"/>
          </w:tcPr>
          <w:p w14:paraId="29115EA7">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13.45</w:t>
            </w:r>
          </w:p>
        </w:tc>
        <w:tc>
          <w:tcPr>
            <w:tcW w:w="1174" w:type="pct"/>
            <w:shd w:val="clear" w:color="auto" w:fill="auto"/>
            <w:vAlign w:val="center"/>
          </w:tcPr>
          <w:p w14:paraId="525758B1">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43.75 </w:t>
            </w:r>
          </w:p>
        </w:tc>
      </w:tr>
      <w:tr w14:paraId="68034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7" w:type="pct"/>
            <w:shd w:val="clear" w:color="auto" w:fill="auto"/>
            <w:vAlign w:val="center"/>
          </w:tcPr>
          <w:p w14:paraId="4E64ED1B">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⑴</w:t>
            </w:r>
          </w:p>
        </w:tc>
        <w:tc>
          <w:tcPr>
            <w:tcW w:w="911" w:type="pct"/>
            <w:shd w:val="clear" w:color="auto" w:fill="auto"/>
            <w:vAlign w:val="center"/>
          </w:tcPr>
          <w:p w14:paraId="4740EBB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项目可研编制费</w:t>
            </w:r>
          </w:p>
        </w:tc>
        <w:tc>
          <w:tcPr>
            <w:tcW w:w="2049" w:type="pct"/>
            <w:shd w:val="clear" w:color="auto" w:fill="auto"/>
            <w:vAlign w:val="center"/>
          </w:tcPr>
          <w:p w14:paraId="7D618F16">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r>
              <w:rPr>
                <w:rFonts w:hint="eastAsia" w:ascii="宋体" w:hAnsi="宋体" w:eastAsia="宋体" w:cs="宋体"/>
                <w:i w:val="0"/>
                <w:iCs w:val="0"/>
                <w:color w:val="auto"/>
                <w:kern w:val="0"/>
                <w:sz w:val="21"/>
                <w:szCs w:val="21"/>
                <w:u w:val="none"/>
                <w:lang w:val="en-US" w:eastAsia="zh-CN" w:bidi="ar"/>
              </w:rPr>
              <w:t>［（工程施工费</w:t>
            </w:r>
            <w:r>
              <w:rPr>
                <w:rFonts w:hint="default" w:ascii="Times New Roman" w:hAnsi="Times New Roman" w:eastAsia="宋体" w:cs="Times New Roman"/>
                <w:i w:val="0"/>
                <w:iCs w:val="0"/>
                <w:color w:val="auto"/>
                <w:kern w:val="0"/>
                <w:sz w:val="21"/>
                <w:szCs w:val="21"/>
                <w:u w:val="none"/>
                <w:lang w:val="en-US" w:eastAsia="zh-CN" w:bidi="ar"/>
              </w:rPr>
              <w:t>-100</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200-100</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2.5-2</w:t>
            </w:r>
            <w:r>
              <w:rPr>
                <w:rFonts w:hint="eastAsia" w:ascii="宋体" w:hAnsi="宋体" w:eastAsia="宋体" w:cs="宋体"/>
                <w:i w:val="0"/>
                <w:iCs w:val="0"/>
                <w:color w:val="auto"/>
                <w:kern w:val="0"/>
                <w:sz w:val="21"/>
                <w:szCs w:val="21"/>
                <w:u w:val="none"/>
                <w:lang w:val="en-US" w:eastAsia="zh-CN" w:bidi="ar"/>
              </w:rPr>
              <w:t>）</w:t>
            </w:r>
          </w:p>
        </w:tc>
        <w:tc>
          <w:tcPr>
            <w:tcW w:w="586" w:type="pct"/>
            <w:shd w:val="clear" w:color="auto" w:fill="auto"/>
            <w:vAlign w:val="center"/>
          </w:tcPr>
          <w:p w14:paraId="3C6336A6">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1.44</w:t>
            </w:r>
          </w:p>
        </w:tc>
        <w:tc>
          <w:tcPr>
            <w:tcW w:w="1174" w:type="pct"/>
            <w:shd w:val="clear" w:color="auto" w:fill="auto"/>
            <w:vAlign w:val="center"/>
          </w:tcPr>
          <w:p w14:paraId="7BF4D992">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4.68 </w:t>
            </w:r>
          </w:p>
        </w:tc>
      </w:tr>
      <w:tr w14:paraId="44B39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7" w:type="pct"/>
            <w:shd w:val="clear" w:color="auto" w:fill="auto"/>
            <w:vAlign w:val="center"/>
          </w:tcPr>
          <w:p w14:paraId="5F758BFD">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⑵</w:t>
            </w:r>
          </w:p>
        </w:tc>
        <w:tc>
          <w:tcPr>
            <w:tcW w:w="911" w:type="pct"/>
            <w:shd w:val="clear" w:color="auto" w:fill="auto"/>
            <w:vAlign w:val="center"/>
          </w:tcPr>
          <w:p w14:paraId="6FDB4BA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项目勘测费</w:t>
            </w:r>
          </w:p>
        </w:tc>
        <w:tc>
          <w:tcPr>
            <w:tcW w:w="2049" w:type="pct"/>
            <w:shd w:val="clear" w:color="auto" w:fill="auto"/>
            <w:vAlign w:val="center"/>
          </w:tcPr>
          <w:p w14:paraId="755F78D4">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w:t>
            </w:r>
            <w:r>
              <w:rPr>
                <w:rFonts w:hint="eastAsia" w:ascii="宋体" w:hAnsi="宋体" w:eastAsia="宋体" w:cs="宋体"/>
                <w:i w:val="0"/>
                <w:iCs w:val="0"/>
                <w:color w:val="auto"/>
                <w:kern w:val="0"/>
                <w:sz w:val="21"/>
                <w:szCs w:val="21"/>
                <w:u w:val="none"/>
                <w:lang w:val="en-US" w:eastAsia="zh-CN" w:bidi="ar"/>
              </w:rPr>
              <w:t>［（工程施工费-100）÷（</w:t>
            </w:r>
            <w:r>
              <w:rPr>
                <w:rFonts w:hint="default" w:ascii="Times New Roman" w:hAnsi="Times New Roman" w:eastAsia="宋体" w:cs="Times New Roman"/>
                <w:i w:val="0"/>
                <w:iCs w:val="0"/>
                <w:color w:val="auto"/>
                <w:kern w:val="0"/>
                <w:sz w:val="21"/>
                <w:szCs w:val="21"/>
                <w:u w:val="none"/>
                <w:lang w:val="en-US" w:eastAsia="zh-CN" w:bidi="ar"/>
              </w:rPr>
              <w:t>2</w:t>
            </w:r>
            <w:r>
              <w:rPr>
                <w:rFonts w:hint="eastAsia" w:ascii="宋体" w:hAnsi="宋体" w:eastAsia="宋体" w:cs="宋体"/>
                <w:i w:val="0"/>
                <w:iCs w:val="0"/>
                <w:color w:val="auto"/>
                <w:kern w:val="0"/>
                <w:sz w:val="21"/>
                <w:szCs w:val="21"/>
                <w:u w:val="none"/>
                <w:lang w:val="en-US" w:eastAsia="zh-CN" w:bidi="ar"/>
              </w:rPr>
              <w:t>00-100）］</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2.6-1.4</w:t>
            </w:r>
            <w:r>
              <w:rPr>
                <w:rFonts w:hint="eastAsia" w:ascii="宋体" w:hAnsi="宋体" w:eastAsia="宋体" w:cs="宋体"/>
                <w:i w:val="0"/>
                <w:iCs w:val="0"/>
                <w:color w:val="auto"/>
                <w:kern w:val="0"/>
                <w:sz w:val="21"/>
                <w:szCs w:val="21"/>
                <w:u w:val="none"/>
                <w:lang w:val="en-US" w:eastAsia="zh-CN" w:bidi="ar"/>
              </w:rPr>
              <w:t>）</w:t>
            </w:r>
          </w:p>
        </w:tc>
        <w:tc>
          <w:tcPr>
            <w:tcW w:w="586" w:type="pct"/>
            <w:shd w:val="clear" w:color="auto" w:fill="auto"/>
            <w:vAlign w:val="center"/>
          </w:tcPr>
          <w:p w14:paraId="3E09467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2.44</w:t>
            </w:r>
          </w:p>
        </w:tc>
        <w:tc>
          <w:tcPr>
            <w:tcW w:w="1174" w:type="pct"/>
            <w:shd w:val="clear" w:color="auto" w:fill="auto"/>
            <w:vAlign w:val="center"/>
          </w:tcPr>
          <w:p w14:paraId="22439EA9">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7.94 </w:t>
            </w:r>
          </w:p>
        </w:tc>
      </w:tr>
      <w:tr w14:paraId="5CDFC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7" w:type="pct"/>
            <w:shd w:val="clear" w:color="auto" w:fill="auto"/>
            <w:vAlign w:val="center"/>
          </w:tcPr>
          <w:p w14:paraId="7AFCC663">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⑶</w:t>
            </w:r>
          </w:p>
        </w:tc>
        <w:tc>
          <w:tcPr>
            <w:tcW w:w="911" w:type="pct"/>
            <w:shd w:val="clear" w:color="auto" w:fill="auto"/>
            <w:vAlign w:val="center"/>
          </w:tcPr>
          <w:p w14:paraId="2CE893D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项目设计与预算编制费</w:t>
            </w:r>
          </w:p>
        </w:tc>
        <w:tc>
          <w:tcPr>
            <w:tcW w:w="2049" w:type="pct"/>
            <w:shd w:val="clear" w:color="auto" w:fill="auto"/>
            <w:vAlign w:val="center"/>
          </w:tcPr>
          <w:p w14:paraId="17ADA213">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4.5+</w:t>
            </w:r>
            <w:r>
              <w:rPr>
                <w:rFonts w:hint="eastAsia" w:ascii="宋体" w:hAnsi="宋体" w:eastAsia="宋体" w:cs="宋体"/>
                <w:i w:val="0"/>
                <w:iCs w:val="0"/>
                <w:color w:val="auto"/>
                <w:kern w:val="0"/>
                <w:sz w:val="21"/>
                <w:szCs w:val="21"/>
                <w:u w:val="none"/>
                <w:lang w:val="en-US" w:eastAsia="zh-CN" w:bidi="ar"/>
              </w:rPr>
              <w:t>［（工程施工费-100）÷（</w:t>
            </w:r>
            <w:r>
              <w:rPr>
                <w:rFonts w:hint="default" w:ascii="Times New Roman" w:hAnsi="Times New Roman" w:eastAsia="宋体" w:cs="Times New Roman"/>
                <w:i w:val="0"/>
                <w:iCs w:val="0"/>
                <w:color w:val="auto"/>
                <w:kern w:val="0"/>
                <w:sz w:val="21"/>
                <w:szCs w:val="21"/>
                <w:u w:val="none"/>
                <w:lang w:val="en-US" w:eastAsia="zh-CN" w:bidi="ar"/>
              </w:rPr>
              <w:t>2</w:t>
            </w:r>
            <w:r>
              <w:rPr>
                <w:rFonts w:hint="eastAsia" w:ascii="宋体" w:hAnsi="宋体" w:eastAsia="宋体" w:cs="宋体"/>
                <w:i w:val="0"/>
                <w:iCs w:val="0"/>
                <w:color w:val="auto"/>
                <w:kern w:val="0"/>
                <w:sz w:val="21"/>
                <w:szCs w:val="21"/>
                <w:u w:val="none"/>
                <w:lang w:val="en-US" w:eastAsia="zh-CN" w:bidi="ar"/>
              </w:rPr>
              <w:t>00-100）］</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9-4.5</w:t>
            </w:r>
            <w:r>
              <w:rPr>
                <w:rFonts w:hint="eastAsia" w:ascii="宋体" w:hAnsi="宋体" w:eastAsia="宋体" w:cs="宋体"/>
                <w:i w:val="0"/>
                <w:iCs w:val="0"/>
                <w:color w:val="auto"/>
                <w:kern w:val="0"/>
                <w:sz w:val="21"/>
                <w:szCs w:val="21"/>
                <w:u w:val="none"/>
                <w:lang w:val="en-US" w:eastAsia="zh-CN" w:bidi="ar"/>
              </w:rPr>
              <w:t>）</w:t>
            </w:r>
          </w:p>
        </w:tc>
        <w:tc>
          <w:tcPr>
            <w:tcW w:w="586" w:type="pct"/>
            <w:shd w:val="clear" w:color="auto" w:fill="auto"/>
            <w:vAlign w:val="center"/>
          </w:tcPr>
          <w:p w14:paraId="3344A162">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8.42</w:t>
            </w:r>
          </w:p>
        </w:tc>
        <w:tc>
          <w:tcPr>
            <w:tcW w:w="1174" w:type="pct"/>
            <w:shd w:val="clear" w:color="auto" w:fill="auto"/>
            <w:vAlign w:val="center"/>
          </w:tcPr>
          <w:p w14:paraId="367C6760">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27.39 </w:t>
            </w:r>
          </w:p>
        </w:tc>
      </w:tr>
      <w:tr w14:paraId="5C56E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7" w:type="pct"/>
            <w:shd w:val="clear" w:color="auto" w:fill="auto"/>
            <w:vAlign w:val="center"/>
          </w:tcPr>
          <w:p w14:paraId="3939854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⑷</w:t>
            </w:r>
          </w:p>
        </w:tc>
        <w:tc>
          <w:tcPr>
            <w:tcW w:w="911" w:type="pct"/>
            <w:shd w:val="clear" w:color="auto" w:fill="auto"/>
            <w:vAlign w:val="center"/>
          </w:tcPr>
          <w:p w14:paraId="3027D87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项目招标代理费</w:t>
            </w:r>
          </w:p>
        </w:tc>
        <w:tc>
          <w:tcPr>
            <w:tcW w:w="2049" w:type="pct"/>
            <w:shd w:val="clear" w:color="auto" w:fill="auto"/>
            <w:vAlign w:val="center"/>
          </w:tcPr>
          <w:p w14:paraId="14C239E6">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0.75</w:t>
            </w:r>
            <w:r>
              <w:rPr>
                <w:rFonts w:hint="eastAsia" w:ascii="宋体" w:hAnsi="宋体" w:eastAsia="宋体" w:cs="宋体"/>
                <w:i w:val="0"/>
                <w:iCs w:val="0"/>
                <w:color w:val="auto"/>
                <w:kern w:val="0"/>
                <w:sz w:val="21"/>
                <w:szCs w:val="21"/>
                <w:u w:val="none"/>
                <w:lang w:val="en-US" w:eastAsia="zh-CN" w:bidi="ar"/>
              </w:rPr>
              <w:t>+（工程施工费</w:t>
            </w:r>
            <w:r>
              <w:rPr>
                <w:rFonts w:hint="default" w:ascii="Times New Roman" w:hAnsi="Times New Roman" w:eastAsia="宋体" w:cs="Times New Roman"/>
                <w:i w:val="0"/>
                <w:iCs w:val="0"/>
                <w:color w:val="auto"/>
                <w:kern w:val="0"/>
                <w:sz w:val="21"/>
                <w:szCs w:val="21"/>
                <w:u w:val="none"/>
                <w:lang w:val="en-US" w:eastAsia="zh-CN" w:bidi="ar"/>
              </w:rPr>
              <w:t>-100</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×0.46%</w:t>
            </w:r>
          </w:p>
        </w:tc>
        <w:tc>
          <w:tcPr>
            <w:tcW w:w="586" w:type="pct"/>
            <w:shd w:val="clear" w:color="auto" w:fill="auto"/>
            <w:vAlign w:val="center"/>
          </w:tcPr>
          <w:p w14:paraId="0A5748E6">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1.15</w:t>
            </w:r>
          </w:p>
        </w:tc>
        <w:tc>
          <w:tcPr>
            <w:tcW w:w="1174" w:type="pct"/>
            <w:shd w:val="clear" w:color="auto" w:fill="auto"/>
            <w:vAlign w:val="center"/>
          </w:tcPr>
          <w:p w14:paraId="50A4EBE6">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3.74 </w:t>
            </w:r>
          </w:p>
        </w:tc>
      </w:tr>
      <w:tr w14:paraId="13D30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7" w:type="pct"/>
            <w:shd w:val="clear" w:color="auto" w:fill="auto"/>
            <w:vAlign w:val="center"/>
          </w:tcPr>
          <w:p w14:paraId="51804F6F">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911" w:type="pct"/>
            <w:shd w:val="clear" w:color="auto" w:fill="auto"/>
            <w:vAlign w:val="center"/>
          </w:tcPr>
          <w:p w14:paraId="05BFD1C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工程监理费</w:t>
            </w:r>
          </w:p>
        </w:tc>
        <w:tc>
          <w:tcPr>
            <w:tcW w:w="2049" w:type="pct"/>
            <w:shd w:val="clear" w:color="auto" w:fill="auto"/>
            <w:vAlign w:val="center"/>
          </w:tcPr>
          <w:p w14:paraId="10439A2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4.2+</w:t>
            </w:r>
            <w:r>
              <w:rPr>
                <w:rFonts w:hint="eastAsia" w:ascii="宋体" w:hAnsi="宋体" w:eastAsia="宋体" w:cs="宋体"/>
                <w:i w:val="0"/>
                <w:iCs w:val="0"/>
                <w:color w:val="auto"/>
                <w:kern w:val="0"/>
                <w:sz w:val="21"/>
                <w:szCs w:val="21"/>
                <w:u w:val="none"/>
                <w:lang w:val="en-US" w:eastAsia="zh-CN" w:bidi="ar"/>
              </w:rPr>
              <w:t>［（工程施工费-100）÷（</w:t>
            </w:r>
            <w:r>
              <w:rPr>
                <w:rFonts w:hint="default" w:ascii="Times New Roman" w:hAnsi="Times New Roman" w:eastAsia="宋体" w:cs="Times New Roman"/>
                <w:i w:val="0"/>
                <w:iCs w:val="0"/>
                <w:color w:val="auto"/>
                <w:kern w:val="0"/>
                <w:sz w:val="21"/>
                <w:szCs w:val="21"/>
                <w:u w:val="none"/>
                <w:lang w:val="en-US" w:eastAsia="zh-CN" w:bidi="ar"/>
              </w:rPr>
              <w:t>20</w:t>
            </w:r>
            <w:r>
              <w:rPr>
                <w:rFonts w:hint="eastAsia" w:ascii="宋体" w:hAnsi="宋体" w:eastAsia="宋体" w:cs="宋体"/>
                <w:i w:val="0"/>
                <w:iCs w:val="0"/>
                <w:color w:val="auto"/>
                <w:kern w:val="0"/>
                <w:sz w:val="21"/>
                <w:szCs w:val="21"/>
                <w:u w:val="none"/>
                <w:lang w:val="en-US" w:eastAsia="zh-CN" w:bidi="ar"/>
              </w:rPr>
              <w:t>0-100）］</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7.5-4.2</w:t>
            </w:r>
            <w:r>
              <w:rPr>
                <w:rFonts w:hint="eastAsia" w:ascii="宋体" w:hAnsi="宋体" w:eastAsia="宋体" w:cs="宋体"/>
                <w:i w:val="0"/>
                <w:iCs w:val="0"/>
                <w:color w:val="auto"/>
                <w:kern w:val="0"/>
                <w:sz w:val="21"/>
                <w:szCs w:val="21"/>
                <w:u w:val="none"/>
                <w:lang w:val="en-US" w:eastAsia="zh-CN" w:bidi="ar"/>
              </w:rPr>
              <w:t>）</w:t>
            </w:r>
          </w:p>
        </w:tc>
        <w:tc>
          <w:tcPr>
            <w:tcW w:w="586" w:type="pct"/>
            <w:shd w:val="clear" w:color="auto" w:fill="auto"/>
            <w:vAlign w:val="center"/>
          </w:tcPr>
          <w:p w14:paraId="138869A7">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7.07</w:t>
            </w:r>
          </w:p>
        </w:tc>
        <w:tc>
          <w:tcPr>
            <w:tcW w:w="1174" w:type="pct"/>
            <w:shd w:val="clear" w:color="auto" w:fill="auto"/>
            <w:vAlign w:val="center"/>
          </w:tcPr>
          <w:p w14:paraId="4CB720FD">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23.00 </w:t>
            </w:r>
          </w:p>
        </w:tc>
      </w:tr>
      <w:tr w14:paraId="6A69F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7" w:type="pct"/>
            <w:shd w:val="clear" w:color="auto" w:fill="auto"/>
            <w:vAlign w:val="center"/>
          </w:tcPr>
          <w:p w14:paraId="0214FF4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911" w:type="pct"/>
            <w:shd w:val="clear" w:color="auto" w:fill="auto"/>
            <w:vAlign w:val="center"/>
          </w:tcPr>
          <w:p w14:paraId="3CCCD7C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竣工验收费</w:t>
            </w:r>
          </w:p>
        </w:tc>
        <w:tc>
          <w:tcPr>
            <w:tcW w:w="2049" w:type="pct"/>
            <w:shd w:val="clear" w:color="auto" w:fill="auto"/>
            <w:vAlign w:val="center"/>
          </w:tcPr>
          <w:p w14:paraId="3A49EF99">
            <w:pPr>
              <w:ind w:left="0" w:leftChars="0" w:right="0" w:rightChars="0" w:firstLine="0" w:firstLineChars="0"/>
              <w:jc w:val="center"/>
              <w:rPr>
                <w:rFonts w:hint="default" w:ascii="Times New Roman" w:hAnsi="Times New Roman" w:eastAsia="宋体" w:cs="Times New Roman"/>
                <w:i w:val="0"/>
                <w:iCs w:val="0"/>
                <w:color w:val="auto"/>
                <w:sz w:val="21"/>
                <w:szCs w:val="21"/>
                <w:u w:val="none"/>
              </w:rPr>
            </w:pPr>
          </w:p>
        </w:tc>
        <w:tc>
          <w:tcPr>
            <w:tcW w:w="586" w:type="pct"/>
            <w:shd w:val="clear" w:color="auto" w:fill="auto"/>
            <w:vAlign w:val="center"/>
          </w:tcPr>
          <w:p w14:paraId="722043E5">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7.09</w:t>
            </w:r>
          </w:p>
        </w:tc>
        <w:tc>
          <w:tcPr>
            <w:tcW w:w="1174" w:type="pct"/>
            <w:shd w:val="clear" w:color="auto" w:fill="auto"/>
            <w:vAlign w:val="center"/>
          </w:tcPr>
          <w:p w14:paraId="131993F9">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23.06 </w:t>
            </w:r>
          </w:p>
        </w:tc>
      </w:tr>
      <w:tr w14:paraId="66051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7" w:type="pct"/>
            <w:shd w:val="clear" w:color="auto" w:fill="auto"/>
            <w:vAlign w:val="center"/>
          </w:tcPr>
          <w:p w14:paraId="6C06ACB6">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⑴</w:t>
            </w:r>
          </w:p>
        </w:tc>
        <w:tc>
          <w:tcPr>
            <w:tcW w:w="911" w:type="pct"/>
            <w:shd w:val="clear" w:color="auto" w:fill="auto"/>
            <w:vAlign w:val="center"/>
          </w:tcPr>
          <w:p w14:paraId="05046AD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工程复核费</w:t>
            </w:r>
          </w:p>
        </w:tc>
        <w:tc>
          <w:tcPr>
            <w:tcW w:w="2049" w:type="pct"/>
            <w:shd w:val="clear" w:color="auto" w:fill="auto"/>
            <w:vAlign w:val="center"/>
          </w:tcPr>
          <w:p w14:paraId="55319FE0">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w:t>
            </w:r>
            <w:r>
              <w:rPr>
                <w:rFonts w:hint="eastAsia" w:ascii="宋体" w:hAnsi="宋体" w:eastAsia="宋体" w:cs="宋体"/>
                <w:i w:val="0"/>
                <w:iCs w:val="0"/>
                <w:color w:val="auto"/>
                <w:kern w:val="0"/>
                <w:sz w:val="21"/>
                <w:szCs w:val="21"/>
                <w:u w:val="none"/>
                <w:lang w:val="en-US" w:eastAsia="zh-CN" w:bidi="ar"/>
              </w:rPr>
              <w:t>［（工程施工费-100）÷（</w:t>
            </w:r>
            <w:r>
              <w:rPr>
                <w:rFonts w:hint="default" w:ascii="Times New Roman" w:hAnsi="Times New Roman" w:eastAsia="宋体" w:cs="Times New Roman"/>
                <w:i w:val="0"/>
                <w:iCs w:val="0"/>
                <w:color w:val="auto"/>
                <w:kern w:val="0"/>
                <w:sz w:val="21"/>
                <w:szCs w:val="21"/>
                <w:u w:val="none"/>
                <w:lang w:val="en-US" w:eastAsia="zh-CN" w:bidi="ar"/>
              </w:rPr>
              <w:t>20</w:t>
            </w:r>
            <w:r>
              <w:rPr>
                <w:rFonts w:hint="eastAsia" w:ascii="宋体" w:hAnsi="宋体" w:eastAsia="宋体" w:cs="宋体"/>
                <w:i w:val="0"/>
                <w:iCs w:val="0"/>
                <w:color w:val="auto"/>
                <w:kern w:val="0"/>
                <w:sz w:val="21"/>
                <w:szCs w:val="21"/>
                <w:u w:val="none"/>
                <w:lang w:val="en-US" w:eastAsia="zh-CN" w:bidi="ar"/>
              </w:rPr>
              <w:t>0-100）］</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3.8-2.2</w:t>
            </w:r>
            <w:r>
              <w:rPr>
                <w:rFonts w:hint="eastAsia" w:ascii="宋体" w:hAnsi="宋体" w:eastAsia="宋体" w:cs="宋体"/>
                <w:i w:val="0"/>
                <w:iCs w:val="0"/>
                <w:color w:val="auto"/>
                <w:kern w:val="0"/>
                <w:sz w:val="21"/>
                <w:szCs w:val="21"/>
                <w:u w:val="none"/>
                <w:lang w:val="en-US" w:eastAsia="zh-CN" w:bidi="ar"/>
              </w:rPr>
              <w:t>）</w:t>
            </w:r>
          </w:p>
        </w:tc>
        <w:tc>
          <w:tcPr>
            <w:tcW w:w="586" w:type="pct"/>
            <w:shd w:val="clear" w:color="auto" w:fill="auto"/>
            <w:vAlign w:val="center"/>
          </w:tcPr>
          <w:p w14:paraId="2A75EB1B">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3.59</w:t>
            </w:r>
          </w:p>
        </w:tc>
        <w:tc>
          <w:tcPr>
            <w:tcW w:w="1174" w:type="pct"/>
            <w:shd w:val="clear" w:color="auto" w:fill="auto"/>
            <w:vAlign w:val="center"/>
          </w:tcPr>
          <w:p w14:paraId="6E8235BD">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11.68 </w:t>
            </w:r>
          </w:p>
        </w:tc>
      </w:tr>
      <w:tr w14:paraId="0C558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7" w:type="pct"/>
            <w:shd w:val="clear" w:color="auto" w:fill="auto"/>
            <w:vAlign w:val="center"/>
          </w:tcPr>
          <w:p w14:paraId="05F3BBD4">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⑵</w:t>
            </w:r>
          </w:p>
        </w:tc>
        <w:tc>
          <w:tcPr>
            <w:tcW w:w="911" w:type="pct"/>
            <w:shd w:val="clear" w:color="auto" w:fill="auto"/>
            <w:vAlign w:val="center"/>
          </w:tcPr>
          <w:p w14:paraId="5ED01AB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工程验收费</w:t>
            </w:r>
          </w:p>
        </w:tc>
        <w:tc>
          <w:tcPr>
            <w:tcW w:w="2049" w:type="pct"/>
            <w:shd w:val="clear" w:color="auto" w:fill="auto"/>
            <w:vAlign w:val="center"/>
          </w:tcPr>
          <w:p w14:paraId="0BE8CBD3">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w:t>
            </w:r>
            <w:r>
              <w:rPr>
                <w:rFonts w:hint="eastAsia" w:ascii="宋体" w:hAnsi="宋体" w:eastAsia="宋体" w:cs="宋体"/>
                <w:i w:val="0"/>
                <w:iCs w:val="0"/>
                <w:color w:val="auto"/>
                <w:kern w:val="0"/>
                <w:sz w:val="21"/>
                <w:szCs w:val="21"/>
                <w:u w:val="none"/>
                <w:lang w:val="en-US" w:eastAsia="zh-CN" w:bidi="ar"/>
              </w:rPr>
              <w:t>［（工程施工费-100）÷（</w:t>
            </w:r>
            <w:r>
              <w:rPr>
                <w:rFonts w:hint="default" w:ascii="Times New Roman" w:hAnsi="Times New Roman" w:eastAsia="宋体" w:cs="Times New Roman"/>
                <w:i w:val="0"/>
                <w:iCs w:val="0"/>
                <w:color w:val="auto"/>
                <w:kern w:val="0"/>
                <w:sz w:val="21"/>
                <w:szCs w:val="21"/>
                <w:u w:val="none"/>
                <w:lang w:val="en-US" w:eastAsia="zh-CN" w:bidi="ar"/>
              </w:rPr>
              <w:t>20</w:t>
            </w:r>
            <w:r>
              <w:rPr>
                <w:rFonts w:hint="eastAsia" w:ascii="宋体" w:hAnsi="宋体" w:eastAsia="宋体" w:cs="宋体"/>
                <w:i w:val="0"/>
                <w:iCs w:val="0"/>
                <w:color w:val="auto"/>
                <w:kern w:val="0"/>
                <w:sz w:val="21"/>
                <w:szCs w:val="21"/>
                <w:u w:val="none"/>
                <w:lang w:val="en-US" w:eastAsia="zh-CN" w:bidi="ar"/>
              </w:rPr>
              <w:t>0-100）］</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2.8-1.6</w:t>
            </w:r>
            <w:r>
              <w:rPr>
                <w:rFonts w:hint="eastAsia" w:ascii="宋体" w:hAnsi="宋体" w:eastAsia="宋体" w:cs="宋体"/>
                <w:i w:val="0"/>
                <w:iCs w:val="0"/>
                <w:color w:val="auto"/>
                <w:kern w:val="0"/>
                <w:sz w:val="21"/>
                <w:szCs w:val="21"/>
                <w:u w:val="none"/>
                <w:lang w:val="en-US" w:eastAsia="zh-CN" w:bidi="ar"/>
              </w:rPr>
              <w:t>）</w:t>
            </w:r>
          </w:p>
        </w:tc>
        <w:tc>
          <w:tcPr>
            <w:tcW w:w="586" w:type="pct"/>
            <w:shd w:val="clear" w:color="auto" w:fill="auto"/>
            <w:vAlign w:val="center"/>
          </w:tcPr>
          <w:p w14:paraId="6B755827">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2.64</w:t>
            </w:r>
          </w:p>
        </w:tc>
        <w:tc>
          <w:tcPr>
            <w:tcW w:w="1174" w:type="pct"/>
            <w:shd w:val="clear" w:color="auto" w:fill="auto"/>
            <w:vAlign w:val="center"/>
          </w:tcPr>
          <w:p w14:paraId="36DAF59E">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8.59 </w:t>
            </w:r>
          </w:p>
        </w:tc>
      </w:tr>
      <w:tr w14:paraId="18795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7" w:type="pct"/>
            <w:shd w:val="clear" w:color="auto" w:fill="auto"/>
            <w:vAlign w:val="center"/>
          </w:tcPr>
          <w:p w14:paraId="43F6BB23">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⑶</w:t>
            </w:r>
          </w:p>
        </w:tc>
        <w:tc>
          <w:tcPr>
            <w:tcW w:w="911" w:type="pct"/>
            <w:shd w:val="clear" w:color="auto" w:fill="auto"/>
            <w:vAlign w:val="center"/>
          </w:tcPr>
          <w:p w14:paraId="73BEBE4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项目结（决）算审计费</w:t>
            </w:r>
          </w:p>
        </w:tc>
        <w:tc>
          <w:tcPr>
            <w:tcW w:w="2049" w:type="pct"/>
            <w:shd w:val="clear" w:color="auto" w:fill="auto"/>
            <w:vAlign w:val="center"/>
          </w:tcPr>
          <w:p w14:paraId="4481FAB7">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0.6+</w:t>
            </w:r>
            <w:r>
              <w:rPr>
                <w:rFonts w:hint="eastAsia" w:ascii="宋体" w:hAnsi="宋体" w:eastAsia="宋体" w:cs="宋体"/>
                <w:i w:val="0"/>
                <w:iCs w:val="0"/>
                <w:color w:val="auto"/>
                <w:kern w:val="0"/>
                <w:sz w:val="21"/>
                <w:szCs w:val="21"/>
                <w:u w:val="none"/>
                <w:lang w:val="en-US" w:eastAsia="zh-CN" w:bidi="ar"/>
              </w:rPr>
              <w:t>［（工程施工费-100）÷（</w:t>
            </w:r>
            <w:r>
              <w:rPr>
                <w:rFonts w:hint="default" w:ascii="Times New Roman" w:hAnsi="Times New Roman" w:eastAsia="宋体" w:cs="Times New Roman"/>
                <w:i w:val="0"/>
                <w:iCs w:val="0"/>
                <w:color w:val="auto"/>
                <w:kern w:val="0"/>
                <w:sz w:val="21"/>
                <w:szCs w:val="21"/>
                <w:u w:val="none"/>
                <w:lang w:val="en-US" w:eastAsia="zh-CN" w:bidi="ar"/>
              </w:rPr>
              <w:t>20</w:t>
            </w:r>
            <w:r>
              <w:rPr>
                <w:rFonts w:hint="eastAsia" w:ascii="宋体" w:hAnsi="宋体" w:eastAsia="宋体" w:cs="宋体"/>
                <w:i w:val="0"/>
                <w:iCs w:val="0"/>
                <w:color w:val="auto"/>
                <w:kern w:val="0"/>
                <w:sz w:val="21"/>
                <w:szCs w:val="21"/>
                <w:u w:val="none"/>
                <w:lang w:val="en-US" w:eastAsia="zh-CN" w:bidi="ar"/>
              </w:rPr>
              <w:t>0-100）］</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0.9-0.6</w:t>
            </w:r>
            <w:r>
              <w:rPr>
                <w:rFonts w:hint="eastAsia" w:ascii="宋体" w:hAnsi="宋体" w:eastAsia="宋体" w:cs="宋体"/>
                <w:i w:val="0"/>
                <w:iCs w:val="0"/>
                <w:color w:val="auto"/>
                <w:kern w:val="0"/>
                <w:sz w:val="21"/>
                <w:szCs w:val="21"/>
                <w:u w:val="none"/>
                <w:lang w:val="en-US" w:eastAsia="zh-CN" w:bidi="ar"/>
              </w:rPr>
              <w:t>）</w:t>
            </w:r>
          </w:p>
        </w:tc>
        <w:tc>
          <w:tcPr>
            <w:tcW w:w="586" w:type="pct"/>
            <w:shd w:val="clear" w:color="auto" w:fill="auto"/>
            <w:vAlign w:val="center"/>
          </w:tcPr>
          <w:p w14:paraId="3A8FE785">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0.86</w:t>
            </w:r>
          </w:p>
        </w:tc>
        <w:tc>
          <w:tcPr>
            <w:tcW w:w="1174" w:type="pct"/>
            <w:shd w:val="clear" w:color="auto" w:fill="auto"/>
            <w:vAlign w:val="center"/>
          </w:tcPr>
          <w:p w14:paraId="7FF6D514">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2.80 </w:t>
            </w:r>
          </w:p>
        </w:tc>
      </w:tr>
      <w:tr w14:paraId="6B7F7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7" w:type="pct"/>
            <w:shd w:val="clear" w:color="auto" w:fill="auto"/>
            <w:vAlign w:val="center"/>
          </w:tcPr>
          <w:p w14:paraId="3DDC2608">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911" w:type="pct"/>
            <w:shd w:val="clear" w:color="auto" w:fill="auto"/>
            <w:vAlign w:val="center"/>
          </w:tcPr>
          <w:p w14:paraId="55C87A2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项目管理费</w:t>
            </w:r>
          </w:p>
        </w:tc>
        <w:tc>
          <w:tcPr>
            <w:tcW w:w="2049" w:type="pct"/>
            <w:shd w:val="clear" w:color="auto" w:fill="auto"/>
            <w:vAlign w:val="center"/>
          </w:tcPr>
          <w:p w14:paraId="11C3B298">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1.75+</w:t>
            </w:r>
            <w:r>
              <w:rPr>
                <w:rFonts w:hint="eastAsia" w:ascii="宋体" w:hAnsi="宋体" w:eastAsia="宋体" w:cs="宋体"/>
                <w:i w:val="0"/>
                <w:iCs w:val="0"/>
                <w:color w:val="auto"/>
                <w:kern w:val="0"/>
                <w:sz w:val="21"/>
                <w:szCs w:val="21"/>
                <w:u w:val="none"/>
                <w:lang w:val="en-US" w:eastAsia="zh-CN" w:bidi="ar"/>
              </w:rPr>
              <w:t>（工程施工费</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前期工作费</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工程监理费</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竣工验收费</w:t>
            </w:r>
            <w:r>
              <w:rPr>
                <w:rFonts w:hint="default" w:ascii="Times New Roman" w:hAnsi="Times New Roman" w:eastAsia="宋体" w:cs="Times New Roman"/>
                <w:i w:val="0"/>
                <w:iCs w:val="0"/>
                <w:color w:val="auto"/>
                <w:kern w:val="0"/>
                <w:sz w:val="21"/>
                <w:szCs w:val="21"/>
                <w:u w:val="none"/>
                <w:lang w:val="en-US" w:eastAsia="zh-CN" w:bidi="ar"/>
              </w:rPr>
              <w:t>-100</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×1.20%</w:t>
            </w:r>
          </w:p>
        </w:tc>
        <w:tc>
          <w:tcPr>
            <w:tcW w:w="586" w:type="pct"/>
            <w:shd w:val="clear" w:color="auto" w:fill="auto"/>
            <w:vAlign w:val="center"/>
          </w:tcPr>
          <w:p w14:paraId="61B0E35D">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3.13</w:t>
            </w:r>
          </w:p>
        </w:tc>
        <w:tc>
          <w:tcPr>
            <w:tcW w:w="1174" w:type="pct"/>
            <w:shd w:val="clear" w:color="auto" w:fill="auto"/>
            <w:vAlign w:val="center"/>
          </w:tcPr>
          <w:p w14:paraId="2D82606E">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10.18 </w:t>
            </w:r>
          </w:p>
        </w:tc>
      </w:tr>
      <w:tr w14:paraId="306C5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38" w:type="pct"/>
            <w:gridSpan w:val="3"/>
            <w:shd w:val="clear" w:color="auto" w:fill="auto"/>
            <w:vAlign w:val="center"/>
          </w:tcPr>
          <w:p w14:paraId="12FE187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总计</w:t>
            </w:r>
          </w:p>
        </w:tc>
        <w:tc>
          <w:tcPr>
            <w:tcW w:w="586" w:type="pct"/>
            <w:shd w:val="clear" w:color="auto" w:fill="auto"/>
            <w:vAlign w:val="center"/>
          </w:tcPr>
          <w:p w14:paraId="209B88F1">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30.74</w:t>
            </w:r>
          </w:p>
        </w:tc>
        <w:tc>
          <w:tcPr>
            <w:tcW w:w="1174" w:type="pct"/>
            <w:shd w:val="clear" w:color="auto" w:fill="auto"/>
            <w:vAlign w:val="center"/>
          </w:tcPr>
          <w:p w14:paraId="2F78E048">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100</w:t>
            </w:r>
          </w:p>
        </w:tc>
      </w:tr>
    </w:tbl>
    <w:p w14:paraId="2B5C21DE">
      <w:pPr>
        <w:jc w:val="center"/>
        <w:rPr>
          <w:rFonts w:eastAsia="黑体"/>
          <w:color w:val="auto"/>
          <w:sz w:val="24"/>
          <w:szCs w:val="24"/>
        </w:rPr>
      </w:pPr>
      <w:r>
        <w:rPr>
          <w:rFonts w:eastAsia="黑体"/>
          <w:color w:val="auto"/>
          <w:sz w:val="24"/>
          <w:szCs w:val="24"/>
        </w:rPr>
        <w:t>表 6-1</w:t>
      </w:r>
      <w:r>
        <w:rPr>
          <w:rFonts w:hint="eastAsia" w:eastAsia="黑体"/>
          <w:color w:val="auto"/>
          <w:sz w:val="24"/>
          <w:szCs w:val="24"/>
          <w:lang w:val="en-US" w:eastAsia="zh-CN"/>
        </w:rPr>
        <w:t>6</w:t>
      </w:r>
      <w:r>
        <w:rPr>
          <w:rFonts w:eastAsia="黑体"/>
          <w:color w:val="auto"/>
          <w:sz w:val="24"/>
          <w:szCs w:val="24"/>
        </w:rPr>
        <w:t xml:space="preserve">  监测</w:t>
      </w:r>
      <w:r>
        <w:rPr>
          <w:rFonts w:hint="eastAsia" w:eastAsia="黑体"/>
          <w:color w:val="auto"/>
          <w:sz w:val="24"/>
          <w:szCs w:val="24"/>
          <w:lang w:val="en-US" w:eastAsia="zh-CN"/>
        </w:rPr>
        <w:t>管护</w:t>
      </w:r>
      <w:r>
        <w:rPr>
          <w:rFonts w:eastAsia="黑体"/>
          <w:color w:val="auto"/>
          <w:sz w:val="24"/>
          <w:szCs w:val="24"/>
        </w:rPr>
        <w:t>费用估算表</w:t>
      </w:r>
    </w:p>
    <w:tbl>
      <w:tblPr>
        <w:tblStyle w:val="34"/>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1392"/>
        <w:gridCol w:w="1446"/>
        <w:gridCol w:w="994"/>
        <w:gridCol w:w="930"/>
        <w:gridCol w:w="2712"/>
      </w:tblGrid>
      <w:tr w14:paraId="045F6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492" w:type="pct"/>
            <w:vMerge w:val="restart"/>
            <w:vAlign w:val="center"/>
          </w:tcPr>
          <w:p w14:paraId="52659A56">
            <w:pPr>
              <w:spacing w:after="0" w:line="240" w:lineRule="auto"/>
              <w:jc w:val="center"/>
              <w:rPr>
                <w:color w:val="auto"/>
                <w:sz w:val="21"/>
                <w:szCs w:val="21"/>
              </w:rPr>
            </w:pPr>
            <w:r>
              <w:rPr>
                <w:color w:val="auto"/>
                <w:sz w:val="21"/>
                <w:szCs w:val="21"/>
              </w:rPr>
              <w:t>序号</w:t>
            </w:r>
          </w:p>
        </w:tc>
        <w:tc>
          <w:tcPr>
            <w:tcW w:w="838" w:type="pct"/>
            <w:vAlign w:val="center"/>
          </w:tcPr>
          <w:p w14:paraId="6435C5C1">
            <w:pPr>
              <w:spacing w:after="0" w:line="240" w:lineRule="auto"/>
              <w:jc w:val="center"/>
              <w:rPr>
                <w:color w:val="auto"/>
                <w:sz w:val="21"/>
                <w:szCs w:val="21"/>
              </w:rPr>
            </w:pPr>
            <w:r>
              <w:rPr>
                <w:color w:val="auto"/>
                <w:sz w:val="21"/>
                <w:szCs w:val="21"/>
              </w:rPr>
              <w:t>费用名称</w:t>
            </w:r>
          </w:p>
        </w:tc>
        <w:tc>
          <w:tcPr>
            <w:tcW w:w="872" w:type="pct"/>
            <w:vAlign w:val="center"/>
          </w:tcPr>
          <w:p w14:paraId="15092CC6">
            <w:pPr>
              <w:spacing w:after="0" w:line="240" w:lineRule="auto"/>
              <w:jc w:val="center"/>
              <w:rPr>
                <w:color w:val="auto"/>
                <w:sz w:val="21"/>
                <w:szCs w:val="21"/>
              </w:rPr>
            </w:pPr>
            <w:r>
              <w:rPr>
                <w:color w:val="auto"/>
                <w:sz w:val="21"/>
                <w:szCs w:val="21"/>
              </w:rPr>
              <w:t>工程施工费</w:t>
            </w:r>
          </w:p>
          <w:p w14:paraId="26C098C7">
            <w:pPr>
              <w:spacing w:after="0" w:line="240" w:lineRule="auto"/>
              <w:jc w:val="center"/>
              <w:rPr>
                <w:color w:val="auto"/>
                <w:sz w:val="21"/>
                <w:szCs w:val="21"/>
              </w:rPr>
            </w:pPr>
            <w:r>
              <w:rPr>
                <w:color w:val="auto"/>
                <w:sz w:val="21"/>
                <w:szCs w:val="21"/>
              </w:rPr>
              <w:t>（万元）</w:t>
            </w:r>
          </w:p>
        </w:tc>
        <w:tc>
          <w:tcPr>
            <w:tcW w:w="599" w:type="pct"/>
            <w:vAlign w:val="center"/>
          </w:tcPr>
          <w:p w14:paraId="2FBBFE74">
            <w:pPr>
              <w:spacing w:after="0" w:line="240" w:lineRule="auto"/>
              <w:jc w:val="center"/>
              <w:rPr>
                <w:color w:val="auto"/>
                <w:sz w:val="21"/>
                <w:szCs w:val="21"/>
              </w:rPr>
            </w:pPr>
            <w:r>
              <w:rPr>
                <w:color w:val="auto"/>
                <w:sz w:val="21"/>
                <w:szCs w:val="21"/>
              </w:rPr>
              <w:t>费率</w:t>
            </w:r>
          </w:p>
        </w:tc>
        <w:tc>
          <w:tcPr>
            <w:tcW w:w="561" w:type="pct"/>
            <w:vAlign w:val="center"/>
          </w:tcPr>
          <w:p w14:paraId="1A8D5BF1">
            <w:pPr>
              <w:spacing w:after="0" w:line="240" w:lineRule="auto"/>
              <w:jc w:val="center"/>
              <w:rPr>
                <w:color w:val="auto"/>
                <w:sz w:val="21"/>
                <w:szCs w:val="21"/>
              </w:rPr>
            </w:pPr>
            <w:r>
              <w:rPr>
                <w:color w:val="auto"/>
                <w:sz w:val="21"/>
                <w:szCs w:val="21"/>
              </w:rPr>
              <w:t>次数</w:t>
            </w:r>
          </w:p>
        </w:tc>
        <w:tc>
          <w:tcPr>
            <w:tcW w:w="1635" w:type="pct"/>
            <w:vAlign w:val="center"/>
          </w:tcPr>
          <w:p w14:paraId="536D90C5">
            <w:pPr>
              <w:spacing w:after="0" w:line="240" w:lineRule="auto"/>
              <w:jc w:val="center"/>
              <w:rPr>
                <w:color w:val="auto"/>
                <w:sz w:val="21"/>
                <w:szCs w:val="21"/>
              </w:rPr>
            </w:pPr>
            <w:r>
              <w:rPr>
                <w:color w:val="auto"/>
                <w:sz w:val="21"/>
                <w:szCs w:val="21"/>
              </w:rPr>
              <w:t>费用（万元）</w:t>
            </w:r>
          </w:p>
        </w:tc>
      </w:tr>
      <w:tr w14:paraId="51874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492" w:type="pct"/>
            <w:vMerge w:val="continue"/>
            <w:vAlign w:val="center"/>
          </w:tcPr>
          <w:p w14:paraId="21A1678F">
            <w:pPr>
              <w:spacing w:after="0" w:line="240" w:lineRule="auto"/>
              <w:jc w:val="center"/>
              <w:rPr>
                <w:color w:val="auto"/>
                <w:sz w:val="21"/>
                <w:szCs w:val="21"/>
              </w:rPr>
            </w:pPr>
          </w:p>
        </w:tc>
        <w:tc>
          <w:tcPr>
            <w:tcW w:w="838" w:type="pct"/>
            <w:vAlign w:val="center"/>
          </w:tcPr>
          <w:p w14:paraId="706C928A">
            <w:pPr>
              <w:spacing w:after="0" w:line="240" w:lineRule="auto"/>
              <w:jc w:val="center"/>
              <w:rPr>
                <w:color w:val="auto"/>
                <w:sz w:val="21"/>
                <w:szCs w:val="21"/>
              </w:rPr>
            </w:pPr>
            <w:r>
              <w:rPr>
                <w:color w:val="auto"/>
                <w:sz w:val="21"/>
                <w:szCs w:val="21"/>
              </w:rPr>
              <w:t>（1）</w:t>
            </w:r>
          </w:p>
        </w:tc>
        <w:tc>
          <w:tcPr>
            <w:tcW w:w="872" w:type="pct"/>
            <w:vAlign w:val="center"/>
          </w:tcPr>
          <w:p w14:paraId="128D6D7D">
            <w:pPr>
              <w:spacing w:after="0" w:line="240" w:lineRule="auto"/>
              <w:jc w:val="center"/>
              <w:rPr>
                <w:color w:val="auto"/>
                <w:sz w:val="21"/>
                <w:szCs w:val="21"/>
              </w:rPr>
            </w:pPr>
            <w:r>
              <w:rPr>
                <w:color w:val="auto"/>
                <w:sz w:val="21"/>
                <w:szCs w:val="21"/>
              </w:rPr>
              <w:t>（2）</w:t>
            </w:r>
          </w:p>
        </w:tc>
        <w:tc>
          <w:tcPr>
            <w:tcW w:w="599" w:type="pct"/>
            <w:vAlign w:val="center"/>
          </w:tcPr>
          <w:p w14:paraId="69C95EED">
            <w:pPr>
              <w:spacing w:after="0" w:line="240" w:lineRule="auto"/>
              <w:jc w:val="center"/>
              <w:rPr>
                <w:color w:val="auto"/>
                <w:sz w:val="21"/>
                <w:szCs w:val="21"/>
              </w:rPr>
            </w:pPr>
            <w:r>
              <w:rPr>
                <w:color w:val="auto"/>
                <w:sz w:val="21"/>
                <w:szCs w:val="21"/>
              </w:rPr>
              <w:t>（3）</w:t>
            </w:r>
          </w:p>
        </w:tc>
        <w:tc>
          <w:tcPr>
            <w:tcW w:w="561" w:type="pct"/>
            <w:vAlign w:val="center"/>
          </w:tcPr>
          <w:p w14:paraId="709AE33F">
            <w:pPr>
              <w:spacing w:after="0" w:line="240" w:lineRule="auto"/>
              <w:jc w:val="center"/>
              <w:rPr>
                <w:color w:val="auto"/>
                <w:sz w:val="21"/>
                <w:szCs w:val="21"/>
              </w:rPr>
            </w:pPr>
            <w:r>
              <w:rPr>
                <w:color w:val="auto"/>
                <w:sz w:val="21"/>
                <w:szCs w:val="21"/>
              </w:rPr>
              <w:t>（4）</w:t>
            </w:r>
          </w:p>
        </w:tc>
        <w:tc>
          <w:tcPr>
            <w:tcW w:w="1635" w:type="pct"/>
            <w:vAlign w:val="center"/>
          </w:tcPr>
          <w:p w14:paraId="77998036">
            <w:pPr>
              <w:spacing w:after="0" w:line="240" w:lineRule="auto"/>
              <w:jc w:val="center"/>
              <w:rPr>
                <w:color w:val="auto"/>
                <w:sz w:val="21"/>
                <w:szCs w:val="21"/>
              </w:rPr>
            </w:pPr>
            <w:r>
              <w:rPr>
                <w:color w:val="auto"/>
                <w:sz w:val="21"/>
                <w:szCs w:val="21"/>
              </w:rPr>
              <w:t>（1）=（2）×（3）×（4）</w:t>
            </w:r>
          </w:p>
        </w:tc>
      </w:tr>
      <w:tr w14:paraId="2F9BB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492" w:type="pct"/>
            <w:vAlign w:val="center"/>
          </w:tcPr>
          <w:p w14:paraId="3C46CEC8">
            <w:pPr>
              <w:spacing w:after="0" w:line="240" w:lineRule="auto"/>
              <w:jc w:val="center"/>
              <w:rPr>
                <w:color w:val="auto"/>
                <w:sz w:val="21"/>
                <w:szCs w:val="21"/>
              </w:rPr>
            </w:pPr>
            <w:r>
              <w:rPr>
                <w:color w:val="auto"/>
                <w:sz w:val="21"/>
                <w:szCs w:val="21"/>
              </w:rPr>
              <w:t>1</w:t>
            </w:r>
          </w:p>
        </w:tc>
        <w:tc>
          <w:tcPr>
            <w:tcW w:w="838" w:type="pct"/>
            <w:vAlign w:val="center"/>
          </w:tcPr>
          <w:p w14:paraId="6654C7F4">
            <w:pPr>
              <w:spacing w:after="0" w:line="240" w:lineRule="auto"/>
              <w:jc w:val="center"/>
              <w:rPr>
                <w:color w:val="auto"/>
                <w:sz w:val="21"/>
                <w:szCs w:val="21"/>
              </w:rPr>
            </w:pPr>
            <w:r>
              <w:rPr>
                <w:color w:val="auto"/>
                <w:sz w:val="21"/>
                <w:szCs w:val="21"/>
              </w:rPr>
              <w:t>监测费</w:t>
            </w:r>
          </w:p>
        </w:tc>
        <w:tc>
          <w:tcPr>
            <w:tcW w:w="872" w:type="pct"/>
            <w:vAlign w:val="center"/>
          </w:tcPr>
          <w:p w14:paraId="4C6E5D4E">
            <w:pPr>
              <w:spacing w:after="0" w:line="240" w:lineRule="auto"/>
              <w:jc w:val="center"/>
              <w:rPr>
                <w:rFonts w:hint="default" w:eastAsia="宋体"/>
                <w:color w:val="auto"/>
                <w:sz w:val="21"/>
                <w:szCs w:val="21"/>
                <w:lang w:val="en-US" w:eastAsia="zh-CN"/>
              </w:rPr>
            </w:pPr>
            <w:r>
              <w:rPr>
                <w:rFonts w:hint="eastAsia"/>
                <w:color w:val="auto"/>
                <w:sz w:val="21"/>
                <w:szCs w:val="21"/>
                <w:lang w:val="en-US" w:eastAsia="zh-CN"/>
              </w:rPr>
              <w:t>167.98</w:t>
            </w:r>
          </w:p>
        </w:tc>
        <w:tc>
          <w:tcPr>
            <w:tcW w:w="599" w:type="pct"/>
            <w:vAlign w:val="center"/>
          </w:tcPr>
          <w:p w14:paraId="658F4BDD">
            <w:pPr>
              <w:spacing w:after="0" w:line="240" w:lineRule="auto"/>
              <w:jc w:val="center"/>
              <w:rPr>
                <w:color w:val="auto"/>
                <w:sz w:val="21"/>
                <w:szCs w:val="21"/>
              </w:rPr>
            </w:pPr>
            <w:r>
              <w:rPr>
                <w:color w:val="auto"/>
                <w:sz w:val="21"/>
                <w:szCs w:val="21"/>
              </w:rPr>
              <w:t>0.3%</w:t>
            </w:r>
          </w:p>
        </w:tc>
        <w:tc>
          <w:tcPr>
            <w:tcW w:w="561" w:type="pct"/>
            <w:vAlign w:val="center"/>
          </w:tcPr>
          <w:p w14:paraId="47CF3816">
            <w:pPr>
              <w:spacing w:after="0" w:line="240" w:lineRule="auto"/>
              <w:jc w:val="center"/>
              <w:rPr>
                <w:rFonts w:hint="default" w:eastAsia="宋体"/>
                <w:color w:val="auto"/>
                <w:sz w:val="21"/>
                <w:szCs w:val="21"/>
                <w:lang w:val="en-US" w:eastAsia="zh-CN"/>
              </w:rPr>
            </w:pPr>
            <w:r>
              <w:rPr>
                <w:rFonts w:hint="eastAsia"/>
                <w:color w:val="auto"/>
                <w:sz w:val="21"/>
                <w:szCs w:val="21"/>
                <w:lang w:val="en-US" w:eastAsia="zh-CN"/>
              </w:rPr>
              <w:t>12</w:t>
            </w:r>
          </w:p>
        </w:tc>
        <w:tc>
          <w:tcPr>
            <w:tcW w:w="1635" w:type="pct"/>
            <w:vAlign w:val="center"/>
          </w:tcPr>
          <w:p w14:paraId="5770D461">
            <w:pPr>
              <w:spacing w:after="0" w:line="240" w:lineRule="auto"/>
              <w:jc w:val="center"/>
              <w:rPr>
                <w:rFonts w:hint="default" w:eastAsia="宋体"/>
                <w:color w:val="auto"/>
                <w:sz w:val="21"/>
                <w:szCs w:val="21"/>
                <w:lang w:val="en-US" w:eastAsia="zh-CN"/>
              </w:rPr>
            </w:pPr>
            <w:r>
              <w:rPr>
                <w:rFonts w:hint="eastAsia"/>
                <w:color w:val="auto"/>
                <w:sz w:val="21"/>
                <w:szCs w:val="21"/>
                <w:lang w:val="en-US" w:eastAsia="zh-CN"/>
              </w:rPr>
              <w:t>6.05</w:t>
            </w:r>
          </w:p>
        </w:tc>
      </w:tr>
      <w:tr w14:paraId="0BDD1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492" w:type="pct"/>
            <w:vAlign w:val="center"/>
          </w:tcPr>
          <w:p w14:paraId="2AA74585">
            <w:pPr>
              <w:spacing w:after="0" w:line="240" w:lineRule="auto"/>
              <w:jc w:val="center"/>
              <w:rPr>
                <w:color w:val="auto"/>
                <w:sz w:val="21"/>
                <w:szCs w:val="21"/>
              </w:rPr>
            </w:pPr>
            <w:r>
              <w:rPr>
                <w:color w:val="auto"/>
                <w:sz w:val="21"/>
                <w:szCs w:val="21"/>
              </w:rPr>
              <w:t>2</w:t>
            </w:r>
          </w:p>
        </w:tc>
        <w:tc>
          <w:tcPr>
            <w:tcW w:w="838" w:type="pct"/>
            <w:vAlign w:val="center"/>
          </w:tcPr>
          <w:p w14:paraId="2C0E0FF2">
            <w:pPr>
              <w:spacing w:after="0" w:line="240" w:lineRule="auto"/>
              <w:jc w:val="center"/>
              <w:rPr>
                <w:color w:val="auto"/>
                <w:sz w:val="21"/>
                <w:szCs w:val="21"/>
              </w:rPr>
            </w:pPr>
            <w:r>
              <w:rPr>
                <w:color w:val="auto"/>
                <w:sz w:val="21"/>
                <w:szCs w:val="21"/>
              </w:rPr>
              <w:t>管护费</w:t>
            </w:r>
          </w:p>
        </w:tc>
        <w:tc>
          <w:tcPr>
            <w:tcW w:w="872" w:type="pct"/>
            <w:vAlign w:val="center"/>
          </w:tcPr>
          <w:p w14:paraId="4536D5A3">
            <w:pPr>
              <w:spacing w:after="0" w:line="240" w:lineRule="auto"/>
              <w:jc w:val="center"/>
              <w:rPr>
                <w:rFonts w:hint="default" w:eastAsia="宋体"/>
                <w:color w:val="auto"/>
                <w:sz w:val="21"/>
                <w:szCs w:val="21"/>
                <w:lang w:val="en-US" w:eastAsia="zh-CN"/>
              </w:rPr>
            </w:pPr>
            <w:r>
              <w:rPr>
                <w:rFonts w:hint="eastAsia"/>
                <w:color w:val="auto"/>
                <w:sz w:val="21"/>
                <w:szCs w:val="21"/>
                <w:lang w:val="en-US" w:eastAsia="zh-CN"/>
              </w:rPr>
              <w:t>3.33</w:t>
            </w:r>
          </w:p>
        </w:tc>
        <w:tc>
          <w:tcPr>
            <w:tcW w:w="599" w:type="pct"/>
            <w:vAlign w:val="center"/>
          </w:tcPr>
          <w:p w14:paraId="63E47733">
            <w:pPr>
              <w:spacing w:after="0" w:line="240" w:lineRule="auto"/>
              <w:jc w:val="center"/>
              <w:rPr>
                <w:rFonts w:hint="default" w:eastAsia="宋体"/>
                <w:color w:val="auto"/>
                <w:sz w:val="21"/>
                <w:szCs w:val="21"/>
                <w:lang w:val="en-US" w:eastAsia="zh-CN"/>
              </w:rPr>
            </w:pPr>
            <w:r>
              <w:rPr>
                <w:rFonts w:hint="eastAsia"/>
                <w:color w:val="auto"/>
                <w:sz w:val="21"/>
                <w:szCs w:val="21"/>
                <w:lang w:val="en-US" w:eastAsia="zh-CN"/>
              </w:rPr>
              <w:t>8</w:t>
            </w:r>
            <w:r>
              <w:rPr>
                <w:color w:val="auto"/>
                <w:sz w:val="21"/>
                <w:szCs w:val="21"/>
              </w:rPr>
              <w:t>%</w:t>
            </w:r>
          </w:p>
        </w:tc>
        <w:tc>
          <w:tcPr>
            <w:tcW w:w="561" w:type="pct"/>
            <w:vAlign w:val="center"/>
          </w:tcPr>
          <w:p w14:paraId="440DB436">
            <w:pPr>
              <w:spacing w:after="0" w:line="240" w:lineRule="auto"/>
              <w:jc w:val="center"/>
              <w:rPr>
                <w:rFonts w:hint="eastAsia" w:eastAsia="宋体"/>
                <w:color w:val="auto"/>
                <w:sz w:val="21"/>
                <w:szCs w:val="21"/>
                <w:lang w:eastAsia="zh-CN"/>
              </w:rPr>
            </w:pPr>
            <w:r>
              <w:rPr>
                <w:rFonts w:hint="eastAsia"/>
                <w:color w:val="auto"/>
                <w:sz w:val="21"/>
                <w:szCs w:val="21"/>
                <w:lang w:val="en-US" w:eastAsia="zh-CN"/>
              </w:rPr>
              <w:t>2</w:t>
            </w:r>
          </w:p>
        </w:tc>
        <w:tc>
          <w:tcPr>
            <w:tcW w:w="1635" w:type="pct"/>
            <w:vAlign w:val="center"/>
          </w:tcPr>
          <w:p w14:paraId="1EE1FECE">
            <w:pPr>
              <w:spacing w:after="0" w:line="240" w:lineRule="auto"/>
              <w:jc w:val="center"/>
              <w:rPr>
                <w:rFonts w:hint="default" w:eastAsia="宋体"/>
                <w:color w:val="auto"/>
                <w:sz w:val="21"/>
                <w:szCs w:val="21"/>
                <w:lang w:val="en-US" w:eastAsia="zh-CN"/>
              </w:rPr>
            </w:pPr>
            <w:r>
              <w:rPr>
                <w:rFonts w:hint="eastAsia"/>
                <w:color w:val="auto"/>
                <w:sz w:val="21"/>
                <w:szCs w:val="21"/>
                <w:lang w:val="en-US" w:eastAsia="zh-CN"/>
              </w:rPr>
              <w:t>0.53</w:t>
            </w:r>
          </w:p>
        </w:tc>
      </w:tr>
      <w:tr w14:paraId="54F67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1331" w:type="pct"/>
            <w:gridSpan w:val="2"/>
            <w:vAlign w:val="center"/>
          </w:tcPr>
          <w:p w14:paraId="04077C4A">
            <w:pPr>
              <w:spacing w:after="0" w:line="240" w:lineRule="auto"/>
              <w:jc w:val="center"/>
              <w:rPr>
                <w:color w:val="auto"/>
                <w:sz w:val="21"/>
                <w:szCs w:val="21"/>
              </w:rPr>
            </w:pPr>
            <w:r>
              <w:rPr>
                <w:color w:val="auto"/>
                <w:sz w:val="21"/>
                <w:szCs w:val="21"/>
              </w:rPr>
              <w:t>总   计</w:t>
            </w:r>
          </w:p>
        </w:tc>
        <w:tc>
          <w:tcPr>
            <w:tcW w:w="872" w:type="pct"/>
            <w:vAlign w:val="center"/>
          </w:tcPr>
          <w:p w14:paraId="02BBB084">
            <w:pPr>
              <w:spacing w:after="0" w:line="240" w:lineRule="auto"/>
              <w:jc w:val="center"/>
              <w:rPr>
                <w:color w:val="auto"/>
                <w:sz w:val="21"/>
                <w:szCs w:val="21"/>
              </w:rPr>
            </w:pPr>
            <w:r>
              <w:rPr>
                <w:color w:val="auto"/>
                <w:sz w:val="21"/>
                <w:szCs w:val="21"/>
              </w:rPr>
              <w:t>—</w:t>
            </w:r>
          </w:p>
        </w:tc>
        <w:tc>
          <w:tcPr>
            <w:tcW w:w="599" w:type="pct"/>
            <w:vAlign w:val="center"/>
          </w:tcPr>
          <w:p w14:paraId="34DD5F60">
            <w:pPr>
              <w:spacing w:after="0" w:line="240" w:lineRule="auto"/>
              <w:jc w:val="center"/>
              <w:rPr>
                <w:color w:val="auto"/>
                <w:sz w:val="21"/>
                <w:szCs w:val="21"/>
              </w:rPr>
            </w:pPr>
            <w:r>
              <w:rPr>
                <w:color w:val="auto"/>
                <w:sz w:val="21"/>
                <w:szCs w:val="21"/>
              </w:rPr>
              <w:t>—</w:t>
            </w:r>
          </w:p>
        </w:tc>
        <w:tc>
          <w:tcPr>
            <w:tcW w:w="561" w:type="pct"/>
            <w:vAlign w:val="center"/>
          </w:tcPr>
          <w:p w14:paraId="1CD28E91">
            <w:pPr>
              <w:spacing w:after="0" w:line="240" w:lineRule="auto"/>
              <w:jc w:val="center"/>
              <w:rPr>
                <w:color w:val="auto"/>
                <w:sz w:val="21"/>
                <w:szCs w:val="21"/>
              </w:rPr>
            </w:pPr>
            <w:r>
              <w:rPr>
                <w:color w:val="auto"/>
                <w:sz w:val="21"/>
                <w:szCs w:val="21"/>
              </w:rPr>
              <w:t>—</w:t>
            </w:r>
          </w:p>
        </w:tc>
        <w:tc>
          <w:tcPr>
            <w:tcW w:w="1635" w:type="pct"/>
            <w:vAlign w:val="center"/>
          </w:tcPr>
          <w:p w14:paraId="6FBE4BC4">
            <w:pPr>
              <w:spacing w:after="0" w:line="240" w:lineRule="auto"/>
              <w:jc w:val="center"/>
              <w:rPr>
                <w:rFonts w:hint="default" w:eastAsia="宋体"/>
                <w:b/>
                <w:color w:val="auto"/>
                <w:sz w:val="21"/>
                <w:szCs w:val="21"/>
                <w:lang w:val="en-US" w:eastAsia="zh-CN"/>
              </w:rPr>
            </w:pPr>
            <w:r>
              <w:rPr>
                <w:rFonts w:hint="eastAsia"/>
                <w:b/>
                <w:color w:val="auto"/>
                <w:sz w:val="21"/>
                <w:szCs w:val="21"/>
                <w:lang w:val="en-US" w:eastAsia="zh-CN"/>
              </w:rPr>
              <w:t>6.58</w:t>
            </w:r>
          </w:p>
        </w:tc>
      </w:tr>
    </w:tbl>
    <w:p w14:paraId="229BBEAD">
      <w:pPr>
        <w:jc w:val="center"/>
        <w:rPr>
          <w:rFonts w:eastAsia="黑体"/>
          <w:color w:val="auto"/>
          <w:sz w:val="24"/>
          <w:szCs w:val="24"/>
        </w:rPr>
      </w:pPr>
    </w:p>
    <w:p w14:paraId="6B1B0D64">
      <w:pPr>
        <w:pStyle w:val="20"/>
        <w:spacing w:line="240" w:lineRule="auto"/>
        <w:ind w:firstLine="0" w:firstLineChars="0"/>
        <w:jc w:val="center"/>
        <w:rPr>
          <w:rFonts w:ascii="Times New Roman" w:hAnsi="Times New Roman" w:eastAsiaTheme="minorEastAsia"/>
          <w:b/>
          <w:bCs/>
          <w:color w:val="auto"/>
        </w:rPr>
      </w:pPr>
      <w:r>
        <w:rPr>
          <w:rFonts w:ascii="Times New Roman" w:hAnsi="Times New Roman" w:eastAsia="黑体"/>
          <w:color w:val="auto"/>
          <w:sz w:val="24"/>
        </w:rPr>
        <w:t>表 6-1</w:t>
      </w:r>
      <w:r>
        <w:rPr>
          <w:rFonts w:hint="eastAsia" w:ascii="Times New Roman" w:hAnsi="Times New Roman" w:eastAsia="黑体"/>
          <w:color w:val="auto"/>
          <w:sz w:val="24"/>
          <w:lang w:val="en-US" w:eastAsia="zh-CN"/>
        </w:rPr>
        <w:t>7</w:t>
      </w:r>
      <w:r>
        <w:rPr>
          <w:rFonts w:ascii="Times New Roman" w:hAnsi="Times New Roman" w:eastAsia="黑体"/>
          <w:color w:val="auto"/>
          <w:sz w:val="24"/>
        </w:rPr>
        <w:t xml:space="preserve">  </w:t>
      </w:r>
      <w:r>
        <w:rPr>
          <w:rFonts w:hint="eastAsia" w:ascii="Times New Roman" w:hAnsi="Times New Roman" w:eastAsia="黑体"/>
          <w:color w:val="auto"/>
          <w:sz w:val="24"/>
          <w:lang w:val="en-US" w:eastAsia="zh-CN"/>
        </w:rPr>
        <w:t>不可预见</w:t>
      </w:r>
      <w:r>
        <w:rPr>
          <w:rFonts w:ascii="Times New Roman" w:hAnsi="Times New Roman" w:eastAsia="黑体"/>
          <w:color w:val="auto"/>
          <w:sz w:val="24"/>
        </w:rPr>
        <w:t>费估算表</w:t>
      </w:r>
    </w:p>
    <w:tbl>
      <w:tblPr>
        <w:tblStyle w:val="34"/>
        <w:tblW w:w="48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2"/>
        <w:gridCol w:w="1650"/>
        <w:gridCol w:w="1708"/>
        <w:gridCol w:w="1715"/>
        <w:gridCol w:w="1234"/>
        <w:gridCol w:w="1107"/>
      </w:tblGrid>
      <w:tr w14:paraId="0D690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noWrap/>
            <w:vAlign w:val="center"/>
          </w:tcPr>
          <w:p w14:paraId="07DDB469">
            <w:pPr>
              <w:widowControl/>
              <w:jc w:val="center"/>
              <w:textAlignment w:val="center"/>
              <w:rPr>
                <w:color w:val="auto"/>
                <w:szCs w:val="21"/>
              </w:rPr>
            </w:pPr>
            <w:r>
              <w:rPr>
                <w:color w:val="auto"/>
                <w:kern w:val="0"/>
                <w:szCs w:val="21"/>
                <w:lang w:bidi="ar"/>
              </w:rPr>
              <w:t>序号</w:t>
            </w:r>
          </w:p>
        </w:tc>
        <w:tc>
          <w:tcPr>
            <w:tcW w:w="1025" w:type="pct"/>
            <w:noWrap/>
            <w:vAlign w:val="center"/>
          </w:tcPr>
          <w:p w14:paraId="5F5ED604">
            <w:pPr>
              <w:widowControl/>
              <w:jc w:val="center"/>
              <w:textAlignment w:val="center"/>
              <w:rPr>
                <w:color w:val="auto"/>
                <w:szCs w:val="21"/>
              </w:rPr>
            </w:pPr>
            <w:r>
              <w:rPr>
                <w:color w:val="auto"/>
                <w:kern w:val="0"/>
                <w:szCs w:val="21"/>
                <w:lang w:bidi="ar"/>
              </w:rPr>
              <w:t>费用名称</w:t>
            </w:r>
          </w:p>
        </w:tc>
        <w:tc>
          <w:tcPr>
            <w:tcW w:w="1061" w:type="pct"/>
            <w:noWrap/>
            <w:vAlign w:val="center"/>
          </w:tcPr>
          <w:p w14:paraId="06A645C2">
            <w:pPr>
              <w:widowControl/>
              <w:jc w:val="center"/>
              <w:textAlignment w:val="center"/>
              <w:rPr>
                <w:color w:val="auto"/>
                <w:kern w:val="0"/>
                <w:szCs w:val="21"/>
                <w:lang w:bidi="ar"/>
              </w:rPr>
            </w:pPr>
            <w:r>
              <w:rPr>
                <w:color w:val="auto"/>
                <w:kern w:val="0"/>
                <w:szCs w:val="21"/>
                <w:lang w:bidi="ar"/>
              </w:rPr>
              <w:t>工程施工费</w:t>
            </w:r>
          </w:p>
          <w:p w14:paraId="5445484B">
            <w:pPr>
              <w:widowControl/>
              <w:jc w:val="center"/>
              <w:textAlignment w:val="center"/>
              <w:rPr>
                <w:color w:val="auto"/>
                <w:szCs w:val="21"/>
              </w:rPr>
            </w:pPr>
            <w:r>
              <w:rPr>
                <w:color w:val="auto"/>
                <w:kern w:val="0"/>
                <w:szCs w:val="21"/>
                <w:lang w:bidi="ar"/>
              </w:rPr>
              <w:t>（万元）</w:t>
            </w:r>
          </w:p>
        </w:tc>
        <w:tc>
          <w:tcPr>
            <w:tcW w:w="1065" w:type="pct"/>
            <w:noWrap/>
            <w:vAlign w:val="center"/>
          </w:tcPr>
          <w:p w14:paraId="6BDC4A43">
            <w:pPr>
              <w:widowControl/>
              <w:jc w:val="center"/>
              <w:textAlignment w:val="center"/>
              <w:rPr>
                <w:color w:val="auto"/>
                <w:kern w:val="0"/>
                <w:szCs w:val="21"/>
                <w:lang w:bidi="ar"/>
              </w:rPr>
            </w:pPr>
            <w:r>
              <w:rPr>
                <w:color w:val="auto"/>
                <w:kern w:val="0"/>
                <w:szCs w:val="21"/>
                <w:lang w:bidi="ar"/>
              </w:rPr>
              <w:t>其他费用</w:t>
            </w:r>
          </w:p>
          <w:p w14:paraId="00F35438">
            <w:pPr>
              <w:widowControl/>
              <w:jc w:val="center"/>
              <w:textAlignment w:val="center"/>
              <w:rPr>
                <w:color w:val="auto"/>
                <w:szCs w:val="21"/>
              </w:rPr>
            </w:pPr>
            <w:r>
              <w:rPr>
                <w:color w:val="auto"/>
                <w:kern w:val="0"/>
                <w:szCs w:val="21"/>
                <w:lang w:bidi="ar"/>
              </w:rPr>
              <w:t>（万元）</w:t>
            </w:r>
          </w:p>
        </w:tc>
        <w:tc>
          <w:tcPr>
            <w:tcW w:w="767" w:type="pct"/>
            <w:noWrap/>
            <w:vAlign w:val="center"/>
          </w:tcPr>
          <w:p w14:paraId="11F29C33">
            <w:pPr>
              <w:widowControl/>
              <w:jc w:val="center"/>
              <w:textAlignment w:val="center"/>
              <w:rPr>
                <w:color w:val="auto"/>
                <w:szCs w:val="21"/>
              </w:rPr>
            </w:pPr>
            <w:r>
              <w:rPr>
                <w:color w:val="auto"/>
                <w:kern w:val="0"/>
                <w:szCs w:val="21"/>
                <w:lang w:bidi="ar"/>
              </w:rPr>
              <w:t>费率（%）</w:t>
            </w:r>
          </w:p>
        </w:tc>
        <w:tc>
          <w:tcPr>
            <w:tcW w:w="688" w:type="pct"/>
            <w:vAlign w:val="center"/>
          </w:tcPr>
          <w:p w14:paraId="4B4FE42B">
            <w:pPr>
              <w:widowControl/>
              <w:jc w:val="center"/>
              <w:textAlignment w:val="center"/>
              <w:rPr>
                <w:color w:val="auto"/>
                <w:kern w:val="0"/>
                <w:szCs w:val="21"/>
                <w:lang w:bidi="ar"/>
              </w:rPr>
            </w:pPr>
            <w:r>
              <w:rPr>
                <w:color w:val="auto"/>
                <w:kern w:val="0"/>
                <w:szCs w:val="21"/>
                <w:lang w:bidi="ar"/>
              </w:rPr>
              <w:t>费用</w:t>
            </w:r>
          </w:p>
          <w:p w14:paraId="235EF851">
            <w:pPr>
              <w:widowControl/>
              <w:jc w:val="center"/>
              <w:textAlignment w:val="center"/>
              <w:rPr>
                <w:color w:val="auto"/>
                <w:szCs w:val="21"/>
              </w:rPr>
            </w:pPr>
            <w:r>
              <w:rPr>
                <w:color w:val="auto"/>
                <w:kern w:val="0"/>
                <w:szCs w:val="21"/>
                <w:lang w:bidi="ar"/>
              </w:rPr>
              <w:t>（万元）</w:t>
            </w:r>
          </w:p>
        </w:tc>
      </w:tr>
      <w:tr w14:paraId="06767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392" w:type="pct"/>
            <w:noWrap/>
            <w:vAlign w:val="center"/>
          </w:tcPr>
          <w:p w14:paraId="11F323DE">
            <w:pPr>
              <w:widowControl/>
              <w:jc w:val="center"/>
              <w:textAlignment w:val="center"/>
              <w:rPr>
                <w:color w:val="auto"/>
                <w:szCs w:val="21"/>
              </w:rPr>
            </w:pPr>
            <w:r>
              <w:rPr>
                <w:color w:val="auto"/>
                <w:kern w:val="0"/>
                <w:szCs w:val="21"/>
                <w:lang w:bidi="ar"/>
              </w:rPr>
              <w:t>1</w:t>
            </w:r>
          </w:p>
        </w:tc>
        <w:tc>
          <w:tcPr>
            <w:tcW w:w="1025" w:type="pct"/>
            <w:noWrap/>
            <w:vAlign w:val="center"/>
          </w:tcPr>
          <w:p w14:paraId="37B3B635">
            <w:pPr>
              <w:widowControl/>
              <w:jc w:val="center"/>
              <w:textAlignment w:val="center"/>
              <w:rPr>
                <w:color w:val="auto"/>
                <w:szCs w:val="21"/>
              </w:rPr>
            </w:pPr>
            <w:r>
              <w:rPr>
                <w:color w:val="auto"/>
                <w:kern w:val="0"/>
                <w:szCs w:val="21"/>
                <w:lang w:bidi="ar"/>
              </w:rPr>
              <w:t>基本预备费</w:t>
            </w:r>
          </w:p>
        </w:tc>
        <w:tc>
          <w:tcPr>
            <w:tcW w:w="1061" w:type="pct"/>
            <w:noWrap/>
            <w:vAlign w:val="center"/>
          </w:tcPr>
          <w:p w14:paraId="0461D414">
            <w:pPr>
              <w:widowControl/>
              <w:jc w:val="center"/>
              <w:textAlignment w:val="center"/>
              <w:rPr>
                <w:rFonts w:hint="default" w:eastAsia="宋体"/>
                <w:color w:val="auto"/>
                <w:szCs w:val="21"/>
                <w:lang w:val="en-US" w:eastAsia="zh-CN"/>
              </w:rPr>
            </w:pPr>
            <w:r>
              <w:rPr>
                <w:rFonts w:hint="eastAsia"/>
                <w:color w:val="auto"/>
                <w:kern w:val="0"/>
                <w:szCs w:val="21"/>
                <w:lang w:val="en-US" w:eastAsia="zh-CN" w:bidi="ar"/>
              </w:rPr>
              <w:t>167.98</w:t>
            </w:r>
          </w:p>
        </w:tc>
        <w:tc>
          <w:tcPr>
            <w:tcW w:w="1065" w:type="pct"/>
            <w:noWrap/>
            <w:vAlign w:val="center"/>
          </w:tcPr>
          <w:p w14:paraId="3811C3B4">
            <w:pPr>
              <w:widowControl/>
              <w:jc w:val="center"/>
              <w:textAlignment w:val="center"/>
              <w:rPr>
                <w:rFonts w:hint="default" w:eastAsia="宋体"/>
                <w:color w:val="auto"/>
                <w:szCs w:val="21"/>
                <w:lang w:val="en-US" w:eastAsia="zh-CN"/>
              </w:rPr>
            </w:pPr>
            <w:r>
              <w:rPr>
                <w:rFonts w:hint="eastAsia"/>
                <w:color w:val="auto"/>
                <w:kern w:val="0"/>
                <w:szCs w:val="21"/>
                <w:lang w:val="en-US" w:eastAsia="zh-CN" w:bidi="ar"/>
              </w:rPr>
              <w:t>30.74</w:t>
            </w:r>
          </w:p>
        </w:tc>
        <w:tc>
          <w:tcPr>
            <w:tcW w:w="767" w:type="pct"/>
            <w:noWrap/>
            <w:vAlign w:val="center"/>
          </w:tcPr>
          <w:p w14:paraId="1C8DB253">
            <w:pPr>
              <w:widowControl/>
              <w:jc w:val="center"/>
              <w:textAlignment w:val="center"/>
              <w:rPr>
                <w:rFonts w:hint="eastAsia" w:eastAsia="宋体"/>
                <w:color w:val="auto"/>
                <w:szCs w:val="21"/>
                <w:lang w:eastAsia="zh-CN"/>
              </w:rPr>
            </w:pPr>
            <w:r>
              <w:rPr>
                <w:rFonts w:hint="eastAsia"/>
                <w:color w:val="auto"/>
                <w:kern w:val="0"/>
                <w:szCs w:val="21"/>
                <w:lang w:val="en-US" w:eastAsia="zh-CN" w:bidi="ar"/>
              </w:rPr>
              <w:t>1</w:t>
            </w:r>
          </w:p>
        </w:tc>
        <w:tc>
          <w:tcPr>
            <w:tcW w:w="688" w:type="pct"/>
            <w:vAlign w:val="center"/>
          </w:tcPr>
          <w:p w14:paraId="02FEDD24">
            <w:pPr>
              <w:keepNext w:val="0"/>
              <w:keepLines w:val="0"/>
              <w:widowControl/>
              <w:suppressLineNumbers w:val="0"/>
              <w:jc w:val="center"/>
              <w:textAlignment w:val="center"/>
              <w:rPr>
                <w:rFonts w:hint="default" w:eastAsia="宋体"/>
                <w:color w:val="auto"/>
                <w:szCs w:val="21"/>
                <w:lang w:val="en-US" w:eastAsia="zh-CN"/>
              </w:rPr>
            </w:pPr>
            <w:r>
              <w:rPr>
                <w:rFonts w:hint="eastAsia" w:cs="Times New Roman"/>
                <w:i w:val="0"/>
                <w:iCs w:val="0"/>
                <w:color w:val="auto"/>
                <w:kern w:val="0"/>
                <w:sz w:val="21"/>
                <w:szCs w:val="21"/>
                <w:u w:val="none"/>
                <w:lang w:val="en-US" w:eastAsia="zh-CN" w:bidi="ar"/>
              </w:rPr>
              <w:t>1.99</w:t>
            </w:r>
          </w:p>
        </w:tc>
      </w:tr>
      <w:tr w14:paraId="1E8A1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noWrap/>
            <w:vAlign w:val="center"/>
          </w:tcPr>
          <w:p w14:paraId="00599D06">
            <w:pPr>
              <w:widowControl/>
              <w:jc w:val="center"/>
              <w:textAlignment w:val="center"/>
              <w:rPr>
                <w:rFonts w:hint="eastAsia" w:eastAsia="宋体"/>
                <w:color w:val="auto"/>
                <w:szCs w:val="21"/>
                <w:lang w:eastAsia="zh-CN"/>
              </w:rPr>
            </w:pPr>
            <w:r>
              <w:rPr>
                <w:rFonts w:hint="eastAsia"/>
                <w:color w:val="auto"/>
                <w:kern w:val="0"/>
                <w:szCs w:val="21"/>
                <w:lang w:val="en-US" w:eastAsia="zh-CN" w:bidi="ar"/>
              </w:rPr>
              <w:t>2</w:t>
            </w:r>
          </w:p>
        </w:tc>
        <w:tc>
          <w:tcPr>
            <w:tcW w:w="1025" w:type="pct"/>
            <w:noWrap/>
            <w:vAlign w:val="center"/>
          </w:tcPr>
          <w:p w14:paraId="08E99F5D">
            <w:pPr>
              <w:widowControl/>
              <w:jc w:val="center"/>
              <w:textAlignment w:val="center"/>
              <w:rPr>
                <w:color w:val="auto"/>
                <w:szCs w:val="21"/>
              </w:rPr>
            </w:pPr>
            <w:r>
              <w:rPr>
                <w:color w:val="auto"/>
                <w:kern w:val="0"/>
                <w:szCs w:val="21"/>
                <w:lang w:bidi="ar"/>
              </w:rPr>
              <w:t>价差预备费</w:t>
            </w:r>
          </w:p>
        </w:tc>
        <w:tc>
          <w:tcPr>
            <w:tcW w:w="1061" w:type="pct"/>
            <w:noWrap/>
            <w:vAlign w:val="center"/>
          </w:tcPr>
          <w:p w14:paraId="05935E66">
            <w:pPr>
              <w:widowControl/>
              <w:jc w:val="center"/>
              <w:textAlignment w:val="center"/>
              <w:rPr>
                <w:color w:val="auto"/>
                <w:szCs w:val="21"/>
              </w:rPr>
            </w:pPr>
            <w:r>
              <w:rPr>
                <w:rFonts w:hint="eastAsia"/>
                <w:color w:val="auto"/>
                <w:kern w:val="0"/>
                <w:szCs w:val="21"/>
                <w:lang w:val="en-US" w:eastAsia="zh-CN" w:bidi="ar"/>
              </w:rPr>
              <w:t>0</w:t>
            </w:r>
          </w:p>
        </w:tc>
        <w:tc>
          <w:tcPr>
            <w:tcW w:w="1065" w:type="pct"/>
            <w:noWrap/>
            <w:vAlign w:val="center"/>
          </w:tcPr>
          <w:p w14:paraId="019925F9">
            <w:pPr>
              <w:widowControl/>
              <w:jc w:val="center"/>
              <w:textAlignment w:val="center"/>
              <w:rPr>
                <w:color w:val="auto"/>
                <w:szCs w:val="21"/>
              </w:rPr>
            </w:pPr>
            <w:r>
              <w:rPr>
                <w:rFonts w:hint="eastAsia"/>
                <w:color w:val="auto"/>
                <w:kern w:val="0"/>
                <w:szCs w:val="21"/>
                <w:lang w:val="en-US" w:eastAsia="zh-CN" w:bidi="ar"/>
              </w:rPr>
              <w:t>0</w:t>
            </w:r>
          </w:p>
        </w:tc>
        <w:tc>
          <w:tcPr>
            <w:tcW w:w="767" w:type="pct"/>
            <w:noWrap/>
            <w:vAlign w:val="center"/>
          </w:tcPr>
          <w:p w14:paraId="6B526B25">
            <w:pPr>
              <w:widowControl/>
              <w:jc w:val="center"/>
              <w:textAlignment w:val="center"/>
              <w:rPr>
                <w:rFonts w:hint="eastAsia" w:eastAsia="宋体"/>
                <w:color w:val="auto"/>
                <w:szCs w:val="21"/>
                <w:lang w:eastAsia="zh-CN"/>
              </w:rPr>
            </w:pPr>
            <w:r>
              <w:rPr>
                <w:rFonts w:hint="eastAsia"/>
                <w:color w:val="auto"/>
                <w:kern w:val="0"/>
                <w:szCs w:val="21"/>
                <w:lang w:val="en-US" w:eastAsia="zh-CN" w:bidi="ar"/>
              </w:rPr>
              <w:t>0</w:t>
            </w:r>
          </w:p>
        </w:tc>
        <w:tc>
          <w:tcPr>
            <w:tcW w:w="688" w:type="pct"/>
            <w:vAlign w:val="center"/>
          </w:tcPr>
          <w:p w14:paraId="53E54B64">
            <w:pPr>
              <w:keepNext w:val="0"/>
              <w:keepLines w:val="0"/>
              <w:widowControl/>
              <w:suppressLineNumbers w:val="0"/>
              <w:jc w:val="center"/>
              <w:textAlignment w:val="center"/>
              <w:rPr>
                <w:rFonts w:hint="default" w:eastAsia="宋体"/>
                <w:color w:val="auto"/>
                <w:szCs w:val="21"/>
                <w:lang w:val="en-US" w:eastAsia="zh-CN"/>
              </w:rPr>
            </w:pPr>
            <w:r>
              <w:rPr>
                <w:rFonts w:hint="eastAsia" w:cs="Times New Roman"/>
                <w:i w:val="0"/>
                <w:iCs w:val="0"/>
                <w:color w:val="auto"/>
                <w:kern w:val="0"/>
                <w:sz w:val="21"/>
                <w:szCs w:val="21"/>
                <w:u w:val="none"/>
                <w:lang w:val="en-US" w:eastAsia="zh-CN" w:bidi="ar"/>
              </w:rPr>
              <w:t>0</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69817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1" w:type="pct"/>
            <w:gridSpan w:val="5"/>
            <w:noWrap/>
            <w:vAlign w:val="center"/>
          </w:tcPr>
          <w:p w14:paraId="320A67EA">
            <w:pPr>
              <w:widowControl/>
              <w:jc w:val="center"/>
              <w:textAlignment w:val="center"/>
              <w:rPr>
                <w:color w:val="auto"/>
                <w:szCs w:val="21"/>
              </w:rPr>
            </w:pPr>
            <w:r>
              <w:rPr>
                <w:color w:val="auto"/>
                <w:kern w:val="0"/>
                <w:szCs w:val="21"/>
                <w:lang w:bidi="ar"/>
              </w:rPr>
              <w:t>合计</w:t>
            </w:r>
          </w:p>
        </w:tc>
        <w:tc>
          <w:tcPr>
            <w:tcW w:w="688" w:type="pct"/>
            <w:vAlign w:val="center"/>
          </w:tcPr>
          <w:p w14:paraId="544155B2">
            <w:pPr>
              <w:keepNext w:val="0"/>
              <w:keepLines w:val="0"/>
              <w:widowControl/>
              <w:suppressLineNumbers w:val="0"/>
              <w:jc w:val="center"/>
              <w:textAlignment w:val="center"/>
              <w:rPr>
                <w:rFonts w:hint="default" w:eastAsia="宋体"/>
                <w:color w:val="auto"/>
                <w:szCs w:val="21"/>
                <w:lang w:val="en-US" w:eastAsia="zh-CN"/>
              </w:rPr>
            </w:pPr>
            <w:r>
              <w:rPr>
                <w:rFonts w:hint="eastAsia" w:cs="Times New Roman"/>
                <w:i w:val="0"/>
                <w:iCs w:val="0"/>
                <w:color w:val="auto"/>
                <w:kern w:val="0"/>
                <w:sz w:val="21"/>
                <w:szCs w:val="21"/>
                <w:u w:val="none"/>
                <w:lang w:val="en-US" w:eastAsia="zh-CN" w:bidi="ar"/>
              </w:rPr>
              <w:t>1.99</w:t>
            </w:r>
          </w:p>
        </w:tc>
      </w:tr>
    </w:tbl>
    <w:p w14:paraId="50F12C60">
      <w:pPr>
        <w:shd w:val="clear" w:color="000000" w:fill="auto"/>
        <w:jc w:val="center"/>
        <w:rPr>
          <w:rFonts w:eastAsia="黑体"/>
          <w:color w:val="auto"/>
          <w:sz w:val="24"/>
          <w:szCs w:val="24"/>
        </w:rPr>
      </w:pPr>
    </w:p>
    <w:p w14:paraId="250FCBA0">
      <w:pPr>
        <w:shd w:val="clear" w:color="000000" w:fill="auto"/>
        <w:jc w:val="center"/>
        <w:rPr>
          <w:rFonts w:eastAsia="黑体"/>
          <w:color w:val="auto"/>
          <w:sz w:val="24"/>
          <w:szCs w:val="24"/>
        </w:rPr>
      </w:pPr>
    </w:p>
    <w:p w14:paraId="70E3906F">
      <w:pPr>
        <w:shd w:val="clear" w:color="000000" w:fill="auto"/>
        <w:jc w:val="center"/>
        <w:rPr>
          <w:rFonts w:eastAsia="黑体"/>
          <w:color w:val="auto"/>
          <w:sz w:val="24"/>
          <w:szCs w:val="24"/>
        </w:rPr>
      </w:pPr>
    </w:p>
    <w:p w14:paraId="71C4037F">
      <w:pPr>
        <w:shd w:val="clear" w:color="000000" w:fill="auto"/>
        <w:jc w:val="center"/>
        <w:rPr>
          <w:rFonts w:eastAsia="黑体"/>
          <w:color w:val="auto"/>
          <w:sz w:val="24"/>
          <w:szCs w:val="24"/>
        </w:rPr>
      </w:pPr>
    </w:p>
    <w:p w14:paraId="5C948FA6">
      <w:pPr>
        <w:shd w:val="clear" w:color="000000" w:fill="auto"/>
        <w:jc w:val="center"/>
        <w:rPr>
          <w:rFonts w:eastAsia="黑体"/>
          <w:color w:val="auto"/>
          <w:sz w:val="24"/>
          <w:szCs w:val="24"/>
        </w:rPr>
      </w:pPr>
    </w:p>
    <w:p w14:paraId="12B11763">
      <w:pPr>
        <w:shd w:val="clear" w:color="000000" w:fill="auto"/>
        <w:jc w:val="center"/>
        <w:rPr>
          <w:rFonts w:eastAsia="黑体"/>
          <w:color w:val="auto"/>
          <w:sz w:val="24"/>
          <w:szCs w:val="24"/>
        </w:rPr>
      </w:pPr>
    </w:p>
    <w:p w14:paraId="7CC9E906">
      <w:pPr>
        <w:shd w:val="clear" w:color="000000" w:fill="auto"/>
        <w:jc w:val="center"/>
        <w:rPr>
          <w:rFonts w:eastAsia="黑体"/>
          <w:color w:val="auto"/>
          <w:sz w:val="24"/>
          <w:szCs w:val="24"/>
        </w:rPr>
      </w:pPr>
    </w:p>
    <w:p w14:paraId="3605ADDB">
      <w:pPr>
        <w:shd w:val="clear" w:color="000000" w:fill="auto"/>
        <w:jc w:val="center"/>
        <w:rPr>
          <w:rFonts w:eastAsia="黑体"/>
          <w:color w:val="auto"/>
          <w:sz w:val="24"/>
          <w:szCs w:val="24"/>
        </w:rPr>
      </w:pPr>
    </w:p>
    <w:p w14:paraId="0631EEDD">
      <w:pPr>
        <w:shd w:val="clear" w:color="000000" w:fill="auto"/>
        <w:jc w:val="center"/>
        <w:rPr>
          <w:rFonts w:eastAsia="黑体"/>
          <w:color w:val="auto"/>
          <w:sz w:val="24"/>
          <w:szCs w:val="24"/>
        </w:rPr>
      </w:pPr>
      <w:r>
        <w:rPr>
          <w:rFonts w:eastAsia="黑体"/>
          <w:color w:val="auto"/>
          <w:sz w:val="24"/>
          <w:szCs w:val="24"/>
        </w:rPr>
        <w:t>表6-1</w:t>
      </w:r>
      <w:r>
        <w:rPr>
          <w:rFonts w:hint="eastAsia" w:eastAsia="黑体"/>
          <w:color w:val="auto"/>
          <w:sz w:val="24"/>
          <w:szCs w:val="24"/>
          <w:lang w:val="en-US" w:eastAsia="zh-CN"/>
        </w:rPr>
        <w:t xml:space="preserve">8 </w:t>
      </w:r>
      <w:r>
        <w:rPr>
          <w:rFonts w:eastAsia="黑体"/>
          <w:color w:val="auto"/>
          <w:sz w:val="24"/>
          <w:szCs w:val="24"/>
        </w:rPr>
        <w:t xml:space="preserve"> 施工费单价分析表</w:t>
      </w: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531"/>
        <w:gridCol w:w="1941"/>
        <w:gridCol w:w="1038"/>
        <w:gridCol w:w="1034"/>
        <w:gridCol w:w="1039"/>
        <w:gridCol w:w="1719"/>
      </w:tblGrid>
      <w:tr w14:paraId="5D00E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5" w:hRule="atLeast"/>
        </w:trPr>
        <w:tc>
          <w:tcPr>
            <w:tcW w:w="5000" w:type="pct"/>
            <w:gridSpan w:val="6"/>
            <w:shd w:val="clear" w:color="auto" w:fill="auto"/>
            <w:vAlign w:val="center"/>
          </w:tcPr>
          <w:p w14:paraId="2EA6247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2m</w:t>
            </w:r>
            <w:r>
              <w:rPr>
                <w:rFonts w:hint="default" w:ascii="Times New Roman" w:hAnsi="Times New Roman" w:eastAsia="宋体" w:cs="Times New Roman"/>
                <w:b/>
                <w:bCs/>
                <w:i w:val="0"/>
                <w:iCs w:val="0"/>
                <w:color w:val="auto"/>
                <w:kern w:val="0"/>
                <w:sz w:val="20"/>
                <w:szCs w:val="20"/>
                <w:u w:val="none"/>
                <w:vertAlign w:val="superscript"/>
                <w:lang w:val="en-US" w:eastAsia="zh-CN" w:bidi="ar"/>
              </w:rPr>
              <w:t>3</w:t>
            </w:r>
            <w:r>
              <w:rPr>
                <w:rFonts w:hint="eastAsia" w:ascii="宋体" w:hAnsi="宋体" w:eastAsia="宋体" w:cs="宋体"/>
                <w:b/>
                <w:bCs/>
                <w:i w:val="0"/>
                <w:iCs w:val="0"/>
                <w:color w:val="auto"/>
                <w:kern w:val="0"/>
                <w:sz w:val="20"/>
                <w:szCs w:val="20"/>
                <w:u w:val="none"/>
                <w:lang w:val="en-US" w:eastAsia="zh-CN" w:bidi="ar"/>
              </w:rPr>
              <w:t>装载机挖装自卸汽车运土</w:t>
            </w:r>
            <w:r>
              <w:rPr>
                <w:rFonts w:hint="default" w:ascii="Times New Roman" w:hAnsi="Times New Roman" w:eastAsia="宋体" w:cs="Times New Roman"/>
                <w:b/>
                <w:bCs/>
                <w:i w:val="0"/>
                <w:iCs w:val="0"/>
                <w:color w:val="auto"/>
                <w:kern w:val="0"/>
                <w:sz w:val="20"/>
                <w:szCs w:val="20"/>
                <w:u w:val="none"/>
                <w:lang w:val="en-US" w:eastAsia="zh-CN" w:bidi="ar"/>
              </w:rPr>
              <w:t>(</w:t>
            </w:r>
            <w:r>
              <w:rPr>
                <w:rFonts w:hint="eastAsia" w:ascii="宋体" w:hAnsi="宋体" w:eastAsia="宋体" w:cs="宋体"/>
                <w:b/>
                <w:bCs/>
                <w:i w:val="0"/>
                <w:iCs w:val="0"/>
                <w:color w:val="auto"/>
                <w:kern w:val="0"/>
                <w:sz w:val="20"/>
                <w:szCs w:val="20"/>
                <w:u w:val="none"/>
                <w:lang w:val="en-US" w:eastAsia="zh-CN" w:bidi="ar"/>
              </w:rPr>
              <w:t>运距</w:t>
            </w:r>
            <w:r>
              <w:rPr>
                <w:rFonts w:hint="default" w:ascii="Times New Roman" w:hAnsi="Times New Roman" w:eastAsia="宋体" w:cs="Times New Roman"/>
                <w:b/>
                <w:bCs/>
                <w:i w:val="0"/>
                <w:iCs w:val="0"/>
                <w:color w:val="auto"/>
                <w:kern w:val="0"/>
                <w:sz w:val="20"/>
                <w:szCs w:val="20"/>
                <w:u w:val="none"/>
                <w:lang w:val="en-US" w:eastAsia="zh-CN" w:bidi="ar"/>
              </w:rPr>
              <w:t>0.5</w:t>
            </w:r>
            <w:r>
              <w:rPr>
                <w:rFonts w:hint="eastAsia" w:ascii="宋体" w:hAnsi="宋体" w:eastAsia="宋体" w:cs="宋体"/>
                <w:b/>
                <w:bCs/>
                <w:i w:val="0"/>
                <w:iCs w:val="0"/>
                <w:color w:val="auto"/>
                <w:kern w:val="0"/>
                <w:sz w:val="20"/>
                <w:szCs w:val="20"/>
                <w:u w:val="none"/>
                <w:lang w:val="en-US" w:eastAsia="zh-CN" w:bidi="ar"/>
              </w:rPr>
              <w:t>～</w:t>
            </w:r>
            <w:r>
              <w:rPr>
                <w:rFonts w:hint="default" w:ascii="Times New Roman" w:hAnsi="Times New Roman" w:eastAsia="宋体" w:cs="Times New Roman"/>
                <w:b/>
                <w:bCs/>
                <w:i w:val="0"/>
                <w:iCs w:val="0"/>
                <w:color w:val="auto"/>
                <w:kern w:val="0"/>
                <w:sz w:val="20"/>
                <w:szCs w:val="20"/>
                <w:u w:val="none"/>
                <w:lang w:val="en-US" w:eastAsia="zh-CN" w:bidi="ar"/>
              </w:rPr>
              <w:t>1km)</w:t>
            </w:r>
          </w:p>
        </w:tc>
      </w:tr>
      <w:tr w14:paraId="55696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3965" w:type="pct"/>
            <w:gridSpan w:val="5"/>
            <w:shd w:val="clear" w:color="auto" w:fill="auto"/>
            <w:vAlign w:val="center"/>
          </w:tcPr>
          <w:p w14:paraId="7E3FDE8B">
            <w:pPr>
              <w:keepNext w:val="0"/>
              <w:keepLines w:val="0"/>
              <w:widowControl/>
              <w:suppressLineNumbers w:val="0"/>
              <w:jc w:val="left"/>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定额编号：</w:t>
            </w:r>
            <w:r>
              <w:rPr>
                <w:rFonts w:hint="default" w:ascii="Times New Roman" w:hAnsi="Times New Roman" w:eastAsia="宋体" w:cs="Times New Roman"/>
                <w:b/>
                <w:bCs/>
                <w:i w:val="0"/>
                <w:iCs w:val="0"/>
                <w:color w:val="auto"/>
                <w:kern w:val="0"/>
                <w:sz w:val="20"/>
                <w:szCs w:val="20"/>
                <w:u w:val="none"/>
                <w:lang w:val="en-US" w:eastAsia="zh-CN" w:bidi="ar"/>
              </w:rPr>
              <w:t xml:space="preserve">10196    </w:t>
            </w:r>
            <w:r>
              <w:rPr>
                <w:rFonts w:hint="eastAsia" w:ascii="宋体" w:hAnsi="宋体" w:eastAsia="宋体" w:cs="宋体"/>
                <w:b/>
                <w:bCs/>
                <w:i w:val="0"/>
                <w:iCs w:val="0"/>
                <w:color w:val="auto"/>
                <w:kern w:val="0"/>
                <w:sz w:val="20"/>
                <w:szCs w:val="20"/>
                <w:u w:val="none"/>
                <w:lang w:val="en-US" w:eastAsia="zh-CN" w:bidi="ar"/>
              </w:rPr>
              <w:t>工作内容：挖装、运输、卸除、空回</w:t>
            </w:r>
          </w:p>
        </w:tc>
        <w:tc>
          <w:tcPr>
            <w:tcW w:w="1034" w:type="pct"/>
            <w:shd w:val="clear" w:color="auto" w:fill="auto"/>
            <w:vAlign w:val="center"/>
          </w:tcPr>
          <w:p w14:paraId="08226CB9">
            <w:pPr>
              <w:keepNext w:val="0"/>
              <w:keepLines w:val="0"/>
              <w:widowControl/>
              <w:suppressLineNumbers w:val="0"/>
              <w:jc w:val="both"/>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单位：元</w:t>
            </w:r>
            <w:r>
              <w:rPr>
                <w:rFonts w:hint="default" w:ascii="Times New Roman" w:hAnsi="Times New Roman" w:eastAsia="宋体" w:cs="Times New Roman"/>
                <w:b/>
                <w:bCs/>
                <w:i w:val="0"/>
                <w:iCs w:val="0"/>
                <w:color w:val="auto"/>
                <w:kern w:val="0"/>
                <w:sz w:val="20"/>
                <w:szCs w:val="20"/>
                <w:u w:val="none"/>
                <w:lang w:val="en-US" w:eastAsia="zh-CN" w:bidi="ar"/>
              </w:rPr>
              <w:t>/100m</w:t>
            </w:r>
            <w:r>
              <w:rPr>
                <w:rFonts w:hint="default" w:ascii="Times New Roman" w:hAnsi="Times New Roman" w:eastAsia="宋体" w:cs="Times New Roman"/>
                <w:b/>
                <w:bCs/>
                <w:i w:val="0"/>
                <w:iCs w:val="0"/>
                <w:color w:val="auto"/>
                <w:kern w:val="0"/>
                <w:sz w:val="20"/>
                <w:szCs w:val="20"/>
                <w:u w:val="none"/>
                <w:vertAlign w:val="superscript"/>
                <w:lang w:val="en-US" w:eastAsia="zh-CN" w:bidi="ar"/>
              </w:rPr>
              <w:t>3</w:t>
            </w:r>
          </w:p>
        </w:tc>
      </w:tr>
      <w:tr w14:paraId="6EE7C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11865A0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序号</w:t>
            </w:r>
          </w:p>
        </w:tc>
        <w:tc>
          <w:tcPr>
            <w:tcW w:w="1169" w:type="pct"/>
            <w:shd w:val="clear" w:color="auto" w:fill="auto"/>
            <w:vAlign w:val="center"/>
          </w:tcPr>
          <w:p w14:paraId="7FD9F46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项目名称</w:t>
            </w:r>
          </w:p>
        </w:tc>
        <w:tc>
          <w:tcPr>
            <w:tcW w:w="623" w:type="pct"/>
            <w:shd w:val="clear" w:color="auto" w:fill="auto"/>
            <w:vAlign w:val="center"/>
          </w:tcPr>
          <w:p w14:paraId="0868FC4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单位</w:t>
            </w:r>
          </w:p>
        </w:tc>
        <w:tc>
          <w:tcPr>
            <w:tcW w:w="623" w:type="pct"/>
            <w:shd w:val="clear" w:color="auto" w:fill="auto"/>
            <w:vAlign w:val="center"/>
          </w:tcPr>
          <w:p w14:paraId="3066293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数量</w:t>
            </w:r>
          </w:p>
        </w:tc>
        <w:tc>
          <w:tcPr>
            <w:tcW w:w="625" w:type="pct"/>
            <w:shd w:val="clear" w:color="auto" w:fill="auto"/>
            <w:vAlign w:val="center"/>
          </w:tcPr>
          <w:p w14:paraId="46403C5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单价</w:t>
            </w:r>
          </w:p>
        </w:tc>
        <w:tc>
          <w:tcPr>
            <w:tcW w:w="1034" w:type="pct"/>
            <w:shd w:val="clear" w:color="auto" w:fill="auto"/>
            <w:vAlign w:val="center"/>
          </w:tcPr>
          <w:p w14:paraId="448CE83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小计</w:t>
            </w:r>
          </w:p>
        </w:tc>
      </w:tr>
      <w:tr w14:paraId="317C9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334A727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一</w:t>
            </w:r>
          </w:p>
        </w:tc>
        <w:tc>
          <w:tcPr>
            <w:tcW w:w="1169" w:type="pct"/>
            <w:shd w:val="clear" w:color="auto" w:fill="auto"/>
            <w:vAlign w:val="center"/>
          </w:tcPr>
          <w:p w14:paraId="3A97B71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直接费</w:t>
            </w:r>
          </w:p>
        </w:tc>
        <w:tc>
          <w:tcPr>
            <w:tcW w:w="623" w:type="pct"/>
            <w:shd w:val="clear" w:color="auto" w:fill="auto"/>
            <w:vAlign w:val="center"/>
          </w:tcPr>
          <w:p w14:paraId="4A418288">
            <w:pPr>
              <w:jc w:val="center"/>
              <w:rPr>
                <w:rFonts w:hint="default" w:ascii="Times New Roman" w:hAnsi="Times New Roman" w:eastAsia="宋体" w:cs="Times New Roman"/>
                <w:i w:val="0"/>
                <w:iCs w:val="0"/>
                <w:color w:val="auto"/>
                <w:sz w:val="20"/>
                <w:szCs w:val="20"/>
                <w:u w:val="none"/>
              </w:rPr>
            </w:pPr>
          </w:p>
        </w:tc>
        <w:tc>
          <w:tcPr>
            <w:tcW w:w="623" w:type="pct"/>
            <w:shd w:val="clear" w:color="auto" w:fill="auto"/>
            <w:vAlign w:val="center"/>
          </w:tcPr>
          <w:p w14:paraId="27BFA7BF">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vAlign w:val="center"/>
          </w:tcPr>
          <w:p w14:paraId="3B6D0817">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vAlign w:val="center"/>
          </w:tcPr>
          <w:p w14:paraId="1493701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1236.53 </w:t>
            </w:r>
          </w:p>
        </w:tc>
      </w:tr>
      <w:tr w14:paraId="6C069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922" w:type="pct"/>
            <w:shd w:val="clear" w:color="auto" w:fill="auto"/>
            <w:vAlign w:val="center"/>
          </w:tcPr>
          <w:p w14:paraId="7A8361E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（一）</w:t>
            </w:r>
          </w:p>
        </w:tc>
        <w:tc>
          <w:tcPr>
            <w:tcW w:w="1169" w:type="pct"/>
            <w:shd w:val="clear" w:color="auto" w:fill="auto"/>
            <w:vAlign w:val="center"/>
          </w:tcPr>
          <w:p w14:paraId="0D8B1F4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直接工程费</w:t>
            </w:r>
          </w:p>
        </w:tc>
        <w:tc>
          <w:tcPr>
            <w:tcW w:w="623" w:type="pct"/>
            <w:shd w:val="clear" w:color="auto" w:fill="auto"/>
            <w:vAlign w:val="center"/>
          </w:tcPr>
          <w:p w14:paraId="1565372D">
            <w:pPr>
              <w:jc w:val="center"/>
              <w:rPr>
                <w:rFonts w:hint="default" w:ascii="Times New Roman" w:hAnsi="Times New Roman" w:eastAsia="宋体" w:cs="Times New Roman"/>
                <w:i w:val="0"/>
                <w:iCs w:val="0"/>
                <w:color w:val="auto"/>
                <w:sz w:val="20"/>
                <w:szCs w:val="20"/>
                <w:u w:val="none"/>
              </w:rPr>
            </w:pPr>
          </w:p>
        </w:tc>
        <w:tc>
          <w:tcPr>
            <w:tcW w:w="623" w:type="pct"/>
            <w:shd w:val="clear" w:color="auto" w:fill="auto"/>
            <w:vAlign w:val="center"/>
          </w:tcPr>
          <w:p w14:paraId="7643C970">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vAlign w:val="center"/>
          </w:tcPr>
          <w:p w14:paraId="1FE7CDAC">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vAlign w:val="center"/>
          </w:tcPr>
          <w:p w14:paraId="7E178D1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1191.26 </w:t>
            </w:r>
          </w:p>
        </w:tc>
      </w:tr>
      <w:tr w14:paraId="256B2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2EFE1BA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w:t>
            </w:r>
          </w:p>
        </w:tc>
        <w:tc>
          <w:tcPr>
            <w:tcW w:w="1169" w:type="pct"/>
            <w:shd w:val="clear" w:color="auto" w:fill="auto"/>
            <w:vAlign w:val="center"/>
          </w:tcPr>
          <w:p w14:paraId="7563BB4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人工费</w:t>
            </w:r>
          </w:p>
        </w:tc>
        <w:tc>
          <w:tcPr>
            <w:tcW w:w="623" w:type="pct"/>
            <w:shd w:val="clear" w:color="auto" w:fill="auto"/>
            <w:vAlign w:val="center"/>
          </w:tcPr>
          <w:p w14:paraId="0DECF06C">
            <w:pPr>
              <w:jc w:val="center"/>
              <w:rPr>
                <w:rFonts w:hint="default" w:ascii="Times New Roman" w:hAnsi="Times New Roman" w:eastAsia="宋体" w:cs="Times New Roman"/>
                <w:i w:val="0"/>
                <w:iCs w:val="0"/>
                <w:color w:val="auto"/>
                <w:sz w:val="20"/>
                <w:szCs w:val="20"/>
                <w:u w:val="none"/>
              </w:rPr>
            </w:pPr>
          </w:p>
        </w:tc>
        <w:tc>
          <w:tcPr>
            <w:tcW w:w="623" w:type="pct"/>
            <w:shd w:val="clear" w:color="auto" w:fill="auto"/>
            <w:vAlign w:val="center"/>
          </w:tcPr>
          <w:p w14:paraId="64597B54">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vAlign w:val="center"/>
          </w:tcPr>
          <w:p w14:paraId="6B27B0BE">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vAlign w:val="center"/>
          </w:tcPr>
          <w:p w14:paraId="7909C55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cs="Times New Roman"/>
                <w:i w:val="0"/>
                <w:iCs w:val="0"/>
                <w:color w:val="auto"/>
                <w:kern w:val="0"/>
                <w:sz w:val="20"/>
                <w:szCs w:val="20"/>
                <w:u w:val="none"/>
                <w:lang w:val="en-US" w:eastAsia="zh-CN" w:bidi="ar"/>
              </w:rPr>
              <w:t>107.67</w:t>
            </w:r>
            <w:r>
              <w:rPr>
                <w:rFonts w:hint="default" w:ascii="Times New Roman" w:hAnsi="Times New Roman" w:eastAsia="宋体" w:cs="Times New Roman"/>
                <w:i w:val="0"/>
                <w:iCs w:val="0"/>
                <w:color w:val="auto"/>
                <w:kern w:val="0"/>
                <w:sz w:val="20"/>
                <w:szCs w:val="20"/>
                <w:u w:val="none"/>
                <w:lang w:val="en-US" w:eastAsia="zh-CN" w:bidi="ar"/>
              </w:rPr>
              <w:t xml:space="preserve"> </w:t>
            </w:r>
          </w:p>
        </w:tc>
      </w:tr>
      <w:tr w14:paraId="76AD2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5DF388EE">
            <w:pPr>
              <w:jc w:val="center"/>
              <w:rPr>
                <w:rFonts w:hint="default" w:ascii="Times New Roman" w:hAnsi="Times New Roman" w:eastAsia="宋体" w:cs="Times New Roman"/>
                <w:i w:val="0"/>
                <w:iCs w:val="0"/>
                <w:color w:val="auto"/>
                <w:sz w:val="20"/>
                <w:szCs w:val="20"/>
                <w:u w:val="none"/>
              </w:rPr>
            </w:pPr>
          </w:p>
        </w:tc>
        <w:tc>
          <w:tcPr>
            <w:tcW w:w="1169" w:type="pct"/>
            <w:shd w:val="clear" w:color="auto" w:fill="auto"/>
            <w:vAlign w:val="center"/>
          </w:tcPr>
          <w:p w14:paraId="56E854A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甲类工</w:t>
            </w:r>
          </w:p>
        </w:tc>
        <w:tc>
          <w:tcPr>
            <w:tcW w:w="623" w:type="pct"/>
            <w:shd w:val="clear" w:color="auto" w:fill="auto"/>
            <w:vAlign w:val="center"/>
          </w:tcPr>
          <w:p w14:paraId="67679DB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工日</w:t>
            </w:r>
          </w:p>
        </w:tc>
        <w:tc>
          <w:tcPr>
            <w:tcW w:w="623" w:type="pct"/>
            <w:shd w:val="clear" w:color="auto" w:fill="auto"/>
            <w:vAlign w:val="center"/>
          </w:tcPr>
          <w:p w14:paraId="45A13A8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w:t>
            </w:r>
          </w:p>
        </w:tc>
        <w:tc>
          <w:tcPr>
            <w:tcW w:w="625" w:type="pct"/>
            <w:shd w:val="clear" w:color="auto" w:fill="auto"/>
            <w:vAlign w:val="center"/>
          </w:tcPr>
          <w:p w14:paraId="74E2194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180.08 </w:t>
            </w:r>
          </w:p>
        </w:tc>
        <w:tc>
          <w:tcPr>
            <w:tcW w:w="1034" w:type="pct"/>
            <w:shd w:val="clear" w:color="auto" w:fill="auto"/>
            <w:vAlign w:val="center"/>
          </w:tcPr>
          <w:p w14:paraId="77234EE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0.00 </w:t>
            </w:r>
          </w:p>
        </w:tc>
      </w:tr>
      <w:tr w14:paraId="7BD37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554087EF">
            <w:pPr>
              <w:jc w:val="center"/>
              <w:rPr>
                <w:rFonts w:hint="default" w:ascii="Times New Roman" w:hAnsi="Times New Roman" w:eastAsia="宋体" w:cs="Times New Roman"/>
                <w:i w:val="0"/>
                <w:iCs w:val="0"/>
                <w:color w:val="auto"/>
                <w:sz w:val="20"/>
                <w:szCs w:val="20"/>
                <w:u w:val="none"/>
              </w:rPr>
            </w:pPr>
          </w:p>
        </w:tc>
        <w:tc>
          <w:tcPr>
            <w:tcW w:w="1169" w:type="pct"/>
            <w:shd w:val="clear" w:color="auto" w:fill="auto"/>
            <w:vAlign w:val="center"/>
          </w:tcPr>
          <w:p w14:paraId="0BE6B87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乙类工</w:t>
            </w:r>
          </w:p>
        </w:tc>
        <w:tc>
          <w:tcPr>
            <w:tcW w:w="623" w:type="pct"/>
            <w:shd w:val="clear" w:color="auto" w:fill="auto"/>
            <w:vAlign w:val="center"/>
          </w:tcPr>
          <w:p w14:paraId="034193A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工日</w:t>
            </w:r>
          </w:p>
        </w:tc>
        <w:tc>
          <w:tcPr>
            <w:tcW w:w="623" w:type="pct"/>
            <w:shd w:val="clear" w:color="auto" w:fill="auto"/>
            <w:vAlign w:val="center"/>
          </w:tcPr>
          <w:p w14:paraId="7C185BC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0.8</w:t>
            </w:r>
          </w:p>
        </w:tc>
        <w:tc>
          <w:tcPr>
            <w:tcW w:w="625" w:type="pct"/>
            <w:shd w:val="clear" w:color="auto" w:fill="auto"/>
            <w:vAlign w:val="center"/>
          </w:tcPr>
          <w:p w14:paraId="07836BB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lang w:val="en-US"/>
              </w:rPr>
            </w:pPr>
            <w:r>
              <w:rPr>
                <w:rFonts w:hint="eastAsia" w:cs="Times New Roman"/>
                <w:i w:val="0"/>
                <w:iCs w:val="0"/>
                <w:color w:val="auto"/>
                <w:kern w:val="0"/>
                <w:sz w:val="20"/>
                <w:szCs w:val="20"/>
                <w:u w:val="none"/>
                <w:lang w:val="en-US" w:eastAsia="zh-CN" w:bidi="ar"/>
              </w:rPr>
              <w:t>134.59</w:t>
            </w:r>
          </w:p>
        </w:tc>
        <w:tc>
          <w:tcPr>
            <w:tcW w:w="1034" w:type="pct"/>
            <w:shd w:val="clear" w:color="auto" w:fill="auto"/>
            <w:vAlign w:val="center"/>
          </w:tcPr>
          <w:p w14:paraId="49D1D62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lang w:val="en-US"/>
              </w:rPr>
            </w:pPr>
            <w:r>
              <w:rPr>
                <w:rFonts w:hint="eastAsia" w:cs="Times New Roman"/>
                <w:i w:val="0"/>
                <w:iCs w:val="0"/>
                <w:color w:val="auto"/>
                <w:kern w:val="0"/>
                <w:sz w:val="20"/>
                <w:szCs w:val="20"/>
                <w:u w:val="none"/>
                <w:lang w:val="en-US" w:eastAsia="zh-CN" w:bidi="ar"/>
              </w:rPr>
              <w:t>107.67</w:t>
            </w:r>
          </w:p>
        </w:tc>
      </w:tr>
      <w:tr w14:paraId="5FAF6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645A8B7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w:t>
            </w:r>
          </w:p>
        </w:tc>
        <w:tc>
          <w:tcPr>
            <w:tcW w:w="1169" w:type="pct"/>
            <w:shd w:val="clear" w:color="auto" w:fill="auto"/>
            <w:vAlign w:val="center"/>
          </w:tcPr>
          <w:p w14:paraId="126401F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材料费</w:t>
            </w:r>
          </w:p>
        </w:tc>
        <w:tc>
          <w:tcPr>
            <w:tcW w:w="623" w:type="pct"/>
            <w:shd w:val="clear" w:color="auto" w:fill="auto"/>
            <w:vAlign w:val="center"/>
          </w:tcPr>
          <w:p w14:paraId="46CE52A5">
            <w:pPr>
              <w:jc w:val="center"/>
              <w:rPr>
                <w:rFonts w:hint="default" w:ascii="Times New Roman" w:hAnsi="Times New Roman" w:eastAsia="宋体" w:cs="Times New Roman"/>
                <w:i w:val="0"/>
                <w:iCs w:val="0"/>
                <w:color w:val="auto"/>
                <w:sz w:val="20"/>
                <w:szCs w:val="20"/>
                <w:u w:val="none"/>
              </w:rPr>
            </w:pPr>
          </w:p>
        </w:tc>
        <w:tc>
          <w:tcPr>
            <w:tcW w:w="623" w:type="pct"/>
            <w:shd w:val="clear" w:color="auto" w:fill="auto"/>
            <w:vAlign w:val="center"/>
          </w:tcPr>
          <w:p w14:paraId="3B015436">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vAlign w:val="center"/>
          </w:tcPr>
          <w:p w14:paraId="42A74945">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vAlign w:val="center"/>
          </w:tcPr>
          <w:p w14:paraId="2CBAF2F7">
            <w:pPr>
              <w:jc w:val="center"/>
              <w:rPr>
                <w:rFonts w:hint="default" w:ascii="Times New Roman" w:hAnsi="Times New Roman" w:eastAsia="宋体" w:cs="Times New Roman"/>
                <w:i w:val="0"/>
                <w:iCs w:val="0"/>
                <w:color w:val="auto"/>
                <w:sz w:val="20"/>
                <w:szCs w:val="20"/>
                <w:u w:val="none"/>
              </w:rPr>
            </w:pPr>
          </w:p>
        </w:tc>
      </w:tr>
      <w:tr w14:paraId="1F4F3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61B88F8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w:t>
            </w:r>
          </w:p>
        </w:tc>
        <w:tc>
          <w:tcPr>
            <w:tcW w:w="1169" w:type="pct"/>
            <w:shd w:val="clear" w:color="auto" w:fill="auto"/>
            <w:vAlign w:val="center"/>
          </w:tcPr>
          <w:p w14:paraId="07B0E02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机械费</w:t>
            </w:r>
          </w:p>
        </w:tc>
        <w:tc>
          <w:tcPr>
            <w:tcW w:w="623" w:type="pct"/>
            <w:shd w:val="clear" w:color="auto" w:fill="auto"/>
            <w:vAlign w:val="center"/>
          </w:tcPr>
          <w:p w14:paraId="0E1A7F39">
            <w:pPr>
              <w:jc w:val="center"/>
              <w:rPr>
                <w:rFonts w:hint="default" w:ascii="Times New Roman" w:hAnsi="Times New Roman" w:eastAsia="宋体" w:cs="Times New Roman"/>
                <w:i w:val="0"/>
                <w:iCs w:val="0"/>
                <w:color w:val="auto"/>
                <w:sz w:val="20"/>
                <w:szCs w:val="20"/>
                <w:u w:val="none"/>
              </w:rPr>
            </w:pPr>
          </w:p>
        </w:tc>
        <w:tc>
          <w:tcPr>
            <w:tcW w:w="623" w:type="pct"/>
            <w:shd w:val="clear" w:color="auto" w:fill="auto"/>
            <w:vAlign w:val="center"/>
          </w:tcPr>
          <w:p w14:paraId="74EED0CE">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vAlign w:val="center"/>
          </w:tcPr>
          <w:p w14:paraId="68B6BFD6">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vAlign w:val="center"/>
          </w:tcPr>
          <w:p w14:paraId="63AFA70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1002.48 </w:t>
            </w:r>
          </w:p>
        </w:tc>
      </w:tr>
      <w:tr w14:paraId="2B0F8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noWrap/>
            <w:vAlign w:val="center"/>
          </w:tcPr>
          <w:p w14:paraId="7E72B269">
            <w:pPr>
              <w:jc w:val="center"/>
              <w:rPr>
                <w:rFonts w:hint="default" w:ascii="Times New Roman" w:hAnsi="Times New Roman" w:eastAsia="宋体" w:cs="Times New Roman"/>
                <w:i w:val="0"/>
                <w:iCs w:val="0"/>
                <w:color w:val="auto"/>
                <w:sz w:val="20"/>
                <w:szCs w:val="20"/>
                <w:u w:val="none"/>
              </w:rPr>
            </w:pPr>
          </w:p>
        </w:tc>
        <w:tc>
          <w:tcPr>
            <w:tcW w:w="1169" w:type="pct"/>
            <w:shd w:val="clear" w:color="auto" w:fill="auto"/>
            <w:noWrap/>
            <w:vAlign w:val="center"/>
          </w:tcPr>
          <w:p w14:paraId="71023B2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装载机</w:t>
            </w:r>
            <w:r>
              <w:rPr>
                <w:rFonts w:hint="default" w:ascii="Times New Roman" w:hAnsi="Times New Roman" w:eastAsia="宋体" w:cs="Times New Roman"/>
                <w:i w:val="0"/>
                <w:iCs w:val="0"/>
                <w:color w:val="auto"/>
                <w:kern w:val="0"/>
                <w:sz w:val="20"/>
                <w:szCs w:val="20"/>
                <w:u w:val="none"/>
                <w:lang w:val="en-US" w:eastAsia="zh-CN" w:bidi="ar"/>
              </w:rPr>
              <w:t>2m</w:t>
            </w:r>
            <w:r>
              <w:rPr>
                <w:rFonts w:hint="default" w:ascii="Times New Roman" w:hAnsi="Times New Roman" w:eastAsia="宋体" w:cs="Times New Roman"/>
                <w:i w:val="0"/>
                <w:iCs w:val="0"/>
                <w:color w:val="auto"/>
                <w:kern w:val="0"/>
                <w:sz w:val="20"/>
                <w:szCs w:val="20"/>
                <w:u w:val="none"/>
                <w:vertAlign w:val="superscript"/>
                <w:lang w:val="en-US" w:eastAsia="zh-CN" w:bidi="ar"/>
              </w:rPr>
              <w:t>3</w:t>
            </w:r>
          </w:p>
        </w:tc>
        <w:tc>
          <w:tcPr>
            <w:tcW w:w="623" w:type="pct"/>
            <w:shd w:val="clear" w:color="auto" w:fill="auto"/>
            <w:noWrap/>
            <w:vAlign w:val="center"/>
          </w:tcPr>
          <w:p w14:paraId="1D21F01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台班</w:t>
            </w:r>
          </w:p>
        </w:tc>
        <w:tc>
          <w:tcPr>
            <w:tcW w:w="623" w:type="pct"/>
            <w:shd w:val="clear" w:color="auto" w:fill="auto"/>
            <w:noWrap/>
            <w:vAlign w:val="center"/>
          </w:tcPr>
          <w:p w14:paraId="3322C61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0.24</w:t>
            </w:r>
          </w:p>
        </w:tc>
        <w:tc>
          <w:tcPr>
            <w:tcW w:w="625" w:type="pct"/>
            <w:shd w:val="clear" w:color="auto" w:fill="auto"/>
            <w:noWrap/>
            <w:vAlign w:val="center"/>
          </w:tcPr>
          <w:p w14:paraId="2AE7258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914.68 </w:t>
            </w:r>
          </w:p>
        </w:tc>
        <w:tc>
          <w:tcPr>
            <w:tcW w:w="1034" w:type="pct"/>
            <w:shd w:val="clear" w:color="auto" w:fill="auto"/>
            <w:noWrap/>
            <w:vAlign w:val="center"/>
          </w:tcPr>
          <w:p w14:paraId="669D197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219.52 </w:t>
            </w:r>
          </w:p>
        </w:tc>
      </w:tr>
      <w:tr w14:paraId="2BB78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noWrap/>
            <w:vAlign w:val="center"/>
          </w:tcPr>
          <w:p w14:paraId="54FEE3EB">
            <w:pPr>
              <w:jc w:val="center"/>
              <w:rPr>
                <w:rFonts w:hint="default" w:ascii="Times New Roman" w:hAnsi="Times New Roman" w:eastAsia="宋体" w:cs="Times New Roman"/>
                <w:i w:val="0"/>
                <w:iCs w:val="0"/>
                <w:color w:val="auto"/>
                <w:sz w:val="20"/>
                <w:szCs w:val="20"/>
                <w:u w:val="none"/>
              </w:rPr>
            </w:pPr>
          </w:p>
        </w:tc>
        <w:tc>
          <w:tcPr>
            <w:tcW w:w="1169" w:type="pct"/>
            <w:shd w:val="clear" w:color="auto" w:fill="auto"/>
            <w:noWrap/>
            <w:vAlign w:val="center"/>
          </w:tcPr>
          <w:p w14:paraId="2A8AA35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推土机</w:t>
            </w:r>
            <w:r>
              <w:rPr>
                <w:rFonts w:hint="default" w:ascii="Times New Roman" w:hAnsi="Times New Roman" w:eastAsia="宋体" w:cs="Times New Roman"/>
                <w:i w:val="0"/>
                <w:iCs w:val="0"/>
                <w:color w:val="auto"/>
                <w:kern w:val="0"/>
                <w:sz w:val="20"/>
                <w:szCs w:val="20"/>
                <w:u w:val="none"/>
                <w:lang w:val="en-US" w:eastAsia="zh-CN" w:bidi="ar"/>
              </w:rPr>
              <w:t>59kw</w:t>
            </w:r>
          </w:p>
        </w:tc>
        <w:tc>
          <w:tcPr>
            <w:tcW w:w="623" w:type="pct"/>
            <w:shd w:val="clear" w:color="auto" w:fill="auto"/>
            <w:noWrap/>
            <w:vAlign w:val="center"/>
          </w:tcPr>
          <w:p w14:paraId="728E22C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台班</w:t>
            </w:r>
          </w:p>
        </w:tc>
        <w:tc>
          <w:tcPr>
            <w:tcW w:w="623" w:type="pct"/>
            <w:shd w:val="clear" w:color="auto" w:fill="auto"/>
            <w:noWrap/>
            <w:vAlign w:val="center"/>
          </w:tcPr>
          <w:p w14:paraId="0DEDDCB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0.1</w:t>
            </w:r>
          </w:p>
        </w:tc>
        <w:tc>
          <w:tcPr>
            <w:tcW w:w="625" w:type="pct"/>
            <w:shd w:val="clear" w:color="auto" w:fill="auto"/>
            <w:noWrap/>
            <w:vAlign w:val="center"/>
          </w:tcPr>
          <w:p w14:paraId="6723DA3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461.76 </w:t>
            </w:r>
          </w:p>
        </w:tc>
        <w:tc>
          <w:tcPr>
            <w:tcW w:w="1034" w:type="pct"/>
            <w:shd w:val="clear" w:color="auto" w:fill="auto"/>
            <w:noWrap/>
            <w:vAlign w:val="center"/>
          </w:tcPr>
          <w:p w14:paraId="1C508C5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46.18 </w:t>
            </w:r>
          </w:p>
        </w:tc>
      </w:tr>
      <w:tr w14:paraId="36474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noWrap/>
            <w:vAlign w:val="center"/>
          </w:tcPr>
          <w:p w14:paraId="417807A3">
            <w:pPr>
              <w:jc w:val="center"/>
              <w:rPr>
                <w:rFonts w:hint="default" w:ascii="Times New Roman" w:hAnsi="Times New Roman" w:eastAsia="宋体" w:cs="Times New Roman"/>
                <w:i w:val="0"/>
                <w:iCs w:val="0"/>
                <w:color w:val="auto"/>
                <w:sz w:val="20"/>
                <w:szCs w:val="20"/>
                <w:u w:val="none"/>
              </w:rPr>
            </w:pPr>
          </w:p>
        </w:tc>
        <w:tc>
          <w:tcPr>
            <w:tcW w:w="1169" w:type="pct"/>
            <w:shd w:val="clear" w:color="auto" w:fill="auto"/>
            <w:noWrap/>
            <w:vAlign w:val="center"/>
          </w:tcPr>
          <w:p w14:paraId="7DB5935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自卸汽车</w:t>
            </w:r>
            <w:r>
              <w:rPr>
                <w:rFonts w:hint="default" w:ascii="Times New Roman" w:hAnsi="Times New Roman" w:eastAsia="宋体" w:cs="Times New Roman"/>
                <w:i w:val="0"/>
                <w:iCs w:val="0"/>
                <w:color w:val="auto"/>
                <w:kern w:val="0"/>
                <w:sz w:val="20"/>
                <w:szCs w:val="20"/>
                <w:u w:val="none"/>
                <w:lang w:val="en-US" w:eastAsia="zh-CN" w:bidi="ar"/>
              </w:rPr>
              <w:t>20t</w:t>
            </w:r>
          </w:p>
        </w:tc>
        <w:tc>
          <w:tcPr>
            <w:tcW w:w="623" w:type="pct"/>
            <w:shd w:val="clear" w:color="auto" w:fill="auto"/>
            <w:noWrap/>
            <w:vAlign w:val="center"/>
          </w:tcPr>
          <w:p w14:paraId="0B467E0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台班</w:t>
            </w:r>
          </w:p>
        </w:tc>
        <w:tc>
          <w:tcPr>
            <w:tcW w:w="623" w:type="pct"/>
            <w:shd w:val="clear" w:color="auto" w:fill="auto"/>
            <w:noWrap/>
            <w:vAlign w:val="center"/>
          </w:tcPr>
          <w:p w14:paraId="342DDD1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0.7</w:t>
            </w:r>
          </w:p>
        </w:tc>
        <w:tc>
          <w:tcPr>
            <w:tcW w:w="625" w:type="pct"/>
            <w:shd w:val="clear" w:color="auto" w:fill="auto"/>
            <w:noWrap/>
            <w:vAlign w:val="center"/>
          </w:tcPr>
          <w:p w14:paraId="1D2B896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1052.55 </w:t>
            </w:r>
          </w:p>
        </w:tc>
        <w:tc>
          <w:tcPr>
            <w:tcW w:w="1034" w:type="pct"/>
            <w:shd w:val="clear" w:color="auto" w:fill="auto"/>
            <w:noWrap/>
            <w:vAlign w:val="center"/>
          </w:tcPr>
          <w:p w14:paraId="4CDB364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736.79 </w:t>
            </w:r>
          </w:p>
        </w:tc>
      </w:tr>
      <w:tr w14:paraId="46B58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5D7F83F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w:t>
            </w:r>
          </w:p>
        </w:tc>
        <w:tc>
          <w:tcPr>
            <w:tcW w:w="1169" w:type="pct"/>
            <w:shd w:val="clear" w:color="auto" w:fill="auto"/>
            <w:vAlign w:val="center"/>
          </w:tcPr>
          <w:p w14:paraId="08FB90C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其它费用</w:t>
            </w:r>
          </w:p>
        </w:tc>
        <w:tc>
          <w:tcPr>
            <w:tcW w:w="623" w:type="pct"/>
            <w:shd w:val="clear" w:color="auto" w:fill="auto"/>
            <w:vAlign w:val="center"/>
          </w:tcPr>
          <w:p w14:paraId="009F5D6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w:t>
            </w:r>
          </w:p>
        </w:tc>
        <w:tc>
          <w:tcPr>
            <w:tcW w:w="623" w:type="pct"/>
            <w:shd w:val="clear" w:color="auto" w:fill="auto"/>
            <w:vAlign w:val="center"/>
          </w:tcPr>
          <w:p w14:paraId="0F41D32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3.9</w:t>
            </w:r>
          </w:p>
        </w:tc>
        <w:tc>
          <w:tcPr>
            <w:tcW w:w="625" w:type="pct"/>
            <w:shd w:val="clear" w:color="auto" w:fill="auto"/>
            <w:vAlign w:val="center"/>
          </w:tcPr>
          <w:p w14:paraId="76910FB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1146.55 </w:t>
            </w:r>
          </w:p>
        </w:tc>
        <w:tc>
          <w:tcPr>
            <w:tcW w:w="1034" w:type="pct"/>
            <w:shd w:val="clear" w:color="auto" w:fill="auto"/>
            <w:noWrap/>
            <w:vAlign w:val="center"/>
          </w:tcPr>
          <w:p w14:paraId="633FEB0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44.72 </w:t>
            </w:r>
          </w:p>
        </w:tc>
      </w:tr>
      <w:tr w14:paraId="373E8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29A02A2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（二）</w:t>
            </w:r>
          </w:p>
        </w:tc>
        <w:tc>
          <w:tcPr>
            <w:tcW w:w="1169" w:type="pct"/>
            <w:shd w:val="clear" w:color="auto" w:fill="auto"/>
            <w:vAlign w:val="center"/>
          </w:tcPr>
          <w:p w14:paraId="59E3B50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措施费</w:t>
            </w:r>
          </w:p>
        </w:tc>
        <w:tc>
          <w:tcPr>
            <w:tcW w:w="623" w:type="pct"/>
            <w:shd w:val="clear" w:color="auto" w:fill="auto"/>
            <w:vAlign w:val="center"/>
          </w:tcPr>
          <w:p w14:paraId="0C587A9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w:t>
            </w:r>
          </w:p>
        </w:tc>
        <w:tc>
          <w:tcPr>
            <w:tcW w:w="623" w:type="pct"/>
            <w:shd w:val="clear" w:color="auto" w:fill="auto"/>
            <w:vAlign w:val="center"/>
          </w:tcPr>
          <w:p w14:paraId="38E41CB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3.8</w:t>
            </w:r>
          </w:p>
        </w:tc>
        <w:tc>
          <w:tcPr>
            <w:tcW w:w="625" w:type="pct"/>
            <w:shd w:val="clear" w:color="auto" w:fill="auto"/>
            <w:vAlign w:val="center"/>
          </w:tcPr>
          <w:p w14:paraId="5131915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1191.26 </w:t>
            </w:r>
          </w:p>
        </w:tc>
        <w:tc>
          <w:tcPr>
            <w:tcW w:w="1034" w:type="pct"/>
            <w:shd w:val="clear" w:color="auto" w:fill="auto"/>
            <w:vAlign w:val="center"/>
          </w:tcPr>
          <w:p w14:paraId="406B7D6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45.27 </w:t>
            </w:r>
          </w:p>
        </w:tc>
      </w:tr>
      <w:tr w14:paraId="5752B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922" w:type="pct"/>
            <w:shd w:val="clear" w:color="auto" w:fill="auto"/>
            <w:vAlign w:val="center"/>
          </w:tcPr>
          <w:p w14:paraId="6903D37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二</w:t>
            </w:r>
          </w:p>
        </w:tc>
        <w:tc>
          <w:tcPr>
            <w:tcW w:w="1169" w:type="pct"/>
            <w:shd w:val="clear" w:color="auto" w:fill="auto"/>
            <w:vAlign w:val="center"/>
          </w:tcPr>
          <w:p w14:paraId="4652530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间接费</w:t>
            </w:r>
          </w:p>
        </w:tc>
        <w:tc>
          <w:tcPr>
            <w:tcW w:w="623" w:type="pct"/>
            <w:shd w:val="clear" w:color="auto" w:fill="auto"/>
            <w:vAlign w:val="center"/>
          </w:tcPr>
          <w:p w14:paraId="7F339CA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w:t>
            </w:r>
          </w:p>
        </w:tc>
        <w:tc>
          <w:tcPr>
            <w:tcW w:w="623" w:type="pct"/>
            <w:shd w:val="clear" w:color="auto" w:fill="auto"/>
            <w:vAlign w:val="center"/>
          </w:tcPr>
          <w:p w14:paraId="45B5DA9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w:t>
            </w:r>
          </w:p>
        </w:tc>
        <w:tc>
          <w:tcPr>
            <w:tcW w:w="625" w:type="pct"/>
            <w:shd w:val="clear" w:color="auto" w:fill="auto"/>
            <w:vAlign w:val="center"/>
          </w:tcPr>
          <w:p w14:paraId="779E986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1236.53 </w:t>
            </w:r>
          </w:p>
        </w:tc>
        <w:tc>
          <w:tcPr>
            <w:tcW w:w="1034" w:type="pct"/>
            <w:shd w:val="clear" w:color="auto" w:fill="auto"/>
            <w:vAlign w:val="center"/>
          </w:tcPr>
          <w:p w14:paraId="678F12A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61.83 </w:t>
            </w:r>
          </w:p>
        </w:tc>
      </w:tr>
      <w:tr w14:paraId="5EF38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922" w:type="pct"/>
            <w:shd w:val="clear" w:color="auto" w:fill="auto"/>
            <w:vAlign w:val="center"/>
          </w:tcPr>
          <w:p w14:paraId="5639EE4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三</w:t>
            </w:r>
          </w:p>
        </w:tc>
        <w:tc>
          <w:tcPr>
            <w:tcW w:w="1169" w:type="pct"/>
            <w:shd w:val="clear" w:color="auto" w:fill="auto"/>
            <w:vAlign w:val="center"/>
          </w:tcPr>
          <w:p w14:paraId="1657200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利润</w:t>
            </w:r>
          </w:p>
        </w:tc>
        <w:tc>
          <w:tcPr>
            <w:tcW w:w="623" w:type="pct"/>
            <w:shd w:val="clear" w:color="auto" w:fill="auto"/>
            <w:vAlign w:val="center"/>
          </w:tcPr>
          <w:p w14:paraId="1C70EDF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w:t>
            </w:r>
          </w:p>
        </w:tc>
        <w:tc>
          <w:tcPr>
            <w:tcW w:w="623" w:type="pct"/>
            <w:shd w:val="clear" w:color="auto" w:fill="auto"/>
            <w:vAlign w:val="center"/>
          </w:tcPr>
          <w:p w14:paraId="4112433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w:t>
            </w:r>
          </w:p>
        </w:tc>
        <w:tc>
          <w:tcPr>
            <w:tcW w:w="625" w:type="pct"/>
            <w:shd w:val="clear" w:color="auto" w:fill="auto"/>
            <w:vAlign w:val="center"/>
          </w:tcPr>
          <w:p w14:paraId="5B761CC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1298.36 </w:t>
            </w:r>
          </w:p>
        </w:tc>
        <w:tc>
          <w:tcPr>
            <w:tcW w:w="1034" w:type="pct"/>
            <w:shd w:val="clear" w:color="auto" w:fill="auto"/>
            <w:vAlign w:val="center"/>
          </w:tcPr>
          <w:p w14:paraId="4CAA65E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38.95 </w:t>
            </w:r>
          </w:p>
        </w:tc>
      </w:tr>
      <w:tr w14:paraId="58DA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922" w:type="pct"/>
            <w:shd w:val="clear" w:color="auto" w:fill="auto"/>
            <w:noWrap/>
            <w:vAlign w:val="center"/>
          </w:tcPr>
          <w:p w14:paraId="71BD1FB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四</w:t>
            </w:r>
          </w:p>
        </w:tc>
        <w:tc>
          <w:tcPr>
            <w:tcW w:w="1169" w:type="pct"/>
            <w:shd w:val="clear" w:color="auto" w:fill="auto"/>
            <w:noWrap/>
            <w:vAlign w:val="center"/>
          </w:tcPr>
          <w:p w14:paraId="37DEE37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材料价差</w:t>
            </w:r>
          </w:p>
        </w:tc>
        <w:tc>
          <w:tcPr>
            <w:tcW w:w="623" w:type="pct"/>
            <w:shd w:val="clear" w:color="auto" w:fill="auto"/>
            <w:noWrap/>
            <w:vAlign w:val="center"/>
          </w:tcPr>
          <w:p w14:paraId="561D6182">
            <w:pPr>
              <w:jc w:val="center"/>
              <w:rPr>
                <w:rFonts w:hint="default" w:ascii="Times New Roman" w:hAnsi="Times New Roman" w:eastAsia="宋体" w:cs="Times New Roman"/>
                <w:i w:val="0"/>
                <w:iCs w:val="0"/>
                <w:color w:val="auto"/>
                <w:sz w:val="20"/>
                <w:szCs w:val="20"/>
                <w:u w:val="none"/>
              </w:rPr>
            </w:pPr>
          </w:p>
        </w:tc>
        <w:tc>
          <w:tcPr>
            <w:tcW w:w="623" w:type="pct"/>
            <w:shd w:val="clear" w:color="auto" w:fill="auto"/>
            <w:noWrap/>
            <w:vAlign w:val="center"/>
          </w:tcPr>
          <w:p w14:paraId="1795E400">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noWrap/>
            <w:vAlign w:val="center"/>
          </w:tcPr>
          <w:p w14:paraId="465BC78E">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noWrap/>
            <w:vAlign w:val="center"/>
          </w:tcPr>
          <w:p w14:paraId="214D5B3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316.97 </w:t>
            </w:r>
          </w:p>
        </w:tc>
      </w:tr>
      <w:tr w14:paraId="65B9B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2" w:type="pct"/>
            <w:shd w:val="clear" w:color="auto" w:fill="auto"/>
            <w:noWrap/>
            <w:vAlign w:val="center"/>
          </w:tcPr>
          <w:p w14:paraId="042174DE">
            <w:pPr>
              <w:jc w:val="center"/>
              <w:rPr>
                <w:rFonts w:hint="default" w:ascii="Times New Roman" w:hAnsi="Times New Roman" w:eastAsia="宋体" w:cs="Times New Roman"/>
                <w:i w:val="0"/>
                <w:iCs w:val="0"/>
                <w:color w:val="auto"/>
                <w:sz w:val="20"/>
                <w:szCs w:val="20"/>
                <w:u w:val="none"/>
              </w:rPr>
            </w:pPr>
          </w:p>
        </w:tc>
        <w:tc>
          <w:tcPr>
            <w:tcW w:w="1169" w:type="pct"/>
            <w:shd w:val="clear" w:color="auto" w:fill="auto"/>
            <w:vAlign w:val="center"/>
          </w:tcPr>
          <w:p w14:paraId="454BA72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柴油</w:t>
            </w:r>
          </w:p>
        </w:tc>
        <w:tc>
          <w:tcPr>
            <w:tcW w:w="623" w:type="pct"/>
            <w:shd w:val="clear" w:color="auto" w:fill="auto"/>
            <w:vAlign w:val="center"/>
          </w:tcPr>
          <w:p w14:paraId="6FD4A19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kg</w:t>
            </w:r>
          </w:p>
        </w:tc>
        <w:tc>
          <w:tcPr>
            <w:tcW w:w="623" w:type="pct"/>
            <w:shd w:val="clear" w:color="auto" w:fill="auto"/>
            <w:vAlign w:val="center"/>
          </w:tcPr>
          <w:p w14:paraId="510159A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77.88</w:t>
            </w:r>
          </w:p>
        </w:tc>
        <w:tc>
          <w:tcPr>
            <w:tcW w:w="625" w:type="pct"/>
            <w:shd w:val="clear" w:color="auto" w:fill="auto"/>
            <w:vAlign w:val="center"/>
          </w:tcPr>
          <w:p w14:paraId="47F0642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4.07 </w:t>
            </w:r>
          </w:p>
        </w:tc>
        <w:tc>
          <w:tcPr>
            <w:tcW w:w="1034" w:type="pct"/>
            <w:shd w:val="clear" w:color="auto" w:fill="auto"/>
            <w:vAlign w:val="center"/>
          </w:tcPr>
          <w:p w14:paraId="7B231DF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316.97 </w:t>
            </w:r>
          </w:p>
        </w:tc>
      </w:tr>
      <w:tr w14:paraId="038BB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7A95B85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五</w:t>
            </w:r>
          </w:p>
        </w:tc>
        <w:tc>
          <w:tcPr>
            <w:tcW w:w="1169" w:type="pct"/>
            <w:shd w:val="clear" w:color="auto" w:fill="auto"/>
            <w:vAlign w:val="center"/>
          </w:tcPr>
          <w:p w14:paraId="5D0EF2D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税金</w:t>
            </w:r>
          </w:p>
        </w:tc>
        <w:tc>
          <w:tcPr>
            <w:tcW w:w="623" w:type="pct"/>
            <w:shd w:val="clear" w:color="auto" w:fill="auto"/>
            <w:vAlign w:val="center"/>
          </w:tcPr>
          <w:p w14:paraId="0600002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w:t>
            </w:r>
          </w:p>
        </w:tc>
        <w:tc>
          <w:tcPr>
            <w:tcW w:w="623" w:type="pct"/>
            <w:shd w:val="clear" w:color="auto" w:fill="auto"/>
            <w:vAlign w:val="center"/>
          </w:tcPr>
          <w:p w14:paraId="2CA7ECF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9</w:t>
            </w:r>
          </w:p>
        </w:tc>
        <w:tc>
          <w:tcPr>
            <w:tcW w:w="625" w:type="pct"/>
            <w:shd w:val="clear" w:color="auto" w:fill="auto"/>
            <w:vAlign w:val="center"/>
          </w:tcPr>
          <w:p w14:paraId="44B7EE7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1654.28 </w:t>
            </w:r>
          </w:p>
        </w:tc>
        <w:tc>
          <w:tcPr>
            <w:tcW w:w="1034" w:type="pct"/>
            <w:shd w:val="clear" w:color="auto" w:fill="auto"/>
            <w:vAlign w:val="center"/>
          </w:tcPr>
          <w:p w14:paraId="0BC7E2C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148.89 </w:t>
            </w:r>
          </w:p>
        </w:tc>
      </w:tr>
      <w:tr w14:paraId="40F0A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2716" w:type="pct"/>
            <w:gridSpan w:val="3"/>
            <w:shd w:val="clear" w:color="auto" w:fill="auto"/>
            <w:vAlign w:val="center"/>
          </w:tcPr>
          <w:p w14:paraId="5E774B5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合计</w:t>
            </w:r>
          </w:p>
        </w:tc>
        <w:tc>
          <w:tcPr>
            <w:tcW w:w="623" w:type="pct"/>
            <w:shd w:val="clear" w:color="auto" w:fill="auto"/>
            <w:vAlign w:val="center"/>
          </w:tcPr>
          <w:p w14:paraId="4E9A93FA">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vAlign w:val="center"/>
          </w:tcPr>
          <w:p w14:paraId="09A44580">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vAlign w:val="center"/>
          </w:tcPr>
          <w:p w14:paraId="7275BD1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 xml:space="preserve">1803.16 </w:t>
            </w:r>
          </w:p>
        </w:tc>
      </w:tr>
    </w:tbl>
    <w:p w14:paraId="3DC7FFB7">
      <w:pPr>
        <w:shd w:val="clear" w:color="000000" w:fill="auto"/>
        <w:jc w:val="center"/>
        <w:rPr>
          <w:b/>
          <w:bCs/>
          <w:color w:val="auto"/>
          <w:sz w:val="28"/>
          <w:szCs w:val="28"/>
        </w:rPr>
      </w:pP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531"/>
        <w:gridCol w:w="1941"/>
        <w:gridCol w:w="1038"/>
        <w:gridCol w:w="1034"/>
        <w:gridCol w:w="1039"/>
        <w:gridCol w:w="1719"/>
      </w:tblGrid>
      <w:tr w14:paraId="294AB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trPr>
        <w:tc>
          <w:tcPr>
            <w:tcW w:w="5000" w:type="pct"/>
            <w:gridSpan w:val="6"/>
            <w:shd w:val="clear" w:color="auto" w:fill="auto"/>
            <w:vAlign w:val="center"/>
          </w:tcPr>
          <w:p w14:paraId="03BDDC2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2m</w:t>
            </w:r>
            <w:r>
              <w:rPr>
                <w:rFonts w:hint="default" w:ascii="Times New Roman" w:hAnsi="Times New Roman" w:eastAsia="宋体" w:cs="Times New Roman"/>
                <w:b/>
                <w:bCs/>
                <w:i w:val="0"/>
                <w:iCs w:val="0"/>
                <w:color w:val="auto"/>
                <w:kern w:val="0"/>
                <w:sz w:val="20"/>
                <w:szCs w:val="20"/>
                <w:u w:val="none"/>
                <w:vertAlign w:val="superscript"/>
                <w:lang w:val="en-US" w:eastAsia="zh-CN" w:bidi="ar"/>
              </w:rPr>
              <w:t>3</w:t>
            </w:r>
            <w:r>
              <w:rPr>
                <w:rFonts w:hint="eastAsia" w:ascii="宋体" w:hAnsi="宋体" w:eastAsia="宋体" w:cs="宋体"/>
                <w:b/>
                <w:bCs/>
                <w:i w:val="0"/>
                <w:iCs w:val="0"/>
                <w:color w:val="auto"/>
                <w:kern w:val="0"/>
                <w:sz w:val="20"/>
                <w:szCs w:val="20"/>
                <w:u w:val="none"/>
                <w:lang w:val="en-US" w:eastAsia="zh-CN" w:bidi="ar"/>
              </w:rPr>
              <w:t>装载机装石碴自卸汽车运输</w:t>
            </w:r>
            <w:r>
              <w:rPr>
                <w:rFonts w:hint="default" w:ascii="Times New Roman" w:hAnsi="Times New Roman" w:eastAsia="宋体" w:cs="Times New Roman"/>
                <w:b/>
                <w:bCs/>
                <w:i w:val="0"/>
                <w:iCs w:val="0"/>
                <w:color w:val="auto"/>
                <w:kern w:val="0"/>
                <w:sz w:val="20"/>
                <w:szCs w:val="20"/>
                <w:u w:val="none"/>
                <w:lang w:val="en-US" w:eastAsia="zh-CN" w:bidi="ar"/>
              </w:rPr>
              <w:t>(</w:t>
            </w:r>
            <w:r>
              <w:rPr>
                <w:rFonts w:hint="eastAsia" w:ascii="宋体" w:hAnsi="宋体" w:eastAsia="宋体" w:cs="宋体"/>
                <w:b/>
                <w:bCs/>
                <w:i w:val="0"/>
                <w:iCs w:val="0"/>
                <w:color w:val="auto"/>
                <w:kern w:val="0"/>
                <w:sz w:val="20"/>
                <w:szCs w:val="20"/>
                <w:u w:val="none"/>
                <w:lang w:val="en-US" w:eastAsia="zh-CN" w:bidi="ar"/>
              </w:rPr>
              <w:t>运距</w:t>
            </w:r>
            <w:r>
              <w:rPr>
                <w:rFonts w:hint="default" w:ascii="Times New Roman" w:hAnsi="Times New Roman" w:eastAsia="宋体" w:cs="Times New Roman"/>
                <w:b/>
                <w:bCs/>
                <w:i w:val="0"/>
                <w:iCs w:val="0"/>
                <w:color w:val="auto"/>
                <w:kern w:val="0"/>
                <w:sz w:val="20"/>
                <w:szCs w:val="20"/>
                <w:u w:val="none"/>
                <w:lang w:val="en-US" w:eastAsia="zh-CN" w:bidi="ar"/>
              </w:rPr>
              <w:t>0</w:t>
            </w:r>
            <w:r>
              <w:rPr>
                <w:rFonts w:hint="eastAsia" w:ascii="宋体" w:hAnsi="宋体" w:eastAsia="宋体" w:cs="宋体"/>
                <w:b/>
                <w:bCs/>
                <w:i w:val="0"/>
                <w:iCs w:val="0"/>
                <w:color w:val="auto"/>
                <w:kern w:val="0"/>
                <w:sz w:val="20"/>
                <w:szCs w:val="20"/>
                <w:u w:val="none"/>
                <w:lang w:val="en-US" w:eastAsia="zh-CN" w:bidi="ar"/>
              </w:rPr>
              <w:t>～</w:t>
            </w:r>
            <w:r>
              <w:rPr>
                <w:rFonts w:hint="default" w:ascii="Times New Roman" w:hAnsi="Times New Roman" w:eastAsia="宋体" w:cs="Times New Roman"/>
                <w:b/>
                <w:bCs/>
                <w:i w:val="0"/>
                <w:iCs w:val="0"/>
                <w:color w:val="auto"/>
                <w:kern w:val="0"/>
                <w:sz w:val="20"/>
                <w:szCs w:val="20"/>
                <w:u w:val="none"/>
                <w:lang w:val="en-US" w:eastAsia="zh-CN" w:bidi="ar"/>
              </w:rPr>
              <w:t>0.5km)</w:t>
            </w:r>
          </w:p>
        </w:tc>
      </w:tr>
      <w:tr w14:paraId="0A5BB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3965" w:type="pct"/>
            <w:gridSpan w:val="5"/>
            <w:shd w:val="clear" w:color="auto" w:fill="auto"/>
            <w:vAlign w:val="center"/>
          </w:tcPr>
          <w:p w14:paraId="03AF8A5A">
            <w:pPr>
              <w:keepNext w:val="0"/>
              <w:keepLines w:val="0"/>
              <w:widowControl/>
              <w:suppressLineNumbers w:val="0"/>
              <w:jc w:val="left"/>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定额编号：</w:t>
            </w:r>
            <w:r>
              <w:rPr>
                <w:rFonts w:hint="default" w:ascii="Times New Roman" w:hAnsi="Times New Roman" w:eastAsia="宋体" w:cs="Times New Roman"/>
                <w:b/>
                <w:bCs/>
                <w:i w:val="0"/>
                <w:iCs w:val="0"/>
                <w:color w:val="auto"/>
                <w:kern w:val="0"/>
                <w:sz w:val="20"/>
                <w:szCs w:val="20"/>
                <w:u w:val="none"/>
                <w:lang w:val="en-US" w:eastAsia="zh-CN" w:bidi="ar"/>
              </w:rPr>
              <w:t xml:space="preserve">20013   </w:t>
            </w:r>
            <w:r>
              <w:rPr>
                <w:rFonts w:hint="eastAsia" w:ascii="宋体" w:hAnsi="宋体" w:eastAsia="宋体" w:cs="宋体"/>
                <w:b/>
                <w:bCs/>
                <w:i w:val="0"/>
                <w:iCs w:val="0"/>
                <w:color w:val="auto"/>
                <w:kern w:val="0"/>
                <w:sz w:val="20"/>
                <w:szCs w:val="20"/>
                <w:u w:val="none"/>
                <w:lang w:val="en-US" w:eastAsia="zh-CN" w:bidi="ar"/>
              </w:rPr>
              <w:t>工作内容：装、运、卸、空回</w:t>
            </w:r>
          </w:p>
        </w:tc>
        <w:tc>
          <w:tcPr>
            <w:tcW w:w="1034" w:type="pct"/>
            <w:shd w:val="clear" w:color="auto" w:fill="auto"/>
            <w:vAlign w:val="center"/>
          </w:tcPr>
          <w:p w14:paraId="0F822124">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单位：元</w:t>
            </w:r>
            <w:r>
              <w:rPr>
                <w:rFonts w:hint="default" w:ascii="Times New Roman" w:hAnsi="Times New Roman" w:eastAsia="宋体" w:cs="Times New Roman"/>
                <w:b/>
                <w:bCs/>
                <w:i w:val="0"/>
                <w:iCs w:val="0"/>
                <w:color w:val="auto"/>
                <w:kern w:val="0"/>
                <w:sz w:val="20"/>
                <w:szCs w:val="20"/>
                <w:u w:val="none"/>
                <w:lang w:val="en-US" w:eastAsia="zh-CN" w:bidi="ar"/>
              </w:rPr>
              <w:t>/100m</w:t>
            </w:r>
            <w:r>
              <w:rPr>
                <w:rFonts w:hint="default" w:ascii="Times New Roman" w:hAnsi="Times New Roman" w:eastAsia="宋体" w:cs="Times New Roman"/>
                <w:b/>
                <w:bCs/>
                <w:i w:val="0"/>
                <w:iCs w:val="0"/>
                <w:color w:val="auto"/>
                <w:kern w:val="0"/>
                <w:sz w:val="20"/>
                <w:szCs w:val="20"/>
                <w:u w:val="none"/>
                <w:vertAlign w:val="superscript"/>
                <w:lang w:val="en-US" w:eastAsia="zh-CN" w:bidi="ar"/>
              </w:rPr>
              <w:t>3</w:t>
            </w:r>
          </w:p>
        </w:tc>
      </w:tr>
      <w:tr w14:paraId="454B5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073A110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序号</w:t>
            </w:r>
          </w:p>
        </w:tc>
        <w:tc>
          <w:tcPr>
            <w:tcW w:w="1169" w:type="pct"/>
            <w:shd w:val="clear" w:color="auto" w:fill="auto"/>
            <w:vAlign w:val="center"/>
          </w:tcPr>
          <w:p w14:paraId="356C029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项目名称</w:t>
            </w:r>
          </w:p>
        </w:tc>
        <w:tc>
          <w:tcPr>
            <w:tcW w:w="623" w:type="pct"/>
            <w:shd w:val="clear" w:color="auto" w:fill="auto"/>
            <w:vAlign w:val="center"/>
          </w:tcPr>
          <w:p w14:paraId="6CAFC59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单位</w:t>
            </w:r>
          </w:p>
        </w:tc>
        <w:tc>
          <w:tcPr>
            <w:tcW w:w="623" w:type="pct"/>
            <w:shd w:val="clear" w:color="auto" w:fill="auto"/>
            <w:vAlign w:val="center"/>
          </w:tcPr>
          <w:p w14:paraId="3F8ED02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数量</w:t>
            </w:r>
          </w:p>
        </w:tc>
        <w:tc>
          <w:tcPr>
            <w:tcW w:w="625" w:type="pct"/>
            <w:shd w:val="clear" w:color="auto" w:fill="auto"/>
            <w:vAlign w:val="center"/>
          </w:tcPr>
          <w:p w14:paraId="1981A02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单价</w:t>
            </w:r>
          </w:p>
        </w:tc>
        <w:tc>
          <w:tcPr>
            <w:tcW w:w="1034" w:type="pct"/>
            <w:shd w:val="clear" w:color="auto" w:fill="auto"/>
            <w:vAlign w:val="center"/>
          </w:tcPr>
          <w:p w14:paraId="3F290C5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小计</w:t>
            </w:r>
          </w:p>
        </w:tc>
      </w:tr>
      <w:tr w14:paraId="71140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391F184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一</w:t>
            </w:r>
          </w:p>
        </w:tc>
        <w:tc>
          <w:tcPr>
            <w:tcW w:w="1169" w:type="pct"/>
            <w:shd w:val="clear" w:color="auto" w:fill="auto"/>
            <w:vAlign w:val="center"/>
          </w:tcPr>
          <w:p w14:paraId="43B09AE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直接费</w:t>
            </w:r>
          </w:p>
        </w:tc>
        <w:tc>
          <w:tcPr>
            <w:tcW w:w="623" w:type="pct"/>
            <w:shd w:val="clear" w:color="auto" w:fill="auto"/>
            <w:vAlign w:val="center"/>
          </w:tcPr>
          <w:p w14:paraId="43D0C011">
            <w:pPr>
              <w:jc w:val="center"/>
              <w:rPr>
                <w:rFonts w:hint="default" w:ascii="Times New Roman" w:hAnsi="Times New Roman" w:eastAsia="宋体" w:cs="Times New Roman"/>
                <w:i w:val="0"/>
                <w:iCs w:val="0"/>
                <w:color w:val="auto"/>
                <w:sz w:val="20"/>
                <w:szCs w:val="20"/>
                <w:u w:val="none"/>
              </w:rPr>
            </w:pPr>
          </w:p>
        </w:tc>
        <w:tc>
          <w:tcPr>
            <w:tcW w:w="623" w:type="pct"/>
            <w:shd w:val="clear" w:color="auto" w:fill="auto"/>
            <w:vAlign w:val="center"/>
          </w:tcPr>
          <w:p w14:paraId="312AF2B4">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vAlign w:val="center"/>
          </w:tcPr>
          <w:p w14:paraId="6B287723">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vAlign w:val="center"/>
          </w:tcPr>
          <w:p w14:paraId="414F2EC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1842.74 </w:t>
            </w:r>
          </w:p>
        </w:tc>
      </w:tr>
      <w:tr w14:paraId="1C012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7E202B6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（一）</w:t>
            </w:r>
          </w:p>
        </w:tc>
        <w:tc>
          <w:tcPr>
            <w:tcW w:w="1169" w:type="pct"/>
            <w:shd w:val="clear" w:color="auto" w:fill="auto"/>
            <w:vAlign w:val="center"/>
          </w:tcPr>
          <w:p w14:paraId="1E38412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直接工程费</w:t>
            </w:r>
          </w:p>
        </w:tc>
        <w:tc>
          <w:tcPr>
            <w:tcW w:w="623" w:type="pct"/>
            <w:shd w:val="clear" w:color="auto" w:fill="auto"/>
            <w:vAlign w:val="center"/>
          </w:tcPr>
          <w:p w14:paraId="1860C12A">
            <w:pPr>
              <w:jc w:val="center"/>
              <w:rPr>
                <w:rFonts w:hint="default" w:ascii="Times New Roman" w:hAnsi="Times New Roman" w:eastAsia="宋体" w:cs="Times New Roman"/>
                <w:i w:val="0"/>
                <w:iCs w:val="0"/>
                <w:color w:val="auto"/>
                <w:sz w:val="20"/>
                <w:szCs w:val="20"/>
                <w:u w:val="none"/>
              </w:rPr>
            </w:pPr>
          </w:p>
        </w:tc>
        <w:tc>
          <w:tcPr>
            <w:tcW w:w="623" w:type="pct"/>
            <w:shd w:val="clear" w:color="auto" w:fill="auto"/>
            <w:vAlign w:val="center"/>
          </w:tcPr>
          <w:p w14:paraId="143677BE">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vAlign w:val="center"/>
          </w:tcPr>
          <w:p w14:paraId="16F335D0">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vAlign w:val="center"/>
          </w:tcPr>
          <w:p w14:paraId="1228DA4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1775.28 </w:t>
            </w:r>
          </w:p>
        </w:tc>
      </w:tr>
      <w:tr w14:paraId="3D468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10BED25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w:t>
            </w:r>
          </w:p>
        </w:tc>
        <w:tc>
          <w:tcPr>
            <w:tcW w:w="1169" w:type="pct"/>
            <w:shd w:val="clear" w:color="auto" w:fill="auto"/>
            <w:vAlign w:val="center"/>
          </w:tcPr>
          <w:p w14:paraId="0FEE9CB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人工费</w:t>
            </w:r>
          </w:p>
        </w:tc>
        <w:tc>
          <w:tcPr>
            <w:tcW w:w="623" w:type="pct"/>
            <w:shd w:val="clear" w:color="auto" w:fill="auto"/>
            <w:vAlign w:val="center"/>
          </w:tcPr>
          <w:p w14:paraId="5DEF0327">
            <w:pPr>
              <w:jc w:val="center"/>
              <w:rPr>
                <w:rFonts w:hint="default" w:ascii="Times New Roman" w:hAnsi="Times New Roman" w:eastAsia="宋体" w:cs="Times New Roman"/>
                <w:i w:val="0"/>
                <w:iCs w:val="0"/>
                <w:color w:val="auto"/>
                <w:sz w:val="20"/>
                <w:szCs w:val="20"/>
                <w:u w:val="none"/>
              </w:rPr>
            </w:pPr>
          </w:p>
        </w:tc>
        <w:tc>
          <w:tcPr>
            <w:tcW w:w="623" w:type="pct"/>
            <w:shd w:val="clear" w:color="auto" w:fill="auto"/>
            <w:vAlign w:val="center"/>
          </w:tcPr>
          <w:p w14:paraId="1B444EA9">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vAlign w:val="center"/>
          </w:tcPr>
          <w:p w14:paraId="021365ED">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vAlign w:val="center"/>
          </w:tcPr>
          <w:p w14:paraId="1E71014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cs="Times New Roman"/>
                <w:i w:val="0"/>
                <w:iCs w:val="0"/>
                <w:color w:val="auto"/>
                <w:kern w:val="0"/>
                <w:sz w:val="20"/>
                <w:szCs w:val="20"/>
                <w:u w:val="none"/>
                <w:lang w:val="en-US" w:eastAsia="zh-CN" w:bidi="ar"/>
              </w:rPr>
              <w:t>148.01</w:t>
            </w:r>
            <w:r>
              <w:rPr>
                <w:rFonts w:hint="default" w:ascii="Times New Roman" w:hAnsi="Times New Roman" w:eastAsia="宋体" w:cs="Times New Roman"/>
                <w:i w:val="0"/>
                <w:iCs w:val="0"/>
                <w:color w:val="auto"/>
                <w:kern w:val="0"/>
                <w:sz w:val="20"/>
                <w:szCs w:val="20"/>
                <w:u w:val="none"/>
                <w:lang w:val="en-US" w:eastAsia="zh-CN" w:bidi="ar"/>
              </w:rPr>
              <w:t xml:space="preserve"> </w:t>
            </w:r>
          </w:p>
        </w:tc>
      </w:tr>
      <w:tr w14:paraId="6AD81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68A879F6">
            <w:pPr>
              <w:jc w:val="center"/>
              <w:rPr>
                <w:rFonts w:hint="default" w:ascii="Times New Roman" w:hAnsi="Times New Roman" w:eastAsia="宋体" w:cs="Times New Roman"/>
                <w:i w:val="0"/>
                <w:iCs w:val="0"/>
                <w:color w:val="auto"/>
                <w:sz w:val="20"/>
                <w:szCs w:val="20"/>
                <w:u w:val="none"/>
              </w:rPr>
            </w:pPr>
          </w:p>
        </w:tc>
        <w:tc>
          <w:tcPr>
            <w:tcW w:w="1169" w:type="pct"/>
            <w:shd w:val="clear" w:color="auto" w:fill="auto"/>
            <w:vAlign w:val="center"/>
          </w:tcPr>
          <w:p w14:paraId="49CCB5A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甲类工</w:t>
            </w:r>
          </w:p>
        </w:tc>
        <w:tc>
          <w:tcPr>
            <w:tcW w:w="623" w:type="pct"/>
            <w:shd w:val="clear" w:color="auto" w:fill="auto"/>
            <w:vAlign w:val="center"/>
          </w:tcPr>
          <w:p w14:paraId="0581CFC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工日</w:t>
            </w:r>
          </w:p>
        </w:tc>
        <w:tc>
          <w:tcPr>
            <w:tcW w:w="623" w:type="pct"/>
            <w:shd w:val="clear" w:color="auto" w:fill="auto"/>
            <w:vAlign w:val="center"/>
          </w:tcPr>
          <w:p w14:paraId="429B56D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0.1</w:t>
            </w:r>
          </w:p>
        </w:tc>
        <w:tc>
          <w:tcPr>
            <w:tcW w:w="1039" w:type="dxa"/>
            <w:shd w:val="clear" w:color="auto" w:fill="auto"/>
            <w:vAlign w:val="center"/>
          </w:tcPr>
          <w:p w14:paraId="5EC9991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180.08 </w:t>
            </w:r>
          </w:p>
        </w:tc>
        <w:tc>
          <w:tcPr>
            <w:tcW w:w="1034" w:type="pct"/>
            <w:shd w:val="clear" w:color="auto" w:fill="auto"/>
            <w:vAlign w:val="center"/>
          </w:tcPr>
          <w:p w14:paraId="217170A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0.00 </w:t>
            </w:r>
          </w:p>
        </w:tc>
      </w:tr>
      <w:tr w14:paraId="31B8A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6431D1E2">
            <w:pPr>
              <w:jc w:val="center"/>
              <w:rPr>
                <w:rFonts w:hint="default" w:ascii="Times New Roman" w:hAnsi="Times New Roman" w:eastAsia="宋体" w:cs="Times New Roman"/>
                <w:i w:val="0"/>
                <w:iCs w:val="0"/>
                <w:color w:val="auto"/>
                <w:sz w:val="20"/>
                <w:szCs w:val="20"/>
                <w:u w:val="none"/>
              </w:rPr>
            </w:pPr>
          </w:p>
        </w:tc>
        <w:tc>
          <w:tcPr>
            <w:tcW w:w="1169" w:type="pct"/>
            <w:shd w:val="clear" w:color="auto" w:fill="auto"/>
            <w:vAlign w:val="center"/>
          </w:tcPr>
          <w:p w14:paraId="5110872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乙类工</w:t>
            </w:r>
          </w:p>
        </w:tc>
        <w:tc>
          <w:tcPr>
            <w:tcW w:w="623" w:type="pct"/>
            <w:shd w:val="clear" w:color="auto" w:fill="auto"/>
            <w:vAlign w:val="center"/>
          </w:tcPr>
          <w:p w14:paraId="71F0686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工日</w:t>
            </w:r>
          </w:p>
        </w:tc>
        <w:tc>
          <w:tcPr>
            <w:tcW w:w="623" w:type="pct"/>
            <w:shd w:val="clear" w:color="auto" w:fill="auto"/>
            <w:vAlign w:val="center"/>
          </w:tcPr>
          <w:p w14:paraId="767C722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1.1</w:t>
            </w:r>
          </w:p>
        </w:tc>
        <w:tc>
          <w:tcPr>
            <w:tcW w:w="1039" w:type="dxa"/>
            <w:shd w:val="clear" w:color="auto" w:fill="auto"/>
            <w:vAlign w:val="center"/>
          </w:tcPr>
          <w:p w14:paraId="2F74711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cs="Times New Roman"/>
                <w:i w:val="0"/>
                <w:iCs w:val="0"/>
                <w:color w:val="auto"/>
                <w:kern w:val="0"/>
                <w:sz w:val="20"/>
                <w:szCs w:val="20"/>
                <w:u w:val="none"/>
                <w:lang w:val="en-US" w:eastAsia="zh-CN" w:bidi="ar"/>
              </w:rPr>
              <w:t>134.59</w:t>
            </w:r>
          </w:p>
        </w:tc>
        <w:tc>
          <w:tcPr>
            <w:tcW w:w="1034" w:type="pct"/>
            <w:shd w:val="clear" w:color="auto" w:fill="auto"/>
            <w:vAlign w:val="center"/>
          </w:tcPr>
          <w:p w14:paraId="359A78E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lang w:val="en-US"/>
              </w:rPr>
            </w:pPr>
            <w:r>
              <w:rPr>
                <w:rFonts w:hint="eastAsia" w:cs="Times New Roman"/>
                <w:i w:val="0"/>
                <w:iCs w:val="0"/>
                <w:color w:val="auto"/>
                <w:kern w:val="0"/>
                <w:sz w:val="20"/>
                <w:szCs w:val="20"/>
                <w:u w:val="none"/>
                <w:lang w:val="en-US" w:eastAsia="zh-CN" w:bidi="ar"/>
              </w:rPr>
              <w:t>148.01</w:t>
            </w:r>
          </w:p>
        </w:tc>
      </w:tr>
      <w:tr w14:paraId="0BD11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1FD7355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w:t>
            </w:r>
          </w:p>
        </w:tc>
        <w:tc>
          <w:tcPr>
            <w:tcW w:w="1169" w:type="pct"/>
            <w:shd w:val="clear" w:color="auto" w:fill="auto"/>
            <w:vAlign w:val="center"/>
          </w:tcPr>
          <w:p w14:paraId="28529D5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材料费</w:t>
            </w:r>
          </w:p>
        </w:tc>
        <w:tc>
          <w:tcPr>
            <w:tcW w:w="623" w:type="pct"/>
            <w:shd w:val="clear" w:color="auto" w:fill="auto"/>
            <w:vAlign w:val="center"/>
          </w:tcPr>
          <w:p w14:paraId="1871D6F9">
            <w:pPr>
              <w:jc w:val="center"/>
              <w:rPr>
                <w:rFonts w:hint="default" w:ascii="Times New Roman" w:hAnsi="Times New Roman" w:eastAsia="宋体" w:cs="Times New Roman"/>
                <w:i w:val="0"/>
                <w:iCs w:val="0"/>
                <w:color w:val="auto"/>
                <w:sz w:val="20"/>
                <w:szCs w:val="20"/>
                <w:u w:val="none"/>
              </w:rPr>
            </w:pPr>
          </w:p>
        </w:tc>
        <w:tc>
          <w:tcPr>
            <w:tcW w:w="623" w:type="pct"/>
            <w:shd w:val="clear" w:color="auto" w:fill="auto"/>
            <w:vAlign w:val="center"/>
          </w:tcPr>
          <w:p w14:paraId="3E13FAE1">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vAlign w:val="center"/>
          </w:tcPr>
          <w:p w14:paraId="524EE86E">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vAlign w:val="center"/>
          </w:tcPr>
          <w:p w14:paraId="4225321A">
            <w:pPr>
              <w:jc w:val="center"/>
              <w:rPr>
                <w:rFonts w:hint="default" w:ascii="Times New Roman" w:hAnsi="Times New Roman" w:eastAsia="宋体" w:cs="Times New Roman"/>
                <w:i w:val="0"/>
                <w:iCs w:val="0"/>
                <w:color w:val="auto"/>
                <w:sz w:val="20"/>
                <w:szCs w:val="20"/>
                <w:u w:val="none"/>
              </w:rPr>
            </w:pPr>
          </w:p>
        </w:tc>
      </w:tr>
      <w:tr w14:paraId="1A07E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2B79A0D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w:t>
            </w:r>
          </w:p>
        </w:tc>
        <w:tc>
          <w:tcPr>
            <w:tcW w:w="1169" w:type="pct"/>
            <w:shd w:val="clear" w:color="auto" w:fill="auto"/>
            <w:vAlign w:val="center"/>
          </w:tcPr>
          <w:p w14:paraId="6F291CD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机械费</w:t>
            </w:r>
          </w:p>
        </w:tc>
        <w:tc>
          <w:tcPr>
            <w:tcW w:w="623" w:type="pct"/>
            <w:shd w:val="clear" w:color="auto" w:fill="auto"/>
            <w:vAlign w:val="center"/>
          </w:tcPr>
          <w:p w14:paraId="3154D971">
            <w:pPr>
              <w:jc w:val="center"/>
              <w:rPr>
                <w:rFonts w:hint="default" w:ascii="Times New Roman" w:hAnsi="Times New Roman" w:eastAsia="宋体" w:cs="Times New Roman"/>
                <w:i w:val="0"/>
                <w:iCs w:val="0"/>
                <w:color w:val="auto"/>
                <w:sz w:val="20"/>
                <w:szCs w:val="20"/>
                <w:u w:val="none"/>
              </w:rPr>
            </w:pPr>
          </w:p>
        </w:tc>
        <w:tc>
          <w:tcPr>
            <w:tcW w:w="623" w:type="pct"/>
            <w:shd w:val="clear" w:color="auto" w:fill="auto"/>
            <w:vAlign w:val="center"/>
          </w:tcPr>
          <w:p w14:paraId="605B5613">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vAlign w:val="center"/>
          </w:tcPr>
          <w:p w14:paraId="4B5CEB9D">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vAlign w:val="center"/>
          </w:tcPr>
          <w:p w14:paraId="34C95DF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1538.97 </w:t>
            </w:r>
          </w:p>
        </w:tc>
      </w:tr>
      <w:tr w14:paraId="5191D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noWrap/>
            <w:vAlign w:val="center"/>
          </w:tcPr>
          <w:p w14:paraId="391DF0F0">
            <w:pPr>
              <w:jc w:val="center"/>
              <w:rPr>
                <w:rFonts w:hint="default" w:ascii="Times New Roman" w:hAnsi="Times New Roman" w:eastAsia="宋体" w:cs="Times New Roman"/>
                <w:i w:val="0"/>
                <w:iCs w:val="0"/>
                <w:color w:val="auto"/>
                <w:sz w:val="20"/>
                <w:szCs w:val="20"/>
                <w:u w:val="none"/>
              </w:rPr>
            </w:pPr>
          </w:p>
        </w:tc>
        <w:tc>
          <w:tcPr>
            <w:tcW w:w="1169" w:type="pct"/>
            <w:shd w:val="clear" w:color="auto" w:fill="auto"/>
            <w:noWrap/>
            <w:vAlign w:val="center"/>
          </w:tcPr>
          <w:p w14:paraId="0DC7ABA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装载机</w:t>
            </w:r>
            <w:r>
              <w:rPr>
                <w:rFonts w:hint="default" w:ascii="Times New Roman" w:hAnsi="Times New Roman" w:eastAsia="宋体" w:cs="Times New Roman"/>
                <w:i w:val="0"/>
                <w:iCs w:val="0"/>
                <w:color w:val="auto"/>
                <w:kern w:val="0"/>
                <w:sz w:val="20"/>
                <w:szCs w:val="20"/>
                <w:u w:val="none"/>
                <w:lang w:val="en-US" w:eastAsia="zh-CN" w:bidi="ar"/>
              </w:rPr>
              <w:t xml:space="preserve"> 2m</w:t>
            </w:r>
            <w:r>
              <w:rPr>
                <w:rFonts w:hint="default" w:ascii="Times New Roman" w:hAnsi="Times New Roman" w:eastAsia="宋体" w:cs="Times New Roman"/>
                <w:i w:val="0"/>
                <w:iCs w:val="0"/>
                <w:color w:val="auto"/>
                <w:kern w:val="0"/>
                <w:sz w:val="20"/>
                <w:szCs w:val="20"/>
                <w:u w:val="none"/>
                <w:vertAlign w:val="superscript"/>
                <w:lang w:val="en-US" w:eastAsia="zh-CN" w:bidi="ar"/>
              </w:rPr>
              <w:t>3</w:t>
            </w:r>
          </w:p>
        </w:tc>
        <w:tc>
          <w:tcPr>
            <w:tcW w:w="623" w:type="pct"/>
            <w:shd w:val="clear" w:color="auto" w:fill="auto"/>
            <w:noWrap/>
            <w:vAlign w:val="center"/>
          </w:tcPr>
          <w:p w14:paraId="1C518E2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台班</w:t>
            </w:r>
          </w:p>
        </w:tc>
        <w:tc>
          <w:tcPr>
            <w:tcW w:w="623" w:type="pct"/>
            <w:shd w:val="clear" w:color="auto" w:fill="auto"/>
            <w:noWrap/>
            <w:vAlign w:val="center"/>
          </w:tcPr>
          <w:p w14:paraId="344D7D8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0.48</w:t>
            </w:r>
          </w:p>
        </w:tc>
        <w:tc>
          <w:tcPr>
            <w:tcW w:w="625" w:type="pct"/>
            <w:shd w:val="clear" w:color="auto" w:fill="auto"/>
            <w:noWrap/>
            <w:vAlign w:val="center"/>
          </w:tcPr>
          <w:p w14:paraId="7E59445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914.68 </w:t>
            </w:r>
          </w:p>
        </w:tc>
        <w:tc>
          <w:tcPr>
            <w:tcW w:w="1034" w:type="pct"/>
            <w:shd w:val="clear" w:color="auto" w:fill="auto"/>
            <w:noWrap/>
            <w:vAlign w:val="center"/>
          </w:tcPr>
          <w:p w14:paraId="7ECE403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439.05 </w:t>
            </w:r>
          </w:p>
        </w:tc>
      </w:tr>
      <w:tr w14:paraId="2BADF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noWrap/>
            <w:vAlign w:val="center"/>
          </w:tcPr>
          <w:p w14:paraId="31812D7D">
            <w:pPr>
              <w:jc w:val="center"/>
              <w:rPr>
                <w:rFonts w:hint="default" w:ascii="Times New Roman" w:hAnsi="Times New Roman" w:eastAsia="宋体" w:cs="Times New Roman"/>
                <w:i w:val="0"/>
                <w:iCs w:val="0"/>
                <w:color w:val="auto"/>
                <w:sz w:val="20"/>
                <w:szCs w:val="20"/>
                <w:u w:val="none"/>
              </w:rPr>
            </w:pPr>
          </w:p>
        </w:tc>
        <w:tc>
          <w:tcPr>
            <w:tcW w:w="1169" w:type="pct"/>
            <w:shd w:val="clear" w:color="auto" w:fill="auto"/>
            <w:noWrap/>
            <w:vAlign w:val="center"/>
          </w:tcPr>
          <w:p w14:paraId="690F44F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推土机</w:t>
            </w:r>
            <w:r>
              <w:rPr>
                <w:rFonts w:hint="default" w:ascii="Times New Roman" w:hAnsi="Times New Roman" w:eastAsia="宋体" w:cs="Times New Roman"/>
                <w:i w:val="0"/>
                <w:iCs w:val="0"/>
                <w:color w:val="auto"/>
                <w:kern w:val="0"/>
                <w:sz w:val="20"/>
                <w:szCs w:val="20"/>
                <w:u w:val="none"/>
                <w:lang w:val="en-US" w:eastAsia="zh-CN" w:bidi="ar"/>
              </w:rPr>
              <w:t>74kw</w:t>
            </w:r>
          </w:p>
        </w:tc>
        <w:tc>
          <w:tcPr>
            <w:tcW w:w="623" w:type="pct"/>
            <w:shd w:val="clear" w:color="auto" w:fill="auto"/>
            <w:noWrap/>
            <w:vAlign w:val="center"/>
          </w:tcPr>
          <w:p w14:paraId="113B4F5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台班</w:t>
            </w:r>
          </w:p>
        </w:tc>
        <w:tc>
          <w:tcPr>
            <w:tcW w:w="623" w:type="pct"/>
            <w:shd w:val="clear" w:color="auto" w:fill="auto"/>
            <w:noWrap/>
            <w:vAlign w:val="center"/>
          </w:tcPr>
          <w:p w14:paraId="47036DF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0.22</w:t>
            </w:r>
          </w:p>
        </w:tc>
        <w:tc>
          <w:tcPr>
            <w:tcW w:w="625" w:type="pct"/>
            <w:shd w:val="clear" w:color="auto" w:fill="auto"/>
            <w:noWrap/>
            <w:vAlign w:val="center"/>
          </w:tcPr>
          <w:p w14:paraId="77B8FD5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643.29 </w:t>
            </w:r>
          </w:p>
        </w:tc>
        <w:tc>
          <w:tcPr>
            <w:tcW w:w="1034" w:type="pct"/>
            <w:shd w:val="clear" w:color="auto" w:fill="auto"/>
            <w:noWrap/>
            <w:vAlign w:val="center"/>
          </w:tcPr>
          <w:p w14:paraId="608C53C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141.52 </w:t>
            </w:r>
          </w:p>
        </w:tc>
      </w:tr>
      <w:tr w14:paraId="48CFC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noWrap/>
            <w:vAlign w:val="center"/>
          </w:tcPr>
          <w:p w14:paraId="3A6490B1">
            <w:pPr>
              <w:jc w:val="center"/>
              <w:rPr>
                <w:rFonts w:hint="default" w:ascii="Times New Roman" w:hAnsi="Times New Roman" w:eastAsia="宋体" w:cs="Times New Roman"/>
                <w:i w:val="0"/>
                <w:iCs w:val="0"/>
                <w:color w:val="auto"/>
                <w:sz w:val="20"/>
                <w:szCs w:val="20"/>
                <w:u w:val="none"/>
              </w:rPr>
            </w:pPr>
          </w:p>
        </w:tc>
        <w:tc>
          <w:tcPr>
            <w:tcW w:w="1169" w:type="pct"/>
            <w:shd w:val="clear" w:color="auto" w:fill="auto"/>
            <w:noWrap/>
            <w:vAlign w:val="center"/>
          </w:tcPr>
          <w:p w14:paraId="19E3CE0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自卸汽车</w:t>
            </w:r>
            <w:r>
              <w:rPr>
                <w:rFonts w:hint="default" w:ascii="Times New Roman" w:hAnsi="Times New Roman" w:eastAsia="宋体" w:cs="Times New Roman"/>
                <w:i w:val="0"/>
                <w:iCs w:val="0"/>
                <w:color w:val="auto"/>
                <w:kern w:val="0"/>
                <w:sz w:val="20"/>
                <w:szCs w:val="20"/>
                <w:u w:val="none"/>
                <w:lang w:val="en-US" w:eastAsia="zh-CN" w:bidi="ar"/>
              </w:rPr>
              <w:t>18t</w:t>
            </w:r>
          </w:p>
        </w:tc>
        <w:tc>
          <w:tcPr>
            <w:tcW w:w="623" w:type="pct"/>
            <w:shd w:val="clear" w:color="auto" w:fill="auto"/>
            <w:noWrap/>
            <w:vAlign w:val="center"/>
          </w:tcPr>
          <w:p w14:paraId="419F546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台班</w:t>
            </w:r>
          </w:p>
        </w:tc>
        <w:tc>
          <w:tcPr>
            <w:tcW w:w="623" w:type="pct"/>
            <w:shd w:val="clear" w:color="auto" w:fill="auto"/>
            <w:noWrap/>
            <w:vAlign w:val="center"/>
          </w:tcPr>
          <w:p w14:paraId="7C927A5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1.02</w:t>
            </w:r>
          </w:p>
        </w:tc>
        <w:tc>
          <w:tcPr>
            <w:tcW w:w="625" w:type="pct"/>
            <w:shd w:val="clear" w:color="auto" w:fill="auto"/>
            <w:noWrap/>
            <w:vAlign w:val="center"/>
          </w:tcPr>
          <w:p w14:paraId="10E2F87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939.61 </w:t>
            </w:r>
          </w:p>
        </w:tc>
        <w:tc>
          <w:tcPr>
            <w:tcW w:w="1034" w:type="pct"/>
            <w:shd w:val="clear" w:color="auto" w:fill="auto"/>
            <w:noWrap/>
            <w:vAlign w:val="center"/>
          </w:tcPr>
          <w:p w14:paraId="1F6FB0A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958.40 </w:t>
            </w:r>
          </w:p>
        </w:tc>
      </w:tr>
      <w:tr w14:paraId="364D2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4B47AB7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w:t>
            </w:r>
          </w:p>
        </w:tc>
        <w:tc>
          <w:tcPr>
            <w:tcW w:w="1169" w:type="pct"/>
            <w:shd w:val="clear" w:color="auto" w:fill="auto"/>
            <w:vAlign w:val="center"/>
          </w:tcPr>
          <w:p w14:paraId="32BA892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其它费用</w:t>
            </w:r>
          </w:p>
        </w:tc>
        <w:tc>
          <w:tcPr>
            <w:tcW w:w="623" w:type="pct"/>
            <w:shd w:val="clear" w:color="auto" w:fill="auto"/>
            <w:vAlign w:val="center"/>
          </w:tcPr>
          <w:p w14:paraId="6757291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w:t>
            </w:r>
          </w:p>
        </w:tc>
        <w:tc>
          <w:tcPr>
            <w:tcW w:w="623" w:type="pct"/>
            <w:shd w:val="clear" w:color="auto" w:fill="auto"/>
            <w:vAlign w:val="center"/>
          </w:tcPr>
          <w:p w14:paraId="790C347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2.2</w:t>
            </w:r>
          </w:p>
        </w:tc>
        <w:tc>
          <w:tcPr>
            <w:tcW w:w="625" w:type="pct"/>
            <w:shd w:val="clear" w:color="auto" w:fill="auto"/>
            <w:vAlign w:val="center"/>
          </w:tcPr>
          <w:p w14:paraId="2BB046E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1737.06 </w:t>
            </w:r>
          </w:p>
        </w:tc>
        <w:tc>
          <w:tcPr>
            <w:tcW w:w="1034" w:type="pct"/>
            <w:shd w:val="clear" w:color="auto" w:fill="auto"/>
            <w:vAlign w:val="center"/>
          </w:tcPr>
          <w:p w14:paraId="724F294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38.22 </w:t>
            </w:r>
          </w:p>
        </w:tc>
      </w:tr>
      <w:tr w14:paraId="4367F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6D04075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（二）</w:t>
            </w:r>
          </w:p>
        </w:tc>
        <w:tc>
          <w:tcPr>
            <w:tcW w:w="1169" w:type="pct"/>
            <w:shd w:val="clear" w:color="auto" w:fill="auto"/>
            <w:vAlign w:val="center"/>
          </w:tcPr>
          <w:p w14:paraId="747E8F3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措施费</w:t>
            </w:r>
          </w:p>
        </w:tc>
        <w:tc>
          <w:tcPr>
            <w:tcW w:w="623" w:type="pct"/>
            <w:shd w:val="clear" w:color="auto" w:fill="auto"/>
            <w:vAlign w:val="center"/>
          </w:tcPr>
          <w:p w14:paraId="4A67CEE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w:t>
            </w:r>
          </w:p>
        </w:tc>
        <w:tc>
          <w:tcPr>
            <w:tcW w:w="623" w:type="pct"/>
            <w:shd w:val="clear" w:color="auto" w:fill="auto"/>
            <w:vAlign w:val="center"/>
          </w:tcPr>
          <w:p w14:paraId="70A8036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3.8</w:t>
            </w:r>
          </w:p>
        </w:tc>
        <w:tc>
          <w:tcPr>
            <w:tcW w:w="625" w:type="pct"/>
            <w:shd w:val="clear" w:color="auto" w:fill="auto"/>
            <w:vAlign w:val="center"/>
          </w:tcPr>
          <w:p w14:paraId="236E842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1775.28 </w:t>
            </w:r>
          </w:p>
        </w:tc>
        <w:tc>
          <w:tcPr>
            <w:tcW w:w="1034" w:type="pct"/>
            <w:shd w:val="clear" w:color="auto" w:fill="auto"/>
            <w:vAlign w:val="center"/>
          </w:tcPr>
          <w:p w14:paraId="55C12F9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67.46 </w:t>
            </w:r>
          </w:p>
        </w:tc>
      </w:tr>
      <w:tr w14:paraId="3B8C7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662CD03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二</w:t>
            </w:r>
          </w:p>
        </w:tc>
        <w:tc>
          <w:tcPr>
            <w:tcW w:w="1169" w:type="pct"/>
            <w:shd w:val="clear" w:color="auto" w:fill="auto"/>
            <w:vAlign w:val="center"/>
          </w:tcPr>
          <w:p w14:paraId="3C96239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间接费</w:t>
            </w:r>
          </w:p>
        </w:tc>
        <w:tc>
          <w:tcPr>
            <w:tcW w:w="623" w:type="pct"/>
            <w:shd w:val="clear" w:color="auto" w:fill="auto"/>
            <w:vAlign w:val="center"/>
          </w:tcPr>
          <w:p w14:paraId="302B58D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w:t>
            </w:r>
          </w:p>
        </w:tc>
        <w:tc>
          <w:tcPr>
            <w:tcW w:w="623" w:type="pct"/>
            <w:shd w:val="clear" w:color="auto" w:fill="auto"/>
            <w:vAlign w:val="center"/>
          </w:tcPr>
          <w:p w14:paraId="0E79B77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6</w:t>
            </w:r>
          </w:p>
        </w:tc>
        <w:tc>
          <w:tcPr>
            <w:tcW w:w="625" w:type="pct"/>
            <w:shd w:val="clear" w:color="auto" w:fill="auto"/>
            <w:vAlign w:val="center"/>
          </w:tcPr>
          <w:p w14:paraId="76F497B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1842.74 </w:t>
            </w:r>
          </w:p>
        </w:tc>
        <w:tc>
          <w:tcPr>
            <w:tcW w:w="1034" w:type="pct"/>
            <w:shd w:val="clear" w:color="auto" w:fill="auto"/>
            <w:vAlign w:val="center"/>
          </w:tcPr>
          <w:p w14:paraId="5C1CAD6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110.56 </w:t>
            </w:r>
          </w:p>
        </w:tc>
      </w:tr>
      <w:tr w14:paraId="093DE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262B7A7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三</w:t>
            </w:r>
          </w:p>
        </w:tc>
        <w:tc>
          <w:tcPr>
            <w:tcW w:w="1169" w:type="pct"/>
            <w:shd w:val="clear" w:color="auto" w:fill="auto"/>
            <w:vAlign w:val="center"/>
          </w:tcPr>
          <w:p w14:paraId="4509257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利润</w:t>
            </w:r>
          </w:p>
        </w:tc>
        <w:tc>
          <w:tcPr>
            <w:tcW w:w="623" w:type="pct"/>
            <w:shd w:val="clear" w:color="auto" w:fill="auto"/>
            <w:vAlign w:val="center"/>
          </w:tcPr>
          <w:p w14:paraId="45FC134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w:t>
            </w:r>
          </w:p>
        </w:tc>
        <w:tc>
          <w:tcPr>
            <w:tcW w:w="623" w:type="pct"/>
            <w:shd w:val="clear" w:color="auto" w:fill="auto"/>
            <w:vAlign w:val="center"/>
          </w:tcPr>
          <w:p w14:paraId="69FAD3D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w:t>
            </w:r>
          </w:p>
        </w:tc>
        <w:tc>
          <w:tcPr>
            <w:tcW w:w="625" w:type="pct"/>
            <w:shd w:val="clear" w:color="auto" w:fill="auto"/>
            <w:vAlign w:val="center"/>
          </w:tcPr>
          <w:p w14:paraId="45C3DC1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1953.30 </w:t>
            </w:r>
          </w:p>
        </w:tc>
        <w:tc>
          <w:tcPr>
            <w:tcW w:w="1034" w:type="pct"/>
            <w:shd w:val="clear" w:color="auto" w:fill="auto"/>
            <w:vAlign w:val="center"/>
          </w:tcPr>
          <w:p w14:paraId="4FEB53B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58.60 </w:t>
            </w:r>
          </w:p>
        </w:tc>
      </w:tr>
      <w:tr w14:paraId="076EF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noWrap/>
            <w:vAlign w:val="center"/>
          </w:tcPr>
          <w:p w14:paraId="7B560C9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四</w:t>
            </w:r>
          </w:p>
        </w:tc>
        <w:tc>
          <w:tcPr>
            <w:tcW w:w="1169" w:type="pct"/>
            <w:shd w:val="clear" w:color="auto" w:fill="auto"/>
            <w:noWrap/>
            <w:vAlign w:val="center"/>
          </w:tcPr>
          <w:p w14:paraId="436DAD4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材料价差</w:t>
            </w:r>
          </w:p>
        </w:tc>
        <w:tc>
          <w:tcPr>
            <w:tcW w:w="623" w:type="pct"/>
            <w:shd w:val="clear" w:color="auto" w:fill="auto"/>
            <w:noWrap/>
            <w:vAlign w:val="center"/>
          </w:tcPr>
          <w:p w14:paraId="2DD1D605">
            <w:pPr>
              <w:jc w:val="center"/>
              <w:rPr>
                <w:rFonts w:hint="default" w:ascii="Times New Roman" w:hAnsi="Times New Roman" w:eastAsia="宋体" w:cs="Times New Roman"/>
                <w:i w:val="0"/>
                <w:iCs w:val="0"/>
                <w:color w:val="auto"/>
                <w:sz w:val="20"/>
                <w:szCs w:val="20"/>
                <w:u w:val="none"/>
              </w:rPr>
            </w:pPr>
          </w:p>
        </w:tc>
        <w:tc>
          <w:tcPr>
            <w:tcW w:w="623" w:type="pct"/>
            <w:shd w:val="clear" w:color="auto" w:fill="auto"/>
            <w:noWrap/>
            <w:vAlign w:val="center"/>
          </w:tcPr>
          <w:p w14:paraId="39D64E35">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noWrap/>
            <w:vAlign w:val="center"/>
          </w:tcPr>
          <w:p w14:paraId="2E741B71">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noWrap/>
            <w:vAlign w:val="center"/>
          </w:tcPr>
          <w:p w14:paraId="54A67FE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316.97 </w:t>
            </w:r>
          </w:p>
        </w:tc>
      </w:tr>
      <w:tr w14:paraId="46B5D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noWrap/>
            <w:vAlign w:val="center"/>
          </w:tcPr>
          <w:p w14:paraId="3FE959B4">
            <w:pPr>
              <w:jc w:val="center"/>
              <w:rPr>
                <w:rFonts w:hint="default" w:ascii="Times New Roman" w:hAnsi="Times New Roman" w:eastAsia="宋体" w:cs="Times New Roman"/>
                <w:i w:val="0"/>
                <w:iCs w:val="0"/>
                <w:color w:val="auto"/>
                <w:sz w:val="20"/>
                <w:szCs w:val="20"/>
                <w:u w:val="none"/>
              </w:rPr>
            </w:pPr>
          </w:p>
        </w:tc>
        <w:tc>
          <w:tcPr>
            <w:tcW w:w="1169" w:type="pct"/>
            <w:shd w:val="clear" w:color="auto" w:fill="auto"/>
            <w:vAlign w:val="center"/>
          </w:tcPr>
          <w:p w14:paraId="2FAE665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柴油</w:t>
            </w:r>
          </w:p>
        </w:tc>
        <w:tc>
          <w:tcPr>
            <w:tcW w:w="623" w:type="pct"/>
            <w:shd w:val="clear" w:color="auto" w:fill="auto"/>
            <w:vAlign w:val="center"/>
          </w:tcPr>
          <w:p w14:paraId="417D7BF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kg</w:t>
            </w:r>
          </w:p>
        </w:tc>
        <w:tc>
          <w:tcPr>
            <w:tcW w:w="623" w:type="pct"/>
            <w:shd w:val="clear" w:color="auto" w:fill="auto"/>
            <w:vAlign w:val="center"/>
          </w:tcPr>
          <w:p w14:paraId="3FF0E86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128.38</w:t>
            </w:r>
          </w:p>
        </w:tc>
        <w:tc>
          <w:tcPr>
            <w:tcW w:w="625" w:type="pct"/>
            <w:shd w:val="clear" w:color="auto" w:fill="auto"/>
            <w:vAlign w:val="center"/>
          </w:tcPr>
          <w:p w14:paraId="60CFC5C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4.07 </w:t>
            </w:r>
          </w:p>
        </w:tc>
        <w:tc>
          <w:tcPr>
            <w:tcW w:w="1034" w:type="pct"/>
            <w:shd w:val="clear" w:color="auto" w:fill="auto"/>
            <w:vAlign w:val="center"/>
          </w:tcPr>
          <w:p w14:paraId="4144BED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522.51 </w:t>
            </w:r>
          </w:p>
        </w:tc>
      </w:tr>
      <w:tr w14:paraId="7580D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638DFA2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五</w:t>
            </w:r>
          </w:p>
        </w:tc>
        <w:tc>
          <w:tcPr>
            <w:tcW w:w="1169" w:type="pct"/>
            <w:shd w:val="clear" w:color="auto" w:fill="auto"/>
            <w:vAlign w:val="center"/>
          </w:tcPr>
          <w:p w14:paraId="4DB065F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税金</w:t>
            </w:r>
          </w:p>
        </w:tc>
        <w:tc>
          <w:tcPr>
            <w:tcW w:w="623" w:type="pct"/>
            <w:shd w:val="clear" w:color="auto" w:fill="auto"/>
            <w:vAlign w:val="center"/>
          </w:tcPr>
          <w:p w14:paraId="63318F3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w:t>
            </w:r>
          </w:p>
        </w:tc>
        <w:tc>
          <w:tcPr>
            <w:tcW w:w="623" w:type="pct"/>
            <w:shd w:val="clear" w:color="auto" w:fill="auto"/>
            <w:vAlign w:val="center"/>
          </w:tcPr>
          <w:p w14:paraId="6722C3B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9</w:t>
            </w:r>
          </w:p>
        </w:tc>
        <w:tc>
          <w:tcPr>
            <w:tcW w:w="625" w:type="pct"/>
            <w:shd w:val="clear" w:color="auto" w:fill="auto"/>
            <w:vAlign w:val="center"/>
          </w:tcPr>
          <w:p w14:paraId="0E320E4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2328.87 </w:t>
            </w:r>
          </w:p>
        </w:tc>
        <w:tc>
          <w:tcPr>
            <w:tcW w:w="1034" w:type="pct"/>
            <w:shd w:val="clear" w:color="auto" w:fill="auto"/>
            <w:vAlign w:val="center"/>
          </w:tcPr>
          <w:p w14:paraId="2409BA7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209.60 </w:t>
            </w:r>
          </w:p>
        </w:tc>
      </w:tr>
      <w:tr w14:paraId="4D912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2716" w:type="pct"/>
            <w:gridSpan w:val="3"/>
            <w:shd w:val="clear" w:color="auto" w:fill="auto"/>
            <w:vAlign w:val="center"/>
          </w:tcPr>
          <w:p w14:paraId="56AC6D7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合计</w:t>
            </w:r>
          </w:p>
        </w:tc>
        <w:tc>
          <w:tcPr>
            <w:tcW w:w="623" w:type="pct"/>
            <w:shd w:val="clear" w:color="auto" w:fill="auto"/>
            <w:vAlign w:val="center"/>
          </w:tcPr>
          <w:p w14:paraId="7B11920F">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vAlign w:val="center"/>
          </w:tcPr>
          <w:p w14:paraId="0B55A069">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vAlign w:val="center"/>
          </w:tcPr>
          <w:p w14:paraId="47AB5A44">
            <w:pPr>
              <w:keepNext w:val="0"/>
              <w:keepLines w:val="0"/>
              <w:widowControl/>
              <w:suppressLineNumbers w:val="0"/>
              <w:jc w:val="center"/>
              <w:textAlignment w:val="center"/>
              <w:rPr>
                <w:rFonts w:hint="default" w:ascii="Times New Roman" w:hAnsi="Times New Roman" w:eastAsia="宋体"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 xml:space="preserve">2538.47 </w:t>
            </w:r>
          </w:p>
        </w:tc>
      </w:tr>
    </w:tbl>
    <w:p w14:paraId="37F74340">
      <w:pPr>
        <w:pStyle w:val="33"/>
        <w:rPr>
          <w:b/>
          <w:bCs/>
          <w:color w:val="auto"/>
          <w:sz w:val="28"/>
          <w:szCs w:val="28"/>
        </w:rPr>
      </w:pPr>
    </w:p>
    <w:p w14:paraId="0CDDAB00">
      <w:pPr>
        <w:pStyle w:val="33"/>
        <w:rPr>
          <w:b/>
          <w:bCs/>
          <w:color w:val="auto"/>
          <w:sz w:val="28"/>
          <w:szCs w:val="28"/>
        </w:rPr>
      </w:pP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531"/>
        <w:gridCol w:w="1941"/>
        <w:gridCol w:w="1038"/>
        <w:gridCol w:w="1034"/>
        <w:gridCol w:w="1039"/>
        <w:gridCol w:w="1719"/>
      </w:tblGrid>
      <w:tr w14:paraId="14438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trPr>
        <w:tc>
          <w:tcPr>
            <w:tcW w:w="5000" w:type="pct"/>
            <w:gridSpan w:val="6"/>
            <w:shd w:val="clear" w:color="auto" w:fill="auto"/>
            <w:vAlign w:val="center"/>
          </w:tcPr>
          <w:p w14:paraId="25CB08D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2m</w:t>
            </w:r>
            <w:r>
              <w:rPr>
                <w:rFonts w:hint="default" w:ascii="Times New Roman" w:hAnsi="Times New Roman" w:eastAsia="宋体" w:cs="Times New Roman"/>
                <w:b/>
                <w:bCs/>
                <w:i w:val="0"/>
                <w:iCs w:val="0"/>
                <w:color w:val="auto"/>
                <w:kern w:val="0"/>
                <w:sz w:val="20"/>
                <w:szCs w:val="20"/>
                <w:u w:val="none"/>
                <w:vertAlign w:val="superscript"/>
                <w:lang w:val="en-US" w:eastAsia="zh-CN" w:bidi="ar"/>
              </w:rPr>
              <w:t>3</w:t>
            </w:r>
            <w:r>
              <w:rPr>
                <w:rFonts w:hint="eastAsia" w:ascii="宋体" w:hAnsi="宋体" w:eastAsia="宋体" w:cs="宋体"/>
                <w:b/>
                <w:bCs/>
                <w:i w:val="0"/>
                <w:iCs w:val="0"/>
                <w:color w:val="auto"/>
                <w:kern w:val="0"/>
                <w:sz w:val="20"/>
                <w:szCs w:val="20"/>
                <w:u w:val="none"/>
                <w:lang w:val="en-US" w:eastAsia="zh-CN" w:bidi="ar"/>
              </w:rPr>
              <w:t>装载机装石碴自卸汽车运输</w:t>
            </w:r>
            <w:r>
              <w:rPr>
                <w:rFonts w:hint="default" w:ascii="Times New Roman" w:hAnsi="Times New Roman" w:eastAsia="宋体" w:cs="Times New Roman"/>
                <w:b/>
                <w:bCs/>
                <w:i w:val="0"/>
                <w:iCs w:val="0"/>
                <w:color w:val="auto"/>
                <w:kern w:val="0"/>
                <w:sz w:val="20"/>
                <w:szCs w:val="20"/>
                <w:u w:val="none"/>
                <w:lang w:val="en-US" w:eastAsia="zh-CN" w:bidi="ar"/>
              </w:rPr>
              <w:t>(</w:t>
            </w:r>
            <w:r>
              <w:rPr>
                <w:rFonts w:hint="eastAsia" w:ascii="宋体" w:hAnsi="宋体" w:eastAsia="宋体" w:cs="宋体"/>
                <w:b/>
                <w:bCs/>
                <w:i w:val="0"/>
                <w:iCs w:val="0"/>
                <w:color w:val="auto"/>
                <w:kern w:val="0"/>
                <w:sz w:val="20"/>
                <w:szCs w:val="20"/>
                <w:u w:val="none"/>
                <w:lang w:val="en-US" w:eastAsia="zh-CN" w:bidi="ar"/>
              </w:rPr>
              <w:t>运距</w:t>
            </w:r>
            <w:r>
              <w:rPr>
                <w:rFonts w:hint="default" w:ascii="Times New Roman" w:hAnsi="Times New Roman" w:eastAsia="宋体" w:cs="Times New Roman"/>
                <w:b/>
                <w:bCs/>
                <w:i w:val="0"/>
                <w:iCs w:val="0"/>
                <w:color w:val="auto"/>
                <w:kern w:val="0"/>
                <w:sz w:val="20"/>
                <w:szCs w:val="20"/>
                <w:u w:val="none"/>
                <w:lang w:val="en-US" w:eastAsia="zh-CN" w:bidi="ar"/>
              </w:rPr>
              <w:t>0.5</w:t>
            </w:r>
            <w:r>
              <w:rPr>
                <w:rFonts w:hint="eastAsia" w:ascii="宋体" w:hAnsi="宋体" w:eastAsia="宋体" w:cs="宋体"/>
                <w:b/>
                <w:bCs/>
                <w:i w:val="0"/>
                <w:iCs w:val="0"/>
                <w:color w:val="auto"/>
                <w:kern w:val="0"/>
                <w:sz w:val="20"/>
                <w:szCs w:val="20"/>
                <w:u w:val="none"/>
                <w:lang w:val="en-US" w:eastAsia="zh-CN" w:bidi="ar"/>
              </w:rPr>
              <w:t>～</w:t>
            </w:r>
            <w:r>
              <w:rPr>
                <w:rFonts w:hint="default" w:ascii="Times New Roman" w:hAnsi="Times New Roman" w:eastAsia="宋体" w:cs="Times New Roman"/>
                <w:b/>
                <w:bCs/>
                <w:i w:val="0"/>
                <w:iCs w:val="0"/>
                <w:color w:val="auto"/>
                <w:kern w:val="0"/>
                <w:sz w:val="20"/>
                <w:szCs w:val="20"/>
                <w:u w:val="none"/>
                <w:lang w:val="en-US" w:eastAsia="zh-CN" w:bidi="ar"/>
              </w:rPr>
              <w:t>1km)</w:t>
            </w:r>
          </w:p>
        </w:tc>
      </w:tr>
      <w:tr w14:paraId="75FC8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3965" w:type="pct"/>
            <w:gridSpan w:val="5"/>
            <w:shd w:val="clear" w:color="auto" w:fill="auto"/>
            <w:vAlign w:val="center"/>
          </w:tcPr>
          <w:p w14:paraId="5E9B9BA5">
            <w:pPr>
              <w:keepNext w:val="0"/>
              <w:keepLines w:val="0"/>
              <w:widowControl/>
              <w:suppressLineNumbers w:val="0"/>
              <w:jc w:val="left"/>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定额编号：</w:t>
            </w:r>
            <w:r>
              <w:rPr>
                <w:rFonts w:hint="default" w:ascii="Times New Roman" w:hAnsi="Times New Roman" w:eastAsia="宋体" w:cs="Times New Roman"/>
                <w:b/>
                <w:bCs/>
                <w:i w:val="0"/>
                <w:iCs w:val="0"/>
                <w:color w:val="auto"/>
                <w:kern w:val="0"/>
                <w:sz w:val="20"/>
                <w:szCs w:val="20"/>
                <w:u w:val="none"/>
                <w:lang w:val="en-US" w:eastAsia="zh-CN" w:bidi="ar"/>
              </w:rPr>
              <w:t xml:space="preserve">20343    </w:t>
            </w:r>
            <w:r>
              <w:rPr>
                <w:rFonts w:hint="eastAsia" w:ascii="宋体" w:hAnsi="宋体" w:eastAsia="宋体" w:cs="宋体"/>
                <w:b/>
                <w:bCs/>
                <w:i w:val="0"/>
                <w:iCs w:val="0"/>
                <w:color w:val="auto"/>
                <w:kern w:val="0"/>
                <w:sz w:val="20"/>
                <w:szCs w:val="20"/>
                <w:u w:val="none"/>
                <w:lang w:val="en-US" w:eastAsia="zh-CN" w:bidi="ar"/>
              </w:rPr>
              <w:t>工作内容：装、运、卸、空回</w:t>
            </w:r>
          </w:p>
        </w:tc>
        <w:tc>
          <w:tcPr>
            <w:tcW w:w="1034" w:type="pct"/>
            <w:shd w:val="clear" w:color="auto" w:fill="auto"/>
            <w:vAlign w:val="center"/>
          </w:tcPr>
          <w:p w14:paraId="3298EAE0">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单位：元</w:t>
            </w:r>
            <w:r>
              <w:rPr>
                <w:rFonts w:hint="default" w:ascii="Times New Roman" w:hAnsi="Times New Roman" w:eastAsia="宋体" w:cs="Times New Roman"/>
                <w:b/>
                <w:bCs/>
                <w:i w:val="0"/>
                <w:iCs w:val="0"/>
                <w:color w:val="auto"/>
                <w:kern w:val="0"/>
                <w:sz w:val="20"/>
                <w:szCs w:val="20"/>
                <w:u w:val="none"/>
                <w:lang w:val="en-US" w:eastAsia="zh-CN" w:bidi="ar"/>
              </w:rPr>
              <w:t>/100m</w:t>
            </w:r>
            <w:r>
              <w:rPr>
                <w:rFonts w:hint="default" w:ascii="Times New Roman" w:hAnsi="Times New Roman" w:eastAsia="宋体" w:cs="Times New Roman"/>
                <w:b/>
                <w:bCs/>
                <w:i w:val="0"/>
                <w:iCs w:val="0"/>
                <w:color w:val="auto"/>
                <w:kern w:val="0"/>
                <w:sz w:val="20"/>
                <w:szCs w:val="20"/>
                <w:u w:val="none"/>
                <w:vertAlign w:val="superscript"/>
                <w:lang w:val="en-US" w:eastAsia="zh-CN" w:bidi="ar"/>
              </w:rPr>
              <w:t>3</w:t>
            </w:r>
          </w:p>
        </w:tc>
      </w:tr>
      <w:tr w14:paraId="3DE4C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74F1FD9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序号</w:t>
            </w:r>
          </w:p>
        </w:tc>
        <w:tc>
          <w:tcPr>
            <w:tcW w:w="1169" w:type="pct"/>
            <w:shd w:val="clear" w:color="auto" w:fill="auto"/>
            <w:vAlign w:val="center"/>
          </w:tcPr>
          <w:p w14:paraId="716D163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项目名称</w:t>
            </w:r>
          </w:p>
        </w:tc>
        <w:tc>
          <w:tcPr>
            <w:tcW w:w="623" w:type="pct"/>
            <w:shd w:val="clear" w:color="auto" w:fill="auto"/>
            <w:vAlign w:val="center"/>
          </w:tcPr>
          <w:p w14:paraId="3079A04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单位</w:t>
            </w:r>
          </w:p>
        </w:tc>
        <w:tc>
          <w:tcPr>
            <w:tcW w:w="623" w:type="pct"/>
            <w:shd w:val="clear" w:color="auto" w:fill="auto"/>
            <w:vAlign w:val="center"/>
          </w:tcPr>
          <w:p w14:paraId="7DE9D41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数量</w:t>
            </w:r>
          </w:p>
        </w:tc>
        <w:tc>
          <w:tcPr>
            <w:tcW w:w="625" w:type="pct"/>
            <w:shd w:val="clear" w:color="auto" w:fill="auto"/>
            <w:vAlign w:val="center"/>
          </w:tcPr>
          <w:p w14:paraId="377BB5E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单价</w:t>
            </w:r>
          </w:p>
        </w:tc>
        <w:tc>
          <w:tcPr>
            <w:tcW w:w="1034" w:type="pct"/>
            <w:shd w:val="clear" w:color="auto" w:fill="auto"/>
            <w:vAlign w:val="center"/>
          </w:tcPr>
          <w:p w14:paraId="1ABBC7E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小计</w:t>
            </w:r>
          </w:p>
        </w:tc>
      </w:tr>
      <w:tr w14:paraId="2199E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2E1A6E0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一</w:t>
            </w:r>
          </w:p>
        </w:tc>
        <w:tc>
          <w:tcPr>
            <w:tcW w:w="1169" w:type="pct"/>
            <w:shd w:val="clear" w:color="auto" w:fill="auto"/>
            <w:vAlign w:val="center"/>
          </w:tcPr>
          <w:p w14:paraId="317E27E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直接费</w:t>
            </w:r>
          </w:p>
        </w:tc>
        <w:tc>
          <w:tcPr>
            <w:tcW w:w="623" w:type="pct"/>
            <w:shd w:val="clear" w:color="auto" w:fill="auto"/>
            <w:vAlign w:val="center"/>
          </w:tcPr>
          <w:p w14:paraId="24C270A8">
            <w:pPr>
              <w:jc w:val="center"/>
              <w:rPr>
                <w:rFonts w:hint="default" w:ascii="Times New Roman" w:hAnsi="Times New Roman" w:eastAsia="宋体" w:cs="Times New Roman"/>
                <w:i w:val="0"/>
                <w:iCs w:val="0"/>
                <w:color w:val="auto"/>
                <w:sz w:val="20"/>
                <w:szCs w:val="20"/>
                <w:u w:val="none"/>
              </w:rPr>
            </w:pPr>
          </w:p>
        </w:tc>
        <w:tc>
          <w:tcPr>
            <w:tcW w:w="623" w:type="pct"/>
            <w:shd w:val="clear" w:color="auto" w:fill="auto"/>
            <w:vAlign w:val="center"/>
          </w:tcPr>
          <w:p w14:paraId="2252240E">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vAlign w:val="center"/>
          </w:tcPr>
          <w:p w14:paraId="23151F69">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vAlign w:val="center"/>
          </w:tcPr>
          <w:p w14:paraId="1EA83AD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1982.28 </w:t>
            </w:r>
          </w:p>
        </w:tc>
      </w:tr>
      <w:tr w14:paraId="2E7E7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0E51CB0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（一）</w:t>
            </w:r>
          </w:p>
        </w:tc>
        <w:tc>
          <w:tcPr>
            <w:tcW w:w="1169" w:type="pct"/>
            <w:shd w:val="clear" w:color="auto" w:fill="auto"/>
            <w:vAlign w:val="center"/>
          </w:tcPr>
          <w:p w14:paraId="7FCABA7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直接工程费</w:t>
            </w:r>
          </w:p>
        </w:tc>
        <w:tc>
          <w:tcPr>
            <w:tcW w:w="623" w:type="pct"/>
            <w:shd w:val="clear" w:color="auto" w:fill="auto"/>
            <w:vAlign w:val="center"/>
          </w:tcPr>
          <w:p w14:paraId="09B40A3F">
            <w:pPr>
              <w:jc w:val="center"/>
              <w:rPr>
                <w:rFonts w:hint="default" w:ascii="Times New Roman" w:hAnsi="Times New Roman" w:eastAsia="宋体" w:cs="Times New Roman"/>
                <w:i w:val="0"/>
                <w:iCs w:val="0"/>
                <w:color w:val="auto"/>
                <w:sz w:val="20"/>
                <w:szCs w:val="20"/>
                <w:u w:val="none"/>
              </w:rPr>
            </w:pPr>
          </w:p>
        </w:tc>
        <w:tc>
          <w:tcPr>
            <w:tcW w:w="623" w:type="pct"/>
            <w:shd w:val="clear" w:color="auto" w:fill="auto"/>
            <w:vAlign w:val="center"/>
          </w:tcPr>
          <w:p w14:paraId="659536EB">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vAlign w:val="center"/>
          </w:tcPr>
          <w:p w14:paraId="052A1E22">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vAlign w:val="center"/>
          </w:tcPr>
          <w:p w14:paraId="2A0A5E4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1909.72 </w:t>
            </w:r>
          </w:p>
        </w:tc>
      </w:tr>
      <w:tr w14:paraId="7EB48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7958A0A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w:t>
            </w:r>
          </w:p>
        </w:tc>
        <w:tc>
          <w:tcPr>
            <w:tcW w:w="1169" w:type="pct"/>
            <w:shd w:val="clear" w:color="auto" w:fill="auto"/>
            <w:vAlign w:val="center"/>
          </w:tcPr>
          <w:p w14:paraId="32E9989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人工费</w:t>
            </w:r>
          </w:p>
        </w:tc>
        <w:tc>
          <w:tcPr>
            <w:tcW w:w="623" w:type="pct"/>
            <w:shd w:val="clear" w:color="auto" w:fill="auto"/>
            <w:vAlign w:val="center"/>
          </w:tcPr>
          <w:p w14:paraId="59FD23EB">
            <w:pPr>
              <w:jc w:val="center"/>
              <w:rPr>
                <w:rFonts w:hint="default" w:ascii="Times New Roman" w:hAnsi="Times New Roman" w:eastAsia="宋体" w:cs="Times New Roman"/>
                <w:i w:val="0"/>
                <w:iCs w:val="0"/>
                <w:color w:val="auto"/>
                <w:sz w:val="20"/>
                <w:szCs w:val="20"/>
                <w:u w:val="none"/>
              </w:rPr>
            </w:pPr>
          </w:p>
        </w:tc>
        <w:tc>
          <w:tcPr>
            <w:tcW w:w="623" w:type="pct"/>
            <w:shd w:val="clear" w:color="auto" w:fill="auto"/>
            <w:vAlign w:val="center"/>
          </w:tcPr>
          <w:p w14:paraId="0383E892">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vAlign w:val="center"/>
          </w:tcPr>
          <w:p w14:paraId="5B40CE25">
            <w:pPr>
              <w:jc w:val="center"/>
              <w:rPr>
                <w:rFonts w:hint="default" w:ascii="Times New Roman" w:hAnsi="Times New Roman" w:eastAsia="宋体" w:cs="Times New Roman"/>
                <w:i w:val="0"/>
                <w:iCs w:val="0"/>
                <w:color w:val="auto"/>
                <w:sz w:val="20"/>
                <w:szCs w:val="20"/>
                <w:u w:val="none"/>
              </w:rPr>
            </w:pPr>
          </w:p>
        </w:tc>
        <w:tc>
          <w:tcPr>
            <w:tcW w:w="1719" w:type="dxa"/>
            <w:shd w:val="clear" w:color="auto" w:fill="auto"/>
            <w:vAlign w:val="center"/>
          </w:tcPr>
          <w:p w14:paraId="26CAF63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lang w:val="en-US"/>
              </w:rPr>
            </w:pPr>
            <w:r>
              <w:rPr>
                <w:rFonts w:hint="eastAsia" w:cs="Times New Roman"/>
                <w:i w:val="0"/>
                <w:iCs w:val="0"/>
                <w:color w:val="auto"/>
                <w:kern w:val="0"/>
                <w:sz w:val="20"/>
                <w:szCs w:val="20"/>
                <w:u w:val="none"/>
                <w:lang w:val="en-US" w:eastAsia="zh-CN" w:bidi="ar"/>
              </w:rPr>
              <w:t>166.02</w:t>
            </w:r>
          </w:p>
        </w:tc>
      </w:tr>
      <w:tr w14:paraId="00459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50782E95">
            <w:pPr>
              <w:jc w:val="center"/>
              <w:rPr>
                <w:rFonts w:hint="default" w:ascii="Times New Roman" w:hAnsi="Times New Roman" w:eastAsia="宋体" w:cs="Times New Roman"/>
                <w:i w:val="0"/>
                <w:iCs w:val="0"/>
                <w:color w:val="auto"/>
                <w:sz w:val="20"/>
                <w:szCs w:val="20"/>
                <w:u w:val="none"/>
              </w:rPr>
            </w:pPr>
          </w:p>
        </w:tc>
        <w:tc>
          <w:tcPr>
            <w:tcW w:w="1169" w:type="pct"/>
            <w:shd w:val="clear" w:color="auto" w:fill="auto"/>
            <w:vAlign w:val="center"/>
          </w:tcPr>
          <w:p w14:paraId="37A1802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甲类工</w:t>
            </w:r>
          </w:p>
        </w:tc>
        <w:tc>
          <w:tcPr>
            <w:tcW w:w="623" w:type="pct"/>
            <w:shd w:val="clear" w:color="auto" w:fill="auto"/>
            <w:vAlign w:val="center"/>
          </w:tcPr>
          <w:p w14:paraId="7A032C1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工日</w:t>
            </w:r>
          </w:p>
        </w:tc>
        <w:tc>
          <w:tcPr>
            <w:tcW w:w="623" w:type="pct"/>
            <w:shd w:val="clear" w:color="auto" w:fill="auto"/>
            <w:vAlign w:val="center"/>
          </w:tcPr>
          <w:p w14:paraId="5C575E4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0.1</w:t>
            </w:r>
          </w:p>
        </w:tc>
        <w:tc>
          <w:tcPr>
            <w:tcW w:w="1039" w:type="dxa"/>
            <w:shd w:val="clear" w:color="auto" w:fill="auto"/>
            <w:vAlign w:val="center"/>
          </w:tcPr>
          <w:p w14:paraId="0982260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180.08 </w:t>
            </w:r>
          </w:p>
        </w:tc>
        <w:tc>
          <w:tcPr>
            <w:tcW w:w="1719" w:type="dxa"/>
            <w:shd w:val="clear" w:color="auto" w:fill="auto"/>
            <w:vAlign w:val="center"/>
          </w:tcPr>
          <w:p w14:paraId="613535A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lang w:val="en-US"/>
              </w:rPr>
            </w:pPr>
            <w:r>
              <w:rPr>
                <w:rFonts w:hint="eastAsia" w:cs="Times New Roman"/>
                <w:i w:val="0"/>
                <w:iCs w:val="0"/>
                <w:color w:val="auto"/>
                <w:kern w:val="0"/>
                <w:sz w:val="20"/>
                <w:szCs w:val="20"/>
                <w:u w:val="none"/>
                <w:lang w:val="en-US" w:eastAsia="zh-CN" w:bidi="ar"/>
              </w:rPr>
              <w:t>18.01</w:t>
            </w:r>
          </w:p>
        </w:tc>
      </w:tr>
      <w:tr w14:paraId="45259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4D608C8E">
            <w:pPr>
              <w:jc w:val="center"/>
              <w:rPr>
                <w:rFonts w:hint="default" w:ascii="Times New Roman" w:hAnsi="Times New Roman" w:eastAsia="宋体" w:cs="Times New Roman"/>
                <w:i w:val="0"/>
                <w:iCs w:val="0"/>
                <w:color w:val="auto"/>
                <w:sz w:val="20"/>
                <w:szCs w:val="20"/>
                <w:u w:val="none"/>
              </w:rPr>
            </w:pPr>
          </w:p>
        </w:tc>
        <w:tc>
          <w:tcPr>
            <w:tcW w:w="1169" w:type="pct"/>
            <w:shd w:val="clear" w:color="auto" w:fill="auto"/>
            <w:vAlign w:val="center"/>
          </w:tcPr>
          <w:p w14:paraId="6620B88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乙类工</w:t>
            </w:r>
          </w:p>
        </w:tc>
        <w:tc>
          <w:tcPr>
            <w:tcW w:w="623" w:type="pct"/>
            <w:shd w:val="clear" w:color="auto" w:fill="auto"/>
            <w:vAlign w:val="center"/>
          </w:tcPr>
          <w:p w14:paraId="4A650CD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工日</w:t>
            </w:r>
          </w:p>
        </w:tc>
        <w:tc>
          <w:tcPr>
            <w:tcW w:w="623" w:type="pct"/>
            <w:shd w:val="clear" w:color="auto" w:fill="auto"/>
            <w:vAlign w:val="center"/>
          </w:tcPr>
          <w:p w14:paraId="15B94DD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1.1</w:t>
            </w:r>
          </w:p>
        </w:tc>
        <w:tc>
          <w:tcPr>
            <w:tcW w:w="1039" w:type="dxa"/>
            <w:shd w:val="clear" w:color="auto" w:fill="auto"/>
            <w:vAlign w:val="center"/>
          </w:tcPr>
          <w:p w14:paraId="660AA55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cs="Times New Roman"/>
                <w:i w:val="0"/>
                <w:iCs w:val="0"/>
                <w:color w:val="auto"/>
                <w:kern w:val="0"/>
                <w:sz w:val="20"/>
                <w:szCs w:val="20"/>
                <w:u w:val="none"/>
                <w:lang w:val="en-US" w:eastAsia="zh-CN" w:bidi="ar"/>
              </w:rPr>
              <w:t>134.59</w:t>
            </w:r>
          </w:p>
        </w:tc>
        <w:tc>
          <w:tcPr>
            <w:tcW w:w="1719" w:type="dxa"/>
            <w:shd w:val="clear" w:color="auto" w:fill="auto"/>
            <w:vAlign w:val="center"/>
          </w:tcPr>
          <w:p w14:paraId="4682BD2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cs="Times New Roman"/>
                <w:i w:val="0"/>
                <w:iCs w:val="0"/>
                <w:color w:val="auto"/>
                <w:kern w:val="0"/>
                <w:sz w:val="20"/>
                <w:szCs w:val="20"/>
                <w:u w:val="none"/>
                <w:lang w:val="en-US" w:eastAsia="zh-CN" w:bidi="ar"/>
              </w:rPr>
              <w:t>148.01</w:t>
            </w:r>
          </w:p>
        </w:tc>
      </w:tr>
      <w:tr w14:paraId="56352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3B4EF16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w:t>
            </w:r>
          </w:p>
        </w:tc>
        <w:tc>
          <w:tcPr>
            <w:tcW w:w="1169" w:type="pct"/>
            <w:shd w:val="clear" w:color="auto" w:fill="auto"/>
            <w:vAlign w:val="center"/>
          </w:tcPr>
          <w:p w14:paraId="63E4901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材料费</w:t>
            </w:r>
          </w:p>
        </w:tc>
        <w:tc>
          <w:tcPr>
            <w:tcW w:w="623" w:type="pct"/>
            <w:shd w:val="clear" w:color="auto" w:fill="auto"/>
            <w:vAlign w:val="center"/>
          </w:tcPr>
          <w:p w14:paraId="27B406A0">
            <w:pPr>
              <w:jc w:val="center"/>
              <w:rPr>
                <w:rFonts w:hint="default" w:ascii="Times New Roman" w:hAnsi="Times New Roman" w:eastAsia="宋体" w:cs="Times New Roman"/>
                <w:i w:val="0"/>
                <w:iCs w:val="0"/>
                <w:color w:val="auto"/>
                <w:sz w:val="20"/>
                <w:szCs w:val="20"/>
                <w:u w:val="none"/>
              </w:rPr>
            </w:pPr>
          </w:p>
        </w:tc>
        <w:tc>
          <w:tcPr>
            <w:tcW w:w="623" w:type="pct"/>
            <w:shd w:val="clear" w:color="auto" w:fill="auto"/>
            <w:vAlign w:val="center"/>
          </w:tcPr>
          <w:p w14:paraId="3E8D9757">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vAlign w:val="center"/>
          </w:tcPr>
          <w:p w14:paraId="377EB547">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vAlign w:val="center"/>
          </w:tcPr>
          <w:p w14:paraId="0C076818">
            <w:pPr>
              <w:jc w:val="center"/>
              <w:rPr>
                <w:rFonts w:hint="default" w:ascii="Times New Roman" w:hAnsi="Times New Roman" w:eastAsia="宋体" w:cs="Times New Roman"/>
                <w:i w:val="0"/>
                <w:iCs w:val="0"/>
                <w:color w:val="auto"/>
                <w:sz w:val="20"/>
                <w:szCs w:val="20"/>
                <w:u w:val="none"/>
              </w:rPr>
            </w:pPr>
          </w:p>
        </w:tc>
      </w:tr>
      <w:tr w14:paraId="24D2D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708F740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w:t>
            </w:r>
          </w:p>
        </w:tc>
        <w:tc>
          <w:tcPr>
            <w:tcW w:w="1169" w:type="pct"/>
            <w:shd w:val="clear" w:color="auto" w:fill="auto"/>
            <w:vAlign w:val="center"/>
          </w:tcPr>
          <w:p w14:paraId="02D01EF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机械费</w:t>
            </w:r>
          </w:p>
        </w:tc>
        <w:tc>
          <w:tcPr>
            <w:tcW w:w="623" w:type="pct"/>
            <w:shd w:val="clear" w:color="auto" w:fill="auto"/>
            <w:vAlign w:val="center"/>
          </w:tcPr>
          <w:p w14:paraId="55DDC226">
            <w:pPr>
              <w:jc w:val="center"/>
              <w:rPr>
                <w:rFonts w:hint="default" w:ascii="Times New Roman" w:hAnsi="Times New Roman" w:eastAsia="宋体" w:cs="Times New Roman"/>
                <w:i w:val="0"/>
                <w:iCs w:val="0"/>
                <w:color w:val="auto"/>
                <w:sz w:val="20"/>
                <w:szCs w:val="20"/>
                <w:u w:val="none"/>
              </w:rPr>
            </w:pPr>
          </w:p>
        </w:tc>
        <w:tc>
          <w:tcPr>
            <w:tcW w:w="623" w:type="pct"/>
            <w:shd w:val="clear" w:color="auto" w:fill="auto"/>
            <w:vAlign w:val="center"/>
          </w:tcPr>
          <w:p w14:paraId="4E284D46">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vAlign w:val="center"/>
          </w:tcPr>
          <w:p w14:paraId="5BF4D8D4">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vAlign w:val="center"/>
          </w:tcPr>
          <w:p w14:paraId="3238BFD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1670.52 </w:t>
            </w:r>
          </w:p>
        </w:tc>
      </w:tr>
      <w:tr w14:paraId="40E21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noWrap/>
            <w:vAlign w:val="center"/>
          </w:tcPr>
          <w:p w14:paraId="29857D9A">
            <w:pPr>
              <w:jc w:val="center"/>
              <w:rPr>
                <w:rFonts w:hint="default" w:ascii="Times New Roman" w:hAnsi="Times New Roman" w:eastAsia="宋体" w:cs="Times New Roman"/>
                <w:i w:val="0"/>
                <w:iCs w:val="0"/>
                <w:color w:val="auto"/>
                <w:sz w:val="20"/>
                <w:szCs w:val="20"/>
                <w:u w:val="none"/>
              </w:rPr>
            </w:pPr>
          </w:p>
        </w:tc>
        <w:tc>
          <w:tcPr>
            <w:tcW w:w="1169" w:type="pct"/>
            <w:shd w:val="clear" w:color="auto" w:fill="auto"/>
            <w:noWrap/>
            <w:vAlign w:val="center"/>
          </w:tcPr>
          <w:p w14:paraId="337EF13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装载机</w:t>
            </w:r>
            <w:r>
              <w:rPr>
                <w:rFonts w:hint="default" w:ascii="Times New Roman" w:hAnsi="Times New Roman" w:eastAsia="宋体" w:cs="Times New Roman"/>
                <w:i w:val="0"/>
                <w:iCs w:val="0"/>
                <w:color w:val="auto"/>
                <w:kern w:val="0"/>
                <w:sz w:val="20"/>
                <w:szCs w:val="20"/>
                <w:u w:val="none"/>
                <w:lang w:val="en-US" w:eastAsia="zh-CN" w:bidi="ar"/>
              </w:rPr>
              <w:t xml:space="preserve"> 2m</w:t>
            </w:r>
            <w:r>
              <w:rPr>
                <w:rFonts w:hint="default" w:ascii="Times New Roman" w:hAnsi="Times New Roman" w:eastAsia="宋体" w:cs="Times New Roman"/>
                <w:i w:val="0"/>
                <w:iCs w:val="0"/>
                <w:color w:val="auto"/>
                <w:kern w:val="0"/>
                <w:sz w:val="20"/>
                <w:szCs w:val="20"/>
                <w:u w:val="none"/>
                <w:vertAlign w:val="superscript"/>
                <w:lang w:val="en-US" w:eastAsia="zh-CN" w:bidi="ar"/>
              </w:rPr>
              <w:t>3</w:t>
            </w:r>
          </w:p>
        </w:tc>
        <w:tc>
          <w:tcPr>
            <w:tcW w:w="623" w:type="pct"/>
            <w:shd w:val="clear" w:color="auto" w:fill="auto"/>
            <w:noWrap/>
            <w:vAlign w:val="center"/>
          </w:tcPr>
          <w:p w14:paraId="4B3A334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台班</w:t>
            </w:r>
          </w:p>
        </w:tc>
        <w:tc>
          <w:tcPr>
            <w:tcW w:w="623" w:type="pct"/>
            <w:shd w:val="clear" w:color="auto" w:fill="auto"/>
            <w:noWrap/>
            <w:vAlign w:val="center"/>
          </w:tcPr>
          <w:p w14:paraId="59CCA33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0.48</w:t>
            </w:r>
          </w:p>
        </w:tc>
        <w:tc>
          <w:tcPr>
            <w:tcW w:w="625" w:type="pct"/>
            <w:shd w:val="clear" w:color="auto" w:fill="auto"/>
            <w:noWrap/>
            <w:vAlign w:val="center"/>
          </w:tcPr>
          <w:p w14:paraId="4BEF97D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914.68 </w:t>
            </w:r>
          </w:p>
        </w:tc>
        <w:tc>
          <w:tcPr>
            <w:tcW w:w="1034" w:type="pct"/>
            <w:shd w:val="clear" w:color="auto" w:fill="auto"/>
            <w:noWrap/>
            <w:vAlign w:val="center"/>
          </w:tcPr>
          <w:p w14:paraId="0539EBA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439.05 </w:t>
            </w:r>
          </w:p>
        </w:tc>
      </w:tr>
      <w:tr w14:paraId="7117A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noWrap/>
            <w:vAlign w:val="center"/>
          </w:tcPr>
          <w:p w14:paraId="148CCE47">
            <w:pPr>
              <w:jc w:val="center"/>
              <w:rPr>
                <w:rFonts w:hint="default" w:ascii="Times New Roman" w:hAnsi="Times New Roman" w:eastAsia="宋体" w:cs="Times New Roman"/>
                <w:i w:val="0"/>
                <w:iCs w:val="0"/>
                <w:color w:val="auto"/>
                <w:sz w:val="20"/>
                <w:szCs w:val="20"/>
                <w:u w:val="none"/>
              </w:rPr>
            </w:pPr>
          </w:p>
        </w:tc>
        <w:tc>
          <w:tcPr>
            <w:tcW w:w="1169" w:type="pct"/>
            <w:shd w:val="clear" w:color="auto" w:fill="auto"/>
            <w:noWrap/>
            <w:vAlign w:val="center"/>
          </w:tcPr>
          <w:p w14:paraId="5D17762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推土机</w:t>
            </w:r>
            <w:r>
              <w:rPr>
                <w:rFonts w:hint="default" w:ascii="Times New Roman" w:hAnsi="Times New Roman" w:eastAsia="宋体" w:cs="Times New Roman"/>
                <w:i w:val="0"/>
                <w:iCs w:val="0"/>
                <w:color w:val="auto"/>
                <w:kern w:val="0"/>
                <w:sz w:val="20"/>
                <w:szCs w:val="20"/>
                <w:u w:val="none"/>
                <w:lang w:val="en-US" w:eastAsia="zh-CN" w:bidi="ar"/>
              </w:rPr>
              <w:t>74kw</w:t>
            </w:r>
          </w:p>
        </w:tc>
        <w:tc>
          <w:tcPr>
            <w:tcW w:w="623" w:type="pct"/>
            <w:shd w:val="clear" w:color="auto" w:fill="auto"/>
            <w:noWrap/>
            <w:vAlign w:val="center"/>
          </w:tcPr>
          <w:p w14:paraId="4A692E9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台班</w:t>
            </w:r>
          </w:p>
        </w:tc>
        <w:tc>
          <w:tcPr>
            <w:tcW w:w="623" w:type="pct"/>
            <w:shd w:val="clear" w:color="auto" w:fill="auto"/>
            <w:noWrap/>
            <w:vAlign w:val="center"/>
          </w:tcPr>
          <w:p w14:paraId="6E4CCA3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0.22</w:t>
            </w:r>
          </w:p>
        </w:tc>
        <w:tc>
          <w:tcPr>
            <w:tcW w:w="625" w:type="pct"/>
            <w:shd w:val="clear" w:color="auto" w:fill="auto"/>
            <w:noWrap/>
            <w:vAlign w:val="center"/>
          </w:tcPr>
          <w:p w14:paraId="1744380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643.29 </w:t>
            </w:r>
          </w:p>
        </w:tc>
        <w:tc>
          <w:tcPr>
            <w:tcW w:w="1034" w:type="pct"/>
            <w:shd w:val="clear" w:color="auto" w:fill="auto"/>
            <w:noWrap/>
            <w:vAlign w:val="center"/>
          </w:tcPr>
          <w:p w14:paraId="25A8343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141.52 </w:t>
            </w:r>
          </w:p>
        </w:tc>
      </w:tr>
      <w:tr w14:paraId="103AC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noWrap/>
            <w:vAlign w:val="center"/>
          </w:tcPr>
          <w:p w14:paraId="0DCACFDF">
            <w:pPr>
              <w:jc w:val="center"/>
              <w:rPr>
                <w:rFonts w:hint="default" w:ascii="Times New Roman" w:hAnsi="Times New Roman" w:eastAsia="宋体" w:cs="Times New Roman"/>
                <w:i w:val="0"/>
                <w:iCs w:val="0"/>
                <w:color w:val="auto"/>
                <w:sz w:val="20"/>
                <w:szCs w:val="20"/>
                <w:u w:val="none"/>
              </w:rPr>
            </w:pPr>
          </w:p>
        </w:tc>
        <w:tc>
          <w:tcPr>
            <w:tcW w:w="1169" w:type="pct"/>
            <w:shd w:val="clear" w:color="auto" w:fill="auto"/>
            <w:noWrap/>
            <w:vAlign w:val="center"/>
          </w:tcPr>
          <w:p w14:paraId="7DF92B8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自卸汽车</w:t>
            </w:r>
            <w:r>
              <w:rPr>
                <w:rFonts w:hint="default" w:ascii="Times New Roman" w:hAnsi="Times New Roman" w:eastAsia="宋体" w:cs="Times New Roman"/>
                <w:i w:val="0"/>
                <w:iCs w:val="0"/>
                <w:color w:val="auto"/>
                <w:kern w:val="0"/>
                <w:sz w:val="20"/>
                <w:szCs w:val="20"/>
                <w:u w:val="none"/>
                <w:lang w:val="en-US" w:eastAsia="zh-CN" w:bidi="ar"/>
              </w:rPr>
              <w:t>18t</w:t>
            </w:r>
          </w:p>
        </w:tc>
        <w:tc>
          <w:tcPr>
            <w:tcW w:w="623" w:type="pct"/>
            <w:shd w:val="clear" w:color="auto" w:fill="auto"/>
            <w:noWrap/>
            <w:vAlign w:val="center"/>
          </w:tcPr>
          <w:p w14:paraId="72CF9F7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台班</w:t>
            </w:r>
          </w:p>
        </w:tc>
        <w:tc>
          <w:tcPr>
            <w:tcW w:w="623" w:type="pct"/>
            <w:shd w:val="clear" w:color="auto" w:fill="auto"/>
            <w:noWrap/>
            <w:vAlign w:val="center"/>
          </w:tcPr>
          <w:p w14:paraId="4929706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1.16</w:t>
            </w:r>
          </w:p>
        </w:tc>
        <w:tc>
          <w:tcPr>
            <w:tcW w:w="625" w:type="pct"/>
            <w:shd w:val="clear" w:color="auto" w:fill="auto"/>
            <w:noWrap/>
            <w:vAlign w:val="center"/>
          </w:tcPr>
          <w:p w14:paraId="6ECBBB7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939.61 </w:t>
            </w:r>
          </w:p>
        </w:tc>
        <w:tc>
          <w:tcPr>
            <w:tcW w:w="1034" w:type="pct"/>
            <w:shd w:val="clear" w:color="auto" w:fill="auto"/>
            <w:noWrap/>
            <w:vAlign w:val="center"/>
          </w:tcPr>
          <w:p w14:paraId="3E4BB69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1089.95 </w:t>
            </w:r>
          </w:p>
        </w:tc>
      </w:tr>
      <w:tr w14:paraId="7960E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37482E6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w:t>
            </w:r>
          </w:p>
        </w:tc>
        <w:tc>
          <w:tcPr>
            <w:tcW w:w="1169" w:type="pct"/>
            <w:shd w:val="clear" w:color="auto" w:fill="auto"/>
            <w:vAlign w:val="center"/>
          </w:tcPr>
          <w:p w14:paraId="74C1345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其它费用</w:t>
            </w:r>
          </w:p>
        </w:tc>
        <w:tc>
          <w:tcPr>
            <w:tcW w:w="623" w:type="pct"/>
            <w:shd w:val="clear" w:color="auto" w:fill="auto"/>
            <w:vAlign w:val="center"/>
          </w:tcPr>
          <w:p w14:paraId="2F0D910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w:t>
            </w:r>
          </w:p>
        </w:tc>
        <w:tc>
          <w:tcPr>
            <w:tcW w:w="623" w:type="pct"/>
            <w:shd w:val="clear" w:color="auto" w:fill="auto"/>
            <w:vAlign w:val="center"/>
          </w:tcPr>
          <w:p w14:paraId="435404A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2.2</w:t>
            </w:r>
          </w:p>
        </w:tc>
        <w:tc>
          <w:tcPr>
            <w:tcW w:w="625" w:type="pct"/>
            <w:shd w:val="clear" w:color="auto" w:fill="auto"/>
            <w:vAlign w:val="center"/>
          </w:tcPr>
          <w:p w14:paraId="5F774F6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1868.61 </w:t>
            </w:r>
          </w:p>
        </w:tc>
        <w:tc>
          <w:tcPr>
            <w:tcW w:w="1034" w:type="pct"/>
            <w:shd w:val="clear" w:color="auto" w:fill="auto"/>
            <w:vAlign w:val="center"/>
          </w:tcPr>
          <w:p w14:paraId="6B56C7C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41.11 </w:t>
            </w:r>
          </w:p>
        </w:tc>
      </w:tr>
      <w:tr w14:paraId="19D52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0C2929B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（二）</w:t>
            </w:r>
          </w:p>
        </w:tc>
        <w:tc>
          <w:tcPr>
            <w:tcW w:w="1169" w:type="pct"/>
            <w:shd w:val="clear" w:color="auto" w:fill="auto"/>
            <w:vAlign w:val="center"/>
          </w:tcPr>
          <w:p w14:paraId="0942179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措施费</w:t>
            </w:r>
          </w:p>
        </w:tc>
        <w:tc>
          <w:tcPr>
            <w:tcW w:w="623" w:type="pct"/>
            <w:shd w:val="clear" w:color="auto" w:fill="auto"/>
            <w:vAlign w:val="center"/>
          </w:tcPr>
          <w:p w14:paraId="67DD7F2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w:t>
            </w:r>
          </w:p>
        </w:tc>
        <w:tc>
          <w:tcPr>
            <w:tcW w:w="623" w:type="pct"/>
            <w:shd w:val="clear" w:color="auto" w:fill="auto"/>
            <w:vAlign w:val="center"/>
          </w:tcPr>
          <w:p w14:paraId="428FE12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3.8</w:t>
            </w:r>
          </w:p>
        </w:tc>
        <w:tc>
          <w:tcPr>
            <w:tcW w:w="625" w:type="pct"/>
            <w:shd w:val="clear" w:color="auto" w:fill="auto"/>
            <w:vAlign w:val="center"/>
          </w:tcPr>
          <w:p w14:paraId="7F5F320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1909.72 </w:t>
            </w:r>
          </w:p>
        </w:tc>
        <w:tc>
          <w:tcPr>
            <w:tcW w:w="1034" w:type="pct"/>
            <w:shd w:val="clear" w:color="auto" w:fill="auto"/>
            <w:vAlign w:val="center"/>
          </w:tcPr>
          <w:p w14:paraId="3F3F696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72.57 </w:t>
            </w:r>
          </w:p>
        </w:tc>
      </w:tr>
      <w:tr w14:paraId="13CDF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7932D3B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二</w:t>
            </w:r>
          </w:p>
        </w:tc>
        <w:tc>
          <w:tcPr>
            <w:tcW w:w="1169" w:type="pct"/>
            <w:shd w:val="clear" w:color="auto" w:fill="auto"/>
            <w:vAlign w:val="center"/>
          </w:tcPr>
          <w:p w14:paraId="4467089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间接费</w:t>
            </w:r>
          </w:p>
        </w:tc>
        <w:tc>
          <w:tcPr>
            <w:tcW w:w="623" w:type="pct"/>
            <w:shd w:val="clear" w:color="auto" w:fill="auto"/>
            <w:vAlign w:val="center"/>
          </w:tcPr>
          <w:p w14:paraId="6C23048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w:t>
            </w:r>
          </w:p>
        </w:tc>
        <w:tc>
          <w:tcPr>
            <w:tcW w:w="623" w:type="pct"/>
            <w:shd w:val="clear" w:color="auto" w:fill="auto"/>
            <w:vAlign w:val="center"/>
          </w:tcPr>
          <w:p w14:paraId="770D6C5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6</w:t>
            </w:r>
          </w:p>
        </w:tc>
        <w:tc>
          <w:tcPr>
            <w:tcW w:w="625" w:type="pct"/>
            <w:shd w:val="clear" w:color="auto" w:fill="auto"/>
            <w:vAlign w:val="center"/>
          </w:tcPr>
          <w:p w14:paraId="6817EAC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1982.28 </w:t>
            </w:r>
          </w:p>
        </w:tc>
        <w:tc>
          <w:tcPr>
            <w:tcW w:w="1034" w:type="pct"/>
            <w:shd w:val="clear" w:color="auto" w:fill="auto"/>
            <w:vAlign w:val="center"/>
          </w:tcPr>
          <w:p w14:paraId="4739D29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118.94 </w:t>
            </w:r>
          </w:p>
        </w:tc>
      </w:tr>
      <w:tr w14:paraId="40DC4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28CB896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三</w:t>
            </w:r>
          </w:p>
        </w:tc>
        <w:tc>
          <w:tcPr>
            <w:tcW w:w="1169" w:type="pct"/>
            <w:shd w:val="clear" w:color="auto" w:fill="auto"/>
            <w:vAlign w:val="center"/>
          </w:tcPr>
          <w:p w14:paraId="72C01FB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利润</w:t>
            </w:r>
          </w:p>
        </w:tc>
        <w:tc>
          <w:tcPr>
            <w:tcW w:w="623" w:type="pct"/>
            <w:shd w:val="clear" w:color="auto" w:fill="auto"/>
            <w:vAlign w:val="center"/>
          </w:tcPr>
          <w:p w14:paraId="7BFF30E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w:t>
            </w:r>
          </w:p>
        </w:tc>
        <w:tc>
          <w:tcPr>
            <w:tcW w:w="623" w:type="pct"/>
            <w:shd w:val="clear" w:color="auto" w:fill="auto"/>
            <w:vAlign w:val="center"/>
          </w:tcPr>
          <w:p w14:paraId="2438CEA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w:t>
            </w:r>
          </w:p>
        </w:tc>
        <w:tc>
          <w:tcPr>
            <w:tcW w:w="625" w:type="pct"/>
            <w:shd w:val="clear" w:color="auto" w:fill="auto"/>
            <w:vAlign w:val="center"/>
          </w:tcPr>
          <w:p w14:paraId="4BDA96E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2101.22 </w:t>
            </w:r>
          </w:p>
        </w:tc>
        <w:tc>
          <w:tcPr>
            <w:tcW w:w="1034" w:type="pct"/>
            <w:shd w:val="clear" w:color="auto" w:fill="auto"/>
            <w:vAlign w:val="center"/>
          </w:tcPr>
          <w:p w14:paraId="3E67E7B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63.04 </w:t>
            </w:r>
          </w:p>
        </w:tc>
      </w:tr>
      <w:tr w14:paraId="09694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noWrap/>
            <w:vAlign w:val="center"/>
          </w:tcPr>
          <w:p w14:paraId="7326D60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四</w:t>
            </w:r>
          </w:p>
        </w:tc>
        <w:tc>
          <w:tcPr>
            <w:tcW w:w="1169" w:type="pct"/>
            <w:shd w:val="clear" w:color="auto" w:fill="auto"/>
            <w:noWrap/>
            <w:vAlign w:val="center"/>
          </w:tcPr>
          <w:p w14:paraId="07A8F35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材料价差</w:t>
            </w:r>
          </w:p>
        </w:tc>
        <w:tc>
          <w:tcPr>
            <w:tcW w:w="623" w:type="pct"/>
            <w:shd w:val="clear" w:color="auto" w:fill="auto"/>
            <w:noWrap/>
            <w:vAlign w:val="center"/>
          </w:tcPr>
          <w:p w14:paraId="574CA7CE">
            <w:pPr>
              <w:jc w:val="center"/>
              <w:rPr>
                <w:rFonts w:hint="default" w:ascii="Times New Roman" w:hAnsi="Times New Roman" w:eastAsia="宋体" w:cs="Times New Roman"/>
                <w:i w:val="0"/>
                <w:iCs w:val="0"/>
                <w:color w:val="auto"/>
                <w:sz w:val="20"/>
                <w:szCs w:val="20"/>
                <w:u w:val="none"/>
              </w:rPr>
            </w:pPr>
          </w:p>
        </w:tc>
        <w:tc>
          <w:tcPr>
            <w:tcW w:w="623" w:type="pct"/>
            <w:shd w:val="clear" w:color="auto" w:fill="auto"/>
            <w:noWrap/>
            <w:vAlign w:val="center"/>
          </w:tcPr>
          <w:p w14:paraId="752B723E">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noWrap/>
            <w:vAlign w:val="center"/>
          </w:tcPr>
          <w:p w14:paraId="0F595039">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noWrap/>
            <w:vAlign w:val="center"/>
          </w:tcPr>
          <w:p w14:paraId="37CDA06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316.97 </w:t>
            </w:r>
          </w:p>
        </w:tc>
      </w:tr>
      <w:tr w14:paraId="2EB3B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noWrap/>
            <w:vAlign w:val="center"/>
          </w:tcPr>
          <w:p w14:paraId="7F073A23">
            <w:pPr>
              <w:jc w:val="center"/>
              <w:rPr>
                <w:rFonts w:hint="default" w:ascii="Times New Roman" w:hAnsi="Times New Roman" w:eastAsia="宋体" w:cs="Times New Roman"/>
                <w:i w:val="0"/>
                <w:iCs w:val="0"/>
                <w:color w:val="auto"/>
                <w:sz w:val="20"/>
                <w:szCs w:val="20"/>
                <w:u w:val="none"/>
              </w:rPr>
            </w:pPr>
          </w:p>
        </w:tc>
        <w:tc>
          <w:tcPr>
            <w:tcW w:w="1169" w:type="pct"/>
            <w:shd w:val="clear" w:color="auto" w:fill="auto"/>
            <w:vAlign w:val="center"/>
          </w:tcPr>
          <w:p w14:paraId="305E7E5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柴油</w:t>
            </w:r>
          </w:p>
        </w:tc>
        <w:tc>
          <w:tcPr>
            <w:tcW w:w="623" w:type="pct"/>
            <w:shd w:val="clear" w:color="auto" w:fill="auto"/>
            <w:vAlign w:val="center"/>
          </w:tcPr>
          <w:p w14:paraId="671B0A7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kg</w:t>
            </w:r>
          </w:p>
        </w:tc>
        <w:tc>
          <w:tcPr>
            <w:tcW w:w="623" w:type="pct"/>
            <w:shd w:val="clear" w:color="auto" w:fill="auto"/>
            <w:vAlign w:val="center"/>
          </w:tcPr>
          <w:p w14:paraId="11CA0C4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137.62</w:t>
            </w:r>
          </w:p>
        </w:tc>
        <w:tc>
          <w:tcPr>
            <w:tcW w:w="625" w:type="pct"/>
            <w:shd w:val="clear" w:color="auto" w:fill="auto"/>
            <w:vAlign w:val="center"/>
          </w:tcPr>
          <w:p w14:paraId="6AA7DAE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4.07 </w:t>
            </w:r>
          </w:p>
        </w:tc>
        <w:tc>
          <w:tcPr>
            <w:tcW w:w="1034" w:type="pct"/>
            <w:shd w:val="clear" w:color="auto" w:fill="auto"/>
            <w:vAlign w:val="center"/>
          </w:tcPr>
          <w:p w14:paraId="5DC9535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560.11 </w:t>
            </w:r>
          </w:p>
        </w:tc>
      </w:tr>
      <w:tr w14:paraId="3E468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4E05BE2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五</w:t>
            </w:r>
          </w:p>
        </w:tc>
        <w:tc>
          <w:tcPr>
            <w:tcW w:w="1169" w:type="pct"/>
            <w:shd w:val="clear" w:color="auto" w:fill="auto"/>
            <w:vAlign w:val="center"/>
          </w:tcPr>
          <w:p w14:paraId="62F979E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税金</w:t>
            </w:r>
          </w:p>
        </w:tc>
        <w:tc>
          <w:tcPr>
            <w:tcW w:w="623" w:type="pct"/>
            <w:shd w:val="clear" w:color="auto" w:fill="auto"/>
            <w:vAlign w:val="center"/>
          </w:tcPr>
          <w:p w14:paraId="1BC2DC2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w:t>
            </w:r>
          </w:p>
        </w:tc>
        <w:tc>
          <w:tcPr>
            <w:tcW w:w="623" w:type="pct"/>
            <w:shd w:val="clear" w:color="auto" w:fill="auto"/>
            <w:vAlign w:val="center"/>
          </w:tcPr>
          <w:p w14:paraId="68BAEA9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9</w:t>
            </w:r>
          </w:p>
        </w:tc>
        <w:tc>
          <w:tcPr>
            <w:tcW w:w="625" w:type="pct"/>
            <w:shd w:val="clear" w:color="auto" w:fill="auto"/>
            <w:vAlign w:val="center"/>
          </w:tcPr>
          <w:p w14:paraId="420D7CD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2481.23 </w:t>
            </w:r>
          </w:p>
        </w:tc>
        <w:tc>
          <w:tcPr>
            <w:tcW w:w="1034" w:type="pct"/>
            <w:shd w:val="clear" w:color="auto" w:fill="auto"/>
            <w:vAlign w:val="center"/>
          </w:tcPr>
          <w:p w14:paraId="330DB0F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223.31 </w:t>
            </w:r>
          </w:p>
        </w:tc>
      </w:tr>
      <w:tr w14:paraId="2C33D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2716" w:type="pct"/>
            <w:gridSpan w:val="3"/>
            <w:shd w:val="clear" w:color="auto" w:fill="auto"/>
            <w:vAlign w:val="center"/>
          </w:tcPr>
          <w:p w14:paraId="5958BFB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合计</w:t>
            </w:r>
          </w:p>
        </w:tc>
        <w:tc>
          <w:tcPr>
            <w:tcW w:w="623" w:type="pct"/>
            <w:shd w:val="clear" w:color="auto" w:fill="auto"/>
            <w:vAlign w:val="center"/>
          </w:tcPr>
          <w:p w14:paraId="0E44BE7B">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vAlign w:val="center"/>
          </w:tcPr>
          <w:p w14:paraId="162F32A1">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vAlign w:val="center"/>
          </w:tcPr>
          <w:p w14:paraId="5301FBC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 xml:space="preserve">2704.54 </w:t>
            </w:r>
          </w:p>
        </w:tc>
      </w:tr>
    </w:tbl>
    <w:p w14:paraId="209296B8">
      <w:pPr>
        <w:pStyle w:val="33"/>
        <w:rPr>
          <w:b/>
          <w:bCs/>
          <w:color w:val="auto"/>
          <w:sz w:val="28"/>
          <w:szCs w:val="28"/>
        </w:rPr>
      </w:pPr>
    </w:p>
    <w:p w14:paraId="369D787D">
      <w:pPr>
        <w:pStyle w:val="33"/>
        <w:rPr>
          <w:b/>
          <w:bCs/>
          <w:color w:val="auto"/>
          <w:sz w:val="28"/>
          <w:szCs w:val="28"/>
        </w:rPr>
      </w:pP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531"/>
        <w:gridCol w:w="1941"/>
        <w:gridCol w:w="1038"/>
        <w:gridCol w:w="1034"/>
        <w:gridCol w:w="1039"/>
        <w:gridCol w:w="1719"/>
      </w:tblGrid>
      <w:tr w14:paraId="4B068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trPr>
        <w:tc>
          <w:tcPr>
            <w:tcW w:w="5000" w:type="pct"/>
            <w:gridSpan w:val="6"/>
            <w:shd w:val="clear" w:color="auto" w:fill="auto"/>
            <w:vAlign w:val="center"/>
          </w:tcPr>
          <w:p w14:paraId="73746412">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挖掘机砌体拆除</w:t>
            </w:r>
          </w:p>
        </w:tc>
      </w:tr>
      <w:tr w14:paraId="2193E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3965" w:type="pct"/>
            <w:gridSpan w:val="5"/>
            <w:shd w:val="clear" w:color="auto" w:fill="auto"/>
            <w:vAlign w:val="center"/>
          </w:tcPr>
          <w:p w14:paraId="0D6BEF69">
            <w:pPr>
              <w:keepNext w:val="0"/>
              <w:keepLines w:val="0"/>
              <w:widowControl/>
              <w:suppressLineNumbers w:val="0"/>
              <w:jc w:val="left"/>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定额编号：</w:t>
            </w:r>
            <w:r>
              <w:rPr>
                <w:rFonts w:hint="default" w:ascii="Times New Roman" w:hAnsi="Times New Roman" w:eastAsia="宋体" w:cs="Times New Roman"/>
                <w:b/>
                <w:bCs/>
                <w:i w:val="0"/>
                <w:iCs w:val="0"/>
                <w:color w:val="auto"/>
                <w:kern w:val="0"/>
                <w:sz w:val="20"/>
                <w:szCs w:val="20"/>
                <w:u w:val="none"/>
                <w:lang w:val="en-US" w:eastAsia="zh-CN" w:bidi="ar"/>
              </w:rPr>
              <w:t>30039</w:t>
            </w:r>
          </w:p>
        </w:tc>
        <w:tc>
          <w:tcPr>
            <w:tcW w:w="1034" w:type="pct"/>
            <w:vMerge w:val="restart"/>
            <w:shd w:val="clear" w:color="auto" w:fill="auto"/>
            <w:vAlign w:val="center"/>
          </w:tcPr>
          <w:p w14:paraId="114AE835">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单位：元</w:t>
            </w:r>
            <w:r>
              <w:rPr>
                <w:rFonts w:hint="default" w:ascii="Times New Roman" w:hAnsi="Times New Roman" w:eastAsia="宋体" w:cs="Times New Roman"/>
                <w:b/>
                <w:bCs/>
                <w:i w:val="0"/>
                <w:iCs w:val="0"/>
                <w:color w:val="auto"/>
                <w:kern w:val="0"/>
                <w:sz w:val="20"/>
                <w:szCs w:val="20"/>
                <w:u w:val="none"/>
                <w:lang w:val="en-US" w:eastAsia="zh-CN" w:bidi="ar"/>
              </w:rPr>
              <w:t>/100m</w:t>
            </w:r>
            <w:r>
              <w:rPr>
                <w:rFonts w:hint="default" w:ascii="Times New Roman" w:hAnsi="Times New Roman" w:eastAsia="宋体" w:cs="Times New Roman"/>
                <w:b/>
                <w:bCs/>
                <w:i w:val="0"/>
                <w:iCs w:val="0"/>
                <w:color w:val="auto"/>
                <w:kern w:val="0"/>
                <w:sz w:val="20"/>
                <w:szCs w:val="20"/>
                <w:u w:val="none"/>
                <w:vertAlign w:val="superscript"/>
                <w:lang w:val="en-US" w:eastAsia="zh-CN" w:bidi="ar"/>
              </w:rPr>
              <w:t>3</w:t>
            </w:r>
          </w:p>
        </w:tc>
      </w:tr>
      <w:tr w14:paraId="1E6C9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3965" w:type="pct"/>
            <w:gridSpan w:val="5"/>
            <w:shd w:val="clear" w:color="auto" w:fill="auto"/>
            <w:vAlign w:val="center"/>
          </w:tcPr>
          <w:p w14:paraId="2000B04B">
            <w:pPr>
              <w:keepNext w:val="0"/>
              <w:keepLines w:val="0"/>
              <w:widowControl/>
              <w:suppressLineNumbers w:val="0"/>
              <w:jc w:val="left"/>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工作内容：拆除、清理、堆放</w:t>
            </w:r>
          </w:p>
        </w:tc>
        <w:tc>
          <w:tcPr>
            <w:tcW w:w="1034" w:type="pct"/>
            <w:vMerge w:val="continue"/>
            <w:shd w:val="clear" w:color="auto" w:fill="auto"/>
            <w:vAlign w:val="center"/>
          </w:tcPr>
          <w:p w14:paraId="6A99CE8A">
            <w:pPr>
              <w:jc w:val="center"/>
              <w:rPr>
                <w:rFonts w:hint="eastAsia" w:ascii="宋体" w:hAnsi="宋体" w:eastAsia="宋体" w:cs="宋体"/>
                <w:b/>
                <w:bCs/>
                <w:i w:val="0"/>
                <w:iCs w:val="0"/>
                <w:color w:val="auto"/>
                <w:sz w:val="20"/>
                <w:szCs w:val="20"/>
                <w:u w:val="none"/>
              </w:rPr>
            </w:pPr>
          </w:p>
        </w:tc>
      </w:tr>
      <w:tr w14:paraId="41BA3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4817FF3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序号</w:t>
            </w:r>
          </w:p>
        </w:tc>
        <w:tc>
          <w:tcPr>
            <w:tcW w:w="1169" w:type="pct"/>
            <w:shd w:val="clear" w:color="auto" w:fill="auto"/>
            <w:vAlign w:val="center"/>
          </w:tcPr>
          <w:p w14:paraId="5904974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项目名称</w:t>
            </w:r>
          </w:p>
        </w:tc>
        <w:tc>
          <w:tcPr>
            <w:tcW w:w="623" w:type="pct"/>
            <w:shd w:val="clear" w:color="auto" w:fill="auto"/>
            <w:vAlign w:val="center"/>
          </w:tcPr>
          <w:p w14:paraId="54CB9F3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单位</w:t>
            </w:r>
          </w:p>
        </w:tc>
        <w:tc>
          <w:tcPr>
            <w:tcW w:w="623" w:type="pct"/>
            <w:shd w:val="clear" w:color="auto" w:fill="auto"/>
            <w:vAlign w:val="center"/>
          </w:tcPr>
          <w:p w14:paraId="03E2DE7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数量</w:t>
            </w:r>
          </w:p>
        </w:tc>
        <w:tc>
          <w:tcPr>
            <w:tcW w:w="625" w:type="pct"/>
            <w:shd w:val="clear" w:color="auto" w:fill="auto"/>
            <w:vAlign w:val="center"/>
          </w:tcPr>
          <w:p w14:paraId="049681D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单价</w:t>
            </w:r>
          </w:p>
        </w:tc>
        <w:tc>
          <w:tcPr>
            <w:tcW w:w="1034" w:type="pct"/>
            <w:shd w:val="clear" w:color="auto" w:fill="auto"/>
            <w:vAlign w:val="center"/>
          </w:tcPr>
          <w:p w14:paraId="5C9F712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小计</w:t>
            </w:r>
          </w:p>
        </w:tc>
      </w:tr>
      <w:tr w14:paraId="6274D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0FCCC6E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一</w:t>
            </w:r>
          </w:p>
        </w:tc>
        <w:tc>
          <w:tcPr>
            <w:tcW w:w="1169" w:type="pct"/>
            <w:shd w:val="clear" w:color="auto" w:fill="auto"/>
            <w:vAlign w:val="center"/>
          </w:tcPr>
          <w:p w14:paraId="5EC3B0F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直接费</w:t>
            </w:r>
          </w:p>
        </w:tc>
        <w:tc>
          <w:tcPr>
            <w:tcW w:w="623" w:type="pct"/>
            <w:shd w:val="clear" w:color="auto" w:fill="auto"/>
            <w:vAlign w:val="center"/>
          </w:tcPr>
          <w:p w14:paraId="04AD0122">
            <w:pPr>
              <w:jc w:val="center"/>
              <w:rPr>
                <w:rFonts w:hint="default" w:ascii="Times New Roman" w:hAnsi="Times New Roman" w:eastAsia="宋体" w:cs="Times New Roman"/>
                <w:i w:val="0"/>
                <w:iCs w:val="0"/>
                <w:color w:val="auto"/>
                <w:sz w:val="20"/>
                <w:szCs w:val="20"/>
                <w:u w:val="none"/>
              </w:rPr>
            </w:pPr>
          </w:p>
        </w:tc>
        <w:tc>
          <w:tcPr>
            <w:tcW w:w="623" w:type="pct"/>
            <w:shd w:val="clear" w:color="auto" w:fill="auto"/>
            <w:vAlign w:val="center"/>
          </w:tcPr>
          <w:p w14:paraId="12D2D8E1">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vAlign w:val="center"/>
          </w:tcPr>
          <w:p w14:paraId="2915920E">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vAlign w:val="center"/>
          </w:tcPr>
          <w:p w14:paraId="530002F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6116.06 </w:t>
            </w:r>
          </w:p>
        </w:tc>
      </w:tr>
      <w:tr w14:paraId="0993C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5A030B5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（一）</w:t>
            </w:r>
          </w:p>
        </w:tc>
        <w:tc>
          <w:tcPr>
            <w:tcW w:w="1169" w:type="pct"/>
            <w:shd w:val="clear" w:color="auto" w:fill="auto"/>
            <w:vAlign w:val="center"/>
          </w:tcPr>
          <w:p w14:paraId="0728B30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直接工程费</w:t>
            </w:r>
          </w:p>
        </w:tc>
        <w:tc>
          <w:tcPr>
            <w:tcW w:w="623" w:type="pct"/>
            <w:shd w:val="clear" w:color="auto" w:fill="auto"/>
            <w:vAlign w:val="center"/>
          </w:tcPr>
          <w:p w14:paraId="421C0B34">
            <w:pPr>
              <w:jc w:val="center"/>
              <w:rPr>
                <w:rFonts w:hint="default" w:ascii="Times New Roman" w:hAnsi="Times New Roman" w:eastAsia="宋体" w:cs="Times New Roman"/>
                <w:i w:val="0"/>
                <w:iCs w:val="0"/>
                <w:color w:val="auto"/>
                <w:sz w:val="20"/>
                <w:szCs w:val="20"/>
                <w:u w:val="none"/>
              </w:rPr>
            </w:pPr>
          </w:p>
        </w:tc>
        <w:tc>
          <w:tcPr>
            <w:tcW w:w="623" w:type="pct"/>
            <w:shd w:val="clear" w:color="auto" w:fill="auto"/>
            <w:vAlign w:val="center"/>
          </w:tcPr>
          <w:p w14:paraId="7B0B9637">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vAlign w:val="center"/>
          </w:tcPr>
          <w:p w14:paraId="6B494634">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vAlign w:val="center"/>
          </w:tcPr>
          <w:p w14:paraId="48253F0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5892.16 </w:t>
            </w:r>
          </w:p>
        </w:tc>
      </w:tr>
      <w:tr w14:paraId="4B6C9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6588EF7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w:t>
            </w:r>
          </w:p>
        </w:tc>
        <w:tc>
          <w:tcPr>
            <w:tcW w:w="1169" w:type="pct"/>
            <w:shd w:val="clear" w:color="auto" w:fill="auto"/>
            <w:vAlign w:val="center"/>
          </w:tcPr>
          <w:p w14:paraId="50FA8AC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人工费</w:t>
            </w:r>
          </w:p>
        </w:tc>
        <w:tc>
          <w:tcPr>
            <w:tcW w:w="623" w:type="pct"/>
            <w:shd w:val="clear" w:color="auto" w:fill="auto"/>
            <w:vAlign w:val="center"/>
          </w:tcPr>
          <w:p w14:paraId="56422737">
            <w:pPr>
              <w:jc w:val="center"/>
              <w:rPr>
                <w:rFonts w:hint="default" w:ascii="Times New Roman" w:hAnsi="Times New Roman" w:eastAsia="宋体" w:cs="Times New Roman"/>
                <w:i w:val="0"/>
                <w:iCs w:val="0"/>
                <w:color w:val="auto"/>
                <w:sz w:val="20"/>
                <w:szCs w:val="20"/>
                <w:u w:val="none"/>
              </w:rPr>
            </w:pPr>
          </w:p>
        </w:tc>
        <w:tc>
          <w:tcPr>
            <w:tcW w:w="623" w:type="pct"/>
            <w:shd w:val="clear" w:color="auto" w:fill="auto"/>
            <w:vAlign w:val="center"/>
          </w:tcPr>
          <w:p w14:paraId="651CC929">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vAlign w:val="center"/>
          </w:tcPr>
          <w:p w14:paraId="1FAC75A2">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vAlign w:val="center"/>
          </w:tcPr>
          <w:p w14:paraId="51E24EB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cs="Times New Roman"/>
                <w:i w:val="0"/>
                <w:iCs w:val="0"/>
                <w:color w:val="auto"/>
                <w:kern w:val="0"/>
                <w:sz w:val="20"/>
                <w:szCs w:val="20"/>
                <w:u w:val="none"/>
                <w:lang w:val="en-US" w:eastAsia="zh-CN" w:bidi="ar"/>
              </w:rPr>
              <w:t>1991.93</w:t>
            </w:r>
            <w:r>
              <w:rPr>
                <w:rFonts w:hint="default" w:ascii="Times New Roman" w:hAnsi="Times New Roman" w:eastAsia="宋体" w:cs="Times New Roman"/>
                <w:i w:val="0"/>
                <w:iCs w:val="0"/>
                <w:color w:val="auto"/>
                <w:kern w:val="0"/>
                <w:sz w:val="20"/>
                <w:szCs w:val="20"/>
                <w:u w:val="none"/>
                <w:lang w:val="en-US" w:eastAsia="zh-CN" w:bidi="ar"/>
              </w:rPr>
              <w:t xml:space="preserve"> </w:t>
            </w:r>
          </w:p>
        </w:tc>
      </w:tr>
      <w:tr w14:paraId="4716C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5C582DFC">
            <w:pPr>
              <w:jc w:val="center"/>
              <w:rPr>
                <w:rFonts w:hint="default" w:ascii="Times New Roman" w:hAnsi="Times New Roman" w:eastAsia="宋体" w:cs="Times New Roman"/>
                <w:i w:val="0"/>
                <w:iCs w:val="0"/>
                <w:color w:val="auto"/>
                <w:sz w:val="20"/>
                <w:szCs w:val="20"/>
                <w:u w:val="none"/>
              </w:rPr>
            </w:pPr>
          </w:p>
        </w:tc>
        <w:tc>
          <w:tcPr>
            <w:tcW w:w="1169" w:type="pct"/>
            <w:shd w:val="clear" w:color="auto" w:fill="auto"/>
            <w:vAlign w:val="center"/>
          </w:tcPr>
          <w:p w14:paraId="7BDC7D6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甲类工</w:t>
            </w:r>
          </w:p>
        </w:tc>
        <w:tc>
          <w:tcPr>
            <w:tcW w:w="623" w:type="pct"/>
            <w:shd w:val="clear" w:color="auto" w:fill="auto"/>
            <w:vAlign w:val="center"/>
          </w:tcPr>
          <w:p w14:paraId="740C2FF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工日</w:t>
            </w:r>
          </w:p>
        </w:tc>
        <w:tc>
          <w:tcPr>
            <w:tcW w:w="623" w:type="pct"/>
            <w:shd w:val="clear" w:color="auto" w:fill="auto"/>
            <w:vAlign w:val="center"/>
          </w:tcPr>
          <w:p w14:paraId="75C6FA0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w:t>
            </w:r>
          </w:p>
        </w:tc>
        <w:tc>
          <w:tcPr>
            <w:tcW w:w="1039" w:type="dxa"/>
            <w:shd w:val="clear" w:color="auto" w:fill="auto"/>
            <w:vAlign w:val="center"/>
          </w:tcPr>
          <w:p w14:paraId="72B2A1F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180.08 </w:t>
            </w:r>
          </w:p>
        </w:tc>
        <w:tc>
          <w:tcPr>
            <w:tcW w:w="1034" w:type="pct"/>
            <w:shd w:val="clear" w:color="auto" w:fill="auto"/>
            <w:vAlign w:val="center"/>
          </w:tcPr>
          <w:p w14:paraId="4756D82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0.00 </w:t>
            </w:r>
          </w:p>
        </w:tc>
      </w:tr>
      <w:tr w14:paraId="22CE0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28098F3C">
            <w:pPr>
              <w:jc w:val="center"/>
              <w:rPr>
                <w:rFonts w:hint="default" w:ascii="Times New Roman" w:hAnsi="Times New Roman" w:eastAsia="宋体" w:cs="Times New Roman"/>
                <w:i w:val="0"/>
                <w:iCs w:val="0"/>
                <w:color w:val="auto"/>
                <w:sz w:val="20"/>
                <w:szCs w:val="20"/>
                <w:u w:val="none"/>
              </w:rPr>
            </w:pPr>
          </w:p>
        </w:tc>
        <w:tc>
          <w:tcPr>
            <w:tcW w:w="1169" w:type="pct"/>
            <w:shd w:val="clear" w:color="auto" w:fill="auto"/>
            <w:vAlign w:val="center"/>
          </w:tcPr>
          <w:p w14:paraId="53491D2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乙类工</w:t>
            </w:r>
          </w:p>
        </w:tc>
        <w:tc>
          <w:tcPr>
            <w:tcW w:w="623" w:type="pct"/>
            <w:shd w:val="clear" w:color="auto" w:fill="auto"/>
            <w:vAlign w:val="center"/>
          </w:tcPr>
          <w:p w14:paraId="6EDE3E1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工日</w:t>
            </w:r>
          </w:p>
        </w:tc>
        <w:tc>
          <w:tcPr>
            <w:tcW w:w="623" w:type="pct"/>
            <w:shd w:val="clear" w:color="auto" w:fill="auto"/>
            <w:vAlign w:val="center"/>
          </w:tcPr>
          <w:p w14:paraId="2431C57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14.8</w:t>
            </w:r>
          </w:p>
        </w:tc>
        <w:tc>
          <w:tcPr>
            <w:tcW w:w="1039" w:type="dxa"/>
            <w:shd w:val="clear" w:color="auto" w:fill="auto"/>
            <w:vAlign w:val="center"/>
          </w:tcPr>
          <w:p w14:paraId="2B0DDAF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cs="Times New Roman"/>
                <w:i w:val="0"/>
                <w:iCs w:val="0"/>
                <w:color w:val="auto"/>
                <w:kern w:val="0"/>
                <w:sz w:val="20"/>
                <w:szCs w:val="20"/>
                <w:u w:val="none"/>
                <w:lang w:val="en-US" w:eastAsia="zh-CN" w:bidi="ar"/>
              </w:rPr>
              <w:t>134.59</w:t>
            </w:r>
          </w:p>
        </w:tc>
        <w:tc>
          <w:tcPr>
            <w:tcW w:w="1034" w:type="pct"/>
            <w:shd w:val="clear" w:color="auto" w:fill="auto"/>
            <w:vAlign w:val="center"/>
          </w:tcPr>
          <w:p w14:paraId="03D316A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lang w:val="en-US"/>
              </w:rPr>
            </w:pPr>
            <w:r>
              <w:rPr>
                <w:rFonts w:hint="eastAsia" w:cs="Times New Roman"/>
                <w:i w:val="0"/>
                <w:iCs w:val="0"/>
                <w:color w:val="auto"/>
                <w:kern w:val="0"/>
                <w:sz w:val="20"/>
                <w:szCs w:val="20"/>
                <w:u w:val="none"/>
                <w:lang w:val="en-US" w:eastAsia="zh-CN" w:bidi="ar"/>
              </w:rPr>
              <w:t>1991.93</w:t>
            </w:r>
          </w:p>
        </w:tc>
      </w:tr>
      <w:tr w14:paraId="0195F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5BC0D21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w:t>
            </w:r>
          </w:p>
        </w:tc>
        <w:tc>
          <w:tcPr>
            <w:tcW w:w="1169" w:type="pct"/>
            <w:shd w:val="clear" w:color="auto" w:fill="auto"/>
            <w:vAlign w:val="center"/>
          </w:tcPr>
          <w:p w14:paraId="71DDB5C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材料费</w:t>
            </w:r>
          </w:p>
        </w:tc>
        <w:tc>
          <w:tcPr>
            <w:tcW w:w="623" w:type="pct"/>
            <w:shd w:val="clear" w:color="auto" w:fill="auto"/>
            <w:vAlign w:val="center"/>
          </w:tcPr>
          <w:p w14:paraId="16FE59C2">
            <w:pPr>
              <w:jc w:val="center"/>
              <w:rPr>
                <w:rFonts w:hint="default" w:ascii="Times New Roman" w:hAnsi="Times New Roman" w:eastAsia="宋体" w:cs="Times New Roman"/>
                <w:i w:val="0"/>
                <w:iCs w:val="0"/>
                <w:color w:val="auto"/>
                <w:sz w:val="20"/>
                <w:szCs w:val="20"/>
                <w:u w:val="none"/>
              </w:rPr>
            </w:pPr>
          </w:p>
        </w:tc>
        <w:tc>
          <w:tcPr>
            <w:tcW w:w="623" w:type="pct"/>
            <w:shd w:val="clear" w:color="auto" w:fill="auto"/>
            <w:vAlign w:val="center"/>
          </w:tcPr>
          <w:p w14:paraId="45625B45">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vAlign w:val="center"/>
          </w:tcPr>
          <w:p w14:paraId="274C30B5">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vAlign w:val="center"/>
          </w:tcPr>
          <w:p w14:paraId="2C69F53A">
            <w:pPr>
              <w:jc w:val="center"/>
              <w:rPr>
                <w:rFonts w:hint="default" w:ascii="Times New Roman" w:hAnsi="Times New Roman" w:eastAsia="宋体" w:cs="Times New Roman"/>
                <w:i w:val="0"/>
                <w:iCs w:val="0"/>
                <w:color w:val="auto"/>
                <w:sz w:val="20"/>
                <w:szCs w:val="20"/>
                <w:u w:val="none"/>
              </w:rPr>
            </w:pPr>
          </w:p>
        </w:tc>
      </w:tr>
      <w:tr w14:paraId="36CFE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7FDE605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w:t>
            </w:r>
          </w:p>
        </w:tc>
        <w:tc>
          <w:tcPr>
            <w:tcW w:w="1169" w:type="pct"/>
            <w:shd w:val="clear" w:color="auto" w:fill="auto"/>
            <w:vAlign w:val="center"/>
          </w:tcPr>
          <w:p w14:paraId="2C2BE31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机械费</w:t>
            </w:r>
          </w:p>
        </w:tc>
        <w:tc>
          <w:tcPr>
            <w:tcW w:w="623" w:type="pct"/>
            <w:shd w:val="clear" w:color="auto" w:fill="auto"/>
            <w:vAlign w:val="center"/>
          </w:tcPr>
          <w:p w14:paraId="52EB5B0D">
            <w:pPr>
              <w:jc w:val="center"/>
              <w:rPr>
                <w:rFonts w:hint="default" w:ascii="Times New Roman" w:hAnsi="Times New Roman" w:eastAsia="宋体" w:cs="Times New Roman"/>
                <w:i w:val="0"/>
                <w:iCs w:val="0"/>
                <w:color w:val="auto"/>
                <w:sz w:val="20"/>
                <w:szCs w:val="20"/>
                <w:u w:val="none"/>
              </w:rPr>
            </w:pPr>
          </w:p>
        </w:tc>
        <w:tc>
          <w:tcPr>
            <w:tcW w:w="623" w:type="pct"/>
            <w:shd w:val="clear" w:color="auto" w:fill="auto"/>
            <w:vAlign w:val="center"/>
          </w:tcPr>
          <w:p w14:paraId="23670914">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vAlign w:val="center"/>
          </w:tcPr>
          <w:p w14:paraId="4203FBF3">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vAlign w:val="center"/>
          </w:tcPr>
          <w:p w14:paraId="41F389B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3055.36 </w:t>
            </w:r>
          </w:p>
        </w:tc>
      </w:tr>
      <w:tr w14:paraId="35863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6C7AB681">
            <w:pPr>
              <w:jc w:val="center"/>
              <w:rPr>
                <w:rFonts w:hint="default" w:ascii="Times New Roman" w:hAnsi="Times New Roman" w:eastAsia="宋体" w:cs="Times New Roman"/>
                <w:i w:val="0"/>
                <w:iCs w:val="0"/>
                <w:color w:val="auto"/>
                <w:sz w:val="20"/>
                <w:szCs w:val="20"/>
                <w:u w:val="none"/>
              </w:rPr>
            </w:pPr>
          </w:p>
        </w:tc>
        <w:tc>
          <w:tcPr>
            <w:tcW w:w="1169" w:type="pct"/>
            <w:shd w:val="clear" w:color="auto" w:fill="auto"/>
            <w:vAlign w:val="center"/>
          </w:tcPr>
          <w:p w14:paraId="62E6D4F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挖掘机</w:t>
            </w:r>
            <w:r>
              <w:rPr>
                <w:rFonts w:hint="default" w:ascii="Times New Roman" w:hAnsi="Times New Roman" w:eastAsia="宋体" w:cs="Times New Roman"/>
                <w:i w:val="0"/>
                <w:iCs w:val="0"/>
                <w:color w:val="auto"/>
                <w:kern w:val="0"/>
                <w:sz w:val="20"/>
                <w:szCs w:val="20"/>
                <w:u w:val="none"/>
                <w:lang w:val="en-US" w:eastAsia="zh-CN" w:bidi="ar"/>
              </w:rPr>
              <w:t>1m</w:t>
            </w:r>
            <w:r>
              <w:rPr>
                <w:rFonts w:hint="default" w:ascii="Times New Roman" w:hAnsi="Times New Roman" w:eastAsia="宋体" w:cs="Times New Roman"/>
                <w:i w:val="0"/>
                <w:iCs w:val="0"/>
                <w:color w:val="auto"/>
                <w:kern w:val="0"/>
                <w:sz w:val="20"/>
                <w:szCs w:val="20"/>
                <w:u w:val="none"/>
                <w:vertAlign w:val="superscript"/>
                <w:lang w:val="en-US" w:eastAsia="zh-CN" w:bidi="ar"/>
              </w:rPr>
              <w:t>3</w:t>
            </w:r>
          </w:p>
        </w:tc>
        <w:tc>
          <w:tcPr>
            <w:tcW w:w="623" w:type="pct"/>
            <w:shd w:val="clear" w:color="auto" w:fill="auto"/>
            <w:vAlign w:val="center"/>
          </w:tcPr>
          <w:p w14:paraId="2BDFA3E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台班</w:t>
            </w:r>
          </w:p>
        </w:tc>
        <w:tc>
          <w:tcPr>
            <w:tcW w:w="623" w:type="pct"/>
            <w:shd w:val="clear" w:color="auto" w:fill="auto"/>
            <w:vAlign w:val="center"/>
          </w:tcPr>
          <w:p w14:paraId="6354A04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3.6</w:t>
            </w:r>
          </w:p>
        </w:tc>
        <w:tc>
          <w:tcPr>
            <w:tcW w:w="625" w:type="pct"/>
            <w:shd w:val="clear" w:color="auto" w:fill="auto"/>
            <w:vAlign w:val="center"/>
          </w:tcPr>
          <w:p w14:paraId="60A71B1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848.71 </w:t>
            </w:r>
          </w:p>
        </w:tc>
        <w:tc>
          <w:tcPr>
            <w:tcW w:w="1034" w:type="pct"/>
            <w:shd w:val="clear" w:color="auto" w:fill="auto"/>
            <w:vAlign w:val="center"/>
          </w:tcPr>
          <w:p w14:paraId="38D1B21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3055.36 </w:t>
            </w:r>
          </w:p>
        </w:tc>
      </w:tr>
      <w:tr w14:paraId="5087B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435E87D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w:t>
            </w:r>
          </w:p>
        </w:tc>
        <w:tc>
          <w:tcPr>
            <w:tcW w:w="1169" w:type="pct"/>
            <w:shd w:val="clear" w:color="auto" w:fill="auto"/>
            <w:vAlign w:val="center"/>
          </w:tcPr>
          <w:p w14:paraId="7901D9C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其它费用</w:t>
            </w:r>
          </w:p>
        </w:tc>
        <w:tc>
          <w:tcPr>
            <w:tcW w:w="623" w:type="pct"/>
            <w:shd w:val="clear" w:color="auto" w:fill="auto"/>
            <w:vAlign w:val="center"/>
          </w:tcPr>
          <w:p w14:paraId="5465925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w:t>
            </w:r>
          </w:p>
        </w:tc>
        <w:tc>
          <w:tcPr>
            <w:tcW w:w="623" w:type="pct"/>
            <w:shd w:val="clear" w:color="auto" w:fill="auto"/>
            <w:vAlign w:val="center"/>
          </w:tcPr>
          <w:p w14:paraId="5DD295F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w:t>
            </w:r>
          </w:p>
        </w:tc>
        <w:tc>
          <w:tcPr>
            <w:tcW w:w="625" w:type="pct"/>
            <w:shd w:val="clear" w:color="auto" w:fill="auto"/>
            <w:vAlign w:val="center"/>
          </w:tcPr>
          <w:p w14:paraId="1D1542D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5720.54 </w:t>
            </w:r>
          </w:p>
        </w:tc>
        <w:tc>
          <w:tcPr>
            <w:tcW w:w="1034" w:type="pct"/>
            <w:shd w:val="clear" w:color="auto" w:fill="auto"/>
            <w:vAlign w:val="center"/>
          </w:tcPr>
          <w:p w14:paraId="0A5464E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171.62 </w:t>
            </w:r>
          </w:p>
        </w:tc>
      </w:tr>
      <w:tr w14:paraId="28D0B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7DF39F3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（二）</w:t>
            </w:r>
          </w:p>
        </w:tc>
        <w:tc>
          <w:tcPr>
            <w:tcW w:w="1169" w:type="pct"/>
            <w:shd w:val="clear" w:color="auto" w:fill="auto"/>
            <w:vAlign w:val="center"/>
          </w:tcPr>
          <w:p w14:paraId="6FE8264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措施费</w:t>
            </w:r>
          </w:p>
        </w:tc>
        <w:tc>
          <w:tcPr>
            <w:tcW w:w="623" w:type="pct"/>
            <w:shd w:val="clear" w:color="auto" w:fill="auto"/>
            <w:vAlign w:val="center"/>
          </w:tcPr>
          <w:p w14:paraId="4E490E0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w:t>
            </w:r>
          </w:p>
        </w:tc>
        <w:tc>
          <w:tcPr>
            <w:tcW w:w="623" w:type="pct"/>
            <w:shd w:val="clear" w:color="auto" w:fill="auto"/>
            <w:vAlign w:val="center"/>
          </w:tcPr>
          <w:p w14:paraId="6F6C6AD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3.8</w:t>
            </w:r>
          </w:p>
        </w:tc>
        <w:tc>
          <w:tcPr>
            <w:tcW w:w="625" w:type="pct"/>
            <w:shd w:val="clear" w:color="auto" w:fill="auto"/>
            <w:vAlign w:val="center"/>
          </w:tcPr>
          <w:p w14:paraId="673FCC7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5892.16 </w:t>
            </w:r>
          </w:p>
        </w:tc>
        <w:tc>
          <w:tcPr>
            <w:tcW w:w="1034" w:type="pct"/>
            <w:shd w:val="clear" w:color="auto" w:fill="auto"/>
            <w:vAlign w:val="center"/>
          </w:tcPr>
          <w:p w14:paraId="532FC14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223.90 </w:t>
            </w:r>
          </w:p>
        </w:tc>
      </w:tr>
      <w:tr w14:paraId="679EE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62448FA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二</w:t>
            </w:r>
          </w:p>
        </w:tc>
        <w:tc>
          <w:tcPr>
            <w:tcW w:w="1169" w:type="pct"/>
            <w:shd w:val="clear" w:color="auto" w:fill="auto"/>
            <w:vAlign w:val="center"/>
          </w:tcPr>
          <w:p w14:paraId="66DCF86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间接费</w:t>
            </w:r>
          </w:p>
        </w:tc>
        <w:tc>
          <w:tcPr>
            <w:tcW w:w="623" w:type="pct"/>
            <w:shd w:val="clear" w:color="auto" w:fill="auto"/>
            <w:vAlign w:val="center"/>
          </w:tcPr>
          <w:p w14:paraId="34D77A8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w:t>
            </w:r>
          </w:p>
        </w:tc>
        <w:tc>
          <w:tcPr>
            <w:tcW w:w="623" w:type="pct"/>
            <w:shd w:val="clear" w:color="auto" w:fill="auto"/>
            <w:vAlign w:val="center"/>
          </w:tcPr>
          <w:p w14:paraId="26D87A1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w:t>
            </w:r>
          </w:p>
        </w:tc>
        <w:tc>
          <w:tcPr>
            <w:tcW w:w="625" w:type="pct"/>
            <w:shd w:val="clear" w:color="auto" w:fill="auto"/>
            <w:vAlign w:val="center"/>
          </w:tcPr>
          <w:p w14:paraId="0C376BC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6116.06 </w:t>
            </w:r>
          </w:p>
        </w:tc>
        <w:tc>
          <w:tcPr>
            <w:tcW w:w="1034" w:type="pct"/>
            <w:shd w:val="clear" w:color="auto" w:fill="auto"/>
            <w:vAlign w:val="center"/>
          </w:tcPr>
          <w:p w14:paraId="7DAD65C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305.80 </w:t>
            </w:r>
          </w:p>
        </w:tc>
      </w:tr>
      <w:tr w14:paraId="05A78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5EA26A5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三</w:t>
            </w:r>
          </w:p>
        </w:tc>
        <w:tc>
          <w:tcPr>
            <w:tcW w:w="1169" w:type="pct"/>
            <w:shd w:val="clear" w:color="auto" w:fill="auto"/>
            <w:vAlign w:val="center"/>
          </w:tcPr>
          <w:p w14:paraId="514B1E3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利润</w:t>
            </w:r>
          </w:p>
        </w:tc>
        <w:tc>
          <w:tcPr>
            <w:tcW w:w="623" w:type="pct"/>
            <w:shd w:val="clear" w:color="auto" w:fill="auto"/>
            <w:vAlign w:val="center"/>
          </w:tcPr>
          <w:p w14:paraId="18681B1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w:t>
            </w:r>
          </w:p>
        </w:tc>
        <w:tc>
          <w:tcPr>
            <w:tcW w:w="623" w:type="pct"/>
            <w:shd w:val="clear" w:color="auto" w:fill="auto"/>
            <w:vAlign w:val="center"/>
          </w:tcPr>
          <w:p w14:paraId="75CBCFA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w:t>
            </w:r>
          </w:p>
        </w:tc>
        <w:tc>
          <w:tcPr>
            <w:tcW w:w="625" w:type="pct"/>
            <w:shd w:val="clear" w:color="auto" w:fill="auto"/>
            <w:vAlign w:val="center"/>
          </w:tcPr>
          <w:p w14:paraId="129DC78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6421.87 </w:t>
            </w:r>
          </w:p>
        </w:tc>
        <w:tc>
          <w:tcPr>
            <w:tcW w:w="1034" w:type="pct"/>
            <w:shd w:val="clear" w:color="auto" w:fill="auto"/>
            <w:vAlign w:val="center"/>
          </w:tcPr>
          <w:p w14:paraId="69CB75D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192.66 </w:t>
            </w:r>
          </w:p>
        </w:tc>
      </w:tr>
      <w:tr w14:paraId="3F020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noWrap/>
            <w:vAlign w:val="center"/>
          </w:tcPr>
          <w:p w14:paraId="232D0F6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四</w:t>
            </w:r>
          </w:p>
        </w:tc>
        <w:tc>
          <w:tcPr>
            <w:tcW w:w="1169" w:type="pct"/>
            <w:shd w:val="clear" w:color="auto" w:fill="auto"/>
            <w:noWrap/>
            <w:vAlign w:val="center"/>
          </w:tcPr>
          <w:p w14:paraId="68DC93C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材料价差</w:t>
            </w:r>
          </w:p>
        </w:tc>
        <w:tc>
          <w:tcPr>
            <w:tcW w:w="623" w:type="pct"/>
            <w:shd w:val="clear" w:color="auto" w:fill="auto"/>
            <w:noWrap/>
            <w:vAlign w:val="center"/>
          </w:tcPr>
          <w:p w14:paraId="0D827EEC">
            <w:pPr>
              <w:jc w:val="center"/>
              <w:rPr>
                <w:rFonts w:hint="default" w:ascii="Times New Roman" w:hAnsi="Times New Roman" w:eastAsia="宋体" w:cs="Times New Roman"/>
                <w:i w:val="0"/>
                <w:iCs w:val="0"/>
                <w:color w:val="auto"/>
                <w:sz w:val="20"/>
                <w:szCs w:val="20"/>
                <w:u w:val="none"/>
              </w:rPr>
            </w:pPr>
          </w:p>
        </w:tc>
        <w:tc>
          <w:tcPr>
            <w:tcW w:w="623" w:type="pct"/>
            <w:shd w:val="clear" w:color="auto" w:fill="auto"/>
            <w:noWrap/>
            <w:vAlign w:val="center"/>
          </w:tcPr>
          <w:p w14:paraId="0AB90F0C">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noWrap/>
            <w:vAlign w:val="center"/>
          </w:tcPr>
          <w:p w14:paraId="508B50D6">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noWrap/>
            <w:vAlign w:val="center"/>
          </w:tcPr>
          <w:p w14:paraId="62E7E2B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1054.94 </w:t>
            </w:r>
          </w:p>
        </w:tc>
      </w:tr>
      <w:tr w14:paraId="153F4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noWrap/>
            <w:vAlign w:val="center"/>
          </w:tcPr>
          <w:p w14:paraId="55517B00">
            <w:pPr>
              <w:jc w:val="center"/>
              <w:rPr>
                <w:rFonts w:hint="default" w:ascii="Times New Roman" w:hAnsi="Times New Roman" w:eastAsia="宋体" w:cs="Times New Roman"/>
                <w:i w:val="0"/>
                <w:iCs w:val="0"/>
                <w:color w:val="auto"/>
                <w:sz w:val="20"/>
                <w:szCs w:val="20"/>
                <w:u w:val="none"/>
              </w:rPr>
            </w:pPr>
          </w:p>
        </w:tc>
        <w:tc>
          <w:tcPr>
            <w:tcW w:w="1169" w:type="pct"/>
            <w:shd w:val="clear" w:color="auto" w:fill="auto"/>
            <w:noWrap/>
            <w:vAlign w:val="center"/>
          </w:tcPr>
          <w:p w14:paraId="4FA94E3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柴油</w:t>
            </w:r>
          </w:p>
        </w:tc>
        <w:tc>
          <w:tcPr>
            <w:tcW w:w="623" w:type="pct"/>
            <w:shd w:val="clear" w:color="auto" w:fill="auto"/>
            <w:vAlign w:val="center"/>
          </w:tcPr>
          <w:p w14:paraId="7195B10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kg</w:t>
            </w:r>
          </w:p>
        </w:tc>
        <w:tc>
          <w:tcPr>
            <w:tcW w:w="623" w:type="pct"/>
            <w:shd w:val="clear" w:color="auto" w:fill="auto"/>
            <w:noWrap/>
            <w:vAlign w:val="center"/>
          </w:tcPr>
          <w:p w14:paraId="6935A92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259.2</w:t>
            </w:r>
          </w:p>
        </w:tc>
        <w:tc>
          <w:tcPr>
            <w:tcW w:w="625" w:type="pct"/>
            <w:shd w:val="clear" w:color="auto" w:fill="auto"/>
            <w:noWrap/>
            <w:vAlign w:val="center"/>
          </w:tcPr>
          <w:p w14:paraId="6A084EE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4.07 </w:t>
            </w:r>
          </w:p>
        </w:tc>
        <w:tc>
          <w:tcPr>
            <w:tcW w:w="1034" w:type="pct"/>
            <w:shd w:val="clear" w:color="auto" w:fill="auto"/>
            <w:noWrap/>
            <w:vAlign w:val="center"/>
          </w:tcPr>
          <w:p w14:paraId="14C4CAB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1054.94 </w:t>
            </w:r>
          </w:p>
        </w:tc>
      </w:tr>
      <w:tr w14:paraId="49F14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04ACCC6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五</w:t>
            </w:r>
          </w:p>
        </w:tc>
        <w:tc>
          <w:tcPr>
            <w:tcW w:w="1169" w:type="pct"/>
            <w:shd w:val="clear" w:color="auto" w:fill="auto"/>
            <w:vAlign w:val="center"/>
          </w:tcPr>
          <w:p w14:paraId="09C2EFA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税金</w:t>
            </w:r>
          </w:p>
        </w:tc>
        <w:tc>
          <w:tcPr>
            <w:tcW w:w="623" w:type="pct"/>
            <w:shd w:val="clear" w:color="auto" w:fill="auto"/>
            <w:vAlign w:val="center"/>
          </w:tcPr>
          <w:p w14:paraId="5EB910F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w:t>
            </w:r>
          </w:p>
        </w:tc>
        <w:tc>
          <w:tcPr>
            <w:tcW w:w="623" w:type="pct"/>
            <w:shd w:val="clear" w:color="auto" w:fill="auto"/>
            <w:vAlign w:val="center"/>
          </w:tcPr>
          <w:p w14:paraId="3C9463F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9</w:t>
            </w:r>
          </w:p>
        </w:tc>
        <w:tc>
          <w:tcPr>
            <w:tcW w:w="625" w:type="pct"/>
            <w:shd w:val="clear" w:color="auto" w:fill="auto"/>
            <w:vAlign w:val="center"/>
          </w:tcPr>
          <w:p w14:paraId="64243B9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7669.46 </w:t>
            </w:r>
          </w:p>
        </w:tc>
        <w:tc>
          <w:tcPr>
            <w:tcW w:w="1034" w:type="pct"/>
            <w:shd w:val="clear" w:color="auto" w:fill="auto"/>
            <w:vAlign w:val="center"/>
          </w:tcPr>
          <w:p w14:paraId="18E4DFF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690.25 </w:t>
            </w:r>
          </w:p>
        </w:tc>
      </w:tr>
      <w:tr w14:paraId="0220C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2716" w:type="pct"/>
            <w:gridSpan w:val="3"/>
            <w:shd w:val="clear" w:color="auto" w:fill="auto"/>
            <w:vAlign w:val="center"/>
          </w:tcPr>
          <w:p w14:paraId="2A91A82B">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合计</w:t>
            </w:r>
          </w:p>
        </w:tc>
        <w:tc>
          <w:tcPr>
            <w:tcW w:w="623" w:type="pct"/>
            <w:shd w:val="clear" w:color="auto" w:fill="auto"/>
            <w:vAlign w:val="center"/>
          </w:tcPr>
          <w:p w14:paraId="7C51BA80">
            <w:pPr>
              <w:jc w:val="center"/>
              <w:rPr>
                <w:rFonts w:hint="default" w:ascii="Times New Roman" w:hAnsi="Times New Roman" w:eastAsia="宋体" w:cs="Times New Roman"/>
                <w:b/>
                <w:bCs/>
                <w:i w:val="0"/>
                <w:iCs w:val="0"/>
                <w:color w:val="auto"/>
                <w:sz w:val="20"/>
                <w:szCs w:val="20"/>
                <w:u w:val="none"/>
              </w:rPr>
            </w:pPr>
          </w:p>
        </w:tc>
        <w:tc>
          <w:tcPr>
            <w:tcW w:w="625" w:type="pct"/>
            <w:shd w:val="clear" w:color="auto" w:fill="auto"/>
            <w:vAlign w:val="center"/>
          </w:tcPr>
          <w:p w14:paraId="30A9314A">
            <w:pPr>
              <w:jc w:val="center"/>
              <w:rPr>
                <w:rFonts w:hint="default" w:ascii="Times New Roman" w:hAnsi="Times New Roman" w:eastAsia="宋体" w:cs="Times New Roman"/>
                <w:b/>
                <w:bCs/>
                <w:i w:val="0"/>
                <w:iCs w:val="0"/>
                <w:color w:val="auto"/>
                <w:sz w:val="20"/>
                <w:szCs w:val="20"/>
                <w:u w:val="none"/>
              </w:rPr>
            </w:pPr>
          </w:p>
        </w:tc>
        <w:tc>
          <w:tcPr>
            <w:tcW w:w="1034" w:type="pct"/>
            <w:shd w:val="clear" w:color="auto" w:fill="auto"/>
            <w:vAlign w:val="center"/>
          </w:tcPr>
          <w:p w14:paraId="21B822D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 xml:space="preserve">8359.71 </w:t>
            </w:r>
          </w:p>
        </w:tc>
      </w:tr>
    </w:tbl>
    <w:p w14:paraId="7B80DDD6">
      <w:pPr>
        <w:pStyle w:val="33"/>
        <w:rPr>
          <w:color w:val="auto"/>
        </w:rPr>
      </w:pPr>
    </w:p>
    <w:p w14:paraId="7AF2B0DF">
      <w:pPr>
        <w:shd w:val="clear" w:color="000000" w:fill="auto"/>
        <w:jc w:val="center"/>
        <w:rPr>
          <w:b/>
          <w:bCs/>
          <w:color w:val="auto"/>
          <w:sz w:val="28"/>
          <w:szCs w:val="28"/>
        </w:rPr>
      </w:pP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531"/>
        <w:gridCol w:w="1943"/>
        <w:gridCol w:w="1034"/>
        <w:gridCol w:w="1034"/>
        <w:gridCol w:w="1041"/>
        <w:gridCol w:w="1719"/>
      </w:tblGrid>
      <w:tr w14:paraId="08D72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trPr>
        <w:tc>
          <w:tcPr>
            <w:tcW w:w="5000" w:type="pct"/>
            <w:gridSpan w:val="6"/>
            <w:shd w:val="clear" w:color="auto" w:fill="auto"/>
            <w:vAlign w:val="center"/>
          </w:tcPr>
          <w:p w14:paraId="5C335E4B">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栽植乔木（带土球）</w:t>
            </w:r>
          </w:p>
        </w:tc>
      </w:tr>
      <w:tr w14:paraId="234E4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3965" w:type="pct"/>
            <w:gridSpan w:val="5"/>
            <w:shd w:val="clear" w:color="auto" w:fill="auto"/>
            <w:vAlign w:val="center"/>
          </w:tcPr>
          <w:p w14:paraId="007AEDB5">
            <w:pPr>
              <w:keepNext w:val="0"/>
              <w:keepLines w:val="0"/>
              <w:widowControl/>
              <w:suppressLineNumbers w:val="0"/>
              <w:jc w:val="both"/>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定额编号：</w:t>
            </w:r>
            <w:r>
              <w:rPr>
                <w:rFonts w:hint="default" w:ascii="Times New Roman" w:hAnsi="Times New Roman" w:eastAsia="宋体" w:cs="Times New Roman"/>
                <w:b/>
                <w:bCs/>
                <w:i w:val="0"/>
                <w:iCs w:val="0"/>
                <w:color w:val="auto"/>
                <w:kern w:val="0"/>
                <w:sz w:val="21"/>
                <w:szCs w:val="21"/>
                <w:u w:val="none"/>
                <w:lang w:val="en-US" w:eastAsia="zh-CN" w:bidi="ar"/>
              </w:rPr>
              <w:t>50002</w:t>
            </w:r>
          </w:p>
        </w:tc>
        <w:tc>
          <w:tcPr>
            <w:tcW w:w="1034" w:type="pct"/>
            <w:shd w:val="clear" w:color="auto" w:fill="auto"/>
            <w:vAlign w:val="center"/>
          </w:tcPr>
          <w:p w14:paraId="5F22D0BD">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单位：</w:t>
            </w:r>
            <w:r>
              <w:rPr>
                <w:rFonts w:hint="default" w:ascii="Times New Roman" w:hAnsi="Times New Roman" w:eastAsia="宋体" w:cs="Times New Roman"/>
                <w:b/>
                <w:bCs/>
                <w:i w:val="0"/>
                <w:iCs w:val="0"/>
                <w:color w:val="auto"/>
                <w:kern w:val="0"/>
                <w:sz w:val="21"/>
                <w:szCs w:val="21"/>
                <w:u w:val="none"/>
                <w:lang w:val="en-US" w:eastAsia="zh-CN" w:bidi="ar"/>
              </w:rPr>
              <w:t>/100</w:t>
            </w:r>
            <w:r>
              <w:rPr>
                <w:rFonts w:hint="eastAsia" w:ascii="宋体" w:hAnsi="宋体" w:eastAsia="宋体" w:cs="宋体"/>
                <w:b/>
                <w:bCs/>
                <w:i w:val="0"/>
                <w:iCs w:val="0"/>
                <w:color w:val="auto"/>
                <w:kern w:val="0"/>
                <w:sz w:val="21"/>
                <w:szCs w:val="21"/>
                <w:u w:val="none"/>
                <w:lang w:val="en-US" w:eastAsia="zh-CN" w:bidi="ar"/>
              </w:rPr>
              <w:t>株</w:t>
            </w:r>
          </w:p>
        </w:tc>
      </w:tr>
      <w:tr w14:paraId="725F2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4B2C41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序号</w:t>
            </w:r>
          </w:p>
        </w:tc>
        <w:tc>
          <w:tcPr>
            <w:tcW w:w="1169" w:type="pct"/>
            <w:shd w:val="clear" w:color="auto" w:fill="auto"/>
            <w:vAlign w:val="center"/>
          </w:tcPr>
          <w:p w14:paraId="3C2B44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项目名称</w:t>
            </w:r>
          </w:p>
        </w:tc>
        <w:tc>
          <w:tcPr>
            <w:tcW w:w="623" w:type="pct"/>
            <w:shd w:val="clear" w:color="auto" w:fill="auto"/>
            <w:vAlign w:val="center"/>
          </w:tcPr>
          <w:p w14:paraId="66B419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单位</w:t>
            </w:r>
          </w:p>
        </w:tc>
        <w:tc>
          <w:tcPr>
            <w:tcW w:w="623" w:type="pct"/>
            <w:shd w:val="clear" w:color="auto" w:fill="auto"/>
            <w:vAlign w:val="center"/>
          </w:tcPr>
          <w:p w14:paraId="496DD4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数量</w:t>
            </w:r>
          </w:p>
        </w:tc>
        <w:tc>
          <w:tcPr>
            <w:tcW w:w="625" w:type="pct"/>
            <w:shd w:val="clear" w:color="auto" w:fill="auto"/>
            <w:vAlign w:val="center"/>
          </w:tcPr>
          <w:p w14:paraId="66CC86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单价</w:t>
            </w:r>
          </w:p>
        </w:tc>
        <w:tc>
          <w:tcPr>
            <w:tcW w:w="1034" w:type="pct"/>
            <w:shd w:val="clear" w:color="auto" w:fill="auto"/>
            <w:vAlign w:val="center"/>
          </w:tcPr>
          <w:p w14:paraId="68258C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小计</w:t>
            </w:r>
          </w:p>
        </w:tc>
      </w:tr>
      <w:tr w14:paraId="148FB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04B3E7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一</w:t>
            </w:r>
          </w:p>
        </w:tc>
        <w:tc>
          <w:tcPr>
            <w:tcW w:w="1169" w:type="pct"/>
            <w:shd w:val="clear" w:color="auto" w:fill="auto"/>
            <w:vAlign w:val="center"/>
          </w:tcPr>
          <w:p w14:paraId="39A6F7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直接费</w:t>
            </w:r>
          </w:p>
        </w:tc>
        <w:tc>
          <w:tcPr>
            <w:tcW w:w="623" w:type="pct"/>
            <w:shd w:val="clear" w:color="auto" w:fill="auto"/>
            <w:vAlign w:val="center"/>
          </w:tcPr>
          <w:p w14:paraId="39C9FFA4">
            <w:pPr>
              <w:jc w:val="center"/>
              <w:rPr>
                <w:rFonts w:hint="default" w:ascii="Times New Roman" w:hAnsi="Times New Roman" w:eastAsia="宋体" w:cs="Times New Roman"/>
                <w:i w:val="0"/>
                <w:iCs w:val="0"/>
                <w:color w:val="auto"/>
                <w:sz w:val="21"/>
                <w:szCs w:val="21"/>
                <w:u w:val="none"/>
              </w:rPr>
            </w:pPr>
          </w:p>
        </w:tc>
        <w:tc>
          <w:tcPr>
            <w:tcW w:w="623" w:type="pct"/>
            <w:shd w:val="clear" w:color="auto" w:fill="auto"/>
            <w:vAlign w:val="center"/>
          </w:tcPr>
          <w:p w14:paraId="7B040B33">
            <w:pPr>
              <w:jc w:val="center"/>
              <w:rPr>
                <w:rFonts w:hint="default" w:ascii="Times New Roman" w:hAnsi="Times New Roman" w:eastAsia="宋体" w:cs="Times New Roman"/>
                <w:i w:val="0"/>
                <w:iCs w:val="0"/>
                <w:color w:val="auto"/>
                <w:sz w:val="21"/>
                <w:szCs w:val="21"/>
                <w:u w:val="none"/>
              </w:rPr>
            </w:pPr>
          </w:p>
        </w:tc>
        <w:tc>
          <w:tcPr>
            <w:tcW w:w="625" w:type="pct"/>
            <w:shd w:val="clear" w:color="auto" w:fill="auto"/>
            <w:vAlign w:val="center"/>
          </w:tcPr>
          <w:p w14:paraId="0C55D25D">
            <w:pPr>
              <w:jc w:val="center"/>
              <w:rPr>
                <w:rFonts w:hint="default" w:ascii="Times New Roman" w:hAnsi="Times New Roman" w:eastAsia="宋体" w:cs="Times New Roman"/>
                <w:i w:val="0"/>
                <w:iCs w:val="0"/>
                <w:color w:val="auto"/>
                <w:sz w:val="21"/>
                <w:szCs w:val="21"/>
                <w:u w:val="none"/>
              </w:rPr>
            </w:pPr>
          </w:p>
        </w:tc>
        <w:tc>
          <w:tcPr>
            <w:tcW w:w="1034" w:type="pct"/>
            <w:shd w:val="clear" w:color="auto" w:fill="auto"/>
            <w:vAlign w:val="center"/>
          </w:tcPr>
          <w:p w14:paraId="68B6C33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2917.97 </w:t>
            </w:r>
          </w:p>
        </w:tc>
      </w:tr>
      <w:tr w14:paraId="62E11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6C5E97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（一）</w:t>
            </w:r>
          </w:p>
        </w:tc>
        <w:tc>
          <w:tcPr>
            <w:tcW w:w="1169" w:type="pct"/>
            <w:shd w:val="clear" w:color="auto" w:fill="auto"/>
            <w:vAlign w:val="center"/>
          </w:tcPr>
          <w:p w14:paraId="453613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直接工程费</w:t>
            </w:r>
          </w:p>
        </w:tc>
        <w:tc>
          <w:tcPr>
            <w:tcW w:w="623" w:type="pct"/>
            <w:shd w:val="clear" w:color="auto" w:fill="auto"/>
            <w:vAlign w:val="center"/>
          </w:tcPr>
          <w:p w14:paraId="188A9E3B">
            <w:pPr>
              <w:jc w:val="center"/>
              <w:rPr>
                <w:rFonts w:hint="default" w:ascii="Times New Roman" w:hAnsi="Times New Roman" w:eastAsia="宋体" w:cs="Times New Roman"/>
                <w:i w:val="0"/>
                <w:iCs w:val="0"/>
                <w:color w:val="auto"/>
                <w:sz w:val="21"/>
                <w:szCs w:val="21"/>
                <w:u w:val="none"/>
              </w:rPr>
            </w:pPr>
          </w:p>
        </w:tc>
        <w:tc>
          <w:tcPr>
            <w:tcW w:w="623" w:type="pct"/>
            <w:shd w:val="clear" w:color="auto" w:fill="auto"/>
            <w:vAlign w:val="center"/>
          </w:tcPr>
          <w:p w14:paraId="64645428">
            <w:pPr>
              <w:jc w:val="center"/>
              <w:rPr>
                <w:rFonts w:hint="default" w:ascii="Times New Roman" w:hAnsi="Times New Roman" w:eastAsia="宋体" w:cs="Times New Roman"/>
                <w:i w:val="0"/>
                <w:iCs w:val="0"/>
                <w:color w:val="auto"/>
                <w:sz w:val="21"/>
                <w:szCs w:val="21"/>
                <w:u w:val="none"/>
              </w:rPr>
            </w:pPr>
          </w:p>
        </w:tc>
        <w:tc>
          <w:tcPr>
            <w:tcW w:w="625" w:type="pct"/>
            <w:shd w:val="clear" w:color="auto" w:fill="auto"/>
            <w:vAlign w:val="center"/>
          </w:tcPr>
          <w:p w14:paraId="0CB1BC22">
            <w:pPr>
              <w:jc w:val="center"/>
              <w:rPr>
                <w:rFonts w:hint="default" w:ascii="Times New Roman" w:hAnsi="Times New Roman" w:eastAsia="宋体" w:cs="Times New Roman"/>
                <w:i w:val="0"/>
                <w:iCs w:val="0"/>
                <w:color w:val="auto"/>
                <w:sz w:val="21"/>
                <w:szCs w:val="21"/>
                <w:u w:val="none"/>
              </w:rPr>
            </w:pPr>
          </w:p>
        </w:tc>
        <w:tc>
          <w:tcPr>
            <w:tcW w:w="1034" w:type="pct"/>
            <w:shd w:val="clear" w:color="auto" w:fill="auto"/>
            <w:vAlign w:val="center"/>
          </w:tcPr>
          <w:p w14:paraId="06EFF93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2811.15 </w:t>
            </w:r>
          </w:p>
        </w:tc>
      </w:tr>
      <w:tr w14:paraId="280DF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61437DF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169" w:type="pct"/>
            <w:shd w:val="clear" w:color="auto" w:fill="auto"/>
            <w:vAlign w:val="center"/>
          </w:tcPr>
          <w:p w14:paraId="72D2C7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人工费</w:t>
            </w:r>
          </w:p>
        </w:tc>
        <w:tc>
          <w:tcPr>
            <w:tcW w:w="623" w:type="pct"/>
            <w:shd w:val="clear" w:color="auto" w:fill="auto"/>
            <w:vAlign w:val="center"/>
          </w:tcPr>
          <w:p w14:paraId="193458BD">
            <w:pPr>
              <w:jc w:val="center"/>
              <w:rPr>
                <w:rFonts w:hint="default" w:ascii="Times New Roman" w:hAnsi="Times New Roman" w:eastAsia="宋体" w:cs="Times New Roman"/>
                <w:i w:val="0"/>
                <w:iCs w:val="0"/>
                <w:color w:val="auto"/>
                <w:sz w:val="21"/>
                <w:szCs w:val="21"/>
                <w:u w:val="none"/>
              </w:rPr>
            </w:pPr>
          </w:p>
        </w:tc>
        <w:tc>
          <w:tcPr>
            <w:tcW w:w="623" w:type="pct"/>
            <w:shd w:val="clear" w:color="auto" w:fill="auto"/>
            <w:vAlign w:val="center"/>
          </w:tcPr>
          <w:p w14:paraId="760C495C">
            <w:pPr>
              <w:jc w:val="center"/>
              <w:rPr>
                <w:rFonts w:hint="default" w:ascii="Times New Roman" w:hAnsi="Times New Roman" w:eastAsia="宋体" w:cs="Times New Roman"/>
                <w:i w:val="0"/>
                <w:iCs w:val="0"/>
                <w:color w:val="auto"/>
                <w:sz w:val="21"/>
                <w:szCs w:val="21"/>
                <w:u w:val="none"/>
              </w:rPr>
            </w:pPr>
          </w:p>
        </w:tc>
        <w:tc>
          <w:tcPr>
            <w:tcW w:w="625" w:type="pct"/>
            <w:shd w:val="clear" w:color="auto" w:fill="auto"/>
            <w:vAlign w:val="center"/>
          </w:tcPr>
          <w:p w14:paraId="38B537DF">
            <w:pPr>
              <w:jc w:val="center"/>
              <w:rPr>
                <w:rFonts w:hint="default" w:ascii="Times New Roman" w:hAnsi="Times New Roman" w:eastAsia="宋体" w:cs="Times New Roman"/>
                <w:i w:val="0"/>
                <w:iCs w:val="0"/>
                <w:color w:val="auto"/>
                <w:sz w:val="21"/>
                <w:szCs w:val="21"/>
                <w:u w:val="none"/>
              </w:rPr>
            </w:pPr>
          </w:p>
        </w:tc>
        <w:tc>
          <w:tcPr>
            <w:tcW w:w="1034" w:type="pct"/>
            <w:shd w:val="clear" w:color="auto" w:fill="auto"/>
            <w:vAlign w:val="center"/>
          </w:tcPr>
          <w:p w14:paraId="11793C9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kern w:val="0"/>
                <w:sz w:val="21"/>
                <w:szCs w:val="21"/>
                <w:u w:val="none"/>
                <w:lang w:val="en-US" w:eastAsia="zh-CN" w:bidi="ar"/>
              </w:rPr>
              <w:t>942.13</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1ADFC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197C5EA9">
            <w:pPr>
              <w:jc w:val="center"/>
              <w:rPr>
                <w:rFonts w:hint="default" w:ascii="Times New Roman" w:hAnsi="Times New Roman" w:eastAsia="宋体" w:cs="Times New Roman"/>
                <w:i w:val="0"/>
                <w:iCs w:val="0"/>
                <w:color w:val="auto"/>
                <w:sz w:val="21"/>
                <w:szCs w:val="21"/>
                <w:u w:val="none"/>
              </w:rPr>
            </w:pPr>
          </w:p>
        </w:tc>
        <w:tc>
          <w:tcPr>
            <w:tcW w:w="1169" w:type="pct"/>
            <w:shd w:val="clear" w:color="auto" w:fill="auto"/>
            <w:vAlign w:val="center"/>
          </w:tcPr>
          <w:p w14:paraId="0833AC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甲类工</w:t>
            </w:r>
          </w:p>
        </w:tc>
        <w:tc>
          <w:tcPr>
            <w:tcW w:w="623" w:type="pct"/>
            <w:shd w:val="clear" w:color="auto" w:fill="auto"/>
            <w:vAlign w:val="center"/>
          </w:tcPr>
          <w:p w14:paraId="27CFE7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工日</w:t>
            </w:r>
          </w:p>
        </w:tc>
        <w:tc>
          <w:tcPr>
            <w:tcW w:w="623" w:type="pct"/>
            <w:shd w:val="clear" w:color="auto" w:fill="auto"/>
            <w:vAlign w:val="center"/>
          </w:tcPr>
          <w:p w14:paraId="5A13128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1041" w:type="dxa"/>
            <w:shd w:val="clear" w:color="auto" w:fill="auto"/>
            <w:vAlign w:val="center"/>
          </w:tcPr>
          <w:p w14:paraId="52CD9AC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180.08 </w:t>
            </w:r>
          </w:p>
        </w:tc>
        <w:tc>
          <w:tcPr>
            <w:tcW w:w="1034" w:type="pct"/>
            <w:shd w:val="clear" w:color="auto" w:fill="auto"/>
            <w:vAlign w:val="center"/>
          </w:tcPr>
          <w:p w14:paraId="173F7E7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 </w:t>
            </w:r>
          </w:p>
        </w:tc>
      </w:tr>
      <w:tr w14:paraId="56CAC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6179A952">
            <w:pPr>
              <w:jc w:val="center"/>
              <w:rPr>
                <w:rFonts w:hint="default" w:ascii="Times New Roman" w:hAnsi="Times New Roman" w:eastAsia="宋体" w:cs="Times New Roman"/>
                <w:i w:val="0"/>
                <w:iCs w:val="0"/>
                <w:color w:val="auto"/>
                <w:sz w:val="21"/>
                <w:szCs w:val="21"/>
                <w:u w:val="none"/>
              </w:rPr>
            </w:pPr>
          </w:p>
        </w:tc>
        <w:tc>
          <w:tcPr>
            <w:tcW w:w="1169" w:type="pct"/>
            <w:shd w:val="clear" w:color="auto" w:fill="auto"/>
            <w:vAlign w:val="center"/>
          </w:tcPr>
          <w:p w14:paraId="0C4CB3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乙类工</w:t>
            </w:r>
          </w:p>
        </w:tc>
        <w:tc>
          <w:tcPr>
            <w:tcW w:w="623" w:type="pct"/>
            <w:shd w:val="clear" w:color="auto" w:fill="auto"/>
            <w:vAlign w:val="center"/>
          </w:tcPr>
          <w:p w14:paraId="30F31C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工日</w:t>
            </w:r>
          </w:p>
        </w:tc>
        <w:tc>
          <w:tcPr>
            <w:tcW w:w="623" w:type="pct"/>
            <w:shd w:val="clear" w:color="auto" w:fill="auto"/>
            <w:vAlign w:val="center"/>
          </w:tcPr>
          <w:p w14:paraId="13F52F9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w:t>
            </w:r>
          </w:p>
        </w:tc>
        <w:tc>
          <w:tcPr>
            <w:tcW w:w="1041" w:type="dxa"/>
            <w:shd w:val="clear" w:color="auto" w:fill="auto"/>
            <w:vAlign w:val="center"/>
          </w:tcPr>
          <w:p w14:paraId="66350F3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cs="Times New Roman"/>
                <w:i w:val="0"/>
                <w:iCs w:val="0"/>
                <w:color w:val="auto"/>
                <w:kern w:val="0"/>
                <w:sz w:val="20"/>
                <w:szCs w:val="20"/>
                <w:u w:val="none"/>
                <w:lang w:val="en-US" w:eastAsia="zh-CN" w:bidi="ar"/>
              </w:rPr>
              <w:t>134.59</w:t>
            </w:r>
          </w:p>
        </w:tc>
        <w:tc>
          <w:tcPr>
            <w:tcW w:w="1034" w:type="pct"/>
            <w:shd w:val="clear" w:color="auto" w:fill="auto"/>
            <w:vAlign w:val="center"/>
          </w:tcPr>
          <w:p w14:paraId="4CDF3CA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eastAsia" w:cs="Times New Roman"/>
                <w:i w:val="0"/>
                <w:iCs w:val="0"/>
                <w:color w:val="auto"/>
                <w:kern w:val="0"/>
                <w:sz w:val="21"/>
                <w:szCs w:val="21"/>
                <w:u w:val="none"/>
                <w:lang w:val="en-US" w:eastAsia="zh-CN" w:bidi="ar"/>
              </w:rPr>
              <w:t>942.13</w:t>
            </w:r>
          </w:p>
        </w:tc>
      </w:tr>
      <w:tr w14:paraId="5E821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2EE9EF1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169" w:type="pct"/>
            <w:shd w:val="clear" w:color="auto" w:fill="auto"/>
            <w:vAlign w:val="center"/>
          </w:tcPr>
          <w:p w14:paraId="129A7E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材料费</w:t>
            </w:r>
          </w:p>
        </w:tc>
        <w:tc>
          <w:tcPr>
            <w:tcW w:w="623" w:type="pct"/>
            <w:shd w:val="clear" w:color="auto" w:fill="auto"/>
            <w:vAlign w:val="center"/>
          </w:tcPr>
          <w:p w14:paraId="28A23512">
            <w:pPr>
              <w:jc w:val="center"/>
              <w:rPr>
                <w:rFonts w:hint="default" w:ascii="Times New Roman" w:hAnsi="Times New Roman" w:eastAsia="宋体" w:cs="Times New Roman"/>
                <w:i w:val="0"/>
                <w:iCs w:val="0"/>
                <w:color w:val="auto"/>
                <w:sz w:val="21"/>
                <w:szCs w:val="21"/>
                <w:u w:val="none"/>
              </w:rPr>
            </w:pPr>
          </w:p>
        </w:tc>
        <w:tc>
          <w:tcPr>
            <w:tcW w:w="623" w:type="pct"/>
            <w:shd w:val="clear" w:color="auto" w:fill="auto"/>
            <w:vAlign w:val="center"/>
          </w:tcPr>
          <w:p w14:paraId="2A8C462B">
            <w:pPr>
              <w:jc w:val="center"/>
              <w:rPr>
                <w:rFonts w:hint="default" w:ascii="Times New Roman" w:hAnsi="Times New Roman" w:eastAsia="宋体" w:cs="Times New Roman"/>
                <w:i w:val="0"/>
                <w:iCs w:val="0"/>
                <w:color w:val="auto"/>
                <w:sz w:val="21"/>
                <w:szCs w:val="21"/>
                <w:u w:val="none"/>
              </w:rPr>
            </w:pPr>
          </w:p>
        </w:tc>
        <w:tc>
          <w:tcPr>
            <w:tcW w:w="625" w:type="pct"/>
            <w:shd w:val="clear" w:color="auto" w:fill="auto"/>
            <w:vAlign w:val="center"/>
          </w:tcPr>
          <w:p w14:paraId="3A018AA5">
            <w:pPr>
              <w:jc w:val="center"/>
              <w:rPr>
                <w:rFonts w:hint="default" w:ascii="Times New Roman" w:hAnsi="Times New Roman" w:eastAsia="宋体" w:cs="Times New Roman"/>
                <w:i w:val="0"/>
                <w:iCs w:val="0"/>
                <w:color w:val="auto"/>
                <w:sz w:val="21"/>
                <w:szCs w:val="21"/>
                <w:u w:val="none"/>
              </w:rPr>
            </w:pPr>
          </w:p>
        </w:tc>
        <w:tc>
          <w:tcPr>
            <w:tcW w:w="1034" w:type="pct"/>
            <w:shd w:val="clear" w:color="auto" w:fill="auto"/>
            <w:vAlign w:val="center"/>
          </w:tcPr>
          <w:p w14:paraId="58132A0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1536.60 </w:t>
            </w:r>
          </w:p>
        </w:tc>
      </w:tr>
      <w:tr w14:paraId="39822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36E9E7DE">
            <w:pPr>
              <w:jc w:val="center"/>
              <w:rPr>
                <w:rFonts w:hint="default" w:ascii="Times New Roman" w:hAnsi="Times New Roman" w:eastAsia="宋体" w:cs="Times New Roman"/>
                <w:i w:val="0"/>
                <w:iCs w:val="0"/>
                <w:color w:val="auto"/>
                <w:sz w:val="21"/>
                <w:szCs w:val="21"/>
                <w:u w:val="none"/>
              </w:rPr>
            </w:pPr>
          </w:p>
        </w:tc>
        <w:tc>
          <w:tcPr>
            <w:tcW w:w="1169" w:type="pct"/>
            <w:shd w:val="clear" w:color="auto" w:fill="auto"/>
            <w:vAlign w:val="center"/>
          </w:tcPr>
          <w:p w14:paraId="17A9CD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树苗</w:t>
            </w:r>
          </w:p>
        </w:tc>
        <w:tc>
          <w:tcPr>
            <w:tcW w:w="623" w:type="pct"/>
            <w:shd w:val="clear" w:color="auto" w:fill="auto"/>
            <w:vAlign w:val="center"/>
          </w:tcPr>
          <w:p w14:paraId="75FEC2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株</w:t>
            </w:r>
          </w:p>
        </w:tc>
        <w:tc>
          <w:tcPr>
            <w:tcW w:w="623" w:type="pct"/>
            <w:shd w:val="clear" w:color="auto" w:fill="auto"/>
            <w:vAlign w:val="center"/>
          </w:tcPr>
          <w:p w14:paraId="32DBCA4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102</w:t>
            </w:r>
          </w:p>
        </w:tc>
        <w:tc>
          <w:tcPr>
            <w:tcW w:w="625" w:type="pct"/>
            <w:shd w:val="clear" w:color="auto" w:fill="auto"/>
            <w:vAlign w:val="center"/>
          </w:tcPr>
          <w:p w14:paraId="5D03E59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15.00 </w:t>
            </w:r>
          </w:p>
        </w:tc>
        <w:tc>
          <w:tcPr>
            <w:tcW w:w="1034" w:type="pct"/>
            <w:shd w:val="clear" w:color="auto" w:fill="auto"/>
            <w:vAlign w:val="center"/>
          </w:tcPr>
          <w:p w14:paraId="38DA758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1530.00 </w:t>
            </w:r>
          </w:p>
        </w:tc>
      </w:tr>
      <w:tr w14:paraId="49751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36AA1C74">
            <w:pPr>
              <w:jc w:val="center"/>
              <w:rPr>
                <w:rFonts w:hint="default" w:ascii="Times New Roman" w:hAnsi="Times New Roman" w:eastAsia="宋体" w:cs="Times New Roman"/>
                <w:i w:val="0"/>
                <w:iCs w:val="0"/>
                <w:color w:val="auto"/>
                <w:sz w:val="21"/>
                <w:szCs w:val="21"/>
                <w:u w:val="none"/>
              </w:rPr>
            </w:pPr>
          </w:p>
        </w:tc>
        <w:tc>
          <w:tcPr>
            <w:tcW w:w="1169" w:type="pct"/>
            <w:shd w:val="clear" w:color="auto" w:fill="auto"/>
            <w:vAlign w:val="center"/>
          </w:tcPr>
          <w:p w14:paraId="2A7CDE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水</w:t>
            </w:r>
          </w:p>
        </w:tc>
        <w:tc>
          <w:tcPr>
            <w:tcW w:w="623" w:type="pct"/>
            <w:shd w:val="clear" w:color="auto" w:fill="auto"/>
            <w:vAlign w:val="center"/>
          </w:tcPr>
          <w:p w14:paraId="214D06F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m³</w:t>
            </w:r>
          </w:p>
        </w:tc>
        <w:tc>
          <w:tcPr>
            <w:tcW w:w="623" w:type="pct"/>
            <w:shd w:val="clear" w:color="auto" w:fill="auto"/>
            <w:vAlign w:val="center"/>
          </w:tcPr>
          <w:p w14:paraId="36B79EE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625" w:type="pct"/>
            <w:shd w:val="clear" w:color="auto" w:fill="auto"/>
            <w:vAlign w:val="center"/>
          </w:tcPr>
          <w:p w14:paraId="1EAFEFB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3.30 </w:t>
            </w:r>
          </w:p>
        </w:tc>
        <w:tc>
          <w:tcPr>
            <w:tcW w:w="1034" w:type="pct"/>
            <w:shd w:val="clear" w:color="auto" w:fill="auto"/>
            <w:vAlign w:val="center"/>
          </w:tcPr>
          <w:p w14:paraId="3682AA7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6.60 </w:t>
            </w:r>
          </w:p>
        </w:tc>
      </w:tr>
      <w:tr w14:paraId="335DE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7D133A4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1169" w:type="pct"/>
            <w:shd w:val="clear" w:color="auto" w:fill="auto"/>
            <w:vAlign w:val="center"/>
          </w:tcPr>
          <w:p w14:paraId="49E9AC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机械使用费</w:t>
            </w:r>
          </w:p>
        </w:tc>
        <w:tc>
          <w:tcPr>
            <w:tcW w:w="623" w:type="pct"/>
            <w:shd w:val="clear" w:color="auto" w:fill="auto"/>
            <w:vAlign w:val="center"/>
          </w:tcPr>
          <w:p w14:paraId="4431E258">
            <w:pPr>
              <w:jc w:val="center"/>
              <w:rPr>
                <w:rFonts w:hint="default" w:ascii="Times New Roman" w:hAnsi="Times New Roman" w:eastAsia="宋体" w:cs="Times New Roman"/>
                <w:i w:val="0"/>
                <w:iCs w:val="0"/>
                <w:color w:val="auto"/>
                <w:sz w:val="21"/>
                <w:szCs w:val="21"/>
                <w:u w:val="none"/>
              </w:rPr>
            </w:pPr>
          </w:p>
        </w:tc>
        <w:tc>
          <w:tcPr>
            <w:tcW w:w="623" w:type="pct"/>
            <w:shd w:val="clear" w:color="auto" w:fill="auto"/>
            <w:vAlign w:val="center"/>
          </w:tcPr>
          <w:p w14:paraId="4F1CD4CE">
            <w:pPr>
              <w:jc w:val="center"/>
              <w:rPr>
                <w:rFonts w:hint="default" w:ascii="Times New Roman" w:hAnsi="Times New Roman" w:eastAsia="宋体" w:cs="Times New Roman"/>
                <w:i w:val="0"/>
                <w:iCs w:val="0"/>
                <w:color w:val="auto"/>
                <w:sz w:val="21"/>
                <w:szCs w:val="21"/>
                <w:u w:val="none"/>
              </w:rPr>
            </w:pPr>
          </w:p>
        </w:tc>
        <w:tc>
          <w:tcPr>
            <w:tcW w:w="625" w:type="pct"/>
            <w:shd w:val="clear" w:color="auto" w:fill="auto"/>
            <w:vAlign w:val="center"/>
          </w:tcPr>
          <w:p w14:paraId="0EEAD9C4">
            <w:pPr>
              <w:jc w:val="center"/>
              <w:rPr>
                <w:rFonts w:hint="default" w:ascii="Times New Roman" w:hAnsi="Times New Roman" w:eastAsia="宋体" w:cs="Times New Roman"/>
                <w:i w:val="0"/>
                <w:iCs w:val="0"/>
                <w:color w:val="auto"/>
                <w:sz w:val="21"/>
                <w:szCs w:val="21"/>
                <w:u w:val="none"/>
              </w:rPr>
            </w:pPr>
          </w:p>
        </w:tc>
        <w:tc>
          <w:tcPr>
            <w:tcW w:w="1034" w:type="pct"/>
            <w:shd w:val="clear" w:color="auto" w:fill="auto"/>
            <w:vAlign w:val="center"/>
          </w:tcPr>
          <w:p w14:paraId="256046DC">
            <w:pPr>
              <w:jc w:val="center"/>
              <w:rPr>
                <w:rFonts w:hint="default" w:ascii="Times New Roman" w:hAnsi="Times New Roman" w:eastAsia="宋体" w:cs="Times New Roman"/>
                <w:i w:val="0"/>
                <w:iCs w:val="0"/>
                <w:color w:val="auto"/>
                <w:sz w:val="21"/>
                <w:szCs w:val="21"/>
                <w:u w:val="none"/>
              </w:rPr>
            </w:pPr>
          </w:p>
        </w:tc>
      </w:tr>
      <w:tr w14:paraId="3ED58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2F41802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1169" w:type="pct"/>
            <w:shd w:val="clear" w:color="auto" w:fill="auto"/>
            <w:vAlign w:val="center"/>
          </w:tcPr>
          <w:p w14:paraId="4ED861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其他材料费</w:t>
            </w:r>
          </w:p>
        </w:tc>
        <w:tc>
          <w:tcPr>
            <w:tcW w:w="623" w:type="pct"/>
            <w:shd w:val="clear" w:color="auto" w:fill="auto"/>
            <w:vAlign w:val="center"/>
          </w:tcPr>
          <w:p w14:paraId="6626E4A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623" w:type="pct"/>
            <w:shd w:val="clear" w:color="auto" w:fill="auto"/>
            <w:vAlign w:val="center"/>
          </w:tcPr>
          <w:p w14:paraId="3690B3C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0.5</w:t>
            </w:r>
          </w:p>
        </w:tc>
        <w:tc>
          <w:tcPr>
            <w:tcW w:w="625" w:type="pct"/>
            <w:shd w:val="clear" w:color="auto" w:fill="auto"/>
            <w:vAlign w:val="center"/>
          </w:tcPr>
          <w:p w14:paraId="5CA79D8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2797.16 </w:t>
            </w:r>
          </w:p>
        </w:tc>
        <w:tc>
          <w:tcPr>
            <w:tcW w:w="1034" w:type="pct"/>
            <w:shd w:val="clear" w:color="auto" w:fill="auto"/>
            <w:vAlign w:val="center"/>
          </w:tcPr>
          <w:p w14:paraId="67020DF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13.99 </w:t>
            </w:r>
          </w:p>
        </w:tc>
      </w:tr>
      <w:tr w14:paraId="740D6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618795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（二）</w:t>
            </w:r>
          </w:p>
        </w:tc>
        <w:tc>
          <w:tcPr>
            <w:tcW w:w="1169" w:type="pct"/>
            <w:shd w:val="clear" w:color="auto" w:fill="auto"/>
            <w:vAlign w:val="center"/>
          </w:tcPr>
          <w:p w14:paraId="568995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措施费</w:t>
            </w:r>
          </w:p>
        </w:tc>
        <w:tc>
          <w:tcPr>
            <w:tcW w:w="623" w:type="pct"/>
            <w:shd w:val="clear" w:color="auto" w:fill="auto"/>
            <w:vAlign w:val="center"/>
          </w:tcPr>
          <w:p w14:paraId="64A0F29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623" w:type="pct"/>
            <w:shd w:val="clear" w:color="auto" w:fill="auto"/>
            <w:vAlign w:val="center"/>
          </w:tcPr>
          <w:p w14:paraId="5271BCB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3.8</w:t>
            </w:r>
          </w:p>
        </w:tc>
        <w:tc>
          <w:tcPr>
            <w:tcW w:w="625" w:type="pct"/>
            <w:shd w:val="clear" w:color="auto" w:fill="auto"/>
            <w:vAlign w:val="center"/>
          </w:tcPr>
          <w:p w14:paraId="3E0A30D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2811.15 </w:t>
            </w:r>
          </w:p>
        </w:tc>
        <w:tc>
          <w:tcPr>
            <w:tcW w:w="1034" w:type="pct"/>
            <w:shd w:val="clear" w:color="auto" w:fill="auto"/>
            <w:vAlign w:val="center"/>
          </w:tcPr>
          <w:p w14:paraId="1A2BF71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106.82 </w:t>
            </w:r>
          </w:p>
        </w:tc>
      </w:tr>
      <w:tr w14:paraId="15E15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423077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二</w:t>
            </w:r>
          </w:p>
        </w:tc>
        <w:tc>
          <w:tcPr>
            <w:tcW w:w="1169" w:type="pct"/>
            <w:shd w:val="clear" w:color="auto" w:fill="auto"/>
            <w:vAlign w:val="center"/>
          </w:tcPr>
          <w:p w14:paraId="39CAAC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间接费</w:t>
            </w:r>
          </w:p>
        </w:tc>
        <w:tc>
          <w:tcPr>
            <w:tcW w:w="623" w:type="pct"/>
            <w:shd w:val="clear" w:color="auto" w:fill="auto"/>
            <w:vAlign w:val="center"/>
          </w:tcPr>
          <w:p w14:paraId="7B4A2BC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623" w:type="pct"/>
            <w:shd w:val="clear" w:color="auto" w:fill="auto"/>
            <w:vAlign w:val="center"/>
          </w:tcPr>
          <w:p w14:paraId="689D494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625" w:type="pct"/>
            <w:shd w:val="clear" w:color="auto" w:fill="auto"/>
            <w:vAlign w:val="center"/>
          </w:tcPr>
          <w:p w14:paraId="5A3AAE3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2917.97 </w:t>
            </w:r>
          </w:p>
        </w:tc>
        <w:tc>
          <w:tcPr>
            <w:tcW w:w="1034" w:type="pct"/>
            <w:shd w:val="clear" w:color="auto" w:fill="auto"/>
            <w:vAlign w:val="center"/>
          </w:tcPr>
          <w:p w14:paraId="1D8B93A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145.90 </w:t>
            </w:r>
          </w:p>
        </w:tc>
      </w:tr>
      <w:tr w14:paraId="6B6DF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6FD023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三</w:t>
            </w:r>
          </w:p>
        </w:tc>
        <w:tc>
          <w:tcPr>
            <w:tcW w:w="1169" w:type="pct"/>
            <w:shd w:val="clear" w:color="auto" w:fill="auto"/>
            <w:vAlign w:val="center"/>
          </w:tcPr>
          <w:p w14:paraId="4DBCD7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利润</w:t>
            </w:r>
          </w:p>
        </w:tc>
        <w:tc>
          <w:tcPr>
            <w:tcW w:w="623" w:type="pct"/>
            <w:shd w:val="clear" w:color="auto" w:fill="auto"/>
            <w:vAlign w:val="center"/>
          </w:tcPr>
          <w:p w14:paraId="4BDE2E8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623" w:type="pct"/>
            <w:shd w:val="clear" w:color="auto" w:fill="auto"/>
            <w:vAlign w:val="center"/>
          </w:tcPr>
          <w:p w14:paraId="74FE5B0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625" w:type="pct"/>
            <w:shd w:val="clear" w:color="auto" w:fill="auto"/>
            <w:vAlign w:val="center"/>
          </w:tcPr>
          <w:p w14:paraId="2076EC8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3063.87 </w:t>
            </w:r>
          </w:p>
        </w:tc>
        <w:tc>
          <w:tcPr>
            <w:tcW w:w="1034" w:type="pct"/>
            <w:shd w:val="clear" w:color="auto" w:fill="auto"/>
            <w:vAlign w:val="center"/>
          </w:tcPr>
          <w:p w14:paraId="19F8690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91.92 </w:t>
            </w:r>
          </w:p>
        </w:tc>
      </w:tr>
      <w:tr w14:paraId="7698F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49BB04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四</w:t>
            </w:r>
          </w:p>
        </w:tc>
        <w:tc>
          <w:tcPr>
            <w:tcW w:w="1169" w:type="pct"/>
            <w:shd w:val="clear" w:color="auto" w:fill="auto"/>
            <w:vAlign w:val="center"/>
          </w:tcPr>
          <w:p w14:paraId="066846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税</w:t>
            </w:r>
            <w:r>
              <w:rPr>
                <w:rFonts w:hint="default" w:ascii="Times New Roman" w:hAnsi="Times New Roman" w:eastAsia="宋体" w:cs="Times New Roman"/>
                <w:i w:val="0"/>
                <w:iCs w:val="0"/>
                <w:color w:val="auto"/>
                <w:kern w:val="0"/>
                <w:sz w:val="21"/>
                <w:szCs w:val="21"/>
                <w:u w:val="none"/>
                <w:lang w:val="en-US" w:eastAsia="zh-CN" w:bidi="ar"/>
              </w:rPr>
              <w:t xml:space="preserve">  </w:t>
            </w:r>
            <w:r>
              <w:rPr>
                <w:rFonts w:hint="eastAsia" w:ascii="宋体" w:hAnsi="宋体" w:eastAsia="宋体" w:cs="宋体"/>
                <w:i w:val="0"/>
                <w:iCs w:val="0"/>
                <w:color w:val="auto"/>
                <w:kern w:val="0"/>
                <w:sz w:val="21"/>
                <w:szCs w:val="21"/>
                <w:u w:val="none"/>
                <w:lang w:val="en-US" w:eastAsia="zh-CN" w:bidi="ar"/>
              </w:rPr>
              <w:t>金</w:t>
            </w:r>
          </w:p>
        </w:tc>
        <w:tc>
          <w:tcPr>
            <w:tcW w:w="623" w:type="pct"/>
            <w:shd w:val="clear" w:color="auto" w:fill="auto"/>
            <w:vAlign w:val="center"/>
          </w:tcPr>
          <w:p w14:paraId="0342D7A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623" w:type="pct"/>
            <w:shd w:val="clear" w:color="auto" w:fill="auto"/>
            <w:vAlign w:val="center"/>
          </w:tcPr>
          <w:p w14:paraId="20C258D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w:t>
            </w:r>
          </w:p>
        </w:tc>
        <w:tc>
          <w:tcPr>
            <w:tcW w:w="625" w:type="pct"/>
            <w:shd w:val="clear" w:color="auto" w:fill="auto"/>
            <w:vAlign w:val="center"/>
          </w:tcPr>
          <w:p w14:paraId="22DEBFA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3155.78 </w:t>
            </w:r>
          </w:p>
        </w:tc>
        <w:tc>
          <w:tcPr>
            <w:tcW w:w="1034" w:type="pct"/>
            <w:shd w:val="clear" w:color="auto" w:fill="auto"/>
            <w:vAlign w:val="center"/>
          </w:tcPr>
          <w:p w14:paraId="2CBBC61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284.02 </w:t>
            </w:r>
          </w:p>
        </w:tc>
      </w:tr>
      <w:tr w14:paraId="0F534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2092" w:type="pct"/>
            <w:gridSpan w:val="2"/>
            <w:shd w:val="clear" w:color="auto" w:fill="auto"/>
            <w:vAlign w:val="center"/>
          </w:tcPr>
          <w:p w14:paraId="0220EA3B">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合</w:t>
            </w:r>
            <w:r>
              <w:rPr>
                <w:rFonts w:hint="default" w:ascii="Times New Roman" w:hAnsi="Times New Roman" w:eastAsia="宋体" w:cs="Times New Roman"/>
                <w:b/>
                <w:bCs/>
                <w:i w:val="0"/>
                <w:iCs w:val="0"/>
                <w:color w:val="auto"/>
                <w:kern w:val="0"/>
                <w:sz w:val="21"/>
                <w:szCs w:val="21"/>
                <w:u w:val="none"/>
                <w:lang w:val="en-US" w:eastAsia="zh-CN" w:bidi="ar"/>
              </w:rPr>
              <w:t xml:space="preserve">      </w:t>
            </w:r>
            <w:r>
              <w:rPr>
                <w:rFonts w:hint="eastAsia" w:ascii="宋体" w:hAnsi="宋体" w:eastAsia="宋体" w:cs="宋体"/>
                <w:b/>
                <w:bCs/>
                <w:i w:val="0"/>
                <w:iCs w:val="0"/>
                <w:color w:val="auto"/>
                <w:kern w:val="0"/>
                <w:sz w:val="21"/>
                <w:szCs w:val="21"/>
                <w:u w:val="none"/>
                <w:lang w:val="en-US" w:eastAsia="zh-CN" w:bidi="ar"/>
              </w:rPr>
              <w:t>计</w:t>
            </w:r>
          </w:p>
        </w:tc>
        <w:tc>
          <w:tcPr>
            <w:tcW w:w="623" w:type="pct"/>
            <w:shd w:val="clear" w:color="auto" w:fill="auto"/>
            <w:vAlign w:val="center"/>
          </w:tcPr>
          <w:p w14:paraId="4374E401">
            <w:pPr>
              <w:jc w:val="center"/>
              <w:rPr>
                <w:rFonts w:hint="default" w:ascii="Times New Roman" w:hAnsi="Times New Roman" w:eastAsia="宋体" w:cs="Times New Roman"/>
                <w:b/>
                <w:bCs/>
                <w:i w:val="0"/>
                <w:iCs w:val="0"/>
                <w:color w:val="auto"/>
                <w:sz w:val="21"/>
                <w:szCs w:val="21"/>
                <w:u w:val="none"/>
              </w:rPr>
            </w:pPr>
          </w:p>
        </w:tc>
        <w:tc>
          <w:tcPr>
            <w:tcW w:w="623" w:type="pct"/>
            <w:shd w:val="clear" w:color="auto" w:fill="auto"/>
            <w:vAlign w:val="center"/>
          </w:tcPr>
          <w:p w14:paraId="6C9F98E3">
            <w:pPr>
              <w:jc w:val="center"/>
              <w:rPr>
                <w:rFonts w:hint="default" w:ascii="Times New Roman" w:hAnsi="Times New Roman" w:eastAsia="宋体" w:cs="Times New Roman"/>
                <w:b/>
                <w:bCs/>
                <w:i w:val="0"/>
                <w:iCs w:val="0"/>
                <w:color w:val="auto"/>
                <w:sz w:val="21"/>
                <w:szCs w:val="21"/>
                <w:u w:val="none"/>
              </w:rPr>
            </w:pPr>
          </w:p>
        </w:tc>
        <w:tc>
          <w:tcPr>
            <w:tcW w:w="625" w:type="pct"/>
            <w:shd w:val="clear" w:color="auto" w:fill="auto"/>
            <w:vAlign w:val="center"/>
          </w:tcPr>
          <w:p w14:paraId="715690D2">
            <w:pPr>
              <w:jc w:val="center"/>
              <w:rPr>
                <w:rFonts w:hint="default" w:ascii="Times New Roman" w:hAnsi="Times New Roman" w:eastAsia="宋体" w:cs="Times New Roman"/>
                <w:b/>
                <w:bCs/>
                <w:i w:val="0"/>
                <w:iCs w:val="0"/>
                <w:color w:val="auto"/>
                <w:sz w:val="21"/>
                <w:szCs w:val="21"/>
                <w:u w:val="none"/>
              </w:rPr>
            </w:pPr>
          </w:p>
        </w:tc>
        <w:tc>
          <w:tcPr>
            <w:tcW w:w="1034" w:type="pct"/>
            <w:shd w:val="clear" w:color="auto" w:fill="auto"/>
            <w:vAlign w:val="center"/>
          </w:tcPr>
          <w:p w14:paraId="4B39396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 xml:space="preserve">3439.80 </w:t>
            </w:r>
          </w:p>
        </w:tc>
      </w:tr>
    </w:tbl>
    <w:p w14:paraId="200D7267">
      <w:pPr>
        <w:shd w:val="clear" w:color="000000" w:fill="auto"/>
        <w:jc w:val="center"/>
        <w:rPr>
          <w:b/>
          <w:bCs/>
          <w:color w:val="auto"/>
          <w:sz w:val="28"/>
          <w:szCs w:val="28"/>
        </w:rPr>
      </w:pPr>
    </w:p>
    <w:p w14:paraId="21D2A79A">
      <w:pPr>
        <w:shd w:val="clear" w:color="000000" w:fill="auto"/>
        <w:jc w:val="center"/>
        <w:rPr>
          <w:b/>
          <w:bCs/>
          <w:color w:val="auto"/>
          <w:sz w:val="28"/>
          <w:szCs w:val="28"/>
        </w:rPr>
      </w:pPr>
    </w:p>
    <w:p w14:paraId="219A9BAB">
      <w:pPr>
        <w:shd w:val="clear" w:color="000000" w:fill="auto"/>
        <w:jc w:val="center"/>
        <w:rPr>
          <w:b/>
          <w:bCs/>
          <w:color w:val="auto"/>
          <w:sz w:val="28"/>
          <w:szCs w:val="28"/>
        </w:rPr>
      </w:pP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531"/>
        <w:gridCol w:w="1941"/>
        <w:gridCol w:w="1038"/>
        <w:gridCol w:w="1034"/>
        <w:gridCol w:w="1039"/>
        <w:gridCol w:w="1719"/>
      </w:tblGrid>
      <w:tr w14:paraId="44B16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trPr>
        <w:tc>
          <w:tcPr>
            <w:tcW w:w="5000" w:type="pct"/>
            <w:gridSpan w:val="6"/>
            <w:shd w:val="clear" w:color="auto" w:fill="auto"/>
            <w:vAlign w:val="center"/>
          </w:tcPr>
          <w:p w14:paraId="139C00B2">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散播种草（覆土）</w:t>
            </w:r>
          </w:p>
        </w:tc>
      </w:tr>
      <w:tr w14:paraId="57D2E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3965" w:type="pct"/>
            <w:gridSpan w:val="5"/>
            <w:shd w:val="clear" w:color="auto" w:fill="auto"/>
            <w:vAlign w:val="center"/>
          </w:tcPr>
          <w:p w14:paraId="29C00018">
            <w:pPr>
              <w:keepNext w:val="0"/>
              <w:keepLines w:val="0"/>
              <w:widowControl/>
              <w:suppressLineNumbers w:val="0"/>
              <w:jc w:val="left"/>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定额编号：</w:t>
            </w:r>
            <w:r>
              <w:rPr>
                <w:rFonts w:hint="default" w:ascii="Times New Roman" w:hAnsi="Times New Roman" w:eastAsia="宋体" w:cs="Times New Roman"/>
                <w:b/>
                <w:bCs/>
                <w:i w:val="0"/>
                <w:iCs w:val="0"/>
                <w:color w:val="auto"/>
                <w:kern w:val="0"/>
                <w:sz w:val="20"/>
                <w:szCs w:val="20"/>
                <w:u w:val="none"/>
                <w:lang w:val="en-US" w:eastAsia="zh-CN" w:bidi="ar"/>
              </w:rPr>
              <w:t>50031</w:t>
            </w:r>
          </w:p>
        </w:tc>
        <w:tc>
          <w:tcPr>
            <w:tcW w:w="1034" w:type="pct"/>
            <w:vMerge w:val="restart"/>
            <w:shd w:val="clear" w:color="auto" w:fill="auto"/>
            <w:vAlign w:val="center"/>
          </w:tcPr>
          <w:p w14:paraId="6DFD110B">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单位：元</w:t>
            </w:r>
            <w:r>
              <w:rPr>
                <w:rFonts w:hint="default" w:ascii="Times New Roman" w:hAnsi="Times New Roman" w:eastAsia="宋体" w:cs="Times New Roman"/>
                <w:b/>
                <w:bCs/>
                <w:i w:val="0"/>
                <w:iCs w:val="0"/>
                <w:color w:val="auto"/>
                <w:kern w:val="0"/>
                <w:sz w:val="20"/>
                <w:szCs w:val="20"/>
                <w:u w:val="none"/>
                <w:lang w:val="en-US" w:eastAsia="zh-CN" w:bidi="ar"/>
              </w:rPr>
              <w:t>/hm</w:t>
            </w:r>
            <w:r>
              <w:rPr>
                <w:rFonts w:hint="default" w:ascii="Times New Roman" w:hAnsi="Times New Roman" w:eastAsia="宋体" w:cs="Times New Roman"/>
                <w:b/>
                <w:bCs/>
                <w:i w:val="0"/>
                <w:iCs w:val="0"/>
                <w:color w:val="auto"/>
                <w:kern w:val="0"/>
                <w:sz w:val="20"/>
                <w:szCs w:val="20"/>
                <w:u w:val="none"/>
                <w:vertAlign w:val="superscript"/>
                <w:lang w:val="en-US" w:eastAsia="zh-CN" w:bidi="ar"/>
              </w:rPr>
              <w:t>2</w:t>
            </w:r>
          </w:p>
        </w:tc>
      </w:tr>
      <w:tr w14:paraId="7FE9E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3965" w:type="pct"/>
            <w:gridSpan w:val="5"/>
            <w:shd w:val="clear" w:color="auto" w:fill="auto"/>
            <w:vAlign w:val="center"/>
          </w:tcPr>
          <w:p w14:paraId="7756CD19">
            <w:pPr>
              <w:keepNext w:val="0"/>
              <w:keepLines w:val="0"/>
              <w:widowControl/>
              <w:suppressLineNumbers w:val="0"/>
              <w:jc w:val="left"/>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工作内容：种子处理、人工散播草籽、用耙、耱、石磙子碾等方法覆土。</w:t>
            </w:r>
          </w:p>
        </w:tc>
        <w:tc>
          <w:tcPr>
            <w:tcW w:w="1034" w:type="pct"/>
            <w:vMerge w:val="continue"/>
            <w:shd w:val="clear" w:color="auto" w:fill="auto"/>
            <w:vAlign w:val="center"/>
          </w:tcPr>
          <w:p w14:paraId="009E0450">
            <w:pPr>
              <w:jc w:val="center"/>
              <w:rPr>
                <w:rFonts w:hint="eastAsia" w:ascii="宋体" w:hAnsi="宋体" w:eastAsia="宋体" w:cs="宋体"/>
                <w:b/>
                <w:bCs/>
                <w:i w:val="0"/>
                <w:iCs w:val="0"/>
                <w:color w:val="auto"/>
                <w:sz w:val="20"/>
                <w:szCs w:val="20"/>
                <w:u w:val="none"/>
              </w:rPr>
            </w:pPr>
          </w:p>
        </w:tc>
      </w:tr>
      <w:tr w14:paraId="3955A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6612C07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序号</w:t>
            </w:r>
          </w:p>
        </w:tc>
        <w:tc>
          <w:tcPr>
            <w:tcW w:w="1169" w:type="pct"/>
            <w:shd w:val="clear" w:color="auto" w:fill="auto"/>
            <w:vAlign w:val="center"/>
          </w:tcPr>
          <w:p w14:paraId="6CBC56A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项目名称</w:t>
            </w:r>
          </w:p>
        </w:tc>
        <w:tc>
          <w:tcPr>
            <w:tcW w:w="623" w:type="pct"/>
            <w:shd w:val="clear" w:color="auto" w:fill="auto"/>
            <w:vAlign w:val="center"/>
          </w:tcPr>
          <w:p w14:paraId="7607B7D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单位</w:t>
            </w:r>
          </w:p>
        </w:tc>
        <w:tc>
          <w:tcPr>
            <w:tcW w:w="623" w:type="pct"/>
            <w:shd w:val="clear" w:color="auto" w:fill="auto"/>
            <w:vAlign w:val="center"/>
          </w:tcPr>
          <w:p w14:paraId="27C6BD8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数量</w:t>
            </w:r>
          </w:p>
        </w:tc>
        <w:tc>
          <w:tcPr>
            <w:tcW w:w="625" w:type="pct"/>
            <w:shd w:val="clear" w:color="auto" w:fill="auto"/>
            <w:vAlign w:val="center"/>
          </w:tcPr>
          <w:p w14:paraId="5D46DD9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单价</w:t>
            </w:r>
          </w:p>
        </w:tc>
        <w:tc>
          <w:tcPr>
            <w:tcW w:w="1034" w:type="pct"/>
            <w:shd w:val="clear" w:color="auto" w:fill="auto"/>
            <w:vAlign w:val="center"/>
          </w:tcPr>
          <w:p w14:paraId="21DC5C8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小计</w:t>
            </w:r>
          </w:p>
        </w:tc>
      </w:tr>
      <w:tr w14:paraId="492D7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6D4BEC5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一</w:t>
            </w:r>
          </w:p>
        </w:tc>
        <w:tc>
          <w:tcPr>
            <w:tcW w:w="1169" w:type="pct"/>
            <w:shd w:val="clear" w:color="auto" w:fill="auto"/>
            <w:vAlign w:val="center"/>
          </w:tcPr>
          <w:p w14:paraId="47CB07C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直接费</w:t>
            </w:r>
          </w:p>
        </w:tc>
        <w:tc>
          <w:tcPr>
            <w:tcW w:w="623" w:type="pct"/>
            <w:shd w:val="clear" w:color="auto" w:fill="auto"/>
            <w:vAlign w:val="center"/>
          </w:tcPr>
          <w:p w14:paraId="774B3C52">
            <w:pPr>
              <w:jc w:val="center"/>
              <w:rPr>
                <w:rFonts w:hint="default" w:ascii="Times New Roman" w:hAnsi="Times New Roman" w:eastAsia="宋体" w:cs="Times New Roman"/>
                <w:i w:val="0"/>
                <w:iCs w:val="0"/>
                <w:color w:val="auto"/>
                <w:sz w:val="20"/>
                <w:szCs w:val="20"/>
                <w:u w:val="none"/>
              </w:rPr>
            </w:pPr>
          </w:p>
        </w:tc>
        <w:tc>
          <w:tcPr>
            <w:tcW w:w="623" w:type="pct"/>
            <w:shd w:val="clear" w:color="auto" w:fill="auto"/>
            <w:vAlign w:val="center"/>
          </w:tcPr>
          <w:p w14:paraId="4D5F5DC6">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vAlign w:val="center"/>
          </w:tcPr>
          <w:p w14:paraId="3CFE2BAF">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vAlign w:val="center"/>
          </w:tcPr>
          <w:p w14:paraId="64E8BF8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5477.95 </w:t>
            </w:r>
          </w:p>
        </w:tc>
      </w:tr>
      <w:tr w14:paraId="2E065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7FB4EE1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（一）</w:t>
            </w:r>
          </w:p>
        </w:tc>
        <w:tc>
          <w:tcPr>
            <w:tcW w:w="1169" w:type="pct"/>
            <w:shd w:val="clear" w:color="auto" w:fill="auto"/>
            <w:vAlign w:val="center"/>
          </w:tcPr>
          <w:p w14:paraId="18F43E5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直接工程费</w:t>
            </w:r>
          </w:p>
        </w:tc>
        <w:tc>
          <w:tcPr>
            <w:tcW w:w="623" w:type="pct"/>
            <w:shd w:val="clear" w:color="auto" w:fill="auto"/>
            <w:vAlign w:val="center"/>
          </w:tcPr>
          <w:p w14:paraId="7FBAD77A">
            <w:pPr>
              <w:jc w:val="center"/>
              <w:rPr>
                <w:rFonts w:hint="default" w:ascii="Times New Roman" w:hAnsi="Times New Roman" w:eastAsia="宋体" w:cs="Times New Roman"/>
                <w:i w:val="0"/>
                <w:iCs w:val="0"/>
                <w:color w:val="auto"/>
                <w:sz w:val="20"/>
                <w:szCs w:val="20"/>
                <w:u w:val="none"/>
              </w:rPr>
            </w:pPr>
          </w:p>
        </w:tc>
        <w:tc>
          <w:tcPr>
            <w:tcW w:w="623" w:type="pct"/>
            <w:shd w:val="clear" w:color="auto" w:fill="auto"/>
            <w:vAlign w:val="center"/>
          </w:tcPr>
          <w:p w14:paraId="34328B0F">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vAlign w:val="center"/>
          </w:tcPr>
          <w:p w14:paraId="39A370BF">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vAlign w:val="center"/>
          </w:tcPr>
          <w:p w14:paraId="78F89CB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5277.41 </w:t>
            </w:r>
          </w:p>
        </w:tc>
      </w:tr>
      <w:tr w14:paraId="49218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4BA9393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w:t>
            </w:r>
          </w:p>
        </w:tc>
        <w:tc>
          <w:tcPr>
            <w:tcW w:w="1169" w:type="pct"/>
            <w:shd w:val="clear" w:color="auto" w:fill="auto"/>
            <w:vAlign w:val="center"/>
          </w:tcPr>
          <w:p w14:paraId="3482458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人工费</w:t>
            </w:r>
          </w:p>
        </w:tc>
        <w:tc>
          <w:tcPr>
            <w:tcW w:w="623" w:type="pct"/>
            <w:shd w:val="clear" w:color="auto" w:fill="auto"/>
            <w:vAlign w:val="center"/>
          </w:tcPr>
          <w:p w14:paraId="5EAB5A61">
            <w:pPr>
              <w:jc w:val="center"/>
              <w:rPr>
                <w:rFonts w:hint="default" w:ascii="Times New Roman" w:hAnsi="Times New Roman" w:eastAsia="宋体" w:cs="Times New Roman"/>
                <w:i w:val="0"/>
                <w:iCs w:val="0"/>
                <w:color w:val="auto"/>
                <w:sz w:val="20"/>
                <w:szCs w:val="20"/>
                <w:u w:val="none"/>
              </w:rPr>
            </w:pPr>
          </w:p>
        </w:tc>
        <w:tc>
          <w:tcPr>
            <w:tcW w:w="623" w:type="pct"/>
            <w:shd w:val="clear" w:color="auto" w:fill="auto"/>
            <w:vAlign w:val="center"/>
          </w:tcPr>
          <w:p w14:paraId="4157547D">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vAlign w:val="center"/>
          </w:tcPr>
          <w:p w14:paraId="4546FCC4">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vAlign w:val="center"/>
          </w:tcPr>
          <w:p w14:paraId="560CA1B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cs="Times New Roman"/>
                <w:i w:val="0"/>
                <w:iCs w:val="0"/>
                <w:color w:val="auto"/>
                <w:kern w:val="0"/>
                <w:sz w:val="20"/>
                <w:szCs w:val="20"/>
                <w:u w:val="none"/>
                <w:lang w:val="en-US" w:eastAsia="zh-CN" w:bidi="ar"/>
              </w:rPr>
              <w:t>1157.47</w:t>
            </w:r>
          </w:p>
        </w:tc>
      </w:tr>
      <w:tr w14:paraId="72050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10FC1BD5">
            <w:pPr>
              <w:jc w:val="center"/>
              <w:rPr>
                <w:rFonts w:hint="default" w:ascii="Times New Roman" w:hAnsi="Times New Roman" w:eastAsia="宋体" w:cs="Times New Roman"/>
                <w:i w:val="0"/>
                <w:iCs w:val="0"/>
                <w:color w:val="auto"/>
                <w:sz w:val="20"/>
                <w:szCs w:val="20"/>
                <w:u w:val="none"/>
              </w:rPr>
            </w:pPr>
          </w:p>
        </w:tc>
        <w:tc>
          <w:tcPr>
            <w:tcW w:w="1169" w:type="pct"/>
            <w:shd w:val="clear" w:color="auto" w:fill="auto"/>
            <w:vAlign w:val="center"/>
          </w:tcPr>
          <w:p w14:paraId="069F581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甲类工</w:t>
            </w:r>
          </w:p>
        </w:tc>
        <w:tc>
          <w:tcPr>
            <w:tcW w:w="623" w:type="pct"/>
            <w:shd w:val="clear" w:color="auto" w:fill="auto"/>
            <w:vAlign w:val="center"/>
          </w:tcPr>
          <w:p w14:paraId="418C7D2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工日</w:t>
            </w:r>
          </w:p>
        </w:tc>
        <w:tc>
          <w:tcPr>
            <w:tcW w:w="623" w:type="pct"/>
            <w:shd w:val="clear" w:color="auto" w:fill="auto"/>
            <w:vAlign w:val="center"/>
          </w:tcPr>
          <w:p w14:paraId="75D475A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w:t>
            </w:r>
          </w:p>
        </w:tc>
        <w:tc>
          <w:tcPr>
            <w:tcW w:w="1039" w:type="dxa"/>
            <w:shd w:val="clear" w:color="auto" w:fill="auto"/>
            <w:vAlign w:val="center"/>
          </w:tcPr>
          <w:p w14:paraId="56AB0FD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180.08 </w:t>
            </w:r>
          </w:p>
        </w:tc>
        <w:tc>
          <w:tcPr>
            <w:tcW w:w="1034" w:type="pct"/>
            <w:shd w:val="clear" w:color="auto" w:fill="auto"/>
            <w:vAlign w:val="center"/>
          </w:tcPr>
          <w:p w14:paraId="3128700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0.00 </w:t>
            </w:r>
          </w:p>
        </w:tc>
      </w:tr>
      <w:tr w14:paraId="30314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3A8A7340">
            <w:pPr>
              <w:jc w:val="center"/>
              <w:rPr>
                <w:rFonts w:hint="default" w:ascii="Times New Roman" w:hAnsi="Times New Roman" w:eastAsia="宋体" w:cs="Times New Roman"/>
                <w:i w:val="0"/>
                <w:iCs w:val="0"/>
                <w:color w:val="auto"/>
                <w:sz w:val="20"/>
                <w:szCs w:val="20"/>
                <w:u w:val="none"/>
              </w:rPr>
            </w:pPr>
          </w:p>
        </w:tc>
        <w:tc>
          <w:tcPr>
            <w:tcW w:w="1169" w:type="pct"/>
            <w:shd w:val="clear" w:color="auto" w:fill="auto"/>
            <w:vAlign w:val="center"/>
          </w:tcPr>
          <w:p w14:paraId="0E234B4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乙类工</w:t>
            </w:r>
          </w:p>
        </w:tc>
        <w:tc>
          <w:tcPr>
            <w:tcW w:w="623" w:type="pct"/>
            <w:shd w:val="clear" w:color="auto" w:fill="auto"/>
            <w:vAlign w:val="center"/>
          </w:tcPr>
          <w:p w14:paraId="49C8DC8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工日</w:t>
            </w:r>
          </w:p>
        </w:tc>
        <w:tc>
          <w:tcPr>
            <w:tcW w:w="623" w:type="pct"/>
            <w:shd w:val="clear" w:color="auto" w:fill="auto"/>
            <w:vAlign w:val="center"/>
          </w:tcPr>
          <w:p w14:paraId="21A90C7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8.6</w:t>
            </w:r>
          </w:p>
        </w:tc>
        <w:tc>
          <w:tcPr>
            <w:tcW w:w="1039" w:type="dxa"/>
            <w:shd w:val="clear" w:color="auto" w:fill="auto"/>
            <w:vAlign w:val="center"/>
          </w:tcPr>
          <w:p w14:paraId="33DB17A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cs="Times New Roman"/>
                <w:i w:val="0"/>
                <w:iCs w:val="0"/>
                <w:color w:val="auto"/>
                <w:kern w:val="0"/>
                <w:sz w:val="20"/>
                <w:szCs w:val="20"/>
                <w:u w:val="none"/>
                <w:lang w:val="en-US" w:eastAsia="zh-CN" w:bidi="ar"/>
              </w:rPr>
              <w:t>134.59</w:t>
            </w:r>
          </w:p>
        </w:tc>
        <w:tc>
          <w:tcPr>
            <w:tcW w:w="1034" w:type="pct"/>
            <w:shd w:val="clear" w:color="auto" w:fill="auto"/>
            <w:vAlign w:val="center"/>
          </w:tcPr>
          <w:p w14:paraId="7827DBF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lang w:val="en-US"/>
              </w:rPr>
            </w:pPr>
            <w:r>
              <w:rPr>
                <w:rFonts w:hint="eastAsia" w:cs="Times New Roman"/>
                <w:i w:val="0"/>
                <w:iCs w:val="0"/>
                <w:color w:val="auto"/>
                <w:kern w:val="0"/>
                <w:sz w:val="20"/>
                <w:szCs w:val="20"/>
                <w:u w:val="none"/>
                <w:lang w:val="en-US" w:eastAsia="zh-CN" w:bidi="ar"/>
              </w:rPr>
              <w:t>1157.47</w:t>
            </w:r>
          </w:p>
        </w:tc>
      </w:tr>
      <w:tr w14:paraId="6DD4F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4D696A2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w:t>
            </w:r>
          </w:p>
        </w:tc>
        <w:tc>
          <w:tcPr>
            <w:tcW w:w="1169" w:type="pct"/>
            <w:shd w:val="clear" w:color="auto" w:fill="auto"/>
            <w:vAlign w:val="center"/>
          </w:tcPr>
          <w:p w14:paraId="4F37FEA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材料费</w:t>
            </w:r>
          </w:p>
        </w:tc>
        <w:tc>
          <w:tcPr>
            <w:tcW w:w="623" w:type="pct"/>
            <w:shd w:val="clear" w:color="auto" w:fill="auto"/>
            <w:vAlign w:val="center"/>
          </w:tcPr>
          <w:p w14:paraId="64C598B5">
            <w:pPr>
              <w:jc w:val="center"/>
              <w:rPr>
                <w:rFonts w:hint="default" w:ascii="Times New Roman" w:hAnsi="Times New Roman" w:eastAsia="宋体" w:cs="Times New Roman"/>
                <w:i w:val="0"/>
                <w:iCs w:val="0"/>
                <w:color w:val="auto"/>
                <w:sz w:val="20"/>
                <w:szCs w:val="20"/>
                <w:u w:val="none"/>
              </w:rPr>
            </w:pPr>
          </w:p>
        </w:tc>
        <w:tc>
          <w:tcPr>
            <w:tcW w:w="623" w:type="pct"/>
            <w:shd w:val="clear" w:color="auto" w:fill="auto"/>
            <w:vAlign w:val="center"/>
          </w:tcPr>
          <w:p w14:paraId="08B67143">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vAlign w:val="center"/>
          </w:tcPr>
          <w:p w14:paraId="1CD4699B">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vAlign w:val="center"/>
          </w:tcPr>
          <w:p w14:paraId="1C36113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3600.00 </w:t>
            </w:r>
          </w:p>
        </w:tc>
      </w:tr>
      <w:tr w14:paraId="37238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noWrap/>
            <w:vAlign w:val="center"/>
          </w:tcPr>
          <w:p w14:paraId="74231C29">
            <w:pPr>
              <w:jc w:val="center"/>
              <w:rPr>
                <w:rFonts w:hint="default" w:ascii="Times New Roman" w:hAnsi="Times New Roman" w:eastAsia="宋体" w:cs="Times New Roman"/>
                <w:i w:val="0"/>
                <w:iCs w:val="0"/>
                <w:color w:val="auto"/>
                <w:sz w:val="20"/>
                <w:szCs w:val="20"/>
                <w:u w:val="none"/>
              </w:rPr>
            </w:pPr>
          </w:p>
        </w:tc>
        <w:tc>
          <w:tcPr>
            <w:tcW w:w="1169" w:type="pct"/>
            <w:shd w:val="clear" w:color="auto" w:fill="auto"/>
            <w:noWrap/>
            <w:vAlign w:val="center"/>
          </w:tcPr>
          <w:p w14:paraId="7293AAE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草籽</w:t>
            </w:r>
          </w:p>
        </w:tc>
        <w:tc>
          <w:tcPr>
            <w:tcW w:w="623" w:type="pct"/>
            <w:shd w:val="clear" w:color="auto" w:fill="auto"/>
            <w:noWrap/>
            <w:vAlign w:val="center"/>
          </w:tcPr>
          <w:p w14:paraId="40FA690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kg</w:t>
            </w:r>
          </w:p>
        </w:tc>
        <w:tc>
          <w:tcPr>
            <w:tcW w:w="623" w:type="pct"/>
            <w:shd w:val="clear" w:color="auto" w:fill="auto"/>
            <w:noWrap/>
            <w:vAlign w:val="center"/>
          </w:tcPr>
          <w:p w14:paraId="4A71AE1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45</w:t>
            </w:r>
          </w:p>
        </w:tc>
        <w:tc>
          <w:tcPr>
            <w:tcW w:w="625" w:type="pct"/>
            <w:shd w:val="clear" w:color="auto" w:fill="auto"/>
            <w:noWrap/>
            <w:vAlign w:val="center"/>
          </w:tcPr>
          <w:p w14:paraId="6CC9B64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80.00 </w:t>
            </w:r>
          </w:p>
        </w:tc>
        <w:tc>
          <w:tcPr>
            <w:tcW w:w="1034" w:type="pct"/>
            <w:shd w:val="clear" w:color="auto" w:fill="auto"/>
            <w:noWrap/>
            <w:vAlign w:val="center"/>
          </w:tcPr>
          <w:p w14:paraId="7219BE7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3600.00 </w:t>
            </w:r>
          </w:p>
        </w:tc>
      </w:tr>
      <w:tr w14:paraId="23F1B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59A46FA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w:t>
            </w:r>
          </w:p>
        </w:tc>
        <w:tc>
          <w:tcPr>
            <w:tcW w:w="1169" w:type="pct"/>
            <w:shd w:val="clear" w:color="auto" w:fill="auto"/>
            <w:vAlign w:val="center"/>
          </w:tcPr>
          <w:p w14:paraId="7F5F8AB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机械费</w:t>
            </w:r>
          </w:p>
        </w:tc>
        <w:tc>
          <w:tcPr>
            <w:tcW w:w="623" w:type="pct"/>
            <w:shd w:val="clear" w:color="auto" w:fill="auto"/>
            <w:vAlign w:val="center"/>
          </w:tcPr>
          <w:p w14:paraId="59DDE466">
            <w:pPr>
              <w:jc w:val="center"/>
              <w:rPr>
                <w:rFonts w:hint="default" w:ascii="Times New Roman" w:hAnsi="Times New Roman" w:eastAsia="宋体" w:cs="Times New Roman"/>
                <w:i w:val="0"/>
                <w:iCs w:val="0"/>
                <w:color w:val="auto"/>
                <w:sz w:val="20"/>
                <w:szCs w:val="20"/>
                <w:u w:val="none"/>
              </w:rPr>
            </w:pPr>
          </w:p>
        </w:tc>
        <w:tc>
          <w:tcPr>
            <w:tcW w:w="623" w:type="pct"/>
            <w:shd w:val="clear" w:color="auto" w:fill="auto"/>
            <w:vAlign w:val="center"/>
          </w:tcPr>
          <w:p w14:paraId="3FB93AE1">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vAlign w:val="center"/>
          </w:tcPr>
          <w:p w14:paraId="51F25962">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vAlign w:val="center"/>
          </w:tcPr>
          <w:p w14:paraId="671A9AAA">
            <w:pPr>
              <w:jc w:val="center"/>
              <w:rPr>
                <w:rFonts w:hint="default" w:ascii="Times New Roman" w:hAnsi="Times New Roman" w:eastAsia="宋体" w:cs="Times New Roman"/>
                <w:i w:val="0"/>
                <w:iCs w:val="0"/>
                <w:color w:val="auto"/>
                <w:sz w:val="20"/>
                <w:szCs w:val="20"/>
                <w:u w:val="none"/>
              </w:rPr>
            </w:pPr>
          </w:p>
        </w:tc>
      </w:tr>
      <w:tr w14:paraId="3FEB2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1BDAC82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w:t>
            </w:r>
          </w:p>
        </w:tc>
        <w:tc>
          <w:tcPr>
            <w:tcW w:w="1169" w:type="pct"/>
            <w:shd w:val="clear" w:color="auto" w:fill="auto"/>
            <w:vAlign w:val="center"/>
          </w:tcPr>
          <w:p w14:paraId="20E7D54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其它费用</w:t>
            </w:r>
          </w:p>
        </w:tc>
        <w:tc>
          <w:tcPr>
            <w:tcW w:w="623" w:type="pct"/>
            <w:shd w:val="clear" w:color="auto" w:fill="auto"/>
            <w:vAlign w:val="center"/>
          </w:tcPr>
          <w:p w14:paraId="6651A6F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w:t>
            </w:r>
          </w:p>
        </w:tc>
        <w:tc>
          <w:tcPr>
            <w:tcW w:w="623" w:type="pct"/>
            <w:shd w:val="clear" w:color="auto" w:fill="auto"/>
            <w:vAlign w:val="center"/>
          </w:tcPr>
          <w:p w14:paraId="2ED59FE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2.5</w:t>
            </w:r>
          </w:p>
        </w:tc>
        <w:tc>
          <w:tcPr>
            <w:tcW w:w="625" w:type="pct"/>
            <w:shd w:val="clear" w:color="auto" w:fill="auto"/>
            <w:vAlign w:val="center"/>
          </w:tcPr>
          <w:p w14:paraId="629EB3C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5148.69 </w:t>
            </w:r>
          </w:p>
        </w:tc>
        <w:tc>
          <w:tcPr>
            <w:tcW w:w="1034" w:type="pct"/>
            <w:shd w:val="clear" w:color="auto" w:fill="auto"/>
            <w:vAlign w:val="center"/>
          </w:tcPr>
          <w:p w14:paraId="0FFE9D6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128.72 </w:t>
            </w:r>
          </w:p>
        </w:tc>
      </w:tr>
      <w:tr w14:paraId="67835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6E8A779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（二）</w:t>
            </w:r>
          </w:p>
        </w:tc>
        <w:tc>
          <w:tcPr>
            <w:tcW w:w="1169" w:type="pct"/>
            <w:shd w:val="clear" w:color="auto" w:fill="auto"/>
            <w:vAlign w:val="center"/>
          </w:tcPr>
          <w:p w14:paraId="4E0A83A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措施费</w:t>
            </w:r>
          </w:p>
        </w:tc>
        <w:tc>
          <w:tcPr>
            <w:tcW w:w="623" w:type="pct"/>
            <w:shd w:val="clear" w:color="auto" w:fill="auto"/>
            <w:vAlign w:val="center"/>
          </w:tcPr>
          <w:p w14:paraId="4FB85FF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w:t>
            </w:r>
          </w:p>
        </w:tc>
        <w:tc>
          <w:tcPr>
            <w:tcW w:w="623" w:type="pct"/>
            <w:shd w:val="clear" w:color="auto" w:fill="auto"/>
            <w:vAlign w:val="center"/>
          </w:tcPr>
          <w:p w14:paraId="5F31944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3.8</w:t>
            </w:r>
          </w:p>
        </w:tc>
        <w:tc>
          <w:tcPr>
            <w:tcW w:w="625" w:type="pct"/>
            <w:shd w:val="clear" w:color="auto" w:fill="auto"/>
            <w:vAlign w:val="center"/>
          </w:tcPr>
          <w:p w14:paraId="2EA44B2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5277.41 </w:t>
            </w:r>
          </w:p>
        </w:tc>
        <w:tc>
          <w:tcPr>
            <w:tcW w:w="1034" w:type="pct"/>
            <w:shd w:val="clear" w:color="auto" w:fill="auto"/>
            <w:vAlign w:val="center"/>
          </w:tcPr>
          <w:p w14:paraId="7DB542B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200.54 </w:t>
            </w:r>
          </w:p>
        </w:tc>
      </w:tr>
      <w:tr w14:paraId="6DCF8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3B8A746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二</w:t>
            </w:r>
          </w:p>
        </w:tc>
        <w:tc>
          <w:tcPr>
            <w:tcW w:w="1169" w:type="pct"/>
            <w:shd w:val="clear" w:color="auto" w:fill="auto"/>
            <w:vAlign w:val="center"/>
          </w:tcPr>
          <w:p w14:paraId="3C075CF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间接费</w:t>
            </w:r>
          </w:p>
        </w:tc>
        <w:tc>
          <w:tcPr>
            <w:tcW w:w="623" w:type="pct"/>
            <w:shd w:val="clear" w:color="auto" w:fill="auto"/>
            <w:vAlign w:val="center"/>
          </w:tcPr>
          <w:p w14:paraId="1C0F544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w:t>
            </w:r>
          </w:p>
        </w:tc>
        <w:tc>
          <w:tcPr>
            <w:tcW w:w="623" w:type="pct"/>
            <w:shd w:val="clear" w:color="auto" w:fill="auto"/>
            <w:vAlign w:val="center"/>
          </w:tcPr>
          <w:p w14:paraId="236C4EE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w:t>
            </w:r>
          </w:p>
        </w:tc>
        <w:tc>
          <w:tcPr>
            <w:tcW w:w="625" w:type="pct"/>
            <w:shd w:val="clear" w:color="auto" w:fill="auto"/>
            <w:vAlign w:val="center"/>
          </w:tcPr>
          <w:p w14:paraId="1B3E513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5477.95 </w:t>
            </w:r>
          </w:p>
        </w:tc>
        <w:tc>
          <w:tcPr>
            <w:tcW w:w="1034" w:type="pct"/>
            <w:shd w:val="clear" w:color="auto" w:fill="auto"/>
            <w:vAlign w:val="center"/>
          </w:tcPr>
          <w:p w14:paraId="6EBA036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273.90 </w:t>
            </w:r>
          </w:p>
        </w:tc>
      </w:tr>
      <w:tr w14:paraId="5BC50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238C34F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三</w:t>
            </w:r>
          </w:p>
        </w:tc>
        <w:tc>
          <w:tcPr>
            <w:tcW w:w="1169" w:type="pct"/>
            <w:shd w:val="clear" w:color="auto" w:fill="auto"/>
            <w:vAlign w:val="center"/>
          </w:tcPr>
          <w:p w14:paraId="1E68E7F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利润</w:t>
            </w:r>
          </w:p>
        </w:tc>
        <w:tc>
          <w:tcPr>
            <w:tcW w:w="623" w:type="pct"/>
            <w:shd w:val="clear" w:color="auto" w:fill="auto"/>
            <w:vAlign w:val="center"/>
          </w:tcPr>
          <w:p w14:paraId="668168B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w:t>
            </w:r>
          </w:p>
        </w:tc>
        <w:tc>
          <w:tcPr>
            <w:tcW w:w="623" w:type="pct"/>
            <w:shd w:val="clear" w:color="auto" w:fill="auto"/>
            <w:vAlign w:val="center"/>
          </w:tcPr>
          <w:p w14:paraId="3BE56B0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w:t>
            </w:r>
          </w:p>
        </w:tc>
        <w:tc>
          <w:tcPr>
            <w:tcW w:w="625" w:type="pct"/>
            <w:shd w:val="clear" w:color="auto" w:fill="auto"/>
            <w:vAlign w:val="center"/>
          </w:tcPr>
          <w:p w14:paraId="2D8BC81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5751.84 </w:t>
            </w:r>
          </w:p>
        </w:tc>
        <w:tc>
          <w:tcPr>
            <w:tcW w:w="1034" w:type="pct"/>
            <w:shd w:val="clear" w:color="auto" w:fill="auto"/>
            <w:vAlign w:val="center"/>
          </w:tcPr>
          <w:p w14:paraId="5BAD8FD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172.56 </w:t>
            </w:r>
          </w:p>
        </w:tc>
      </w:tr>
      <w:tr w14:paraId="153E4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noWrap/>
            <w:vAlign w:val="center"/>
          </w:tcPr>
          <w:p w14:paraId="15A9BE5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四</w:t>
            </w:r>
          </w:p>
        </w:tc>
        <w:tc>
          <w:tcPr>
            <w:tcW w:w="1169" w:type="pct"/>
            <w:shd w:val="clear" w:color="auto" w:fill="auto"/>
            <w:noWrap/>
            <w:vAlign w:val="center"/>
          </w:tcPr>
          <w:p w14:paraId="2BB489A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材料价差</w:t>
            </w:r>
          </w:p>
        </w:tc>
        <w:tc>
          <w:tcPr>
            <w:tcW w:w="623" w:type="pct"/>
            <w:shd w:val="clear" w:color="auto" w:fill="auto"/>
            <w:noWrap/>
            <w:vAlign w:val="center"/>
          </w:tcPr>
          <w:p w14:paraId="13E962A0">
            <w:pPr>
              <w:jc w:val="center"/>
              <w:rPr>
                <w:rFonts w:hint="default" w:ascii="Times New Roman" w:hAnsi="Times New Roman" w:eastAsia="宋体" w:cs="Times New Roman"/>
                <w:i w:val="0"/>
                <w:iCs w:val="0"/>
                <w:color w:val="auto"/>
                <w:sz w:val="20"/>
                <w:szCs w:val="20"/>
                <w:u w:val="none"/>
              </w:rPr>
            </w:pPr>
          </w:p>
        </w:tc>
        <w:tc>
          <w:tcPr>
            <w:tcW w:w="623" w:type="pct"/>
            <w:shd w:val="clear" w:color="auto" w:fill="auto"/>
            <w:noWrap/>
            <w:vAlign w:val="center"/>
          </w:tcPr>
          <w:p w14:paraId="6C9C8AD0">
            <w:pPr>
              <w:jc w:val="center"/>
              <w:rPr>
                <w:rFonts w:hint="default" w:ascii="Times New Roman" w:hAnsi="Times New Roman" w:eastAsia="宋体" w:cs="Times New Roman"/>
                <w:i w:val="0"/>
                <w:iCs w:val="0"/>
                <w:color w:val="auto"/>
                <w:sz w:val="20"/>
                <w:szCs w:val="20"/>
                <w:u w:val="none"/>
              </w:rPr>
            </w:pPr>
          </w:p>
        </w:tc>
        <w:tc>
          <w:tcPr>
            <w:tcW w:w="625" w:type="pct"/>
            <w:shd w:val="clear" w:color="auto" w:fill="auto"/>
            <w:noWrap/>
            <w:vAlign w:val="center"/>
          </w:tcPr>
          <w:p w14:paraId="6634269D">
            <w:pPr>
              <w:jc w:val="center"/>
              <w:rPr>
                <w:rFonts w:hint="default" w:ascii="Times New Roman" w:hAnsi="Times New Roman" w:eastAsia="宋体" w:cs="Times New Roman"/>
                <w:i w:val="0"/>
                <w:iCs w:val="0"/>
                <w:color w:val="auto"/>
                <w:sz w:val="20"/>
                <w:szCs w:val="20"/>
                <w:u w:val="none"/>
              </w:rPr>
            </w:pPr>
          </w:p>
        </w:tc>
        <w:tc>
          <w:tcPr>
            <w:tcW w:w="1034" w:type="pct"/>
            <w:shd w:val="clear" w:color="auto" w:fill="auto"/>
            <w:noWrap/>
            <w:vAlign w:val="center"/>
          </w:tcPr>
          <w:p w14:paraId="2420BB0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0.00 </w:t>
            </w:r>
          </w:p>
        </w:tc>
      </w:tr>
      <w:tr w14:paraId="73ECC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22" w:type="pct"/>
            <w:shd w:val="clear" w:color="auto" w:fill="auto"/>
            <w:vAlign w:val="center"/>
          </w:tcPr>
          <w:p w14:paraId="4C64413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五</w:t>
            </w:r>
          </w:p>
        </w:tc>
        <w:tc>
          <w:tcPr>
            <w:tcW w:w="1169" w:type="pct"/>
            <w:shd w:val="clear" w:color="auto" w:fill="auto"/>
            <w:vAlign w:val="center"/>
          </w:tcPr>
          <w:p w14:paraId="0877695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税金</w:t>
            </w:r>
          </w:p>
        </w:tc>
        <w:tc>
          <w:tcPr>
            <w:tcW w:w="623" w:type="pct"/>
            <w:shd w:val="clear" w:color="auto" w:fill="auto"/>
            <w:vAlign w:val="center"/>
          </w:tcPr>
          <w:p w14:paraId="3170680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w:t>
            </w:r>
          </w:p>
        </w:tc>
        <w:tc>
          <w:tcPr>
            <w:tcW w:w="623" w:type="pct"/>
            <w:shd w:val="clear" w:color="auto" w:fill="auto"/>
            <w:vAlign w:val="center"/>
          </w:tcPr>
          <w:p w14:paraId="5AF3E39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9</w:t>
            </w:r>
          </w:p>
        </w:tc>
        <w:tc>
          <w:tcPr>
            <w:tcW w:w="625" w:type="pct"/>
            <w:shd w:val="clear" w:color="auto" w:fill="auto"/>
            <w:vAlign w:val="center"/>
          </w:tcPr>
          <w:p w14:paraId="1704A2F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5924.40 </w:t>
            </w:r>
          </w:p>
        </w:tc>
        <w:tc>
          <w:tcPr>
            <w:tcW w:w="1034" w:type="pct"/>
            <w:shd w:val="clear" w:color="auto" w:fill="auto"/>
            <w:vAlign w:val="center"/>
          </w:tcPr>
          <w:p w14:paraId="0A7A4D8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533.20 </w:t>
            </w:r>
          </w:p>
        </w:tc>
      </w:tr>
      <w:tr w14:paraId="290CF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2716" w:type="pct"/>
            <w:gridSpan w:val="3"/>
            <w:shd w:val="clear" w:color="auto" w:fill="auto"/>
            <w:vAlign w:val="center"/>
          </w:tcPr>
          <w:p w14:paraId="6EB83331">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合计</w:t>
            </w:r>
          </w:p>
        </w:tc>
        <w:tc>
          <w:tcPr>
            <w:tcW w:w="623" w:type="pct"/>
            <w:shd w:val="clear" w:color="auto" w:fill="auto"/>
            <w:vAlign w:val="center"/>
          </w:tcPr>
          <w:p w14:paraId="153AAAF7">
            <w:pPr>
              <w:jc w:val="center"/>
              <w:rPr>
                <w:rFonts w:hint="default" w:ascii="Times New Roman" w:hAnsi="Times New Roman" w:eastAsia="宋体" w:cs="Times New Roman"/>
                <w:b/>
                <w:bCs/>
                <w:i w:val="0"/>
                <w:iCs w:val="0"/>
                <w:color w:val="auto"/>
                <w:sz w:val="20"/>
                <w:szCs w:val="20"/>
                <w:u w:val="none"/>
              </w:rPr>
            </w:pPr>
          </w:p>
        </w:tc>
        <w:tc>
          <w:tcPr>
            <w:tcW w:w="625" w:type="pct"/>
            <w:shd w:val="clear" w:color="auto" w:fill="auto"/>
            <w:vAlign w:val="center"/>
          </w:tcPr>
          <w:p w14:paraId="0259BF10">
            <w:pPr>
              <w:jc w:val="center"/>
              <w:rPr>
                <w:rFonts w:hint="default" w:ascii="Times New Roman" w:hAnsi="Times New Roman" w:eastAsia="宋体" w:cs="Times New Roman"/>
                <w:b/>
                <w:bCs/>
                <w:i w:val="0"/>
                <w:iCs w:val="0"/>
                <w:color w:val="auto"/>
                <w:sz w:val="20"/>
                <w:szCs w:val="20"/>
                <w:u w:val="none"/>
              </w:rPr>
            </w:pPr>
          </w:p>
        </w:tc>
        <w:tc>
          <w:tcPr>
            <w:tcW w:w="1034" w:type="pct"/>
            <w:shd w:val="clear" w:color="auto" w:fill="auto"/>
            <w:vAlign w:val="center"/>
          </w:tcPr>
          <w:p w14:paraId="5AA70AF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 xml:space="preserve">6457.60 </w:t>
            </w:r>
          </w:p>
        </w:tc>
      </w:tr>
    </w:tbl>
    <w:p w14:paraId="0CDD74DE">
      <w:pPr>
        <w:shd w:val="clear" w:color="000000" w:fill="auto"/>
        <w:jc w:val="center"/>
        <w:rPr>
          <w:b/>
          <w:bCs/>
          <w:color w:val="auto"/>
          <w:sz w:val="28"/>
          <w:szCs w:val="28"/>
        </w:rPr>
      </w:pPr>
    </w:p>
    <w:p w14:paraId="6172CC56">
      <w:pPr>
        <w:shd w:val="clear" w:color="000000" w:fill="auto"/>
        <w:jc w:val="center"/>
        <w:rPr>
          <w:b/>
          <w:bCs/>
          <w:color w:val="auto"/>
          <w:sz w:val="28"/>
          <w:szCs w:val="28"/>
        </w:rPr>
      </w:pPr>
    </w:p>
    <w:p w14:paraId="6C1C2442">
      <w:pPr>
        <w:shd w:val="clear" w:color="000000" w:fill="auto"/>
        <w:jc w:val="center"/>
        <w:rPr>
          <w:b/>
          <w:bCs/>
          <w:color w:val="auto"/>
          <w:sz w:val="28"/>
          <w:szCs w:val="28"/>
        </w:rPr>
      </w:pPr>
    </w:p>
    <w:p w14:paraId="07E68329">
      <w:pPr>
        <w:shd w:val="clear" w:color="000000" w:fill="auto"/>
        <w:jc w:val="center"/>
        <w:rPr>
          <w:b/>
          <w:bCs/>
          <w:color w:val="auto"/>
          <w:sz w:val="28"/>
          <w:szCs w:val="28"/>
        </w:rPr>
        <w:sectPr>
          <w:pgSz w:w="11906" w:h="16838"/>
          <w:pgMar w:top="1219" w:right="1797" w:bottom="1440" w:left="1797" w:header="851" w:footer="992" w:gutter="0"/>
          <w:pgNumType w:fmt="decimal"/>
          <w:cols w:space="720" w:num="1"/>
          <w:docGrid w:linePitch="312" w:charSpace="0"/>
        </w:sectPr>
      </w:pPr>
    </w:p>
    <w:p w14:paraId="31426255">
      <w:pPr>
        <w:shd w:val="clear" w:color="000000" w:fill="auto"/>
        <w:jc w:val="center"/>
        <w:rPr>
          <w:rFonts w:eastAsia="黑体"/>
          <w:color w:val="auto"/>
          <w:sz w:val="24"/>
          <w:szCs w:val="24"/>
        </w:rPr>
      </w:pPr>
      <w:r>
        <w:rPr>
          <w:rFonts w:eastAsia="黑体"/>
          <w:color w:val="auto"/>
          <w:sz w:val="24"/>
          <w:szCs w:val="24"/>
        </w:rPr>
        <w:t>表6-</w:t>
      </w:r>
      <w:r>
        <w:rPr>
          <w:rFonts w:hint="eastAsia" w:eastAsia="黑体"/>
          <w:color w:val="auto"/>
          <w:sz w:val="24"/>
          <w:szCs w:val="24"/>
          <w:lang w:val="en-US" w:eastAsia="zh-CN"/>
        </w:rPr>
        <w:t>20</w:t>
      </w:r>
      <w:r>
        <w:rPr>
          <w:rFonts w:eastAsia="黑体"/>
          <w:color w:val="auto"/>
          <w:sz w:val="24"/>
          <w:szCs w:val="24"/>
        </w:rPr>
        <w:t xml:space="preserve">  台班费计算表</w:t>
      </w:r>
    </w:p>
    <w:tbl>
      <w:tblPr>
        <w:tblStyle w:val="34"/>
        <w:tblW w:w="4846" w:type="pct"/>
        <w:jc w:val="center"/>
        <w:tblLayout w:type="autofit"/>
        <w:tblCellMar>
          <w:top w:w="0" w:type="dxa"/>
          <w:left w:w="108" w:type="dxa"/>
          <w:bottom w:w="0" w:type="dxa"/>
          <w:right w:w="108" w:type="dxa"/>
        </w:tblCellMar>
      </w:tblPr>
      <w:tblGrid>
        <w:gridCol w:w="1216"/>
        <w:gridCol w:w="1202"/>
        <w:gridCol w:w="847"/>
        <w:gridCol w:w="1414"/>
        <w:gridCol w:w="650"/>
        <w:gridCol w:w="766"/>
        <w:gridCol w:w="1016"/>
        <w:gridCol w:w="604"/>
        <w:gridCol w:w="631"/>
        <w:gridCol w:w="604"/>
        <w:gridCol w:w="766"/>
        <w:gridCol w:w="604"/>
        <w:gridCol w:w="766"/>
        <w:gridCol w:w="604"/>
        <w:gridCol w:w="631"/>
        <w:gridCol w:w="606"/>
        <w:gridCol w:w="815"/>
      </w:tblGrid>
      <w:tr w14:paraId="5E0D7DA5">
        <w:tblPrEx>
          <w:tblCellMar>
            <w:top w:w="0" w:type="dxa"/>
            <w:left w:w="108" w:type="dxa"/>
            <w:bottom w:w="0" w:type="dxa"/>
            <w:right w:w="108" w:type="dxa"/>
          </w:tblCellMar>
        </w:tblPrEx>
        <w:trPr>
          <w:trHeight w:val="340" w:hRule="atLeast"/>
          <w:jc w:val="center"/>
        </w:trPr>
        <w:tc>
          <w:tcPr>
            <w:tcW w:w="435" w:type="pct"/>
            <w:vMerge w:val="restart"/>
            <w:tcBorders>
              <w:top w:val="single" w:color="000000" w:sz="4" w:space="0"/>
              <w:left w:val="single" w:color="000000" w:sz="4" w:space="0"/>
              <w:bottom w:val="single" w:color="000000" w:sz="4" w:space="0"/>
              <w:right w:val="single" w:color="000000" w:sz="4" w:space="0"/>
            </w:tcBorders>
            <w:noWrap/>
            <w:vAlign w:val="center"/>
          </w:tcPr>
          <w:p w14:paraId="5AC337AF">
            <w:pPr>
              <w:widowControl/>
              <w:jc w:val="center"/>
              <w:textAlignment w:val="center"/>
              <w:rPr>
                <w:color w:val="auto"/>
                <w:sz w:val="20"/>
              </w:rPr>
            </w:pPr>
            <w:r>
              <w:rPr>
                <w:color w:val="auto"/>
                <w:kern w:val="0"/>
                <w:sz w:val="20"/>
                <w:lang w:bidi="ar"/>
              </w:rPr>
              <w:t>机械名称</w:t>
            </w:r>
          </w:p>
        </w:tc>
        <w:tc>
          <w:tcPr>
            <w:tcW w:w="439" w:type="pct"/>
            <w:vMerge w:val="restart"/>
            <w:tcBorders>
              <w:top w:val="single" w:color="000000" w:sz="4" w:space="0"/>
              <w:left w:val="single" w:color="000000" w:sz="4" w:space="0"/>
              <w:bottom w:val="single" w:color="000000" w:sz="4" w:space="0"/>
              <w:right w:val="single" w:color="000000" w:sz="4" w:space="0"/>
            </w:tcBorders>
            <w:noWrap/>
            <w:vAlign w:val="center"/>
          </w:tcPr>
          <w:p w14:paraId="0E3C287E">
            <w:pPr>
              <w:widowControl/>
              <w:jc w:val="center"/>
              <w:textAlignment w:val="center"/>
              <w:rPr>
                <w:color w:val="auto"/>
                <w:sz w:val="20"/>
              </w:rPr>
            </w:pPr>
            <w:r>
              <w:rPr>
                <w:color w:val="auto"/>
                <w:kern w:val="0"/>
                <w:sz w:val="20"/>
                <w:lang w:bidi="ar"/>
              </w:rPr>
              <w:t>规格</w:t>
            </w:r>
          </w:p>
        </w:tc>
        <w:tc>
          <w:tcPr>
            <w:tcW w:w="310" w:type="pct"/>
            <w:vMerge w:val="restart"/>
            <w:tcBorders>
              <w:top w:val="single" w:color="000000" w:sz="4" w:space="0"/>
              <w:left w:val="single" w:color="000000" w:sz="4" w:space="0"/>
              <w:bottom w:val="single" w:color="000000" w:sz="4" w:space="0"/>
              <w:right w:val="single" w:color="000000" w:sz="4" w:space="0"/>
            </w:tcBorders>
            <w:vAlign w:val="center"/>
          </w:tcPr>
          <w:p w14:paraId="34EA1D2D">
            <w:pPr>
              <w:widowControl/>
              <w:jc w:val="center"/>
              <w:textAlignment w:val="center"/>
              <w:rPr>
                <w:color w:val="auto"/>
                <w:sz w:val="20"/>
              </w:rPr>
            </w:pPr>
            <w:r>
              <w:rPr>
                <w:color w:val="auto"/>
                <w:kern w:val="0"/>
                <w:sz w:val="20"/>
                <w:lang w:bidi="ar"/>
              </w:rPr>
              <w:t>台班费</w:t>
            </w:r>
          </w:p>
        </w:tc>
        <w:tc>
          <w:tcPr>
            <w:tcW w:w="516" w:type="pct"/>
            <w:tcBorders>
              <w:top w:val="single" w:color="000000" w:sz="4" w:space="0"/>
              <w:left w:val="single" w:color="000000" w:sz="4" w:space="0"/>
              <w:bottom w:val="single" w:color="000000" w:sz="4" w:space="0"/>
              <w:right w:val="single" w:color="000000" w:sz="4" w:space="0"/>
            </w:tcBorders>
            <w:vAlign w:val="center"/>
          </w:tcPr>
          <w:p w14:paraId="146E120E">
            <w:pPr>
              <w:widowControl/>
              <w:jc w:val="center"/>
              <w:textAlignment w:val="center"/>
              <w:rPr>
                <w:color w:val="auto"/>
                <w:sz w:val="20"/>
              </w:rPr>
            </w:pPr>
            <w:r>
              <w:rPr>
                <w:color w:val="auto"/>
                <w:kern w:val="0"/>
                <w:sz w:val="20"/>
                <w:lang w:bidi="ar"/>
              </w:rPr>
              <w:t>一类费用合计</w:t>
            </w:r>
          </w:p>
        </w:tc>
        <w:tc>
          <w:tcPr>
            <w:tcW w:w="3298" w:type="pct"/>
            <w:gridSpan w:val="13"/>
            <w:tcBorders>
              <w:top w:val="single" w:color="000000" w:sz="4" w:space="0"/>
              <w:left w:val="single" w:color="000000" w:sz="4" w:space="0"/>
              <w:bottom w:val="single" w:color="000000" w:sz="4" w:space="0"/>
              <w:right w:val="single" w:color="000000" w:sz="4" w:space="0"/>
            </w:tcBorders>
            <w:vAlign w:val="center"/>
          </w:tcPr>
          <w:p w14:paraId="5DB75A3B">
            <w:pPr>
              <w:widowControl/>
              <w:jc w:val="center"/>
              <w:textAlignment w:val="center"/>
              <w:rPr>
                <w:color w:val="auto"/>
                <w:sz w:val="20"/>
              </w:rPr>
            </w:pPr>
            <w:r>
              <w:rPr>
                <w:color w:val="auto"/>
                <w:kern w:val="0"/>
                <w:sz w:val="20"/>
                <w:lang w:bidi="ar"/>
              </w:rPr>
              <w:t>二类费用</w:t>
            </w:r>
          </w:p>
        </w:tc>
      </w:tr>
      <w:tr w14:paraId="09DC4CF8">
        <w:tblPrEx>
          <w:tblCellMar>
            <w:top w:w="0" w:type="dxa"/>
            <w:left w:w="108" w:type="dxa"/>
            <w:bottom w:w="0" w:type="dxa"/>
            <w:right w:w="108" w:type="dxa"/>
          </w:tblCellMar>
        </w:tblPrEx>
        <w:trPr>
          <w:trHeight w:val="340" w:hRule="atLeast"/>
          <w:jc w:val="center"/>
        </w:trPr>
        <w:tc>
          <w:tcPr>
            <w:tcW w:w="435" w:type="pct"/>
            <w:vMerge w:val="continue"/>
            <w:tcBorders>
              <w:top w:val="single" w:color="000000" w:sz="4" w:space="0"/>
              <w:left w:val="single" w:color="000000" w:sz="4" w:space="0"/>
              <w:bottom w:val="single" w:color="000000" w:sz="4" w:space="0"/>
              <w:right w:val="single" w:color="000000" w:sz="4" w:space="0"/>
            </w:tcBorders>
            <w:noWrap/>
            <w:vAlign w:val="center"/>
          </w:tcPr>
          <w:p w14:paraId="469A1894">
            <w:pPr>
              <w:jc w:val="center"/>
              <w:rPr>
                <w:color w:val="auto"/>
                <w:sz w:val="20"/>
              </w:rPr>
            </w:pPr>
          </w:p>
        </w:tc>
        <w:tc>
          <w:tcPr>
            <w:tcW w:w="439" w:type="pct"/>
            <w:vMerge w:val="continue"/>
            <w:tcBorders>
              <w:top w:val="single" w:color="000000" w:sz="4" w:space="0"/>
              <w:left w:val="single" w:color="000000" w:sz="4" w:space="0"/>
              <w:bottom w:val="single" w:color="000000" w:sz="4" w:space="0"/>
              <w:right w:val="single" w:color="000000" w:sz="4" w:space="0"/>
            </w:tcBorders>
            <w:noWrap/>
            <w:vAlign w:val="center"/>
          </w:tcPr>
          <w:p w14:paraId="20ADC65A">
            <w:pPr>
              <w:jc w:val="center"/>
              <w:rPr>
                <w:color w:val="auto"/>
                <w:sz w:val="20"/>
              </w:rPr>
            </w:pPr>
          </w:p>
        </w:tc>
        <w:tc>
          <w:tcPr>
            <w:tcW w:w="310" w:type="pct"/>
            <w:vMerge w:val="continue"/>
            <w:tcBorders>
              <w:top w:val="single" w:color="000000" w:sz="4" w:space="0"/>
              <w:left w:val="single" w:color="000000" w:sz="4" w:space="0"/>
              <w:bottom w:val="single" w:color="000000" w:sz="4" w:space="0"/>
              <w:right w:val="single" w:color="000000" w:sz="4" w:space="0"/>
            </w:tcBorders>
            <w:vAlign w:val="center"/>
          </w:tcPr>
          <w:p w14:paraId="459F2357">
            <w:pPr>
              <w:jc w:val="center"/>
              <w:rPr>
                <w:color w:val="auto"/>
                <w:sz w:val="20"/>
              </w:rPr>
            </w:pPr>
          </w:p>
        </w:tc>
        <w:tc>
          <w:tcPr>
            <w:tcW w:w="516" w:type="pct"/>
            <w:vMerge w:val="restart"/>
            <w:tcBorders>
              <w:top w:val="single" w:color="000000" w:sz="4" w:space="0"/>
              <w:left w:val="single" w:color="000000" w:sz="4" w:space="0"/>
              <w:bottom w:val="single" w:color="000000" w:sz="4" w:space="0"/>
              <w:right w:val="single" w:color="000000" w:sz="4" w:space="0"/>
            </w:tcBorders>
            <w:vAlign w:val="center"/>
          </w:tcPr>
          <w:p w14:paraId="051BA6BD">
            <w:pPr>
              <w:widowControl/>
              <w:jc w:val="center"/>
              <w:textAlignment w:val="center"/>
              <w:rPr>
                <w:color w:val="auto"/>
                <w:sz w:val="20"/>
              </w:rPr>
            </w:pPr>
            <w:r>
              <w:rPr>
                <w:color w:val="auto"/>
                <w:kern w:val="0"/>
                <w:sz w:val="20"/>
                <w:lang w:bidi="ar"/>
              </w:rPr>
              <w:t>一类费用合计</w:t>
            </w:r>
          </w:p>
        </w:tc>
        <w:tc>
          <w:tcPr>
            <w:tcW w:w="513" w:type="pct"/>
            <w:gridSpan w:val="2"/>
            <w:tcBorders>
              <w:top w:val="single" w:color="000000" w:sz="4" w:space="0"/>
              <w:left w:val="single" w:color="000000" w:sz="4" w:space="0"/>
              <w:bottom w:val="single" w:color="000000" w:sz="4" w:space="0"/>
              <w:right w:val="single" w:color="000000" w:sz="4" w:space="0"/>
            </w:tcBorders>
            <w:vAlign w:val="center"/>
          </w:tcPr>
          <w:p w14:paraId="10D843E1">
            <w:pPr>
              <w:widowControl/>
              <w:jc w:val="center"/>
              <w:textAlignment w:val="center"/>
              <w:rPr>
                <w:color w:val="auto"/>
                <w:sz w:val="20"/>
              </w:rPr>
            </w:pPr>
            <w:r>
              <w:rPr>
                <w:color w:val="auto"/>
                <w:kern w:val="0"/>
                <w:sz w:val="20"/>
                <w:lang w:bidi="ar"/>
              </w:rPr>
              <w:t>人工费（元/日）</w:t>
            </w:r>
          </w:p>
        </w:tc>
        <w:tc>
          <w:tcPr>
            <w:tcW w:w="371" w:type="pct"/>
            <w:vMerge w:val="restart"/>
            <w:tcBorders>
              <w:top w:val="single" w:color="000000" w:sz="4" w:space="0"/>
              <w:left w:val="single" w:color="000000" w:sz="4" w:space="0"/>
              <w:bottom w:val="single" w:color="000000" w:sz="4" w:space="0"/>
              <w:right w:val="single" w:color="000000" w:sz="4" w:space="0"/>
            </w:tcBorders>
            <w:vAlign w:val="center"/>
          </w:tcPr>
          <w:p w14:paraId="53B0D073">
            <w:pPr>
              <w:widowControl/>
              <w:jc w:val="center"/>
              <w:textAlignment w:val="center"/>
              <w:rPr>
                <w:color w:val="auto"/>
                <w:sz w:val="20"/>
              </w:rPr>
            </w:pPr>
            <w:r>
              <w:rPr>
                <w:color w:val="auto"/>
                <w:kern w:val="0"/>
                <w:sz w:val="20"/>
                <w:lang w:bidi="ar"/>
              </w:rPr>
              <w:t>动力燃料费小计</w:t>
            </w:r>
          </w:p>
        </w:tc>
        <w:tc>
          <w:tcPr>
            <w:tcW w:w="452" w:type="pct"/>
            <w:gridSpan w:val="2"/>
            <w:tcBorders>
              <w:top w:val="single" w:color="000000" w:sz="4" w:space="0"/>
              <w:left w:val="single" w:color="000000" w:sz="4" w:space="0"/>
              <w:bottom w:val="single" w:color="000000" w:sz="4" w:space="0"/>
              <w:right w:val="single" w:color="000000" w:sz="4" w:space="0"/>
            </w:tcBorders>
            <w:vAlign w:val="center"/>
          </w:tcPr>
          <w:p w14:paraId="4139B115">
            <w:pPr>
              <w:widowControl/>
              <w:jc w:val="center"/>
              <w:textAlignment w:val="center"/>
              <w:rPr>
                <w:color w:val="auto"/>
                <w:sz w:val="20"/>
              </w:rPr>
            </w:pPr>
            <w:r>
              <w:rPr>
                <w:color w:val="auto"/>
                <w:kern w:val="0"/>
                <w:sz w:val="20"/>
                <w:lang w:bidi="ar"/>
              </w:rPr>
              <w:t>汽油（元/kg）</w:t>
            </w:r>
          </w:p>
        </w:tc>
        <w:tc>
          <w:tcPr>
            <w:tcW w:w="495" w:type="pct"/>
            <w:gridSpan w:val="2"/>
            <w:tcBorders>
              <w:top w:val="single" w:color="000000" w:sz="4" w:space="0"/>
              <w:left w:val="single" w:color="000000" w:sz="4" w:space="0"/>
              <w:bottom w:val="single" w:color="000000" w:sz="4" w:space="0"/>
              <w:right w:val="single" w:color="000000" w:sz="4" w:space="0"/>
            </w:tcBorders>
            <w:vAlign w:val="center"/>
          </w:tcPr>
          <w:p w14:paraId="5D4B3C48">
            <w:pPr>
              <w:widowControl/>
              <w:jc w:val="center"/>
              <w:textAlignment w:val="center"/>
              <w:rPr>
                <w:color w:val="auto"/>
                <w:sz w:val="20"/>
              </w:rPr>
            </w:pPr>
            <w:r>
              <w:rPr>
                <w:color w:val="auto"/>
                <w:kern w:val="0"/>
                <w:sz w:val="20"/>
                <w:lang w:bidi="ar"/>
              </w:rPr>
              <w:t>柴油（元/kg）</w:t>
            </w:r>
          </w:p>
        </w:tc>
        <w:tc>
          <w:tcPr>
            <w:tcW w:w="495" w:type="pct"/>
            <w:gridSpan w:val="2"/>
            <w:tcBorders>
              <w:top w:val="single" w:color="000000" w:sz="4" w:space="0"/>
              <w:left w:val="single" w:color="000000" w:sz="4" w:space="0"/>
              <w:bottom w:val="single" w:color="000000" w:sz="4" w:space="0"/>
              <w:right w:val="single" w:color="000000" w:sz="4" w:space="0"/>
            </w:tcBorders>
            <w:vAlign w:val="center"/>
          </w:tcPr>
          <w:p w14:paraId="2A548534">
            <w:pPr>
              <w:widowControl/>
              <w:jc w:val="center"/>
              <w:textAlignment w:val="center"/>
              <w:rPr>
                <w:color w:val="auto"/>
                <w:sz w:val="20"/>
              </w:rPr>
            </w:pPr>
            <w:r>
              <w:rPr>
                <w:color w:val="auto"/>
                <w:kern w:val="0"/>
                <w:sz w:val="20"/>
                <w:lang w:bidi="ar"/>
              </w:rPr>
              <w:t>电（元/kw·h）</w:t>
            </w:r>
          </w:p>
        </w:tc>
        <w:tc>
          <w:tcPr>
            <w:tcW w:w="452" w:type="pct"/>
            <w:gridSpan w:val="2"/>
            <w:tcBorders>
              <w:top w:val="single" w:color="000000" w:sz="4" w:space="0"/>
              <w:left w:val="single" w:color="000000" w:sz="4" w:space="0"/>
              <w:bottom w:val="single" w:color="000000" w:sz="4" w:space="0"/>
              <w:right w:val="single" w:color="000000" w:sz="4" w:space="0"/>
            </w:tcBorders>
            <w:vAlign w:val="center"/>
          </w:tcPr>
          <w:p w14:paraId="0786D6B7">
            <w:pPr>
              <w:widowControl/>
              <w:jc w:val="center"/>
              <w:textAlignment w:val="center"/>
              <w:rPr>
                <w:color w:val="auto"/>
                <w:sz w:val="20"/>
              </w:rPr>
            </w:pPr>
            <w:r>
              <w:rPr>
                <w:color w:val="auto"/>
                <w:kern w:val="0"/>
                <w:sz w:val="20"/>
                <w:lang w:bidi="ar"/>
              </w:rPr>
              <w:t>水（元/m</w:t>
            </w:r>
            <w:r>
              <w:rPr>
                <w:color w:val="auto"/>
                <w:kern w:val="0"/>
                <w:sz w:val="20"/>
                <w:vertAlign w:val="superscript"/>
                <w:lang w:bidi="ar"/>
              </w:rPr>
              <w:t>3</w:t>
            </w:r>
            <w:r>
              <w:rPr>
                <w:color w:val="auto"/>
                <w:kern w:val="0"/>
                <w:sz w:val="20"/>
                <w:lang w:bidi="ar"/>
              </w:rPr>
              <w:t>）</w:t>
            </w:r>
          </w:p>
        </w:tc>
        <w:tc>
          <w:tcPr>
            <w:tcW w:w="517" w:type="pct"/>
            <w:gridSpan w:val="2"/>
            <w:tcBorders>
              <w:top w:val="single" w:color="000000" w:sz="4" w:space="0"/>
              <w:left w:val="single" w:color="000000" w:sz="4" w:space="0"/>
              <w:bottom w:val="single" w:color="000000" w:sz="4" w:space="0"/>
              <w:right w:val="single" w:color="000000" w:sz="4" w:space="0"/>
            </w:tcBorders>
            <w:vAlign w:val="center"/>
          </w:tcPr>
          <w:p w14:paraId="5AE7CE25">
            <w:pPr>
              <w:widowControl/>
              <w:jc w:val="center"/>
              <w:textAlignment w:val="center"/>
              <w:rPr>
                <w:color w:val="auto"/>
                <w:sz w:val="20"/>
              </w:rPr>
            </w:pPr>
            <w:r>
              <w:rPr>
                <w:color w:val="auto"/>
                <w:kern w:val="0"/>
                <w:sz w:val="20"/>
                <w:lang w:bidi="ar"/>
              </w:rPr>
              <w:t>风（元/m</w:t>
            </w:r>
            <w:r>
              <w:rPr>
                <w:color w:val="auto"/>
                <w:kern w:val="0"/>
                <w:sz w:val="20"/>
                <w:vertAlign w:val="superscript"/>
                <w:lang w:bidi="ar"/>
              </w:rPr>
              <w:t>3</w:t>
            </w:r>
            <w:r>
              <w:rPr>
                <w:color w:val="auto"/>
                <w:kern w:val="0"/>
                <w:sz w:val="20"/>
                <w:lang w:bidi="ar"/>
              </w:rPr>
              <w:t>）</w:t>
            </w:r>
          </w:p>
        </w:tc>
      </w:tr>
      <w:tr w14:paraId="278DF9E3">
        <w:tblPrEx>
          <w:tblCellMar>
            <w:top w:w="0" w:type="dxa"/>
            <w:left w:w="108" w:type="dxa"/>
            <w:bottom w:w="0" w:type="dxa"/>
            <w:right w:w="108" w:type="dxa"/>
          </w:tblCellMar>
        </w:tblPrEx>
        <w:trPr>
          <w:trHeight w:val="340" w:hRule="atLeast"/>
          <w:jc w:val="center"/>
        </w:trPr>
        <w:tc>
          <w:tcPr>
            <w:tcW w:w="435" w:type="pct"/>
            <w:vMerge w:val="continue"/>
            <w:tcBorders>
              <w:top w:val="single" w:color="000000" w:sz="4" w:space="0"/>
              <w:left w:val="single" w:color="000000" w:sz="4" w:space="0"/>
              <w:bottom w:val="single" w:color="000000" w:sz="4" w:space="0"/>
              <w:right w:val="single" w:color="000000" w:sz="4" w:space="0"/>
            </w:tcBorders>
            <w:noWrap/>
            <w:vAlign w:val="center"/>
          </w:tcPr>
          <w:p w14:paraId="63816C4E">
            <w:pPr>
              <w:jc w:val="center"/>
              <w:rPr>
                <w:color w:val="auto"/>
                <w:sz w:val="20"/>
              </w:rPr>
            </w:pPr>
          </w:p>
        </w:tc>
        <w:tc>
          <w:tcPr>
            <w:tcW w:w="439" w:type="pct"/>
            <w:vMerge w:val="continue"/>
            <w:tcBorders>
              <w:top w:val="single" w:color="000000" w:sz="4" w:space="0"/>
              <w:left w:val="single" w:color="000000" w:sz="4" w:space="0"/>
              <w:bottom w:val="single" w:color="000000" w:sz="4" w:space="0"/>
              <w:right w:val="single" w:color="000000" w:sz="4" w:space="0"/>
            </w:tcBorders>
            <w:noWrap/>
            <w:vAlign w:val="center"/>
          </w:tcPr>
          <w:p w14:paraId="7724DE99">
            <w:pPr>
              <w:jc w:val="center"/>
              <w:rPr>
                <w:color w:val="auto"/>
                <w:sz w:val="20"/>
              </w:rPr>
            </w:pPr>
          </w:p>
        </w:tc>
        <w:tc>
          <w:tcPr>
            <w:tcW w:w="310" w:type="pct"/>
            <w:vMerge w:val="continue"/>
            <w:tcBorders>
              <w:top w:val="single" w:color="000000" w:sz="4" w:space="0"/>
              <w:left w:val="single" w:color="000000" w:sz="4" w:space="0"/>
              <w:bottom w:val="single" w:color="000000" w:sz="4" w:space="0"/>
              <w:right w:val="single" w:color="000000" w:sz="4" w:space="0"/>
            </w:tcBorders>
            <w:vAlign w:val="center"/>
          </w:tcPr>
          <w:p w14:paraId="5C7C93DC">
            <w:pPr>
              <w:jc w:val="center"/>
              <w:rPr>
                <w:color w:val="auto"/>
                <w:sz w:val="20"/>
              </w:rPr>
            </w:pPr>
          </w:p>
        </w:tc>
        <w:tc>
          <w:tcPr>
            <w:tcW w:w="516" w:type="pct"/>
            <w:vMerge w:val="continue"/>
            <w:tcBorders>
              <w:top w:val="single" w:color="000000" w:sz="4" w:space="0"/>
              <w:left w:val="single" w:color="000000" w:sz="4" w:space="0"/>
              <w:bottom w:val="single" w:color="000000" w:sz="4" w:space="0"/>
              <w:right w:val="single" w:color="000000" w:sz="4" w:space="0"/>
            </w:tcBorders>
            <w:vAlign w:val="center"/>
          </w:tcPr>
          <w:p w14:paraId="32413790">
            <w:pPr>
              <w:jc w:val="center"/>
              <w:rPr>
                <w:color w:val="auto"/>
                <w:sz w:val="20"/>
              </w:rPr>
            </w:pPr>
          </w:p>
        </w:tc>
        <w:tc>
          <w:tcPr>
            <w:tcW w:w="238" w:type="pct"/>
            <w:tcBorders>
              <w:top w:val="single" w:color="000000" w:sz="4" w:space="0"/>
              <w:left w:val="single" w:color="000000" w:sz="4" w:space="0"/>
              <w:bottom w:val="single" w:color="000000" w:sz="4" w:space="0"/>
              <w:right w:val="single" w:color="000000" w:sz="4" w:space="0"/>
            </w:tcBorders>
            <w:vAlign w:val="center"/>
          </w:tcPr>
          <w:p w14:paraId="0AFD6496">
            <w:pPr>
              <w:widowControl/>
              <w:jc w:val="center"/>
              <w:textAlignment w:val="center"/>
              <w:rPr>
                <w:color w:val="auto"/>
                <w:sz w:val="20"/>
              </w:rPr>
            </w:pPr>
            <w:r>
              <w:rPr>
                <w:color w:val="auto"/>
                <w:kern w:val="0"/>
                <w:sz w:val="20"/>
                <w:lang w:bidi="ar"/>
              </w:rPr>
              <w:t>工日</w:t>
            </w:r>
          </w:p>
        </w:tc>
        <w:tc>
          <w:tcPr>
            <w:tcW w:w="275" w:type="pct"/>
            <w:tcBorders>
              <w:top w:val="single" w:color="000000" w:sz="4" w:space="0"/>
              <w:left w:val="single" w:color="000000" w:sz="4" w:space="0"/>
              <w:bottom w:val="single" w:color="000000" w:sz="4" w:space="0"/>
              <w:right w:val="single" w:color="000000" w:sz="4" w:space="0"/>
            </w:tcBorders>
            <w:vAlign w:val="center"/>
          </w:tcPr>
          <w:p w14:paraId="360876BB">
            <w:pPr>
              <w:widowControl/>
              <w:jc w:val="center"/>
              <w:textAlignment w:val="center"/>
              <w:rPr>
                <w:color w:val="auto"/>
                <w:sz w:val="20"/>
              </w:rPr>
            </w:pPr>
            <w:r>
              <w:rPr>
                <w:color w:val="auto"/>
                <w:kern w:val="0"/>
                <w:sz w:val="20"/>
                <w:lang w:bidi="ar"/>
              </w:rPr>
              <w:t>金额</w:t>
            </w:r>
          </w:p>
        </w:tc>
        <w:tc>
          <w:tcPr>
            <w:tcW w:w="371" w:type="pct"/>
            <w:vMerge w:val="continue"/>
            <w:tcBorders>
              <w:top w:val="single" w:color="000000" w:sz="4" w:space="0"/>
              <w:left w:val="single" w:color="000000" w:sz="4" w:space="0"/>
              <w:bottom w:val="single" w:color="000000" w:sz="4" w:space="0"/>
              <w:right w:val="single" w:color="000000" w:sz="4" w:space="0"/>
            </w:tcBorders>
            <w:vAlign w:val="center"/>
          </w:tcPr>
          <w:p w14:paraId="7DBFAC29">
            <w:pPr>
              <w:jc w:val="center"/>
              <w:rPr>
                <w:color w:val="auto"/>
                <w:sz w:val="20"/>
              </w:rPr>
            </w:pPr>
          </w:p>
        </w:tc>
        <w:tc>
          <w:tcPr>
            <w:tcW w:w="221" w:type="pct"/>
            <w:tcBorders>
              <w:top w:val="single" w:color="000000" w:sz="4" w:space="0"/>
              <w:left w:val="single" w:color="000000" w:sz="4" w:space="0"/>
              <w:bottom w:val="single" w:color="000000" w:sz="4" w:space="0"/>
              <w:right w:val="single" w:color="000000" w:sz="4" w:space="0"/>
            </w:tcBorders>
            <w:vAlign w:val="center"/>
          </w:tcPr>
          <w:p w14:paraId="3D3CA4FE">
            <w:pPr>
              <w:widowControl/>
              <w:jc w:val="center"/>
              <w:textAlignment w:val="center"/>
              <w:rPr>
                <w:color w:val="auto"/>
                <w:sz w:val="20"/>
              </w:rPr>
            </w:pPr>
            <w:r>
              <w:rPr>
                <w:color w:val="auto"/>
                <w:kern w:val="0"/>
                <w:sz w:val="20"/>
                <w:lang w:bidi="ar"/>
              </w:rPr>
              <w:t>数量</w:t>
            </w:r>
          </w:p>
        </w:tc>
        <w:tc>
          <w:tcPr>
            <w:tcW w:w="231" w:type="pct"/>
            <w:tcBorders>
              <w:top w:val="single" w:color="000000" w:sz="4" w:space="0"/>
              <w:left w:val="single" w:color="000000" w:sz="4" w:space="0"/>
              <w:bottom w:val="single" w:color="000000" w:sz="4" w:space="0"/>
              <w:right w:val="single" w:color="000000" w:sz="4" w:space="0"/>
            </w:tcBorders>
            <w:vAlign w:val="center"/>
          </w:tcPr>
          <w:p w14:paraId="5A92871A">
            <w:pPr>
              <w:widowControl/>
              <w:jc w:val="center"/>
              <w:textAlignment w:val="center"/>
              <w:rPr>
                <w:color w:val="auto"/>
                <w:sz w:val="20"/>
              </w:rPr>
            </w:pPr>
            <w:r>
              <w:rPr>
                <w:color w:val="auto"/>
                <w:kern w:val="0"/>
                <w:sz w:val="20"/>
                <w:lang w:bidi="ar"/>
              </w:rPr>
              <w:t>金额</w:t>
            </w:r>
          </w:p>
        </w:tc>
        <w:tc>
          <w:tcPr>
            <w:tcW w:w="221" w:type="pct"/>
            <w:tcBorders>
              <w:top w:val="single" w:color="000000" w:sz="4" w:space="0"/>
              <w:left w:val="single" w:color="000000" w:sz="4" w:space="0"/>
              <w:bottom w:val="single" w:color="000000" w:sz="4" w:space="0"/>
              <w:right w:val="single" w:color="000000" w:sz="4" w:space="0"/>
            </w:tcBorders>
            <w:vAlign w:val="center"/>
          </w:tcPr>
          <w:p w14:paraId="4255E0B0">
            <w:pPr>
              <w:widowControl/>
              <w:jc w:val="center"/>
              <w:textAlignment w:val="center"/>
              <w:rPr>
                <w:color w:val="auto"/>
                <w:sz w:val="20"/>
              </w:rPr>
            </w:pPr>
            <w:r>
              <w:rPr>
                <w:color w:val="auto"/>
                <w:kern w:val="0"/>
                <w:sz w:val="20"/>
                <w:lang w:bidi="ar"/>
              </w:rPr>
              <w:t>数量</w:t>
            </w:r>
          </w:p>
        </w:tc>
        <w:tc>
          <w:tcPr>
            <w:tcW w:w="274" w:type="pct"/>
            <w:tcBorders>
              <w:top w:val="single" w:color="000000" w:sz="4" w:space="0"/>
              <w:left w:val="single" w:color="000000" w:sz="4" w:space="0"/>
              <w:bottom w:val="single" w:color="000000" w:sz="4" w:space="0"/>
              <w:right w:val="single" w:color="000000" w:sz="4" w:space="0"/>
            </w:tcBorders>
            <w:vAlign w:val="center"/>
          </w:tcPr>
          <w:p w14:paraId="73999D85">
            <w:pPr>
              <w:widowControl/>
              <w:jc w:val="center"/>
              <w:textAlignment w:val="center"/>
              <w:rPr>
                <w:color w:val="auto"/>
                <w:sz w:val="20"/>
              </w:rPr>
            </w:pPr>
            <w:r>
              <w:rPr>
                <w:color w:val="auto"/>
                <w:kern w:val="0"/>
                <w:sz w:val="20"/>
                <w:lang w:bidi="ar"/>
              </w:rPr>
              <w:t>金额</w:t>
            </w:r>
          </w:p>
        </w:tc>
        <w:tc>
          <w:tcPr>
            <w:tcW w:w="221" w:type="pct"/>
            <w:tcBorders>
              <w:top w:val="single" w:color="000000" w:sz="4" w:space="0"/>
              <w:left w:val="single" w:color="000000" w:sz="4" w:space="0"/>
              <w:bottom w:val="single" w:color="000000" w:sz="4" w:space="0"/>
              <w:right w:val="single" w:color="000000" w:sz="4" w:space="0"/>
            </w:tcBorders>
            <w:vAlign w:val="center"/>
          </w:tcPr>
          <w:p w14:paraId="673CF27F">
            <w:pPr>
              <w:widowControl/>
              <w:jc w:val="center"/>
              <w:textAlignment w:val="center"/>
              <w:rPr>
                <w:color w:val="auto"/>
                <w:sz w:val="20"/>
              </w:rPr>
            </w:pPr>
            <w:r>
              <w:rPr>
                <w:color w:val="auto"/>
                <w:kern w:val="0"/>
                <w:sz w:val="20"/>
                <w:lang w:bidi="ar"/>
              </w:rPr>
              <w:t>数量</w:t>
            </w:r>
          </w:p>
        </w:tc>
        <w:tc>
          <w:tcPr>
            <w:tcW w:w="274" w:type="pct"/>
            <w:tcBorders>
              <w:top w:val="single" w:color="000000" w:sz="4" w:space="0"/>
              <w:left w:val="single" w:color="000000" w:sz="4" w:space="0"/>
              <w:bottom w:val="single" w:color="000000" w:sz="4" w:space="0"/>
              <w:right w:val="single" w:color="000000" w:sz="4" w:space="0"/>
            </w:tcBorders>
            <w:vAlign w:val="center"/>
          </w:tcPr>
          <w:p w14:paraId="282FE3A8">
            <w:pPr>
              <w:widowControl/>
              <w:jc w:val="center"/>
              <w:textAlignment w:val="center"/>
              <w:rPr>
                <w:color w:val="auto"/>
                <w:sz w:val="20"/>
              </w:rPr>
            </w:pPr>
            <w:r>
              <w:rPr>
                <w:color w:val="auto"/>
                <w:kern w:val="0"/>
                <w:sz w:val="20"/>
                <w:lang w:bidi="ar"/>
              </w:rPr>
              <w:t>金额</w:t>
            </w:r>
          </w:p>
        </w:tc>
        <w:tc>
          <w:tcPr>
            <w:tcW w:w="221" w:type="pct"/>
            <w:tcBorders>
              <w:top w:val="single" w:color="000000" w:sz="4" w:space="0"/>
              <w:left w:val="single" w:color="000000" w:sz="4" w:space="0"/>
              <w:bottom w:val="single" w:color="000000" w:sz="4" w:space="0"/>
              <w:right w:val="single" w:color="000000" w:sz="4" w:space="0"/>
            </w:tcBorders>
            <w:vAlign w:val="center"/>
          </w:tcPr>
          <w:p w14:paraId="503D5EA0">
            <w:pPr>
              <w:widowControl/>
              <w:jc w:val="center"/>
              <w:textAlignment w:val="center"/>
              <w:rPr>
                <w:color w:val="auto"/>
                <w:sz w:val="20"/>
              </w:rPr>
            </w:pPr>
            <w:r>
              <w:rPr>
                <w:color w:val="auto"/>
                <w:kern w:val="0"/>
                <w:sz w:val="20"/>
                <w:lang w:bidi="ar"/>
              </w:rPr>
              <w:t>数量</w:t>
            </w:r>
          </w:p>
        </w:tc>
        <w:tc>
          <w:tcPr>
            <w:tcW w:w="231" w:type="pct"/>
            <w:tcBorders>
              <w:top w:val="single" w:color="000000" w:sz="4" w:space="0"/>
              <w:left w:val="single" w:color="000000" w:sz="4" w:space="0"/>
              <w:bottom w:val="single" w:color="000000" w:sz="4" w:space="0"/>
              <w:right w:val="single" w:color="000000" w:sz="4" w:space="0"/>
            </w:tcBorders>
            <w:vAlign w:val="center"/>
          </w:tcPr>
          <w:p w14:paraId="5D63FB9C">
            <w:pPr>
              <w:widowControl/>
              <w:jc w:val="center"/>
              <w:textAlignment w:val="center"/>
              <w:rPr>
                <w:color w:val="auto"/>
                <w:sz w:val="20"/>
              </w:rPr>
            </w:pPr>
            <w:r>
              <w:rPr>
                <w:color w:val="auto"/>
                <w:kern w:val="0"/>
                <w:sz w:val="20"/>
                <w:lang w:bidi="ar"/>
              </w:rPr>
              <w:t>金额</w:t>
            </w:r>
          </w:p>
        </w:tc>
        <w:tc>
          <w:tcPr>
            <w:tcW w:w="222" w:type="pct"/>
            <w:tcBorders>
              <w:top w:val="single" w:color="000000" w:sz="4" w:space="0"/>
              <w:left w:val="single" w:color="000000" w:sz="4" w:space="0"/>
              <w:bottom w:val="single" w:color="000000" w:sz="4" w:space="0"/>
              <w:right w:val="single" w:color="000000" w:sz="4" w:space="0"/>
            </w:tcBorders>
            <w:vAlign w:val="center"/>
          </w:tcPr>
          <w:p w14:paraId="5FB8878E">
            <w:pPr>
              <w:widowControl/>
              <w:jc w:val="center"/>
              <w:textAlignment w:val="center"/>
              <w:rPr>
                <w:color w:val="auto"/>
                <w:sz w:val="20"/>
              </w:rPr>
            </w:pPr>
            <w:r>
              <w:rPr>
                <w:color w:val="auto"/>
                <w:kern w:val="0"/>
                <w:sz w:val="20"/>
                <w:lang w:bidi="ar"/>
              </w:rPr>
              <w:t>数量</w:t>
            </w:r>
          </w:p>
        </w:tc>
        <w:tc>
          <w:tcPr>
            <w:tcW w:w="294" w:type="pct"/>
            <w:tcBorders>
              <w:top w:val="single" w:color="000000" w:sz="4" w:space="0"/>
              <w:left w:val="single" w:color="000000" w:sz="4" w:space="0"/>
              <w:bottom w:val="single" w:color="000000" w:sz="4" w:space="0"/>
              <w:right w:val="single" w:color="000000" w:sz="4" w:space="0"/>
            </w:tcBorders>
            <w:vAlign w:val="center"/>
          </w:tcPr>
          <w:p w14:paraId="45354467">
            <w:pPr>
              <w:widowControl/>
              <w:jc w:val="center"/>
              <w:textAlignment w:val="center"/>
              <w:rPr>
                <w:color w:val="auto"/>
                <w:sz w:val="20"/>
              </w:rPr>
            </w:pPr>
            <w:r>
              <w:rPr>
                <w:color w:val="auto"/>
                <w:kern w:val="0"/>
                <w:sz w:val="20"/>
                <w:lang w:bidi="ar"/>
              </w:rPr>
              <w:t>金额</w:t>
            </w:r>
          </w:p>
        </w:tc>
      </w:tr>
      <w:tr w14:paraId="0058AF74">
        <w:tblPrEx>
          <w:tblCellMar>
            <w:top w:w="0" w:type="dxa"/>
            <w:left w:w="108" w:type="dxa"/>
            <w:bottom w:w="0" w:type="dxa"/>
            <w:right w:w="108" w:type="dxa"/>
          </w:tblCellMar>
        </w:tblPrEx>
        <w:trPr>
          <w:trHeight w:val="340" w:hRule="atLeast"/>
          <w:jc w:val="center"/>
        </w:trPr>
        <w:tc>
          <w:tcPr>
            <w:tcW w:w="435" w:type="pct"/>
            <w:tcBorders>
              <w:top w:val="single" w:color="000000" w:sz="4" w:space="0"/>
              <w:left w:val="single" w:color="000000" w:sz="4" w:space="0"/>
              <w:bottom w:val="single" w:color="000000" w:sz="4" w:space="0"/>
              <w:right w:val="single" w:color="000000" w:sz="4" w:space="0"/>
            </w:tcBorders>
            <w:noWrap/>
            <w:vAlign w:val="center"/>
          </w:tcPr>
          <w:p w14:paraId="0CB84479">
            <w:pPr>
              <w:widowControl/>
              <w:jc w:val="center"/>
              <w:textAlignment w:val="center"/>
              <w:rPr>
                <w:color w:val="auto"/>
                <w:sz w:val="20"/>
              </w:rPr>
            </w:pPr>
            <w:r>
              <w:rPr>
                <w:color w:val="auto"/>
                <w:kern w:val="0"/>
                <w:sz w:val="20"/>
                <w:lang w:bidi="ar"/>
              </w:rPr>
              <w:t>单斗挖掘机</w:t>
            </w:r>
          </w:p>
        </w:tc>
        <w:tc>
          <w:tcPr>
            <w:tcW w:w="439" w:type="pct"/>
            <w:tcBorders>
              <w:top w:val="single" w:color="000000" w:sz="4" w:space="0"/>
              <w:left w:val="single" w:color="000000" w:sz="4" w:space="0"/>
              <w:bottom w:val="single" w:color="000000" w:sz="4" w:space="0"/>
              <w:right w:val="single" w:color="000000" w:sz="4" w:space="0"/>
            </w:tcBorders>
            <w:noWrap/>
            <w:vAlign w:val="center"/>
          </w:tcPr>
          <w:p w14:paraId="1427829E">
            <w:pPr>
              <w:widowControl/>
              <w:jc w:val="center"/>
              <w:textAlignment w:val="center"/>
              <w:rPr>
                <w:color w:val="auto"/>
                <w:sz w:val="20"/>
              </w:rPr>
            </w:pPr>
            <w:r>
              <w:rPr>
                <w:rFonts w:hint="eastAsia"/>
                <w:color w:val="auto"/>
                <w:kern w:val="0"/>
                <w:sz w:val="20"/>
                <w:lang w:val="en-US" w:eastAsia="zh-CN" w:bidi="ar"/>
              </w:rPr>
              <w:t>1</w:t>
            </w:r>
            <w:r>
              <w:rPr>
                <w:color w:val="auto"/>
                <w:kern w:val="0"/>
                <w:sz w:val="20"/>
                <w:lang w:bidi="ar"/>
              </w:rPr>
              <w:t>m</w:t>
            </w:r>
            <w:r>
              <w:rPr>
                <w:color w:val="auto"/>
                <w:kern w:val="0"/>
                <w:sz w:val="20"/>
                <w:vertAlign w:val="superscript"/>
                <w:lang w:bidi="ar"/>
              </w:rPr>
              <w:t>3</w:t>
            </w:r>
          </w:p>
        </w:tc>
        <w:tc>
          <w:tcPr>
            <w:tcW w:w="310" w:type="pct"/>
            <w:tcBorders>
              <w:top w:val="single" w:color="000000" w:sz="4" w:space="0"/>
              <w:left w:val="single" w:color="000000" w:sz="4" w:space="0"/>
              <w:bottom w:val="single" w:color="000000" w:sz="4" w:space="0"/>
              <w:right w:val="single" w:color="000000" w:sz="4" w:space="0"/>
            </w:tcBorders>
            <w:vAlign w:val="center"/>
          </w:tcPr>
          <w:p w14:paraId="4ACAA4C4">
            <w:pPr>
              <w:widowControl/>
              <w:jc w:val="center"/>
              <w:textAlignment w:val="center"/>
              <w:rPr>
                <w:color w:val="auto"/>
                <w:sz w:val="20"/>
              </w:rPr>
            </w:pPr>
            <w:r>
              <w:rPr>
                <w:rFonts w:hint="eastAsia"/>
                <w:color w:val="auto"/>
                <w:kern w:val="0"/>
                <w:sz w:val="20"/>
                <w:lang w:val="en-US" w:eastAsia="zh-CN" w:bidi="ar"/>
              </w:rPr>
              <w:t>848.71</w:t>
            </w:r>
            <w:r>
              <w:rPr>
                <w:color w:val="auto"/>
                <w:kern w:val="0"/>
                <w:sz w:val="20"/>
                <w:lang w:bidi="ar"/>
              </w:rPr>
              <w:t xml:space="preserve"> </w:t>
            </w:r>
          </w:p>
        </w:tc>
        <w:tc>
          <w:tcPr>
            <w:tcW w:w="516" w:type="pct"/>
            <w:tcBorders>
              <w:top w:val="single" w:color="000000" w:sz="4" w:space="0"/>
              <w:left w:val="single" w:color="000000" w:sz="4" w:space="0"/>
              <w:bottom w:val="single" w:color="000000" w:sz="4" w:space="0"/>
              <w:right w:val="single" w:color="000000" w:sz="4" w:space="0"/>
            </w:tcBorders>
            <w:noWrap/>
            <w:vAlign w:val="center"/>
          </w:tcPr>
          <w:p w14:paraId="5B1FC3F9">
            <w:pPr>
              <w:widowControl/>
              <w:jc w:val="center"/>
              <w:textAlignment w:val="center"/>
              <w:rPr>
                <w:color w:val="auto"/>
                <w:sz w:val="20"/>
              </w:rPr>
            </w:pPr>
            <w:r>
              <w:rPr>
                <w:color w:val="auto"/>
                <w:kern w:val="0"/>
                <w:sz w:val="20"/>
                <w:lang w:bidi="ar"/>
              </w:rPr>
              <w:t xml:space="preserve">529.22 </w:t>
            </w:r>
          </w:p>
        </w:tc>
        <w:tc>
          <w:tcPr>
            <w:tcW w:w="238" w:type="pct"/>
            <w:tcBorders>
              <w:top w:val="single" w:color="000000" w:sz="4" w:space="0"/>
              <w:left w:val="single" w:color="000000" w:sz="4" w:space="0"/>
              <w:bottom w:val="single" w:color="000000" w:sz="4" w:space="0"/>
              <w:right w:val="single" w:color="000000" w:sz="4" w:space="0"/>
            </w:tcBorders>
            <w:noWrap/>
            <w:vAlign w:val="center"/>
          </w:tcPr>
          <w:p w14:paraId="6CAE2050">
            <w:pPr>
              <w:widowControl/>
              <w:jc w:val="center"/>
              <w:textAlignment w:val="center"/>
              <w:rPr>
                <w:color w:val="auto"/>
                <w:sz w:val="20"/>
              </w:rPr>
            </w:pPr>
            <w:r>
              <w:rPr>
                <w:color w:val="auto"/>
                <w:kern w:val="0"/>
                <w:sz w:val="20"/>
                <w:lang w:bidi="ar"/>
              </w:rPr>
              <w:t>2</w:t>
            </w:r>
          </w:p>
        </w:tc>
        <w:tc>
          <w:tcPr>
            <w:tcW w:w="275" w:type="pct"/>
            <w:tcBorders>
              <w:top w:val="single" w:color="000000" w:sz="4" w:space="0"/>
              <w:left w:val="single" w:color="000000" w:sz="4" w:space="0"/>
              <w:bottom w:val="single" w:color="000000" w:sz="4" w:space="0"/>
              <w:right w:val="single" w:color="000000" w:sz="4" w:space="0"/>
            </w:tcBorders>
            <w:vAlign w:val="center"/>
          </w:tcPr>
          <w:p w14:paraId="6F1A9CBD">
            <w:pPr>
              <w:widowControl/>
              <w:jc w:val="center"/>
              <w:textAlignment w:val="center"/>
              <w:rPr>
                <w:color w:val="auto"/>
                <w:sz w:val="20"/>
              </w:rPr>
            </w:pPr>
            <w:r>
              <w:rPr>
                <w:color w:val="auto"/>
                <w:kern w:val="0"/>
                <w:sz w:val="20"/>
                <w:lang w:bidi="ar"/>
              </w:rPr>
              <w:t>188.3</w:t>
            </w:r>
          </w:p>
        </w:tc>
        <w:tc>
          <w:tcPr>
            <w:tcW w:w="371" w:type="pct"/>
            <w:tcBorders>
              <w:top w:val="single" w:color="000000" w:sz="4" w:space="0"/>
              <w:left w:val="single" w:color="000000" w:sz="4" w:space="0"/>
              <w:bottom w:val="single" w:color="000000" w:sz="4" w:space="0"/>
              <w:right w:val="single" w:color="000000" w:sz="4" w:space="0"/>
            </w:tcBorders>
            <w:vAlign w:val="center"/>
          </w:tcPr>
          <w:p w14:paraId="6AFBEC47">
            <w:pPr>
              <w:widowControl/>
              <w:jc w:val="center"/>
              <w:textAlignment w:val="center"/>
              <w:rPr>
                <w:color w:val="auto"/>
                <w:sz w:val="20"/>
              </w:rPr>
            </w:pPr>
            <w:r>
              <w:rPr>
                <w:color w:val="auto"/>
                <w:kern w:val="0"/>
                <w:sz w:val="20"/>
                <w:lang w:bidi="ar"/>
              </w:rPr>
              <w:t xml:space="preserve">314.94 </w:t>
            </w:r>
          </w:p>
        </w:tc>
        <w:tc>
          <w:tcPr>
            <w:tcW w:w="221" w:type="pct"/>
            <w:tcBorders>
              <w:top w:val="single" w:color="000000" w:sz="4" w:space="0"/>
              <w:left w:val="single" w:color="000000" w:sz="4" w:space="0"/>
              <w:bottom w:val="single" w:color="000000" w:sz="4" w:space="0"/>
              <w:right w:val="single" w:color="000000" w:sz="4" w:space="0"/>
            </w:tcBorders>
            <w:vAlign w:val="center"/>
          </w:tcPr>
          <w:p w14:paraId="5DA4561A">
            <w:pPr>
              <w:jc w:val="center"/>
              <w:rPr>
                <w:color w:val="auto"/>
                <w:sz w:val="20"/>
              </w:rPr>
            </w:pPr>
          </w:p>
        </w:tc>
        <w:tc>
          <w:tcPr>
            <w:tcW w:w="231" w:type="pct"/>
            <w:tcBorders>
              <w:top w:val="single" w:color="000000" w:sz="4" w:space="0"/>
              <w:left w:val="single" w:color="000000" w:sz="4" w:space="0"/>
              <w:bottom w:val="single" w:color="000000" w:sz="4" w:space="0"/>
              <w:right w:val="single" w:color="000000" w:sz="4" w:space="0"/>
            </w:tcBorders>
            <w:vAlign w:val="center"/>
          </w:tcPr>
          <w:p w14:paraId="04881C75">
            <w:pPr>
              <w:jc w:val="center"/>
              <w:rPr>
                <w:color w:val="auto"/>
                <w:sz w:val="20"/>
              </w:rPr>
            </w:pPr>
          </w:p>
        </w:tc>
        <w:tc>
          <w:tcPr>
            <w:tcW w:w="221" w:type="pct"/>
            <w:tcBorders>
              <w:top w:val="single" w:color="000000" w:sz="4" w:space="0"/>
              <w:left w:val="single" w:color="000000" w:sz="4" w:space="0"/>
              <w:bottom w:val="single" w:color="000000" w:sz="4" w:space="0"/>
              <w:right w:val="single" w:color="000000" w:sz="4" w:space="0"/>
            </w:tcBorders>
            <w:noWrap/>
            <w:vAlign w:val="center"/>
          </w:tcPr>
          <w:p w14:paraId="74B87564">
            <w:pPr>
              <w:jc w:val="center"/>
              <w:rPr>
                <w:color w:val="auto"/>
                <w:sz w:val="20"/>
              </w:rPr>
            </w:pPr>
          </w:p>
        </w:tc>
        <w:tc>
          <w:tcPr>
            <w:tcW w:w="274" w:type="pct"/>
            <w:tcBorders>
              <w:top w:val="single" w:color="000000" w:sz="4" w:space="0"/>
              <w:left w:val="single" w:color="000000" w:sz="4" w:space="0"/>
              <w:bottom w:val="single" w:color="000000" w:sz="4" w:space="0"/>
              <w:right w:val="single" w:color="000000" w:sz="4" w:space="0"/>
            </w:tcBorders>
            <w:vAlign w:val="center"/>
          </w:tcPr>
          <w:p w14:paraId="637C62B4">
            <w:pPr>
              <w:jc w:val="center"/>
              <w:rPr>
                <w:color w:val="auto"/>
                <w:sz w:val="20"/>
              </w:rPr>
            </w:pPr>
          </w:p>
        </w:tc>
        <w:tc>
          <w:tcPr>
            <w:tcW w:w="221" w:type="pct"/>
            <w:tcBorders>
              <w:top w:val="single" w:color="000000" w:sz="4" w:space="0"/>
              <w:left w:val="single" w:color="000000" w:sz="4" w:space="0"/>
              <w:bottom w:val="single" w:color="000000" w:sz="4" w:space="0"/>
              <w:right w:val="single" w:color="000000" w:sz="4" w:space="0"/>
            </w:tcBorders>
            <w:noWrap/>
            <w:vAlign w:val="center"/>
          </w:tcPr>
          <w:p w14:paraId="35E38A74">
            <w:pPr>
              <w:widowControl/>
              <w:jc w:val="center"/>
              <w:textAlignment w:val="center"/>
              <w:rPr>
                <w:color w:val="auto"/>
                <w:sz w:val="20"/>
              </w:rPr>
            </w:pPr>
            <w:r>
              <w:rPr>
                <w:color w:val="auto"/>
                <w:kern w:val="0"/>
                <w:sz w:val="20"/>
                <w:lang w:bidi="ar"/>
              </w:rPr>
              <w:t>435</w:t>
            </w:r>
          </w:p>
        </w:tc>
        <w:tc>
          <w:tcPr>
            <w:tcW w:w="274" w:type="pct"/>
            <w:tcBorders>
              <w:top w:val="single" w:color="000000" w:sz="4" w:space="0"/>
              <w:left w:val="single" w:color="000000" w:sz="4" w:space="0"/>
              <w:bottom w:val="single" w:color="000000" w:sz="4" w:space="0"/>
              <w:right w:val="single" w:color="000000" w:sz="4" w:space="0"/>
            </w:tcBorders>
            <w:vAlign w:val="center"/>
          </w:tcPr>
          <w:p w14:paraId="75434FAA">
            <w:pPr>
              <w:widowControl/>
              <w:jc w:val="center"/>
              <w:textAlignment w:val="center"/>
              <w:rPr>
                <w:color w:val="auto"/>
                <w:sz w:val="20"/>
              </w:rPr>
            </w:pPr>
            <w:r>
              <w:rPr>
                <w:color w:val="auto"/>
                <w:kern w:val="0"/>
                <w:sz w:val="20"/>
                <w:lang w:bidi="ar"/>
              </w:rPr>
              <w:t xml:space="preserve">314.94 </w:t>
            </w:r>
          </w:p>
        </w:tc>
        <w:tc>
          <w:tcPr>
            <w:tcW w:w="221" w:type="pct"/>
            <w:tcBorders>
              <w:top w:val="single" w:color="000000" w:sz="4" w:space="0"/>
              <w:left w:val="single" w:color="000000" w:sz="4" w:space="0"/>
              <w:bottom w:val="single" w:color="000000" w:sz="4" w:space="0"/>
              <w:right w:val="single" w:color="000000" w:sz="4" w:space="0"/>
            </w:tcBorders>
            <w:vAlign w:val="center"/>
          </w:tcPr>
          <w:p w14:paraId="3254308F">
            <w:pPr>
              <w:jc w:val="center"/>
              <w:rPr>
                <w:color w:val="auto"/>
                <w:sz w:val="20"/>
              </w:rPr>
            </w:pPr>
          </w:p>
        </w:tc>
        <w:tc>
          <w:tcPr>
            <w:tcW w:w="231" w:type="pct"/>
            <w:tcBorders>
              <w:top w:val="single" w:color="000000" w:sz="4" w:space="0"/>
              <w:left w:val="single" w:color="000000" w:sz="4" w:space="0"/>
              <w:bottom w:val="single" w:color="000000" w:sz="4" w:space="0"/>
              <w:right w:val="single" w:color="000000" w:sz="4" w:space="0"/>
            </w:tcBorders>
            <w:vAlign w:val="center"/>
          </w:tcPr>
          <w:p w14:paraId="62D7A4E8">
            <w:pPr>
              <w:jc w:val="center"/>
              <w:rPr>
                <w:color w:val="auto"/>
                <w:sz w:val="20"/>
              </w:rPr>
            </w:pPr>
          </w:p>
        </w:tc>
        <w:tc>
          <w:tcPr>
            <w:tcW w:w="222" w:type="pct"/>
            <w:tcBorders>
              <w:top w:val="single" w:color="000000" w:sz="4" w:space="0"/>
              <w:left w:val="single" w:color="000000" w:sz="4" w:space="0"/>
              <w:bottom w:val="single" w:color="000000" w:sz="4" w:space="0"/>
              <w:right w:val="single" w:color="000000" w:sz="4" w:space="0"/>
            </w:tcBorders>
            <w:vAlign w:val="center"/>
          </w:tcPr>
          <w:p w14:paraId="05DE32A6">
            <w:pPr>
              <w:jc w:val="center"/>
              <w:rPr>
                <w:color w:val="auto"/>
                <w:sz w:val="20"/>
              </w:rPr>
            </w:pPr>
          </w:p>
        </w:tc>
        <w:tc>
          <w:tcPr>
            <w:tcW w:w="294" w:type="pct"/>
            <w:tcBorders>
              <w:top w:val="single" w:color="000000" w:sz="4" w:space="0"/>
              <w:left w:val="single" w:color="000000" w:sz="4" w:space="0"/>
              <w:bottom w:val="single" w:color="000000" w:sz="4" w:space="0"/>
              <w:right w:val="single" w:color="000000" w:sz="4" w:space="0"/>
            </w:tcBorders>
            <w:vAlign w:val="center"/>
          </w:tcPr>
          <w:p w14:paraId="3849C007">
            <w:pPr>
              <w:jc w:val="center"/>
              <w:rPr>
                <w:color w:val="auto"/>
                <w:sz w:val="20"/>
              </w:rPr>
            </w:pPr>
          </w:p>
        </w:tc>
      </w:tr>
      <w:tr w14:paraId="01871271">
        <w:tblPrEx>
          <w:tblCellMar>
            <w:top w:w="0" w:type="dxa"/>
            <w:left w:w="108" w:type="dxa"/>
            <w:bottom w:w="0" w:type="dxa"/>
            <w:right w:w="108" w:type="dxa"/>
          </w:tblCellMar>
        </w:tblPrEx>
        <w:trPr>
          <w:trHeight w:val="340" w:hRule="atLeast"/>
          <w:jc w:val="center"/>
        </w:trPr>
        <w:tc>
          <w:tcPr>
            <w:tcW w:w="435" w:type="pct"/>
            <w:tcBorders>
              <w:top w:val="single" w:color="000000" w:sz="4" w:space="0"/>
              <w:left w:val="single" w:color="000000" w:sz="4" w:space="0"/>
              <w:bottom w:val="single" w:color="000000" w:sz="4" w:space="0"/>
              <w:right w:val="single" w:color="000000" w:sz="4" w:space="0"/>
            </w:tcBorders>
            <w:noWrap/>
            <w:vAlign w:val="center"/>
          </w:tcPr>
          <w:p w14:paraId="654F9F9F">
            <w:pPr>
              <w:widowControl/>
              <w:jc w:val="center"/>
              <w:textAlignment w:val="center"/>
              <w:rPr>
                <w:color w:val="auto"/>
                <w:sz w:val="20"/>
              </w:rPr>
            </w:pPr>
            <w:r>
              <w:rPr>
                <w:color w:val="auto"/>
                <w:kern w:val="0"/>
                <w:sz w:val="20"/>
                <w:lang w:bidi="ar"/>
              </w:rPr>
              <w:t>装载机</w:t>
            </w:r>
          </w:p>
        </w:tc>
        <w:tc>
          <w:tcPr>
            <w:tcW w:w="439" w:type="pct"/>
            <w:tcBorders>
              <w:top w:val="single" w:color="000000" w:sz="4" w:space="0"/>
              <w:left w:val="single" w:color="000000" w:sz="4" w:space="0"/>
              <w:bottom w:val="single" w:color="000000" w:sz="4" w:space="0"/>
              <w:right w:val="single" w:color="000000" w:sz="4" w:space="0"/>
            </w:tcBorders>
            <w:noWrap/>
            <w:vAlign w:val="center"/>
          </w:tcPr>
          <w:p w14:paraId="3AAB9697">
            <w:pPr>
              <w:widowControl/>
              <w:jc w:val="center"/>
              <w:textAlignment w:val="center"/>
              <w:rPr>
                <w:color w:val="auto"/>
                <w:sz w:val="20"/>
              </w:rPr>
            </w:pPr>
            <w:r>
              <w:rPr>
                <w:color w:val="auto"/>
                <w:kern w:val="0"/>
                <w:sz w:val="20"/>
                <w:lang w:bidi="ar"/>
              </w:rPr>
              <w:t>2.0～2.3m</w:t>
            </w:r>
            <w:r>
              <w:rPr>
                <w:color w:val="auto"/>
                <w:kern w:val="0"/>
                <w:sz w:val="20"/>
                <w:vertAlign w:val="superscript"/>
                <w:lang w:bidi="ar"/>
              </w:rPr>
              <w:t>3</w:t>
            </w:r>
          </w:p>
        </w:tc>
        <w:tc>
          <w:tcPr>
            <w:tcW w:w="310" w:type="pct"/>
            <w:tcBorders>
              <w:top w:val="single" w:color="000000" w:sz="4" w:space="0"/>
              <w:left w:val="single" w:color="000000" w:sz="4" w:space="0"/>
              <w:bottom w:val="single" w:color="000000" w:sz="4" w:space="0"/>
              <w:right w:val="single" w:color="000000" w:sz="4" w:space="0"/>
            </w:tcBorders>
            <w:vAlign w:val="center"/>
          </w:tcPr>
          <w:p w14:paraId="63BD026F">
            <w:pPr>
              <w:widowControl/>
              <w:jc w:val="center"/>
              <w:textAlignment w:val="center"/>
              <w:rPr>
                <w:color w:val="auto"/>
                <w:sz w:val="20"/>
              </w:rPr>
            </w:pPr>
            <w:r>
              <w:rPr>
                <w:color w:val="auto"/>
                <w:kern w:val="0"/>
                <w:sz w:val="20"/>
                <w:lang w:bidi="ar"/>
              </w:rPr>
              <w:t xml:space="preserve">914.68 </w:t>
            </w:r>
          </w:p>
        </w:tc>
        <w:tc>
          <w:tcPr>
            <w:tcW w:w="516" w:type="pct"/>
            <w:tcBorders>
              <w:top w:val="single" w:color="000000" w:sz="4" w:space="0"/>
              <w:left w:val="single" w:color="000000" w:sz="4" w:space="0"/>
              <w:bottom w:val="single" w:color="000000" w:sz="4" w:space="0"/>
              <w:right w:val="single" w:color="000000" w:sz="4" w:space="0"/>
            </w:tcBorders>
            <w:noWrap/>
            <w:vAlign w:val="center"/>
          </w:tcPr>
          <w:p w14:paraId="65134586">
            <w:pPr>
              <w:widowControl/>
              <w:jc w:val="center"/>
              <w:textAlignment w:val="center"/>
              <w:rPr>
                <w:color w:val="auto"/>
                <w:sz w:val="20"/>
              </w:rPr>
            </w:pPr>
            <w:r>
              <w:rPr>
                <w:color w:val="auto"/>
                <w:kern w:val="0"/>
                <w:sz w:val="20"/>
                <w:lang w:bidi="ar"/>
              </w:rPr>
              <w:t xml:space="preserve">267.38 </w:t>
            </w:r>
          </w:p>
        </w:tc>
        <w:tc>
          <w:tcPr>
            <w:tcW w:w="238" w:type="pct"/>
            <w:tcBorders>
              <w:top w:val="single" w:color="000000" w:sz="4" w:space="0"/>
              <w:left w:val="single" w:color="000000" w:sz="4" w:space="0"/>
              <w:bottom w:val="single" w:color="000000" w:sz="4" w:space="0"/>
              <w:right w:val="single" w:color="000000" w:sz="4" w:space="0"/>
            </w:tcBorders>
            <w:noWrap/>
            <w:vAlign w:val="center"/>
          </w:tcPr>
          <w:p w14:paraId="2F5F006B">
            <w:pPr>
              <w:widowControl/>
              <w:jc w:val="center"/>
              <w:textAlignment w:val="center"/>
              <w:rPr>
                <w:color w:val="auto"/>
                <w:sz w:val="20"/>
              </w:rPr>
            </w:pPr>
            <w:r>
              <w:rPr>
                <w:color w:val="auto"/>
                <w:kern w:val="0"/>
                <w:sz w:val="20"/>
                <w:lang w:bidi="ar"/>
              </w:rPr>
              <w:t>2</w:t>
            </w:r>
          </w:p>
        </w:tc>
        <w:tc>
          <w:tcPr>
            <w:tcW w:w="275" w:type="pct"/>
            <w:tcBorders>
              <w:top w:val="single" w:color="000000" w:sz="4" w:space="0"/>
              <w:left w:val="single" w:color="000000" w:sz="4" w:space="0"/>
              <w:bottom w:val="single" w:color="000000" w:sz="4" w:space="0"/>
              <w:right w:val="single" w:color="000000" w:sz="4" w:space="0"/>
            </w:tcBorders>
            <w:noWrap/>
            <w:vAlign w:val="center"/>
          </w:tcPr>
          <w:p w14:paraId="6A9FE16F">
            <w:pPr>
              <w:widowControl/>
              <w:jc w:val="center"/>
              <w:textAlignment w:val="center"/>
              <w:rPr>
                <w:color w:val="auto"/>
                <w:sz w:val="20"/>
              </w:rPr>
            </w:pPr>
            <w:r>
              <w:rPr>
                <w:color w:val="auto"/>
                <w:kern w:val="0"/>
                <w:sz w:val="20"/>
                <w:lang w:bidi="ar"/>
              </w:rPr>
              <w:t>188.3</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129853FE">
            <w:pPr>
              <w:widowControl/>
              <w:jc w:val="center"/>
              <w:textAlignment w:val="center"/>
              <w:rPr>
                <w:color w:val="auto"/>
                <w:sz w:val="20"/>
              </w:rPr>
            </w:pPr>
            <w:r>
              <w:rPr>
                <w:color w:val="auto"/>
                <w:kern w:val="0"/>
                <w:sz w:val="20"/>
                <w:lang w:bidi="ar"/>
              </w:rPr>
              <w:t xml:space="preserve">459.00 </w:t>
            </w:r>
          </w:p>
        </w:tc>
        <w:tc>
          <w:tcPr>
            <w:tcW w:w="221" w:type="pct"/>
            <w:tcBorders>
              <w:top w:val="single" w:color="000000" w:sz="4" w:space="0"/>
              <w:left w:val="single" w:color="000000" w:sz="4" w:space="0"/>
              <w:bottom w:val="single" w:color="000000" w:sz="4" w:space="0"/>
              <w:right w:val="single" w:color="000000" w:sz="4" w:space="0"/>
            </w:tcBorders>
            <w:noWrap/>
            <w:vAlign w:val="center"/>
          </w:tcPr>
          <w:p w14:paraId="78DAE3A1">
            <w:pPr>
              <w:jc w:val="center"/>
              <w:rPr>
                <w:color w:val="auto"/>
                <w:sz w:val="20"/>
              </w:rPr>
            </w:pPr>
          </w:p>
        </w:tc>
        <w:tc>
          <w:tcPr>
            <w:tcW w:w="231" w:type="pct"/>
            <w:tcBorders>
              <w:top w:val="single" w:color="000000" w:sz="4" w:space="0"/>
              <w:left w:val="single" w:color="000000" w:sz="4" w:space="0"/>
              <w:bottom w:val="single" w:color="000000" w:sz="4" w:space="0"/>
              <w:right w:val="single" w:color="000000" w:sz="4" w:space="0"/>
            </w:tcBorders>
            <w:noWrap/>
            <w:vAlign w:val="center"/>
          </w:tcPr>
          <w:p w14:paraId="005B85B6">
            <w:pPr>
              <w:jc w:val="center"/>
              <w:rPr>
                <w:color w:val="auto"/>
                <w:sz w:val="20"/>
              </w:rPr>
            </w:pPr>
          </w:p>
        </w:tc>
        <w:tc>
          <w:tcPr>
            <w:tcW w:w="221" w:type="pct"/>
            <w:tcBorders>
              <w:top w:val="single" w:color="000000" w:sz="4" w:space="0"/>
              <w:left w:val="single" w:color="000000" w:sz="4" w:space="0"/>
              <w:bottom w:val="single" w:color="000000" w:sz="4" w:space="0"/>
              <w:right w:val="single" w:color="000000" w:sz="4" w:space="0"/>
            </w:tcBorders>
            <w:noWrap/>
            <w:vAlign w:val="center"/>
          </w:tcPr>
          <w:p w14:paraId="52255216">
            <w:pPr>
              <w:widowControl/>
              <w:jc w:val="center"/>
              <w:textAlignment w:val="center"/>
              <w:rPr>
                <w:color w:val="auto"/>
                <w:sz w:val="20"/>
              </w:rPr>
            </w:pPr>
            <w:r>
              <w:rPr>
                <w:color w:val="auto"/>
                <w:kern w:val="0"/>
                <w:sz w:val="20"/>
                <w:lang w:bidi="ar"/>
              </w:rPr>
              <w:t>102</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7CCAEDF5">
            <w:pPr>
              <w:widowControl/>
              <w:jc w:val="center"/>
              <w:textAlignment w:val="center"/>
              <w:rPr>
                <w:color w:val="auto"/>
                <w:sz w:val="20"/>
              </w:rPr>
            </w:pPr>
            <w:r>
              <w:rPr>
                <w:color w:val="auto"/>
                <w:kern w:val="0"/>
                <w:sz w:val="20"/>
                <w:lang w:bidi="ar"/>
              </w:rPr>
              <w:t xml:space="preserve">459.00 </w:t>
            </w:r>
          </w:p>
        </w:tc>
        <w:tc>
          <w:tcPr>
            <w:tcW w:w="221" w:type="pct"/>
            <w:tcBorders>
              <w:top w:val="single" w:color="000000" w:sz="4" w:space="0"/>
              <w:left w:val="single" w:color="000000" w:sz="4" w:space="0"/>
              <w:bottom w:val="single" w:color="000000" w:sz="4" w:space="0"/>
              <w:right w:val="single" w:color="000000" w:sz="4" w:space="0"/>
            </w:tcBorders>
            <w:noWrap/>
            <w:vAlign w:val="center"/>
          </w:tcPr>
          <w:p w14:paraId="1017C1AC">
            <w:pPr>
              <w:jc w:val="center"/>
              <w:rPr>
                <w:color w:val="auto"/>
                <w:sz w:val="20"/>
              </w:rPr>
            </w:pP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7A6DAC16">
            <w:pPr>
              <w:jc w:val="center"/>
              <w:rPr>
                <w:color w:val="auto"/>
                <w:sz w:val="20"/>
              </w:rPr>
            </w:pPr>
          </w:p>
        </w:tc>
        <w:tc>
          <w:tcPr>
            <w:tcW w:w="221" w:type="pct"/>
            <w:tcBorders>
              <w:top w:val="single" w:color="000000" w:sz="4" w:space="0"/>
              <w:left w:val="single" w:color="000000" w:sz="4" w:space="0"/>
              <w:bottom w:val="single" w:color="000000" w:sz="4" w:space="0"/>
              <w:right w:val="single" w:color="000000" w:sz="4" w:space="0"/>
            </w:tcBorders>
            <w:noWrap/>
            <w:vAlign w:val="center"/>
          </w:tcPr>
          <w:p w14:paraId="5C6FC891">
            <w:pPr>
              <w:jc w:val="center"/>
              <w:rPr>
                <w:color w:val="auto"/>
                <w:sz w:val="20"/>
              </w:rPr>
            </w:pPr>
          </w:p>
        </w:tc>
        <w:tc>
          <w:tcPr>
            <w:tcW w:w="231" w:type="pct"/>
            <w:tcBorders>
              <w:top w:val="single" w:color="000000" w:sz="4" w:space="0"/>
              <w:left w:val="single" w:color="000000" w:sz="4" w:space="0"/>
              <w:bottom w:val="single" w:color="000000" w:sz="4" w:space="0"/>
              <w:right w:val="single" w:color="000000" w:sz="4" w:space="0"/>
            </w:tcBorders>
            <w:noWrap/>
            <w:vAlign w:val="center"/>
          </w:tcPr>
          <w:p w14:paraId="476E5730">
            <w:pPr>
              <w:jc w:val="center"/>
              <w:rPr>
                <w:color w:val="auto"/>
                <w:sz w:val="20"/>
              </w:rPr>
            </w:pP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6F13B795">
            <w:pPr>
              <w:jc w:val="center"/>
              <w:rPr>
                <w:color w:val="auto"/>
                <w:sz w:val="20"/>
              </w:rPr>
            </w:pPr>
          </w:p>
        </w:tc>
        <w:tc>
          <w:tcPr>
            <w:tcW w:w="294" w:type="pct"/>
            <w:tcBorders>
              <w:top w:val="single" w:color="000000" w:sz="4" w:space="0"/>
              <w:left w:val="single" w:color="000000" w:sz="4" w:space="0"/>
              <w:bottom w:val="single" w:color="000000" w:sz="4" w:space="0"/>
              <w:right w:val="single" w:color="000000" w:sz="4" w:space="0"/>
            </w:tcBorders>
            <w:noWrap/>
            <w:vAlign w:val="center"/>
          </w:tcPr>
          <w:p w14:paraId="6276C597">
            <w:pPr>
              <w:jc w:val="center"/>
              <w:rPr>
                <w:color w:val="auto"/>
                <w:sz w:val="20"/>
              </w:rPr>
            </w:pPr>
          </w:p>
        </w:tc>
      </w:tr>
      <w:tr w14:paraId="60484E56">
        <w:tblPrEx>
          <w:tblCellMar>
            <w:top w:w="0" w:type="dxa"/>
            <w:left w:w="108" w:type="dxa"/>
            <w:bottom w:w="0" w:type="dxa"/>
            <w:right w:w="108" w:type="dxa"/>
          </w:tblCellMar>
        </w:tblPrEx>
        <w:trPr>
          <w:trHeight w:val="340" w:hRule="atLeast"/>
          <w:jc w:val="center"/>
        </w:trPr>
        <w:tc>
          <w:tcPr>
            <w:tcW w:w="435" w:type="pct"/>
            <w:tcBorders>
              <w:top w:val="single" w:color="000000" w:sz="4" w:space="0"/>
              <w:left w:val="single" w:color="000000" w:sz="4" w:space="0"/>
              <w:bottom w:val="single" w:color="000000" w:sz="4" w:space="0"/>
              <w:right w:val="single" w:color="000000" w:sz="4" w:space="0"/>
            </w:tcBorders>
            <w:noWrap/>
            <w:vAlign w:val="center"/>
          </w:tcPr>
          <w:p w14:paraId="35DB31B3">
            <w:pPr>
              <w:widowControl/>
              <w:jc w:val="center"/>
              <w:textAlignment w:val="center"/>
              <w:rPr>
                <w:color w:val="auto"/>
                <w:sz w:val="20"/>
              </w:rPr>
            </w:pPr>
            <w:r>
              <w:rPr>
                <w:color w:val="auto"/>
                <w:kern w:val="0"/>
                <w:sz w:val="20"/>
                <w:lang w:bidi="ar"/>
              </w:rPr>
              <w:t>推土机</w:t>
            </w:r>
          </w:p>
        </w:tc>
        <w:tc>
          <w:tcPr>
            <w:tcW w:w="439" w:type="pct"/>
            <w:tcBorders>
              <w:top w:val="single" w:color="000000" w:sz="4" w:space="0"/>
              <w:left w:val="single" w:color="000000" w:sz="4" w:space="0"/>
              <w:bottom w:val="single" w:color="000000" w:sz="4" w:space="0"/>
              <w:right w:val="single" w:color="000000" w:sz="4" w:space="0"/>
            </w:tcBorders>
            <w:noWrap/>
            <w:vAlign w:val="center"/>
          </w:tcPr>
          <w:p w14:paraId="350E5FCB">
            <w:pPr>
              <w:widowControl/>
              <w:jc w:val="center"/>
              <w:textAlignment w:val="center"/>
              <w:rPr>
                <w:color w:val="auto"/>
                <w:sz w:val="20"/>
              </w:rPr>
            </w:pPr>
            <w:r>
              <w:rPr>
                <w:color w:val="auto"/>
                <w:kern w:val="0"/>
                <w:sz w:val="20"/>
                <w:lang w:bidi="ar"/>
              </w:rPr>
              <w:t>59kW</w:t>
            </w:r>
          </w:p>
        </w:tc>
        <w:tc>
          <w:tcPr>
            <w:tcW w:w="310" w:type="pct"/>
            <w:tcBorders>
              <w:top w:val="single" w:color="000000" w:sz="4" w:space="0"/>
              <w:left w:val="single" w:color="000000" w:sz="4" w:space="0"/>
              <w:bottom w:val="single" w:color="000000" w:sz="4" w:space="0"/>
              <w:right w:val="single" w:color="000000" w:sz="4" w:space="0"/>
            </w:tcBorders>
            <w:vAlign w:val="center"/>
          </w:tcPr>
          <w:p w14:paraId="037DC3CB">
            <w:pPr>
              <w:widowControl/>
              <w:jc w:val="center"/>
              <w:textAlignment w:val="center"/>
              <w:rPr>
                <w:color w:val="auto"/>
                <w:sz w:val="20"/>
              </w:rPr>
            </w:pPr>
            <w:r>
              <w:rPr>
                <w:color w:val="auto"/>
                <w:kern w:val="0"/>
                <w:sz w:val="20"/>
                <w:lang w:bidi="ar"/>
              </w:rPr>
              <w:t xml:space="preserve">461.76 </w:t>
            </w:r>
          </w:p>
        </w:tc>
        <w:tc>
          <w:tcPr>
            <w:tcW w:w="516" w:type="pct"/>
            <w:tcBorders>
              <w:top w:val="single" w:color="000000" w:sz="4" w:space="0"/>
              <w:left w:val="single" w:color="000000" w:sz="4" w:space="0"/>
              <w:bottom w:val="single" w:color="000000" w:sz="4" w:space="0"/>
              <w:right w:val="single" w:color="000000" w:sz="4" w:space="0"/>
            </w:tcBorders>
            <w:noWrap/>
            <w:vAlign w:val="center"/>
          </w:tcPr>
          <w:p w14:paraId="0ACCFC72">
            <w:pPr>
              <w:widowControl/>
              <w:jc w:val="center"/>
              <w:textAlignment w:val="center"/>
              <w:rPr>
                <w:color w:val="auto"/>
                <w:sz w:val="20"/>
              </w:rPr>
            </w:pPr>
            <w:r>
              <w:rPr>
                <w:color w:val="auto"/>
                <w:kern w:val="0"/>
                <w:sz w:val="20"/>
                <w:lang w:bidi="ar"/>
              </w:rPr>
              <w:t xml:space="preserve">75.46 </w:t>
            </w:r>
          </w:p>
        </w:tc>
        <w:tc>
          <w:tcPr>
            <w:tcW w:w="238" w:type="pct"/>
            <w:tcBorders>
              <w:top w:val="single" w:color="000000" w:sz="4" w:space="0"/>
              <w:left w:val="single" w:color="000000" w:sz="4" w:space="0"/>
              <w:bottom w:val="single" w:color="000000" w:sz="4" w:space="0"/>
              <w:right w:val="single" w:color="000000" w:sz="4" w:space="0"/>
            </w:tcBorders>
            <w:noWrap/>
            <w:vAlign w:val="center"/>
          </w:tcPr>
          <w:p w14:paraId="74FD4FA4">
            <w:pPr>
              <w:widowControl/>
              <w:jc w:val="center"/>
              <w:textAlignment w:val="center"/>
              <w:rPr>
                <w:color w:val="auto"/>
                <w:sz w:val="20"/>
              </w:rPr>
            </w:pPr>
            <w:r>
              <w:rPr>
                <w:color w:val="auto"/>
                <w:kern w:val="0"/>
                <w:sz w:val="20"/>
                <w:lang w:bidi="ar"/>
              </w:rPr>
              <w:t>2</w:t>
            </w:r>
          </w:p>
        </w:tc>
        <w:tc>
          <w:tcPr>
            <w:tcW w:w="275" w:type="pct"/>
            <w:tcBorders>
              <w:top w:val="single" w:color="000000" w:sz="4" w:space="0"/>
              <w:left w:val="single" w:color="000000" w:sz="4" w:space="0"/>
              <w:bottom w:val="single" w:color="000000" w:sz="4" w:space="0"/>
              <w:right w:val="single" w:color="000000" w:sz="4" w:space="0"/>
            </w:tcBorders>
            <w:noWrap/>
            <w:vAlign w:val="center"/>
          </w:tcPr>
          <w:p w14:paraId="34E5498E">
            <w:pPr>
              <w:widowControl/>
              <w:jc w:val="center"/>
              <w:textAlignment w:val="center"/>
              <w:rPr>
                <w:color w:val="auto"/>
                <w:sz w:val="20"/>
              </w:rPr>
            </w:pPr>
            <w:r>
              <w:rPr>
                <w:color w:val="auto"/>
                <w:kern w:val="0"/>
                <w:sz w:val="20"/>
                <w:lang w:bidi="ar"/>
              </w:rPr>
              <w:t>188.3</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5B43938B">
            <w:pPr>
              <w:widowControl/>
              <w:jc w:val="center"/>
              <w:textAlignment w:val="center"/>
              <w:rPr>
                <w:color w:val="auto"/>
                <w:sz w:val="20"/>
              </w:rPr>
            </w:pPr>
            <w:r>
              <w:rPr>
                <w:color w:val="auto"/>
                <w:kern w:val="0"/>
                <w:sz w:val="20"/>
                <w:lang w:bidi="ar"/>
              </w:rPr>
              <w:t xml:space="preserve">198.00 </w:t>
            </w:r>
          </w:p>
        </w:tc>
        <w:tc>
          <w:tcPr>
            <w:tcW w:w="221" w:type="pct"/>
            <w:tcBorders>
              <w:top w:val="single" w:color="000000" w:sz="4" w:space="0"/>
              <w:left w:val="single" w:color="000000" w:sz="4" w:space="0"/>
              <w:bottom w:val="single" w:color="000000" w:sz="4" w:space="0"/>
              <w:right w:val="single" w:color="000000" w:sz="4" w:space="0"/>
            </w:tcBorders>
            <w:noWrap/>
            <w:vAlign w:val="center"/>
          </w:tcPr>
          <w:p w14:paraId="4A8015DC">
            <w:pPr>
              <w:jc w:val="center"/>
              <w:rPr>
                <w:color w:val="auto"/>
                <w:sz w:val="20"/>
              </w:rPr>
            </w:pPr>
          </w:p>
        </w:tc>
        <w:tc>
          <w:tcPr>
            <w:tcW w:w="231" w:type="pct"/>
            <w:tcBorders>
              <w:top w:val="single" w:color="000000" w:sz="4" w:space="0"/>
              <w:left w:val="single" w:color="000000" w:sz="4" w:space="0"/>
              <w:bottom w:val="single" w:color="000000" w:sz="4" w:space="0"/>
              <w:right w:val="single" w:color="000000" w:sz="4" w:space="0"/>
            </w:tcBorders>
            <w:noWrap/>
            <w:vAlign w:val="center"/>
          </w:tcPr>
          <w:p w14:paraId="2ED37503">
            <w:pPr>
              <w:jc w:val="center"/>
              <w:rPr>
                <w:color w:val="auto"/>
                <w:sz w:val="20"/>
              </w:rPr>
            </w:pPr>
          </w:p>
        </w:tc>
        <w:tc>
          <w:tcPr>
            <w:tcW w:w="221" w:type="pct"/>
            <w:tcBorders>
              <w:top w:val="single" w:color="000000" w:sz="4" w:space="0"/>
              <w:left w:val="single" w:color="000000" w:sz="4" w:space="0"/>
              <w:bottom w:val="single" w:color="000000" w:sz="4" w:space="0"/>
              <w:right w:val="single" w:color="000000" w:sz="4" w:space="0"/>
            </w:tcBorders>
            <w:noWrap/>
            <w:vAlign w:val="center"/>
          </w:tcPr>
          <w:p w14:paraId="013CB0A3">
            <w:pPr>
              <w:widowControl/>
              <w:jc w:val="center"/>
              <w:textAlignment w:val="center"/>
              <w:rPr>
                <w:color w:val="auto"/>
                <w:sz w:val="20"/>
              </w:rPr>
            </w:pPr>
            <w:r>
              <w:rPr>
                <w:color w:val="auto"/>
                <w:kern w:val="0"/>
                <w:sz w:val="20"/>
                <w:lang w:bidi="ar"/>
              </w:rPr>
              <w:t>44</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105107B4">
            <w:pPr>
              <w:widowControl/>
              <w:jc w:val="center"/>
              <w:textAlignment w:val="center"/>
              <w:rPr>
                <w:color w:val="auto"/>
                <w:sz w:val="20"/>
              </w:rPr>
            </w:pPr>
            <w:r>
              <w:rPr>
                <w:color w:val="auto"/>
                <w:kern w:val="0"/>
                <w:sz w:val="20"/>
                <w:lang w:bidi="ar"/>
              </w:rPr>
              <w:t xml:space="preserve">198.00 </w:t>
            </w:r>
          </w:p>
        </w:tc>
        <w:tc>
          <w:tcPr>
            <w:tcW w:w="221" w:type="pct"/>
            <w:tcBorders>
              <w:top w:val="single" w:color="000000" w:sz="4" w:space="0"/>
              <w:left w:val="single" w:color="000000" w:sz="4" w:space="0"/>
              <w:bottom w:val="single" w:color="000000" w:sz="4" w:space="0"/>
              <w:right w:val="single" w:color="000000" w:sz="4" w:space="0"/>
            </w:tcBorders>
            <w:noWrap/>
            <w:vAlign w:val="center"/>
          </w:tcPr>
          <w:p w14:paraId="0FA1377F">
            <w:pPr>
              <w:jc w:val="center"/>
              <w:rPr>
                <w:color w:val="auto"/>
                <w:sz w:val="20"/>
              </w:rPr>
            </w:pP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36DABD78">
            <w:pPr>
              <w:jc w:val="center"/>
              <w:rPr>
                <w:color w:val="auto"/>
                <w:sz w:val="20"/>
              </w:rPr>
            </w:pPr>
          </w:p>
        </w:tc>
        <w:tc>
          <w:tcPr>
            <w:tcW w:w="221" w:type="pct"/>
            <w:tcBorders>
              <w:top w:val="single" w:color="000000" w:sz="4" w:space="0"/>
              <w:left w:val="single" w:color="000000" w:sz="4" w:space="0"/>
              <w:bottom w:val="single" w:color="000000" w:sz="4" w:space="0"/>
              <w:right w:val="single" w:color="000000" w:sz="4" w:space="0"/>
            </w:tcBorders>
            <w:noWrap/>
            <w:vAlign w:val="center"/>
          </w:tcPr>
          <w:p w14:paraId="00A37AE1">
            <w:pPr>
              <w:jc w:val="center"/>
              <w:rPr>
                <w:color w:val="auto"/>
                <w:sz w:val="20"/>
              </w:rPr>
            </w:pPr>
          </w:p>
        </w:tc>
        <w:tc>
          <w:tcPr>
            <w:tcW w:w="231" w:type="pct"/>
            <w:tcBorders>
              <w:top w:val="single" w:color="000000" w:sz="4" w:space="0"/>
              <w:left w:val="single" w:color="000000" w:sz="4" w:space="0"/>
              <w:bottom w:val="single" w:color="000000" w:sz="4" w:space="0"/>
              <w:right w:val="single" w:color="000000" w:sz="4" w:space="0"/>
            </w:tcBorders>
            <w:noWrap/>
            <w:vAlign w:val="center"/>
          </w:tcPr>
          <w:p w14:paraId="1AADB01B">
            <w:pPr>
              <w:jc w:val="center"/>
              <w:rPr>
                <w:color w:val="auto"/>
                <w:sz w:val="20"/>
              </w:rPr>
            </w:pP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1449AF4A">
            <w:pPr>
              <w:jc w:val="center"/>
              <w:rPr>
                <w:color w:val="auto"/>
                <w:sz w:val="20"/>
              </w:rPr>
            </w:pPr>
          </w:p>
        </w:tc>
        <w:tc>
          <w:tcPr>
            <w:tcW w:w="294" w:type="pct"/>
            <w:tcBorders>
              <w:top w:val="single" w:color="000000" w:sz="4" w:space="0"/>
              <w:left w:val="single" w:color="000000" w:sz="4" w:space="0"/>
              <w:bottom w:val="single" w:color="000000" w:sz="4" w:space="0"/>
              <w:right w:val="single" w:color="000000" w:sz="4" w:space="0"/>
            </w:tcBorders>
            <w:noWrap/>
            <w:vAlign w:val="center"/>
          </w:tcPr>
          <w:p w14:paraId="69D660B1">
            <w:pPr>
              <w:jc w:val="center"/>
              <w:rPr>
                <w:color w:val="auto"/>
                <w:sz w:val="20"/>
              </w:rPr>
            </w:pPr>
          </w:p>
        </w:tc>
      </w:tr>
      <w:tr w14:paraId="45229D82">
        <w:tblPrEx>
          <w:tblCellMar>
            <w:top w:w="0" w:type="dxa"/>
            <w:left w:w="108" w:type="dxa"/>
            <w:bottom w:w="0" w:type="dxa"/>
            <w:right w:w="108" w:type="dxa"/>
          </w:tblCellMar>
        </w:tblPrEx>
        <w:trPr>
          <w:trHeight w:val="340" w:hRule="atLeast"/>
          <w:jc w:val="center"/>
        </w:trPr>
        <w:tc>
          <w:tcPr>
            <w:tcW w:w="435" w:type="pct"/>
            <w:tcBorders>
              <w:top w:val="single" w:color="000000" w:sz="4" w:space="0"/>
              <w:left w:val="single" w:color="000000" w:sz="4" w:space="0"/>
              <w:bottom w:val="single" w:color="000000" w:sz="4" w:space="0"/>
              <w:right w:val="single" w:color="000000" w:sz="4" w:space="0"/>
            </w:tcBorders>
            <w:noWrap/>
            <w:vAlign w:val="center"/>
          </w:tcPr>
          <w:p w14:paraId="50F22E48">
            <w:pPr>
              <w:widowControl/>
              <w:jc w:val="center"/>
              <w:textAlignment w:val="center"/>
              <w:rPr>
                <w:color w:val="auto"/>
                <w:sz w:val="20"/>
              </w:rPr>
            </w:pPr>
            <w:r>
              <w:rPr>
                <w:color w:val="auto"/>
                <w:kern w:val="0"/>
                <w:sz w:val="20"/>
                <w:lang w:bidi="ar"/>
              </w:rPr>
              <w:t>推土机</w:t>
            </w:r>
          </w:p>
        </w:tc>
        <w:tc>
          <w:tcPr>
            <w:tcW w:w="439" w:type="pct"/>
            <w:tcBorders>
              <w:top w:val="single" w:color="000000" w:sz="4" w:space="0"/>
              <w:left w:val="single" w:color="000000" w:sz="4" w:space="0"/>
              <w:bottom w:val="single" w:color="000000" w:sz="4" w:space="0"/>
              <w:right w:val="single" w:color="000000" w:sz="4" w:space="0"/>
            </w:tcBorders>
            <w:noWrap/>
            <w:vAlign w:val="center"/>
          </w:tcPr>
          <w:p w14:paraId="75E64F5A">
            <w:pPr>
              <w:widowControl/>
              <w:jc w:val="center"/>
              <w:textAlignment w:val="center"/>
              <w:rPr>
                <w:color w:val="auto"/>
                <w:sz w:val="20"/>
              </w:rPr>
            </w:pPr>
            <w:r>
              <w:rPr>
                <w:color w:val="auto"/>
                <w:kern w:val="0"/>
                <w:sz w:val="20"/>
                <w:lang w:bidi="ar"/>
              </w:rPr>
              <w:t>74kW</w:t>
            </w:r>
          </w:p>
        </w:tc>
        <w:tc>
          <w:tcPr>
            <w:tcW w:w="310" w:type="pct"/>
            <w:tcBorders>
              <w:top w:val="single" w:color="000000" w:sz="4" w:space="0"/>
              <w:left w:val="single" w:color="000000" w:sz="4" w:space="0"/>
              <w:bottom w:val="single" w:color="000000" w:sz="4" w:space="0"/>
              <w:right w:val="single" w:color="000000" w:sz="4" w:space="0"/>
            </w:tcBorders>
            <w:vAlign w:val="center"/>
          </w:tcPr>
          <w:p w14:paraId="1F7F2FAD">
            <w:pPr>
              <w:widowControl/>
              <w:jc w:val="center"/>
              <w:textAlignment w:val="center"/>
              <w:rPr>
                <w:color w:val="auto"/>
                <w:sz w:val="20"/>
              </w:rPr>
            </w:pPr>
            <w:r>
              <w:rPr>
                <w:color w:val="auto"/>
                <w:kern w:val="0"/>
                <w:sz w:val="20"/>
                <w:lang w:bidi="ar"/>
              </w:rPr>
              <w:t xml:space="preserve">643.29 </w:t>
            </w:r>
          </w:p>
        </w:tc>
        <w:tc>
          <w:tcPr>
            <w:tcW w:w="516" w:type="pct"/>
            <w:tcBorders>
              <w:top w:val="single" w:color="000000" w:sz="4" w:space="0"/>
              <w:left w:val="single" w:color="000000" w:sz="4" w:space="0"/>
              <w:bottom w:val="single" w:color="000000" w:sz="4" w:space="0"/>
              <w:right w:val="single" w:color="000000" w:sz="4" w:space="0"/>
            </w:tcBorders>
            <w:noWrap/>
            <w:vAlign w:val="center"/>
          </w:tcPr>
          <w:p w14:paraId="6D54BC9D">
            <w:pPr>
              <w:widowControl/>
              <w:jc w:val="center"/>
              <w:textAlignment w:val="center"/>
              <w:rPr>
                <w:color w:val="auto"/>
                <w:sz w:val="20"/>
              </w:rPr>
            </w:pPr>
            <w:r>
              <w:rPr>
                <w:color w:val="auto"/>
                <w:kern w:val="0"/>
                <w:sz w:val="20"/>
                <w:lang w:bidi="ar"/>
              </w:rPr>
              <w:t xml:space="preserve">207.49 </w:t>
            </w:r>
          </w:p>
        </w:tc>
        <w:tc>
          <w:tcPr>
            <w:tcW w:w="238" w:type="pct"/>
            <w:tcBorders>
              <w:top w:val="single" w:color="000000" w:sz="4" w:space="0"/>
              <w:left w:val="single" w:color="000000" w:sz="4" w:space="0"/>
              <w:bottom w:val="single" w:color="000000" w:sz="4" w:space="0"/>
              <w:right w:val="single" w:color="000000" w:sz="4" w:space="0"/>
            </w:tcBorders>
            <w:noWrap/>
            <w:vAlign w:val="center"/>
          </w:tcPr>
          <w:p w14:paraId="66D4B8C9">
            <w:pPr>
              <w:widowControl/>
              <w:jc w:val="center"/>
              <w:textAlignment w:val="center"/>
              <w:rPr>
                <w:color w:val="auto"/>
                <w:sz w:val="20"/>
              </w:rPr>
            </w:pPr>
            <w:r>
              <w:rPr>
                <w:color w:val="auto"/>
                <w:kern w:val="0"/>
                <w:sz w:val="20"/>
                <w:lang w:bidi="ar"/>
              </w:rPr>
              <w:t>2</w:t>
            </w:r>
          </w:p>
        </w:tc>
        <w:tc>
          <w:tcPr>
            <w:tcW w:w="275" w:type="pct"/>
            <w:tcBorders>
              <w:top w:val="single" w:color="000000" w:sz="4" w:space="0"/>
              <w:left w:val="single" w:color="000000" w:sz="4" w:space="0"/>
              <w:bottom w:val="single" w:color="000000" w:sz="4" w:space="0"/>
              <w:right w:val="single" w:color="000000" w:sz="4" w:space="0"/>
            </w:tcBorders>
            <w:noWrap/>
            <w:vAlign w:val="center"/>
          </w:tcPr>
          <w:p w14:paraId="09C1EAA3">
            <w:pPr>
              <w:widowControl/>
              <w:jc w:val="center"/>
              <w:textAlignment w:val="center"/>
              <w:rPr>
                <w:color w:val="auto"/>
                <w:sz w:val="20"/>
              </w:rPr>
            </w:pPr>
            <w:r>
              <w:rPr>
                <w:color w:val="auto"/>
                <w:kern w:val="0"/>
                <w:sz w:val="20"/>
                <w:lang w:bidi="ar"/>
              </w:rPr>
              <w:t>188.3</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F532D1A">
            <w:pPr>
              <w:widowControl/>
              <w:jc w:val="center"/>
              <w:textAlignment w:val="center"/>
              <w:rPr>
                <w:color w:val="auto"/>
                <w:sz w:val="20"/>
              </w:rPr>
            </w:pPr>
            <w:r>
              <w:rPr>
                <w:color w:val="auto"/>
                <w:kern w:val="0"/>
                <w:sz w:val="20"/>
                <w:lang w:bidi="ar"/>
              </w:rPr>
              <w:t xml:space="preserve">247.50 </w:t>
            </w:r>
          </w:p>
        </w:tc>
        <w:tc>
          <w:tcPr>
            <w:tcW w:w="221" w:type="pct"/>
            <w:tcBorders>
              <w:top w:val="single" w:color="000000" w:sz="4" w:space="0"/>
              <w:left w:val="single" w:color="000000" w:sz="4" w:space="0"/>
              <w:bottom w:val="single" w:color="000000" w:sz="4" w:space="0"/>
              <w:right w:val="single" w:color="000000" w:sz="4" w:space="0"/>
            </w:tcBorders>
            <w:noWrap/>
            <w:vAlign w:val="center"/>
          </w:tcPr>
          <w:p w14:paraId="64F63FFF">
            <w:pPr>
              <w:jc w:val="center"/>
              <w:rPr>
                <w:color w:val="auto"/>
                <w:sz w:val="20"/>
              </w:rPr>
            </w:pPr>
          </w:p>
        </w:tc>
        <w:tc>
          <w:tcPr>
            <w:tcW w:w="231" w:type="pct"/>
            <w:tcBorders>
              <w:top w:val="single" w:color="000000" w:sz="4" w:space="0"/>
              <w:left w:val="single" w:color="000000" w:sz="4" w:space="0"/>
              <w:bottom w:val="single" w:color="000000" w:sz="4" w:space="0"/>
              <w:right w:val="single" w:color="000000" w:sz="4" w:space="0"/>
            </w:tcBorders>
            <w:noWrap/>
            <w:vAlign w:val="center"/>
          </w:tcPr>
          <w:p w14:paraId="5601F5B9">
            <w:pPr>
              <w:jc w:val="center"/>
              <w:rPr>
                <w:color w:val="auto"/>
                <w:sz w:val="20"/>
              </w:rPr>
            </w:pPr>
          </w:p>
        </w:tc>
        <w:tc>
          <w:tcPr>
            <w:tcW w:w="221" w:type="pct"/>
            <w:tcBorders>
              <w:top w:val="single" w:color="000000" w:sz="4" w:space="0"/>
              <w:left w:val="single" w:color="000000" w:sz="4" w:space="0"/>
              <w:bottom w:val="single" w:color="000000" w:sz="4" w:space="0"/>
              <w:right w:val="single" w:color="000000" w:sz="4" w:space="0"/>
            </w:tcBorders>
            <w:noWrap/>
            <w:vAlign w:val="center"/>
          </w:tcPr>
          <w:p w14:paraId="243C9D1D">
            <w:pPr>
              <w:widowControl/>
              <w:jc w:val="center"/>
              <w:textAlignment w:val="center"/>
              <w:rPr>
                <w:color w:val="auto"/>
                <w:sz w:val="20"/>
              </w:rPr>
            </w:pPr>
            <w:r>
              <w:rPr>
                <w:color w:val="auto"/>
                <w:kern w:val="0"/>
                <w:sz w:val="20"/>
                <w:lang w:bidi="ar"/>
              </w:rPr>
              <w:t>55</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44643262">
            <w:pPr>
              <w:widowControl/>
              <w:jc w:val="center"/>
              <w:textAlignment w:val="center"/>
              <w:rPr>
                <w:color w:val="auto"/>
                <w:sz w:val="20"/>
              </w:rPr>
            </w:pPr>
            <w:r>
              <w:rPr>
                <w:color w:val="auto"/>
                <w:kern w:val="0"/>
                <w:sz w:val="20"/>
                <w:lang w:bidi="ar"/>
              </w:rPr>
              <w:t xml:space="preserve">247.50 </w:t>
            </w:r>
          </w:p>
        </w:tc>
        <w:tc>
          <w:tcPr>
            <w:tcW w:w="221" w:type="pct"/>
            <w:tcBorders>
              <w:top w:val="single" w:color="000000" w:sz="4" w:space="0"/>
              <w:left w:val="single" w:color="000000" w:sz="4" w:space="0"/>
              <w:bottom w:val="single" w:color="000000" w:sz="4" w:space="0"/>
              <w:right w:val="single" w:color="000000" w:sz="4" w:space="0"/>
            </w:tcBorders>
            <w:noWrap/>
            <w:vAlign w:val="center"/>
          </w:tcPr>
          <w:p w14:paraId="52EDB311">
            <w:pPr>
              <w:jc w:val="center"/>
              <w:rPr>
                <w:color w:val="auto"/>
                <w:sz w:val="20"/>
              </w:rPr>
            </w:pP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03FB6860">
            <w:pPr>
              <w:jc w:val="center"/>
              <w:rPr>
                <w:color w:val="auto"/>
                <w:sz w:val="20"/>
              </w:rPr>
            </w:pPr>
          </w:p>
        </w:tc>
        <w:tc>
          <w:tcPr>
            <w:tcW w:w="221" w:type="pct"/>
            <w:tcBorders>
              <w:top w:val="single" w:color="000000" w:sz="4" w:space="0"/>
              <w:left w:val="single" w:color="000000" w:sz="4" w:space="0"/>
              <w:bottom w:val="single" w:color="000000" w:sz="4" w:space="0"/>
              <w:right w:val="single" w:color="000000" w:sz="4" w:space="0"/>
            </w:tcBorders>
            <w:noWrap/>
            <w:vAlign w:val="center"/>
          </w:tcPr>
          <w:p w14:paraId="5EDFCC24">
            <w:pPr>
              <w:jc w:val="center"/>
              <w:rPr>
                <w:color w:val="auto"/>
                <w:sz w:val="20"/>
              </w:rPr>
            </w:pPr>
          </w:p>
        </w:tc>
        <w:tc>
          <w:tcPr>
            <w:tcW w:w="231" w:type="pct"/>
            <w:tcBorders>
              <w:top w:val="single" w:color="000000" w:sz="4" w:space="0"/>
              <w:left w:val="single" w:color="000000" w:sz="4" w:space="0"/>
              <w:bottom w:val="single" w:color="000000" w:sz="4" w:space="0"/>
              <w:right w:val="single" w:color="000000" w:sz="4" w:space="0"/>
            </w:tcBorders>
            <w:noWrap/>
            <w:vAlign w:val="center"/>
          </w:tcPr>
          <w:p w14:paraId="4AA773CB">
            <w:pPr>
              <w:jc w:val="center"/>
              <w:rPr>
                <w:color w:val="auto"/>
                <w:sz w:val="20"/>
              </w:rPr>
            </w:pP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1512101C">
            <w:pPr>
              <w:jc w:val="center"/>
              <w:rPr>
                <w:color w:val="auto"/>
                <w:sz w:val="20"/>
              </w:rPr>
            </w:pPr>
          </w:p>
        </w:tc>
        <w:tc>
          <w:tcPr>
            <w:tcW w:w="294" w:type="pct"/>
            <w:tcBorders>
              <w:top w:val="single" w:color="000000" w:sz="4" w:space="0"/>
              <w:left w:val="single" w:color="000000" w:sz="4" w:space="0"/>
              <w:bottom w:val="single" w:color="000000" w:sz="4" w:space="0"/>
              <w:right w:val="single" w:color="000000" w:sz="4" w:space="0"/>
            </w:tcBorders>
            <w:noWrap/>
            <w:vAlign w:val="center"/>
          </w:tcPr>
          <w:p w14:paraId="7100C215">
            <w:pPr>
              <w:jc w:val="center"/>
              <w:rPr>
                <w:color w:val="auto"/>
                <w:sz w:val="20"/>
              </w:rPr>
            </w:pPr>
          </w:p>
        </w:tc>
      </w:tr>
      <w:tr w14:paraId="13B774B8">
        <w:tblPrEx>
          <w:tblCellMar>
            <w:top w:w="0" w:type="dxa"/>
            <w:left w:w="108" w:type="dxa"/>
            <w:bottom w:w="0" w:type="dxa"/>
            <w:right w:w="108" w:type="dxa"/>
          </w:tblCellMar>
        </w:tblPrEx>
        <w:trPr>
          <w:trHeight w:val="340" w:hRule="atLeast"/>
          <w:jc w:val="center"/>
        </w:trPr>
        <w:tc>
          <w:tcPr>
            <w:tcW w:w="435" w:type="pct"/>
            <w:tcBorders>
              <w:top w:val="single" w:color="000000" w:sz="4" w:space="0"/>
              <w:left w:val="single" w:color="000000" w:sz="4" w:space="0"/>
              <w:bottom w:val="single" w:color="000000" w:sz="4" w:space="0"/>
              <w:right w:val="single" w:color="000000" w:sz="4" w:space="0"/>
            </w:tcBorders>
            <w:noWrap/>
            <w:vAlign w:val="center"/>
          </w:tcPr>
          <w:p w14:paraId="3952153F">
            <w:pPr>
              <w:widowControl/>
              <w:jc w:val="center"/>
              <w:textAlignment w:val="center"/>
              <w:rPr>
                <w:color w:val="auto"/>
                <w:sz w:val="20"/>
              </w:rPr>
            </w:pPr>
            <w:r>
              <w:rPr>
                <w:color w:val="auto"/>
                <w:kern w:val="0"/>
                <w:sz w:val="20"/>
                <w:lang w:bidi="ar"/>
              </w:rPr>
              <w:t>自卸汽车</w:t>
            </w:r>
          </w:p>
        </w:tc>
        <w:tc>
          <w:tcPr>
            <w:tcW w:w="439" w:type="pct"/>
            <w:tcBorders>
              <w:top w:val="single" w:color="000000" w:sz="4" w:space="0"/>
              <w:left w:val="single" w:color="000000" w:sz="4" w:space="0"/>
              <w:bottom w:val="single" w:color="000000" w:sz="4" w:space="0"/>
              <w:right w:val="single" w:color="000000" w:sz="4" w:space="0"/>
            </w:tcBorders>
            <w:noWrap/>
            <w:vAlign w:val="center"/>
          </w:tcPr>
          <w:p w14:paraId="1D05F5B2">
            <w:pPr>
              <w:widowControl/>
              <w:jc w:val="center"/>
              <w:textAlignment w:val="center"/>
              <w:rPr>
                <w:color w:val="auto"/>
                <w:sz w:val="20"/>
              </w:rPr>
            </w:pPr>
            <w:r>
              <w:rPr>
                <w:color w:val="auto"/>
                <w:kern w:val="0"/>
                <w:sz w:val="20"/>
                <w:lang w:bidi="ar"/>
              </w:rPr>
              <w:t>柴油型18t</w:t>
            </w:r>
          </w:p>
        </w:tc>
        <w:tc>
          <w:tcPr>
            <w:tcW w:w="310" w:type="pct"/>
            <w:tcBorders>
              <w:top w:val="single" w:color="000000" w:sz="4" w:space="0"/>
              <w:left w:val="single" w:color="000000" w:sz="4" w:space="0"/>
              <w:bottom w:val="single" w:color="000000" w:sz="4" w:space="0"/>
              <w:right w:val="single" w:color="000000" w:sz="4" w:space="0"/>
            </w:tcBorders>
            <w:noWrap/>
            <w:vAlign w:val="center"/>
          </w:tcPr>
          <w:p w14:paraId="08AF5F0C">
            <w:pPr>
              <w:widowControl/>
              <w:jc w:val="center"/>
              <w:textAlignment w:val="center"/>
              <w:rPr>
                <w:color w:val="auto"/>
                <w:sz w:val="20"/>
              </w:rPr>
            </w:pPr>
            <w:r>
              <w:rPr>
                <w:color w:val="auto"/>
                <w:kern w:val="0"/>
                <w:sz w:val="20"/>
                <w:lang w:bidi="ar"/>
              </w:rPr>
              <w:t xml:space="preserve">939.61 </w:t>
            </w:r>
          </w:p>
        </w:tc>
        <w:tc>
          <w:tcPr>
            <w:tcW w:w="516" w:type="pct"/>
            <w:tcBorders>
              <w:top w:val="single" w:color="000000" w:sz="4" w:space="0"/>
              <w:left w:val="single" w:color="000000" w:sz="4" w:space="0"/>
              <w:bottom w:val="single" w:color="000000" w:sz="4" w:space="0"/>
              <w:right w:val="single" w:color="000000" w:sz="4" w:space="0"/>
            </w:tcBorders>
            <w:noWrap/>
            <w:vAlign w:val="center"/>
          </w:tcPr>
          <w:p w14:paraId="4ADDF75F">
            <w:pPr>
              <w:widowControl/>
              <w:jc w:val="center"/>
              <w:textAlignment w:val="bottom"/>
              <w:rPr>
                <w:color w:val="auto"/>
                <w:sz w:val="20"/>
              </w:rPr>
            </w:pPr>
            <w:r>
              <w:rPr>
                <w:color w:val="auto"/>
                <w:kern w:val="0"/>
                <w:sz w:val="20"/>
                <w:lang w:bidi="ar"/>
              </w:rPr>
              <w:t xml:space="preserve">454.31 </w:t>
            </w:r>
          </w:p>
        </w:tc>
        <w:tc>
          <w:tcPr>
            <w:tcW w:w="238" w:type="pct"/>
            <w:tcBorders>
              <w:top w:val="single" w:color="000000" w:sz="4" w:space="0"/>
              <w:left w:val="single" w:color="000000" w:sz="4" w:space="0"/>
              <w:bottom w:val="single" w:color="000000" w:sz="4" w:space="0"/>
              <w:right w:val="single" w:color="000000" w:sz="4" w:space="0"/>
            </w:tcBorders>
            <w:noWrap/>
            <w:vAlign w:val="center"/>
          </w:tcPr>
          <w:p w14:paraId="4067D134">
            <w:pPr>
              <w:widowControl/>
              <w:jc w:val="center"/>
              <w:textAlignment w:val="bottom"/>
              <w:rPr>
                <w:color w:val="auto"/>
                <w:sz w:val="20"/>
              </w:rPr>
            </w:pPr>
            <w:r>
              <w:rPr>
                <w:color w:val="auto"/>
                <w:kern w:val="0"/>
                <w:sz w:val="20"/>
                <w:lang w:bidi="ar"/>
              </w:rPr>
              <w:t>2</w:t>
            </w:r>
          </w:p>
        </w:tc>
        <w:tc>
          <w:tcPr>
            <w:tcW w:w="275" w:type="pct"/>
            <w:tcBorders>
              <w:top w:val="single" w:color="000000" w:sz="4" w:space="0"/>
              <w:left w:val="single" w:color="000000" w:sz="4" w:space="0"/>
              <w:bottom w:val="single" w:color="000000" w:sz="4" w:space="0"/>
              <w:right w:val="single" w:color="000000" w:sz="4" w:space="0"/>
            </w:tcBorders>
            <w:vAlign w:val="center"/>
          </w:tcPr>
          <w:p w14:paraId="69D17BA0">
            <w:pPr>
              <w:widowControl/>
              <w:jc w:val="center"/>
              <w:textAlignment w:val="center"/>
              <w:rPr>
                <w:color w:val="auto"/>
                <w:sz w:val="20"/>
              </w:rPr>
            </w:pPr>
            <w:r>
              <w:rPr>
                <w:color w:val="auto"/>
                <w:kern w:val="0"/>
                <w:sz w:val="20"/>
                <w:lang w:bidi="ar"/>
              </w:rPr>
              <w:t xml:space="preserve">188.30 </w:t>
            </w:r>
          </w:p>
        </w:tc>
        <w:tc>
          <w:tcPr>
            <w:tcW w:w="371" w:type="pct"/>
            <w:tcBorders>
              <w:top w:val="single" w:color="000000" w:sz="4" w:space="0"/>
              <w:left w:val="single" w:color="000000" w:sz="4" w:space="0"/>
              <w:bottom w:val="single" w:color="000000" w:sz="4" w:space="0"/>
              <w:right w:val="single" w:color="000000" w:sz="4" w:space="0"/>
            </w:tcBorders>
            <w:vAlign w:val="center"/>
          </w:tcPr>
          <w:p w14:paraId="24808AC2">
            <w:pPr>
              <w:widowControl/>
              <w:jc w:val="center"/>
              <w:textAlignment w:val="center"/>
              <w:rPr>
                <w:color w:val="auto"/>
                <w:sz w:val="20"/>
              </w:rPr>
            </w:pPr>
            <w:r>
              <w:rPr>
                <w:color w:val="auto"/>
                <w:kern w:val="0"/>
                <w:sz w:val="20"/>
                <w:lang w:bidi="ar"/>
              </w:rPr>
              <w:t xml:space="preserve">297.00 </w:t>
            </w:r>
          </w:p>
        </w:tc>
        <w:tc>
          <w:tcPr>
            <w:tcW w:w="221" w:type="pct"/>
            <w:tcBorders>
              <w:top w:val="single" w:color="000000" w:sz="4" w:space="0"/>
              <w:left w:val="single" w:color="000000" w:sz="4" w:space="0"/>
              <w:bottom w:val="single" w:color="000000" w:sz="4" w:space="0"/>
              <w:right w:val="single" w:color="000000" w:sz="4" w:space="0"/>
            </w:tcBorders>
            <w:noWrap/>
            <w:vAlign w:val="center"/>
          </w:tcPr>
          <w:p w14:paraId="725801F3">
            <w:pPr>
              <w:jc w:val="center"/>
              <w:rPr>
                <w:color w:val="auto"/>
                <w:sz w:val="20"/>
              </w:rPr>
            </w:pPr>
          </w:p>
        </w:tc>
        <w:tc>
          <w:tcPr>
            <w:tcW w:w="231" w:type="pct"/>
            <w:tcBorders>
              <w:top w:val="single" w:color="000000" w:sz="4" w:space="0"/>
              <w:left w:val="single" w:color="000000" w:sz="4" w:space="0"/>
              <w:bottom w:val="single" w:color="000000" w:sz="4" w:space="0"/>
              <w:right w:val="single" w:color="000000" w:sz="4" w:space="0"/>
            </w:tcBorders>
            <w:noWrap/>
            <w:vAlign w:val="center"/>
          </w:tcPr>
          <w:p w14:paraId="354FC070">
            <w:pPr>
              <w:jc w:val="center"/>
              <w:rPr>
                <w:color w:val="auto"/>
                <w:sz w:val="20"/>
              </w:rPr>
            </w:pPr>
          </w:p>
        </w:tc>
        <w:tc>
          <w:tcPr>
            <w:tcW w:w="221" w:type="pct"/>
            <w:tcBorders>
              <w:top w:val="single" w:color="000000" w:sz="4" w:space="0"/>
              <w:left w:val="single" w:color="000000" w:sz="4" w:space="0"/>
              <w:bottom w:val="single" w:color="000000" w:sz="4" w:space="0"/>
              <w:right w:val="single" w:color="000000" w:sz="4" w:space="0"/>
            </w:tcBorders>
            <w:noWrap/>
            <w:vAlign w:val="center"/>
          </w:tcPr>
          <w:p w14:paraId="4F965796">
            <w:pPr>
              <w:widowControl/>
              <w:jc w:val="center"/>
              <w:textAlignment w:val="bottom"/>
              <w:rPr>
                <w:color w:val="auto"/>
                <w:sz w:val="20"/>
              </w:rPr>
            </w:pPr>
            <w:r>
              <w:rPr>
                <w:color w:val="auto"/>
                <w:kern w:val="0"/>
                <w:sz w:val="20"/>
                <w:lang w:bidi="ar"/>
              </w:rPr>
              <w:t>66</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55AAF998">
            <w:pPr>
              <w:widowControl/>
              <w:jc w:val="center"/>
              <w:textAlignment w:val="bottom"/>
              <w:rPr>
                <w:color w:val="auto"/>
                <w:sz w:val="20"/>
              </w:rPr>
            </w:pPr>
            <w:r>
              <w:rPr>
                <w:color w:val="auto"/>
                <w:kern w:val="0"/>
                <w:sz w:val="20"/>
                <w:lang w:bidi="ar"/>
              </w:rPr>
              <w:t xml:space="preserve">297.00 </w:t>
            </w:r>
          </w:p>
        </w:tc>
        <w:tc>
          <w:tcPr>
            <w:tcW w:w="221" w:type="pct"/>
            <w:tcBorders>
              <w:top w:val="single" w:color="000000" w:sz="4" w:space="0"/>
              <w:left w:val="single" w:color="000000" w:sz="4" w:space="0"/>
              <w:bottom w:val="single" w:color="000000" w:sz="4" w:space="0"/>
              <w:right w:val="single" w:color="000000" w:sz="4" w:space="0"/>
            </w:tcBorders>
            <w:noWrap/>
            <w:vAlign w:val="center"/>
          </w:tcPr>
          <w:p w14:paraId="1B362FD6">
            <w:pPr>
              <w:jc w:val="center"/>
              <w:rPr>
                <w:color w:val="auto"/>
                <w:sz w:val="20"/>
              </w:rPr>
            </w:pP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08D5E2A3">
            <w:pPr>
              <w:jc w:val="center"/>
              <w:rPr>
                <w:color w:val="auto"/>
                <w:sz w:val="20"/>
              </w:rPr>
            </w:pPr>
          </w:p>
        </w:tc>
        <w:tc>
          <w:tcPr>
            <w:tcW w:w="221" w:type="pct"/>
            <w:tcBorders>
              <w:top w:val="single" w:color="000000" w:sz="4" w:space="0"/>
              <w:left w:val="single" w:color="000000" w:sz="4" w:space="0"/>
              <w:bottom w:val="single" w:color="000000" w:sz="4" w:space="0"/>
              <w:right w:val="single" w:color="000000" w:sz="4" w:space="0"/>
            </w:tcBorders>
            <w:vAlign w:val="center"/>
          </w:tcPr>
          <w:p w14:paraId="10643C0B">
            <w:pPr>
              <w:jc w:val="center"/>
              <w:rPr>
                <w:color w:val="auto"/>
                <w:sz w:val="20"/>
              </w:rPr>
            </w:pPr>
          </w:p>
        </w:tc>
        <w:tc>
          <w:tcPr>
            <w:tcW w:w="231" w:type="pct"/>
            <w:tcBorders>
              <w:top w:val="single" w:color="000000" w:sz="4" w:space="0"/>
              <w:left w:val="single" w:color="000000" w:sz="4" w:space="0"/>
              <w:bottom w:val="single" w:color="000000" w:sz="4" w:space="0"/>
              <w:right w:val="single" w:color="000000" w:sz="4" w:space="0"/>
            </w:tcBorders>
            <w:vAlign w:val="center"/>
          </w:tcPr>
          <w:p w14:paraId="706027A4">
            <w:pPr>
              <w:jc w:val="center"/>
              <w:rPr>
                <w:color w:val="auto"/>
                <w:sz w:val="20"/>
              </w:rPr>
            </w:pP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33DDC0E1">
            <w:pPr>
              <w:jc w:val="center"/>
              <w:rPr>
                <w:color w:val="auto"/>
                <w:sz w:val="20"/>
              </w:rPr>
            </w:pPr>
          </w:p>
        </w:tc>
        <w:tc>
          <w:tcPr>
            <w:tcW w:w="294" w:type="pct"/>
            <w:tcBorders>
              <w:top w:val="single" w:color="000000" w:sz="4" w:space="0"/>
              <w:left w:val="single" w:color="000000" w:sz="4" w:space="0"/>
              <w:bottom w:val="single" w:color="000000" w:sz="4" w:space="0"/>
              <w:right w:val="single" w:color="000000" w:sz="4" w:space="0"/>
            </w:tcBorders>
            <w:noWrap/>
            <w:vAlign w:val="center"/>
          </w:tcPr>
          <w:p w14:paraId="5D3D4CC8">
            <w:pPr>
              <w:rPr>
                <w:color w:val="auto"/>
                <w:sz w:val="20"/>
              </w:rPr>
            </w:pPr>
          </w:p>
        </w:tc>
      </w:tr>
    </w:tbl>
    <w:p w14:paraId="7F462165">
      <w:pPr>
        <w:rPr>
          <w:color w:val="auto"/>
        </w:rPr>
      </w:pPr>
    </w:p>
    <w:p w14:paraId="407C12B5">
      <w:pPr>
        <w:shd w:val="clear" w:color="000000" w:fill="auto"/>
        <w:jc w:val="center"/>
        <w:rPr>
          <w:b/>
          <w:bCs/>
          <w:color w:val="auto"/>
          <w:sz w:val="28"/>
          <w:szCs w:val="28"/>
        </w:rPr>
      </w:pPr>
    </w:p>
    <w:p w14:paraId="72E67CB2">
      <w:pPr>
        <w:shd w:val="clear" w:color="000000" w:fill="auto"/>
        <w:jc w:val="center"/>
        <w:rPr>
          <w:b/>
          <w:bCs/>
          <w:color w:val="auto"/>
          <w:sz w:val="28"/>
          <w:szCs w:val="28"/>
        </w:rPr>
      </w:pPr>
    </w:p>
    <w:p w14:paraId="0F4ABBCB">
      <w:pPr>
        <w:shd w:val="clear" w:color="000000" w:fill="auto"/>
        <w:jc w:val="center"/>
        <w:rPr>
          <w:b/>
          <w:bCs/>
          <w:color w:val="auto"/>
          <w:sz w:val="28"/>
          <w:szCs w:val="28"/>
        </w:rPr>
        <w:sectPr>
          <w:pgSz w:w="16838" w:h="11906" w:orient="landscape"/>
          <w:pgMar w:top="1797" w:right="1219" w:bottom="1797" w:left="1440" w:header="851" w:footer="992" w:gutter="0"/>
          <w:pgNumType w:fmt="decimal"/>
          <w:cols w:space="720" w:num="1"/>
          <w:docGrid w:linePitch="312" w:charSpace="0"/>
        </w:sectPr>
      </w:pPr>
    </w:p>
    <w:p w14:paraId="4113096D">
      <w:pPr>
        <w:pStyle w:val="3"/>
        <w:spacing w:before="120" w:beforeLines="50"/>
        <w:rPr>
          <w:rFonts w:hint="eastAsia" w:ascii="宋体" w:hAnsi="宋体" w:cs="宋体"/>
          <w:color w:val="auto"/>
        </w:rPr>
      </w:pPr>
      <w:bookmarkStart w:id="92" w:name="_Toc17277"/>
      <w:r>
        <w:rPr>
          <w:rFonts w:hint="eastAsia" w:ascii="宋体" w:hAnsi="宋体" w:cs="宋体"/>
          <w:color w:val="auto"/>
        </w:rPr>
        <w:t>第三节  阶段工作任务与经费安排</w:t>
      </w:r>
      <w:bookmarkEnd w:id="92"/>
    </w:p>
    <w:p w14:paraId="125D7AA9">
      <w:pPr>
        <w:widowControl/>
        <w:shd w:val="clear" w:color="010000" w:fill="auto"/>
        <w:spacing w:line="360" w:lineRule="auto"/>
        <w:ind w:firstLine="562" w:firstLineChars="200"/>
        <w:outlineLvl w:val="2"/>
        <w:rPr>
          <w:b/>
          <w:bCs/>
          <w:color w:val="auto"/>
          <w:kern w:val="0"/>
          <w:sz w:val="28"/>
          <w:szCs w:val="28"/>
        </w:rPr>
      </w:pPr>
      <w:r>
        <w:rPr>
          <w:b/>
          <w:bCs/>
          <w:color w:val="auto"/>
          <w:kern w:val="0"/>
          <w:sz w:val="28"/>
          <w:szCs w:val="28"/>
        </w:rPr>
        <w:t>一、阶段工作任务</w:t>
      </w:r>
    </w:p>
    <w:p w14:paraId="273753A1">
      <w:pPr>
        <w:pStyle w:val="71"/>
        <w:spacing w:line="360" w:lineRule="auto"/>
        <w:ind w:firstLine="560" w:firstLineChars="200"/>
        <w:jc w:val="both"/>
        <w:rPr>
          <w:rFonts w:ascii="Times New Roman" w:hAnsi="Times New Roman" w:cs="Times New Roman"/>
          <w:color w:val="auto"/>
          <w:sz w:val="28"/>
          <w:szCs w:val="28"/>
        </w:rPr>
      </w:pPr>
      <w:r>
        <w:rPr>
          <w:rFonts w:ascii="Times New Roman" w:hAnsi="Times New Roman" w:cs="Times New Roman"/>
          <w:color w:val="auto"/>
          <w:sz w:val="28"/>
          <w:szCs w:val="28"/>
        </w:rPr>
        <w:t>根据开采设计，按照矿区生态修复与采矿工程相结合的原则，同时根据现状问题识别和受损预测分析，综合诊断评价，按照轻重缓急、分阶段实施的原则，将矿区生态修复划分为修复管护期</w:t>
      </w:r>
      <w:r>
        <w:rPr>
          <w:rFonts w:hint="eastAsia" w:ascii="Times New Roman" w:hAnsi="Times New Roman" w:cs="Times New Roman"/>
          <w:color w:val="auto"/>
          <w:sz w:val="28"/>
          <w:szCs w:val="28"/>
          <w:lang w:val="en-US" w:eastAsia="zh-CN"/>
        </w:rPr>
        <w:t>一</w:t>
      </w:r>
      <w:r>
        <w:rPr>
          <w:rFonts w:ascii="Times New Roman" w:hAnsi="Times New Roman" w:cs="Times New Roman"/>
          <w:color w:val="auto"/>
          <w:sz w:val="28"/>
          <w:szCs w:val="28"/>
        </w:rPr>
        <w:t>个规划阶段。各阶段实施时间计划见表6-2</w:t>
      </w:r>
      <w:r>
        <w:rPr>
          <w:rFonts w:hint="eastAsia" w:ascii="Times New Roman" w:hAnsi="Times New Roman" w:cs="Times New Roman"/>
          <w:color w:val="auto"/>
          <w:sz w:val="28"/>
          <w:szCs w:val="28"/>
          <w:lang w:val="en-US" w:eastAsia="zh-CN"/>
        </w:rPr>
        <w:t>1</w:t>
      </w:r>
      <w:r>
        <w:rPr>
          <w:rFonts w:ascii="Times New Roman" w:hAnsi="Times New Roman" w:cs="Times New Roman"/>
          <w:color w:val="auto"/>
          <w:sz w:val="28"/>
          <w:szCs w:val="28"/>
        </w:rPr>
        <w:t>。</w:t>
      </w:r>
    </w:p>
    <w:p w14:paraId="108FFDBD">
      <w:pPr>
        <w:jc w:val="center"/>
        <w:rPr>
          <w:rFonts w:eastAsia="黑体"/>
          <w:color w:val="auto"/>
          <w:sz w:val="24"/>
          <w:szCs w:val="24"/>
        </w:rPr>
      </w:pPr>
      <w:r>
        <w:rPr>
          <w:rFonts w:eastAsia="黑体"/>
          <w:color w:val="auto"/>
          <w:sz w:val="24"/>
          <w:szCs w:val="24"/>
        </w:rPr>
        <w:t>表6-</w:t>
      </w:r>
      <w:r>
        <w:rPr>
          <w:rFonts w:hint="eastAsia" w:eastAsia="黑体"/>
          <w:color w:val="auto"/>
          <w:sz w:val="24"/>
          <w:szCs w:val="24"/>
        </w:rPr>
        <w:t>2</w:t>
      </w:r>
      <w:r>
        <w:rPr>
          <w:rFonts w:hint="eastAsia" w:eastAsia="黑体"/>
          <w:color w:val="auto"/>
          <w:sz w:val="24"/>
          <w:szCs w:val="24"/>
          <w:lang w:val="en-US" w:eastAsia="zh-CN"/>
        </w:rPr>
        <w:t>1</w:t>
      </w:r>
      <w:r>
        <w:rPr>
          <w:rFonts w:eastAsia="黑体"/>
          <w:color w:val="auto"/>
          <w:sz w:val="24"/>
          <w:szCs w:val="24"/>
        </w:rPr>
        <w:t xml:space="preserve">  矿山</w:t>
      </w:r>
      <w:r>
        <w:rPr>
          <w:rFonts w:hint="eastAsia" w:eastAsia="黑体"/>
          <w:color w:val="auto"/>
          <w:sz w:val="24"/>
          <w:szCs w:val="24"/>
          <w:lang w:val="en-US" w:eastAsia="zh-CN"/>
        </w:rPr>
        <w:t>生态修复</w:t>
      </w:r>
      <w:r>
        <w:rPr>
          <w:rFonts w:eastAsia="黑体"/>
          <w:color w:val="auto"/>
          <w:sz w:val="24"/>
          <w:szCs w:val="24"/>
        </w:rPr>
        <w:t>阶段时间</w:t>
      </w:r>
    </w:p>
    <w:tbl>
      <w:tblPr>
        <w:tblStyle w:val="34"/>
        <w:tblW w:w="85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7"/>
        <w:gridCol w:w="2087"/>
        <w:gridCol w:w="2275"/>
        <w:gridCol w:w="2088"/>
      </w:tblGrid>
      <w:tr w14:paraId="0D2B2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2087" w:type="dxa"/>
            <w:vAlign w:val="center"/>
          </w:tcPr>
          <w:p w14:paraId="7F06029D">
            <w:pPr>
              <w:spacing w:line="240" w:lineRule="atLeast"/>
              <w:jc w:val="center"/>
              <w:rPr>
                <w:color w:val="auto"/>
                <w:sz w:val="21"/>
                <w:szCs w:val="21"/>
              </w:rPr>
            </w:pPr>
            <w:r>
              <w:rPr>
                <w:color w:val="auto"/>
                <w:sz w:val="21"/>
                <w:szCs w:val="21"/>
              </w:rPr>
              <w:t>分期</w:t>
            </w:r>
          </w:p>
        </w:tc>
        <w:tc>
          <w:tcPr>
            <w:tcW w:w="2087" w:type="dxa"/>
            <w:vAlign w:val="center"/>
          </w:tcPr>
          <w:p w14:paraId="249F41C4">
            <w:pPr>
              <w:spacing w:line="240" w:lineRule="atLeast"/>
              <w:jc w:val="center"/>
              <w:rPr>
                <w:color w:val="auto"/>
                <w:sz w:val="21"/>
                <w:szCs w:val="21"/>
              </w:rPr>
            </w:pPr>
            <w:r>
              <w:rPr>
                <w:color w:val="auto"/>
                <w:sz w:val="21"/>
                <w:szCs w:val="21"/>
              </w:rPr>
              <w:t>阶段划分</w:t>
            </w:r>
          </w:p>
        </w:tc>
        <w:tc>
          <w:tcPr>
            <w:tcW w:w="2275" w:type="dxa"/>
            <w:vAlign w:val="center"/>
          </w:tcPr>
          <w:p w14:paraId="0CAAB214">
            <w:pPr>
              <w:spacing w:line="240" w:lineRule="atLeast"/>
              <w:jc w:val="center"/>
              <w:rPr>
                <w:color w:val="auto"/>
                <w:sz w:val="21"/>
                <w:szCs w:val="21"/>
              </w:rPr>
            </w:pPr>
            <w:r>
              <w:rPr>
                <w:color w:val="auto"/>
                <w:sz w:val="21"/>
                <w:szCs w:val="21"/>
              </w:rPr>
              <w:t>时段</w:t>
            </w:r>
          </w:p>
        </w:tc>
        <w:tc>
          <w:tcPr>
            <w:tcW w:w="2088" w:type="dxa"/>
            <w:vAlign w:val="center"/>
          </w:tcPr>
          <w:p w14:paraId="0B7E73BF">
            <w:pPr>
              <w:spacing w:line="240" w:lineRule="atLeast"/>
              <w:jc w:val="center"/>
              <w:rPr>
                <w:color w:val="auto"/>
                <w:sz w:val="21"/>
                <w:szCs w:val="21"/>
              </w:rPr>
            </w:pPr>
            <w:r>
              <w:rPr>
                <w:color w:val="auto"/>
                <w:sz w:val="21"/>
                <w:szCs w:val="21"/>
              </w:rPr>
              <w:t>年限</w:t>
            </w:r>
          </w:p>
        </w:tc>
      </w:tr>
      <w:tr w14:paraId="7DE3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2087" w:type="dxa"/>
            <w:vAlign w:val="center"/>
          </w:tcPr>
          <w:p w14:paraId="3DBF3AD6">
            <w:pPr>
              <w:spacing w:line="240" w:lineRule="atLeast"/>
              <w:jc w:val="center"/>
              <w:rPr>
                <w:color w:val="auto"/>
                <w:sz w:val="21"/>
                <w:szCs w:val="21"/>
              </w:rPr>
            </w:pPr>
            <w:r>
              <w:rPr>
                <w:rFonts w:hint="eastAsia"/>
                <w:color w:val="auto"/>
                <w:sz w:val="21"/>
                <w:szCs w:val="21"/>
                <w:lang w:val="en-US" w:eastAsia="zh-CN"/>
              </w:rPr>
              <w:t>生态修复</w:t>
            </w:r>
            <w:r>
              <w:rPr>
                <w:color w:val="auto"/>
                <w:sz w:val="21"/>
                <w:szCs w:val="21"/>
              </w:rPr>
              <w:t>期</w:t>
            </w:r>
          </w:p>
        </w:tc>
        <w:tc>
          <w:tcPr>
            <w:tcW w:w="2087" w:type="dxa"/>
            <w:vAlign w:val="center"/>
          </w:tcPr>
          <w:p w14:paraId="6C4104FF">
            <w:pPr>
              <w:spacing w:line="240" w:lineRule="atLeast"/>
              <w:jc w:val="center"/>
              <w:rPr>
                <w:color w:val="auto"/>
                <w:sz w:val="21"/>
                <w:szCs w:val="21"/>
              </w:rPr>
            </w:pPr>
            <w:r>
              <w:rPr>
                <w:color w:val="auto"/>
                <w:sz w:val="21"/>
                <w:szCs w:val="21"/>
              </w:rPr>
              <w:t>第</w:t>
            </w:r>
            <w:r>
              <w:rPr>
                <w:rFonts w:hint="eastAsia"/>
                <w:color w:val="auto"/>
                <w:sz w:val="21"/>
                <w:szCs w:val="21"/>
                <w:lang w:val="en-US" w:eastAsia="zh-CN"/>
              </w:rPr>
              <w:t>1</w:t>
            </w:r>
            <w:r>
              <w:rPr>
                <w:color w:val="auto"/>
                <w:sz w:val="21"/>
                <w:szCs w:val="21"/>
              </w:rPr>
              <w:t>阶段</w:t>
            </w:r>
          </w:p>
        </w:tc>
        <w:tc>
          <w:tcPr>
            <w:tcW w:w="2275" w:type="dxa"/>
            <w:vAlign w:val="center"/>
          </w:tcPr>
          <w:p w14:paraId="1569A200">
            <w:pPr>
              <w:spacing w:line="240" w:lineRule="atLeast"/>
              <w:jc w:val="center"/>
              <w:rPr>
                <w:rFonts w:hint="default" w:eastAsia="宋体"/>
                <w:color w:val="auto"/>
                <w:sz w:val="21"/>
                <w:szCs w:val="21"/>
                <w:lang w:val="en-US" w:eastAsia="zh-CN"/>
              </w:rPr>
            </w:pPr>
            <w:r>
              <w:rPr>
                <w:color w:val="auto"/>
                <w:sz w:val="21"/>
                <w:szCs w:val="21"/>
              </w:rPr>
              <w:t>20</w:t>
            </w:r>
            <w:r>
              <w:rPr>
                <w:rFonts w:hint="eastAsia"/>
                <w:color w:val="auto"/>
                <w:sz w:val="21"/>
                <w:szCs w:val="21"/>
                <w:lang w:val="en-US" w:eastAsia="zh-CN"/>
              </w:rPr>
              <w:t>26</w:t>
            </w:r>
            <w:r>
              <w:rPr>
                <w:color w:val="auto"/>
                <w:sz w:val="21"/>
                <w:szCs w:val="21"/>
              </w:rPr>
              <w:t>.</w:t>
            </w:r>
            <w:r>
              <w:rPr>
                <w:rFonts w:hint="eastAsia"/>
                <w:color w:val="auto"/>
                <w:sz w:val="21"/>
                <w:szCs w:val="21"/>
                <w:lang w:val="en-US" w:eastAsia="zh-CN"/>
              </w:rPr>
              <w:t>10</w:t>
            </w:r>
            <w:r>
              <w:rPr>
                <w:color w:val="auto"/>
                <w:sz w:val="21"/>
                <w:szCs w:val="21"/>
              </w:rPr>
              <w:t>-20</w:t>
            </w:r>
            <w:r>
              <w:rPr>
                <w:rFonts w:hint="eastAsia"/>
                <w:color w:val="auto"/>
                <w:sz w:val="21"/>
                <w:szCs w:val="21"/>
                <w:lang w:val="en-US" w:eastAsia="zh-CN"/>
              </w:rPr>
              <w:t>27</w:t>
            </w:r>
            <w:r>
              <w:rPr>
                <w:color w:val="auto"/>
                <w:sz w:val="21"/>
                <w:szCs w:val="21"/>
              </w:rPr>
              <w:t>.</w:t>
            </w:r>
            <w:r>
              <w:rPr>
                <w:rFonts w:hint="eastAsia"/>
                <w:color w:val="auto"/>
                <w:sz w:val="21"/>
                <w:szCs w:val="21"/>
                <w:lang w:val="en-US" w:eastAsia="zh-CN"/>
              </w:rPr>
              <w:t>09</w:t>
            </w:r>
          </w:p>
        </w:tc>
        <w:tc>
          <w:tcPr>
            <w:tcW w:w="2088" w:type="dxa"/>
            <w:vAlign w:val="center"/>
          </w:tcPr>
          <w:p w14:paraId="10789B1E">
            <w:pPr>
              <w:spacing w:line="240" w:lineRule="atLeast"/>
              <w:jc w:val="center"/>
              <w:rPr>
                <w:rFonts w:hint="eastAsia" w:eastAsia="宋体"/>
                <w:color w:val="auto"/>
                <w:sz w:val="21"/>
                <w:szCs w:val="21"/>
                <w:lang w:eastAsia="zh-CN"/>
              </w:rPr>
            </w:pPr>
            <w:r>
              <w:rPr>
                <w:rFonts w:hint="eastAsia"/>
                <w:color w:val="auto"/>
                <w:sz w:val="21"/>
                <w:szCs w:val="21"/>
                <w:lang w:val="en-US" w:eastAsia="zh-CN"/>
              </w:rPr>
              <w:t>1</w:t>
            </w:r>
          </w:p>
        </w:tc>
      </w:tr>
    </w:tbl>
    <w:p w14:paraId="00BE206F">
      <w:pPr>
        <w:pStyle w:val="71"/>
        <w:spacing w:line="360" w:lineRule="auto"/>
        <w:ind w:firstLine="562" w:firstLineChars="200"/>
        <w:jc w:val="both"/>
        <w:rPr>
          <w:rFonts w:hint="eastAsia" w:asciiTheme="minorEastAsia" w:hAnsiTheme="minorEastAsia" w:eastAsiaTheme="minorEastAsia" w:cstheme="minorEastAsia"/>
          <w:b/>
          <w:bCs w:val="0"/>
          <w:color w:val="auto"/>
          <w:sz w:val="28"/>
          <w:szCs w:val="24"/>
        </w:rPr>
      </w:pPr>
      <w:r>
        <w:rPr>
          <w:rFonts w:hint="eastAsia" w:asciiTheme="minorEastAsia" w:hAnsiTheme="minorEastAsia" w:eastAsiaTheme="minorEastAsia" w:cstheme="minorEastAsia"/>
          <w:b/>
          <w:bCs w:val="0"/>
          <w:color w:val="auto"/>
          <w:sz w:val="28"/>
          <w:szCs w:val="24"/>
        </w:rPr>
        <w:t>（</w:t>
      </w:r>
      <w:r>
        <w:rPr>
          <w:rFonts w:hint="eastAsia" w:asciiTheme="minorEastAsia" w:hAnsiTheme="minorEastAsia" w:eastAsiaTheme="minorEastAsia" w:cstheme="minorEastAsia"/>
          <w:b/>
          <w:bCs w:val="0"/>
          <w:color w:val="auto"/>
          <w:sz w:val="28"/>
          <w:szCs w:val="24"/>
          <w:lang w:val="en-US" w:eastAsia="zh-CN"/>
        </w:rPr>
        <w:t>一</w:t>
      </w:r>
      <w:r>
        <w:rPr>
          <w:rFonts w:hint="eastAsia" w:asciiTheme="minorEastAsia" w:hAnsiTheme="minorEastAsia" w:eastAsiaTheme="minorEastAsia" w:cstheme="minorEastAsia"/>
          <w:b/>
          <w:bCs w:val="0"/>
          <w:color w:val="auto"/>
          <w:sz w:val="28"/>
          <w:szCs w:val="24"/>
        </w:rPr>
        <w:t>）</w:t>
      </w:r>
      <w:r>
        <w:rPr>
          <w:rFonts w:hint="eastAsia" w:asciiTheme="minorEastAsia" w:hAnsiTheme="minorEastAsia" w:eastAsiaTheme="minorEastAsia" w:cstheme="minorEastAsia"/>
          <w:b/>
          <w:bCs w:val="0"/>
          <w:color w:val="auto"/>
          <w:sz w:val="28"/>
          <w:szCs w:val="24"/>
          <w:lang w:val="en-US" w:eastAsia="zh-CN"/>
        </w:rPr>
        <w:t>近一年生态</w:t>
      </w:r>
      <w:r>
        <w:rPr>
          <w:rFonts w:hint="eastAsia" w:asciiTheme="minorEastAsia" w:hAnsiTheme="minorEastAsia" w:eastAsiaTheme="minorEastAsia" w:cstheme="minorEastAsia"/>
          <w:b/>
          <w:bCs w:val="0"/>
          <w:color w:val="auto"/>
          <w:sz w:val="28"/>
          <w:szCs w:val="24"/>
        </w:rPr>
        <w:t>修复期实施阶段（20</w:t>
      </w:r>
      <w:r>
        <w:rPr>
          <w:rFonts w:hint="eastAsia" w:asciiTheme="minorEastAsia" w:hAnsiTheme="minorEastAsia" w:eastAsiaTheme="minorEastAsia" w:cstheme="minorEastAsia"/>
          <w:b/>
          <w:bCs w:val="0"/>
          <w:color w:val="auto"/>
          <w:sz w:val="28"/>
          <w:szCs w:val="24"/>
          <w:lang w:val="en-US" w:eastAsia="zh-CN"/>
        </w:rPr>
        <w:t>26</w:t>
      </w:r>
      <w:r>
        <w:rPr>
          <w:rFonts w:hint="eastAsia" w:asciiTheme="minorEastAsia" w:hAnsiTheme="minorEastAsia" w:eastAsiaTheme="minorEastAsia" w:cstheme="minorEastAsia"/>
          <w:b/>
          <w:bCs w:val="0"/>
          <w:color w:val="auto"/>
          <w:sz w:val="28"/>
          <w:szCs w:val="24"/>
        </w:rPr>
        <w:t>.</w:t>
      </w:r>
      <w:r>
        <w:rPr>
          <w:rFonts w:hint="eastAsia" w:asciiTheme="minorEastAsia" w:hAnsiTheme="minorEastAsia" w:eastAsiaTheme="minorEastAsia" w:cstheme="minorEastAsia"/>
          <w:b/>
          <w:bCs w:val="0"/>
          <w:color w:val="auto"/>
          <w:sz w:val="28"/>
          <w:szCs w:val="24"/>
          <w:lang w:val="en-US" w:eastAsia="zh-CN"/>
        </w:rPr>
        <w:t>10</w:t>
      </w:r>
      <w:r>
        <w:rPr>
          <w:rFonts w:hint="eastAsia" w:asciiTheme="minorEastAsia" w:hAnsiTheme="minorEastAsia" w:eastAsiaTheme="minorEastAsia" w:cstheme="minorEastAsia"/>
          <w:b/>
          <w:bCs w:val="0"/>
          <w:color w:val="auto"/>
          <w:sz w:val="28"/>
          <w:szCs w:val="24"/>
        </w:rPr>
        <w:t>-20</w:t>
      </w:r>
      <w:r>
        <w:rPr>
          <w:rFonts w:hint="eastAsia" w:asciiTheme="minorEastAsia" w:hAnsiTheme="minorEastAsia" w:eastAsiaTheme="minorEastAsia" w:cstheme="minorEastAsia"/>
          <w:b/>
          <w:bCs w:val="0"/>
          <w:color w:val="auto"/>
          <w:sz w:val="28"/>
          <w:szCs w:val="24"/>
          <w:lang w:val="en-US" w:eastAsia="zh-CN"/>
        </w:rPr>
        <w:t>27</w:t>
      </w:r>
      <w:r>
        <w:rPr>
          <w:rFonts w:hint="eastAsia" w:asciiTheme="minorEastAsia" w:hAnsiTheme="minorEastAsia" w:eastAsiaTheme="minorEastAsia" w:cstheme="minorEastAsia"/>
          <w:b/>
          <w:bCs w:val="0"/>
          <w:color w:val="auto"/>
          <w:sz w:val="28"/>
          <w:szCs w:val="24"/>
        </w:rPr>
        <w:t>.</w:t>
      </w:r>
      <w:r>
        <w:rPr>
          <w:rFonts w:hint="eastAsia" w:asciiTheme="minorEastAsia" w:hAnsiTheme="minorEastAsia" w:eastAsiaTheme="minorEastAsia" w:cstheme="minorEastAsia"/>
          <w:b/>
          <w:bCs w:val="0"/>
          <w:color w:val="auto"/>
          <w:sz w:val="28"/>
          <w:szCs w:val="24"/>
          <w:lang w:val="en-US" w:eastAsia="zh-CN"/>
        </w:rPr>
        <w:t>09</w:t>
      </w:r>
      <w:r>
        <w:rPr>
          <w:rFonts w:hint="eastAsia" w:asciiTheme="minorEastAsia" w:hAnsiTheme="minorEastAsia" w:eastAsiaTheme="minorEastAsia" w:cstheme="minorEastAsia"/>
          <w:b/>
          <w:bCs w:val="0"/>
          <w:color w:val="auto"/>
          <w:sz w:val="28"/>
          <w:szCs w:val="24"/>
        </w:rPr>
        <w:t>）</w:t>
      </w:r>
    </w:p>
    <w:p w14:paraId="18EEF773">
      <w:pPr>
        <w:pStyle w:val="71"/>
        <w:spacing w:line="360" w:lineRule="auto"/>
        <w:ind w:firstLine="560" w:firstLineChars="200"/>
        <w:jc w:val="both"/>
        <w:rPr>
          <w:rFonts w:ascii="Times New Roman" w:hAnsi="Times New Roman" w:cs="Times New Roman"/>
          <w:color w:val="auto"/>
          <w:sz w:val="28"/>
          <w:szCs w:val="28"/>
        </w:rPr>
      </w:pPr>
      <w:r>
        <w:rPr>
          <w:rFonts w:hint="eastAsia" w:ascii="Times New Roman" w:hAnsi="Times New Roman" w:cs="Times New Roman"/>
          <w:color w:val="auto"/>
          <w:sz w:val="28"/>
          <w:szCs w:val="28"/>
          <w:lang w:val="en-US" w:eastAsia="zh-CN"/>
        </w:rPr>
        <w:t>矿山已不再继续开采，闭坑阶段</w:t>
      </w:r>
      <w:r>
        <w:rPr>
          <w:rFonts w:ascii="Times New Roman" w:hAnsi="Times New Roman" w:cs="Times New Roman"/>
          <w:color w:val="auto"/>
          <w:sz w:val="28"/>
          <w:szCs w:val="28"/>
        </w:rPr>
        <w:t>重点</w:t>
      </w:r>
      <w:r>
        <w:rPr>
          <w:rFonts w:hint="eastAsia" w:ascii="Times New Roman" w:hAnsi="Times New Roman" w:cs="Times New Roman"/>
          <w:color w:val="auto"/>
          <w:sz w:val="28"/>
          <w:szCs w:val="28"/>
          <w:lang w:val="en-US" w:eastAsia="zh-CN"/>
        </w:rPr>
        <w:t>治理</w:t>
      </w:r>
      <w:r>
        <w:rPr>
          <w:rFonts w:ascii="Times New Roman" w:hAnsi="Times New Roman" w:cs="Times New Roman"/>
          <w:color w:val="auto"/>
          <w:sz w:val="28"/>
          <w:szCs w:val="28"/>
        </w:rPr>
        <w:t>有以下内容：</w:t>
      </w:r>
    </w:p>
    <w:p w14:paraId="1AC2C757">
      <w:pPr>
        <w:spacing w:line="360" w:lineRule="auto"/>
        <w:ind w:firstLine="560" w:firstLineChars="200"/>
        <w:rPr>
          <w:rFonts w:eastAsiaTheme="minorEastAsia"/>
          <w:color w:val="auto"/>
          <w:sz w:val="28"/>
          <w:szCs w:val="28"/>
        </w:rPr>
      </w:pPr>
      <w:r>
        <w:rPr>
          <w:rFonts w:hint="eastAsia" w:eastAsiaTheme="minorEastAsia"/>
          <w:color w:val="auto"/>
          <w:sz w:val="28"/>
          <w:szCs w:val="28"/>
          <w:lang w:val="en-US" w:eastAsia="zh-CN"/>
        </w:rPr>
        <w:t>1、露天采场边坡已形成2处台阶，但未覆土、恢复植被，本次生态修复设计对场地内孤立岩体进行清除，对场地内采坑进行回填，对采场高陡边坡垫坡，对边坡顶部尖角状坡面进行削坡取直，形成圆滑美观的坡面线，采取以上治理措施后，除垫坡后上部较陡部分外，整个场地进行覆土、恢复植被</w:t>
      </w:r>
      <w:r>
        <w:rPr>
          <w:rFonts w:eastAsiaTheme="minorEastAsia"/>
          <w:color w:val="auto"/>
          <w:sz w:val="28"/>
          <w:szCs w:val="28"/>
        </w:rPr>
        <w:t>；</w:t>
      </w:r>
    </w:p>
    <w:p w14:paraId="1A268818">
      <w:pPr>
        <w:spacing w:line="360" w:lineRule="auto"/>
        <w:ind w:firstLine="560" w:firstLineChars="200"/>
        <w:rPr>
          <w:rFonts w:eastAsiaTheme="minorEastAsia"/>
          <w:color w:val="auto"/>
          <w:sz w:val="28"/>
          <w:szCs w:val="28"/>
        </w:rPr>
      </w:pPr>
      <w:r>
        <w:rPr>
          <w:rFonts w:hint="eastAsia" w:eastAsiaTheme="minorEastAsia"/>
          <w:color w:val="auto"/>
          <w:sz w:val="28"/>
          <w:szCs w:val="28"/>
          <w:lang w:val="en-US" w:eastAsia="zh-CN"/>
        </w:rPr>
        <w:t>2、设计对1#废石场边坡进行削坡压脚整形，减小边坡角度利于覆土，覆土后恢复植被</w:t>
      </w:r>
      <w:r>
        <w:rPr>
          <w:rFonts w:eastAsiaTheme="minorEastAsia"/>
          <w:color w:val="auto"/>
          <w:sz w:val="28"/>
          <w:szCs w:val="28"/>
        </w:rPr>
        <w:t>；</w:t>
      </w:r>
    </w:p>
    <w:p w14:paraId="6C30654E">
      <w:pPr>
        <w:spacing w:line="360" w:lineRule="auto"/>
        <w:ind w:firstLine="560" w:firstLineChars="200"/>
        <w:rPr>
          <w:rFonts w:eastAsiaTheme="minorEastAsia"/>
          <w:color w:val="auto"/>
          <w:sz w:val="28"/>
          <w:szCs w:val="28"/>
        </w:rPr>
      </w:pPr>
      <w:r>
        <w:rPr>
          <w:rFonts w:hint="eastAsia" w:eastAsiaTheme="minorEastAsia"/>
          <w:color w:val="auto"/>
          <w:sz w:val="28"/>
          <w:szCs w:val="28"/>
          <w:lang w:val="en-US" w:eastAsia="zh-CN"/>
        </w:rPr>
        <w:t>3、</w:t>
      </w:r>
      <w:r>
        <w:rPr>
          <w:rFonts w:eastAsiaTheme="minorEastAsia"/>
          <w:color w:val="auto"/>
          <w:sz w:val="28"/>
          <w:szCs w:val="28"/>
        </w:rPr>
        <w:t>对</w:t>
      </w:r>
      <w:r>
        <w:rPr>
          <w:rFonts w:hint="eastAsia" w:eastAsiaTheme="minorEastAsia"/>
          <w:color w:val="auto"/>
          <w:sz w:val="28"/>
          <w:szCs w:val="28"/>
          <w:lang w:val="en-US" w:eastAsia="zh-CN"/>
        </w:rPr>
        <w:t>2#废石场地内堆积的废石进行清运至露天采场边坡垫坡使用，</w:t>
      </w:r>
      <w:r>
        <w:rPr>
          <w:rFonts w:hint="eastAsia"/>
          <w:color w:val="auto"/>
          <w:kern w:val="0"/>
          <w:sz w:val="28"/>
          <w:szCs w:val="28"/>
          <w:lang w:val="en-US" w:eastAsia="zh-CN"/>
        </w:rPr>
        <w:t>边坡处进行垫坡，</w:t>
      </w:r>
      <w:r>
        <w:rPr>
          <w:rFonts w:hint="eastAsia" w:eastAsiaTheme="minorEastAsia"/>
          <w:color w:val="auto"/>
          <w:sz w:val="28"/>
          <w:szCs w:val="28"/>
          <w:lang w:val="en-US" w:eastAsia="zh-CN"/>
        </w:rPr>
        <w:t>清运后的场地覆土后恢复植被</w:t>
      </w:r>
      <w:r>
        <w:rPr>
          <w:rFonts w:eastAsiaTheme="minorEastAsia"/>
          <w:color w:val="auto"/>
          <w:sz w:val="28"/>
          <w:szCs w:val="28"/>
        </w:rPr>
        <w:t>；</w:t>
      </w:r>
    </w:p>
    <w:p w14:paraId="2DBE0B69">
      <w:pPr>
        <w:spacing w:line="360" w:lineRule="auto"/>
        <w:ind w:firstLine="560" w:firstLineChars="200"/>
        <w:rPr>
          <w:rFonts w:eastAsiaTheme="minorEastAsia"/>
          <w:color w:val="auto"/>
          <w:sz w:val="28"/>
          <w:szCs w:val="28"/>
        </w:rPr>
      </w:pPr>
      <w:r>
        <w:rPr>
          <w:rFonts w:hint="eastAsia" w:eastAsiaTheme="minorEastAsia"/>
          <w:color w:val="auto"/>
          <w:sz w:val="28"/>
          <w:szCs w:val="28"/>
          <w:lang w:val="en-US" w:eastAsia="zh-CN"/>
        </w:rPr>
        <w:t>4、</w:t>
      </w:r>
      <w:r>
        <w:rPr>
          <w:rFonts w:eastAsiaTheme="minorEastAsia"/>
          <w:color w:val="auto"/>
          <w:sz w:val="28"/>
          <w:szCs w:val="28"/>
        </w:rPr>
        <w:t>对</w:t>
      </w:r>
      <w:r>
        <w:rPr>
          <w:rFonts w:hint="eastAsia" w:eastAsiaTheme="minorEastAsia"/>
          <w:color w:val="auto"/>
          <w:sz w:val="28"/>
          <w:szCs w:val="28"/>
        </w:rPr>
        <w:t>1#</w:t>
      </w:r>
      <w:r>
        <w:rPr>
          <w:rFonts w:hint="eastAsia" w:eastAsiaTheme="minorEastAsia"/>
          <w:color w:val="auto"/>
          <w:sz w:val="28"/>
          <w:szCs w:val="28"/>
          <w:lang w:val="en-US" w:eastAsia="zh-CN"/>
        </w:rPr>
        <w:t>废渣堆</w:t>
      </w:r>
      <w:r>
        <w:rPr>
          <w:rFonts w:hint="eastAsia" w:eastAsiaTheme="minorEastAsia"/>
          <w:color w:val="auto"/>
          <w:sz w:val="28"/>
          <w:szCs w:val="28"/>
          <w:lang w:eastAsia="zh-CN"/>
        </w:rPr>
        <w:t>、</w:t>
      </w:r>
      <w:r>
        <w:rPr>
          <w:rFonts w:hint="eastAsia" w:eastAsiaTheme="minorEastAsia"/>
          <w:color w:val="auto"/>
          <w:sz w:val="28"/>
          <w:szCs w:val="28"/>
        </w:rPr>
        <w:t>2#</w:t>
      </w:r>
      <w:r>
        <w:rPr>
          <w:rFonts w:hint="eastAsia" w:eastAsiaTheme="minorEastAsia"/>
          <w:color w:val="auto"/>
          <w:sz w:val="28"/>
          <w:szCs w:val="28"/>
          <w:lang w:val="en-US" w:eastAsia="zh-CN"/>
        </w:rPr>
        <w:t>废渣堆</w:t>
      </w:r>
      <w:r>
        <w:rPr>
          <w:rFonts w:hint="eastAsia" w:eastAsiaTheme="minorEastAsia"/>
          <w:color w:val="auto"/>
          <w:sz w:val="28"/>
          <w:szCs w:val="28"/>
          <w:lang w:eastAsia="zh-CN"/>
        </w:rPr>
        <w:t>、</w:t>
      </w:r>
      <w:r>
        <w:rPr>
          <w:rFonts w:hint="eastAsia" w:eastAsiaTheme="minorEastAsia"/>
          <w:color w:val="auto"/>
          <w:sz w:val="28"/>
          <w:szCs w:val="28"/>
        </w:rPr>
        <w:t>3#</w:t>
      </w:r>
      <w:r>
        <w:rPr>
          <w:rFonts w:hint="eastAsia" w:eastAsiaTheme="minorEastAsia"/>
          <w:color w:val="auto"/>
          <w:sz w:val="28"/>
          <w:szCs w:val="28"/>
          <w:lang w:val="en-US" w:eastAsia="zh-CN"/>
        </w:rPr>
        <w:t>废渣堆进行削坡压脚整形，减小边坡角度利于覆土，覆土后恢复植被</w:t>
      </w:r>
      <w:r>
        <w:rPr>
          <w:rFonts w:eastAsiaTheme="minorEastAsia"/>
          <w:color w:val="auto"/>
          <w:sz w:val="28"/>
          <w:szCs w:val="28"/>
        </w:rPr>
        <w:t>；</w:t>
      </w:r>
    </w:p>
    <w:p w14:paraId="03444AD5">
      <w:pPr>
        <w:widowControl/>
        <w:spacing w:line="360" w:lineRule="auto"/>
        <w:ind w:firstLine="560" w:firstLineChars="200"/>
        <w:rPr>
          <w:rFonts w:hint="eastAsia" w:eastAsiaTheme="minorEastAsia"/>
          <w:color w:val="auto"/>
          <w:kern w:val="0"/>
          <w:sz w:val="28"/>
          <w:szCs w:val="28"/>
          <w:lang w:eastAsia="zh-CN"/>
        </w:rPr>
      </w:pPr>
      <w:r>
        <w:rPr>
          <w:rFonts w:hint="eastAsia" w:eastAsiaTheme="minorEastAsia"/>
          <w:color w:val="auto"/>
          <w:sz w:val="28"/>
          <w:szCs w:val="28"/>
          <w:lang w:val="en-US" w:eastAsia="zh-CN"/>
        </w:rPr>
        <w:t>5、</w:t>
      </w:r>
      <w:r>
        <w:rPr>
          <w:color w:val="auto"/>
          <w:kern w:val="0"/>
          <w:sz w:val="28"/>
          <w:szCs w:val="28"/>
        </w:rPr>
        <w:t>对矿区道路</w:t>
      </w:r>
      <w:r>
        <w:rPr>
          <w:rFonts w:hint="eastAsia"/>
          <w:color w:val="auto"/>
          <w:kern w:val="0"/>
          <w:sz w:val="28"/>
          <w:szCs w:val="28"/>
          <w:lang w:val="en-US" w:eastAsia="zh-CN"/>
        </w:rPr>
        <w:t>边坡进行垫坡，对形成的马道进行回填，采取以上治理措施后</w:t>
      </w:r>
      <w:r>
        <w:rPr>
          <w:rFonts w:hint="eastAsia" w:eastAsiaTheme="minorEastAsia"/>
          <w:color w:val="auto"/>
          <w:sz w:val="28"/>
          <w:szCs w:val="28"/>
          <w:lang w:val="en-US" w:eastAsia="zh-CN"/>
        </w:rPr>
        <w:t>覆土、恢复植被</w:t>
      </w:r>
      <w:r>
        <w:rPr>
          <w:rFonts w:hint="eastAsia" w:eastAsiaTheme="minorEastAsia"/>
          <w:color w:val="auto"/>
          <w:kern w:val="0"/>
          <w:sz w:val="28"/>
          <w:szCs w:val="28"/>
          <w:lang w:eastAsia="zh-CN"/>
        </w:rPr>
        <w:t>；</w:t>
      </w:r>
    </w:p>
    <w:p w14:paraId="645B1AFF">
      <w:pPr>
        <w:spacing w:line="360" w:lineRule="auto"/>
        <w:ind w:firstLine="560" w:firstLineChars="200"/>
        <w:rPr>
          <w:rFonts w:hint="default" w:eastAsia="宋体"/>
          <w:color w:val="auto"/>
          <w:kern w:val="0"/>
          <w:sz w:val="28"/>
          <w:szCs w:val="28"/>
          <w:lang w:val="en-US" w:eastAsia="zh-CN"/>
        </w:rPr>
      </w:pPr>
      <w:r>
        <w:rPr>
          <w:rFonts w:hint="eastAsia"/>
          <w:color w:val="auto"/>
          <w:kern w:val="0"/>
          <w:sz w:val="28"/>
          <w:szCs w:val="28"/>
          <w:lang w:val="en-US" w:eastAsia="zh-CN"/>
        </w:rPr>
        <w:t>6、对工业场地内平台进行拆除、清运、整平，采取以上治理措施后场地进行覆土恢复植被；</w:t>
      </w:r>
    </w:p>
    <w:p w14:paraId="467B48F6">
      <w:pPr>
        <w:widowControl/>
        <w:spacing w:line="360" w:lineRule="auto"/>
        <w:ind w:firstLine="560" w:firstLineChars="200"/>
        <w:rPr>
          <w:rFonts w:hint="eastAsia" w:eastAsiaTheme="minorEastAsia"/>
          <w:color w:val="auto"/>
          <w:kern w:val="0"/>
          <w:sz w:val="28"/>
          <w:szCs w:val="28"/>
          <w:lang w:eastAsia="zh-CN"/>
        </w:rPr>
      </w:pPr>
      <w:r>
        <w:rPr>
          <w:rFonts w:hint="eastAsia"/>
          <w:color w:val="auto"/>
          <w:kern w:val="0"/>
          <w:sz w:val="28"/>
          <w:szCs w:val="28"/>
          <w:lang w:val="en-US" w:eastAsia="zh-CN"/>
        </w:rPr>
        <w:t>7、根据窑沟门村委会意见，办公生活区、变压器进行保留，不设计治理工程</w:t>
      </w:r>
      <w:r>
        <w:rPr>
          <w:rFonts w:hint="eastAsia" w:eastAsiaTheme="minorEastAsia"/>
          <w:color w:val="auto"/>
          <w:sz w:val="28"/>
          <w:szCs w:val="28"/>
          <w:lang w:val="en-US" w:eastAsia="zh-CN"/>
        </w:rPr>
        <w:t>措施；</w:t>
      </w:r>
    </w:p>
    <w:p w14:paraId="3E77AA78">
      <w:pPr>
        <w:pStyle w:val="71"/>
        <w:spacing w:line="360" w:lineRule="auto"/>
        <w:ind w:firstLine="560" w:firstLineChars="200"/>
        <w:jc w:val="both"/>
        <w:rPr>
          <w:rFonts w:ascii="Times New Roman" w:hAnsi="Times New Roman" w:cs="Times New Roman"/>
          <w:color w:val="auto"/>
          <w:sz w:val="28"/>
          <w:szCs w:val="28"/>
        </w:rPr>
      </w:pPr>
      <w:r>
        <w:rPr>
          <w:rFonts w:hint="eastAsia" w:ascii="Times New Roman" w:hAnsi="Times New Roman" w:cs="Times New Roman"/>
          <w:color w:val="auto"/>
          <w:sz w:val="28"/>
          <w:szCs w:val="28"/>
          <w:lang w:val="en-US" w:eastAsia="zh-CN"/>
        </w:rPr>
        <w:t>8</w:t>
      </w:r>
      <w:r>
        <w:rPr>
          <w:rFonts w:ascii="Times New Roman" w:hAnsi="Times New Roman" w:cs="Times New Roman"/>
          <w:color w:val="auto"/>
          <w:sz w:val="28"/>
          <w:szCs w:val="28"/>
        </w:rPr>
        <w:t>、定期对</w:t>
      </w:r>
      <w:r>
        <w:rPr>
          <w:rFonts w:hint="eastAsia" w:ascii="Times New Roman" w:hAnsi="Times New Roman" w:cs="Times New Roman"/>
          <w:color w:val="auto"/>
          <w:sz w:val="28"/>
          <w:szCs w:val="28"/>
          <w:lang w:val="en-US" w:eastAsia="zh-CN"/>
        </w:rPr>
        <w:t>地形地貌景观及土地资源进行监测</w:t>
      </w:r>
      <w:r>
        <w:rPr>
          <w:rFonts w:ascii="Times New Roman" w:hAnsi="Times New Roman" w:cs="Times New Roman"/>
          <w:color w:val="auto"/>
          <w:sz w:val="28"/>
          <w:szCs w:val="28"/>
        </w:rPr>
        <w:t>。</w:t>
      </w:r>
    </w:p>
    <w:p w14:paraId="5F9A4B4E">
      <w:pPr>
        <w:pStyle w:val="71"/>
        <w:rPr>
          <w:rFonts w:ascii="Times New Roman" w:hAnsi="Times New Roman" w:eastAsia="黑体" w:cs="Times New Roman"/>
          <w:color w:val="auto"/>
          <w:sz w:val="24"/>
          <w:szCs w:val="24"/>
        </w:rPr>
      </w:pPr>
      <w:r>
        <w:rPr>
          <w:rFonts w:ascii="Times New Roman" w:hAnsi="Times New Roman" w:eastAsia="黑体" w:cs="Times New Roman"/>
          <w:color w:val="auto"/>
          <w:sz w:val="24"/>
          <w:szCs w:val="24"/>
        </w:rPr>
        <w:t>表6-2</w:t>
      </w:r>
      <w:r>
        <w:rPr>
          <w:rFonts w:hint="eastAsia" w:ascii="Times New Roman" w:hAnsi="Times New Roman" w:eastAsia="黑体" w:cs="Times New Roman"/>
          <w:color w:val="auto"/>
          <w:sz w:val="24"/>
          <w:szCs w:val="24"/>
          <w:lang w:val="en-US" w:eastAsia="zh-CN"/>
        </w:rPr>
        <w:t>2</w:t>
      </w:r>
      <w:r>
        <w:rPr>
          <w:rFonts w:ascii="Times New Roman" w:hAnsi="Times New Roman" w:eastAsia="黑体" w:cs="Times New Roman"/>
          <w:color w:val="auto"/>
          <w:sz w:val="24"/>
          <w:szCs w:val="24"/>
        </w:rPr>
        <w:t xml:space="preserve">  生态修复复垦工作部署安排表</w:t>
      </w:r>
    </w:p>
    <w:tbl>
      <w:tblPr>
        <w:tblStyle w:val="34"/>
        <w:tblW w:w="487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11"/>
        <w:gridCol w:w="1413"/>
        <w:gridCol w:w="3106"/>
        <w:gridCol w:w="904"/>
        <w:gridCol w:w="964"/>
      </w:tblGrid>
      <w:tr w14:paraId="51000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trPr>
        <w:tc>
          <w:tcPr>
            <w:tcW w:w="10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35AC3">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年度</w:t>
            </w:r>
          </w:p>
        </w:tc>
        <w:tc>
          <w:tcPr>
            <w:tcW w:w="8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F3224">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工作任务</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1611F">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防治内容</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2586A">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单位</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B4AEB">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工程量</w:t>
            </w:r>
          </w:p>
        </w:tc>
      </w:tr>
      <w:tr w14:paraId="0EF31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restart"/>
            <w:tcBorders>
              <w:top w:val="single" w:color="000000" w:sz="4" w:space="0"/>
              <w:left w:val="single" w:color="000000" w:sz="4" w:space="0"/>
              <w:right w:val="single" w:color="000000" w:sz="4" w:space="0"/>
            </w:tcBorders>
            <w:shd w:val="clear" w:color="auto" w:fill="auto"/>
            <w:noWrap/>
            <w:vAlign w:val="center"/>
          </w:tcPr>
          <w:p w14:paraId="42D76B3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2026.</w:t>
            </w:r>
            <w:r>
              <w:rPr>
                <w:rFonts w:hint="eastAsia"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lang w:val="en-US" w:eastAsia="zh-CN" w:bidi="ar"/>
              </w:rPr>
              <w:t>-202</w:t>
            </w:r>
            <w:r>
              <w:rPr>
                <w:rFonts w:hint="eastAsia" w:cs="Times New Roman"/>
                <w:i w:val="0"/>
                <w:iCs w:val="0"/>
                <w:color w:val="auto"/>
                <w:kern w:val="0"/>
                <w:sz w:val="21"/>
                <w:szCs w:val="21"/>
                <w:u w:val="none"/>
                <w:lang w:val="en-US" w:eastAsia="zh-CN" w:bidi="ar"/>
              </w:rPr>
              <w:t>7</w:t>
            </w: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09</w:t>
            </w:r>
          </w:p>
        </w:tc>
        <w:tc>
          <w:tcPr>
            <w:tcW w:w="872" w:type="pct"/>
            <w:vMerge w:val="restart"/>
            <w:tcBorders>
              <w:top w:val="single" w:color="000000" w:sz="4" w:space="0"/>
              <w:left w:val="single" w:color="000000" w:sz="4" w:space="0"/>
              <w:right w:val="single" w:color="000000" w:sz="4" w:space="0"/>
            </w:tcBorders>
            <w:shd w:val="clear" w:color="auto" w:fill="auto"/>
            <w:vAlign w:val="center"/>
          </w:tcPr>
          <w:p w14:paraId="349C52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露天采场</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05AEE">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rPr>
            </w:pPr>
            <w:r>
              <w:rPr>
                <w:rFonts w:hint="eastAsia" w:ascii="宋体" w:hAnsi="宋体" w:cs="宋体"/>
                <w:i w:val="0"/>
                <w:iCs w:val="0"/>
                <w:color w:val="auto"/>
                <w:kern w:val="0"/>
                <w:sz w:val="21"/>
                <w:szCs w:val="21"/>
                <w:u w:val="none"/>
                <w:lang w:val="en-US" w:eastAsia="zh-CN" w:bidi="ar"/>
              </w:rPr>
              <w:t>削坡整形</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CCE9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1A41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538</w:t>
            </w:r>
          </w:p>
        </w:tc>
      </w:tr>
      <w:tr w14:paraId="4AA93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1A01C8C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872" w:type="pct"/>
            <w:vMerge w:val="continue"/>
            <w:tcBorders>
              <w:left w:val="single" w:color="000000" w:sz="4" w:space="0"/>
              <w:right w:val="single" w:color="000000" w:sz="4" w:space="0"/>
            </w:tcBorders>
            <w:shd w:val="clear" w:color="auto" w:fill="auto"/>
            <w:vAlign w:val="center"/>
          </w:tcPr>
          <w:p w14:paraId="1AFCFBB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B463D">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cs="宋体"/>
                <w:i w:val="0"/>
                <w:iCs w:val="0"/>
                <w:color w:val="auto"/>
                <w:kern w:val="0"/>
                <w:sz w:val="21"/>
                <w:szCs w:val="21"/>
                <w:u w:val="none"/>
                <w:lang w:val="en-US" w:eastAsia="zh-CN" w:bidi="ar"/>
              </w:rPr>
              <w:t>垫坡</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C118E">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EF157">
            <w:pPr>
              <w:keepNext w:val="0"/>
              <w:keepLines w:val="0"/>
              <w:widowControl/>
              <w:suppressLineNumbers w:val="0"/>
              <w:jc w:val="center"/>
              <w:textAlignment w:val="center"/>
              <w:rPr>
                <w:rFonts w:hint="default"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26701</w:t>
            </w:r>
          </w:p>
        </w:tc>
      </w:tr>
      <w:tr w14:paraId="0DE7E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3C5A657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872" w:type="pct"/>
            <w:vMerge w:val="continue"/>
            <w:tcBorders>
              <w:left w:val="single" w:color="000000" w:sz="4" w:space="0"/>
              <w:right w:val="single" w:color="000000" w:sz="4" w:space="0"/>
            </w:tcBorders>
            <w:shd w:val="clear" w:color="auto" w:fill="auto"/>
            <w:vAlign w:val="center"/>
          </w:tcPr>
          <w:p w14:paraId="70E70DCD">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C0CB2">
            <w:pPr>
              <w:keepNext w:val="0"/>
              <w:keepLines w:val="0"/>
              <w:widowControl/>
              <w:suppressLineNumbers w:val="0"/>
              <w:jc w:val="center"/>
              <w:textAlignment w:val="center"/>
              <w:rPr>
                <w:rFonts w:hint="default" w:ascii="宋体" w:hAnsi="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回填</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CB72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088A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15084</w:t>
            </w:r>
          </w:p>
        </w:tc>
      </w:tr>
      <w:tr w14:paraId="22A13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10FC634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872" w:type="pct"/>
            <w:vMerge w:val="continue"/>
            <w:tcBorders>
              <w:left w:val="single" w:color="000000" w:sz="4" w:space="0"/>
              <w:right w:val="single" w:color="000000" w:sz="4" w:space="0"/>
            </w:tcBorders>
            <w:shd w:val="clear" w:color="auto" w:fill="auto"/>
            <w:vAlign w:val="center"/>
          </w:tcPr>
          <w:p w14:paraId="7B956B2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6D422">
            <w:pPr>
              <w:keepNext w:val="0"/>
              <w:keepLines w:val="0"/>
              <w:widowControl/>
              <w:suppressLineNumbers w:val="0"/>
              <w:jc w:val="center"/>
              <w:textAlignment w:val="center"/>
              <w:rPr>
                <w:rFonts w:hint="default" w:ascii="宋体" w:hAnsi="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岩体清除</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B280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F207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19200</w:t>
            </w:r>
          </w:p>
        </w:tc>
      </w:tr>
      <w:tr w14:paraId="624AD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75DD308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872" w:type="pct"/>
            <w:vMerge w:val="continue"/>
            <w:tcBorders>
              <w:left w:val="single" w:color="000000" w:sz="4" w:space="0"/>
              <w:right w:val="single" w:color="000000" w:sz="4" w:space="0"/>
            </w:tcBorders>
            <w:shd w:val="clear" w:color="auto" w:fill="auto"/>
            <w:vAlign w:val="center"/>
          </w:tcPr>
          <w:p w14:paraId="4EBFF48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FB598">
            <w:pPr>
              <w:keepNext w:val="0"/>
              <w:keepLines w:val="0"/>
              <w:widowControl/>
              <w:suppressLineNumbers w:val="0"/>
              <w:jc w:val="center"/>
              <w:textAlignment w:val="center"/>
              <w:rPr>
                <w:rFonts w:hint="default" w:ascii="宋体" w:hAnsi="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覆土</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59B2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0257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10762</w:t>
            </w:r>
          </w:p>
        </w:tc>
      </w:tr>
      <w:tr w14:paraId="4A98A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5538FA7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872" w:type="pct"/>
            <w:vMerge w:val="continue"/>
            <w:tcBorders>
              <w:left w:val="single" w:color="000000" w:sz="4" w:space="0"/>
              <w:bottom w:val="single" w:color="000000" w:sz="4" w:space="0"/>
              <w:right w:val="single" w:color="000000" w:sz="4" w:space="0"/>
            </w:tcBorders>
            <w:shd w:val="clear" w:color="auto" w:fill="auto"/>
            <w:vAlign w:val="center"/>
          </w:tcPr>
          <w:p w14:paraId="0A92993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C748E">
            <w:pPr>
              <w:keepNext w:val="0"/>
              <w:keepLines w:val="0"/>
              <w:widowControl/>
              <w:suppressLineNumbers w:val="0"/>
              <w:jc w:val="center"/>
              <w:textAlignment w:val="center"/>
              <w:rPr>
                <w:rFonts w:hint="default" w:ascii="宋体" w:hAnsi="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种草</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93C75">
            <w:pPr>
              <w:keepNext w:val="0"/>
              <w:keepLines w:val="0"/>
              <w:widowControl/>
              <w:suppressLineNumbers w:val="0"/>
              <w:jc w:val="center"/>
              <w:textAlignment w:val="center"/>
              <w:rPr>
                <w:rFonts w:hint="eastAsia" w:ascii="Times New Roman" w:hAnsi="Times New Roman"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m</w:t>
            </w:r>
            <w:r>
              <w:rPr>
                <w:rFonts w:hint="eastAsia" w:ascii="Times New Roman" w:hAnsi="Times New Roman" w:cs="Times New Roman"/>
                <w:i w:val="0"/>
                <w:iCs w:val="0"/>
                <w:color w:val="auto"/>
                <w:kern w:val="0"/>
                <w:sz w:val="21"/>
                <w:szCs w:val="21"/>
                <w:u w:val="none"/>
                <w:vertAlign w:val="superscript"/>
                <w:lang w:val="en-US" w:eastAsia="zh-CN" w:bidi="ar"/>
              </w:rPr>
              <w:t>2</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66EA8">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35873</w:t>
            </w:r>
          </w:p>
        </w:tc>
      </w:tr>
      <w:tr w14:paraId="51F9C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1FED682A">
            <w:pPr>
              <w:jc w:val="center"/>
              <w:rPr>
                <w:rFonts w:hint="default" w:ascii="Times New Roman" w:hAnsi="Times New Roman" w:eastAsia="宋体" w:cs="Times New Roman"/>
                <w:i w:val="0"/>
                <w:iCs w:val="0"/>
                <w:color w:val="auto"/>
                <w:sz w:val="21"/>
                <w:szCs w:val="21"/>
                <w:u w:val="none"/>
              </w:rPr>
            </w:pPr>
          </w:p>
        </w:tc>
        <w:tc>
          <w:tcPr>
            <w:tcW w:w="8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2D38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auto"/>
                <w:kern w:val="0"/>
                <w:sz w:val="21"/>
                <w:szCs w:val="21"/>
                <w:u w:val="none"/>
                <w:lang w:val="en-US" w:eastAsia="zh-CN" w:bidi="ar"/>
              </w:rPr>
              <w:t>1#</w:t>
            </w:r>
            <w:r>
              <w:rPr>
                <w:rFonts w:hint="eastAsia" w:ascii="宋体" w:hAnsi="宋体" w:eastAsia="宋体" w:cs="宋体"/>
                <w:i w:val="0"/>
                <w:iCs w:val="0"/>
                <w:color w:val="auto"/>
                <w:kern w:val="0"/>
                <w:sz w:val="21"/>
                <w:szCs w:val="21"/>
                <w:u w:val="none"/>
                <w:lang w:val="en-US" w:eastAsia="zh-CN" w:bidi="ar"/>
              </w:rPr>
              <w:t>废石场</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6A43F">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eastAsia="zh-CN"/>
              </w:rPr>
            </w:pPr>
            <w:r>
              <w:rPr>
                <w:rFonts w:hint="eastAsia" w:ascii="宋体" w:hAnsi="宋体" w:cs="宋体"/>
                <w:i w:val="0"/>
                <w:iCs w:val="0"/>
                <w:color w:val="auto"/>
                <w:sz w:val="21"/>
                <w:szCs w:val="21"/>
                <w:u w:val="none"/>
                <w:lang w:val="en-US" w:eastAsia="zh-CN"/>
              </w:rPr>
              <w:t>削坡整形</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5F94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ED9D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158</w:t>
            </w:r>
          </w:p>
        </w:tc>
      </w:tr>
      <w:tr w14:paraId="2A092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7C5881EB">
            <w:pPr>
              <w:jc w:val="center"/>
              <w:rPr>
                <w:rFonts w:hint="default" w:ascii="Times New Roman" w:hAnsi="Times New Roman" w:eastAsia="宋体" w:cs="Times New Roman"/>
                <w:i w:val="0"/>
                <w:iCs w:val="0"/>
                <w:color w:val="auto"/>
                <w:sz w:val="21"/>
                <w:szCs w:val="21"/>
                <w:u w:val="none"/>
              </w:rPr>
            </w:pPr>
          </w:p>
        </w:tc>
        <w:tc>
          <w:tcPr>
            <w:tcW w:w="8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12E50">
            <w:pPr>
              <w:jc w:val="center"/>
              <w:rPr>
                <w:rFonts w:hint="eastAsia" w:ascii="宋体" w:hAnsi="宋体" w:eastAsia="宋体" w:cs="宋体"/>
                <w:i w:val="0"/>
                <w:iCs w:val="0"/>
                <w:color w:val="auto"/>
                <w:sz w:val="21"/>
                <w:szCs w:val="21"/>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B5AA4">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cs="宋体"/>
                <w:i w:val="0"/>
                <w:iCs w:val="0"/>
                <w:color w:val="auto"/>
                <w:sz w:val="21"/>
                <w:szCs w:val="21"/>
                <w:u w:val="none"/>
                <w:lang w:val="en-US" w:eastAsia="zh-CN"/>
              </w:rPr>
              <w:t>覆土</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8DC6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86C1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1443</w:t>
            </w:r>
          </w:p>
        </w:tc>
      </w:tr>
      <w:tr w14:paraId="255D4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377F0D7A">
            <w:pPr>
              <w:jc w:val="center"/>
              <w:rPr>
                <w:rFonts w:hint="default" w:ascii="Times New Roman" w:hAnsi="Times New Roman" w:eastAsia="宋体" w:cs="Times New Roman"/>
                <w:i w:val="0"/>
                <w:iCs w:val="0"/>
                <w:color w:val="auto"/>
                <w:sz w:val="21"/>
                <w:szCs w:val="21"/>
                <w:u w:val="none"/>
              </w:rPr>
            </w:pPr>
          </w:p>
        </w:tc>
        <w:tc>
          <w:tcPr>
            <w:tcW w:w="8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859AC">
            <w:pPr>
              <w:jc w:val="center"/>
              <w:rPr>
                <w:rFonts w:hint="eastAsia" w:ascii="宋体" w:hAnsi="宋体" w:eastAsia="宋体" w:cs="宋体"/>
                <w:i w:val="0"/>
                <w:iCs w:val="0"/>
                <w:color w:val="auto"/>
                <w:sz w:val="21"/>
                <w:szCs w:val="21"/>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4C06B">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cs="宋体"/>
                <w:i w:val="0"/>
                <w:iCs w:val="0"/>
                <w:color w:val="auto"/>
                <w:sz w:val="21"/>
                <w:szCs w:val="21"/>
                <w:u w:val="none"/>
                <w:lang w:val="en-US" w:eastAsia="zh-CN"/>
              </w:rPr>
              <w:t>种草</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BB32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2</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64DC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4811</w:t>
            </w:r>
          </w:p>
        </w:tc>
      </w:tr>
      <w:tr w14:paraId="43130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365C7128">
            <w:pPr>
              <w:jc w:val="center"/>
              <w:rPr>
                <w:rFonts w:hint="default" w:ascii="Times New Roman" w:hAnsi="Times New Roman" w:eastAsia="宋体" w:cs="Times New Roman"/>
                <w:i w:val="0"/>
                <w:iCs w:val="0"/>
                <w:color w:val="auto"/>
                <w:sz w:val="21"/>
                <w:szCs w:val="21"/>
                <w:u w:val="none"/>
              </w:rPr>
            </w:pPr>
          </w:p>
        </w:tc>
        <w:tc>
          <w:tcPr>
            <w:tcW w:w="8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57F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auto"/>
                <w:kern w:val="0"/>
                <w:sz w:val="21"/>
                <w:szCs w:val="21"/>
                <w:u w:val="none"/>
                <w:lang w:val="en-US" w:eastAsia="zh-CN" w:bidi="ar"/>
              </w:rPr>
              <w:t>2#废</w:t>
            </w:r>
            <w:r>
              <w:rPr>
                <w:rFonts w:hint="eastAsia" w:ascii="宋体" w:hAnsi="宋体" w:eastAsia="宋体" w:cs="宋体"/>
                <w:i w:val="0"/>
                <w:iCs w:val="0"/>
                <w:color w:val="auto"/>
                <w:kern w:val="0"/>
                <w:sz w:val="21"/>
                <w:szCs w:val="21"/>
                <w:u w:val="none"/>
                <w:lang w:val="en-US" w:eastAsia="zh-CN" w:bidi="ar"/>
              </w:rPr>
              <w:t>石场</w:t>
            </w:r>
          </w:p>
        </w:tc>
        <w:tc>
          <w:tcPr>
            <w:tcW w:w="1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8EAA3">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cs="宋体"/>
                <w:i w:val="0"/>
                <w:iCs w:val="0"/>
                <w:color w:val="auto"/>
                <w:sz w:val="21"/>
                <w:szCs w:val="21"/>
                <w:u w:val="none"/>
                <w:lang w:val="en-US" w:eastAsia="zh-CN"/>
              </w:rPr>
              <w:t>清运</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1CA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D4F6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24253</w:t>
            </w:r>
          </w:p>
        </w:tc>
      </w:tr>
      <w:tr w14:paraId="3679F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286501F8">
            <w:pPr>
              <w:jc w:val="center"/>
              <w:rPr>
                <w:rFonts w:hint="default" w:ascii="Times New Roman" w:hAnsi="Times New Roman" w:eastAsia="宋体" w:cs="Times New Roman"/>
                <w:i w:val="0"/>
                <w:iCs w:val="0"/>
                <w:color w:val="auto"/>
                <w:sz w:val="21"/>
                <w:szCs w:val="21"/>
                <w:u w:val="none"/>
              </w:rPr>
            </w:pPr>
          </w:p>
        </w:tc>
        <w:tc>
          <w:tcPr>
            <w:tcW w:w="872" w:type="pct"/>
            <w:vMerge w:val="continue"/>
            <w:tcBorders>
              <w:left w:val="single" w:color="000000" w:sz="4" w:space="0"/>
              <w:right w:val="single" w:color="000000" w:sz="4" w:space="0"/>
            </w:tcBorders>
            <w:shd w:val="clear" w:color="auto" w:fill="auto"/>
            <w:noWrap/>
            <w:vAlign w:val="center"/>
          </w:tcPr>
          <w:p w14:paraId="0142A77A">
            <w:pPr>
              <w:keepNext w:val="0"/>
              <w:keepLines w:val="0"/>
              <w:widowControl/>
              <w:suppressLineNumbers w:val="0"/>
              <w:jc w:val="center"/>
              <w:textAlignment w:val="center"/>
              <w:rPr>
                <w:rFonts w:hint="eastAsia" w:ascii="宋体" w:hAnsi="宋体" w:cs="宋体"/>
                <w:i w:val="0"/>
                <w:iCs w:val="0"/>
                <w:color w:val="auto"/>
                <w:kern w:val="0"/>
                <w:sz w:val="21"/>
                <w:szCs w:val="21"/>
                <w:u w:val="none"/>
                <w:lang w:val="en-US" w:eastAsia="zh-CN" w:bidi="ar"/>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2318B">
            <w:pPr>
              <w:keepNext w:val="0"/>
              <w:keepLines w:val="0"/>
              <w:widowControl/>
              <w:suppressLineNumbers w:val="0"/>
              <w:jc w:val="center"/>
              <w:textAlignment w:val="center"/>
              <w:rPr>
                <w:rFonts w:hint="default" w:ascii="宋体" w:hAnsi="宋体" w:cs="宋体"/>
                <w:i w:val="0"/>
                <w:iCs w:val="0"/>
                <w:color w:val="auto"/>
                <w:sz w:val="21"/>
                <w:szCs w:val="21"/>
                <w:u w:val="none"/>
                <w:lang w:val="en-US" w:eastAsia="zh-CN"/>
              </w:rPr>
            </w:pPr>
            <w:r>
              <w:rPr>
                <w:rFonts w:hint="eastAsia" w:ascii="宋体" w:hAnsi="宋体" w:cs="宋体"/>
                <w:i w:val="0"/>
                <w:iCs w:val="0"/>
                <w:color w:val="auto"/>
                <w:sz w:val="21"/>
                <w:szCs w:val="21"/>
                <w:u w:val="none"/>
                <w:lang w:val="en-US" w:eastAsia="zh-CN"/>
              </w:rPr>
              <w:t>垫坡</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60D1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64518">
            <w:pPr>
              <w:keepNext w:val="0"/>
              <w:keepLines w:val="0"/>
              <w:widowControl/>
              <w:suppressLineNumbers w:val="0"/>
              <w:jc w:val="center"/>
              <w:textAlignment w:val="center"/>
              <w:rPr>
                <w:rFonts w:hint="default"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846</w:t>
            </w:r>
          </w:p>
        </w:tc>
      </w:tr>
      <w:tr w14:paraId="43809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02DCE65D">
            <w:pPr>
              <w:jc w:val="center"/>
              <w:rPr>
                <w:rFonts w:hint="default" w:ascii="Times New Roman" w:hAnsi="Times New Roman" w:eastAsia="宋体" w:cs="Times New Roman"/>
                <w:i w:val="0"/>
                <w:iCs w:val="0"/>
                <w:color w:val="auto"/>
                <w:sz w:val="21"/>
                <w:szCs w:val="21"/>
                <w:u w:val="none"/>
              </w:rPr>
            </w:pPr>
          </w:p>
        </w:tc>
        <w:tc>
          <w:tcPr>
            <w:tcW w:w="872" w:type="pct"/>
            <w:vMerge w:val="continue"/>
            <w:tcBorders>
              <w:left w:val="single" w:color="000000" w:sz="4" w:space="0"/>
              <w:right w:val="single" w:color="000000" w:sz="4" w:space="0"/>
            </w:tcBorders>
            <w:shd w:val="clear" w:color="auto" w:fill="auto"/>
            <w:noWrap/>
            <w:vAlign w:val="center"/>
          </w:tcPr>
          <w:p w14:paraId="64703624">
            <w:pPr>
              <w:jc w:val="center"/>
              <w:rPr>
                <w:rFonts w:hint="eastAsia" w:ascii="宋体" w:hAnsi="宋体" w:eastAsia="宋体" w:cs="宋体"/>
                <w:i w:val="0"/>
                <w:iCs w:val="0"/>
                <w:color w:val="auto"/>
                <w:sz w:val="21"/>
                <w:szCs w:val="21"/>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F6667">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cs="宋体"/>
                <w:i w:val="0"/>
                <w:iCs w:val="0"/>
                <w:color w:val="auto"/>
                <w:sz w:val="21"/>
                <w:szCs w:val="21"/>
                <w:u w:val="none"/>
                <w:lang w:val="en-US" w:eastAsia="zh-CN"/>
              </w:rPr>
              <w:t>覆土</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822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0D74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4210</w:t>
            </w:r>
          </w:p>
        </w:tc>
      </w:tr>
      <w:tr w14:paraId="4CC3E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6836AE10">
            <w:pPr>
              <w:jc w:val="center"/>
              <w:rPr>
                <w:rFonts w:hint="default" w:ascii="Times New Roman" w:hAnsi="Times New Roman" w:eastAsia="宋体" w:cs="Times New Roman"/>
                <w:i w:val="0"/>
                <w:iCs w:val="0"/>
                <w:color w:val="auto"/>
                <w:sz w:val="21"/>
                <w:szCs w:val="21"/>
                <w:u w:val="none"/>
              </w:rPr>
            </w:pPr>
          </w:p>
        </w:tc>
        <w:tc>
          <w:tcPr>
            <w:tcW w:w="8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BAB78">
            <w:pPr>
              <w:jc w:val="center"/>
              <w:rPr>
                <w:rFonts w:hint="eastAsia" w:ascii="宋体" w:hAnsi="宋体" w:eastAsia="宋体" w:cs="宋体"/>
                <w:i w:val="0"/>
                <w:iCs w:val="0"/>
                <w:color w:val="auto"/>
                <w:sz w:val="21"/>
                <w:szCs w:val="21"/>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E734C">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cs="宋体"/>
                <w:i w:val="0"/>
                <w:iCs w:val="0"/>
                <w:color w:val="auto"/>
                <w:sz w:val="21"/>
                <w:szCs w:val="21"/>
                <w:u w:val="none"/>
                <w:lang w:val="en-US" w:eastAsia="zh-CN"/>
              </w:rPr>
              <w:t>种草</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2C0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2</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7D99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14034</w:t>
            </w:r>
          </w:p>
        </w:tc>
      </w:tr>
      <w:tr w14:paraId="13976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7E855C2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8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28B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1#废渣堆</w:t>
            </w: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33790">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cs="宋体"/>
                <w:i w:val="0"/>
                <w:iCs w:val="0"/>
                <w:color w:val="auto"/>
                <w:sz w:val="21"/>
                <w:szCs w:val="21"/>
                <w:u w:val="none"/>
                <w:lang w:val="en-US" w:eastAsia="zh-CN"/>
              </w:rPr>
              <w:t>削坡整形</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1D921">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6B531">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cs="Times New Roman"/>
                <w:i w:val="0"/>
                <w:iCs w:val="0"/>
                <w:color w:val="auto"/>
                <w:kern w:val="2"/>
                <w:sz w:val="21"/>
                <w:szCs w:val="21"/>
                <w:u w:val="none"/>
                <w:lang w:val="en-US" w:eastAsia="zh-CN" w:bidi="ar-SA"/>
              </w:rPr>
              <w:t>294</w:t>
            </w:r>
          </w:p>
        </w:tc>
      </w:tr>
      <w:tr w14:paraId="2C335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427DCBD1">
            <w:pPr>
              <w:jc w:val="center"/>
              <w:rPr>
                <w:rFonts w:hint="default" w:ascii="Times New Roman" w:hAnsi="Times New Roman" w:eastAsia="宋体" w:cs="Times New Roman"/>
                <w:i w:val="0"/>
                <w:iCs w:val="0"/>
                <w:color w:val="auto"/>
                <w:sz w:val="21"/>
                <w:szCs w:val="21"/>
                <w:u w:val="none"/>
              </w:rPr>
            </w:pPr>
          </w:p>
        </w:tc>
        <w:tc>
          <w:tcPr>
            <w:tcW w:w="8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1FF1E">
            <w:pPr>
              <w:jc w:val="center"/>
              <w:rPr>
                <w:rFonts w:hint="eastAsia" w:ascii="宋体" w:hAnsi="宋体" w:eastAsia="宋体" w:cs="宋体"/>
                <w:i w:val="0"/>
                <w:iCs w:val="0"/>
                <w:color w:val="auto"/>
                <w:sz w:val="21"/>
                <w:szCs w:val="21"/>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98A6D">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cs="宋体"/>
                <w:i w:val="0"/>
                <w:iCs w:val="0"/>
                <w:color w:val="auto"/>
                <w:sz w:val="21"/>
                <w:szCs w:val="21"/>
                <w:u w:val="none"/>
                <w:lang w:val="en-US" w:eastAsia="zh-CN"/>
              </w:rPr>
              <w:t>覆土</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D7256">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83D72">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cs="Times New Roman"/>
                <w:i w:val="0"/>
                <w:iCs w:val="0"/>
                <w:color w:val="auto"/>
                <w:kern w:val="2"/>
                <w:sz w:val="21"/>
                <w:szCs w:val="21"/>
                <w:u w:val="none"/>
                <w:lang w:val="en-US" w:eastAsia="zh-CN" w:bidi="ar-SA"/>
              </w:rPr>
              <w:t>1198</w:t>
            </w:r>
          </w:p>
        </w:tc>
      </w:tr>
      <w:tr w14:paraId="3A494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68AA3AC3">
            <w:pPr>
              <w:jc w:val="center"/>
              <w:rPr>
                <w:rFonts w:hint="default" w:ascii="Times New Roman" w:hAnsi="Times New Roman" w:eastAsia="宋体" w:cs="Times New Roman"/>
                <w:i w:val="0"/>
                <w:iCs w:val="0"/>
                <w:color w:val="auto"/>
                <w:sz w:val="21"/>
                <w:szCs w:val="21"/>
                <w:u w:val="none"/>
              </w:rPr>
            </w:pPr>
          </w:p>
        </w:tc>
        <w:tc>
          <w:tcPr>
            <w:tcW w:w="8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84500">
            <w:pPr>
              <w:jc w:val="center"/>
              <w:rPr>
                <w:rFonts w:hint="eastAsia" w:ascii="宋体" w:hAnsi="宋体" w:eastAsia="宋体" w:cs="宋体"/>
                <w:i w:val="0"/>
                <w:iCs w:val="0"/>
                <w:color w:val="auto"/>
                <w:sz w:val="21"/>
                <w:szCs w:val="21"/>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EC276">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cs="宋体"/>
                <w:i w:val="0"/>
                <w:iCs w:val="0"/>
                <w:color w:val="auto"/>
                <w:sz w:val="21"/>
                <w:szCs w:val="21"/>
                <w:u w:val="none"/>
                <w:lang w:val="en-US" w:eastAsia="zh-CN"/>
              </w:rPr>
              <w:t>种草</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E6466">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2</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8E626">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cs="Times New Roman"/>
                <w:i w:val="0"/>
                <w:iCs w:val="0"/>
                <w:color w:val="auto"/>
                <w:kern w:val="2"/>
                <w:sz w:val="21"/>
                <w:szCs w:val="21"/>
                <w:u w:val="none"/>
                <w:lang w:val="en-US" w:eastAsia="zh-CN" w:bidi="ar-SA"/>
              </w:rPr>
              <w:t>3993</w:t>
            </w:r>
          </w:p>
        </w:tc>
      </w:tr>
      <w:tr w14:paraId="44B38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3F8968EC">
            <w:pPr>
              <w:jc w:val="center"/>
              <w:rPr>
                <w:rFonts w:hint="default" w:ascii="Times New Roman" w:hAnsi="Times New Roman" w:eastAsia="宋体" w:cs="Times New Roman"/>
                <w:i w:val="0"/>
                <w:iCs w:val="0"/>
                <w:color w:val="auto"/>
                <w:sz w:val="21"/>
                <w:szCs w:val="21"/>
                <w:u w:val="none"/>
              </w:rPr>
            </w:pPr>
          </w:p>
        </w:tc>
        <w:tc>
          <w:tcPr>
            <w:tcW w:w="872" w:type="pct"/>
            <w:vMerge w:val="restart"/>
            <w:tcBorders>
              <w:top w:val="single" w:color="000000" w:sz="4" w:space="0"/>
              <w:left w:val="single" w:color="000000" w:sz="4" w:space="0"/>
              <w:right w:val="single" w:color="000000" w:sz="4" w:space="0"/>
            </w:tcBorders>
            <w:shd w:val="clear" w:color="auto" w:fill="auto"/>
            <w:noWrap/>
            <w:vAlign w:val="center"/>
          </w:tcPr>
          <w:p w14:paraId="0D64A6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2#废渣堆</w:t>
            </w:r>
          </w:p>
        </w:tc>
        <w:tc>
          <w:tcPr>
            <w:tcW w:w="1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FE9F1">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cs="宋体"/>
                <w:i w:val="0"/>
                <w:iCs w:val="0"/>
                <w:color w:val="auto"/>
                <w:sz w:val="21"/>
                <w:szCs w:val="21"/>
                <w:u w:val="none"/>
                <w:lang w:val="en-US" w:eastAsia="zh-CN"/>
              </w:rPr>
              <w:t>削坡整形</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4A97E">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8BAE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250</w:t>
            </w:r>
          </w:p>
        </w:tc>
      </w:tr>
      <w:tr w14:paraId="5D255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25BD5817">
            <w:pPr>
              <w:jc w:val="center"/>
              <w:rPr>
                <w:rFonts w:hint="default" w:ascii="Times New Roman" w:hAnsi="Times New Roman" w:eastAsia="宋体" w:cs="Times New Roman"/>
                <w:i w:val="0"/>
                <w:iCs w:val="0"/>
                <w:color w:val="auto"/>
                <w:sz w:val="21"/>
                <w:szCs w:val="21"/>
                <w:u w:val="none"/>
              </w:rPr>
            </w:pPr>
          </w:p>
        </w:tc>
        <w:tc>
          <w:tcPr>
            <w:tcW w:w="872" w:type="pct"/>
            <w:vMerge w:val="continue"/>
            <w:tcBorders>
              <w:left w:val="single" w:color="000000" w:sz="4" w:space="0"/>
              <w:right w:val="single" w:color="000000" w:sz="4" w:space="0"/>
            </w:tcBorders>
            <w:shd w:val="clear" w:color="auto" w:fill="auto"/>
            <w:noWrap/>
            <w:vAlign w:val="center"/>
          </w:tcPr>
          <w:p w14:paraId="5C157B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1B456">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cs="宋体"/>
                <w:i w:val="0"/>
                <w:iCs w:val="0"/>
                <w:color w:val="auto"/>
                <w:sz w:val="21"/>
                <w:szCs w:val="21"/>
                <w:u w:val="none"/>
                <w:lang w:val="en-US" w:eastAsia="zh-CN"/>
              </w:rPr>
              <w:t>覆土</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B7752">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374A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1161</w:t>
            </w:r>
          </w:p>
        </w:tc>
      </w:tr>
      <w:tr w14:paraId="568CC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45A18CF7">
            <w:pPr>
              <w:jc w:val="center"/>
              <w:rPr>
                <w:rFonts w:hint="default" w:ascii="Times New Roman" w:hAnsi="Times New Roman" w:eastAsia="宋体" w:cs="Times New Roman"/>
                <w:i w:val="0"/>
                <w:iCs w:val="0"/>
                <w:color w:val="auto"/>
                <w:sz w:val="21"/>
                <w:szCs w:val="21"/>
                <w:u w:val="none"/>
              </w:rPr>
            </w:pPr>
          </w:p>
        </w:tc>
        <w:tc>
          <w:tcPr>
            <w:tcW w:w="872" w:type="pct"/>
            <w:vMerge w:val="continue"/>
            <w:tcBorders>
              <w:left w:val="single" w:color="000000" w:sz="4" w:space="0"/>
              <w:bottom w:val="single" w:color="000000" w:sz="4" w:space="0"/>
              <w:right w:val="single" w:color="000000" w:sz="4" w:space="0"/>
            </w:tcBorders>
            <w:shd w:val="clear" w:color="auto" w:fill="auto"/>
            <w:noWrap/>
            <w:vAlign w:val="center"/>
          </w:tcPr>
          <w:p w14:paraId="52BEAB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0ECA4">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cs="宋体"/>
                <w:i w:val="0"/>
                <w:iCs w:val="0"/>
                <w:color w:val="auto"/>
                <w:sz w:val="21"/>
                <w:szCs w:val="21"/>
                <w:u w:val="none"/>
                <w:lang w:val="en-US" w:eastAsia="zh-CN"/>
              </w:rPr>
              <w:t>种草</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86AF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2</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C0F0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3869</w:t>
            </w:r>
          </w:p>
        </w:tc>
      </w:tr>
      <w:tr w14:paraId="07A1C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6C12C749">
            <w:pPr>
              <w:jc w:val="center"/>
              <w:rPr>
                <w:rFonts w:hint="default" w:ascii="Times New Roman" w:hAnsi="Times New Roman" w:eastAsia="宋体" w:cs="Times New Roman"/>
                <w:i w:val="0"/>
                <w:iCs w:val="0"/>
                <w:color w:val="auto"/>
                <w:sz w:val="21"/>
                <w:szCs w:val="21"/>
                <w:u w:val="none"/>
              </w:rPr>
            </w:pPr>
          </w:p>
        </w:tc>
        <w:tc>
          <w:tcPr>
            <w:tcW w:w="8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D23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3#废渣堆</w:t>
            </w:r>
          </w:p>
        </w:tc>
        <w:tc>
          <w:tcPr>
            <w:tcW w:w="1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C9597">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cs="宋体"/>
                <w:i w:val="0"/>
                <w:iCs w:val="0"/>
                <w:color w:val="auto"/>
                <w:sz w:val="21"/>
                <w:szCs w:val="21"/>
                <w:u w:val="none"/>
                <w:lang w:val="en-US" w:eastAsia="zh-CN"/>
              </w:rPr>
              <w:t>削坡整形</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DB97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D5BB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133</w:t>
            </w:r>
          </w:p>
        </w:tc>
      </w:tr>
      <w:tr w14:paraId="10FC0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39D4A402">
            <w:pPr>
              <w:jc w:val="center"/>
              <w:rPr>
                <w:rFonts w:hint="default" w:ascii="Times New Roman" w:hAnsi="Times New Roman" w:eastAsia="宋体" w:cs="Times New Roman"/>
                <w:i w:val="0"/>
                <w:iCs w:val="0"/>
                <w:color w:val="auto"/>
                <w:sz w:val="21"/>
                <w:szCs w:val="21"/>
                <w:u w:val="none"/>
              </w:rPr>
            </w:pPr>
          </w:p>
        </w:tc>
        <w:tc>
          <w:tcPr>
            <w:tcW w:w="872" w:type="pct"/>
            <w:vMerge w:val="continue"/>
            <w:tcBorders>
              <w:left w:val="single" w:color="000000" w:sz="4" w:space="0"/>
              <w:right w:val="single" w:color="000000" w:sz="4" w:space="0"/>
            </w:tcBorders>
            <w:shd w:val="clear" w:color="auto" w:fill="auto"/>
            <w:noWrap/>
            <w:vAlign w:val="center"/>
          </w:tcPr>
          <w:p w14:paraId="5180BF4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3ECE1">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cs="宋体"/>
                <w:i w:val="0"/>
                <w:iCs w:val="0"/>
                <w:color w:val="auto"/>
                <w:sz w:val="21"/>
                <w:szCs w:val="21"/>
                <w:u w:val="none"/>
                <w:lang w:val="en-US" w:eastAsia="zh-CN"/>
              </w:rPr>
              <w:t>覆土</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C5B9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09FA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290</w:t>
            </w:r>
          </w:p>
        </w:tc>
      </w:tr>
      <w:tr w14:paraId="22B21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5300F479">
            <w:pPr>
              <w:jc w:val="center"/>
              <w:rPr>
                <w:rFonts w:hint="default" w:ascii="Times New Roman" w:hAnsi="Times New Roman" w:eastAsia="宋体" w:cs="Times New Roman"/>
                <w:i w:val="0"/>
                <w:iCs w:val="0"/>
                <w:color w:val="auto"/>
                <w:sz w:val="21"/>
                <w:szCs w:val="21"/>
                <w:u w:val="none"/>
              </w:rPr>
            </w:pPr>
          </w:p>
        </w:tc>
        <w:tc>
          <w:tcPr>
            <w:tcW w:w="8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B3FEC">
            <w:pPr>
              <w:jc w:val="center"/>
              <w:rPr>
                <w:rFonts w:hint="eastAsia" w:ascii="宋体" w:hAnsi="宋体" w:eastAsia="宋体" w:cs="宋体"/>
                <w:i w:val="0"/>
                <w:iCs w:val="0"/>
                <w:color w:val="auto"/>
                <w:sz w:val="21"/>
                <w:szCs w:val="21"/>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B2D99">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cs="宋体"/>
                <w:i w:val="0"/>
                <w:iCs w:val="0"/>
                <w:color w:val="auto"/>
                <w:sz w:val="21"/>
                <w:szCs w:val="21"/>
                <w:u w:val="none"/>
                <w:lang w:val="en-US" w:eastAsia="zh-CN"/>
              </w:rPr>
              <w:t>种树</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04B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kern w:val="0"/>
                <w:sz w:val="21"/>
                <w:szCs w:val="21"/>
                <w:u w:val="none"/>
                <w:lang w:val="en-US" w:eastAsia="zh-CN" w:bidi="ar"/>
              </w:rPr>
              <w:t>株</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C8D4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107</w:t>
            </w:r>
          </w:p>
        </w:tc>
      </w:tr>
      <w:tr w14:paraId="0E691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0E14D978">
            <w:pPr>
              <w:jc w:val="center"/>
              <w:rPr>
                <w:rFonts w:hint="default" w:ascii="Times New Roman" w:hAnsi="Times New Roman" w:eastAsia="宋体" w:cs="Times New Roman"/>
                <w:i w:val="0"/>
                <w:iCs w:val="0"/>
                <w:color w:val="auto"/>
                <w:sz w:val="21"/>
                <w:szCs w:val="21"/>
                <w:u w:val="none"/>
              </w:rPr>
            </w:pPr>
          </w:p>
        </w:tc>
        <w:tc>
          <w:tcPr>
            <w:tcW w:w="872" w:type="pct"/>
            <w:vMerge w:val="restart"/>
            <w:tcBorders>
              <w:top w:val="single" w:color="000000" w:sz="4" w:space="0"/>
              <w:left w:val="single" w:color="000000" w:sz="4" w:space="0"/>
              <w:right w:val="single" w:color="000000" w:sz="4" w:space="0"/>
            </w:tcBorders>
            <w:shd w:val="clear" w:color="auto" w:fill="auto"/>
            <w:noWrap/>
            <w:vAlign w:val="center"/>
          </w:tcPr>
          <w:p w14:paraId="766056AF">
            <w:pPr>
              <w:jc w:val="center"/>
              <w:rPr>
                <w:rFonts w:hint="eastAsia" w:ascii="宋体" w:hAnsi="宋体" w:eastAsia="宋体" w:cs="宋体"/>
                <w:i w:val="0"/>
                <w:iCs w:val="0"/>
                <w:color w:val="auto"/>
                <w:sz w:val="21"/>
                <w:szCs w:val="21"/>
                <w:u w:val="none"/>
                <w:lang w:val="en-US" w:eastAsia="zh-CN"/>
              </w:rPr>
            </w:pPr>
            <w:r>
              <w:rPr>
                <w:rFonts w:hint="eastAsia" w:ascii="宋体" w:hAnsi="宋体" w:cs="宋体"/>
                <w:i w:val="0"/>
                <w:iCs w:val="0"/>
                <w:color w:val="auto"/>
                <w:sz w:val="21"/>
                <w:szCs w:val="21"/>
                <w:u w:val="none"/>
                <w:lang w:val="en-US" w:eastAsia="zh-CN"/>
              </w:rPr>
              <w:t>工业场地</w:t>
            </w:r>
          </w:p>
        </w:tc>
        <w:tc>
          <w:tcPr>
            <w:tcW w:w="1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59C31">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cs="宋体"/>
                <w:i w:val="0"/>
                <w:iCs w:val="0"/>
                <w:color w:val="auto"/>
                <w:sz w:val="21"/>
                <w:szCs w:val="21"/>
                <w:u w:val="none"/>
                <w:lang w:val="en-US" w:eastAsia="zh-CN"/>
              </w:rPr>
              <w:t>拆除</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43C8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F161A">
            <w:pPr>
              <w:keepNext w:val="0"/>
              <w:keepLines w:val="0"/>
              <w:widowControl/>
              <w:suppressLineNumbers w:val="0"/>
              <w:jc w:val="center"/>
              <w:textAlignment w:val="center"/>
              <w:rPr>
                <w:rFonts w:hint="default"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150</w:t>
            </w:r>
          </w:p>
        </w:tc>
      </w:tr>
      <w:tr w14:paraId="4ADB6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198489FA">
            <w:pPr>
              <w:jc w:val="center"/>
              <w:rPr>
                <w:rFonts w:hint="default" w:ascii="Times New Roman" w:hAnsi="Times New Roman" w:eastAsia="宋体" w:cs="Times New Roman"/>
                <w:i w:val="0"/>
                <w:iCs w:val="0"/>
                <w:color w:val="auto"/>
                <w:sz w:val="21"/>
                <w:szCs w:val="21"/>
                <w:u w:val="none"/>
              </w:rPr>
            </w:pPr>
          </w:p>
        </w:tc>
        <w:tc>
          <w:tcPr>
            <w:tcW w:w="872" w:type="pct"/>
            <w:vMerge w:val="continue"/>
            <w:tcBorders>
              <w:left w:val="single" w:color="000000" w:sz="4" w:space="0"/>
              <w:right w:val="single" w:color="000000" w:sz="4" w:space="0"/>
            </w:tcBorders>
            <w:shd w:val="clear" w:color="auto" w:fill="auto"/>
            <w:noWrap/>
            <w:vAlign w:val="center"/>
          </w:tcPr>
          <w:p w14:paraId="0F5FF556">
            <w:pPr>
              <w:jc w:val="center"/>
              <w:rPr>
                <w:rFonts w:hint="eastAsia" w:ascii="宋体" w:hAnsi="宋体" w:cs="宋体"/>
                <w:i w:val="0"/>
                <w:iCs w:val="0"/>
                <w:color w:val="auto"/>
                <w:sz w:val="21"/>
                <w:szCs w:val="21"/>
                <w:u w:val="none"/>
                <w:lang w:val="en-US" w:eastAsia="zh-CN"/>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8FD30">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cs="宋体"/>
                <w:i w:val="0"/>
                <w:iCs w:val="0"/>
                <w:color w:val="auto"/>
                <w:sz w:val="21"/>
                <w:szCs w:val="21"/>
                <w:u w:val="none"/>
                <w:lang w:val="en-US" w:eastAsia="zh-CN"/>
              </w:rPr>
              <w:t>清运</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DDD9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47B4C">
            <w:pPr>
              <w:keepNext w:val="0"/>
              <w:keepLines w:val="0"/>
              <w:widowControl/>
              <w:suppressLineNumbers w:val="0"/>
              <w:jc w:val="center"/>
              <w:textAlignment w:val="center"/>
              <w:rPr>
                <w:rFonts w:hint="default"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150</w:t>
            </w:r>
          </w:p>
        </w:tc>
      </w:tr>
      <w:tr w14:paraId="3A554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2A4D7FCE">
            <w:pPr>
              <w:jc w:val="center"/>
              <w:rPr>
                <w:rFonts w:hint="default" w:ascii="Times New Roman" w:hAnsi="Times New Roman" w:eastAsia="宋体" w:cs="Times New Roman"/>
                <w:i w:val="0"/>
                <w:iCs w:val="0"/>
                <w:color w:val="auto"/>
                <w:sz w:val="21"/>
                <w:szCs w:val="21"/>
                <w:u w:val="none"/>
              </w:rPr>
            </w:pPr>
          </w:p>
        </w:tc>
        <w:tc>
          <w:tcPr>
            <w:tcW w:w="872" w:type="pct"/>
            <w:vMerge w:val="continue"/>
            <w:tcBorders>
              <w:left w:val="single" w:color="000000" w:sz="4" w:space="0"/>
              <w:right w:val="single" w:color="000000" w:sz="4" w:space="0"/>
            </w:tcBorders>
            <w:shd w:val="clear" w:color="auto" w:fill="auto"/>
            <w:noWrap/>
            <w:vAlign w:val="center"/>
          </w:tcPr>
          <w:p w14:paraId="285F4E85">
            <w:pPr>
              <w:jc w:val="center"/>
              <w:rPr>
                <w:rFonts w:hint="eastAsia" w:ascii="宋体" w:hAnsi="宋体" w:cs="宋体"/>
                <w:i w:val="0"/>
                <w:iCs w:val="0"/>
                <w:color w:val="auto"/>
                <w:sz w:val="21"/>
                <w:szCs w:val="21"/>
                <w:u w:val="none"/>
                <w:lang w:val="en-US" w:eastAsia="zh-CN"/>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07F67">
            <w:pPr>
              <w:keepNext w:val="0"/>
              <w:keepLines w:val="0"/>
              <w:widowControl/>
              <w:suppressLineNumbers w:val="0"/>
              <w:jc w:val="center"/>
              <w:textAlignment w:val="center"/>
              <w:rPr>
                <w:rFonts w:hint="default" w:ascii="宋体" w:hAnsi="宋体" w:cs="宋体"/>
                <w:i w:val="0"/>
                <w:iCs w:val="0"/>
                <w:color w:val="auto"/>
                <w:sz w:val="21"/>
                <w:szCs w:val="21"/>
                <w:u w:val="none"/>
                <w:lang w:val="en-US" w:eastAsia="zh-CN"/>
              </w:rPr>
            </w:pPr>
            <w:r>
              <w:rPr>
                <w:rFonts w:hint="eastAsia" w:ascii="宋体" w:hAnsi="宋体" w:cs="宋体"/>
                <w:i w:val="0"/>
                <w:iCs w:val="0"/>
                <w:color w:val="auto"/>
                <w:sz w:val="21"/>
                <w:szCs w:val="21"/>
                <w:u w:val="none"/>
                <w:lang w:val="en-US" w:eastAsia="zh-CN"/>
              </w:rPr>
              <w:t>整平</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C8E9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77553">
            <w:pPr>
              <w:keepNext w:val="0"/>
              <w:keepLines w:val="0"/>
              <w:widowControl/>
              <w:suppressLineNumbers w:val="0"/>
              <w:jc w:val="center"/>
              <w:textAlignment w:val="center"/>
              <w:rPr>
                <w:rFonts w:hint="eastAsia" w:ascii="Times New Roman" w:hAnsi="Times New Roman" w:eastAsia="宋体" w:cs="Times New Roman"/>
                <w:i w:val="0"/>
                <w:iCs w:val="0"/>
                <w:color w:val="auto"/>
                <w:kern w:val="2"/>
                <w:sz w:val="21"/>
                <w:szCs w:val="21"/>
                <w:u w:val="none"/>
                <w:lang w:val="en-US" w:eastAsia="zh-CN" w:bidi="ar-SA"/>
              </w:rPr>
            </w:pPr>
            <w:r>
              <w:rPr>
                <w:rFonts w:hint="eastAsia" w:cs="Times New Roman"/>
                <w:i w:val="0"/>
                <w:iCs w:val="0"/>
                <w:color w:val="auto"/>
                <w:sz w:val="21"/>
                <w:szCs w:val="21"/>
                <w:u w:val="none"/>
                <w:lang w:val="en-US" w:eastAsia="zh-CN"/>
              </w:rPr>
              <w:t>15</w:t>
            </w:r>
          </w:p>
        </w:tc>
      </w:tr>
      <w:tr w14:paraId="646E3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135AEE63">
            <w:pPr>
              <w:jc w:val="center"/>
              <w:rPr>
                <w:rFonts w:hint="default" w:ascii="Times New Roman" w:hAnsi="Times New Roman" w:eastAsia="宋体" w:cs="Times New Roman"/>
                <w:i w:val="0"/>
                <w:iCs w:val="0"/>
                <w:color w:val="auto"/>
                <w:sz w:val="21"/>
                <w:szCs w:val="21"/>
                <w:u w:val="none"/>
              </w:rPr>
            </w:pPr>
          </w:p>
        </w:tc>
        <w:tc>
          <w:tcPr>
            <w:tcW w:w="872" w:type="pct"/>
            <w:vMerge w:val="continue"/>
            <w:tcBorders>
              <w:left w:val="single" w:color="000000" w:sz="4" w:space="0"/>
              <w:right w:val="single" w:color="000000" w:sz="4" w:space="0"/>
            </w:tcBorders>
            <w:shd w:val="clear" w:color="auto" w:fill="auto"/>
            <w:noWrap/>
            <w:vAlign w:val="center"/>
          </w:tcPr>
          <w:p w14:paraId="08BF49B9">
            <w:pPr>
              <w:jc w:val="center"/>
              <w:rPr>
                <w:rFonts w:hint="eastAsia" w:ascii="宋体" w:hAnsi="宋体" w:cs="宋体"/>
                <w:i w:val="0"/>
                <w:iCs w:val="0"/>
                <w:color w:val="auto"/>
                <w:sz w:val="21"/>
                <w:szCs w:val="21"/>
                <w:u w:val="none"/>
                <w:lang w:val="en-US" w:eastAsia="zh-CN"/>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0A025">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cs="宋体"/>
                <w:i w:val="0"/>
                <w:iCs w:val="0"/>
                <w:color w:val="auto"/>
                <w:sz w:val="21"/>
                <w:szCs w:val="21"/>
                <w:u w:val="none"/>
                <w:lang w:val="en-US" w:eastAsia="zh-CN"/>
              </w:rPr>
              <w:t>覆土</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0BEA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B1E17">
            <w:pPr>
              <w:keepNext w:val="0"/>
              <w:keepLines w:val="0"/>
              <w:widowControl/>
              <w:suppressLineNumbers w:val="0"/>
              <w:jc w:val="center"/>
              <w:textAlignment w:val="center"/>
              <w:rPr>
                <w:rFonts w:hint="default"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1628</w:t>
            </w:r>
          </w:p>
        </w:tc>
      </w:tr>
      <w:tr w14:paraId="5B3FB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6343B93A">
            <w:pPr>
              <w:jc w:val="center"/>
              <w:rPr>
                <w:rFonts w:hint="default" w:ascii="Times New Roman" w:hAnsi="Times New Roman" w:eastAsia="宋体" w:cs="Times New Roman"/>
                <w:i w:val="0"/>
                <w:iCs w:val="0"/>
                <w:color w:val="auto"/>
                <w:sz w:val="21"/>
                <w:szCs w:val="21"/>
                <w:u w:val="none"/>
              </w:rPr>
            </w:pPr>
          </w:p>
        </w:tc>
        <w:tc>
          <w:tcPr>
            <w:tcW w:w="872" w:type="pct"/>
            <w:vMerge w:val="continue"/>
            <w:tcBorders>
              <w:left w:val="single" w:color="000000" w:sz="4" w:space="0"/>
              <w:bottom w:val="single" w:color="000000" w:sz="4" w:space="0"/>
              <w:right w:val="single" w:color="000000" w:sz="4" w:space="0"/>
            </w:tcBorders>
            <w:shd w:val="clear" w:color="auto" w:fill="auto"/>
            <w:noWrap/>
            <w:vAlign w:val="center"/>
          </w:tcPr>
          <w:p w14:paraId="7644143C">
            <w:pPr>
              <w:jc w:val="center"/>
              <w:rPr>
                <w:rFonts w:hint="eastAsia" w:ascii="宋体" w:hAnsi="宋体" w:cs="宋体"/>
                <w:i w:val="0"/>
                <w:iCs w:val="0"/>
                <w:color w:val="auto"/>
                <w:sz w:val="21"/>
                <w:szCs w:val="21"/>
                <w:u w:val="none"/>
                <w:lang w:val="en-US" w:eastAsia="zh-CN"/>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D5A63">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cs="宋体"/>
                <w:i w:val="0"/>
                <w:iCs w:val="0"/>
                <w:color w:val="auto"/>
                <w:sz w:val="21"/>
                <w:szCs w:val="21"/>
                <w:u w:val="none"/>
                <w:lang w:val="en-US" w:eastAsia="zh-CN"/>
              </w:rPr>
              <w:t>种草</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3E07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2</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0A8FD">
            <w:pPr>
              <w:keepNext w:val="0"/>
              <w:keepLines w:val="0"/>
              <w:widowControl/>
              <w:suppressLineNumbers w:val="0"/>
              <w:jc w:val="center"/>
              <w:textAlignment w:val="center"/>
              <w:rPr>
                <w:rFonts w:hint="default"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5425</w:t>
            </w:r>
          </w:p>
        </w:tc>
      </w:tr>
      <w:tr w14:paraId="05CDB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11F5B124">
            <w:pPr>
              <w:jc w:val="center"/>
              <w:rPr>
                <w:rFonts w:hint="default" w:ascii="Times New Roman" w:hAnsi="Times New Roman" w:eastAsia="宋体" w:cs="Times New Roman"/>
                <w:i w:val="0"/>
                <w:iCs w:val="0"/>
                <w:color w:val="auto"/>
                <w:sz w:val="21"/>
                <w:szCs w:val="21"/>
                <w:u w:val="none"/>
              </w:rPr>
            </w:pPr>
          </w:p>
        </w:tc>
        <w:tc>
          <w:tcPr>
            <w:tcW w:w="87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A13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矿区道路</w:t>
            </w:r>
          </w:p>
        </w:tc>
        <w:tc>
          <w:tcPr>
            <w:tcW w:w="1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3B43B">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cs="宋体"/>
                <w:i w:val="0"/>
                <w:iCs w:val="0"/>
                <w:color w:val="auto"/>
                <w:sz w:val="21"/>
                <w:szCs w:val="21"/>
                <w:u w:val="none"/>
                <w:lang w:val="en-US" w:eastAsia="zh-CN"/>
              </w:rPr>
              <w:t>垫坡</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5E6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E0F0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160</w:t>
            </w:r>
          </w:p>
        </w:tc>
      </w:tr>
      <w:tr w14:paraId="42E55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439C7554">
            <w:pPr>
              <w:jc w:val="center"/>
              <w:rPr>
                <w:rFonts w:hint="default" w:ascii="Times New Roman" w:hAnsi="Times New Roman" w:eastAsia="宋体" w:cs="Times New Roman"/>
                <w:i w:val="0"/>
                <w:iCs w:val="0"/>
                <w:color w:val="auto"/>
                <w:sz w:val="21"/>
                <w:szCs w:val="21"/>
                <w:u w:val="none"/>
              </w:rPr>
            </w:pPr>
          </w:p>
        </w:tc>
        <w:tc>
          <w:tcPr>
            <w:tcW w:w="872" w:type="pct"/>
            <w:vMerge w:val="continue"/>
            <w:tcBorders>
              <w:left w:val="single" w:color="000000" w:sz="4" w:space="0"/>
              <w:right w:val="single" w:color="000000" w:sz="4" w:space="0"/>
            </w:tcBorders>
            <w:shd w:val="clear" w:color="auto" w:fill="auto"/>
            <w:noWrap/>
            <w:vAlign w:val="center"/>
          </w:tcPr>
          <w:p w14:paraId="3468927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AEC01">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cs="宋体"/>
                <w:i w:val="0"/>
                <w:iCs w:val="0"/>
                <w:color w:val="auto"/>
                <w:sz w:val="21"/>
                <w:szCs w:val="21"/>
                <w:u w:val="none"/>
                <w:lang w:val="en-US" w:eastAsia="zh-CN"/>
              </w:rPr>
              <w:t>回填</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CA87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54D4E">
            <w:pPr>
              <w:keepNext w:val="0"/>
              <w:keepLines w:val="0"/>
              <w:widowControl/>
              <w:suppressLineNumbers w:val="0"/>
              <w:jc w:val="center"/>
              <w:textAlignment w:val="center"/>
              <w:rPr>
                <w:rFonts w:hint="default"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800</w:t>
            </w:r>
          </w:p>
        </w:tc>
      </w:tr>
      <w:tr w14:paraId="7BF2E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6AEA40D8">
            <w:pPr>
              <w:jc w:val="center"/>
              <w:rPr>
                <w:rFonts w:hint="default" w:ascii="Times New Roman" w:hAnsi="Times New Roman" w:eastAsia="宋体" w:cs="Times New Roman"/>
                <w:i w:val="0"/>
                <w:iCs w:val="0"/>
                <w:color w:val="auto"/>
                <w:sz w:val="21"/>
                <w:szCs w:val="21"/>
                <w:u w:val="none"/>
              </w:rPr>
            </w:pPr>
          </w:p>
        </w:tc>
        <w:tc>
          <w:tcPr>
            <w:tcW w:w="872" w:type="pct"/>
            <w:vMerge w:val="continue"/>
            <w:tcBorders>
              <w:left w:val="single" w:color="000000" w:sz="4" w:space="0"/>
              <w:right w:val="single" w:color="000000" w:sz="4" w:space="0"/>
            </w:tcBorders>
            <w:shd w:val="clear" w:color="auto" w:fill="auto"/>
            <w:noWrap/>
            <w:vAlign w:val="center"/>
          </w:tcPr>
          <w:p w14:paraId="3CF5B06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A16D8">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cs="宋体"/>
                <w:i w:val="0"/>
                <w:iCs w:val="0"/>
                <w:color w:val="auto"/>
                <w:sz w:val="21"/>
                <w:szCs w:val="21"/>
                <w:u w:val="none"/>
                <w:lang w:val="en-US" w:eastAsia="zh-CN"/>
              </w:rPr>
              <w:t>覆土</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EFDA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45F66">
            <w:pPr>
              <w:keepNext w:val="0"/>
              <w:keepLines w:val="0"/>
              <w:widowControl/>
              <w:suppressLineNumbers w:val="0"/>
              <w:jc w:val="center"/>
              <w:textAlignment w:val="center"/>
              <w:rPr>
                <w:rFonts w:hint="default"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2583</w:t>
            </w:r>
          </w:p>
        </w:tc>
      </w:tr>
      <w:tr w14:paraId="3F747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0DC7BB6F">
            <w:pPr>
              <w:jc w:val="center"/>
              <w:rPr>
                <w:rFonts w:hint="default" w:ascii="Times New Roman" w:hAnsi="Times New Roman" w:eastAsia="宋体" w:cs="Times New Roman"/>
                <w:i w:val="0"/>
                <w:iCs w:val="0"/>
                <w:color w:val="auto"/>
                <w:sz w:val="21"/>
                <w:szCs w:val="21"/>
                <w:u w:val="none"/>
              </w:rPr>
            </w:pPr>
          </w:p>
        </w:tc>
        <w:tc>
          <w:tcPr>
            <w:tcW w:w="87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B53C6">
            <w:pPr>
              <w:jc w:val="center"/>
              <w:rPr>
                <w:rFonts w:hint="eastAsia" w:ascii="宋体" w:hAnsi="宋体" w:eastAsia="宋体" w:cs="宋体"/>
                <w:i w:val="0"/>
                <w:iCs w:val="0"/>
                <w:color w:val="auto"/>
                <w:sz w:val="21"/>
                <w:szCs w:val="21"/>
                <w:u w:val="none"/>
              </w:rPr>
            </w:pPr>
          </w:p>
        </w:tc>
        <w:tc>
          <w:tcPr>
            <w:tcW w:w="19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036B3">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cs="宋体"/>
                <w:i w:val="0"/>
                <w:iCs w:val="0"/>
                <w:color w:val="auto"/>
                <w:sz w:val="21"/>
                <w:szCs w:val="21"/>
                <w:u w:val="none"/>
                <w:lang w:val="en-US" w:eastAsia="zh-CN"/>
              </w:rPr>
              <w:t>种草</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7E6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2</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C21C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8610</w:t>
            </w:r>
          </w:p>
        </w:tc>
      </w:tr>
      <w:tr w14:paraId="5B643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vMerge w:val="continue"/>
            <w:tcBorders>
              <w:left w:val="single" w:color="000000" w:sz="4" w:space="0"/>
              <w:right w:val="single" w:color="000000" w:sz="4" w:space="0"/>
            </w:tcBorders>
            <w:shd w:val="clear" w:color="auto" w:fill="auto"/>
            <w:noWrap/>
            <w:vAlign w:val="center"/>
          </w:tcPr>
          <w:p w14:paraId="68BA3A20">
            <w:pPr>
              <w:jc w:val="center"/>
              <w:rPr>
                <w:rFonts w:hint="default" w:ascii="Times New Roman" w:hAnsi="Times New Roman" w:eastAsia="宋体" w:cs="Times New Roman"/>
                <w:i w:val="0"/>
                <w:iCs w:val="0"/>
                <w:color w:val="auto"/>
                <w:sz w:val="21"/>
                <w:szCs w:val="21"/>
                <w:u w:val="none"/>
              </w:rPr>
            </w:pPr>
          </w:p>
        </w:tc>
        <w:tc>
          <w:tcPr>
            <w:tcW w:w="8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1D2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监测工程</w:t>
            </w:r>
          </w:p>
        </w:tc>
        <w:tc>
          <w:tcPr>
            <w:tcW w:w="1916" w:type="pct"/>
            <w:tcBorders>
              <w:top w:val="single" w:color="000000" w:sz="4" w:space="0"/>
              <w:left w:val="single" w:color="000000" w:sz="4" w:space="0"/>
              <w:right w:val="single" w:color="000000" w:sz="4" w:space="0"/>
            </w:tcBorders>
            <w:shd w:val="clear" w:color="auto" w:fill="auto"/>
            <w:noWrap/>
            <w:vAlign w:val="center"/>
          </w:tcPr>
          <w:p w14:paraId="5D94C4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地形地貌景及土地资源观监测</w:t>
            </w:r>
          </w:p>
        </w:tc>
        <w:tc>
          <w:tcPr>
            <w:tcW w:w="558" w:type="pct"/>
            <w:tcBorders>
              <w:top w:val="single" w:color="000000" w:sz="4" w:space="0"/>
              <w:left w:val="single" w:color="000000" w:sz="4" w:space="0"/>
              <w:right w:val="single" w:color="000000" w:sz="4" w:space="0"/>
            </w:tcBorders>
            <w:shd w:val="clear" w:color="auto" w:fill="auto"/>
            <w:noWrap/>
            <w:vAlign w:val="center"/>
          </w:tcPr>
          <w:p w14:paraId="2114DA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次</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BCED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w:t>
            </w:r>
          </w:p>
        </w:tc>
      </w:tr>
      <w:tr w14:paraId="2C30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057" w:type="pct"/>
            <w:tcBorders>
              <w:top w:val="single" w:color="auto" w:sz="4" w:space="0"/>
              <w:left w:val="single" w:color="000000" w:sz="4" w:space="0"/>
              <w:bottom w:val="single" w:color="auto" w:sz="4" w:space="0"/>
              <w:right w:val="single" w:color="auto" w:sz="4" w:space="0"/>
            </w:tcBorders>
            <w:shd w:val="clear" w:color="auto" w:fill="auto"/>
            <w:noWrap/>
            <w:vAlign w:val="center"/>
          </w:tcPr>
          <w:p w14:paraId="03AEC9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2027.10-2030.</w:t>
            </w:r>
            <w:r>
              <w:rPr>
                <w:rFonts w:hint="eastAsia" w:cs="Times New Roman"/>
                <w:i w:val="0"/>
                <w:iCs w:val="0"/>
                <w:color w:val="auto"/>
                <w:kern w:val="0"/>
                <w:sz w:val="21"/>
                <w:szCs w:val="21"/>
                <w:u w:val="none"/>
                <w:lang w:val="en-US" w:eastAsia="zh-CN" w:bidi="ar"/>
              </w:rPr>
              <w:t>0</w:t>
            </w:r>
            <w:r>
              <w:rPr>
                <w:rFonts w:hint="default" w:ascii="Times New Roman" w:hAnsi="Times New Roman" w:eastAsia="宋体" w:cs="Times New Roman"/>
                <w:i w:val="0"/>
                <w:iCs w:val="0"/>
                <w:color w:val="auto"/>
                <w:kern w:val="0"/>
                <w:sz w:val="21"/>
                <w:szCs w:val="21"/>
                <w:u w:val="none"/>
                <w:lang w:val="en-US" w:eastAsia="zh-CN" w:bidi="ar"/>
              </w:rPr>
              <w:t>9</w:t>
            </w:r>
          </w:p>
        </w:tc>
        <w:tc>
          <w:tcPr>
            <w:tcW w:w="2789" w:type="pct"/>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0B9EF358">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管护工程</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DAF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年</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5813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kern w:val="0"/>
                <w:sz w:val="21"/>
                <w:szCs w:val="21"/>
                <w:u w:val="none"/>
                <w:lang w:val="en-US" w:eastAsia="zh-CN" w:bidi="ar"/>
              </w:rPr>
              <w:t>3</w:t>
            </w:r>
          </w:p>
        </w:tc>
      </w:tr>
    </w:tbl>
    <w:p w14:paraId="6071BA02">
      <w:pPr>
        <w:rPr>
          <w:b/>
          <w:bCs/>
          <w:color w:val="auto"/>
        </w:rPr>
      </w:pPr>
      <w:r>
        <w:rPr>
          <w:rFonts w:hint="eastAsia"/>
          <w:b/>
          <w:bCs/>
          <w:color w:val="auto"/>
        </w:rPr>
        <w:t>备注：赤峰鑫鑫矿业有限公司管护1年，剩余2年管护期由土地权属人窑沟门村进行管护。</w:t>
      </w:r>
    </w:p>
    <w:p w14:paraId="1C1D838D">
      <w:pPr>
        <w:pStyle w:val="71"/>
        <w:spacing w:line="360" w:lineRule="auto"/>
        <w:ind w:firstLine="562" w:firstLineChars="200"/>
        <w:jc w:val="both"/>
        <w:outlineLvl w:val="2"/>
        <w:rPr>
          <w:rFonts w:ascii="Times New Roman" w:hAnsi="Times New Roman" w:cs="Times New Roman"/>
          <w:color w:val="auto"/>
          <w:sz w:val="28"/>
          <w:szCs w:val="28"/>
        </w:rPr>
      </w:pPr>
      <w:r>
        <w:rPr>
          <w:rFonts w:ascii="Times New Roman" w:hAnsi="Times New Roman" w:cs="Times New Roman"/>
          <w:b/>
          <w:bCs/>
          <w:color w:val="auto"/>
          <w:sz w:val="28"/>
          <w:szCs w:val="28"/>
        </w:rPr>
        <w:t>二、年</w:t>
      </w:r>
      <w:r>
        <w:rPr>
          <w:rFonts w:hint="eastAsia" w:ascii="Times New Roman" w:hAnsi="Times New Roman" w:cs="Times New Roman"/>
          <w:b/>
          <w:bCs/>
          <w:color w:val="auto"/>
          <w:sz w:val="28"/>
          <w:szCs w:val="28"/>
          <w:lang w:val="en-US" w:eastAsia="zh-CN"/>
        </w:rPr>
        <w:t>度</w:t>
      </w:r>
      <w:r>
        <w:rPr>
          <w:rFonts w:ascii="Times New Roman" w:hAnsi="Times New Roman" w:cs="Times New Roman"/>
          <w:b/>
          <w:bCs/>
          <w:color w:val="auto"/>
          <w:sz w:val="28"/>
          <w:szCs w:val="28"/>
        </w:rPr>
        <w:t>工作任务与经费进度安排</w:t>
      </w:r>
    </w:p>
    <w:p w14:paraId="0D37D370">
      <w:pPr>
        <w:pStyle w:val="71"/>
        <w:spacing w:line="360" w:lineRule="auto"/>
        <w:ind w:firstLine="560" w:firstLineChars="200"/>
        <w:jc w:val="both"/>
        <w:rPr>
          <w:rFonts w:ascii="Times New Roman" w:hAnsi="Times New Roman" w:cs="Times New Roman"/>
          <w:color w:val="auto"/>
          <w:sz w:val="28"/>
          <w:szCs w:val="28"/>
        </w:rPr>
      </w:pPr>
      <w:r>
        <w:rPr>
          <w:rFonts w:ascii="Times New Roman" w:hAnsi="Times New Roman" w:cs="Times New Roman"/>
          <w:color w:val="auto"/>
          <w:sz w:val="28"/>
          <w:szCs w:val="28"/>
        </w:rPr>
        <w:t>近</w:t>
      </w:r>
      <w:r>
        <w:rPr>
          <w:rFonts w:hint="eastAsia" w:ascii="Times New Roman" w:hAnsi="Times New Roman" w:cs="Times New Roman"/>
          <w:color w:val="auto"/>
          <w:sz w:val="28"/>
          <w:szCs w:val="28"/>
          <w:lang w:val="en-US" w:eastAsia="zh-CN"/>
        </w:rPr>
        <w:t>一</w:t>
      </w:r>
      <w:r>
        <w:rPr>
          <w:rFonts w:ascii="Times New Roman" w:hAnsi="Times New Roman" w:cs="Times New Roman"/>
          <w:color w:val="auto"/>
          <w:sz w:val="28"/>
          <w:szCs w:val="28"/>
        </w:rPr>
        <w:t>年矿区生态修复工作</w:t>
      </w:r>
      <w:r>
        <w:rPr>
          <w:rFonts w:hint="eastAsia" w:ascii="Times New Roman" w:hAnsi="Times New Roman" w:cs="Times New Roman"/>
          <w:color w:val="auto"/>
          <w:sz w:val="28"/>
          <w:szCs w:val="28"/>
        </w:rPr>
        <w:t>计划与经费</w:t>
      </w:r>
      <w:r>
        <w:rPr>
          <w:rFonts w:ascii="Times New Roman" w:hAnsi="Times New Roman" w:cs="Times New Roman"/>
          <w:color w:val="auto"/>
          <w:sz w:val="28"/>
          <w:szCs w:val="28"/>
        </w:rPr>
        <w:t>安排情况见表6-2</w:t>
      </w:r>
      <w:r>
        <w:rPr>
          <w:rFonts w:hint="eastAsia" w:ascii="Times New Roman" w:hAnsi="Times New Roman" w:cs="Times New Roman"/>
          <w:color w:val="auto"/>
          <w:sz w:val="28"/>
          <w:szCs w:val="28"/>
          <w:lang w:val="en-US" w:eastAsia="zh-CN"/>
        </w:rPr>
        <w:t>3</w:t>
      </w:r>
      <w:r>
        <w:rPr>
          <w:rFonts w:ascii="Times New Roman" w:hAnsi="Times New Roman" w:cs="Times New Roman"/>
          <w:color w:val="auto"/>
          <w:sz w:val="28"/>
          <w:szCs w:val="28"/>
        </w:rPr>
        <w:t>。</w:t>
      </w:r>
    </w:p>
    <w:p w14:paraId="77A4191E">
      <w:pPr>
        <w:pStyle w:val="71"/>
        <w:spacing w:line="240" w:lineRule="auto"/>
        <w:jc w:val="center"/>
        <w:rPr>
          <w:rFonts w:hint="eastAsia" w:ascii="黑体" w:hAnsi="黑体" w:eastAsia="黑体" w:cs="宋体"/>
          <w:color w:val="auto"/>
          <w:sz w:val="24"/>
          <w:szCs w:val="24"/>
        </w:rPr>
      </w:pPr>
      <w:r>
        <w:rPr>
          <w:rFonts w:hint="eastAsia" w:ascii="黑体" w:hAnsi="黑体" w:eastAsia="黑体" w:cs="宋体"/>
          <w:color w:val="auto"/>
          <w:sz w:val="24"/>
          <w:szCs w:val="24"/>
        </w:rPr>
        <w:t>表6-2</w:t>
      </w:r>
      <w:r>
        <w:rPr>
          <w:rFonts w:hint="eastAsia" w:ascii="黑体" w:hAnsi="黑体" w:eastAsia="黑体" w:cs="宋体"/>
          <w:color w:val="auto"/>
          <w:sz w:val="24"/>
          <w:szCs w:val="24"/>
          <w:lang w:val="en-US" w:eastAsia="zh-CN"/>
        </w:rPr>
        <w:t>3</w:t>
      </w:r>
      <w:r>
        <w:rPr>
          <w:rFonts w:hint="eastAsia" w:ascii="黑体" w:hAnsi="黑体" w:eastAsia="黑体" w:cs="宋体"/>
          <w:color w:val="auto"/>
          <w:sz w:val="24"/>
          <w:szCs w:val="24"/>
        </w:rPr>
        <w:t xml:space="preserve">  年度矿区生态修复工作计划表</w:t>
      </w:r>
    </w:p>
    <w:tbl>
      <w:tblPr>
        <w:tblStyle w:val="34"/>
        <w:tblW w:w="545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8"/>
        <w:gridCol w:w="1164"/>
        <w:gridCol w:w="1160"/>
        <w:gridCol w:w="580"/>
        <w:gridCol w:w="800"/>
        <w:gridCol w:w="790"/>
        <w:gridCol w:w="1170"/>
        <w:gridCol w:w="1190"/>
        <w:gridCol w:w="1130"/>
      </w:tblGrid>
      <w:tr w14:paraId="2CDB9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21CDF">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修复阶段</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D6651">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修复区块</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B4A58">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主要工</w:t>
            </w:r>
          </w:p>
          <w:p w14:paraId="2BC58D76">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程措施</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E7541">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单位</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0150A">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工程量</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03381">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目标</w:t>
            </w:r>
          </w:p>
          <w:p w14:paraId="30F18150">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地类</w:t>
            </w: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EC96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单价</w:t>
            </w:r>
          </w:p>
          <w:p w14:paraId="14EFC2B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（元）</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9BAB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小计</w:t>
            </w:r>
          </w:p>
          <w:p w14:paraId="50B26EB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（万元）</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DA63F">
            <w:pPr>
              <w:keepNext w:val="0"/>
              <w:keepLines w:val="0"/>
              <w:widowControl/>
              <w:suppressLineNumbers w:val="0"/>
              <w:jc w:val="center"/>
              <w:textAlignment w:val="center"/>
              <w:rPr>
                <w:rFonts w:hint="eastAsia"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合计</w:t>
            </w:r>
          </w:p>
          <w:p w14:paraId="639AAD43">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（万元）</w:t>
            </w:r>
          </w:p>
        </w:tc>
      </w:tr>
      <w:tr w14:paraId="2328F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9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2CFF5">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2026.</w:t>
            </w:r>
            <w:r>
              <w:rPr>
                <w:rFonts w:hint="eastAsia" w:cs="Times New Roman"/>
                <w:i w:val="0"/>
                <w:iCs w:val="0"/>
                <w:color w:val="auto"/>
                <w:kern w:val="0"/>
                <w:sz w:val="21"/>
                <w:szCs w:val="21"/>
                <w:u w:val="none"/>
                <w:lang w:val="en-US" w:eastAsia="zh-CN" w:bidi="ar"/>
              </w:rPr>
              <w:t>10</w:t>
            </w:r>
          </w:p>
          <w:p w14:paraId="0DD644F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p w14:paraId="2373C40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2027.</w:t>
            </w:r>
            <w:r>
              <w:rPr>
                <w:rFonts w:hint="eastAsia" w:cs="Times New Roman"/>
                <w:i w:val="0"/>
                <w:iCs w:val="0"/>
                <w:color w:val="auto"/>
                <w:kern w:val="0"/>
                <w:sz w:val="21"/>
                <w:szCs w:val="21"/>
                <w:u w:val="none"/>
                <w:lang w:val="en-US" w:eastAsia="zh-CN" w:bidi="ar"/>
              </w:rPr>
              <w:t>09</w:t>
            </w:r>
          </w:p>
        </w:tc>
        <w:tc>
          <w:tcPr>
            <w:tcW w:w="6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2101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露天采场</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CBA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削坡整形</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C764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346D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538</w:t>
            </w:r>
          </w:p>
        </w:tc>
        <w:tc>
          <w:tcPr>
            <w:tcW w:w="43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28B6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草地</w:t>
            </w: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432D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25.38</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48F2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1.37 </w:t>
            </w:r>
          </w:p>
        </w:tc>
        <w:tc>
          <w:tcPr>
            <w:tcW w:w="62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4AA8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167.98</w:t>
            </w:r>
          </w:p>
        </w:tc>
      </w:tr>
      <w:tr w14:paraId="228D3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85A08">
            <w:pPr>
              <w:jc w:val="center"/>
              <w:rPr>
                <w:rFonts w:hint="default" w:ascii="Times New Roman" w:hAnsi="Times New Roman" w:eastAsia="宋体" w:cs="Times New Roman"/>
                <w:i w:val="0"/>
                <w:iCs w:val="0"/>
                <w:color w:val="auto"/>
                <w:sz w:val="21"/>
                <w:szCs w:val="21"/>
                <w:u w:val="none"/>
              </w:rPr>
            </w:pPr>
          </w:p>
        </w:tc>
        <w:tc>
          <w:tcPr>
            <w:tcW w:w="6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9AD17">
            <w:pPr>
              <w:jc w:val="center"/>
              <w:rPr>
                <w:rFonts w:hint="eastAsia" w:ascii="宋体" w:hAnsi="宋体" w:eastAsia="宋体" w:cs="宋体"/>
                <w:i w:val="0"/>
                <w:iCs w:val="0"/>
                <w:color w:val="auto"/>
                <w:sz w:val="21"/>
                <w:szCs w:val="21"/>
                <w:u w:val="none"/>
              </w:rPr>
            </w:pP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1D0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垫坡</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6081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CEAD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26701</w:t>
            </w: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4A566">
            <w:pPr>
              <w:jc w:val="center"/>
              <w:rPr>
                <w:rFonts w:hint="eastAsia" w:ascii="宋体" w:hAnsi="宋体" w:eastAsia="宋体" w:cs="宋体"/>
                <w:i w:val="0"/>
                <w:iCs w:val="0"/>
                <w:color w:val="auto"/>
                <w:sz w:val="22"/>
                <w:szCs w:val="22"/>
                <w:u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ABC2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C5F8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C2909">
            <w:pPr>
              <w:jc w:val="center"/>
              <w:rPr>
                <w:rFonts w:hint="eastAsia" w:ascii="宋体" w:hAnsi="宋体" w:eastAsia="宋体" w:cs="宋体"/>
                <w:i w:val="0"/>
                <w:iCs w:val="0"/>
                <w:color w:val="auto"/>
                <w:sz w:val="22"/>
                <w:szCs w:val="22"/>
                <w:u w:val="none"/>
              </w:rPr>
            </w:pPr>
          </w:p>
        </w:tc>
      </w:tr>
      <w:tr w14:paraId="50FE3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32A41">
            <w:pPr>
              <w:jc w:val="center"/>
              <w:rPr>
                <w:rFonts w:hint="default" w:ascii="Times New Roman" w:hAnsi="Times New Roman" w:eastAsia="宋体" w:cs="Times New Roman"/>
                <w:i w:val="0"/>
                <w:iCs w:val="0"/>
                <w:color w:val="auto"/>
                <w:sz w:val="21"/>
                <w:szCs w:val="21"/>
                <w:u w:val="none"/>
              </w:rPr>
            </w:pPr>
          </w:p>
        </w:tc>
        <w:tc>
          <w:tcPr>
            <w:tcW w:w="6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9B10C">
            <w:pPr>
              <w:jc w:val="center"/>
              <w:rPr>
                <w:rFonts w:hint="eastAsia" w:ascii="宋体" w:hAnsi="宋体" w:eastAsia="宋体" w:cs="宋体"/>
                <w:i w:val="0"/>
                <w:iCs w:val="0"/>
                <w:color w:val="auto"/>
                <w:sz w:val="21"/>
                <w:szCs w:val="21"/>
                <w:u w:val="none"/>
              </w:rPr>
            </w:pP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6C1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回填</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29DD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4D64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15084</w:t>
            </w: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1A80F">
            <w:pPr>
              <w:jc w:val="center"/>
              <w:rPr>
                <w:rFonts w:hint="eastAsia" w:ascii="宋体" w:hAnsi="宋体" w:eastAsia="宋体" w:cs="宋体"/>
                <w:i w:val="0"/>
                <w:iCs w:val="0"/>
                <w:color w:val="auto"/>
                <w:sz w:val="22"/>
                <w:szCs w:val="22"/>
                <w:u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7B63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8C1B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78FDE">
            <w:pPr>
              <w:jc w:val="center"/>
              <w:rPr>
                <w:rFonts w:hint="eastAsia" w:ascii="宋体" w:hAnsi="宋体" w:eastAsia="宋体" w:cs="宋体"/>
                <w:i w:val="0"/>
                <w:iCs w:val="0"/>
                <w:color w:val="auto"/>
                <w:sz w:val="22"/>
                <w:szCs w:val="22"/>
                <w:u w:val="none"/>
              </w:rPr>
            </w:pPr>
          </w:p>
        </w:tc>
      </w:tr>
      <w:tr w14:paraId="443A6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DF007">
            <w:pPr>
              <w:jc w:val="center"/>
              <w:rPr>
                <w:rFonts w:hint="default" w:ascii="Times New Roman" w:hAnsi="Times New Roman" w:eastAsia="宋体" w:cs="Times New Roman"/>
                <w:i w:val="0"/>
                <w:iCs w:val="0"/>
                <w:color w:val="auto"/>
                <w:sz w:val="21"/>
                <w:szCs w:val="21"/>
                <w:u w:val="none"/>
              </w:rPr>
            </w:pPr>
          </w:p>
        </w:tc>
        <w:tc>
          <w:tcPr>
            <w:tcW w:w="6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CB13D">
            <w:pPr>
              <w:jc w:val="center"/>
              <w:rPr>
                <w:rFonts w:hint="eastAsia" w:ascii="宋体" w:hAnsi="宋体" w:eastAsia="宋体" w:cs="宋体"/>
                <w:i w:val="0"/>
                <w:iCs w:val="0"/>
                <w:color w:val="auto"/>
                <w:sz w:val="21"/>
                <w:szCs w:val="21"/>
                <w:u w:val="none"/>
              </w:rPr>
            </w:pP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C1B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岩体清除</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2E73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8047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19200</w:t>
            </w: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A05E6">
            <w:pPr>
              <w:jc w:val="center"/>
              <w:rPr>
                <w:rFonts w:hint="eastAsia" w:ascii="宋体" w:hAnsi="宋体" w:eastAsia="宋体" w:cs="宋体"/>
                <w:i w:val="0"/>
                <w:iCs w:val="0"/>
                <w:color w:val="auto"/>
                <w:sz w:val="22"/>
                <w:szCs w:val="22"/>
                <w:u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6254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27.05</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4185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51.94 </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2BEA2">
            <w:pPr>
              <w:jc w:val="center"/>
              <w:rPr>
                <w:rFonts w:hint="eastAsia" w:ascii="宋体" w:hAnsi="宋体" w:eastAsia="宋体" w:cs="宋体"/>
                <w:i w:val="0"/>
                <w:iCs w:val="0"/>
                <w:color w:val="auto"/>
                <w:sz w:val="22"/>
                <w:szCs w:val="22"/>
                <w:u w:val="none"/>
              </w:rPr>
            </w:pPr>
          </w:p>
        </w:tc>
      </w:tr>
      <w:tr w14:paraId="74A7F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8762F">
            <w:pPr>
              <w:jc w:val="center"/>
              <w:rPr>
                <w:rFonts w:hint="default" w:ascii="Times New Roman" w:hAnsi="Times New Roman" w:eastAsia="宋体" w:cs="Times New Roman"/>
                <w:i w:val="0"/>
                <w:iCs w:val="0"/>
                <w:color w:val="auto"/>
                <w:sz w:val="21"/>
                <w:szCs w:val="21"/>
                <w:u w:val="none"/>
              </w:rPr>
            </w:pPr>
          </w:p>
        </w:tc>
        <w:tc>
          <w:tcPr>
            <w:tcW w:w="6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7BE5C">
            <w:pPr>
              <w:jc w:val="center"/>
              <w:rPr>
                <w:rFonts w:hint="eastAsia" w:ascii="宋体" w:hAnsi="宋体" w:eastAsia="宋体" w:cs="宋体"/>
                <w:i w:val="0"/>
                <w:iCs w:val="0"/>
                <w:color w:val="auto"/>
                <w:sz w:val="21"/>
                <w:szCs w:val="21"/>
                <w:u w:val="none"/>
              </w:rPr>
            </w:pP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A46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覆土</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D0AE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079A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10762</w:t>
            </w: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73E81">
            <w:pPr>
              <w:jc w:val="center"/>
              <w:rPr>
                <w:rFonts w:hint="eastAsia" w:ascii="宋体" w:hAnsi="宋体" w:eastAsia="宋体" w:cs="宋体"/>
                <w:i w:val="0"/>
                <w:iCs w:val="0"/>
                <w:color w:val="auto"/>
                <w:sz w:val="22"/>
                <w:szCs w:val="22"/>
                <w:u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FF5D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18.03</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7F3D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19.40 </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4C48C">
            <w:pPr>
              <w:jc w:val="center"/>
              <w:rPr>
                <w:rFonts w:hint="eastAsia" w:ascii="宋体" w:hAnsi="宋体" w:eastAsia="宋体" w:cs="宋体"/>
                <w:i w:val="0"/>
                <w:iCs w:val="0"/>
                <w:color w:val="auto"/>
                <w:sz w:val="22"/>
                <w:szCs w:val="22"/>
                <w:u w:val="none"/>
              </w:rPr>
            </w:pPr>
          </w:p>
        </w:tc>
      </w:tr>
      <w:tr w14:paraId="14749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599EB">
            <w:pPr>
              <w:jc w:val="center"/>
              <w:rPr>
                <w:rFonts w:hint="default" w:ascii="Times New Roman" w:hAnsi="Times New Roman" w:eastAsia="宋体" w:cs="Times New Roman"/>
                <w:i w:val="0"/>
                <w:iCs w:val="0"/>
                <w:color w:val="auto"/>
                <w:sz w:val="21"/>
                <w:szCs w:val="21"/>
                <w:u w:val="none"/>
              </w:rPr>
            </w:pPr>
          </w:p>
        </w:tc>
        <w:tc>
          <w:tcPr>
            <w:tcW w:w="6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F0ED5">
            <w:pPr>
              <w:jc w:val="center"/>
              <w:rPr>
                <w:rFonts w:hint="eastAsia" w:ascii="宋体" w:hAnsi="宋体" w:eastAsia="宋体" w:cs="宋体"/>
                <w:i w:val="0"/>
                <w:iCs w:val="0"/>
                <w:color w:val="auto"/>
                <w:sz w:val="21"/>
                <w:szCs w:val="21"/>
                <w:u w:val="none"/>
              </w:rPr>
            </w:pP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D47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种草</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C97E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2</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04E6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35873</w:t>
            </w: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577C7">
            <w:pPr>
              <w:jc w:val="center"/>
              <w:rPr>
                <w:rFonts w:hint="eastAsia" w:ascii="宋体" w:hAnsi="宋体" w:eastAsia="宋体" w:cs="宋体"/>
                <w:i w:val="0"/>
                <w:iCs w:val="0"/>
                <w:color w:val="auto"/>
                <w:sz w:val="22"/>
                <w:szCs w:val="22"/>
                <w:u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8955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0.34398</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06FF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1.23 </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A338D">
            <w:pPr>
              <w:jc w:val="center"/>
              <w:rPr>
                <w:rFonts w:hint="eastAsia" w:ascii="宋体" w:hAnsi="宋体" w:eastAsia="宋体" w:cs="宋体"/>
                <w:i w:val="0"/>
                <w:iCs w:val="0"/>
                <w:color w:val="auto"/>
                <w:sz w:val="22"/>
                <w:szCs w:val="22"/>
                <w:u w:val="none"/>
              </w:rPr>
            </w:pPr>
          </w:p>
        </w:tc>
      </w:tr>
      <w:tr w14:paraId="03E3B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1D61F">
            <w:pPr>
              <w:jc w:val="center"/>
              <w:rPr>
                <w:rFonts w:hint="default" w:ascii="Times New Roman" w:hAnsi="Times New Roman" w:eastAsia="宋体" w:cs="Times New Roman"/>
                <w:i w:val="0"/>
                <w:iCs w:val="0"/>
                <w:color w:val="auto"/>
                <w:sz w:val="21"/>
                <w:szCs w:val="21"/>
                <w:u w:val="none"/>
              </w:rPr>
            </w:pPr>
          </w:p>
        </w:tc>
        <w:tc>
          <w:tcPr>
            <w:tcW w:w="6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16B2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1#废石场</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3B8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削坡整形</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B982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3D71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158</w:t>
            </w:r>
          </w:p>
        </w:tc>
        <w:tc>
          <w:tcPr>
            <w:tcW w:w="43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9AA3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草地</w:t>
            </w: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0027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25.38</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3FF6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0.40 </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0FF62">
            <w:pPr>
              <w:jc w:val="center"/>
              <w:rPr>
                <w:rFonts w:hint="eastAsia" w:ascii="宋体" w:hAnsi="宋体" w:eastAsia="宋体" w:cs="宋体"/>
                <w:i w:val="0"/>
                <w:iCs w:val="0"/>
                <w:color w:val="auto"/>
                <w:sz w:val="22"/>
                <w:szCs w:val="22"/>
                <w:u w:val="none"/>
              </w:rPr>
            </w:pPr>
          </w:p>
        </w:tc>
      </w:tr>
      <w:tr w14:paraId="3EFDC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1DDE2">
            <w:pPr>
              <w:jc w:val="center"/>
              <w:rPr>
                <w:rFonts w:hint="default" w:ascii="Times New Roman" w:hAnsi="Times New Roman" w:eastAsia="宋体" w:cs="Times New Roman"/>
                <w:i w:val="0"/>
                <w:iCs w:val="0"/>
                <w:color w:val="auto"/>
                <w:sz w:val="21"/>
                <w:szCs w:val="21"/>
                <w:u w:val="none"/>
              </w:rPr>
            </w:pPr>
          </w:p>
        </w:tc>
        <w:tc>
          <w:tcPr>
            <w:tcW w:w="6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84511">
            <w:pPr>
              <w:jc w:val="center"/>
              <w:rPr>
                <w:rFonts w:hint="eastAsia" w:ascii="宋体" w:hAnsi="宋体" w:eastAsia="宋体" w:cs="宋体"/>
                <w:i w:val="0"/>
                <w:iCs w:val="0"/>
                <w:color w:val="auto"/>
                <w:sz w:val="21"/>
                <w:szCs w:val="21"/>
                <w:u w:val="none"/>
              </w:rPr>
            </w:pP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C6E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覆土</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DFD1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D2BC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1443</w:t>
            </w: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69609">
            <w:pPr>
              <w:jc w:val="center"/>
              <w:rPr>
                <w:rFonts w:hint="eastAsia" w:ascii="宋体" w:hAnsi="宋体" w:eastAsia="宋体" w:cs="宋体"/>
                <w:i w:val="0"/>
                <w:iCs w:val="0"/>
                <w:color w:val="auto"/>
                <w:sz w:val="22"/>
                <w:szCs w:val="22"/>
                <w:u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B31F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18.03</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E765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2.60 </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7166D">
            <w:pPr>
              <w:jc w:val="center"/>
              <w:rPr>
                <w:rFonts w:hint="eastAsia" w:ascii="宋体" w:hAnsi="宋体" w:eastAsia="宋体" w:cs="宋体"/>
                <w:i w:val="0"/>
                <w:iCs w:val="0"/>
                <w:color w:val="auto"/>
                <w:sz w:val="22"/>
                <w:szCs w:val="22"/>
                <w:u w:val="none"/>
              </w:rPr>
            </w:pPr>
          </w:p>
        </w:tc>
      </w:tr>
      <w:tr w14:paraId="34B98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8B5B6">
            <w:pPr>
              <w:jc w:val="center"/>
              <w:rPr>
                <w:rFonts w:hint="default" w:ascii="Times New Roman" w:hAnsi="Times New Roman" w:eastAsia="宋体" w:cs="Times New Roman"/>
                <w:i w:val="0"/>
                <w:iCs w:val="0"/>
                <w:color w:val="auto"/>
                <w:sz w:val="21"/>
                <w:szCs w:val="21"/>
                <w:u w:val="none"/>
              </w:rPr>
            </w:pPr>
          </w:p>
        </w:tc>
        <w:tc>
          <w:tcPr>
            <w:tcW w:w="6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2F265">
            <w:pPr>
              <w:jc w:val="center"/>
              <w:rPr>
                <w:rFonts w:hint="eastAsia" w:ascii="宋体" w:hAnsi="宋体" w:eastAsia="宋体" w:cs="宋体"/>
                <w:i w:val="0"/>
                <w:iCs w:val="0"/>
                <w:color w:val="auto"/>
                <w:sz w:val="21"/>
                <w:szCs w:val="21"/>
                <w:u w:val="none"/>
              </w:rPr>
            </w:pP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41F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种草</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97E5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2</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830C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4811</w:t>
            </w: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E6BBE">
            <w:pPr>
              <w:jc w:val="center"/>
              <w:rPr>
                <w:rFonts w:hint="eastAsia" w:ascii="宋体" w:hAnsi="宋体" w:eastAsia="宋体" w:cs="宋体"/>
                <w:i w:val="0"/>
                <w:iCs w:val="0"/>
                <w:color w:val="auto"/>
                <w:sz w:val="22"/>
                <w:szCs w:val="22"/>
                <w:u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BB3D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0.34398</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519C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0.17 </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7C076">
            <w:pPr>
              <w:jc w:val="center"/>
              <w:rPr>
                <w:rFonts w:hint="eastAsia" w:ascii="宋体" w:hAnsi="宋体" w:eastAsia="宋体" w:cs="宋体"/>
                <w:i w:val="0"/>
                <w:iCs w:val="0"/>
                <w:color w:val="auto"/>
                <w:sz w:val="22"/>
                <w:szCs w:val="22"/>
                <w:u w:val="none"/>
              </w:rPr>
            </w:pPr>
          </w:p>
        </w:tc>
      </w:tr>
      <w:tr w14:paraId="515C4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A5ADB">
            <w:pPr>
              <w:jc w:val="center"/>
              <w:rPr>
                <w:rFonts w:hint="default" w:ascii="Times New Roman" w:hAnsi="Times New Roman" w:eastAsia="宋体" w:cs="Times New Roman"/>
                <w:i w:val="0"/>
                <w:iCs w:val="0"/>
                <w:color w:val="auto"/>
                <w:sz w:val="21"/>
                <w:szCs w:val="21"/>
                <w:u w:val="none"/>
              </w:rPr>
            </w:pPr>
          </w:p>
        </w:tc>
        <w:tc>
          <w:tcPr>
            <w:tcW w:w="64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AFF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2#废石场</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C79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清运</w:t>
            </w: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56BE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415F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24253</w:t>
            </w:r>
          </w:p>
        </w:tc>
        <w:tc>
          <w:tcPr>
            <w:tcW w:w="43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1666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草地</w:t>
            </w: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F8F6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27.05</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CDEC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65.60 </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274F4">
            <w:pPr>
              <w:jc w:val="center"/>
              <w:rPr>
                <w:rFonts w:hint="eastAsia" w:ascii="宋体" w:hAnsi="宋体" w:eastAsia="宋体" w:cs="宋体"/>
                <w:i w:val="0"/>
                <w:iCs w:val="0"/>
                <w:color w:val="auto"/>
                <w:sz w:val="22"/>
                <w:szCs w:val="22"/>
                <w:u w:val="none"/>
              </w:rPr>
            </w:pPr>
          </w:p>
        </w:tc>
      </w:tr>
      <w:tr w14:paraId="60FC7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DA442">
            <w:pPr>
              <w:jc w:val="center"/>
              <w:rPr>
                <w:rFonts w:hint="default" w:ascii="Times New Roman" w:hAnsi="Times New Roman" w:eastAsia="宋体" w:cs="Times New Roman"/>
                <w:i w:val="0"/>
                <w:iCs w:val="0"/>
                <w:color w:val="auto"/>
                <w:sz w:val="21"/>
                <w:szCs w:val="21"/>
                <w:u w:val="none"/>
              </w:rPr>
            </w:pPr>
          </w:p>
        </w:tc>
        <w:tc>
          <w:tcPr>
            <w:tcW w:w="64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39BC1">
            <w:pPr>
              <w:jc w:val="center"/>
              <w:rPr>
                <w:rFonts w:hint="eastAsia" w:ascii="宋体" w:hAnsi="宋体" w:eastAsia="宋体" w:cs="宋体"/>
                <w:i w:val="0"/>
                <w:iCs w:val="0"/>
                <w:color w:val="auto"/>
                <w:sz w:val="21"/>
                <w:szCs w:val="21"/>
                <w:u w:val="none"/>
              </w:rPr>
            </w:pP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0DC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垫坡</w:t>
            </w: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23B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109E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846</w:t>
            </w: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ECDB7">
            <w:pPr>
              <w:jc w:val="center"/>
              <w:rPr>
                <w:rFonts w:hint="eastAsia" w:ascii="宋体" w:hAnsi="宋体" w:eastAsia="宋体" w:cs="宋体"/>
                <w:i w:val="0"/>
                <w:iCs w:val="0"/>
                <w:color w:val="auto"/>
                <w:sz w:val="22"/>
                <w:szCs w:val="22"/>
                <w:u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6D3C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B6E4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0CA48">
            <w:pPr>
              <w:jc w:val="center"/>
              <w:rPr>
                <w:rFonts w:hint="eastAsia" w:ascii="宋体" w:hAnsi="宋体" w:eastAsia="宋体" w:cs="宋体"/>
                <w:i w:val="0"/>
                <w:iCs w:val="0"/>
                <w:color w:val="auto"/>
                <w:sz w:val="22"/>
                <w:szCs w:val="22"/>
                <w:u w:val="none"/>
              </w:rPr>
            </w:pPr>
          </w:p>
        </w:tc>
      </w:tr>
      <w:tr w14:paraId="1057E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1DABA">
            <w:pPr>
              <w:jc w:val="center"/>
              <w:rPr>
                <w:rFonts w:hint="default" w:ascii="Times New Roman" w:hAnsi="Times New Roman" w:eastAsia="宋体" w:cs="Times New Roman"/>
                <w:i w:val="0"/>
                <w:iCs w:val="0"/>
                <w:color w:val="auto"/>
                <w:sz w:val="21"/>
                <w:szCs w:val="21"/>
                <w:u w:val="none"/>
              </w:rPr>
            </w:pPr>
          </w:p>
        </w:tc>
        <w:tc>
          <w:tcPr>
            <w:tcW w:w="64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8F9A6">
            <w:pPr>
              <w:jc w:val="center"/>
              <w:rPr>
                <w:rFonts w:hint="eastAsia" w:ascii="宋体" w:hAnsi="宋体" w:eastAsia="宋体" w:cs="宋体"/>
                <w:i w:val="0"/>
                <w:iCs w:val="0"/>
                <w:color w:val="auto"/>
                <w:sz w:val="21"/>
                <w:szCs w:val="21"/>
                <w:u w:val="none"/>
              </w:rPr>
            </w:pP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280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覆土</w:t>
            </w: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9A06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C609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4210</w:t>
            </w: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B1CA5">
            <w:pPr>
              <w:jc w:val="center"/>
              <w:rPr>
                <w:rFonts w:hint="eastAsia" w:ascii="宋体" w:hAnsi="宋体" w:eastAsia="宋体" w:cs="宋体"/>
                <w:i w:val="0"/>
                <w:iCs w:val="0"/>
                <w:color w:val="auto"/>
                <w:sz w:val="22"/>
                <w:szCs w:val="22"/>
                <w:u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353D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18.03</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4C12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7.59 </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92702">
            <w:pPr>
              <w:jc w:val="center"/>
              <w:rPr>
                <w:rFonts w:hint="eastAsia" w:ascii="宋体" w:hAnsi="宋体" w:eastAsia="宋体" w:cs="宋体"/>
                <w:i w:val="0"/>
                <w:iCs w:val="0"/>
                <w:color w:val="auto"/>
                <w:sz w:val="22"/>
                <w:szCs w:val="22"/>
                <w:u w:val="none"/>
              </w:rPr>
            </w:pPr>
          </w:p>
        </w:tc>
      </w:tr>
      <w:tr w14:paraId="2B921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783E1">
            <w:pPr>
              <w:jc w:val="center"/>
              <w:rPr>
                <w:rFonts w:hint="default" w:ascii="Times New Roman" w:hAnsi="Times New Roman" w:eastAsia="宋体" w:cs="Times New Roman"/>
                <w:i w:val="0"/>
                <w:iCs w:val="0"/>
                <w:color w:val="auto"/>
                <w:sz w:val="21"/>
                <w:szCs w:val="21"/>
                <w:u w:val="none"/>
              </w:rPr>
            </w:pPr>
          </w:p>
        </w:tc>
        <w:tc>
          <w:tcPr>
            <w:tcW w:w="64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D4368">
            <w:pPr>
              <w:jc w:val="center"/>
              <w:rPr>
                <w:rFonts w:hint="eastAsia" w:ascii="宋体" w:hAnsi="宋体" w:eastAsia="宋体" w:cs="宋体"/>
                <w:i w:val="0"/>
                <w:iCs w:val="0"/>
                <w:color w:val="auto"/>
                <w:sz w:val="21"/>
                <w:szCs w:val="21"/>
                <w:u w:val="none"/>
              </w:rPr>
            </w:pP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2B9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种草</w:t>
            </w: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F63A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2</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2E2C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14034</w:t>
            </w: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73637">
            <w:pPr>
              <w:jc w:val="center"/>
              <w:rPr>
                <w:rFonts w:hint="eastAsia" w:ascii="宋体" w:hAnsi="宋体" w:eastAsia="宋体" w:cs="宋体"/>
                <w:i w:val="0"/>
                <w:iCs w:val="0"/>
                <w:color w:val="auto"/>
                <w:sz w:val="22"/>
                <w:szCs w:val="22"/>
                <w:u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F2B5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0.34398</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2C80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0.48 </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9C513">
            <w:pPr>
              <w:jc w:val="center"/>
              <w:rPr>
                <w:rFonts w:hint="eastAsia" w:ascii="宋体" w:hAnsi="宋体" w:eastAsia="宋体" w:cs="宋体"/>
                <w:i w:val="0"/>
                <w:iCs w:val="0"/>
                <w:color w:val="auto"/>
                <w:sz w:val="22"/>
                <w:szCs w:val="22"/>
                <w:u w:val="none"/>
              </w:rPr>
            </w:pPr>
          </w:p>
        </w:tc>
      </w:tr>
      <w:tr w14:paraId="279A6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0B6C1">
            <w:pPr>
              <w:jc w:val="center"/>
              <w:rPr>
                <w:rFonts w:hint="default" w:ascii="Times New Roman" w:hAnsi="Times New Roman" w:eastAsia="宋体" w:cs="Times New Roman"/>
                <w:i w:val="0"/>
                <w:iCs w:val="0"/>
                <w:color w:val="auto"/>
                <w:sz w:val="21"/>
                <w:szCs w:val="21"/>
                <w:u w:val="none"/>
              </w:rPr>
            </w:pPr>
          </w:p>
        </w:tc>
        <w:tc>
          <w:tcPr>
            <w:tcW w:w="64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62E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1#废渣堆</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930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削坡整形</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790E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BB4B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294</w:t>
            </w:r>
          </w:p>
        </w:tc>
        <w:tc>
          <w:tcPr>
            <w:tcW w:w="43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3432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草地</w:t>
            </w: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6C7A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25.38</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913F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0.75 </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CCD1F">
            <w:pPr>
              <w:jc w:val="center"/>
              <w:rPr>
                <w:rFonts w:hint="eastAsia" w:ascii="宋体" w:hAnsi="宋体" w:eastAsia="宋体" w:cs="宋体"/>
                <w:i w:val="0"/>
                <w:iCs w:val="0"/>
                <w:color w:val="auto"/>
                <w:sz w:val="22"/>
                <w:szCs w:val="22"/>
                <w:u w:val="none"/>
              </w:rPr>
            </w:pPr>
          </w:p>
        </w:tc>
      </w:tr>
      <w:tr w14:paraId="35C53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FF6E2">
            <w:pPr>
              <w:jc w:val="center"/>
              <w:rPr>
                <w:rFonts w:hint="default" w:ascii="Times New Roman" w:hAnsi="Times New Roman" w:eastAsia="宋体" w:cs="Times New Roman"/>
                <w:i w:val="0"/>
                <w:iCs w:val="0"/>
                <w:color w:val="auto"/>
                <w:sz w:val="21"/>
                <w:szCs w:val="21"/>
                <w:u w:val="none"/>
              </w:rPr>
            </w:pPr>
          </w:p>
        </w:tc>
        <w:tc>
          <w:tcPr>
            <w:tcW w:w="64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44962">
            <w:pPr>
              <w:jc w:val="center"/>
              <w:rPr>
                <w:rFonts w:hint="eastAsia" w:ascii="宋体" w:hAnsi="宋体" w:eastAsia="宋体" w:cs="宋体"/>
                <w:i w:val="0"/>
                <w:iCs w:val="0"/>
                <w:color w:val="auto"/>
                <w:sz w:val="21"/>
                <w:szCs w:val="21"/>
                <w:u w:val="none"/>
              </w:rPr>
            </w:pP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497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覆土</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0846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F74D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1198</w:t>
            </w: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502E3">
            <w:pPr>
              <w:jc w:val="center"/>
              <w:rPr>
                <w:rFonts w:hint="eastAsia" w:ascii="宋体" w:hAnsi="宋体" w:eastAsia="宋体" w:cs="宋体"/>
                <w:i w:val="0"/>
                <w:iCs w:val="0"/>
                <w:color w:val="auto"/>
                <w:sz w:val="22"/>
                <w:szCs w:val="22"/>
                <w:u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5BA2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18.03</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C4A0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2.16 </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F59D6">
            <w:pPr>
              <w:jc w:val="center"/>
              <w:rPr>
                <w:rFonts w:hint="eastAsia" w:ascii="宋体" w:hAnsi="宋体" w:eastAsia="宋体" w:cs="宋体"/>
                <w:i w:val="0"/>
                <w:iCs w:val="0"/>
                <w:color w:val="auto"/>
                <w:sz w:val="22"/>
                <w:szCs w:val="22"/>
                <w:u w:val="none"/>
              </w:rPr>
            </w:pPr>
          </w:p>
        </w:tc>
      </w:tr>
      <w:tr w14:paraId="44DBB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19918">
            <w:pPr>
              <w:jc w:val="center"/>
              <w:rPr>
                <w:rFonts w:hint="default" w:ascii="Times New Roman" w:hAnsi="Times New Roman" w:eastAsia="宋体" w:cs="Times New Roman"/>
                <w:i w:val="0"/>
                <w:iCs w:val="0"/>
                <w:color w:val="auto"/>
                <w:sz w:val="21"/>
                <w:szCs w:val="21"/>
                <w:u w:val="none"/>
              </w:rPr>
            </w:pPr>
          </w:p>
        </w:tc>
        <w:tc>
          <w:tcPr>
            <w:tcW w:w="64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39CBF">
            <w:pPr>
              <w:jc w:val="center"/>
              <w:rPr>
                <w:rFonts w:hint="eastAsia" w:ascii="宋体" w:hAnsi="宋体" w:eastAsia="宋体" w:cs="宋体"/>
                <w:i w:val="0"/>
                <w:iCs w:val="0"/>
                <w:color w:val="auto"/>
                <w:sz w:val="21"/>
                <w:szCs w:val="21"/>
                <w:u w:val="none"/>
              </w:rPr>
            </w:pP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2FD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种草</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7BF5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2</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A7A1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3993</w:t>
            </w: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1A263">
            <w:pPr>
              <w:jc w:val="center"/>
              <w:rPr>
                <w:rFonts w:hint="eastAsia" w:ascii="宋体" w:hAnsi="宋体" w:eastAsia="宋体" w:cs="宋体"/>
                <w:i w:val="0"/>
                <w:iCs w:val="0"/>
                <w:color w:val="auto"/>
                <w:sz w:val="22"/>
                <w:szCs w:val="22"/>
                <w:u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A1E1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0.34398</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CE2F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0.14 </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A1B2D">
            <w:pPr>
              <w:jc w:val="center"/>
              <w:rPr>
                <w:rFonts w:hint="eastAsia" w:ascii="宋体" w:hAnsi="宋体" w:eastAsia="宋体" w:cs="宋体"/>
                <w:i w:val="0"/>
                <w:iCs w:val="0"/>
                <w:color w:val="auto"/>
                <w:sz w:val="22"/>
                <w:szCs w:val="22"/>
                <w:u w:val="none"/>
              </w:rPr>
            </w:pPr>
          </w:p>
        </w:tc>
      </w:tr>
      <w:tr w14:paraId="7A7A9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BC609">
            <w:pPr>
              <w:jc w:val="center"/>
              <w:rPr>
                <w:rFonts w:hint="default" w:ascii="Times New Roman" w:hAnsi="Times New Roman" w:eastAsia="宋体" w:cs="Times New Roman"/>
                <w:i w:val="0"/>
                <w:iCs w:val="0"/>
                <w:color w:val="auto"/>
                <w:sz w:val="21"/>
                <w:szCs w:val="21"/>
                <w:u w:val="none"/>
              </w:rPr>
            </w:pPr>
          </w:p>
        </w:tc>
        <w:tc>
          <w:tcPr>
            <w:tcW w:w="64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FC3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2#废渣堆</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74E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削坡整形</w:t>
            </w: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49FF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B606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250</w:t>
            </w:r>
          </w:p>
        </w:tc>
        <w:tc>
          <w:tcPr>
            <w:tcW w:w="43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0D53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草地</w:t>
            </w: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6C8C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25.38</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A703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0.63 </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DB835">
            <w:pPr>
              <w:jc w:val="center"/>
              <w:rPr>
                <w:rFonts w:hint="eastAsia" w:ascii="宋体" w:hAnsi="宋体" w:eastAsia="宋体" w:cs="宋体"/>
                <w:i w:val="0"/>
                <w:iCs w:val="0"/>
                <w:color w:val="auto"/>
                <w:sz w:val="22"/>
                <w:szCs w:val="22"/>
                <w:u w:val="none"/>
              </w:rPr>
            </w:pPr>
          </w:p>
        </w:tc>
      </w:tr>
      <w:tr w14:paraId="765C0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9C325">
            <w:pPr>
              <w:jc w:val="center"/>
              <w:rPr>
                <w:rFonts w:hint="default" w:ascii="Times New Roman" w:hAnsi="Times New Roman" w:eastAsia="宋体" w:cs="Times New Roman"/>
                <w:i w:val="0"/>
                <w:iCs w:val="0"/>
                <w:color w:val="auto"/>
                <w:sz w:val="21"/>
                <w:szCs w:val="21"/>
                <w:u w:val="none"/>
              </w:rPr>
            </w:pPr>
          </w:p>
        </w:tc>
        <w:tc>
          <w:tcPr>
            <w:tcW w:w="64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0B824">
            <w:pPr>
              <w:jc w:val="center"/>
              <w:rPr>
                <w:rFonts w:hint="eastAsia" w:ascii="宋体" w:hAnsi="宋体" w:eastAsia="宋体" w:cs="宋体"/>
                <w:i w:val="0"/>
                <w:iCs w:val="0"/>
                <w:color w:val="auto"/>
                <w:sz w:val="21"/>
                <w:szCs w:val="21"/>
                <w:u w:val="none"/>
              </w:rPr>
            </w:pP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0A0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覆土</w:t>
            </w: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223E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E541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1161</w:t>
            </w: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620A1">
            <w:pPr>
              <w:jc w:val="center"/>
              <w:rPr>
                <w:rFonts w:hint="eastAsia" w:ascii="宋体" w:hAnsi="宋体" w:eastAsia="宋体" w:cs="宋体"/>
                <w:i w:val="0"/>
                <w:iCs w:val="0"/>
                <w:color w:val="auto"/>
                <w:sz w:val="22"/>
                <w:szCs w:val="22"/>
                <w:u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D561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18.03</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5E63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2.09 </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2D3B7">
            <w:pPr>
              <w:jc w:val="center"/>
              <w:rPr>
                <w:rFonts w:hint="eastAsia" w:ascii="宋体" w:hAnsi="宋体" w:eastAsia="宋体" w:cs="宋体"/>
                <w:i w:val="0"/>
                <w:iCs w:val="0"/>
                <w:color w:val="auto"/>
                <w:sz w:val="22"/>
                <w:szCs w:val="22"/>
                <w:u w:val="none"/>
              </w:rPr>
            </w:pPr>
          </w:p>
        </w:tc>
      </w:tr>
      <w:tr w14:paraId="324A0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9CC15">
            <w:pPr>
              <w:jc w:val="center"/>
              <w:rPr>
                <w:rFonts w:hint="default" w:ascii="Times New Roman" w:hAnsi="Times New Roman" w:eastAsia="宋体" w:cs="Times New Roman"/>
                <w:i w:val="0"/>
                <w:iCs w:val="0"/>
                <w:color w:val="auto"/>
                <w:sz w:val="21"/>
                <w:szCs w:val="21"/>
                <w:u w:val="none"/>
              </w:rPr>
            </w:pPr>
          </w:p>
        </w:tc>
        <w:tc>
          <w:tcPr>
            <w:tcW w:w="64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0513A">
            <w:pPr>
              <w:jc w:val="center"/>
              <w:rPr>
                <w:rFonts w:hint="eastAsia" w:ascii="宋体" w:hAnsi="宋体" w:eastAsia="宋体" w:cs="宋体"/>
                <w:i w:val="0"/>
                <w:iCs w:val="0"/>
                <w:color w:val="auto"/>
                <w:sz w:val="21"/>
                <w:szCs w:val="21"/>
                <w:u w:val="none"/>
              </w:rPr>
            </w:pP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EC8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种草</w:t>
            </w: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AD7C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2</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6E08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3869</w:t>
            </w: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CF667">
            <w:pPr>
              <w:jc w:val="center"/>
              <w:rPr>
                <w:rFonts w:hint="eastAsia" w:ascii="宋体" w:hAnsi="宋体" w:eastAsia="宋体" w:cs="宋体"/>
                <w:i w:val="0"/>
                <w:iCs w:val="0"/>
                <w:color w:val="auto"/>
                <w:sz w:val="22"/>
                <w:szCs w:val="22"/>
                <w:u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FCB6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0.34398</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2D28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0.13 </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0BEC3">
            <w:pPr>
              <w:jc w:val="center"/>
              <w:rPr>
                <w:rFonts w:hint="eastAsia" w:ascii="宋体" w:hAnsi="宋体" w:eastAsia="宋体" w:cs="宋体"/>
                <w:i w:val="0"/>
                <w:iCs w:val="0"/>
                <w:color w:val="auto"/>
                <w:sz w:val="22"/>
                <w:szCs w:val="22"/>
                <w:u w:val="none"/>
              </w:rPr>
            </w:pPr>
          </w:p>
        </w:tc>
      </w:tr>
      <w:tr w14:paraId="47C3C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2839C">
            <w:pPr>
              <w:jc w:val="center"/>
              <w:rPr>
                <w:rFonts w:hint="default" w:ascii="Times New Roman" w:hAnsi="Times New Roman" w:eastAsia="宋体" w:cs="Times New Roman"/>
                <w:i w:val="0"/>
                <w:iCs w:val="0"/>
                <w:color w:val="auto"/>
                <w:sz w:val="21"/>
                <w:szCs w:val="21"/>
                <w:u w:val="none"/>
              </w:rPr>
            </w:pPr>
          </w:p>
        </w:tc>
        <w:tc>
          <w:tcPr>
            <w:tcW w:w="64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AD7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3#废渣堆</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D64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削坡整形</w:t>
            </w: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3CAF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4A3A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133</w:t>
            </w:r>
          </w:p>
        </w:tc>
        <w:tc>
          <w:tcPr>
            <w:tcW w:w="43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0B00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林地</w:t>
            </w: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3B0D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25.38</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4C06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0.34 </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B6E95">
            <w:pPr>
              <w:jc w:val="center"/>
              <w:rPr>
                <w:rFonts w:hint="eastAsia" w:ascii="宋体" w:hAnsi="宋体" w:eastAsia="宋体" w:cs="宋体"/>
                <w:i w:val="0"/>
                <w:iCs w:val="0"/>
                <w:color w:val="auto"/>
                <w:sz w:val="22"/>
                <w:szCs w:val="22"/>
                <w:u w:val="none"/>
              </w:rPr>
            </w:pPr>
          </w:p>
        </w:tc>
      </w:tr>
      <w:tr w14:paraId="48968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2274E">
            <w:pPr>
              <w:jc w:val="center"/>
              <w:rPr>
                <w:rFonts w:hint="default" w:ascii="Times New Roman" w:hAnsi="Times New Roman" w:eastAsia="宋体" w:cs="Times New Roman"/>
                <w:i w:val="0"/>
                <w:iCs w:val="0"/>
                <w:color w:val="auto"/>
                <w:sz w:val="21"/>
                <w:szCs w:val="21"/>
                <w:u w:val="none"/>
              </w:rPr>
            </w:pPr>
          </w:p>
        </w:tc>
        <w:tc>
          <w:tcPr>
            <w:tcW w:w="64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9AD92">
            <w:pPr>
              <w:jc w:val="center"/>
              <w:rPr>
                <w:rFonts w:hint="eastAsia" w:ascii="宋体" w:hAnsi="宋体" w:eastAsia="宋体" w:cs="宋体"/>
                <w:i w:val="0"/>
                <w:iCs w:val="0"/>
                <w:color w:val="auto"/>
                <w:sz w:val="21"/>
                <w:szCs w:val="21"/>
                <w:u w:val="none"/>
              </w:rPr>
            </w:pP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E8C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覆土</w:t>
            </w: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CDEC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3D4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290</w:t>
            </w: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39009">
            <w:pPr>
              <w:jc w:val="center"/>
              <w:rPr>
                <w:rFonts w:hint="eastAsia" w:ascii="宋体" w:hAnsi="宋体" w:eastAsia="宋体" w:cs="宋体"/>
                <w:i w:val="0"/>
                <w:iCs w:val="0"/>
                <w:color w:val="auto"/>
                <w:sz w:val="22"/>
                <w:szCs w:val="22"/>
                <w:u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4D1B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18.03</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6198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0.52 </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AC8EC">
            <w:pPr>
              <w:jc w:val="center"/>
              <w:rPr>
                <w:rFonts w:hint="eastAsia" w:ascii="宋体" w:hAnsi="宋体" w:eastAsia="宋体" w:cs="宋体"/>
                <w:i w:val="0"/>
                <w:iCs w:val="0"/>
                <w:color w:val="auto"/>
                <w:sz w:val="22"/>
                <w:szCs w:val="22"/>
                <w:u w:val="none"/>
              </w:rPr>
            </w:pPr>
          </w:p>
        </w:tc>
      </w:tr>
      <w:tr w14:paraId="09BE0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8002A">
            <w:pPr>
              <w:jc w:val="center"/>
              <w:rPr>
                <w:rFonts w:hint="default" w:ascii="Times New Roman" w:hAnsi="Times New Roman" w:eastAsia="宋体" w:cs="Times New Roman"/>
                <w:i w:val="0"/>
                <w:iCs w:val="0"/>
                <w:color w:val="auto"/>
                <w:sz w:val="21"/>
                <w:szCs w:val="21"/>
                <w:u w:val="none"/>
              </w:rPr>
            </w:pPr>
          </w:p>
        </w:tc>
        <w:tc>
          <w:tcPr>
            <w:tcW w:w="64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0AE84">
            <w:pPr>
              <w:jc w:val="center"/>
              <w:rPr>
                <w:rFonts w:hint="eastAsia" w:ascii="宋体" w:hAnsi="宋体" w:eastAsia="宋体" w:cs="宋体"/>
                <w:i w:val="0"/>
                <w:iCs w:val="0"/>
                <w:color w:val="auto"/>
                <w:sz w:val="21"/>
                <w:szCs w:val="21"/>
                <w:u w:val="none"/>
              </w:rPr>
            </w:pP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F65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种树</w:t>
            </w: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359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株</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3E5F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107</w:t>
            </w: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F0379">
            <w:pPr>
              <w:jc w:val="center"/>
              <w:rPr>
                <w:rFonts w:hint="eastAsia" w:ascii="宋体" w:hAnsi="宋体" w:eastAsia="宋体" w:cs="宋体"/>
                <w:i w:val="0"/>
                <w:iCs w:val="0"/>
                <w:color w:val="auto"/>
                <w:sz w:val="22"/>
                <w:szCs w:val="22"/>
                <w:u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F435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64.58</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3EB2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0.69 </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BC36E">
            <w:pPr>
              <w:jc w:val="center"/>
              <w:rPr>
                <w:rFonts w:hint="eastAsia" w:ascii="宋体" w:hAnsi="宋体" w:eastAsia="宋体" w:cs="宋体"/>
                <w:i w:val="0"/>
                <w:iCs w:val="0"/>
                <w:color w:val="auto"/>
                <w:sz w:val="22"/>
                <w:szCs w:val="22"/>
                <w:u w:val="none"/>
              </w:rPr>
            </w:pPr>
          </w:p>
        </w:tc>
      </w:tr>
      <w:tr w14:paraId="13EA6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EEEFC">
            <w:pPr>
              <w:jc w:val="center"/>
              <w:rPr>
                <w:rFonts w:hint="default" w:ascii="Times New Roman" w:hAnsi="Times New Roman" w:eastAsia="宋体" w:cs="Times New Roman"/>
                <w:i w:val="0"/>
                <w:iCs w:val="0"/>
                <w:color w:val="auto"/>
                <w:sz w:val="21"/>
                <w:szCs w:val="21"/>
                <w:u w:val="none"/>
              </w:rPr>
            </w:pPr>
          </w:p>
        </w:tc>
        <w:tc>
          <w:tcPr>
            <w:tcW w:w="64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D1A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工业场地</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F64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拆除</w:t>
            </w: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948B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B641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150</w:t>
            </w:r>
          </w:p>
        </w:tc>
        <w:tc>
          <w:tcPr>
            <w:tcW w:w="43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6626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草地</w:t>
            </w: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8C94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83.6</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F139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1.25 </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44C3C">
            <w:pPr>
              <w:jc w:val="center"/>
              <w:rPr>
                <w:rFonts w:hint="eastAsia" w:ascii="宋体" w:hAnsi="宋体" w:eastAsia="宋体" w:cs="宋体"/>
                <w:i w:val="0"/>
                <w:iCs w:val="0"/>
                <w:color w:val="auto"/>
                <w:sz w:val="22"/>
                <w:szCs w:val="22"/>
                <w:u w:val="none"/>
              </w:rPr>
            </w:pPr>
          </w:p>
        </w:tc>
      </w:tr>
      <w:tr w14:paraId="03055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9CC7D">
            <w:pPr>
              <w:jc w:val="center"/>
              <w:rPr>
                <w:rFonts w:hint="default" w:ascii="Times New Roman" w:hAnsi="Times New Roman" w:eastAsia="宋体" w:cs="Times New Roman"/>
                <w:i w:val="0"/>
                <w:iCs w:val="0"/>
                <w:color w:val="auto"/>
                <w:sz w:val="21"/>
                <w:szCs w:val="21"/>
                <w:u w:val="none"/>
              </w:rPr>
            </w:pPr>
          </w:p>
        </w:tc>
        <w:tc>
          <w:tcPr>
            <w:tcW w:w="64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F434A">
            <w:pPr>
              <w:jc w:val="center"/>
              <w:rPr>
                <w:rFonts w:hint="eastAsia" w:ascii="宋体" w:hAnsi="宋体" w:eastAsia="宋体" w:cs="宋体"/>
                <w:i w:val="0"/>
                <w:iCs w:val="0"/>
                <w:color w:val="auto"/>
                <w:sz w:val="21"/>
                <w:szCs w:val="21"/>
                <w:u w:val="none"/>
              </w:rPr>
            </w:pP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C2F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清运</w:t>
            </w: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B6EF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4EBE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150</w:t>
            </w: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1166C">
            <w:pPr>
              <w:jc w:val="center"/>
              <w:rPr>
                <w:rFonts w:hint="eastAsia" w:ascii="宋体" w:hAnsi="宋体" w:eastAsia="宋体" w:cs="宋体"/>
                <w:i w:val="0"/>
                <w:iCs w:val="0"/>
                <w:color w:val="auto"/>
                <w:sz w:val="22"/>
                <w:szCs w:val="22"/>
                <w:u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6589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27.05</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C4D7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0.41 </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E0D4B">
            <w:pPr>
              <w:jc w:val="center"/>
              <w:rPr>
                <w:rFonts w:hint="eastAsia" w:ascii="宋体" w:hAnsi="宋体" w:eastAsia="宋体" w:cs="宋体"/>
                <w:i w:val="0"/>
                <w:iCs w:val="0"/>
                <w:color w:val="auto"/>
                <w:sz w:val="22"/>
                <w:szCs w:val="22"/>
                <w:u w:val="none"/>
              </w:rPr>
            </w:pPr>
          </w:p>
        </w:tc>
      </w:tr>
      <w:tr w14:paraId="2A75B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0DF02">
            <w:pPr>
              <w:jc w:val="center"/>
              <w:rPr>
                <w:rFonts w:hint="default" w:ascii="Times New Roman" w:hAnsi="Times New Roman" w:eastAsia="宋体" w:cs="Times New Roman"/>
                <w:i w:val="0"/>
                <w:iCs w:val="0"/>
                <w:color w:val="auto"/>
                <w:sz w:val="21"/>
                <w:szCs w:val="21"/>
                <w:u w:val="none"/>
              </w:rPr>
            </w:pPr>
          </w:p>
        </w:tc>
        <w:tc>
          <w:tcPr>
            <w:tcW w:w="64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314BC">
            <w:pPr>
              <w:jc w:val="center"/>
              <w:rPr>
                <w:rFonts w:hint="eastAsia" w:ascii="宋体" w:hAnsi="宋体" w:eastAsia="宋体" w:cs="宋体"/>
                <w:i w:val="0"/>
                <w:iCs w:val="0"/>
                <w:color w:val="auto"/>
                <w:sz w:val="21"/>
                <w:szCs w:val="21"/>
                <w:u w:val="none"/>
              </w:rPr>
            </w:pP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EBB36">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整平</w:t>
            </w: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56FBE">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B4EB3">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15</w:t>
            </w: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949D0">
            <w:pPr>
              <w:jc w:val="center"/>
              <w:rPr>
                <w:rFonts w:hint="eastAsia" w:ascii="宋体" w:hAnsi="宋体" w:eastAsia="宋体" w:cs="宋体"/>
                <w:i w:val="0"/>
                <w:iCs w:val="0"/>
                <w:color w:val="auto"/>
                <w:sz w:val="22"/>
                <w:szCs w:val="22"/>
                <w:u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A13E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27.05</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4CB68">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0.04</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66372">
            <w:pPr>
              <w:jc w:val="center"/>
              <w:rPr>
                <w:rFonts w:hint="eastAsia" w:ascii="宋体" w:hAnsi="宋体" w:eastAsia="宋体" w:cs="宋体"/>
                <w:i w:val="0"/>
                <w:iCs w:val="0"/>
                <w:color w:val="auto"/>
                <w:sz w:val="22"/>
                <w:szCs w:val="22"/>
                <w:u w:val="none"/>
              </w:rPr>
            </w:pPr>
          </w:p>
        </w:tc>
      </w:tr>
      <w:tr w14:paraId="510FE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C8E7E">
            <w:pPr>
              <w:jc w:val="center"/>
              <w:rPr>
                <w:rFonts w:hint="default" w:ascii="Times New Roman" w:hAnsi="Times New Roman" w:eastAsia="宋体" w:cs="Times New Roman"/>
                <w:i w:val="0"/>
                <w:iCs w:val="0"/>
                <w:color w:val="auto"/>
                <w:sz w:val="21"/>
                <w:szCs w:val="21"/>
                <w:u w:val="none"/>
              </w:rPr>
            </w:pPr>
          </w:p>
        </w:tc>
        <w:tc>
          <w:tcPr>
            <w:tcW w:w="64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071E6">
            <w:pPr>
              <w:jc w:val="center"/>
              <w:rPr>
                <w:rFonts w:hint="eastAsia" w:ascii="宋体" w:hAnsi="宋体" w:eastAsia="宋体" w:cs="宋体"/>
                <w:i w:val="0"/>
                <w:iCs w:val="0"/>
                <w:color w:val="auto"/>
                <w:sz w:val="21"/>
                <w:szCs w:val="21"/>
                <w:u w:val="none"/>
              </w:rPr>
            </w:pP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6F8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覆土</w:t>
            </w: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1873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B53D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1628</w:t>
            </w: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1F2D3">
            <w:pPr>
              <w:jc w:val="center"/>
              <w:rPr>
                <w:rFonts w:hint="eastAsia" w:ascii="宋体" w:hAnsi="宋体" w:eastAsia="宋体" w:cs="宋体"/>
                <w:i w:val="0"/>
                <w:iCs w:val="0"/>
                <w:color w:val="auto"/>
                <w:sz w:val="22"/>
                <w:szCs w:val="22"/>
                <w:u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8F01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18.03</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B0D8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2.94 </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B713B">
            <w:pPr>
              <w:jc w:val="center"/>
              <w:rPr>
                <w:rFonts w:hint="eastAsia" w:ascii="宋体" w:hAnsi="宋体" w:eastAsia="宋体" w:cs="宋体"/>
                <w:i w:val="0"/>
                <w:iCs w:val="0"/>
                <w:color w:val="auto"/>
                <w:sz w:val="22"/>
                <w:szCs w:val="22"/>
                <w:u w:val="none"/>
              </w:rPr>
            </w:pPr>
          </w:p>
        </w:tc>
      </w:tr>
      <w:tr w14:paraId="56A6B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5D3CD">
            <w:pPr>
              <w:jc w:val="center"/>
              <w:rPr>
                <w:rFonts w:hint="default" w:ascii="Times New Roman" w:hAnsi="Times New Roman" w:eastAsia="宋体" w:cs="Times New Roman"/>
                <w:i w:val="0"/>
                <w:iCs w:val="0"/>
                <w:color w:val="auto"/>
                <w:sz w:val="21"/>
                <w:szCs w:val="21"/>
                <w:u w:val="none"/>
              </w:rPr>
            </w:pPr>
          </w:p>
        </w:tc>
        <w:tc>
          <w:tcPr>
            <w:tcW w:w="64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646ED">
            <w:pPr>
              <w:jc w:val="center"/>
              <w:rPr>
                <w:rFonts w:hint="eastAsia" w:ascii="宋体" w:hAnsi="宋体" w:eastAsia="宋体" w:cs="宋体"/>
                <w:i w:val="0"/>
                <w:iCs w:val="0"/>
                <w:color w:val="auto"/>
                <w:sz w:val="21"/>
                <w:szCs w:val="21"/>
                <w:u w:val="none"/>
              </w:rPr>
            </w:pP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EDD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种草</w:t>
            </w: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E73D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2</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459A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5425</w:t>
            </w: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C6908">
            <w:pPr>
              <w:jc w:val="center"/>
              <w:rPr>
                <w:rFonts w:hint="eastAsia" w:ascii="宋体" w:hAnsi="宋体" w:eastAsia="宋体" w:cs="宋体"/>
                <w:i w:val="0"/>
                <w:iCs w:val="0"/>
                <w:color w:val="auto"/>
                <w:sz w:val="22"/>
                <w:szCs w:val="22"/>
                <w:u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61C5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0.34398</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B512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0.19 </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18D8F">
            <w:pPr>
              <w:jc w:val="center"/>
              <w:rPr>
                <w:rFonts w:hint="eastAsia" w:ascii="宋体" w:hAnsi="宋体" w:eastAsia="宋体" w:cs="宋体"/>
                <w:i w:val="0"/>
                <w:iCs w:val="0"/>
                <w:color w:val="auto"/>
                <w:sz w:val="22"/>
                <w:szCs w:val="22"/>
                <w:u w:val="none"/>
              </w:rPr>
            </w:pPr>
          </w:p>
        </w:tc>
      </w:tr>
      <w:tr w14:paraId="0B56B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BA8D9">
            <w:pPr>
              <w:jc w:val="center"/>
              <w:rPr>
                <w:rFonts w:hint="default" w:ascii="Times New Roman" w:hAnsi="Times New Roman" w:eastAsia="宋体" w:cs="Times New Roman"/>
                <w:i w:val="0"/>
                <w:iCs w:val="0"/>
                <w:color w:val="auto"/>
                <w:sz w:val="21"/>
                <w:szCs w:val="21"/>
                <w:u w:val="none"/>
              </w:rPr>
            </w:pPr>
          </w:p>
        </w:tc>
        <w:tc>
          <w:tcPr>
            <w:tcW w:w="64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24F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矿区道路</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5B7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垫坡</w:t>
            </w: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367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2924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160</w:t>
            </w: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FC6BA">
            <w:pPr>
              <w:jc w:val="center"/>
              <w:rPr>
                <w:rFonts w:hint="eastAsia" w:ascii="宋体" w:hAnsi="宋体" w:eastAsia="宋体" w:cs="宋体"/>
                <w:i w:val="0"/>
                <w:iCs w:val="0"/>
                <w:color w:val="auto"/>
                <w:sz w:val="22"/>
                <w:szCs w:val="22"/>
                <w:u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1DBD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3F11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CA7A6">
            <w:pPr>
              <w:jc w:val="center"/>
              <w:rPr>
                <w:rFonts w:hint="eastAsia" w:ascii="宋体" w:hAnsi="宋体" w:eastAsia="宋体" w:cs="宋体"/>
                <w:i w:val="0"/>
                <w:iCs w:val="0"/>
                <w:color w:val="auto"/>
                <w:sz w:val="22"/>
                <w:szCs w:val="22"/>
                <w:u w:val="none"/>
              </w:rPr>
            </w:pPr>
          </w:p>
        </w:tc>
      </w:tr>
      <w:tr w14:paraId="2E9B2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62B10">
            <w:pPr>
              <w:jc w:val="center"/>
              <w:rPr>
                <w:rFonts w:hint="default" w:ascii="Times New Roman" w:hAnsi="Times New Roman" w:eastAsia="宋体" w:cs="Times New Roman"/>
                <w:i w:val="0"/>
                <w:iCs w:val="0"/>
                <w:color w:val="auto"/>
                <w:sz w:val="21"/>
                <w:szCs w:val="21"/>
                <w:u w:val="none"/>
              </w:rPr>
            </w:pPr>
          </w:p>
        </w:tc>
        <w:tc>
          <w:tcPr>
            <w:tcW w:w="64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E63D0">
            <w:pPr>
              <w:jc w:val="center"/>
              <w:rPr>
                <w:rFonts w:hint="eastAsia" w:ascii="宋体" w:hAnsi="宋体" w:eastAsia="宋体" w:cs="宋体"/>
                <w:i w:val="0"/>
                <w:iCs w:val="0"/>
                <w:color w:val="auto"/>
                <w:sz w:val="21"/>
                <w:szCs w:val="21"/>
                <w:u w:val="none"/>
              </w:rPr>
            </w:pP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072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回填</w:t>
            </w: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245F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7582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800</w:t>
            </w:r>
          </w:p>
        </w:tc>
        <w:tc>
          <w:tcPr>
            <w:tcW w:w="43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3E01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草地</w:t>
            </w: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0080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E983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02DE3">
            <w:pPr>
              <w:jc w:val="center"/>
              <w:rPr>
                <w:rFonts w:hint="eastAsia" w:ascii="宋体" w:hAnsi="宋体" w:eastAsia="宋体" w:cs="宋体"/>
                <w:i w:val="0"/>
                <w:iCs w:val="0"/>
                <w:color w:val="auto"/>
                <w:sz w:val="22"/>
                <w:szCs w:val="22"/>
                <w:u w:val="none"/>
              </w:rPr>
            </w:pPr>
          </w:p>
        </w:tc>
      </w:tr>
      <w:tr w14:paraId="6DA6C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DE7E5">
            <w:pPr>
              <w:jc w:val="center"/>
              <w:rPr>
                <w:rFonts w:hint="default" w:ascii="Times New Roman" w:hAnsi="Times New Roman" w:eastAsia="宋体" w:cs="Times New Roman"/>
                <w:i w:val="0"/>
                <w:iCs w:val="0"/>
                <w:color w:val="auto"/>
                <w:sz w:val="21"/>
                <w:szCs w:val="21"/>
                <w:u w:val="none"/>
              </w:rPr>
            </w:pPr>
          </w:p>
        </w:tc>
        <w:tc>
          <w:tcPr>
            <w:tcW w:w="64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73B5C">
            <w:pPr>
              <w:jc w:val="center"/>
              <w:rPr>
                <w:rFonts w:hint="eastAsia" w:ascii="宋体" w:hAnsi="宋体" w:eastAsia="宋体" w:cs="宋体"/>
                <w:i w:val="0"/>
                <w:iCs w:val="0"/>
                <w:color w:val="auto"/>
                <w:sz w:val="21"/>
                <w:szCs w:val="21"/>
                <w:u w:val="none"/>
              </w:rPr>
            </w:pP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225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覆土</w:t>
            </w: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089A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60D1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2583</w:t>
            </w: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FD938">
            <w:pPr>
              <w:jc w:val="center"/>
              <w:rPr>
                <w:rFonts w:hint="eastAsia" w:ascii="宋体" w:hAnsi="宋体" w:eastAsia="宋体" w:cs="宋体"/>
                <w:i w:val="0"/>
                <w:iCs w:val="0"/>
                <w:color w:val="auto"/>
                <w:sz w:val="22"/>
                <w:szCs w:val="22"/>
                <w:u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77BB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18.03</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60AC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4.66 </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F2A58">
            <w:pPr>
              <w:jc w:val="center"/>
              <w:rPr>
                <w:rFonts w:hint="eastAsia" w:ascii="宋体" w:hAnsi="宋体" w:eastAsia="宋体" w:cs="宋体"/>
                <w:i w:val="0"/>
                <w:iCs w:val="0"/>
                <w:color w:val="auto"/>
                <w:sz w:val="22"/>
                <w:szCs w:val="22"/>
                <w:u w:val="none"/>
              </w:rPr>
            </w:pPr>
          </w:p>
        </w:tc>
      </w:tr>
      <w:tr w14:paraId="1DE9E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76F4B">
            <w:pPr>
              <w:jc w:val="center"/>
              <w:rPr>
                <w:rFonts w:hint="default" w:ascii="Times New Roman" w:hAnsi="Times New Roman" w:eastAsia="宋体" w:cs="Times New Roman"/>
                <w:i w:val="0"/>
                <w:iCs w:val="0"/>
                <w:color w:val="auto"/>
                <w:sz w:val="21"/>
                <w:szCs w:val="21"/>
                <w:u w:val="none"/>
              </w:rPr>
            </w:pPr>
          </w:p>
        </w:tc>
        <w:tc>
          <w:tcPr>
            <w:tcW w:w="64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FEAD6">
            <w:pPr>
              <w:jc w:val="center"/>
              <w:rPr>
                <w:rFonts w:hint="eastAsia" w:ascii="宋体" w:hAnsi="宋体" w:eastAsia="宋体" w:cs="宋体"/>
                <w:i w:val="0"/>
                <w:iCs w:val="0"/>
                <w:color w:val="auto"/>
                <w:sz w:val="21"/>
                <w:szCs w:val="21"/>
                <w:u w:val="none"/>
              </w:rPr>
            </w:pP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DC3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种草</w:t>
            </w: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78A9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2</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CB95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8610</w:t>
            </w:r>
          </w:p>
        </w:tc>
        <w:tc>
          <w:tcPr>
            <w:tcW w:w="43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88493">
            <w:pPr>
              <w:jc w:val="center"/>
              <w:rPr>
                <w:rFonts w:hint="eastAsia" w:ascii="宋体" w:hAnsi="宋体" w:eastAsia="宋体" w:cs="宋体"/>
                <w:i w:val="0"/>
                <w:iCs w:val="0"/>
                <w:color w:val="auto"/>
                <w:sz w:val="22"/>
                <w:szCs w:val="22"/>
                <w:u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54DC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0.34398</w:t>
            </w: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B364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0.30 </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E9A55">
            <w:pPr>
              <w:jc w:val="center"/>
              <w:rPr>
                <w:rFonts w:hint="eastAsia" w:ascii="宋体" w:hAnsi="宋体" w:eastAsia="宋体" w:cs="宋体"/>
                <w:i w:val="0"/>
                <w:iCs w:val="0"/>
                <w:color w:val="auto"/>
                <w:sz w:val="22"/>
                <w:szCs w:val="22"/>
                <w:u w:val="none"/>
              </w:rPr>
            </w:pPr>
          </w:p>
        </w:tc>
      </w:tr>
      <w:tr w14:paraId="29757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820B9">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2027.10</w:t>
            </w:r>
          </w:p>
          <w:p w14:paraId="0A77F841">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w:t>
            </w:r>
          </w:p>
          <w:p w14:paraId="06021D0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Times New Roman" w:hAnsi="Times New Roman" w:eastAsia="宋体" w:cs="Times New Roman"/>
                <w:i w:val="0"/>
                <w:iCs w:val="0"/>
                <w:color w:val="auto"/>
                <w:kern w:val="0"/>
                <w:sz w:val="21"/>
                <w:szCs w:val="21"/>
                <w:u w:val="none"/>
                <w:lang w:val="en-US" w:eastAsia="zh-CN" w:bidi="ar"/>
              </w:rPr>
              <w:t>2030.</w:t>
            </w:r>
            <w:r>
              <w:rPr>
                <w:rFonts w:hint="eastAsia" w:cs="Times New Roman"/>
                <w:i w:val="0"/>
                <w:iCs w:val="0"/>
                <w:color w:val="auto"/>
                <w:kern w:val="0"/>
                <w:sz w:val="21"/>
                <w:szCs w:val="21"/>
                <w:u w:val="none"/>
                <w:lang w:val="en-US" w:eastAsia="zh-CN" w:bidi="ar"/>
              </w:rPr>
              <w:t>0</w:t>
            </w:r>
            <w:r>
              <w:rPr>
                <w:rFonts w:hint="eastAsia" w:ascii="Times New Roman" w:hAnsi="Times New Roman" w:eastAsia="宋体" w:cs="Times New Roman"/>
                <w:i w:val="0"/>
                <w:iCs w:val="0"/>
                <w:color w:val="auto"/>
                <w:kern w:val="0"/>
                <w:sz w:val="21"/>
                <w:szCs w:val="21"/>
                <w:u w:val="none"/>
                <w:lang w:val="en-US" w:eastAsia="zh-CN" w:bidi="ar"/>
              </w:rPr>
              <w:t>9</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25C1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监测</w:t>
            </w:r>
          </w:p>
          <w:p w14:paraId="2F0027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管护工程</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E533E">
            <w:pPr>
              <w:jc w:val="center"/>
              <w:rPr>
                <w:rFonts w:hint="eastAsia" w:ascii="宋体" w:hAnsi="宋体" w:eastAsia="宋体" w:cs="宋体"/>
                <w:i w:val="0"/>
                <w:iCs w:val="0"/>
                <w:color w:val="auto"/>
                <w:sz w:val="22"/>
                <w:szCs w:val="22"/>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CA90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年</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3B06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cs="宋体"/>
                <w:i w:val="0"/>
                <w:iCs w:val="0"/>
                <w:color w:val="auto"/>
                <w:kern w:val="0"/>
                <w:sz w:val="22"/>
                <w:szCs w:val="22"/>
                <w:u w:val="none"/>
                <w:lang w:val="en-US" w:eastAsia="zh-CN" w:bidi="ar"/>
              </w:rPr>
              <w:t>3</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4BDFE">
            <w:pPr>
              <w:jc w:val="center"/>
              <w:rPr>
                <w:rFonts w:hint="eastAsia" w:ascii="宋体" w:hAnsi="宋体" w:eastAsia="宋体" w:cs="宋体"/>
                <w:i w:val="0"/>
                <w:iCs w:val="0"/>
                <w:color w:val="auto"/>
                <w:sz w:val="22"/>
                <w:szCs w:val="22"/>
                <w:u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54B10">
            <w:pPr>
              <w:jc w:val="center"/>
              <w:rPr>
                <w:rFonts w:hint="eastAsia" w:ascii="宋体" w:hAnsi="宋体" w:eastAsia="宋体" w:cs="宋体"/>
                <w:i w:val="0"/>
                <w:iCs w:val="0"/>
                <w:color w:val="auto"/>
                <w:sz w:val="22"/>
                <w:szCs w:val="22"/>
                <w:u w:val="none"/>
              </w:rPr>
            </w:pP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8A7B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6.58 </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4B66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6.58</w:t>
            </w:r>
          </w:p>
        </w:tc>
      </w:tr>
    </w:tbl>
    <w:p w14:paraId="6AA44F50">
      <w:pPr>
        <w:rPr>
          <w:rFonts w:hint="eastAsia"/>
          <w:b/>
          <w:bCs/>
          <w:color w:val="auto"/>
          <w:lang w:val="en-US" w:eastAsia="zh-CN"/>
        </w:rPr>
      </w:pPr>
      <w:r>
        <w:rPr>
          <w:rFonts w:hint="eastAsia"/>
          <w:b/>
          <w:bCs/>
          <w:color w:val="auto"/>
          <w:lang w:val="en-US" w:eastAsia="zh-CN"/>
        </w:rPr>
        <w:t>备注：</w:t>
      </w:r>
    </w:p>
    <w:p w14:paraId="5C69870E">
      <w:pPr>
        <w:rPr>
          <w:rFonts w:hint="eastAsia"/>
          <w:b/>
          <w:bCs/>
          <w:color w:val="auto"/>
          <w:lang w:val="en-US" w:eastAsia="zh-CN"/>
        </w:rPr>
      </w:pPr>
      <w:r>
        <w:rPr>
          <w:rFonts w:hint="eastAsia"/>
          <w:b/>
          <w:bCs/>
          <w:color w:val="auto"/>
          <w:lang w:val="en-US" w:eastAsia="zh-CN"/>
        </w:rPr>
        <w:t>1、垫坡、回填与岩体清除、清运工程量在费用计算时属于重复工程量，方案只计算岩体清除、清运施工费用。</w:t>
      </w:r>
    </w:p>
    <w:p w14:paraId="4F216907">
      <w:pPr>
        <w:rPr>
          <w:b/>
          <w:bCs/>
          <w:color w:val="auto"/>
        </w:rPr>
      </w:pPr>
      <w:r>
        <w:rPr>
          <w:rFonts w:hint="eastAsia" w:ascii="宋体" w:hAnsi="宋体" w:cs="宋体"/>
          <w:b/>
          <w:bCs/>
          <w:color w:val="auto"/>
          <w:kern w:val="0"/>
          <w:sz w:val="21"/>
          <w:szCs w:val="21"/>
          <w:lang w:val="en-US" w:eastAsia="zh-CN"/>
        </w:rPr>
        <w:t>2、</w:t>
      </w:r>
      <w:r>
        <w:rPr>
          <w:rFonts w:hint="eastAsia"/>
          <w:b/>
          <w:bCs/>
          <w:color w:val="auto"/>
        </w:rPr>
        <w:t>赤峰鑫鑫矿业有限公司管护1年，剩余2年管护期由土地权属人窑沟门村进行管护。</w:t>
      </w:r>
    </w:p>
    <w:p w14:paraId="7E92DD5B">
      <w:pPr>
        <w:widowControl/>
        <w:shd w:val="clear" w:color="010000" w:fill="auto"/>
        <w:ind w:left="420" w:leftChars="200" w:firstLine="0" w:firstLineChars="0"/>
        <w:rPr>
          <w:rFonts w:hint="default" w:ascii="宋体" w:hAnsi="宋体" w:cs="宋体"/>
          <w:b/>
          <w:bCs/>
          <w:color w:val="auto"/>
          <w:kern w:val="0"/>
          <w:sz w:val="21"/>
          <w:szCs w:val="21"/>
          <w:lang w:val="en-US" w:eastAsia="zh-CN"/>
        </w:rPr>
        <w:sectPr>
          <w:pgSz w:w="11906" w:h="16838"/>
          <w:pgMar w:top="1440" w:right="1797" w:bottom="1440" w:left="1797" w:header="851" w:footer="992" w:gutter="0"/>
          <w:pgNumType w:fmt="decimal"/>
          <w:cols w:space="720" w:num="1"/>
          <w:docGrid w:linePitch="312" w:charSpace="0"/>
        </w:sectPr>
      </w:pPr>
    </w:p>
    <w:p w14:paraId="6281F223">
      <w:pPr>
        <w:pStyle w:val="2"/>
        <w:spacing w:line="360" w:lineRule="auto"/>
        <w:jc w:val="center"/>
        <w:rPr>
          <w:rFonts w:hint="eastAsia" w:ascii="黑体" w:hAnsi="黑体" w:eastAsia="黑体" w:cs="黑体"/>
          <w:bCs/>
          <w:color w:val="auto"/>
        </w:rPr>
      </w:pPr>
      <w:bookmarkStart w:id="93" w:name="_Toc21880"/>
      <w:bookmarkStart w:id="94" w:name="_Toc523390681"/>
      <w:bookmarkStart w:id="95" w:name="_Toc37947591"/>
      <w:r>
        <w:rPr>
          <w:rFonts w:hint="eastAsia" w:ascii="黑体" w:hAnsi="黑体" w:eastAsia="黑体" w:cs="黑体"/>
          <w:bCs/>
          <w:color w:val="auto"/>
        </w:rPr>
        <w:t>第七章  保障措施与公众参与</w:t>
      </w:r>
      <w:bookmarkEnd w:id="93"/>
    </w:p>
    <w:p w14:paraId="2E3306C0">
      <w:pPr>
        <w:pStyle w:val="3"/>
        <w:spacing w:before="120" w:beforeLines="50"/>
        <w:rPr>
          <w:color w:val="auto"/>
        </w:rPr>
      </w:pPr>
      <w:bookmarkStart w:id="96" w:name="_Toc18964"/>
      <w:r>
        <w:rPr>
          <w:rFonts w:hint="eastAsia"/>
          <w:color w:val="auto"/>
        </w:rPr>
        <w:t>第一节  保障措施</w:t>
      </w:r>
      <w:bookmarkEnd w:id="96"/>
    </w:p>
    <w:p w14:paraId="7696CC03">
      <w:pPr>
        <w:adjustRightInd w:val="0"/>
        <w:snapToGrid w:val="0"/>
        <w:spacing w:line="360" w:lineRule="auto"/>
        <w:ind w:firstLine="562" w:firstLineChars="200"/>
        <w:outlineLvl w:val="2"/>
        <w:rPr>
          <w:rFonts w:hint="eastAsia" w:ascii="宋体" w:hAnsi="宋体" w:cs="宋体"/>
          <w:b/>
          <w:bCs/>
          <w:color w:val="auto"/>
          <w:sz w:val="28"/>
          <w:szCs w:val="28"/>
        </w:rPr>
      </w:pPr>
      <w:r>
        <w:rPr>
          <w:rFonts w:hint="eastAsia" w:ascii="宋体" w:hAnsi="宋体" w:cs="宋体"/>
          <w:b/>
          <w:bCs/>
          <w:color w:val="auto"/>
          <w:sz w:val="28"/>
          <w:szCs w:val="28"/>
        </w:rPr>
        <w:t>一、组织保障</w:t>
      </w:r>
    </w:p>
    <w:p w14:paraId="121D8E3F">
      <w:pPr>
        <w:adjustRightInd w:val="0"/>
        <w:snapToGrid w:val="0"/>
        <w:spacing w:line="360" w:lineRule="auto"/>
        <w:ind w:firstLine="560" w:firstLineChars="200"/>
        <w:rPr>
          <w:color w:val="auto"/>
          <w:sz w:val="28"/>
          <w:szCs w:val="28"/>
        </w:rPr>
      </w:pPr>
      <w:bookmarkStart w:id="97" w:name="_Toc6689"/>
      <w:r>
        <w:rPr>
          <w:color w:val="auto"/>
          <w:sz w:val="28"/>
          <w:szCs w:val="28"/>
        </w:rPr>
        <w:t>1、管理机构</w:t>
      </w:r>
    </w:p>
    <w:p w14:paraId="12E6C3CE">
      <w:pPr>
        <w:adjustRightInd w:val="0"/>
        <w:snapToGrid w:val="0"/>
        <w:spacing w:line="360" w:lineRule="auto"/>
        <w:ind w:firstLine="560" w:firstLineChars="200"/>
        <w:rPr>
          <w:color w:val="auto"/>
          <w:sz w:val="28"/>
          <w:szCs w:val="28"/>
        </w:rPr>
      </w:pPr>
      <w:r>
        <w:rPr>
          <w:color w:val="auto"/>
          <w:sz w:val="28"/>
          <w:szCs w:val="28"/>
        </w:rPr>
        <w:t>健全的组织管理机构是矿区生态修复工作顺利实施的可靠保证。为保障矿区生态修复方案的实施，</w:t>
      </w:r>
      <w:r>
        <w:rPr>
          <w:rFonts w:hint="eastAsia" w:cs="Times New Roman"/>
          <w:color w:val="auto"/>
          <w:sz w:val="28"/>
          <w:szCs w:val="28"/>
          <w:lang w:eastAsia="zh-CN"/>
        </w:rPr>
        <w:t>赤峰鑫鑫矿业有限公司</w:t>
      </w:r>
      <w:r>
        <w:rPr>
          <w:color w:val="auto"/>
          <w:sz w:val="28"/>
          <w:szCs w:val="28"/>
        </w:rPr>
        <w:t>将设立矿区生态修复工作领导小组，全面负责矿区生态修复工作，由总经理任组长，副总经理任副组长，由生产部、地测部、环保部、财务部、保卫部等部门主管任组员。</w:t>
      </w:r>
    </w:p>
    <w:p w14:paraId="39F2832A">
      <w:pPr>
        <w:adjustRightInd w:val="0"/>
        <w:snapToGrid w:val="0"/>
        <w:spacing w:line="360" w:lineRule="auto"/>
        <w:ind w:firstLine="560" w:firstLineChars="200"/>
        <w:rPr>
          <w:color w:val="auto"/>
          <w:sz w:val="28"/>
          <w:szCs w:val="28"/>
        </w:rPr>
      </w:pPr>
      <w:r>
        <w:rPr>
          <w:color w:val="auto"/>
          <w:sz w:val="28"/>
          <w:szCs w:val="28"/>
        </w:rPr>
        <w:t>2、主要职责和分工</w:t>
      </w:r>
    </w:p>
    <w:p w14:paraId="279EA71E">
      <w:pPr>
        <w:adjustRightInd w:val="0"/>
        <w:snapToGrid w:val="0"/>
        <w:spacing w:line="360" w:lineRule="auto"/>
        <w:ind w:firstLine="560" w:firstLineChars="200"/>
        <w:rPr>
          <w:color w:val="auto"/>
          <w:sz w:val="28"/>
          <w:szCs w:val="28"/>
        </w:rPr>
      </w:pPr>
      <w:r>
        <w:rPr>
          <w:color w:val="auto"/>
          <w:sz w:val="28"/>
          <w:szCs w:val="28"/>
        </w:rPr>
        <w:t>领导小组主要任务是宣传、贯彻、落实生态修复相关法律政策，制定矿区生态修复规划和实施计划。负责选取生态修复工程施工单位，对施工队伍的资质、人员的素质乃至项目经理、工程师的经历、能力进行必要的严格考核，并全程参与生态修复工程实施。负责生态修复资金调配，组织生态修复工程验收。同时，加强规章制度建设和业务学习培训，防止质量事故和安全事故的发生。每年向管理机关汇报当年工作进展、资金使用情况和第二年项目进度安排与资金预算，自觉接受监督管理。</w:t>
      </w:r>
    </w:p>
    <w:p w14:paraId="0C7E00F8">
      <w:pPr>
        <w:adjustRightInd w:val="0"/>
        <w:snapToGrid w:val="0"/>
        <w:spacing w:line="360" w:lineRule="auto"/>
        <w:ind w:firstLine="560" w:firstLineChars="200"/>
        <w:rPr>
          <w:color w:val="auto"/>
          <w:sz w:val="28"/>
          <w:szCs w:val="28"/>
        </w:rPr>
      </w:pPr>
      <w:r>
        <w:rPr>
          <w:color w:val="auto"/>
          <w:sz w:val="28"/>
          <w:szCs w:val="28"/>
        </w:rPr>
        <w:t>组长负责全局统筹工作，副组长负责协调各部门间的分工合作，小组成员根据自己所在部门的职责做好上级领导安排的各项事宜，加强与其他部门的合作，同时定期向组长及副组长汇报计划制定和项目施工进展情况。</w:t>
      </w:r>
    </w:p>
    <w:p w14:paraId="58F7E01E">
      <w:pPr>
        <w:adjustRightInd w:val="0"/>
        <w:snapToGrid w:val="0"/>
        <w:spacing w:line="360" w:lineRule="auto"/>
        <w:ind w:firstLine="560" w:firstLineChars="200"/>
        <w:rPr>
          <w:color w:val="auto"/>
          <w:sz w:val="28"/>
          <w:szCs w:val="28"/>
        </w:rPr>
      </w:pPr>
      <w:r>
        <w:rPr>
          <w:color w:val="auto"/>
          <w:sz w:val="28"/>
          <w:szCs w:val="28"/>
        </w:rPr>
        <w:t>3、管理制度</w:t>
      </w:r>
    </w:p>
    <w:p w14:paraId="385DB751">
      <w:pPr>
        <w:adjustRightInd w:val="0"/>
        <w:snapToGrid w:val="0"/>
        <w:spacing w:line="360" w:lineRule="auto"/>
        <w:ind w:firstLine="560" w:firstLineChars="200"/>
        <w:rPr>
          <w:color w:val="auto"/>
          <w:sz w:val="28"/>
          <w:szCs w:val="28"/>
        </w:rPr>
      </w:pPr>
      <w:r>
        <w:rPr>
          <w:color w:val="auto"/>
          <w:sz w:val="28"/>
          <w:szCs w:val="28"/>
        </w:rPr>
        <w:t>实行目标责任制及问责制。对主要责任人实施目标管理责任制度，将其作为责任人年度考核的主要内容。矿区生态修复工程实施监管不力、生态修复资金管理和使用不合格，追究主管领导的责任，情节严重的追究法律责任。</w:t>
      </w:r>
    </w:p>
    <w:p w14:paraId="7E4E5EC9">
      <w:pPr>
        <w:adjustRightInd w:val="0"/>
        <w:snapToGrid w:val="0"/>
        <w:spacing w:line="360" w:lineRule="auto"/>
        <w:ind w:firstLine="560" w:firstLineChars="200"/>
        <w:rPr>
          <w:color w:val="auto"/>
          <w:sz w:val="28"/>
          <w:szCs w:val="28"/>
        </w:rPr>
      </w:pPr>
      <w:r>
        <w:rPr>
          <w:color w:val="auto"/>
          <w:sz w:val="28"/>
          <w:szCs w:val="28"/>
        </w:rPr>
        <w:t>实行矿区生态修复资金审计制度。委托中介机构对土地复垦资金使用情况进行审计，审计方式及内容详见“资金保障”部分。</w:t>
      </w:r>
    </w:p>
    <w:p w14:paraId="1F974659">
      <w:pPr>
        <w:adjustRightInd w:val="0"/>
        <w:snapToGrid w:val="0"/>
        <w:spacing w:line="360" w:lineRule="auto"/>
        <w:ind w:firstLine="560" w:firstLineChars="200"/>
        <w:rPr>
          <w:color w:val="auto"/>
          <w:sz w:val="28"/>
          <w:szCs w:val="28"/>
        </w:rPr>
      </w:pPr>
      <w:r>
        <w:rPr>
          <w:color w:val="auto"/>
          <w:sz w:val="28"/>
          <w:szCs w:val="28"/>
        </w:rPr>
        <w:t>实行重大事项报告制度。矿区生态修复工程开工</w:t>
      </w:r>
      <w:r>
        <w:rPr>
          <w:rFonts w:hint="eastAsia"/>
          <w:color w:val="auto"/>
          <w:sz w:val="28"/>
          <w:szCs w:val="28"/>
          <w:lang w:eastAsia="zh-CN"/>
        </w:rPr>
        <w:t>前</w:t>
      </w:r>
      <w:r>
        <w:rPr>
          <w:color w:val="auto"/>
          <w:sz w:val="28"/>
          <w:szCs w:val="28"/>
        </w:rPr>
        <w:t>，领导小组将矿区生态修复规划和实施计划、确定的矿区生态修复工程施工单位，上报自然资源主管部门。开采工艺、实施计划、治理和复垦工程等发生重大变更，及时上报自然资源主管部门。</w:t>
      </w:r>
    </w:p>
    <w:p w14:paraId="09728B98">
      <w:pPr>
        <w:adjustRightInd w:val="0"/>
        <w:snapToGrid w:val="0"/>
        <w:spacing w:line="360" w:lineRule="auto"/>
        <w:ind w:firstLine="562" w:firstLineChars="200"/>
        <w:outlineLvl w:val="2"/>
        <w:rPr>
          <w:b/>
          <w:bCs/>
          <w:color w:val="auto"/>
          <w:sz w:val="28"/>
          <w:szCs w:val="28"/>
        </w:rPr>
      </w:pPr>
      <w:r>
        <w:rPr>
          <w:b/>
          <w:bCs/>
          <w:color w:val="auto"/>
          <w:sz w:val="28"/>
          <w:szCs w:val="28"/>
        </w:rPr>
        <w:t>二、技术保障</w:t>
      </w:r>
      <w:bookmarkEnd w:id="97"/>
    </w:p>
    <w:p w14:paraId="0A61EFBC">
      <w:pPr>
        <w:adjustRightInd w:val="0"/>
        <w:snapToGrid w:val="0"/>
        <w:spacing w:line="360" w:lineRule="auto"/>
        <w:ind w:firstLine="560" w:firstLineChars="200"/>
        <w:rPr>
          <w:color w:val="auto"/>
          <w:sz w:val="28"/>
          <w:szCs w:val="28"/>
        </w:rPr>
      </w:pPr>
      <w:bookmarkStart w:id="98" w:name="_Toc10758"/>
      <w:r>
        <w:rPr>
          <w:color w:val="auto"/>
          <w:sz w:val="28"/>
          <w:szCs w:val="28"/>
        </w:rPr>
        <w:t>根据矿区生态修复工作内容和质量要求，具体可以采用以下技术保障措施：</w:t>
      </w:r>
    </w:p>
    <w:p w14:paraId="6A36A489">
      <w:pPr>
        <w:adjustRightInd w:val="0"/>
        <w:snapToGrid w:val="0"/>
        <w:spacing w:line="360" w:lineRule="auto"/>
        <w:ind w:firstLine="560" w:firstLineChars="200"/>
        <w:rPr>
          <w:color w:val="auto"/>
          <w:sz w:val="28"/>
          <w:szCs w:val="28"/>
        </w:rPr>
      </w:pPr>
      <w:r>
        <w:rPr>
          <w:color w:val="auto"/>
          <w:sz w:val="28"/>
          <w:szCs w:val="28"/>
        </w:rPr>
        <w:t>1、为加强技术指导和管理工作，矿山应成立专业技术人员组成的技术小组，对本矿区生态修复方案进行专门研究、全面了解，根据各项工程的技术要求，提供技术支持和质量把关，以保证项目的顺利实施。</w:t>
      </w:r>
    </w:p>
    <w:p w14:paraId="4D53002C">
      <w:pPr>
        <w:adjustRightInd w:val="0"/>
        <w:snapToGrid w:val="0"/>
        <w:spacing w:line="360" w:lineRule="auto"/>
        <w:ind w:firstLine="560" w:firstLineChars="200"/>
        <w:rPr>
          <w:color w:val="auto"/>
          <w:sz w:val="28"/>
          <w:szCs w:val="28"/>
        </w:rPr>
      </w:pPr>
      <w:r>
        <w:rPr>
          <w:color w:val="auto"/>
          <w:sz w:val="28"/>
          <w:szCs w:val="28"/>
        </w:rPr>
        <w:t>2、复垦实施中，根据修复方案内容，与相关实力雄厚的技术单位合作，编制年度计划，分阶段进行复垦。及时总结阶段性复垦实施经验，并修订本方案。</w:t>
      </w:r>
    </w:p>
    <w:p w14:paraId="043A811D">
      <w:pPr>
        <w:adjustRightInd w:val="0"/>
        <w:snapToGrid w:val="0"/>
        <w:spacing w:line="360" w:lineRule="auto"/>
        <w:ind w:firstLine="560" w:firstLineChars="200"/>
        <w:rPr>
          <w:color w:val="auto"/>
          <w:sz w:val="28"/>
          <w:szCs w:val="28"/>
        </w:rPr>
      </w:pPr>
      <w:r>
        <w:rPr>
          <w:color w:val="auto"/>
          <w:sz w:val="28"/>
          <w:szCs w:val="28"/>
        </w:rPr>
        <w:t>3、加强与相关技术单位的合作，加强与省内外具有先进矿山复垦技术单位的交流合作，及时吸取相关经验，完善复垦措施。</w:t>
      </w:r>
    </w:p>
    <w:p w14:paraId="5377E2F1">
      <w:pPr>
        <w:adjustRightInd w:val="0"/>
        <w:snapToGrid w:val="0"/>
        <w:spacing w:line="360" w:lineRule="auto"/>
        <w:ind w:firstLine="560" w:firstLineChars="200"/>
        <w:rPr>
          <w:color w:val="auto"/>
          <w:sz w:val="28"/>
          <w:szCs w:val="28"/>
        </w:rPr>
      </w:pPr>
      <w:r>
        <w:rPr>
          <w:color w:val="auto"/>
          <w:sz w:val="28"/>
          <w:szCs w:val="28"/>
        </w:rPr>
        <w:t>4、根据矿山环境影响和土地损毁实际情况变化，进一步完善矿区生态修复方案，扩展生态修复方案报告编制的深度、广度和适宜度，让方案更贴合矿山实际情况，</w:t>
      </w:r>
      <w:r>
        <w:rPr>
          <w:rFonts w:hint="eastAsia"/>
          <w:color w:val="auto"/>
          <w:sz w:val="28"/>
          <w:szCs w:val="28"/>
          <w:lang w:eastAsia="zh-CN"/>
        </w:rPr>
        <w:t>更有</w:t>
      </w:r>
      <w:r>
        <w:rPr>
          <w:color w:val="auto"/>
          <w:sz w:val="28"/>
          <w:szCs w:val="28"/>
        </w:rPr>
        <w:t>利于方案实施。</w:t>
      </w:r>
    </w:p>
    <w:p w14:paraId="394A143D">
      <w:pPr>
        <w:adjustRightInd w:val="0"/>
        <w:snapToGrid w:val="0"/>
        <w:spacing w:line="360" w:lineRule="auto"/>
        <w:ind w:firstLine="560" w:firstLineChars="200"/>
        <w:rPr>
          <w:color w:val="auto"/>
          <w:sz w:val="28"/>
          <w:szCs w:val="28"/>
        </w:rPr>
      </w:pPr>
      <w:r>
        <w:rPr>
          <w:color w:val="auto"/>
          <w:sz w:val="28"/>
          <w:szCs w:val="28"/>
        </w:rPr>
        <w:t>5、严格按照建设工程招投标制度选择施工队伍，要求施工队伍具有相应资质等级和技术实力。项目施工过程中，严格遵守国家规定的工程建设程序、制度规范和技术标准。</w:t>
      </w:r>
    </w:p>
    <w:p w14:paraId="69F73615">
      <w:pPr>
        <w:adjustRightInd w:val="0"/>
        <w:snapToGrid w:val="0"/>
        <w:spacing w:line="360" w:lineRule="auto"/>
        <w:ind w:firstLine="560" w:firstLineChars="200"/>
        <w:rPr>
          <w:color w:val="auto"/>
          <w:sz w:val="28"/>
          <w:szCs w:val="28"/>
        </w:rPr>
      </w:pPr>
      <w:r>
        <w:rPr>
          <w:color w:val="auto"/>
          <w:sz w:val="28"/>
          <w:szCs w:val="28"/>
        </w:rPr>
        <w:t>6、项目领导小组应定期组织企业技术人员培训，学习国内外矿区生态修复的先进经验、先进技术、先进管理方法。在管理中遇到技术问题向相关专家咨询，向当地农业、林业、环保等主管部门请教，确保矿区生态修复工程技术可行，达到预期治理效果。</w:t>
      </w:r>
    </w:p>
    <w:p w14:paraId="4BE2C03C">
      <w:pPr>
        <w:adjustRightInd w:val="0"/>
        <w:snapToGrid w:val="0"/>
        <w:spacing w:line="360" w:lineRule="auto"/>
        <w:ind w:firstLine="560" w:firstLineChars="200"/>
        <w:rPr>
          <w:color w:val="auto"/>
          <w:sz w:val="28"/>
          <w:szCs w:val="28"/>
        </w:rPr>
      </w:pPr>
      <w:r>
        <w:rPr>
          <w:color w:val="auto"/>
          <w:sz w:val="28"/>
          <w:szCs w:val="28"/>
        </w:rPr>
        <w:t>7、治理项目完成后，及时提请主管部门组织竣工验收，逐项核实工程量、鉴定工程质量和完成效果，对不合格工程及时返工，并会同参建单位进行经验总结，改进管理工作和技术方法。</w:t>
      </w:r>
    </w:p>
    <w:p w14:paraId="54F59A42">
      <w:pPr>
        <w:adjustRightInd w:val="0"/>
        <w:snapToGrid w:val="0"/>
        <w:spacing w:line="360" w:lineRule="auto"/>
        <w:ind w:firstLine="560" w:firstLineChars="200"/>
        <w:rPr>
          <w:color w:val="auto"/>
          <w:sz w:val="28"/>
          <w:szCs w:val="28"/>
        </w:rPr>
      </w:pPr>
      <w:r>
        <w:rPr>
          <w:color w:val="auto"/>
          <w:sz w:val="28"/>
          <w:szCs w:val="28"/>
        </w:rPr>
        <w:t>8、做好项目后续维护管理及监测工作，确保项目目标得以实现。</w:t>
      </w:r>
      <w:r>
        <w:rPr>
          <w:rFonts w:hint="eastAsia" w:cs="Times New Roman"/>
          <w:color w:val="auto"/>
          <w:sz w:val="28"/>
          <w:szCs w:val="28"/>
          <w:lang w:eastAsia="zh-CN"/>
        </w:rPr>
        <w:t>赤峰鑫鑫矿业有限公司</w:t>
      </w:r>
      <w:r>
        <w:rPr>
          <w:color w:val="auto"/>
          <w:sz w:val="28"/>
          <w:szCs w:val="28"/>
        </w:rPr>
        <w:t>承诺将加强对监测人员的技术培训，确保监测人员能及时发现问题；加强与相关单位的合作，定期邀请相关技术人员对矿区生态修复工程效果进行监测评估。</w:t>
      </w:r>
    </w:p>
    <w:p w14:paraId="6D2BB55C">
      <w:pPr>
        <w:adjustRightInd w:val="0"/>
        <w:snapToGrid w:val="0"/>
        <w:spacing w:line="360" w:lineRule="auto"/>
        <w:ind w:firstLine="562" w:firstLineChars="200"/>
        <w:outlineLvl w:val="2"/>
        <w:rPr>
          <w:b/>
          <w:bCs/>
          <w:color w:val="auto"/>
          <w:sz w:val="28"/>
          <w:szCs w:val="28"/>
        </w:rPr>
      </w:pPr>
      <w:r>
        <w:rPr>
          <w:b/>
          <w:bCs/>
          <w:color w:val="auto"/>
          <w:sz w:val="28"/>
          <w:szCs w:val="28"/>
        </w:rPr>
        <w:t>三、资金保障</w:t>
      </w:r>
      <w:bookmarkEnd w:id="98"/>
    </w:p>
    <w:p w14:paraId="703880E1">
      <w:pPr>
        <w:adjustRightInd w:val="0"/>
        <w:snapToGrid w:val="0"/>
        <w:spacing w:line="360" w:lineRule="auto"/>
        <w:ind w:firstLine="560" w:firstLineChars="200"/>
        <w:rPr>
          <w:color w:val="auto"/>
          <w:sz w:val="28"/>
          <w:szCs w:val="28"/>
        </w:rPr>
      </w:pPr>
      <w:bookmarkStart w:id="99" w:name="_Toc4679"/>
      <w:r>
        <w:rPr>
          <w:color w:val="auto"/>
          <w:sz w:val="28"/>
          <w:szCs w:val="28"/>
        </w:rPr>
        <w:t>本《方案》</w:t>
      </w:r>
      <w:r>
        <w:rPr>
          <w:rFonts w:hint="eastAsia"/>
          <w:color w:val="auto"/>
          <w:sz w:val="28"/>
          <w:szCs w:val="28"/>
          <w:lang w:val="en-US" w:eastAsia="zh-CN"/>
        </w:rPr>
        <w:t>设计的生态修复工程</w:t>
      </w:r>
      <w:r>
        <w:rPr>
          <w:color w:val="auto"/>
          <w:sz w:val="28"/>
          <w:szCs w:val="28"/>
        </w:rPr>
        <w:t>由</w:t>
      </w:r>
      <w:r>
        <w:rPr>
          <w:rFonts w:hint="eastAsia" w:cs="Times New Roman"/>
          <w:color w:val="auto"/>
          <w:sz w:val="28"/>
          <w:szCs w:val="28"/>
          <w:lang w:eastAsia="zh-CN"/>
        </w:rPr>
        <w:t>赤峰</w:t>
      </w:r>
      <w:r>
        <w:rPr>
          <w:rFonts w:hint="eastAsia"/>
          <w:color w:val="auto"/>
          <w:sz w:val="28"/>
          <w:szCs w:val="28"/>
          <w:lang w:eastAsia="zh-CN"/>
        </w:rPr>
        <w:t>鑫鑫矿业有限公司</w:t>
      </w:r>
      <w:r>
        <w:rPr>
          <w:color w:val="auto"/>
          <w:sz w:val="28"/>
          <w:szCs w:val="28"/>
        </w:rPr>
        <w:t>提供资金，根据《内蒙古自治区矿山地质环境治理恢复基金管理办法（试行）》（2019年11月5日），</w:t>
      </w:r>
      <w:r>
        <w:rPr>
          <w:rFonts w:hint="eastAsia" w:cs="Times New Roman"/>
          <w:color w:val="auto"/>
          <w:sz w:val="28"/>
          <w:szCs w:val="28"/>
          <w:lang w:eastAsia="zh-CN"/>
        </w:rPr>
        <w:t>赤峰</w:t>
      </w:r>
      <w:r>
        <w:rPr>
          <w:rFonts w:hint="eastAsia"/>
          <w:color w:val="auto"/>
          <w:sz w:val="28"/>
          <w:szCs w:val="28"/>
          <w:lang w:eastAsia="zh-CN"/>
        </w:rPr>
        <w:t>鑫鑫矿业有限公司</w:t>
      </w:r>
      <w:r>
        <w:rPr>
          <w:color w:val="auto"/>
          <w:sz w:val="28"/>
          <w:szCs w:val="28"/>
        </w:rPr>
        <w:t>建立了“</w:t>
      </w:r>
      <w:bookmarkStart w:id="100" w:name="OLE_LINK110"/>
      <w:r>
        <w:rPr>
          <w:color w:val="auto"/>
          <w:sz w:val="28"/>
          <w:szCs w:val="28"/>
        </w:rPr>
        <w:t>矿山地质环境治理</w:t>
      </w:r>
      <w:bookmarkEnd w:id="100"/>
      <w:r>
        <w:rPr>
          <w:color w:val="auto"/>
          <w:sz w:val="28"/>
          <w:szCs w:val="28"/>
        </w:rPr>
        <w:t>基金（以下简称基金）”账户，并将矿山地质环境治理费用纳入生产建设成本，按年计提基金费用，专项用于矿山地质环境治理工作的实施。</w:t>
      </w:r>
    </w:p>
    <w:p w14:paraId="42B521B0">
      <w:pPr>
        <w:adjustRightInd w:val="0"/>
        <w:snapToGrid w:val="0"/>
        <w:spacing w:line="360" w:lineRule="auto"/>
        <w:ind w:firstLine="562" w:firstLineChars="200"/>
        <w:outlineLvl w:val="2"/>
        <w:rPr>
          <w:b/>
          <w:bCs/>
          <w:color w:val="auto"/>
          <w:sz w:val="28"/>
          <w:szCs w:val="28"/>
        </w:rPr>
      </w:pPr>
      <w:r>
        <w:rPr>
          <w:b/>
          <w:bCs/>
          <w:color w:val="auto"/>
          <w:sz w:val="28"/>
          <w:szCs w:val="28"/>
        </w:rPr>
        <w:t>四、监管保障</w:t>
      </w:r>
    </w:p>
    <w:p w14:paraId="39DA30C8">
      <w:pPr>
        <w:adjustRightInd w:val="0"/>
        <w:snapToGrid w:val="0"/>
        <w:spacing w:line="360" w:lineRule="auto"/>
        <w:ind w:firstLine="560" w:firstLineChars="200"/>
        <w:rPr>
          <w:color w:val="auto"/>
          <w:sz w:val="28"/>
          <w:szCs w:val="28"/>
        </w:rPr>
      </w:pPr>
      <w:r>
        <w:rPr>
          <w:color w:val="auto"/>
          <w:sz w:val="28"/>
          <w:szCs w:val="28"/>
        </w:rPr>
        <w:t>《矿区生态修复方案》报请赤峰市自然资源局</w:t>
      </w:r>
      <w:r>
        <w:rPr>
          <w:rFonts w:hint="eastAsia"/>
          <w:color w:val="auto"/>
          <w:sz w:val="28"/>
          <w:szCs w:val="28"/>
          <w:lang w:val="en-US" w:eastAsia="zh-CN"/>
        </w:rPr>
        <w:t>松山区分局</w:t>
      </w:r>
      <w:r>
        <w:rPr>
          <w:color w:val="auto"/>
          <w:sz w:val="28"/>
          <w:szCs w:val="28"/>
        </w:rPr>
        <w:t>批准后，由本矿区土地复垦义务人：</w:t>
      </w:r>
      <w:r>
        <w:rPr>
          <w:rFonts w:hint="eastAsia" w:cs="Times New Roman"/>
          <w:color w:val="auto"/>
          <w:sz w:val="28"/>
          <w:szCs w:val="28"/>
          <w:lang w:eastAsia="zh-CN"/>
        </w:rPr>
        <w:t>赤峰</w:t>
      </w:r>
      <w:r>
        <w:rPr>
          <w:rFonts w:hint="eastAsia"/>
          <w:color w:val="auto"/>
          <w:sz w:val="28"/>
          <w:szCs w:val="28"/>
          <w:lang w:eastAsia="zh-CN"/>
        </w:rPr>
        <w:t>鑫鑫矿业有限公司</w:t>
      </w:r>
      <w:r>
        <w:rPr>
          <w:color w:val="auto"/>
          <w:sz w:val="28"/>
          <w:szCs w:val="28"/>
        </w:rPr>
        <w:t>负责组织实施。监管控制应坚持“预防为主”的方针，从事后检验变为事先管理，在项目管理的全过程中，注重事前、事中控制，采取处罚监管措施，消除</w:t>
      </w:r>
      <w:r>
        <w:rPr>
          <w:rFonts w:hint="eastAsia"/>
          <w:color w:val="auto"/>
          <w:sz w:val="28"/>
          <w:szCs w:val="28"/>
          <w:lang w:eastAsia="zh-CN"/>
        </w:rPr>
        <w:t>不符</w:t>
      </w:r>
      <w:r>
        <w:rPr>
          <w:color w:val="auto"/>
          <w:sz w:val="28"/>
          <w:szCs w:val="28"/>
        </w:rPr>
        <w:t>合质量要求的因素，以有效地控制工程质量。建立动态监管调控体系，确保项目建设的社会效益、</w:t>
      </w:r>
      <w:r>
        <w:rPr>
          <w:rFonts w:hint="eastAsia"/>
          <w:color w:val="auto"/>
          <w:sz w:val="28"/>
          <w:szCs w:val="28"/>
          <w:lang w:eastAsia="zh-CN"/>
        </w:rPr>
        <w:t>环境</w:t>
      </w:r>
      <w:r>
        <w:rPr>
          <w:color w:val="auto"/>
          <w:sz w:val="28"/>
          <w:szCs w:val="28"/>
        </w:rPr>
        <w:t>效益和经济效益的充分发挥，确保土地资源的可持续发展。</w:t>
      </w:r>
    </w:p>
    <w:p w14:paraId="028E4C51">
      <w:pPr>
        <w:adjustRightInd w:val="0"/>
        <w:snapToGrid w:val="0"/>
        <w:spacing w:line="360" w:lineRule="auto"/>
        <w:ind w:firstLine="560" w:firstLineChars="200"/>
        <w:rPr>
          <w:color w:val="auto"/>
          <w:sz w:val="28"/>
          <w:szCs w:val="28"/>
        </w:rPr>
      </w:pPr>
      <w:r>
        <w:rPr>
          <w:color w:val="auto"/>
          <w:sz w:val="28"/>
          <w:szCs w:val="28"/>
        </w:rPr>
        <w:t>土地复垦义务人应当于每年12月31日前向所在地县级自然资源主管部门报告当年土地复垦义务履行情况，包括下列内容：</w:t>
      </w:r>
    </w:p>
    <w:p w14:paraId="281262DE">
      <w:pPr>
        <w:adjustRightInd w:val="0"/>
        <w:snapToGrid w:val="0"/>
        <w:spacing w:line="360" w:lineRule="auto"/>
        <w:ind w:firstLine="560" w:firstLineChars="200"/>
        <w:rPr>
          <w:color w:val="auto"/>
          <w:sz w:val="28"/>
          <w:szCs w:val="28"/>
        </w:rPr>
      </w:pPr>
      <w:r>
        <w:rPr>
          <w:color w:val="auto"/>
          <w:sz w:val="28"/>
          <w:szCs w:val="28"/>
        </w:rPr>
        <w:t>1、年度土地损毁情况，包括土地损毁方式、地类、位置、权属、面积、程度等；</w:t>
      </w:r>
    </w:p>
    <w:p w14:paraId="6467B544">
      <w:pPr>
        <w:adjustRightInd w:val="0"/>
        <w:snapToGrid w:val="0"/>
        <w:spacing w:line="360" w:lineRule="auto"/>
        <w:ind w:firstLine="560" w:firstLineChars="200"/>
        <w:rPr>
          <w:color w:val="auto"/>
          <w:sz w:val="28"/>
          <w:szCs w:val="28"/>
        </w:rPr>
      </w:pPr>
      <w:r>
        <w:rPr>
          <w:color w:val="auto"/>
          <w:sz w:val="28"/>
          <w:szCs w:val="28"/>
        </w:rPr>
        <w:t>2、年度恢复治理与土地复垦基金费用预存、使用和管理等情况；</w:t>
      </w:r>
    </w:p>
    <w:p w14:paraId="79A1E1A5">
      <w:pPr>
        <w:adjustRightInd w:val="0"/>
        <w:snapToGrid w:val="0"/>
        <w:spacing w:line="360" w:lineRule="auto"/>
        <w:ind w:firstLine="560" w:firstLineChars="200"/>
        <w:rPr>
          <w:color w:val="auto"/>
          <w:sz w:val="28"/>
          <w:szCs w:val="28"/>
        </w:rPr>
      </w:pPr>
      <w:r>
        <w:rPr>
          <w:color w:val="auto"/>
          <w:sz w:val="28"/>
          <w:szCs w:val="28"/>
        </w:rPr>
        <w:t>3、年度土地复垦实施情况，包括复垦地类、位置、面积、权属、主要复垦措施、工程量等；</w:t>
      </w:r>
    </w:p>
    <w:p w14:paraId="525A5F04">
      <w:pPr>
        <w:adjustRightInd w:val="0"/>
        <w:snapToGrid w:val="0"/>
        <w:spacing w:line="360" w:lineRule="auto"/>
        <w:ind w:firstLine="560" w:firstLineChars="200"/>
        <w:rPr>
          <w:color w:val="auto"/>
          <w:sz w:val="28"/>
          <w:szCs w:val="28"/>
        </w:rPr>
      </w:pPr>
      <w:r>
        <w:rPr>
          <w:color w:val="auto"/>
          <w:sz w:val="28"/>
          <w:szCs w:val="28"/>
        </w:rPr>
        <w:t>4、自然资源主管部门规定的其他年度报告内容。</w:t>
      </w:r>
    </w:p>
    <w:p w14:paraId="6FFC01D4">
      <w:pPr>
        <w:adjustRightInd w:val="0"/>
        <w:snapToGrid w:val="0"/>
        <w:spacing w:line="360" w:lineRule="auto"/>
        <w:ind w:firstLine="560" w:firstLineChars="200"/>
        <w:rPr>
          <w:color w:val="auto"/>
          <w:sz w:val="28"/>
          <w:szCs w:val="28"/>
        </w:rPr>
      </w:pPr>
      <w:r>
        <w:rPr>
          <w:color w:val="auto"/>
          <w:sz w:val="28"/>
          <w:szCs w:val="28"/>
        </w:rPr>
        <w:t>松山区自然资源主管部门应当加强对土地复垦义务人报告事项履行情况的监督核实，并可以根据情况将土地复垦义务履行情况年度报告在门户网站上公开。</w:t>
      </w:r>
    </w:p>
    <w:p w14:paraId="31DF1901">
      <w:pPr>
        <w:adjustRightInd w:val="0"/>
        <w:snapToGrid w:val="0"/>
        <w:spacing w:line="360" w:lineRule="auto"/>
        <w:ind w:firstLine="560" w:firstLineChars="200"/>
        <w:rPr>
          <w:color w:val="auto"/>
          <w:sz w:val="28"/>
          <w:szCs w:val="28"/>
        </w:rPr>
      </w:pPr>
      <w:r>
        <w:rPr>
          <w:rFonts w:hint="eastAsia" w:cs="Times New Roman"/>
          <w:color w:val="auto"/>
          <w:sz w:val="28"/>
          <w:szCs w:val="28"/>
          <w:lang w:eastAsia="zh-CN"/>
        </w:rPr>
        <w:t>赤峰鑫鑫矿业有限公司</w:t>
      </w:r>
      <w:r>
        <w:rPr>
          <w:color w:val="auto"/>
          <w:sz w:val="28"/>
          <w:szCs w:val="28"/>
        </w:rPr>
        <w:t>应定期向松山区自然资源局报告当年复垦情况，接受区县级以上自然资源主管部门对土地复垦实施情况的监督检查，接受社会对土地复垦实施情况的监督等保障措施。</w:t>
      </w:r>
    </w:p>
    <w:p w14:paraId="56CEFFEC">
      <w:pPr>
        <w:adjustRightInd w:val="0"/>
        <w:snapToGrid w:val="0"/>
        <w:spacing w:line="360" w:lineRule="auto"/>
        <w:ind w:firstLine="560" w:firstLineChars="200"/>
        <w:rPr>
          <w:color w:val="auto"/>
          <w:sz w:val="28"/>
          <w:szCs w:val="28"/>
        </w:rPr>
      </w:pPr>
      <w:r>
        <w:rPr>
          <w:rFonts w:hint="eastAsia" w:cs="Times New Roman"/>
          <w:color w:val="auto"/>
          <w:sz w:val="28"/>
          <w:szCs w:val="28"/>
          <w:lang w:eastAsia="zh-CN"/>
        </w:rPr>
        <w:t>赤峰鑫鑫矿业有限公司</w:t>
      </w:r>
      <w:r>
        <w:rPr>
          <w:color w:val="auto"/>
          <w:sz w:val="28"/>
          <w:szCs w:val="28"/>
        </w:rPr>
        <w:t>如不履行复垦义务，按照《土地管理法》、《土地复垦条例》等法律法规和政策文件的规定依法处罚。</w:t>
      </w:r>
    </w:p>
    <w:bookmarkEnd w:id="99"/>
    <w:p w14:paraId="5E3CE24A">
      <w:pPr>
        <w:pStyle w:val="3"/>
        <w:spacing w:before="120" w:beforeLines="50"/>
        <w:rPr>
          <w:rFonts w:ascii="Times New Roman" w:hAnsi="Times New Roman"/>
          <w:color w:val="auto"/>
        </w:rPr>
      </w:pPr>
      <w:bookmarkStart w:id="101" w:name="_Toc10696"/>
      <w:r>
        <w:rPr>
          <w:rFonts w:ascii="Times New Roman" w:hAnsi="Times New Roman"/>
          <w:color w:val="auto"/>
        </w:rPr>
        <w:t>第二节  公众参与</w:t>
      </w:r>
      <w:bookmarkEnd w:id="101"/>
    </w:p>
    <w:p w14:paraId="60C21DC0">
      <w:pPr>
        <w:adjustRightInd w:val="0"/>
        <w:snapToGrid w:val="0"/>
        <w:spacing w:line="360" w:lineRule="auto"/>
        <w:ind w:firstLine="560" w:firstLineChars="200"/>
        <w:rPr>
          <w:color w:val="auto"/>
          <w:sz w:val="28"/>
          <w:szCs w:val="28"/>
        </w:rPr>
      </w:pPr>
      <w:r>
        <w:rPr>
          <w:color w:val="auto"/>
          <w:sz w:val="28"/>
          <w:szCs w:val="28"/>
        </w:rPr>
        <w:t>由于矿业活动会给周围的自然环境和社会环境带来影响，关系到矿区及其周边人民群众的切身利益，因此需要</w:t>
      </w:r>
      <w:r>
        <w:rPr>
          <w:rFonts w:hint="eastAsia"/>
          <w:color w:val="auto"/>
          <w:sz w:val="28"/>
          <w:szCs w:val="28"/>
          <w:lang w:eastAsia="zh-CN"/>
        </w:rPr>
        <w:t>广大群众</w:t>
      </w:r>
      <w:r>
        <w:rPr>
          <w:color w:val="auto"/>
          <w:sz w:val="28"/>
          <w:szCs w:val="28"/>
        </w:rPr>
        <w:t>积极配合、参与与支持。矿区生态修复规划要在充分了解当地人民群众意愿和观点的基础上进行，使建设项目更加民主化、公众化，以避免片面性和主观性，使该项建设的规划、设计、施工和运行更加完善，更加合理，从而有利于最大限度地发挥该项目的综合效益和长远效益，使经济效益、社会效益和环境效益得到统一。</w:t>
      </w:r>
    </w:p>
    <w:p w14:paraId="11FC4C09">
      <w:pPr>
        <w:adjustRightInd w:val="0"/>
        <w:snapToGrid w:val="0"/>
        <w:spacing w:line="360" w:lineRule="auto"/>
        <w:ind w:firstLine="562" w:firstLineChars="200"/>
        <w:outlineLvl w:val="2"/>
        <w:rPr>
          <w:b/>
          <w:bCs/>
          <w:color w:val="auto"/>
          <w:sz w:val="28"/>
          <w:szCs w:val="28"/>
        </w:rPr>
      </w:pPr>
      <w:r>
        <w:rPr>
          <w:b/>
          <w:bCs/>
          <w:color w:val="auto"/>
          <w:sz w:val="28"/>
          <w:szCs w:val="28"/>
        </w:rPr>
        <w:t>一、方案编制前的公众参与</w:t>
      </w:r>
    </w:p>
    <w:p w14:paraId="241A5CFF">
      <w:pPr>
        <w:adjustRightInd w:val="0"/>
        <w:snapToGrid w:val="0"/>
        <w:spacing w:line="360" w:lineRule="auto"/>
        <w:ind w:firstLine="560" w:firstLineChars="200"/>
        <w:rPr>
          <w:rFonts w:hint="eastAsia" w:eastAsia="宋体"/>
          <w:color w:val="auto"/>
          <w:sz w:val="28"/>
          <w:szCs w:val="28"/>
          <w:lang w:val="en-US" w:eastAsia="zh-CN"/>
        </w:rPr>
      </w:pPr>
      <w:r>
        <w:rPr>
          <w:rFonts w:hint="eastAsia"/>
          <w:color w:val="auto"/>
          <w:sz w:val="28"/>
          <w:szCs w:val="28"/>
          <w:lang w:val="en-US" w:eastAsia="zh-CN"/>
        </w:rPr>
        <w:t>2026年5月20日，</w:t>
      </w:r>
      <w:r>
        <w:rPr>
          <w:rFonts w:hint="eastAsia" w:cs="Times New Roman"/>
          <w:color w:val="auto"/>
          <w:sz w:val="28"/>
          <w:szCs w:val="28"/>
          <w:lang w:eastAsia="zh-CN"/>
        </w:rPr>
        <w:t>赤峰鑫鑫矿业有限公司</w:t>
      </w:r>
      <w:r>
        <w:rPr>
          <w:rFonts w:hint="eastAsia" w:cs="Times New Roman"/>
          <w:color w:val="auto"/>
          <w:sz w:val="28"/>
          <w:szCs w:val="28"/>
          <w:lang w:val="en-US" w:eastAsia="zh-CN"/>
        </w:rPr>
        <w:t>在开展生态修复工作前向</w:t>
      </w:r>
      <w:r>
        <w:rPr>
          <w:rFonts w:hint="eastAsia"/>
          <w:color w:val="auto"/>
          <w:sz w:val="28"/>
          <w:szCs w:val="28"/>
          <w:lang w:val="en-US" w:eastAsia="zh-CN"/>
        </w:rPr>
        <w:t>初头朗镇窑沟门村民委员会就</w:t>
      </w:r>
      <w:r>
        <w:rPr>
          <w:rFonts w:hint="eastAsia"/>
          <w:color w:val="auto"/>
          <w:sz w:val="28"/>
          <w:szCs w:val="28"/>
        </w:rPr>
        <w:t>松山区初头朗镇窑沟门碎石矿矿区生态修复工作</w:t>
      </w:r>
      <w:r>
        <w:rPr>
          <w:rFonts w:hint="eastAsia"/>
          <w:color w:val="auto"/>
          <w:sz w:val="28"/>
          <w:szCs w:val="28"/>
          <w:lang w:val="en-US" w:eastAsia="zh-CN"/>
        </w:rPr>
        <w:t>征求意见</w:t>
      </w:r>
      <w:r>
        <w:rPr>
          <w:rFonts w:hint="eastAsia"/>
          <w:color w:val="auto"/>
          <w:sz w:val="28"/>
          <w:szCs w:val="28"/>
        </w:rPr>
        <w:t>，</w:t>
      </w:r>
      <w:r>
        <w:rPr>
          <w:rFonts w:hint="eastAsia"/>
          <w:color w:val="auto"/>
          <w:sz w:val="28"/>
          <w:szCs w:val="28"/>
          <w:lang w:val="en-US" w:eastAsia="zh-CN"/>
        </w:rPr>
        <w:t>初头朗镇窑沟门村</w:t>
      </w:r>
      <w:r>
        <w:rPr>
          <w:rFonts w:hint="eastAsia"/>
          <w:color w:val="auto"/>
          <w:sz w:val="28"/>
          <w:szCs w:val="28"/>
        </w:rPr>
        <w:t>召开了</w:t>
      </w:r>
      <w:r>
        <w:rPr>
          <w:rFonts w:hint="eastAsia"/>
          <w:color w:val="auto"/>
          <w:sz w:val="28"/>
          <w:szCs w:val="28"/>
          <w:lang w:val="en-US" w:eastAsia="zh-CN"/>
        </w:rPr>
        <w:t>村民</w:t>
      </w:r>
      <w:r>
        <w:rPr>
          <w:rFonts w:hint="eastAsia"/>
          <w:color w:val="auto"/>
          <w:sz w:val="28"/>
          <w:szCs w:val="28"/>
        </w:rPr>
        <w:t>代表会议</w:t>
      </w:r>
      <w:r>
        <w:rPr>
          <w:rFonts w:hint="eastAsia"/>
          <w:color w:val="auto"/>
          <w:sz w:val="28"/>
          <w:szCs w:val="28"/>
          <w:lang w:eastAsia="zh-CN"/>
        </w:rPr>
        <w:t>，</w:t>
      </w:r>
      <w:r>
        <w:rPr>
          <w:rFonts w:hint="eastAsia"/>
          <w:color w:val="auto"/>
          <w:sz w:val="28"/>
          <w:szCs w:val="28"/>
        </w:rPr>
        <w:t>与会代表对松山区初头朗镇窑沟门碎石矿的生态修复工作表示支持</w:t>
      </w:r>
      <w:r>
        <w:rPr>
          <w:rFonts w:hint="eastAsia"/>
          <w:color w:val="auto"/>
          <w:sz w:val="28"/>
          <w:szCs w:val="28"/>
          <w:lang w:eastAsia="zh-CN"/>
        </w:rPr>
        <w:t>，</w:t>
      </w:r>
      <w:r>
        <w:rPr>
          <w:rFonts w:hint="eastAsia"/>
          <w:color w:val="auto"/>
          <w:sz w:val="28"/>
          <w:szCs w:val="28"/>
          <w:lang w:val="en-US" w:eastAsia="zh-CN"/>
        </w:rPr>
        <w:t>并形成会议纪要，见附件</w:t>
      </w:r>
      <w:r>
        <w:rPr>
          <w:rFonts w:hint="eastAsia"/>
          <w:color w:val="auto"/>
          <w:sz w:val="28"/>
          <w:szCs w:val="28"/>
          <w:lang w:eastAsia="zh-CN"/>
        </w:rPr>
        <w:t>。</w:t>
      </w:r>
    </w:p>
    <w:p w14:paraId="3221C1FF">
      <w:pPr>
        <w:adjustRightInd w:val="0"/>
        <w:snapToGrid w:val="0"/>
        <w:spacing w:line="360" w:lineRule="auto"/>
        <w:ind w:firstLine="560" w:firstLineChars="200"/>
        <w:rPr>
          <w:color w:val="auto"/>
          <w:sz w:val="28"/>
          <w:szCs w:val="28"/>
        </w:rPr>
      </w:pPr>
      <w:r>
        <w:rPr>
          <w:color w:val="auto"/>
          <w:sz w:val="28"/>
          <w:szCs w:val="28"/>
        </w:rPr>
        <w:t>202</w:t>
      </w:r>
      <w:r>
        <w:rPr>
          <w:rFonts w:hint="eastAsia"/>
          <w:color w:val="auto"/>
          <w:sz w:val="28"/>
          <w:szCs w:val="28"/>
          <w:lang w:val="en-US" w:eastAsia="zh-CN"/>
        </w:rPr>
        <w:t>6</w:t>
      </w:r>
      <w:r>
        <w:rPr>
          <w:color w:val="auto"/>
          <w:sz w:val="28"/>
          <w:szCs w:val="28"/>
        </w:rPr>
        <w:t>年</w:t>
      </w:r>
      <w:r>
        <w:rPr>
          <w:rFonts w:hint="eastAsia"/>
          <w:color w:val="auto"/>
          <w:sz w:val="28"/>
          <w:szCs w:val="28"/>
          <w:lang w:val="en-US" w:eastAsia="zh-CN"/>
        </w:rPr>
        <w:t>6</w:t>
      </w:r>
      <w:r>
        <w:rPr>
          <w:color w:val="auto"/>
          <w:sz w:val="28"/>
          <w:szCs w:val="28"/>
        </w:rPr>
        <w:t>月</w:t>
      </w:r>
      <w:r>
        <w:rPr>
          <w:rFonts w:hint="eastAsia"/>
          <w:color w:val="auto"/>
          <w:sz w:val="28"/>
          <w:szCs w:val="28"/>
          <w:lang w:val="en-US" w:eastAsia="zh-CN"/>
        </w:rPr>
        <w:t>初</w:t>
      </w:r>
      <w:r>
        <w:rPr>
          <w:color w:val="auto"/>
          <w:sz w:val="28"/>
          <w:szCs w:val="28"/>
        </w:rPr>
        <w:t>，方案编制人员在矿方代表的陪同下，对矿山的</w:t>
      </w:r>
      <w:r>
        <w:rPr>
          <w:rFonts w:hint="eastAsia"/>
          <w:color w:val="auto"/>
          <w:sz w:val="28"/>
          <w:szCs w:val="28"/>
        </w:rPr>
        <w:t>在建</w:t>
      </w:r>
      <w:r>
        <w:rPr>
          <w:color w:val="auto"/>
          <w:sz w:val="28"/>
          <w:szCs w:val="28"/>
        </w:rPr>
        <w:t>工程进行了实地调查，调查对象包括业主、矿区所属行政村集体、村民代表和当地政府相关部门</w:t>
      </w:r>
      <w:r>
        <w:rPr>
          <w:rFonts w:hint="eastAsia"/>
          <w:color w:val="auto"/>
          <w:sz w:val="28"/>
          <w:szCs w:val="28"/>
          <w:lang w:eastAsia="zh-CN"/>
        </w:rPr>
        <w:t>，在</w:t>
      </w:r>
      <w:r>
        <w:rPr>
          <w:color w:val="auto"/>
          <w:sz w:val="28"/>
          <w:szCs w:val="28"/>
        </w:rPr>
        <w:t>收集相关资料的同时初步了解公众对复垦项目的要求、意见。</w:t>
      </w:r>
    </w:p>
    <w:p w14:paraId="1E3B4FBC">
      <w:pPr>
        <w:adjustRightInd w:val="0"/>
        <w:snapToGrid w:val="0"/>
        <w:spacing w:line="360" w:lineRule="auto"/>
        <w:ind w:firstLine="560" w:firstLineChars="200"/>
        <w:rPr>
          <w:b/>
          <w:bCs/>
          <w:color w:val="auto"/>
          <w:sz w:val="28"/>
          <w:szCs w:val="28"/>
        </w:rPr>
      </w:pPr>
      <w:r>
        <w:rPr>
          <w:color w:val="auto"/>
          <w:sz w:val="28"/>
          <w:szCs w:val="28"/>
        </w:rPr>
        <w:t>公示内容包括建设项目名称、工程概况、征求公众意见的主要事项、公众意见的反馈方式等。</w:t>
      </w:r>
    </w:p>
    <w:p w14:paraId="3F4AD2A8">
      <w:pPr>
        <w:adjustRightInd w:val="0"/>
        <w:snapToGrid w:val="0"/>
        <w:spacing w:line="360" w:lineRule="auto"/>
        <w:ind w:firstLine="560" w:firstLineChars="200"/>
        <w:rPr>
          <w:color w:val="auto"/>
          <w:sz w:val="28"/>
          <w:szCs w:val="28"/>
        </w:rPr>
      </w:pPr>
      <w:r>
        <w:rPr>
          <w:color w:val="auto"/>
          <w:sz w:val="28"/>
          <w:szCs w:val="28"/>
        </w:rPr>
        <w:t>202</w:t>
      </w:r>
      <w:r>
        <w:rPr>
          <w:rFonts w:hint="eastAsia"/>
          <w:color w:val="auto"/>
          <w:sz w:val="28"/>
          <w:szCs w:val="28"/>
          <w:lang w:val="en-US" w:eastAsia="zh-CN"/>
        </w:rPr>
        <w:t>6</w:t>
      </w:r>
      <w:r>
        <w:rPr>
          <w:color w:val="auto"/>
          <w:sz w:val="28"/>
          <w:szCs w:val="28"/>
        </w:rPr>
        <w:t>年</w:t>
      </w:r>
      <w:r>
        <w:rPr>
          <w:rFonts w:hint="eastAsia"/>
          <w:color w:val="auto"/>
          <w:sz w:val="28"/>
          <w:szCs w:val="28"/>
          <w:lang w:val="en-US" w:eastAsia="zh-CN"/>
        </w:rPr>
        <w:t>6</w:t>
      </w:r>
      <w:r>
        <w:rPr>
          <w:color w:val="auto"/>
          <w:sz w:val="28"/>
          <w:szCs w:val="28"/>
        </w:rPr>
        <w:t>月</w:t>
      </w:r>
      <w:r>
        <w:rPr>
          <w:rFonts w:hint="eastAsia"/>
          <w:color w:val="auto"/>
          <w:sz w:val="28"/>
          <w:szCs w:val="28"/>
          <w:lang w:val="en-US" w:eastAsia="zh-CN"/>
        </w:rPr>
        <w:t>20</w:t>
      </w:r>
      <w:r>
        <w:rPr>
          <w:color w:val="auto"/>
          <w:sz w:val="28"/>
          <w:szCs w:val="28"/>
        </w:rPr>
        <w:t>日，编制人员再次对项目区进行了现场踏勘，并随机走访了治理与复垦影响区域的土地权属人，编制人员首先介绍了项目的性质、类型、规模以及国家相关政策，如实向公众阐明本项目可能产生的地面塌陷</w:t>
      </w:r>
      <w:r>
        <w:rPr>
          <w:rFonts w:hint="eastAsia"/>
          <w:color w:val="auto"/>
          <w:sz w:val="28"/>
          <w:szCs w:val="28"/>
        </w:rPr>
        <w:t>等</w:t>
      </w:r>
      <w:r>
        <w:rPr>
          <w:color w:val="auto"/>
          <w:sz w:val="28"/>
          <w:szCs w:val="28"/>
        </w:rPr>
        <w:t>地质灾害以及本次工作的主要目的和任务。介绍了项目投资、复垦工程实施后能给当地村民带来的经济效益以及对促进地方经济发展、保护当地生态环境的情况。根据当地的经济、文化水平，确保被调查人员</w:t>
      </w:r>
      <w:r>
        <w:rPr>
          <w:rFonts w:hint="eastAsia"/>
          <w:color w:val="auto"/>
          <w:sz w:val="28"/>
          <w:szCs w:val="28"/>
          <w:lang w:eastAsia="zh-CN"/>
        </w:rPr>
        <w:t>对</w:t>
      </w:r>
      <w:r>
        <w:rPr>
          <w:color w:val="auto"/>
          <w:sz w:val="28"/>
          <w:szCs w:val="28"/>
        </w:rPr>
        <w:t>该项目有一定的了解，矿山也以</w:t>
      </w:r>
      <w:r>
        <w:rPr>
          <w:rFonts w:hint="eastAsia"/>
          <w:color w:val="auto"/>
          <w:sz w:val="28"/>
          <w:szCs w:val="28"/>
          <w:lang w:val="en-US" w:eastAsia="zh-CN"/>
        </w:rPr>
        <w:t>行政村</w:t>
      </w:r>
      <w:r>
        <w:rPr>
          <w:color w:val="auto"/>
          <w:sz w:val="28"/>
          <w:szCs w:val="28"/>
        </w:rPr>
        <w:t>为单位组织部分村民代表就方案的具体思想进行了沟通，并进行了现场调查。</w:t>
      </w:r>
    </w:p>
    <w:p w14:paraId="069C6717">
      <w:pPr>
        <w:adjustRightInd w:val="0"/>
        <w:snapToGrid w:val="0"/>
        <w:spacing w:line="360" w:lineRule="auto"/>
        <w:ind w:firstLine="562" w:firstLineChars="200"/>
        <w:outlineLvl w:val="2"/>
        <w:rPr>
          <w:b/>
          <w:bCs/>
          <w:color w:val="auto"/>
          <w:sz w:val="28"/>
          <w:szCs w:val="28"/>
        </w:rPr>
      </w:pPr>
      <w:r>
        <w:rPr>
          <w:b/>
          <w:bCs/>
          <w:color w:val="auto"/>
          <w:sz w:val="28"/>
          <w:szCs w:val="28"/>
        </w:rPr>
        <w:t>二、方案编制期间的公众参与</w:t>
      </w:r>
    </w:p>
    <w:p w14:paraId="58364FF5">
      <w:pPr>
        <w:adjustRightInd w:val="0"/>
        <w:snapToGrid w:val="0"/>
        <w:spacing w:line="360" w:lineRule="auto"/>
        <w:ind w:firstLine="560" w:firstLineChars="200"/>
        <w:rPr>
          <w:color w:val="auto"/>
          <w:sz w:val="28"/>
          <w:szCs w:val="28"/>
        </w:rPr>
      </w:pPr>
      <w:r>
        <w:rPr>
          <w:color w:val="auto"/>
          <w:sz w:val="28"/>
          <w:szCs w:val="28"/>
        </w:rPr>
        <w:t>1、调查范围和内容</w:t>
      </w:r>
    </w:p>
    <w:p w14:paraId="3AC920F1">
      <w:pPr>
        <w:adjustRightInd w:val="0"/>
        <w:snapToGrid w:val="0"/>
        <w:spacing w:line="360" w:lineRule="auto"/>
        <w:ind w:firstLine="560" w:firstLineChars="200"/>
        <w:rPr>
          <w:color w:val="auto"/>
          <w:sz w:val="28"/>
          <w:szCs w:val="28"/>
        </w:rPr>
      </w:pPr>
      <w:r>
        <w:rPr>
          <w:color w:val="auto"/>
          <w:sz w:val="28"/>
          <w:szCs w:val="28"/>
        </w:rPr>
        <w:t>本方案草案形</w:t>
      </w:r>
      <w:r>
        <w:rPr>
          <w:rFonts w:hint="eastAsia"/>
          <w:color w:val="auto"/>
          <w:sz w:val="28"/>
          <w:szCs w:val="28"/>
          <w:lang w:eastAsia="zh-CN"/>
        </w:rPr>
        <w:t>成后</w:t>
      </w:r>
      <w:r>
        <w:rPr>
          <w:color w:val="auto"/>
          <w:sz w:val="28"/>
          <w:szCs w:val="28"/>
        </w:rPr>
        <w:t>，项目编制人员到项目区进行走访，组织方案讨论会，广泛征集</w:t>
      </w:r>
      <w:r>
        <w:rPr>
          <w:rFonts w:hint="eastAsia"/>
          <w:color w:val="auto"/>
          <w:sz w:val="28"/>
          <w:szCs w:val="28"/>
          <w:lang w:val="en-US" w:eastAsia="zh-CN"/>
        </w:rPr>
        <w:t>窑沟门</w:t>
      </w:r>
      <w:r>
        <w:rPr>
          <w:color w:val="auto"/>
          <w:sz w:val="28"/>
          <w:szCs w:val="28"/>
        </w:rPr>
        <w:t>村当地农牧民的意见，对方案进行了修订。调查方式主要以</w:t>
      </w:r>
      <w:r>
        <w:rPr>
          <w:rFonts w:hint="eastAsia"/>
          <w:color w:val="auto"/>
          <w:sz w:val="28"/>
          <w:szCs w:val="28"/>
          <w:lang w:val="en-US" w:eastAsia="zh-CN"/>
        </w:rPr>
        <w:t>会议</w:t>
      </w:r>
      <w:r>
        <w:rPr>
          <w:color w:val="auto"/>
          <w:sz w:val="28"/>
          <w:szCs w:val="28"/>
        </w:rPr>
        <w:t>和发放《公众参与调查表》的形式进行，内容涉及公众对生产项目的态度、对项目有利影响和不利影响的看法、公众的愿望和要求等。</w:t>
      </w:r>
    </w:p>
    <w:p w14:paraId="2ED765C1">
      <w:pPr>
        <w:adjustRightInd w:val="0"/>
        <w:snapToGrid w:val="0"/>
        <w:spacing w:line="360" w:lineRule="auto"/>
        <w:ind w:firstLine="560" w:firstLineChars="200"/>
        <w:rPr>
          <w:color w:val="auto"/>
          <w:sz w:val="28"/>
          <w:szCs w:val="28"/>
        </w:rPr>
      </w:pPr>
      <w:r>
        <w:rPr>
          <w:color w:val="auto"/>
          <w:sz w:val="28"/>
          <w:szCs w:val="28"/>
        </w:rPr>
        <w:t>2、公众参与统计</w:t>
      </w:r>
    </w:p>
    <w:p w14:paraId="123A113F">
      <w:pPr>
        <w:adjustRightInd w:val="0"/>
        <w:snapToGrid w:val="0"/>
        <w:spacing w:line="240" w:lineRule="auto"/>
        <w:ind w:firstLine="440" w:firstLineChars="200"/>
        <w:jc w:val="center"/>
        <w:rPr>
          <w:rFonts w:hint="eastAsia" w:ascii="黑体" w:hAnsi="黑体" w:eastAsia="黑体" w:cs="黑体"/>
          <w:color w:val="auto"/>
          <w:sz w:val="22"/>
          <w:szCs w:val="22"/>
        </w:rPr>
      </w:pPr>
      <w:r>
        <w:rPr>
          <w:rFonts w:hint="eastAsia" w:ascii="黑体" w:hAnsi="黑体" w:eastAsia="黑体" w:cs="黑体"/>
          <w:color w:val="auto"/>
          <w:sz w:val="22"/>
          <w:szCs w:val="22"/>
        </w:rPr>
        <w:t>表7-1  公众调查结果统计表</w:t>
      </w:r>
    </w:p>
    <w:tbl>
      <w:tblPr>
        <w:tblStyle w:val="34"/>
        <w:tblW w:w="4998" w:type="pct"/>
        <w:jc w:val="center"/>
        <w:tblLayout w:type="autofit"/>
        <w:tblCellMar>
          <w:top w:w="0" w:type="dxa"/>
          <w:left w:w="108" w:type="dxa"/>
          <w:bottom w:w="0" w:type="dxa"/>
          <w:right w:w="108" w:type="dxa"/>
        </w:tblCellMar>
      </w:tblPr>
      <w:tblGrid>
        <w:gridCol w:w="1165"/>
        <w:gridCol w:w="928"/>
        <w:gridCol w:w="1479"/>
        <w:gridCol w:w="906"/>
        <w:gridCol w:w="1416"/>
        <w:gridCol w:w="2415"/>
      </w:tblGrid>
      <w:tr w14:paraId="64AB5FB2">
        <w:tblPrEx>
          <w:tblCellMar>
            <w:top w:w="0" w:type="dxa"/>
            <w:left w:w="108" w:type="dxa"/>
            <w:bottom w:w="0" w:type="dxa"/>
            <w:right w:w="108" w:type="dxa"/>
          </w:tblCellMar>
        </w:tblPrEx>
        <w:trPr>
          <w:trHeight w:val="340" w:hRule="atLeast"/>
          <w:jc w:val="center"/>
        </w:trPr>
        <w:tc>
          <w:tcPr>
            <w:tcW w:w="701" w:type="pct"/>
            <w:tcBorders>
              <w:top w:val="single" w:color="000000" w:sz="4" w:space="0"/>
              <w:left w:val="single" w:color="000000" w:sz="4" w:space="0"/>
              <w:bottom w:val="single" w:color="000000" w:sz="4" w:space="0"/>
              <w:right w:val="single" w:color="000000" w:sz="4" w:space="0"/>
            </w:tcBorders>
            <w:vAlign w:val="center"/>
          </w:tcPr>
          <w:p w14:paraId="24F940D8">
            <w:pPr>
              <w:widowControl/>
              <w:jc w:val="center"/>
              <w:textAlignment w:val="center"/>
              <w:rPr>
                <w:b w:val="0"/>
                <w:bCs w:val="0"/>
                <w:color w:val="auto"/>
                <w:szCs w:val="21"/>
              </w:rPr>
            </w:pPr>
            <w:r>
              <w:rPr>
                <w:b w:val="0"/>
                <w:bCs w:val="0"/>
                <w:color w:val="auto"/>
                <w:kern w:val="0"/>
                <w:szCs w:val="21"/>
                <w:lang w:bidi="ar"/>
              </w:rPr>
              <w:t>项目名称</w:t>
            </w:r>
          </w:p>
        </w:tc>
        <w:tc>
          <w:tcPr>
            <w:tcW w:w="4298" w:type="pct"/>
            <w:gridSpan w:val="5"/>
            <w:tcBorders>
              <w:top w:val="single" w:color="000000" w:sz="4" w:space="0"/>
              <w:left w:val="single" w:color="000000" w:sz="4" w:space="0"/>
              <w:bottom w:val="single" w:color="000000" w:sz="4" w:space="0"/>
              <w:right w:val="single" w:color="000000" w:sz="4" w:space="0"/>
            </w:tcBorders>
            <w:vAlign w:val="center"/>
          </w:tcPr>
          <w:p w14:paraId="32793D7E">
            <w:pPr>
              <w:widowControl/>
              <w:jc w:val="center"/>
              <w:textAlignment w:val="center"/>
              <w:rPr>
                <w:b w:val="0"/>
                <w:bCs w:val="0"/>
                <w:color w:val="auto"/>
                <w:szCs w:val="21"/>
              </w:rPr>
            </w:pPr>
            <w:r>
              <w:rPr>
                <w:rFonts w:hint="eastAsia"/>
                <w:b w:val="0"/>
                <w:bCs w:val="0"/>
                <w:color w:val="auto"/>
                <w:kern w:val="0"/>
                <w:szCs w:val="21"/>
                <w:lang w:val="en-US" w:eastAsia="zh-CN" w:bidi="ar"/>
              </w:rPr>
              <w:t>松山区初头朗镇窑沟门碎石矿矿区生态修复</w:t>
            </w:r>
          </w:p>
        </w:tc>
      </w:tr>
      <w:tr w14:paraId="79EF7B1E">
        <w:tblPrEx>
          <w:tblCellMar>
            <w:top w:w="0" w:type="dxa"/>
            <w:left w:w="108" w:type="dxa"/>
            <w:bottom w:w="0" w:type="dxa"/>
            <w:right w:w="108" w:type="dxa"/>
          </w:tblCellMar>
        </w:tblPrEx>
        <w:trPr>
          <w:trHeight w:val="340" w:hRule="atLeast"/>
          <w:jc w:val="center"/>
        </w:trPr>
        <w:tc>
          <w:tcPr>
            <w:tcW w:w="701" w:type="pct"/>
            <w:tcBorders>
              <w:top w:val="single" w:color="000000" w:sz="4" w:space="0"/>
              <w:left w:val="single" w:color="000000" w:sz="4" w:space="0"/>
              <w:bottom w:val="single" w:color="000000" w:sz="4" w:space="0"/>
              <w:right w:val="single" w:color="000000" w:sz="4" w:space="0"/>
            </w:tcBorders>
            <w:vAlign w:val="center"/>
          </w:tcPr>
          <w:p w14:paraId="524967CF">
            <w:pPr>
              <w:widowControl/>
              <w:jc w:val="center"/>
              <w:textAlignment w:val="center"/>
              <w:rPr>
                <w:b w:val="0"/>
                <w:bCs w:val="0"/>
                <w:color w:val="auto"/>
                <w:szCs w:val="21"/>
              </w:rPr>
            </w:pPr>
            <w:r>
              <w:rPr>
                <w:b w:val="0"/>
                <w:bCs w:val="0"/>
                <w:color w:val="auto"/>
                <w:kern w:val="0"/>
                <w:szCs w:val="21"/>
                <w:lang w:bidi="ar"/>
              </w:rPr>
              <w:t>项目地点</w:t>
            </w:r>
          </w:p>
        </w:tc>
        <w:tc>
          <w:tcPr>
            <w:tcW w:w="4298" w:type="pct"/>
            <w:gridSpan w:val="5"/>
            <w:tcBorders>
              <w:top w:val="single" w:color="000000" w:sz="4" w:space="0"/>
              <w:left w:val="single" w:color="000000" w:sz="4" w:space="0"/>
              <w:bottom w:val="single" w:color="000000" w:sz="4" w:space="0"/>
              <w:right w:val="single" w:color="000000" w:sz="4" w:space="0"/>
            </w:tcBorders>
            <w:vAlign w:val="center"/>
          </w:tcPr>
          <w:p w14:paraId="690B73B6">
            <w:pPr>
              <w:widowControl/>
              <w:jc w:val="center"/>
              <w:textAlignment w:val="center"/>
              <w:rPr>
                <w:rFonts w:hint="default" w:eastAsia="宋体"/>
                <w:b w:val="0"/>
                <w:bCs w:val="0"/>
                <w:color w:val="auto"/>
                <w:szCs w:val="21"/>
                <w:lang w:val="en-US" w:eastAsia="zh-CN"/>
              </w:rPr>
            </w:pPr>
            <w:r>
              <w:rPr>
                <w:rFonts w:hint="eastAsia"/>
                <w:b w:val="0"/>
                <w:bCs w:val="0"/>
                <w:color w:val="auto"/>
                <w:kern w:val="0"/>
                <w:szCs w:val="21"/>
                <w:lang w:val="en-US" w:eastAsia="zh-CN" w:bidi="ar"/>
              </w:rPr>
              <w:t>窑沟门村</w:t>
            </w:r>
          </w:p>
        </w:tc>
      </w:tr>
      <w:tr w14:paraId="2DF7692B">
        <w:tblPrEx>
          <w:tblCellMar>
            <w:top w:w="0" w:type="dxa"/>
            <w:left w:w="108" w:type="dxa"/>
            <w:bottom w:w="0" w:type="dxa"/>
            <w:right w:w="108" w:type="dxa"/>
          </w:tblCellMar>
        </w:tblPrEx>
        <w:trPr>
          <w:trHeight w:val="340" w:hRule="atLeast"/>
          <w:jc w:val="center"/>
        </w:trPr>
        <w:tc>
          <w:tcPr>
            <w:tcW w:w="701" w:type="pct"/>
            <w:tcBorders>
              <w:top w:val="single" w:color="000000" w:sz="4" w:space="0"/>
              <w:left w:val="single" w:color="000000" w:sz="4" w:space="0"/>
              <w:bottom w:val="single" w:color="000000" w:sz="4" w:space="0"/>
              <w:right w:val="single" w:color="000000" w:sz="4" w:space="0"/>
            </w:tcBorders>
            <w:vAlign w:val="center"/>
          </w:tcPr>
          <w:p w14:paraId="597B9B25">
            <w:pPr>
              <w:widowControl/>
              <w:jc w:val="center"/>
              <w:textAlignment w:val="center"/>
              <w:rPr>
                <w:b w:val="0"/>
                <w:bCs w:val="0"/>
                <w:color w:val="auto"/>
                <w:szCs w:val="21"/>
              </w:rPr>
            </w:pPr>
            <w:r>
              <w:rPr>
                <w:b w:val="0"/>
                <w:bCs w:val="0"/>
                <w:color w:val="auto"/>
                <w:kern w:val="0"/>
                <w:szCs w:val="21"/>
                <w:lang w:bidi="ar"/>
              </w:rPr>
              <w:t>发放份数</w:t>
            </w:r>
          </w:p>
        </w:tc>
        <w:tc>
          <w:tcPr>
            <w:tcW w:w="558" w:type="pct"/>
            <w:tcBorders>
              <w:top w:val="single" w:color="000000" w:sz="4" w:space="0"/>
              <w:left w:val="single" w:color="000000" w:sz="4" w:space="0"/>
              <w:bottom w:val="single" w:color="000000" w:sz="4" w:space="0"/>
              <w:right w:val="single" w:color="000000" w:sz="4" w:space="0"/>
            </w:tcBorders>
            <w:vAlign w:val="center"/>
          </w:tcPr>
          <w:p w14:paraId="20C6788D">
            <w:pPr>
              <w:widowControl/>
              <w:jc w:val="center"/>
              <w:textAlignment w:val="center"/>
              <w:rPr>
                <w:b w:val="0"/>
                <w:bCs w:val="0"/>
                <w:color w:val="auto"/>
                <w:szCs w:val="21"/>
              </w:rPr>
            </w:pPr>
            <w:r>
              <w:rPr>
                <w:rFonts w:hint="eastAsia"/>
                <w:b w:val="0"/>
                <w:bCs w:val="0"/>
                <w:color w:val="auto"/>
                <w:kern w:val="0"/>
                <w:szCs w:val="21"/>
                <w:lang w:val="en-US" w:eastAsia="zh-CN" w:bidi="ar"/>
              </w:rPr>
              <w:t>4</w:t>
            </w:r>
            <w:r>
              <w:rPr>
                <w:b w:val="0"/>
                <w:bCs w:val="0"/>
                <w:color w:val="auto"/>
                <w:kern w:val="0"/>
                <w:szCs w:val="21"/>
                <w:lang w:bidi="ar"/>
              </w:rPr>
              <w:t>份</w:t>
            </w:r>
          </w:p>
        </w:tc>
        <w:tc>
          <w:tcPr>
            <w:tcW w:w="889" w:type="pct"/>
            <w:tcBorders>
              <w:top w:val="single" w:color="000000" w:sz="4" w:space="0"/>
              <w:left w:val="single" w:color="000000" w:sz="4" w:space="0"/>
              <w:bottom w:val="single" w:color="000000" w:sz="4" w:space="0"/>
              <w:right w:val="single" w:color="000000" w:sz="4" w:space="0"/>
            </w:tcBorders>
            <w:vAlign w:val="center"/>
          </w:tcPr>
          <w:p w14:paraId="49CC9356">
            <w:pPr>
              <w:widowControl/>
              <w:jc w:val="center"/>
              <w:textAlignment w:val="center"/>
              <w:rPr>
                <w:b w:val="0"/>
                <w:bCs w:val="0"/>
                <w:color w:val="auto"/>
                <w:szCs w:val="21"/>
              </w:rPr>
            </w:pPr>
            <w:r>
              <w:rPr>
                <w:b w:val="0"/>
                <w:bCs w:val="0"/>
                <w:color w:val="auto"/>
                <w:kern w:val="0"/>
                <w:szCs w:val="21"/>
                <w:lang w:bidi="ar"/>
              </w:rPr>
              <w:t>回收份数</w:t>
            </w:r>
          </w:p>
        </w:tc>
        <w:tc>
          <w:tcPr>
            <w:tcW w:w="545" w:type="pct"/>
            <w:tcBorders>
              <w:top w:val="single" w:color="000000" w:sz="4" w:space="0"/>
              <w:left w:val="single" w:color="000000" w:sz="4" w:space="0"/>
              <w:bottom w:val="single" w:color="000000" w:sz="4" w:space="0"/>
              <w:right w:val="single" w:color="000000" w:sz="4" w:space="0"/>
            </w:tcBorders>
            <w:vAlign w:val="center"/>
          </w:tcPr>
          <w:p w14:paraId="00C1D4A5">
            <w:pPr>
              <w:widowControl/>
              <w:jc w:val="center"/>
              <w:textAlignment w:val="center"/>
              <w:rPr>
                <w:b w:val="0"/>
                <w:bCs w:val="0"/>
                <w:color w:val="auto"/>
                <w:szCs w:val="21"/>
              </w:rPr>
            </w:pPr>
            <w:r>
              <w:rPr>
                <w:rFonts w:hint="eastAsia"/>
                <w:b w:val="0"/>
                <w:bCs w:val="0"/>
                <w:color w:val="auto"/>
                <w:kern w:val="0"/>
                <w:szCs w:val="21"/>
                <w:lang w:val="en-US" w:eastAsia="zh-CN" w:bidi="ar"/>
              </w:rPr>
              <w:t>4</w:t>
            </w:r>
            <w:r>
              <w:rPr>
                <w:b w:val="0"/>
                <w:bCs w:val="0"/>
                <w:color w:val="auto"/>
                <w:kern w:val="0"/>
                <w:szCs w:val="21"/>
                <w:lang w:bidi="ar"/>
              </w:rPr>
              <w:t>份</w:t>
            </w:r>
          </w:p>
        </w:tc>
        <w:tc>
          <w:tcPr>
            <w:tcW w:w="852" w:type="pct"/>
            <w:tcBorders>
              <w:top w:val="single" w:color="000000" w:sz="4" w:space="0"/>
              <w:left w:val="single" w:color="000000" w:sz="4" w:space="0"/>
              <w:bottom w:val="single" w:color="000000" w:sz="4" w:space="0"/>
              <w:right w:val="single" w:color="000000" w:sz="4" w:space="0"/>
            </w:tcBorders>
            <w:vAlign w:val="center"/>
          </w:tcPr>
          <w:p w14:paraId="42950EFB">
            <w:pPr>
              <w:widowControl/>
              <w:jc w:val="center"/>
              <w:textAlignment w:val="center"/>
              <w:rPr>
                <w:b w:val="0"/>
                <w:bCs w:val="0"/>
                <w:color w:val="auto"/>
                <w:szCs w:val="21"/>
              </w:rPr>
            </w:pPr>
            <w:r>
              <w:rPr>
                <w:b w:val="0"/>
                <w:bCs w:val="0"/>
                <w:color w:val="auto"/>
                <w:kern w:val="0"/>
                <w:szCs w:val="21"/>
                <w:lang w:bidi="ar"/>
              </w:rPr>
              <w:t>有效份数</w:t>
            </w:r>
          </w:p>
        </w:tc>
        <w:tc>
          <w:tcPr>
            <w:tcW w:w="1452" w:type="pct"/>
            <w:tcBorders>
              <w:top w:val="single" w:color="000000" w:sz="4" w:space="0"/>
              <w:left w:val="single" w:color="000000" w:sz="4" w:space="0"/>
              <w:bottom w:val="single" w:color="000000" w:sz="4" w:space="0"/>
              <w:right w:val="single" w:color="000000" w:sz="4" w:space="0"/>
            </w:tcBorders>
            <w:vAlign w:val="center"/>
          </w:tcPr>
          <w:p w14:paraId="2E5C66F4">
            <w:pPr>
              <w:widowControl/>
              <w:jc w:val="center"/>
              <w:textAlignment w:val="center"/>
              <w:rPr>
                <w:b w:val="0"/>
                <w:bCs w:val="0"/>
                <w:color w:val="auto"/>
                <w:szCs w:val="21"/>
              </w:rPr>
            </w:pPr>
            <w:r>
              <w:rPr>
                <w:rFonts w:hint="eastAsia"/>
                <w:b w:val="0"/>
                <w:bCs w:val="0"/>
                <w:color w:val="auto"/>
                <w:kern w:val="0"/>
                <w:szCs w:val="21"/>
                <w:lang w:val="en-US" w:eastAsia="zh-CN" w:bidi="ar"/>
              </w:rPr>
              <w:t>4</w:t>
            </w:r>
            <w:r>
              <w:rPr>
                <w:b w:val="0"/>
                <w:bCs w:val="0"/>
                <w:color w:val="auto"/>
                <w:kern w:val="0"/>
                <w:szCs w:val="21"/>
                <w:lang w:bidi="ar"/>
              </w:rPr>
              <w:t>份</w:t>
            </w:r>
          </w:p>
        </w:tc>
      </w:tr>
      <w:tr w14:paraId="45CF79CE">
        <w:tblPrEx>
          <w:tblCellMar>
            <w:top w:w="0" w:type="dxa"/>
            <w:left w:w="108" w:type="dxa"/>
            <w:bottom w:w="0" w:type="dxa"/>
            <w:right w:w="108" w:type="dxa"/>
          </w:tblCellMar>
        </w:tblPrEx>
        <w:trPr>
          <w:trHeight w:val="340" w:hRule="atLeast"/>
          <w:jc w:val="center"/>
        </w:trPr>
        <w:tc>
          <w:tcPr>
            <w:tcW w:w="701" w:type="pct"/>
            <w:vMerge w:val="restart"/>
            <w:tcBorders>
              <w:top w:val="single" w:color="000000" w:sz="4" w:space="0"/>
              <w:left w:val="single" w:color="000000" w:sz="4" w:space="0"/>
              <w:bottom w:val="single" w:color="000000" w:sz="4" w:space="0"/>
              <w:right w:val="single" w:color="000000" w:sz="4" w:space="0"/>
            </w:tcBorders>
            <w:vAlign w:val="center"/>
          </w:tcPr>
          <w:p w14:paraId="0AC1F432">
            <w:pPr>
              <w:widowControl/>
              <w:jc w:val="center"/>
              <w:textAlignment w:val="center"/>
              <w:rPr>
                <w:b w:val="0"/>
                <w:bCs w:val="0"/>
                <w:color w:val="auto"/>
                <w:szCs w:val="21"/>
              </w:rPr>
            </w:pPr>
            <w:r>
              <w:rPr>
                <w:b w:val="0"/>
                <w:bCs w:val="0"/>
                <w:color w:val="auto"/>
                <w:kern w:val="0"/>
                <w:szCs w:val="21"/>
                <w:lang w:bidi="ar"/>
              </w:rPr>
              <w:t>性别</w:t>
            </w:r>
          </w:p>
        </w:tc>
        <w:tc>
          <w:tcPr>
            <w:tcW w:w="1448" w:type="pct"/>
            <w:gridSpan w:val="2"/>
            <w:tcBorders>
              <w:top w:val="single" w:color="000000" w:sz="4" w:space="0"/>
              <w:left w:val="single" w:color="000000" w:sz="4" w:space="0"/>
              <w:bottom w:val="single" w:color="000000" w:sz="4" w:space="0"/>
              <w:right w:val="single" w:color="000000" w:sz="4" w:space="0"/>
            </w:tcBorders>
            <w:vAlign w:val="center"/>
          </w:tcPr>
          <w:p w14:paraId="053EB94E">
            <w:pPr>
              <w:widowControl/>
              <w:jc w:val="center"/>
              <w:textAlignment w:val="center"/>
              <w:rPr>
                <w:b w:val="0"/>
                <w:bCs w:val="0"/>
                <w:color w:val="auto"/>
                <w:szCs w:val="21"/>
              </w:rPr>
            </w:pPr>
            <w:r>
              <w:rPr>
                <w:b w:val="0"/>
                <w:bCs w:val="0"/>
                <w:color w:val="auto"/>
                <w:kern w:val="0"/>
                <w:szCs w:val="21"/>
                <w:lang w:bidi="ar"/>
              </w:rPr>
              <w:t>男性人数</w:t>
            </w:r>
          </w:p>
        </w:tc>
        <w:tc>
          <w:tcPr>
            <w:tcW w:w="545" w:type="pct"/>
            <w:tcBorders>
              <w:top w:val="single" w:color="000000" w:sz="4" w:space="0"/>
              <w:left w:val="single" w:color="000000" w:sz="4" w:space="0"/>
              <w:bottom w:val="single" w:color="000000" w:sz="4" w:space="0"/>
              <w:right w:val="single" w:color="000000" w:sz="4" w:space="0"/>
            </w:tcBorders>
            <w:vAlign w:val="center"/>
          </w:tcPr>
          <w:p w14:paraId="6B900BC3">
            <w:pPr>
              <w:widowControl/>
              <w:jc w:val="center"/>
              <w:textAlignment w:val="center"/>
              <w:rPr>
                <w:rFonts w:hint="eastAsia" w:eastAsia="宋体"/>
                <w:b w:val="0"/>
                <w:bCs w:val="0"/>
                <w:color w:val="auto"/>
                <w:szCs w:val="21"/>
                <w:lang w:eastAsia="zh-CN"/>
              </w:rPr>
            </w:pPr>
            <w:r>
              <w:rPr>
                <w:rFonts w:hint="eastAsia"/>
                <w:b w:val="0"/>
                <w:bCs w:val="0"/>
                <w:color w:val="auto"/>
                <w:kern w:val="0"/>
                <w:szCs w:val="21"/>
                <w:lang w:val="en-US" w:eastAsia="zh-CN" w:bidi="ar"/>
              </w:rPr>
              <w:t>4</w:t>
            </w:r>
          </w:p>
        </w:tc>
        <w:tc>
          <w:tcPr>
            <w:tcW w:w="852" w:type="pct"/>
            <w:vMerge w:val="restart"/>
            <w:tcBorders>
              <w:top w:val="single" w:color="000000" w:sz="4" w:space="0"/>
              <w:left w:val="single" w:color="000000" w:sz="4" w:space="0"/>
              <w:bottom w:val="single" w:color="000000" w:sz="4" w:space="0"/>
              <w:right w:val="single" w:color="000000" w:sz="4" w:space="0"/>
            </w:tcBorders>
            <w:vAlign w:val="center"/>
          </w:tcPr>
          <w:p w14:paraId="7879431B">
            <w:pPr>
              <w:widowControl/>
              <w:jc w:val="center"/>
              <w:textAlignment w:val="center"/>
              <w:rPr>
                <w:b w:val="0"/>
                <w:bCs w:val="0"/>
                <w:color w:val="auto"/>
                <w:szCs w:val="21"/>
              </w:rPr>
            </w:pPr>
            <w:r>
              <w:rPr>
                <w:b w:val="0"/>
                <w:bCs w:val="0"/>
                <w:color w:val="auto"/>
                <w:kern w:val="0"/>
                <w:szCs w:val="21"/>
                <w:lang w:bidi="ar"/>
              </w:rPr>
              <w:t>性别比例</w:t>
            </w:r>
          </w:p>
        </w:tc>
        <w:tc>
          <w:tcPr>
            <w:tcW w:w="1452" w:type="pct"/>
            <w:vMerge w:val="restart"/>
            <w:tcBorders>
              <w:top w:val="single" w:color="000000" w:sz="4" w:space="0"/>
              <w:left w:val="single" w:color="000000" w:sz="4" w:space="0"/>
              <w:bottom w:val="single" w:color="000000" w:sz="4" w:space="0"/>
              <w:right w:val="single" w:color="000000" w:sz="4" w:space="0"/>
            </w:tcBorders>
            <w:vAlign w:val="center"/>
          </w:tcPr>
          <w:p w14:paraId="7B172B9C">
            <w:pPr>
              <w:widowControl/>
              <w:jc w:val="center"/>
              <w:textAlignment w:val="center"/>
              <w:rPr>
                <w:rFonts w:hint="eastAsia" w:eastAsia="宋体"/>
                <w:b w:val="0"/>
                <w:bCs w:val="0"/>
                <w:color w:val="auto"/>
                <w:szCs w:val="21"/>
                <w:lang w:val="en-US" w:eastAsia="zh-CN"/>
              </w:rPr>
            </w:pPr>
            <w:r>
              <w:rPr>
                <w:rFonts w:hint="eastAsia"/>
                <w:b w:val="0"/>
                <w:bCs w:val="0"/>
                <w:color w:val="auto"/>
                <w:kern w:val="0"/>
                <w:szCs w:val="21"/>
                <w:lang w:val="en-US" w:eastAsia="zh-CN" w:bidi="ar"/>
              </w:rPr>
              <w:t>4</w:t>
            </w:r>
            <w:r>
              <w:rPr>
                <w:b w:val="0"/>
                <w:bCs w:val="0"/>
                <w:color w:val="auto"/>
                <w:kern w:val="0"/>
                <w:szCs w:val="21"/>
                <w:lang w:bidi="ar"/>
              </w:rPr>
              <w:t>:</w:t>
            </w:r>
            <w:r>
              <w:rPr>
                <w:rFonts w:hint="eastAsia"/>
                <w:b w:val="0"/>
                <w:bCs w:val="0"/>
                <w:color w:val="auto"/>
                <w:kern w:val="0"/>
                <w:szCs w:val="21"/>
                <w:lang w:val="en-US" w:eastAsia="zh-CN" w:bidi="ar"/>
              </w:rPr>
              <w:t>0</w:t>
            </w:r>
          </w:p>
        </w:tc>
      </w:tr>
      <w:tr w14:paraId="2DDF7704">
        <w:tblPrEx>
          <w:tblCellMar>
            <w:top w:w="0" w:type="dxa"/>
            <w:left w:w="108" w:type="dxa"/>
            <w:bottom w:w="0" w:type="dxa"/>
            <w:right w:w="108" w:type="dxa"/>
          </w:tblCellMar>
        </w:tblPrEx>
        <w:trPr>
          <w:trHeight w:val="290" w:hRule="atLeast"/>
          <w:jc w:val="center"/>
        </w:trPr>
        <w:tc>
          <w:tcPr>
            <w:tcW w:w="701" w:type="pct"/>
            <w:vMerge w:val="continue"/>
            <w:tcBorders>
              <w:top w:val="single" w:color="000000" w:sz="4" w:space="0"/>
              <w:left w:val="single" w:color="000000" w:sz="4" w:space="0"/>
              <w:bottom w:val="single" w:color="000000" w:sz="4" w:space="0"/>
              <w:right w:val="single" w:color="000000" w:sz="4" w:space="0"/>
            </w:tcBorders>
            <w:vAlign w:val="center"/>
          </w:tcPr>
          <w:p w14:paraId="44A69625">
            <w:pPr>
              <w:widowControl/>
              <w:jc w:val="center"/>
              <w:rPr>
                <w:b w:val="0"/>
                <w:bCs w:val="0"/>
                <w:color w:val="auto"/>
                <w:szCs w:val="21"/>
              </w:rPr>
            </w:pPr>
          </w:p>
        </w:tc>
        <w:tc>
          <w:tcPr>
            <w:tcW w:w="1448" w:type="pct"/>
            <w:gridSpan w:val="2"/>
            <w:tcBorders>
              <w:top w:val="single" w:color="000000" w:sz="4" w:space="0"/>
              <w:left w:val="single" w:color="000000" w:sz="4" w:space="0"/>
              <w:bottom w:val="single" w:color="000000" w:sz="4" w:space="0"/>
              <w:right w:val="single" w:color="000000" w:sz="4" w:space="0"/>
            </w:tcBorders>
            <w:vAlign w:val="center"/>
          </w:tcPr>
          <w:p w14:paraId="252CE965">
            <w:pPr>
              <w:widowControl/>
              <w:jc w:val="center"/>
              <w:textAlignment w:val="center"/>
              <w:rPr>
                <w:b w:val="0"/>
                <w:bCs w:val="0"/>
                <w:color w:val="auto"/>
                <w:szCs w:val="21"/>
              </w:rPr>
            </w:pPr>
            <w:r>
              <w:rPr>
                <w:b w:val="0"/>
                <w:bCs w:val="0"/>
                <w:color w:val="auto"/>
                <w:kern w:val="0"/>
                <w:szCs w:val="21"/>
                <w:lang w:bidi="ar"/>
              </w:rPr>
              <w:t>女性人数</w:t>
            </w:r>
          </w:p>
        </w:tc>
        <w:tc>
          <w:tcPr>
            <w:tcW w:w="545" w:type="pct"/>
            <w:tcBorders>
              <w:top w:val="single" w:color="000000" w:sz="4" w:space="0"/>
              <w:left w:val="single" w:color="000000" w:sz="4" w:space="0"/>
              <w:bottom w:val="single" w:color="000000" w:sz="4" w:space="0"/>
              <w:right w:val="single" w:color="000000" w:sz="4" w:space="0"/>
            </w:tcBorders>
            <w:vAlign w:val="center"/>
          </w:tcPr>
          <w:p w14:paraId="52E18F70">
            <w:pPr>
              <w:widowControl/>
              <w:jc w:val="center"/>
              <w:textAlignment w:val="center"/>
              <w:rPr>
                <w:rFonts w:hint="eastAsia" w:eastAsia="宋体"/>
                <w:b w:val="0"/>
                <w:bCs w:val="0"/>
                <w:color w:val="auto"/>
                <w:szCs w:val="21"/>
                <w:lang w:eastAsia="zh-CN"/>
              </w:rPr>
            </w:pPr>
            <w:r>
              <w:rPr>
                <w:rFonts w:hint="eastAsia"/>
                <w:b w:val="0"/>
                <w:bCs w:val="0"/>
                <w:color w:val="auto"/>
                <w:kern w:val="0"/>
                <w:szCs w:val="21"/>
                <w:lang w:val="en-US" w:eastAsia="zh-CN" w:bidi="ar"/>
              </w:rPr>
              <w:t>0</w:t>
            </w:r>
          </w:p>
        </w:tc>
        <w:tc>
          <w:tcPr>
            <w:tcW w:w="852" w:type="pct"/>
            <w:vMerge w:val="continue"/>
            <w:tcBorders>
              <w:top w:val="single" w:color="000000" w:sz="4" w:space="0"/>
              <w:left w:val="single" w:color="000000" w:sz="4" w:space="0"/>
              <w:bottom w:val="single" w:color="000000" w:sz="4" w:space="0"/>
              <w:right w:val="single" w:color="000000" w:sz="4" w:space="0"/>
            </w:tcBorders>
            <w:vAlign w:val="center"/>
          </w:tcPr>
          <w:p w14:paraId="3151F0FA">
            <w:pPr>
              <w:widowControl/>
              <w:jc w:val="center"/>
              <w:rPr>
                <w:b w:val="0"/>
                <w:bCs w:val="0"/>
                <w:color w:val="auto"/>
                <w:szCs w:val="21"/>
              </w:rPr>
            </w:pPr>
          </w:p>
        </w:tc>
        <w:tc>
          <w:tcPr>
            <w:tcW w:w="1452" w:type="pct"/>
            <w:vMerge w:val="continue"/>
            <w:tcBorders>
              <w:top w:val="single" w:color="000000" w:sz="4" w:space="0"/>
              <w:left w:val="single" w:color="000000" w:sz="4" w:space="0"/>
              <w:bottom w:val="single" w:color="000000" w:sz="4" w:space="0"/>
              <w:right w:val="single" w:color="000000" w:sz="4" w:space="0"/>
            </w:tcBorders>
            <w:vAlign w:val="center"/>
          </w:tcPr>
          <w:p w14:paraId="3B49AE18">
            <w:pPr>
              <w:widowControl/>
              <w:jc w:val="center"/>
              <w:rPr>
                <w:b w:val="0"/>
                <w:bCs w:val="0"/>
                <w:color w:val="auto"/>
                <w:szCs w:val="21"/>
              </w:rPr>
            </w:pPr>
          </w:p>
        </w:tc>
      </w:tr>
      <w:tr w14:paraId="1D399305">
        <w:tblPrEx>
          <w:tblCellMar>
            <w:top w:w="0" w:type="dxa"/>
            <w:left w:w="108" w:type="dxa"/>
            <w:bottom w:w="0" w:type="dxa"/>
            <w:right w:w="108" w:type="dxa"/>
          </w:tblCellMar>
        </w:tblPrEx>
        <w:trPr>
          <w:trHeight w:val="340" w:hRule="atLeast"/>
          <w:jc w:val="center"/>
        </w:trPr>
        <w:tc>
          <w:tcPr>
            <w:tcW w:w="701" w:type="pct"/>
            <w:vMerge w:val="restart"/>
            <w:tcBorders>
              <w:top w:val="single" w:color="000000" w:sz="4" w:space="0"/>
              <w:left w:val="single" w:color="000000" w:sz="4" w:space="0"/>
              <w:right w:val="single" w:color="000000" w:sz="4" w:space="0"/>
            </w:tcBorders>
            <w:vAlign w:val="center"/>
          </w:tcPr>
          <w:p w14:paraId="50CF25E5">
            <w:pPr>
              <w:widowControl/>
              <w:jc w:val="center"/>
              <w:textAlignment w:val="center"/>
              <w:rPr>
                <w:b w:val="0"/>
                <w:bCs w:val="0"/>
                <w:color w:val="auto"/>
                <w:szCs w:val="21"/>
              </w:rPr>
            </w:pPr>
            <w:r>
              <w:rPr>
                <w:b w:val="0"/>
                <w:bCs w:val="0"/>
                <w:color w:val="auto"/>
                <w:kern w:val="0"/>
                <w:szCs w:val="21"/>
                <w:lang w:bidi="ar"/>
              </w:rPr>
              <w:t>年龄</w:t>
            </w:r>
          </w:p>
        </w:tc>
        <w:tc>
          <w:tcPr>
            <w:tcW w:w="1448" w:type="pct"/>
            <w:gridSpan w:val="2"/>
            <w:tcBorders>
              <w:top w:val="single" w:color="000000" w:sz="4" w:space="0"/>
              <w:left w:val="single" w:color="000000" w:sz="4" w:space="0"/>
              <w:bottom w:val="single" w:color="000000" w:sz="4" w:space="0"/>
              <w:right w:val="single" w:color="000000" w:sz="4" w:space="0"/>
            </w:tcBorders>
            <w:vAlign w:val="center"/>
          </w:tcPr>
          <w:p w14:paraId="05BFB20E">
            <w:pPr>
              <w:widowControl/>
              <w:jc w:val="center"/>
              <w:textAlignment w:val="center"/>
              <w:rPr>
                <w:b w:val="0"/>
                <w:bCs w:val="0"/>
                <w:color w:val="auto"/>
                <w:szCs w:val="21"/>
              </w:rPr>
            </w:pPr>
            <w:r>
              <w:rPr>
                <w:b w:val="0"/>
                <w:bCs w:val="0"/>
                <w:color w:val="auto"/>
                <w:kern w:val="0"/>
                <w:szCs w:val="21"/>
                <w:lang w:bidi="ar"/>
              </w:rPr>
              <w:t>18-35 岁之间</w:t>
            </w:r>
          </w:p>
        </w:tc>
        <w:tc>
          <w:tcPr>
            <w:tcW w:w="545" w:type="pct"/>
            <w:tcBorders>
              <w:top w:val="single" w:color="000000" w:sz="4" w:space="0"/>
              <w:left w:val="single" w:color="000000" w:sz="4" w:space="0"/>
              <w:bottom w:val="single" w:color="000000" w:sz="4" w:space="0"/>
              <w:right w:val="single" w:color="000000" w:sz="4" w:space="0"/>
            </w:tcBorders>
            <w:vAlign w:val="center"/>
          </w:tcPr>
          <w:p w14:paraId="5409C624">
            <w:pPr>
              <w:widowControl/>
              <w:jc w:val="center"/>
              <w:textAlignment w:val="center"/>
              <w:rPr>
                <w:rFonts w:hint="eastAsia" w:eastAsia="宋体"/>
                <w:b w:val="0"/>
                <w:bCs w:val="0"/>
                <w:color w:val="auto"/>
                <w:szCs w:val="21"/>
                <w:lang w:eastAsia="zh-CN"/>
              </w:rPr>
            </w:pPr>
            <w:r>
              <w:rPr>
                <w:rFonts w:hint="eastAsia"/>
                <w:b w:val="0"/>
                <w:bCs w:val="0"/>
                <w:color w:val="auto"/>
                <w:kern w:val="0"/>
                <w:szCs w:val="21"/>
                <w:lang w:val="en-US" w:eastAsia="zh-CN" w:bidi="ar"/>
              </w:rPr>
              <w:t>0</w:t>
            </w:r>
          </w:p>
        </w:tc>
        <w:tc>
          <w:tcPr>
            <w:tcW w:w="852" w:type="pct"/>
            <w:tcBorders>
              <w:top w:val="single" w:color="000000" w:sz="4" w:space="0"/>
              <w:left w:val="single" w:color="000000" w:sz="4" w:space="0"/>
              <w:bottom w:val="single" w:color="000000" w:sz="4" w:space="0"/>
              <w:right w:val="single" w:color="000000" w:sz="4" w:space="0"/>
            </w:tcBorders>
            <w:vAlign w:val="center"/>
          </w:tcPr>
          <w:p w14:paraId="390553F2">
            <w:pPr>
              <w:widowControl/>
              <w:jc w:val="center"/>
              <w:rPr>
                <w:b w:val="0"/>
                <w:bCs w:val="0"/>
                <w:color w:val="auto"/>
                <w:szCs w:val="21"/>
              </w:rPr>
            </w:pPr>
          </w:p>
        </w:tc>
        <w:tc>
          <w:tcPr>
            <w:tcW w:w="1452" w:type="pct"/>
            <w:tcBorders>
              <w:top w:val="single" w:color="000000" w:sz="4" w:space="0"/>
              <w:left w:val="single" w:color="000000" w:sz="4" w:space="0"/>
              <w:bottom w:val="single" w:color="000000" w:sz="4" w:space="0"/>
              <w:right w:val="single" w:color="000000" w:sz="4" w:space="0"/>
            </w:tcBorders>
            <w:vAlign w:val="center"/>
          </w:tcPr>
          <w:p w14:paraId="7AAB21AE">
            <w:pPr>
              <w:widowControl/>
              <w:jc w:val="center"/>
              <w:rPr>
                <w:b w:val="0"/>
                <w:bCs w:val="0"/>
                <w:color w:val="auto"/>
                <w:szCs w:val="21"/>
              </w:rPr>
            </w:pPr>
          </w:p>
        </w:tc>
      </w:tr>
      <w:tr w14:paraId="0C858DA3">
        <w:tblPrEx>
          <w:tblCellMar>
            <w:top w:w="0" w:type="dxa"/>
            <w:left w:w="108" w:type="dxa"/>
            <w:bottom w:w="0" w:type="dxa"/>
            <w:right w:w="108" w:type="dxa"/>
          </w:tblCellMar>
        </w:tblPrEx>
        <w:trPr>
          <w:trHeight w:val="340" w:hRule="atLeast"/>
          <w:jc w:val="center"/>
        </w:trPr>
        <w:tc>
          <w:tcPr>
            <w:tcW w:w="701" w:type="pct"/>
            <w:vMerge w:val="continue"/>
            <w:tcBorders>
              <w:left w:val="single" w:color="000000" w:sz="4" w:space="0"/>
              <w:right w:val="single" w:color="000000" w:sz="4" w:space="0"/>
            </w:tcBorders>
            <w:vAlign w:val="center"/>
          </w:tcPr>
          <w:p w14:paraId="2AA40C48">
            <w:pPr>
              <w:widowControl/>
              <w:jc w:val="center"/>
              <w:textAlignment w:val="center"/>
              <w:rPr>
                <w:b w:val="0"/>
                <w:bCs w:val="0"/>
                <w:color w:val="auto"/>
                <w:szCs w:val="21"/>
              </w:rPr>
            </w:pPr>
          </w:p>
        </w:tc>
        <w:tc>
          <w:tcPr>
            <w:tcW w:w="1448" w:type="pct"/>
            <w:gridSpan w:val="2"/>
            <w:tcBorders>
              <w:top w:val="single" w:color="000000" w:sz="4" w:space="0"/>
              <w:left w:val="single" w:color="000000" w:sz="4" w:space="0"/>
              <w:bottom w:val="single" w:color="000000" w:sz="4" w:space="0"/>
              <w:right w:val="single" w:color="000000" w:sz="4" w:space="0"/>
            </w:tcBorders>
            <w:vAlign w:val="center"/>
          </w:tcPr>
          <w:p w14:paraId="2F3F65D0">
            <w:pPr>
              <w:widowControl/>
              <w:jc w:val="center"/>
              <w:textAlignment w:val="center"/>
              <w:rPr>
                <w:b w:val="0"/>
                <w:bCs w:val="0"/>
                <w:color w:val="auto"/>
                <w:szCs w:val="21"/>
              </w:rPr>
            </w:pPr>
            <w:r>
              <w:rPr>
                <w:b w:val="0"/>
                <w:bCs w:val="0"/>
                <w:color w:val="auto"/>
                <w:kern w:val="0"/>
                <w:szCs w:val="21"/>
                <w:lang w:bidi="ar"/>
              </w:rPr>
              <w:t>35-50 岁之间</w:t>
            </w:r>
          </w:p>
        </w:tc>
        <w:tc>
          <w:tcPr>
            <w:tcW w:w="545" w:type="pct"/>
            <w:tcBorders>
              <w:top w:val="single" w:color="000000" w:sz="4" w:space="0"/>
              <w:left w:val="single" w:color="000000" w:sz="4" w:space="0"/>
              <w:bottom w:val="single" w:color="000000" w:sz="4" w:space="0"/>
              <w:right w:val="single" w:color="000000" w:sz="4" w:space="0"/>
            </w:tcBorders>
            <w:vAlign w:val="center"/>
          </w:tcPr>
          <w:p w14:paraId="1A362F04">
            <w:pPr>
              <w:widowControl/>
              <w:jc w:val="center"/>
              <w:textAlignment w:val="center"/>
              <w:rPr>
                <w:rFonts w:hint="eastAsia" w:eastAsia="宋体"/>
                <w:b w:val="0"/>
                <w:bCs w:val="0"/>
                <w:color w:val="auto"/>
                <w:szCs w:val="21"/>
                <w:lang w:eastAsia="zh-CN"/>
              </w:rPr>
            </w:pPr>
            <w:r>
              <w:rPr>
                <w:rFonts w:hint="eastAsia"/>
                <w:b w:val="0"/>
                <w:bCs w:val="0"/>
                <w:color w:val="auto"/>
                <w:kern w:val="0"/>
                <w:szCs w:val="21"/>
                <w:lang w:val="en-US" w:eastAsia="zh-CN" w:bidi="ar"/>
              </w:rPr>
              <w:t>1</w:t>
            </w:r>
          </w:p>
        </w:tc>
        <w:tc>
          <w:tcPr>
            <w:tcW w:w="852" w:type="pct"/>
            <w:tcBorders>
              <w:top w:val="single" w:color="000000" w:sz="4" w:space="0"/>
              <w:left w:val="single" w:color="000000" w:sz="4" w:space="0"/>
              <w:bottom w:val="single" w:color="000000" w:sz="4" w:space="0"/>
              <w:right w:val="single" w:color="000000" w:sz="4" w:space="0"/>
            </w:tcBorders>
            <w:vAlign w:val="center"/>
          </w:tcPr>
          <w:p w14:paraId="3E814BDD">
            <w:pPr>
              <w:widowControl/>
              <w:jc w:val="center"/>
              <w:textAlignment w:val="center"/>
              <w:rPr>
                <w:b w:val="0"/>
                <w:bCs w:val="0"/>
                <w:color w:val="auto"/>
                <w:szCs w:val="21"/>
              </w:rPr>
            </w:pPr>
            <w:r>
              <w:rPr>
                <w:b w:val="0"/>
                <w:bCs w:val="0"/>
                <w:color w:val="auto"/>
                <w:kern w:val="0"/>
                <w:szCs w:val="21"/>
                <w:lang w:bidi="ar"/>
              </w:rPr>
              <w:t>年龄比</w:t>
            </w:r>
          </w:p>
        </w:tc>
        <w:tc>
          <w:tcPr>
            <w:tcW w:w="1452" w:type="pct"/>
            <w:tcBorders>
              <w:top w:val="single" w:color="000000" w:sz="4" w:space="0"/>
              <w:left w:val="single" w:color="000000" w:sz="4" w:space="0"/>
              <w:bottom w:val="single" w:color="000000" w:sz="4" w:space="0"/>
              <w:right w:val="single" w:color="000000" w:sz="4" w:space="0"/>
            </w:tcBorders>
            <w:vAlign w:val="center"/>
          </w:tcPr>
          <w:p w14:paraId="0B4F207C">
            <w:pPr>
              <w:widowControl/>
              <w:jc w:val="center"/>
              <w:textAlignment w:val="center"/>
              <w:rPr>
                <w:rFonts w:hint="eastAsia" w:eastAsia="宋体"/>
                <w:b w:val="0"/>
                <w:bCs w:val="0"/>
                <w:color w:val="auto"/>
                <w:szCs w:val="21"/>
                <w:lang w:val="en-US" w:eastAsia="zh-CN"/>
              </w:rPr>
            </w:pPr>
            <w:r>
              <w:rPr>
                <w:rFonts w:hint="eastAsia"/>
                <w:b w:val="0"/>
                <w:bCs w:val="0"/>
                <w:color w:val="auto"/>
                <w:kern w:val="0"/>
                <w:szCs w:val="21"/>
                <w:lang w:val="en-US" w:eastAsia="zh-CN" w:bidi="ar"/>
              </w:rPr>
              <w:t>0</w:t>
            </w:r>
            <w:r>
              <w:rPr>
                <w:b w:val="0"/>
                <w:bCs w:val="0"/>
                <w:color w:val="auto"/>
                <w:kern w:val="0"/>
                <w:szCs w:val="21"/>
                <w:lang w:bidi="ar"/>
              </w:rPr>
              <w:t>:</w:t>
            </w:r>
            <w:r>
              <w:rPr>
                <w:rFonts w:hint="eastAsia"/>
                <w:b w:val="0"/>
                <w:bCs w:val="0"/>
                <w:color w:val="auto"/>
                <w:kern w:val="0"/>
                <w:szCs w:val="21"/>
                <w:lang w:val="en-US" w:eastAsia="zh-CN" w:bidi="ar"/>
              </w:rPr>
              <w:t>1</w:t>
            </w:r>
            <w:r>
              <w:rPr>
                <w:b w:val="0"/>
                <w:bCs w:val="0"/>
                <w:color w:val="auto"/>
                <w:kern w:val="0"/>
                <w:szCs w:val="21"/>
                <w:lang w:bidi="ar"/>
              </w:rPr>
              <w:t>:</w:t>
            </w:r>
            <w:r>
              <w:rPr>
                <w:rFonts w:hint="eastAsia"/>
                <w:b w:val="0"/>
                <w:bCs w:val="0"/>
                <w:color w:val="auto"/>
                <w:kern w:val="0"/>
                <w:szCs w:val="21"/>
                <w:lang w:val="en-US" w:eastAsia="zh-CN" w:bidi="ar"/>
              </w:rPr>
              <w:t>3</w:t>
            </w:r>
          </w:p>
        </w:tc>
      </w:tr>
      <w:tr w14:paraId="1B31CE12">
        <w:tblPrEx>
          <w:tblCellMar>
            <w:top w:w="0" w:type="dxa"/>
            <w:left w:w="108" w:type="dxa"/>
            <w:bottom w:w="0" w:type="dxa"/>
            <w:right w:w="108" w:type="dxa"/>
          </w:tblCellMar>
        </w:tblPrEx>
        <w:trPr>
          <w:trHeight w:val="310" w:hRule="atLeast"/>
          <w:jc w:val="center"/>
        </w:trPr>
        <w:tc>
          <w:tcPr>
            <w:tcW w:w="701" w:type="pct"/>
            <w:vMerge w:val="continue"/>
            <w:tcBorders>
              <w:left w:val="single" w:color="000000" w:sz="4" w:space="0"/>
              <w:bottom w:val="single" w:color="000000" w:sz="4" w:space="0"/>
              <w:right w:val="single" w:color="000000" w:sz="4" w:space="0"/>
            </w:tcBorders>
            <w:noWrap/>
            <w:vAlign w:val="center"/>
          </w:tcPr>
          <w:p w14:paraId="0DB3F39E">
            <w:pPr>
              <w:widowControl/>
              <w:jc w:val="center"/>
              <w:rPr>
                <w:b w:val="0"/>
                <w:bCs w:val="0"/>
                <w:color w:val="auto"/>
                <w:szCs w:val="21"/>
              </w:rPr>
            </w:pPr>
          </w:p>
        </w:tc>
        <w:tc>
          <w:tcPr>
            <w:tcW w:w="1448" w:type="pct"/>
            <w:gridSpan w:val="2"/>
            <w:tcBorders>
              <w:top w:val="single" w:color="000000" w:sz="4" w:space="0"/>
              <w:left w:val="single" w:color="000000" w:sz="4" w:space="0"/>
              <w:bottom w:val="single" w:color="000000" w:sz="4" w:space="0"/>
              <w:right w:val="single" w:color="000000" w:sz="4" w:space="0"/>
            </w:tcBorders>
            <w:vAlign w:val="center"/>
          </w:tcPr>
          <w:p w14:paraId="6680A94E">
            <w:pPr>
              <w:widowControl/>
              <w:jc w:val="center"/>
              <w:textAlignment w:val="center"/>
              <w:rPr>
                <w:b w:val="0"/>
                <w:bCs w:val="0"/>
                <w:color w:val="auto"/>
                <w:szCs w:val="21"/>
              </w:rPr>
            </w:pPr>
            <w:r>
              <w:rPr>
                <w:b w:val="0"/>
                <w:bCs w:val="0"/>
                <w:color w:val="auto"/>
                <w:kern w:val="0"/>
                <w:szCs w:val="21"/>
                <w:lang w:bidi="ar"/>
              </w:rPr>
              <w:t>50 岁以上</w:t>
            </w:r>
          </w:p>
        </w:tc>
        <w:tc>
          <w:tcPr>
            <w:tcW w:w="545" w:type="pct"/>
            <w:tcBorders>
              <w:top w:val="single" w:color="000000" w:sz="4" w:space="0"/>
              <w:left w:val="single" w:color="000000" w:sz="4" w:space="0"/>
              <w:bottom w:val="single" w:color="000000" w:sz="4" w:space="0"/>
              <w:right w:val="single" w:color="000000" w:sz="4" w:space="0"/>
            </w:tcBorders>
            <w:vAlign w:val="center"/>
          </w:tcPr>
          <w:p w14:paraId="0F2AA8DF">
            <w:pPr>
              <w:widowControl/>
              <w:jc w:val="center"/>
              <w:textAlignment w:val="center"/>
              <w:rPr>
                <w:rFonts w:hint="eastAsia" w:eastAsia="宋体"/>
                <w:b w:val="0"/>
                <w:bCs w:val="0"/>
                <w:color w:val="auto"/>
                <w:szCs w:val="21"/>
                <w:lang w:eastAsia="zh-CN"/>
              </w:rPr>
            </w:pPr>
            <w:r>
              <w:rPr>
                <w:rFonts w:hint="eastAsia"/>
                <w:b w:val="0"/>
                <w:bCs w:val="0"/>
                <w:color w:val="auto"/>
                <w:kern w:val="0"/>
                <w:szCs w:val="21"/>
                <w:lang w:val="en-US" w:eastAsia="zh-CN" w:bidi="ar"/>
              </w:rPr>
              <w:t>3</w:t>
            </w: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59757CDE">
            <w:pPr>
              <w:widowControl/>
              <w:jc w:val="center"/>
              <w:rPr>
                <w:b w:val="0"/>
                <w:bCs w:val="0"/>
                <w:color w:val="auto"/>
                <w:szCs w:val="21"/>
              </w:rPr>
            </w:pPr>
          </w:p>
        </w:tc>
        <w:tc>
          <w:tcPr>
            <w:tcW w:w="1452" w:type="pct"/>
            <w:tcBorders>
              <w:top w:val="single" w:color="000000" w:sz="4" w:space="0"/>
              <w:left w:val="single" w:color="000000" w:sz="4" w:space="0"/>
              <w:bottom w:val="single" w:color="000000" w:sz="4" w:space="0"/>
              <w:right w:val="single" w:color="000000" w:sz="4" w:space="0"/>
            </w:tcBorders>
            <w:noWrap/>
            <w:vAlign w:val="center"/>
          </w:tcPr>
          <w:p w14:paraId="7DCC40B1">
            <w:pPr>
              <w:widowControl/>
              <w:jc w:val="center"/>
              <w:rPr>
                <w:b w:val="0"/>
                <w:bCs w:val="0"/>
                <w:color w:val="auto"/>
                <w:szCs w:val="21"/>
              </w:rPr>
            </w:pPr>
          </w:p>
        </w:tc>
      </w:tr>
      <w:tr w14:paraId="09DAC141">
        <w:tblPrEx>
          <w:tblCellMar>
            <w:top w:w="0" w:type="dxa"/>
            <w:left w:w="108" w:type="dxa"/>
            <w:bottom w:w="0" w:type="dxa"/>
            <w:right w:w="108" w:type="dxa"/>
          </w:tblCellMar>
        </w:tblPrEx>
        <w:trPr>
          <w:trHeight w:val="340" w:hRule="atLeast"/>
          <w:jc w:val="center"/>
        </w:trPr>
        <w:tc>
          <w:tcPr>
            <w:tcW w:w="701" w:type="pct"/>
            <w:vMerge w:val="restart"/>
            <w:tcBorders>
              <w:top w:val="single" w:color="000000" w:sz="4" w:space="0"/>
              <w:left w:val="single" w:color="000000" w:sz="4" w:space="0"/>
              <w:bottom w:val="single" w:color="000000" w:sz="4" w:space="0"/>
              <w:right w:val="single" w:color="000000" w:sz="4" w:space="0"/>
            </w:tcBorders>
            <w:vAlign w:val="center"/>
          </w:tcPr>
          <w:p w14:paraId="0505B6A9">
            <w:pPr>
              <w:widowControl/>
              <w:jc w:val="center"/>
              <w:textAlignment w:val="center"/>
              <w:rPr>
                <w:b w:val="0"/>
                <w:bCs w:val="0"/>
                <w:color w:val="auto"/>
                <w:szCs w:val="21"/>
              </w:rPr>
            </w:pPr>
            <w:r>
              <w:rPr>
                <w:b w:val="0"/>
                <w:bCs w:val="0"/>
                <w:color w:val="auto"/>
                <w:kern w:val="0"/>
                <w:szCs w:val="21"/>
                <w:lang w:bidi="ar"/>
              </w:rPr>
              <w:t>文化程度</w:t>
            </w:r>
          </w:p>
        </w:tc>
        <w:tc>
          <w:tcPr>
            <w:tcW w:w="1448" w:type="pct"/>
            <w:gridSpan w:val="2"/>
            <w:tcBorders>
              <w:top w:val="single" w:color="000000" w:sz="4" w:space="0"/>
              <w:left w:val="single" w:color="000000" w:sz="4" w:space="0"/>
              <w:bottom w:val="single" w:color="000000" w:sz="4" w:space="0"/>
              <w:right w:val="single" w:color="000000" w:sz="4" w:space="0"/>
            </w:tcBorders>
            <w:vAlign w:val="center"/>
          </w:tcPr>
          <w:p w14:paraId="1B24679B">
            <w:pPr>
              <w:widowControl/>
              <w:jc w:val="center"/>
              <w:textAlignment w:val="center"/>
              <w:rPr>
                <w:b w:val="0"/>
                <w:bCs w:val="0"/>
                <w:color w:val="auto"/>
                <w:szCs w:val="21"/>
              </w:rPr>
            </w:pPr>
            <w:r>
              <w:rPr>
                <w:b w:val="0"/>
                <w:bCs w:val="0"/>
                <w:color w:val="auto"/>
                <w:kern w:val="0"/>
                <w:szCs w:val="21"/>
                <w:lang w:bidi="ar"/>
              </w:rPr>
              <w:t>小学</w:t>
            </w:r>
          </w:p>
        </w:tc>
        <w:tc>
          <w:tcPr>
            <w:tcW w:w="545" w:type="pct"/>
            <w:tcBorders>
              <w:top w:val="single" w:color="000000" w:sz="4" w:space="0"/>
              <w:left w:val="single" w:color="000000" w:sz="4" w:space="0"/>
              <w:bottom w:val="single" w:color="000000" w:sz="4" w:space="0"/>
              <w:right w:val="single" w:color="000000" w:sz="4" w:space="0"/>
            </w:tcBorders>
            <w:vAlign w:val="center"/>
          </w:tcPr>
          <w:p w14:paraId="2B01631A">
            <w:pPr>
              <w:widowControl/>
              <w:jc w:val="center"/>
              <w:textAlignment w:val="center"/>
              <w:rPr>
                <w:rFonts w:hint="eastAsia" w:eastAsia="宋体"/>
                <w:b w:val="0"/>
                <w:bCs w:val="0"/>
                <w:color w:val="auto"/>
                <w:szCs w:val="21"/>
                <w:lang w:eastAsia="zh-CN"/>
              </w:rPr>
            </w:pPr>
            <w:r>
              <w:rPr>
                <w:rFonts w:hint="eastAsia"/>
                <w:b w:val="0"/>
                <w:bCs w:val="0"/>
                <w:color w:val="auto"/>
                <w:kern w:val="0"/>
                <w:szCs w:val="21"/>
                <w:lang w:val="en-US" w:eastAsia="zh-CN" w:bidi="ar"/>
              </w:rPr>
              <w:t>3</w:t>
            </w:r>
          </w:p>
        </w:tc>
        <w:tc>
          <w:tcPr>
            <w:tcW w:w="852" w:type="pct"/>
            <w:vMerge w:val="restart"/>
            <w:tcBorders>
              <w:top w:val="single" w:color="000000" w:sz="4" w:space="0"/>
              <w:left w:val="single" w:color="000000" w:sz="4" w:space="0"/>
              <w:bottom w:val="single" w:color="000000" w:sz="4" w:space="0"/>
              <w:right w:val="single" w:color="000000" w:sz="4" w:space="0"/>
            </w:tcBorders>
            <w:vAlign w:val="center"/>
          </w:tcPr>
          <w:p w14:paraId="223214D5">
            <w:pPr>
              <w:widowControl/>
              <w:jc w:val="center"/>
              <w:textAlignment w:val="center"/>
              <w:rPr>
                <w:b w:val="0"/>
                <w:bCs w:val="0"/>
                <w:color w:val="auto"/>
                <w:szCs w:val="21"/>
              </w:rPr>
            </w:pPr>
            <w:r>
              <w:rPr>
                <w:b w:val="0"/>
                <w:bCs w:val="0"/>
                <w:color w:val="auto"/>
                <w:kern w:val="0"/>
                <w:szCs w:val="21"/>
                <w:lang w:bidi="ar"/>
              </w:rPr>
              <w:t>文化程度比</w:t>
            </w:r>
          </w:p>
        </w:tc>
        <w:tc>
          <w:tcPr>
            <w:tcW w:w="1452" w:type="pct"/>
            <w:vMerge w:val="restart"/>
            <w:tcBorders>
              <w:top w:val="single" w:color="000000" w:sz="4" w:space="0"/>
              <w:left w:val="single" w:color="000000" w:sz="4" w:space="0"/>
              <w:bottom w:val="single" w:color="000000" w:sz="4" w:space="0"/>
              <w:right w:val="single" w:color="000000" w:sz="4" w:space="0"/>
            </w:tcBorders>
            <w:vAlign w:val="center"/>
          </w:tcPr>
          <w:p w14:paraId="645EC2FD">
            <w:pPr>
              <w:widowControl/>
              <w:jc w:val="center"/>
              <w:textAlignment w:val="center"/>
              <w:rPr>
                <w:rFonts w:hint="eastAsia" w:eastAsia="宋体"/>
                <w:b w:val="0"/>
                <w:bCs w:val="0"/>
                <w:color w:val="auto"/>
                <w:szCs w:val="21"/>
                <w:lang w:val="en-US" w:eastAsia="zh-CN"/>
              </w:rPr>
            </w:pPr>
            <w:r>
              <w:rPr>
                <w:rFonts w:hint="eastAsia"/>
                <w:b w:val="0"/>
                <w:bCs w:val="0"/>
                <w:color w:val="auto"/>
                <w:kern w:val="0"/>
                <w:szCs w:val="21"/>
                <w:lang w:val="en-US" w:eastAsia="zh-CN" w:bidi="ar"/>
              </w:rPr>
              <w:t>3</w:t>
            </w:r>
            <w:r>
              <w:rPr>
                <w:b w:val="0"/>
                <w:bCs w:val="0"/>
                <w:color w:val="auto"/>
                <w:kern w:val="0"/>
                <w:szCs w:val="21"/>
                <w:lang w:bidi="ar"/>
              </w:rPr>
              <w:t>:</w:t>
            </w:r>
            <w:r>
              <w:rPr>
                <w:rFonts w:hint="eastAsia"/>
                <w:b w:val="0"/>
                <w:bCs w:val="0"/>
                <w:color w:val="auto"/>
                <w:kern w:val="0"/>
                <w:szCs w:val="21"/>
                <w:lang w:val="en-US" w:eastAsia="zh-CN" w:bidi="ar"/>
              </w:rPr>
              <w:t>1</w:t>
            </w:r>
          </w:p>
        </w:tc>
      </w:tr>
      <w:tr w14:paraId="6FC7B607">
        <w:tblPrEx>
          <w:tblCellMar>
            <w:top w:w="0" w:type="dxa"/>
            <w:left w:w="108" w:type="dxa"/>
            <w:bottom w:w="0" w:type="dxa"/>
            <w:right w:w="108" w:type="dxa"/>
          </w:tblCellMar>
        </w:tblPrEx>
        <w:trPr>
          <w:trHeight w:val="340" w:hRule="atLeast"/>
          <w:jc w:val="center"/>
        </w:trPr>
        <w:tc>
          <w:tcPr>
            <w:tcW w:w="701" w:type="pct"/>
            <w:vMerge w:val="continue"/>
            <w:tcBorders>
              <w:top w:val="single" w:color="000000" w:sz="4" w:space="0"/>
              <w:left w:val="single" w:color="000000" w:sz="4" w:space="0"/>
              <w:bottom w:val="single" w:color="000000" w:sz="4" w:space="0"/>
              <w:right w:val="single" w:color="000000" w:sz="4" w:space="0"/>
            </w:tcBorders>
            <w:vAlign w:val="center"/>
          </w:tcPr>
          <w:p w14:paraId="3A1D87F5">
            <w:pPr>
              <w:widowControl/>
              <w:jc w:val="center"/>
              <w:rPr>
                <w:b w:val="0"/>
                <w:bCs w:val="0"/>
                <w:color w:val="auto"/>
                <w:szCs w:val="21"/>
              </w:rPr>
            </w:pPr>
          </w:p>
        </w:tc>
        <w:tc>
          <w:tcPr>
            <w:tcW w:w="1448" w:type="pct"/>
            <w:gridSpan w:val="2"/>
            <w:tcBorders>
              <w:top w:val="single" w:color="000000" w:sz="4" w:space="0"/>
              <w:left w:val="single" w:color="000000" w:sz="4" w:space="0"/>
              <w:bottom w:val="single" w:color="000000" w:sz="4" w:space="0"/>
              <w:right w:val="single" w:color="000000" w:sz="4" w:space="0"/>
            </w:tcBorders>
            <w:vAlign w:val="center"/>
          </w:tcPr>
          <w:p w14:paraId="0B10876D">
            <w:pPr>
              <w:widowControl/>
              <w:jc w:val="center"/>
              <w:textAlignment w:val="center"/>
              <w:rPr>
                <w:b w:val="0"/>
                <w:bCs w:val="0"/>
                <w:color w:val="auto"/>
                <w:szCs w:val="21"/>
              </w:rPr>
            </w:pPr>
            <w:r>
              <w:rPr>
                <w:b w:val="0"/>
                <w:bCs w:val="0"/>
                <w:color w:val="auto"/>
                <w:kern w:val="0"/>
                <w:szCs w:val="21"/>
                <w:lang w:bidi="ar"/>
              </w:rPr>
              <w:t>初高中</w:t>
            </w:r>
          </w:p>
        </w:tc>
        <w:tc>
          <w:tcPr>
            <w:tcW w:w="545" w:type="pct"/>
            <w:tcBorders>
              <w:top w:val="single" w:color="000000" w:sz="4" w:space="0"/>
              <w:left w:val="single" w:color="000000" w:sz="4" w:space="0"/>
              <w:bottom w:val="single" w:color="000000" w:sz="4" w:space="0"/>
              <w:right w:val="single" w:color="000000" w:sz="4" w:space="0"/>
            </w:tcBorders>
            <w:vAlign w:val="center"/>
          </w:tcPr>
          <w:p w14:paraId="23B9A3B2">
            <w:pPr>
              <w:widowControl/>
              <w:jc w:val="center"/>
              <w:textAlignment w:val="center"/>
              <w:rPr>
                <w:rFonts w:hint="eastAsia" w:eastAsia="宋体"/>
                <w:b w:val="0"/>
                <w:bCs w:val="0"/>
                <w:color w:val="auto"/>
                <w:szCs w:val="21"/>
                <w:lang w:eastAsia="zh-CN"/>
              </w:rPr>
            </w:pPr>
            <w:r>
              <w:rPr>
                <w:rFonts w:hint="eastAsia"/>
                <w:b w:val="0"/>
                <w:bCs w:val="0"/>
                <w:color w:val="auto"/>
                <w:kern w:val="0"/>
                <w:szCs w:val="21"/>
                <w:lang w:val="en-US" w:eastAsia="zh-CN" w:bidi="ar"/>
              </w:rPr>
              <w:t>1</w:t>
            </w:r>
          </w:p>
        </w:tc>
        <w:tc>
          <w:tcPr>
            <w:tcW w:w="852" w:type="pct"/>
            <w:vMerge w:val="continue"/>
            <w:tcBorders>
              <w:top w:val="single" w:color="000000" w:sz="4" w:space="0"/>
              <w:left w:val="single" w:color="000000" w:sz="4" w:space="0"/>
              <w:bottom w:val="single" w:color="000000" w:sz="4" w:space="0"/>
              <w:right w:val="single" w:color="000000" w:sz="4" w:space="0"/>
            </w:tcBorders>
            <w:vAlign w:val="center"/>
          </w:tcPr>
          <w:p w14:paraId="53402487">
            <w:pPr>
              <w:widowControl/>
              <w:jc w:val="center"/>
              <w:rPr>
                <w:b w:val="0"/>
                <w:bCs w:val="0"/>
                <w:color w:val="auto"/>
                <w:szCs w:val="21"/>
              </w:rPr>
            </w:pPr>
          </w:p>
        </w:tc>
        <w:tc>
          <w:tcPr>
            <w:tcW w:w="1452" w:type="pct"/>
            <w:vMerge w:val="continue"/>
            <w:tcBorders>
              <w:top w:val="single" w:color="000000" w:sz="4" w:space="0"/>
              <w:left w:val="single" w:color="000000" w:sz="4" w:space="0"/>
              <w:bottom w:val="single" w:color="000000" w:sz="4" w:space="0"/>
              <w:right w:val="single" w:color="000000" w:sz="4" w:space="0"/>
            </w:tcBorders>
            <w:vAlign w:val="center"/>
          </w:tcPr>
          <w:p w14:paraId="7DEF0202">
            <w:pPr>
              <w:widowControl/>
              <w:jc w:val="center"/>
              <w:rPr>
                <w:b w:val="0"/>
                <w:bCs w:val="0"/>
                <w:color w:val="auto"/>
                <w:szCs w:val="21"/>
              </w:rPr>
            </w:pPr>
          </w:p>
        </w:tc>
      </w:tr>
      <w:tr w14:paraId="43812B69">
        <w:tblPrEx>
          <w:tblCellMar>
            <w:top w:w="0" w:type="dxa"/>
            <w:left w:w="108" w:type="dxa"/>
            <w:bottom w:w="0" w:type="dxa"/>
            <w:right w:w="108" w:type="dxa"/>
          </w:tblCellMar>
        </w:tblPrEx>
        <w:trPr>
          <w:trHeight w:val="340" w:hRule="atLeast"/>
          <w:jc w:val="center"/>
        </w:trPr>
        <w:tc>
          <w:tcPr>
            <w:tcW w:w="701" w:type="pct"/>
            <w:vMerge w:val="restart"/>
            <w:tcBorders>
              <w:top w:val="single" w:color="000000" w:sz="4" w:space="0"/>
              <w:left w:val="single" w:color="000000" w:sz="4" w:space="0"/>
              <w:bottom w:val="single" w:color="000000" w:sz="4" w:space="0"/>
              <w:right w:val="single" w:color="000000" w:sz="4" w:space="0"/>
            </w:tcBorders>
            <w:vAlign w:val="center"/>
          </w:tcPr>
          <w:p w14:paraId="7525A16A">
            <w:pPr>
              <w:widowControl/>
              <w:jc w:val="center"/>
              <w:textAlignment w:val="center"/>
              <w:rPr>
                <w:b w:val="0"/>
                <w:bCs w:val="0"/>
                <w:color w:val="auto"/>
                <w:szCs w:val="21"/>
              </w:rPr>
            </w:pPr>
            <w:r>
              <w:rPr>
                <w:b w:val="0"/>
                <w:bCs w:val="0"/>
                <w:color w:val="auto"/>
                <w:kern w:val="0"/>
                <w:szCs w:val="21"/>
                <w:lang w:bidi="ar"/>
              </w:rPr>
              <w:t>职业</w:t>
            </w:r>
          </w:p>
        </w:tc>
        <w:tc>
          <w:tcPr>
            <w:tcW w:w="1448" w:type="pct"/>
            <w:gridSpan w:val="2"/>
            <w:tcBorders>
              <w:top w:val="single" w:color="000000" w:sz="4" w:space="0"/>
              <w:left w:val="single" w:color="000000" w:sz="4" w:space="0"/>
              <w:bottom w:val="single" w:color="000000" w:sz="4" w:space="0"/>
              <w:right w:val="single" w:color="000000" w:sz="4" w:space="0"/>
            </w:tcBorders>
            <w:vAlign w:val="center"/>
          </w:tcPr>
          <w:p w14:paraId="0CD2EC3F">
            <w:pPr>
              <w:widowControl/>
              <w:jc w:val="center"/>
              <w:textAlignment w:val="center"/>
              <w:rPr>
                <w:b w:val="0"/>
                <w:bCs w:val="0"/>
                <w:color w:val="auto"/>
                <w:szCs w:val="21"/>
              </w:rPr>
            </w:pPr>
            <w:r>
              <w:rPr>
                <w:rFonts w:hint="eastAsia"/>
                <w:b w:val="0"/>
                <w:bCs w:val="0"/>
                <w:color w:val="auto"/>
                <w:kern w:val="0"/>
                <w:szCs w:val="21"/>
                <w:lang w:bidi="ar"/>
              </w:rPr>
              <w:t>村民、农牧民代表</w:t>
            </w:r>
          </w:p>
        </w:tc>
        <w:tc>
          <w:tcPr>
            <w:tcW w:w="545" w:type="pct"/>
            <w:tcBorders>
              <w:top w:val="single" w:color="000000" w:sz="4" w:space="0"/>
              <w:left w:val="single" w:color="000000" w:sz="4" w:space="0"/>
              <w:bottom w:val="single" w:color="000000" w:sz="4" w:space="0"/>
              <w:right w:val="single" w:color="000000" w:sz="4" w:space="0"/>
            </w:tcBorders>
            <w:vAlign w:val="center"/>
          </w:tcPr>
          <w:p w14:paraId="210C6110">
            <w:pPr>
              <w:widowControl/>
              <w:jc w:val="center"/>
              <w:textAlignment w:val="center"/>
              <w:rPr>
                <w:rFonts w:hint="eastAsia" w:eastAsia="宋体"/>
                <w:b w:val="0"/>
                <w:bCs w:val="0"/>
                <w:color w:val="auto"/>
                <w:szCs w:val="21"/>
                <w:lang w:eastAsia="zh-CN"/>
              </w:rPr>
            </w:pPr>
            <w:r>
              <w:rPr>
                <w:rFonts w:hint="eastAsia"/>
                <w:b w:val="0"/>
                <w:bCs w:val="0"/>
                <w:color w:val="auto"/>
                <w:kern w:val="0"/>
                <w:szCs w:val="21"/>
                <w:lang w:val="en-US" w:eastAsia="zh-CN" w:bidi="ar"/>
              </w:rPr>
              <w:t>3</w:t>
            </w:r>
          </w:p>
        </w:tc>
        <w:tc>
          <w:tcPr>
            <w:tcW w:w="852" w:type="pct"/>
            <w:vMerge w:val="restart"/>
            <w:tcBorders>
              <w:top w:val="single" w:color="000000" w:sz="4" w:space="0"/>
              <w:left w:val="single" w:color="000000" w:sz="4" w:space="0"/>
              <w:bottom w:val="single" w:color="000000" w:sz="4" w:space="0"/>
              <w:right w:val="single" w:color="000000" w:sz="4" w:space="0"/>
            </w:tcBorders>
            <w:vAlign w:val="center"/>
          </w:tcPr>
          <w:p w14:paraId="25840BD7">
            <w:pPr>
              <w:widowControl/>
              <w:jc w:val="center"/>
              <w:textAlignment w:val="center"/>
              <w:rPr>
                <w:b w:val="0"/>
                <w:bCs w:val="0"/>
                <w:color w:val="auto"/>
                <w:szCs w:val="21"/>
              </w:rPr>
            </w:pPr>
            <w:r>
              <w:rPr>
                <w:b w:val="0"/>
                <w:bCs w:val="0"/>
                <w:color w:val="auto"/>
                <w:kern w:val="0"/>
                <w:szCs w:val="21"/>
                <w:lang w:bidi="ar"/>
              </w:rPr>
              <w:t>职业人数比</w:t>
            </w:r>
          </w:p>
        </w:tc>
        <w:tc>
          <w:tcPr>
            <w:tcW w:w="1452" w:type="pct"/>
            <w:vMerge w:val="restart"/>
            <w:tcBorders>
              <w:top w:val="single" w:color="000000" w:sz="4" w:space="0"/>
              <w:left w:val="single" w:color="000000" w:sz="4" w:space="0"/>
              <w:bottom w:val="single" w:color="000000" w:sz="4" w:space="0"/>
              <w:right w:val="single" w:color="000000" w:sz="4" w:space="0"/>
            </w:tcBorders>
            <w:vAlign w:val="center"/>
          </w:tcPr>
          <w:p w14:paraId="2C96D34B">
            <w:pPr>
              <w:widowControl/>
              <w:jc w:val="center"/>
              <w:textAlignment w:val="center"/>
              <w:rPr>
                <w:rFonts w:hint="eastAsia" w:eastAsia="宋体"/>
                <w:b w:val="0"/>
                <w:bCs w:val="0"/>
                <w:color w:val="auto"/>
                <w:szCs w:val="21"/>
                <w:lang w:eastAsia="zh-CN"/>
              </w:rPr>
            </w:pPr>
            <w:r>
              <w:rPr>
                <w:rFonts w:hint="eastAsia"/>
                <w:b w:val="0"/>
                <w:bCs w:val="0"/>
                <w:color w:val="auto"/>
                <w:kern w:val="0"/>
                <w:szCs w:val="21"/>
                <w:lang w:val="en-US" w:eastAsia="zh-CN" w:bidi="ar"/>
              </w:rPr>
              <w:t>3</w:t>
            </w:r>
            <w:r>
              <w:rPr>
                <w:b w:val="0"/>
                <w:bCs w:val="0"/>
                <w:color w:val="auto"/>
                <w:kern w:val="0"/>
                <w:szCs w:val="21"/>
                <w:lang w:bidi="ar"/>
              </w:rPr>
              <w:t>:</w:t>
            </w:r>
            <w:r>
              <w:rPr>
                <w:rFonts w:hint="eastAsia"/>
                <w:b w:val="0"/>
                <w:bCs w:val="0"/>
                <w:color w:val="auto"/>
                <w:kern w:val="0"/>
                <w:szCs w:val="21"/>
                <w:lang w:val="en-US" w:eastAsia="zh-CN" w:bidi="ar"/>
              </w:rPr>
              <w:t>1</w:t>
            </w:r>
          </w:p>
        </w:tc>
      </w:tr>
      <w:tr w14:paraId="57091FA9">
        <w:tblPrEx>
          <w:tblCellMar>
            <w:top w:w="0" w:type="dxa"/>
            <w:left w:w="108" w:type="dxa"/>
            <w:bottom w:w="0" w:type="dxa"/>
            <w:right w:w="108" w:type="dxa"/>
          </w:tblCellMar>
        </w:tblPrEx>
        <w:trPr>
          <w:trHeight w:val="340" w:hRule="atLeast"/>
          <w:jc w:val="center"/>
        </w:trPr>
        <w:tc>
          <w:tcPr>
            <w:tcW w:w="701" w:type="pct"/>
            <w:vMerge w:val="continue"/>
            <w:tcBorders>
              <w:top w:val="single" w:color="000000" w:sz="4" w:space="0"/>
              <w:left w:val="single" w:color="000000" w:sz="4" w:space="0"/>
              <w:bottom w:val="single" w:color="000000" w:sz="4" w:space="0"/>
              <w:right w:val="single" w:color="000000" w:sz="4" w:space="0"/>
            </w:tcBorders>
            <w:vAlign w:val="center"/>
          </w:tcPr>
          <w:p w14:paraId="0C465131">
            <w:pPr>
              <w:widowControl/>
              <w:jc w:val="center"/>
              <w:rPr>
                <w:b w:val="0"/>
                <w:bCs w:val="0"/>
                <w:color w:val="auto"/>
                <w:szCs w:val="21"/>
              </w:rPr>
            </w:pPr>
          </w:p>
        </w:tc>
        <w:tc>
          <w:tcPr>
            <w:tcW w:w="1448" w:type="pct"/>
            <w:gridSpan w:val="2"/>
            <w:tcBorders>
              <w:top w:val="single" w:color="000000" w:sz="4" w:space="0"/>
              <w:left w:val="single" w:color="000000" w:sz="4" w:space="0"/>
              <w:bottom w:val="single" w:color="000000" w:sz="4" w:space="0"/>
              <w:right w:val="single" w:color="000000" w:sz="4" w:space="0"/>
            </w:tcBorders>
            <w:vAlign w:val="center"/>
          </w:tcPr>
          <w:p w14:paraId="70B080E8">
            <w:pPr>
              <w:widowControl/>
              <w:jc w:val="center"/>
              <w:textAlignment w:val="center"/>
              <w:rPr>
                <w:b w:val="0"/>
                <w:bCs w:val="0"/>
                <w:color w:val="auto"/>
                <w:szCs w:val="21"/>
              </w:rPr>
            </w:pPr>
            <w:r>
              <w:rPr>
                <w:rFonts w:hint="eastAsia"/>
                <w:b w:val="0"/>
                <w:bCs w:val="0"/>
                <w:color w:val="auto"/>
                <w:kern w:val="0"/>
                <w:szCs w:val="21"/>
                <w:lang w:bidi="ar"/>
              </w:rPr>
              <w:t>村委会干部</w:t>
            </w:r>
          </w:p>
        </w:tc>
        <w:tc>
          <w:tcPr>
            <w:tcW w:w="545" w:type="pct"/>
            <w:tcBorders>
              <w:top w:val="single" w:color="000000" w:sz="4" w:space="0"/>
              <w:left w:val="single" w:color="000000" w:sz="4" w:space="0"/>
              <w:bottom w:val="single" w:color="000000" w:sz="4" w:space="0"/>
              <w:right w:val="single" w:color="000000" w:sz="4" w:space="0"/>
            </w:tcBorders>
            <w:vAlign w:val="center"/>
          </w:tcPr>
          <w:p w14:paraId="219CCE8C">
            <w:pPr>
              <w:widowControl/>
              <w:jc w:val="center"/>
              <w:textAlignment w:val="center"/>
              <w:rPr>
                <w:rFonts w:hint="eastAsia" w:eastAsia="宋体"/>
                <w:b w:val="0"/>
                <w:bCs w:val="0"/>
                <w:color w:val="auto"/>
                <w:szCs w:val="21"/>
                <w:lang w:eastAsia="zh-CN"/>
              </w:rPr>
            </w:pPr>
            <w:r>
              <w:rPr>
                <w:rFonts w:hint="eastAsia"/>
                <w:b w:val="0"/>
                <w:bCs w:val="0"/>
                <w:color w:val="auto"/>
                <w:kern w:val="0"/>
                <w:szCs w:val="21"/>
                <w:lang w:val="en-US" w:eastAsia="zh-CN" w:bidi="ar"/>
              </w:rPr>
              <w:t>1</w:t>
            </w:r>
          </w:p>
        </w:tc>
        <w:tc>
          <w:tcPr>
            <w:tcW w:w="852" w:type="pct"/>
            <w:vMerge w:val="continue"/>
            <w:tcBorders>
              <w:top w:val="single" w:color="000000" w:sz="4" w:space="0"/>
              <w:left w:val="single" w:color="000000" w:sz="4" w:space="0"/>
              <w:bottom w:val="single" w:color="000000" w:sz="4" w:space="0"/>
              <w:right w:val="single" w:color="000000" w:sz="4" w:space="0"/>
            </w:tcBorders>
            <w:vAlign w:val="center"/>
          </w:tcPr>
          <w:p w14:paraId="380B9C74">
            <w:pPr>
              <w:widowControl/>
              <w:jc w:val="center"/>
              <w:rPr>
                <w:b w:val="0"/>
                <w:bCs w:val="0"/>
                <w:color w:val="auto"/>
                <w:szCs w:val="21"/>
              </w:rPr>
            </w:pPr>
          </w:p>
        </w:tc>
        <w:tc>
          <w:tcPr>
            <w:tcW w:w="1452" w:type="pct"/>
            <w:vMerge w:val="continue"/>
            <w:tcBorders>
              <w:top w:val="single" w:color="000000" w:sz="4" w:space="0"/>
              <w:left w:val="single" w:color="000000" w:sz="4" w:space="0"/>
              <w:bottom w:val="single" w:color="000000" w:sz="4" w:space="0"/>
              <w:right w:val="single" w:color="000000" w:sz="4" w:space="0"/>
            </w:tcBorders>
            <w:vAlign w:val="center"/>
          </w:tcPr>
          <w:p w14:paraId="2C955FAB">
            <w:pPr>
              <w:widowControl/>
              <w:jc w:val="center"/>
              <w:rPr>
                <w:b w:val="0"/>
                <w:bCs w:val="0"/>
                <w:color w:val="auto"/>
                <w:szCs w:val="21"/>
              </w:rPr>
            </w:pPr>
          </w:p>
        </w:tc>
      </w:tr>
    </w:tbl>
    <w:p w14:paraId="7085BB3D">
      <w:pPr>
        <w:adjustRightInd w:val="0"/>
        <w:snapToGrid w:val="0"/>
        <w:spacing w:line="360" w:lineRule="auto"/>
        <w:ind w:firstLine="560" w:firstLineChars="200"/>
        <w:rPr>
          <w:color w:val="auto"/>
          <w:sz w:val="28"/>
          <w:szCs w:val="28"/>
        </w:rPr>
      </w:pPr>
      <w:r>
        <w:rPr>
          <w:color w:val="auto"/>
          <w:sz w:val="28"/>
          <w:szCs w:val="28"/>
        </w:rPr>
        <w:t>3、调查对象特征构成</w:t>
      </w:r>
    </w:p>
    <w:p w14:paraId="79F18663">
      <w:pPr>
        <w:adjustRightInd w:val="0"/>
        <w:snapToGrid w:val="0"/>
        <w:spacing w:line="360" w:lineRule="auto"/>
        <w:ind w:firstLine="560" w:firstLineChars="200"/>
        <w:rPr>
          <w:color w:val="auto"/>
          <w:kern w:val="0"/>
          <w:sz w:val="28"/>
          <w:szCs w:val="28"/>
        </w:rPr>
      </w:pPr>
      <w:r>
        <w:rPr>
          <w:color w:val="auto"/>
          <w:kern w:val="0"/>
          <w:sz w:val="28"/>
          <w:szCs w:val="28"/>
        </w:rPr>
        <w:t>本次问卷调查过程中，调查对象为</w:t>
      </w:r>
      <w:r>
        <w:rPr>
          <w:rFonts w:hint="eastAsia"/>
          <w:color w:val="auto"/>
          <w:sz w:val="28"/>
          <w:szCs w:val="28"/>
          <w:lang w:val="en-US" w:eastAsia="zh-CN"/>
        </w:rPr>
        <w:t>松山区初头朗镇柴窑沟门村</w:t>
      </w:r>
      <w:r>
        <w:rPr>
          <w:color w:val="auto"/>
          <w:kern w:val="0"/>
          <w:sz w:val="28"/>
          <w:szCs w:val="28"/>
        </w:rPr>
        <w:t>代表，被调查人员文化程度以</w:t>
      </w:r>
      <w:r>
        <w:rPr>
          <w:rFonts w:hint="eastAsia"/>
          <w:color w:val="auto"/>
          <w:kern w:val="0"/>
          <w:sz w:val="28"/>
          <w:szCs w:val="28"/>
          <w:lang w:val="en-US" w:eastAsia="zh-CN"/>
        </w:rPr>
        <w:t>出小学</w:t>
      </w:r>
      <w:r>
        <w:rPr>
          <w:color w:val="auto"/>
          <w:kern w:val="0"/>
          <w:sz w:val="28"/>
          <w:szCs w:val="28"/>
        </w:rPr>
        <w:t>文化水平为主，年龄</w:t>
      </w:r>
      <w:r>
        <w:rPr>
          <w:rFonts w:ascii="Times New Roman" w:hAnsi="Times New Roman" w:eastAsia="宋体" w:cs="Times New Roman"/>
          <w:color w:val="auto"/>
          <w:kern w:val="0"/>
          <w:sz w:val="28"/>
          <w:szCs w:val="28"/>
        </w:rPr>
        <w:t>以</w:t>
      </w:r>
      <w:r>
        <w:rPr>
          <w:color w:val="auto"/>
          <w:kern w:val="0"/>
          <w:sz w:val="28"/>
          <w:szCs w:val="28"/>
        </w:rPr>
        <w:t>50</w:t>
      </w:r>
      <w:r>
        <w:rPr>
          <w:rFonts w:hint="eastAsia"/>
          <w:color w:val="auto"/>
          <w:kern w:val="0"/>
          <w:sz w:val="28"/>
          <w:szCs w:val="28"/>
          <w:lang w:val="en-US" w:eastAsia="zh-CN"/>
        </w:rPr>
        <w:t>以上</w:t>
      </w:r>
      <w:r>
        <w:rPr>
          <w:color w:val="auto"/>
          <w:kern w:val="0"/>
          <w:sz w:val="28"/>
          <w:szCs w:val="28"/>
        </w:rPr>
        <w:t>岁的中老年为主。</w:t>
      </w:r>
    </w:p>
    <w:p w14:paraId="59B01AB1">
      <w:pPr>
        <w:adjustRightInd w:val="0"/>
        <w:snapToGrid w:val="0"/>
        <w:spacing w:line="360" w:lineRule="auto"/>
        <w:ind w:firstLine="562" w:firstLineChars="200"/>
        <w:outlineLvl w:val="2"/>
        <w:rPr>
          <w:b/>
          <w:bCs/>
          <w:color w:val="auto"/>
          <w:sz w:val="28"/>
          <w:szCs w:val="28"/>
        </w:rPr>
      </w:pPr>
      <w:r>
        <w:rPr>
          <w:b/>
          <w:bCs/>
          <w:color w:val="auto"/>
          <w:sz w:val="28"/>
          <w:szCs w:val="28"/>
        </w:rPr>
        <w:t>三、方案实施中的公众参与</w:t>
      </w:r>
    </w:p>
    <w:p w14:paraId="72E1C182">
      <w:pPr>
        <w:adjustRightInd w:val="0"/>
        <w:snapToGrid w:val="0"/>
        <w:spacing w:line="360" w:lineRule="auto"/>
        <w:ind w:firstLine="560" w:firstLineChars="200"/>
        <w:rPr>
          <w:color w:val="auto"/>
          <w:sz w:val="28"/>
          <w:szCs w:val="28"/>
        </w:rPr>
      </w:pPr>
      <w:r>
        <w:rPr>
          <w:color w:val="auto"/>
          <w:sz w:val="28"/>
          <w:szCs w:val="28"/>
        </w:rPr>
        <w:t>公众参与情况作为本方案在确定矿区土地复垦的方向以及制定相应措施等方面的依据，在随后的治理安排和复垦计划实施、效果、监测等方面仍需建立相应的参与机制，同时尽可能扩大参与范围，从现有的土地权利人及相关职能部门扩大至整个社会，积极采纳合理意见，积极推广先进的、科学的治理和复垦技术，积极宣传土地治理和复垦政策及其深远含义，努力起到模范带头作用。</w:t>
      </w:r>
    </w:p>
    <w:p w14:paraId="481387A7">
      <w:pPr>
        <w:adjustRightInd w:val="0"/>
        <w:snapToGrid w:val="0"/>
        <w:spacing w:line="360" w:lineRule="auto"/>
        <w:ind w:firstLine="560" w:firstLineChars="200"/>
        <w:rPr>
          <w:color w:val="auto"/>
          <w:sz w:val="28"/>
          <w:szCs w:val="28"/>
        </w:rPr>
      </w:pPr>
      <w:r>
        <w:rPr>
          <w:color w:val="auto"/>
          <w:sz w:val="28"/>
          <w:szCs w:val="28"/>
        </w:rPr>
        <w:t>1、矿方技术人员将与当地相关部门进行长期的、积极有效的合作，在方案实施过程中，建立相应的公众参与机制，积极调动公众的参与热情。</w:t>
      </w:r>
    </w:p>
    <w:p w14:paraId="1CC9A34A">
      <w:pPr>
        <w:adjustRightInd w:val="0"/>
        <w:snapToGrid w:val="0"/>
        <w:spacing w:line="360" w:lineRule="auto"/>
        <w:ind w:firstLine="560" w:firstLineChars="200"/>
        <w:rPr>
          <w:color w:val="auto"/>
          <w:sz w:val="28"/>
          <w:szCs w:val="28"/>
        </w:rPr>
      </w:pPr>
      <w:r>
        <w:rPr>
          <w:color w:val="auto"/>
          <w:sz w:val="28"/>
          <w:szCs w:val="28"/>
        </w:rPr>
        <w:t>2、为保证全程全面参与能有效、及时反馈意见，参与形式主要为座谈会形式，要求矿山涉及区域的代表参加，确保矿山涉及区域内的民众充分知晓项目计划、进展和效果。</w:t>
      </w:r>
    </w:p>
    <w:p w14:paraId="105C61DD">
      <w:pPr>
        <w:adjustRightInd w:val="0"/>
        <w:snapToGrid w:val="0"/>
        <w:spacing w:line="360" w:lineRule="auto"/>
        <w:ind w:firstLine="560" w:firstLineChars="200"/>
        <w:rPr>
          <w:color w:val="auto"/>
          <w:sz w:val="28"/>
          <w:szCs w:val="28"/>
        </w:rPr>
      </w:pPr>
      <w:r>
        <w:rPr>
          <w:color w:val="auto"/>
          <w:sz w:val="28"/>
          <w:szCs w:val="28"/>
        </w:rPr>
        <w:t>3、在群众参与方面，主要为矿山涉及区域的土地权利人。在政府相关职能部门方面，将进一步加强与矿区内自然资源部门的沟通，还将加大和扩大重点职能部门的参与</w:t>
      </w:r>
      <w:r>
        <w:rPr>
          <w:rFonts w:hint="eastAsia"/>
          <w:color w:val="auto"/>
          <w:sz w:val="28"/>
          <w:szCs w:val="28"/>
          <w:lang w:eastAsia="zh-CN"/>
        </w:rPr>
        <w:t>力度</w:t>
      </w:r>
      <w:r>
        <w:rPr>
          <w:color w:val="auto"/>
          <w:sz w:val="28"/>
          <w:szCs w:val="28"/>
        </w:rPr>
        <w:t>范围，如农牧业局、环保局和审计局。</w:t>
      </w:r>
    </w:p>
    <w:p w14:paraId="2265E9A6">
      <w:pPr>
        <w:adjustRightInd w:val="0"/>
        <w:snapToGrid w:val="0"/>
        <w:spacing w:line="360" w:lineRule="auto"/>
        <w:ind w:firstLine="560" w:firstLineChars="200"/>
        <w:rPr>
          <w:color w:val="auto"/>
          <w:sz w:val="28"/>
          <w:szCs w:val="28"/>
        </w:rPr>
      </w:pPr>
      <w:r>
        <w:rPr>
          <w:color w:val="auto"/>
          <w:sz w:val="28"/>
          <w:szCs w:val="28"/>
        </w:rPr>
        <w:t>4、根据本方案确定的环境治理与土地复垦安排相应工作，在每次制订环境保护与土地复垦方案时进行一次参与式公众调查，主要是对矿山开采可能造成或遭受的地质灾害、实际损毁面积、损毁程度等进行调查。在每年年底进行一次参与式公众调查，主要是对环境治理与复垦实施效果、实施进度、实施措施落实和费用落实等情况进行调查。</w:t>
      </w:r>
    </w:p>
    <w:p w14:paraId="3BAD2C16">
      <w:pPr>
        <w:pStyle w:val="3"/>
        <w:spacing w:before="120" w:beforeLines="50"/>
        <w:rPr>
          <w:rFonts w:ascii="Times New Roman" w:hAnsi="Times New Roman"/>
          <w:color w:val="auto"/>
          <w:sz w:val="28"/>
          <w:szCs w:val="28"/>
        </w:rPr>
      </w:pPr>
      <w:bookmarkStart w:id="102" w:name="_Toc23173"/>
      <w:r>
        <w:rPr>
          <w:rFonts w:ascii="Times New Roman" w:hAnsi="Times New Roman"/>
          <w:color w:val="auto"/>
        </w:rPr>
        <w:t>第三节  效益分析</w:t>
      </w:r>
      <w:bookmarkEnd w:id="102"/>
    </w:p>
    <w:p w14:paraId="7D81147E">
      <w:pPr>
        <w:adjustRightInd w:val="0"/>
        <w:snapToGrid w:val="0"/>
        <w:spacing w:line="360" w:lineRule="auto"/>
        <w:ind w:firstLine="562" w:firstLineChars="200"/>
        <w:outlineLvl w:val="2"/>
        <w:rPr>
          <w:b/>
          <w:bCs/>
          <w:color w:val="auto"/>
          <w:sz w:val="28"/>
          <w:szCs w:val="28"/>
        </w:rPr>
      </w:pPr>
      <w:r>
        <w:rPr>
          <w:b/>
          <w:bCs/>
          <w:color w:val="auto"/>
          <w:sz w:val="28"/>
          <w:szCs w:val="28"/>
        </w:rPr>
        <w:t>一、社会效益</w:t>
      </w:r>
    </w:p>
    <w:p w14:paraId="5BFC1112">
      <w:pPr>
        <w:adjustRightInd w:val="0"/>
        <w:snapToGrid w:val="0"/>
        <w:spacing w:line="360" w:lineRule="auto"/>
        <w:ind w:firstLine="560" w:firstLineChars="200"/>
        <w:rPr>
          <w:color w:val="auto"/>
          <w:sz w:val="28"/>
          <w:szCs w:val="28"/>
        </w:rPr>
      </w:pPr>
      <w:r>
        <w:rPr>
          <w:color w:val="auto"/>
          <w:sz w:val="28"/>
          <w:szCs w:val="28"/>
        </w:rPr>
        <w:t>1、通过矿山地质环境治理，减少工程建设对项目区群众生活和农业生产的影响，缓解人地矛盾，改善了人居环境，改善矿群关系，促进安全生产。</w:t>
      </w:r>
    </w:p>
    <w:p w14:paraId="7027BD92">
      <w:pPr>
        <w:adjustRightInd w:val="0"/>
        <w:snapToGrid w:val="0"/>
        <w:spacing w:line="360" w:lineRule="auto"/>
        <w:ind w:firstLine="560" w:firstLineChars="200"/>
        <w:rPr>
          <w:color w:val="auto"/>
          <w:sz w:val="28"/>
          <w:szCs w:val="28"/>
        </w:rPr>
      </w:pPr>
      <w:r>
        <w:rPr>
          <w:color w:val="auto"/>
          <w:sz w:val="28"/>
          <w:szCs w:val="28"/>
        </w:rPr>
        <w:t>2、基本消除了矿山开采遗留下的地质环境问题，还周边居民一个适宜生存的生活环境，显示了政府对当地人民负责的态度，显示有关部门治理矿山地质环境的决心和对人民的关切，也符合国家经济发展以最小的环境损失为代价的主旨。</w:t>
      </w:r>
    </w:p>
    <w:p w14:paraId="3FA088AB">
      <w:pPr>
        <w:adjustRightInd w:val="0"/>
        <w:snapToGrid w:val="0"/>
        <w:spacing w:line="360" w:lineRule="auto"/>
        <w:ind w:firstLine="562" w:firstLineChars="200"/>
        <w:outlineLvl w:val="2"/>
        <w:rPr>
          <w:b/>
          <w:bCs/>
          <w:color w:val="auto"/>
          <w:sz w:val="28"/>
          <w:szCs w:val="28"/>
        </w:rPr>
      </w:pPr>
      <w:r>
        <w:rPr>
          <w:b/>
          <w:bCs/>
          <w:color w:val="auto"/>
          <w:sz w:val="28"/>
          <w:szCs w:val="28"/>
        </w:rPr>
        <w:t>二、环境效益</w:t>
      </w:r>
    </w:p>
    <w:p w14:paraId="0CA7E110">
      <w:pPr>
        <w:adjustRightInd w:val="0"/>
        <w:snapToGrid w:val="0"/>
        <w:spacing w:line="360" w:lineRule="auto"/>
        <w:ind w:firstLine="560" w:firstLineChars="200"/>
        <w:rPr>
          <w:color w:val="auto"/>
          <w:sz w:val="28"/>
          <w:szCs w:val="28"/>
        </w:rPr>
      </w:pPr>
      <w:r>
        <w:rPr>
          <w:color w:val="auto"/>
          <w:sz w:val="28"/>
          <w:szCs w:val="28"/>
        </w:rPr>
        <w:t>治理工程完成后，能使矿区重新披上绿装，使资源、环境与可持续发展协调一致。通过恢复植被并涵养水土，改善当地水土环境，环境效益十分明显。具体体现在如下几个方面：</w:t>
      </w:r>
    </w:p>
    <w:p w14:paraId="1F71ED98">
      <w:pPr>
        <w:adjustRightInd w:val="0"/>
        <w:snapToGrid w:val="0"/>
        <w:spacing w:line="360" w:lineRule="auto"/>
        <w:ind w:firstLine="560" w:firstLineChars="200"/>
        <w:rPr>
          <w:color w:val="auto"/>
          <w:sz w:val="28"/>
          <w:szCs w:val="28"/>
        </w:rPr>
      </w:pPr>
      <w:r>
        <w:rPr>
          <w:color w:val="auto"/>
          <w:sz w:val="28"/>
          <w:szCs w:val="28"/>
        </w:rPr>
        <w:t>1、局部小气候得到改善：矿山地质环境治理工程使大片的因矿山开采占用损毁的土地改造成了林地、草地，大面积的植被恢复必将大大提高该地区的植被覆盖率，既改善了区域生态环境，又有利于生态良性循环。</w:t>
      </w:r>
    </w:p>
    <w:p w14:paraId="70B49E55">
      <w:pPr>
        <w:adjustRightInd w:val="0"/>
        <w:snapToGrid w:val="0"/>
        <w:spacing w:line="360" w:lineRule="auto"/>
        <w:ind w:firstLine="560" w:firstLineChars="200"/>
        <w:rPr>
          <w:color w:val="auto"/>
          <w:sz w:val="28"/>
          <w:szCs w:val="28"/>
        </w:rPr>
      </w:pPr>
      <w:r>
        <w:rPr>
          <w:color w:val="auto"/>
          <w:sz w:val="28"/>
          <w:szCs w:val="28"/>
        </w:rPr>
        <w:t>2、防风固沙，减少了水土流失：原来的废渣堆放区植被极其稀少，风蚀沙化严重，水土严重流失。经过覆土后恢复植被使得治理区的地表风蚀沙化现象得到根本控制。</w:t>
      </w:r>
    </w:p>
    <w:p w14:paraId="5C2B12F8">
      <w:pPr>
        <w:adjustRightInd w:val="0"/>
        <w:snapToGrid w:val="0"/>
        <w:spacing w:line="360" w:lineRule="auto"/>
        <w:ind w:firstLine="560" w:firstLineChars="200"/>
        <w:rPr>
          <w:color w:val="auto"/>
          <w:sz w:val="28"/>
          <w:szCs w:val="28"/>
        </w:rPr>
      </w:pPr>
      <w:r>
        <w:rPr>
          <w:color w:val="auto"/>
          <w:sz w:val="28"/>
          <w:szCs w:val="28"/>
        </w:rPr>
        <w:t>3、涵养水源，改良土壤：原有的废石堆堆放区造成地表高低不平，松散的固体废弃物不能保持植物生长所必需的水份，使得土地沙化加剧；有机质与N、P、K等元素含量也非常少。经过治理废弃物被清运、覆土，表层土壤结构被改善，提高了抗冲、抗蚀能力。</w:t>
      </w:r>
    </w:p>
    <w:p w14:paraId="7B83AA1A">
      <w:pPr>
        <w:adjustRightInd w:val="0"/>
        <w:snapToGrid w:val="0"/>
        <w:spacing w:line="360" w:lineRule="auto"/>
        <w:ind w:firstLine="560" w:firstLineChars="200"/>
        <w:rPr>
          <w:color w:val="auto"/>
          <w:sz w:val="28"/>
          <w:szCs w:val="28"/>
        </w:rPr>
      </w:pPr>
      <w:r>
        <w:rPr>
          <w:color w:val="auto"/>
          <w:sz w:val="28"/>
          <w:szCs w:val="28"/>
        </w:rPr>
        <w:t>4、矿区景观格局的变化：矿山地质环境综合治理工程的实施使治理区域变绿；使矿区周围尘土飞扬的状况改变，矿区的天更蓝，矿区的空气更新鲜；从而创造一个较好的人居环境，人与自然的关系更加和谐。</w:t>
      </w:r>
    </w:p>
    <w:p w14:paraId="0521AAE0">
      <w:pPr>
        <w:adjustRightInd w:val="0"/>
        <w:snapToGrid w:val="0"/>
        <w:spacing w:line="360" w:lineRule="auto"/>
        <w:ind w:firstLine="562" w:firstLineChars="200"/>
        <w:outlineLvl w:val="2"/>
        <w:rPr>
          <w:b/>
          <w:bCs/>
          <w:color w:val="auto"/>
          <w:sz w:val="28"/>
          <w:szCs w:val="28"/>
        </w:rPr>
      </w:pPr>
      <w:r>
        <w:rPr>
          <w:b/>
          <w:bCs/>
          <w:color w:val="auto"/>
          <w:sz w:val="28"/>
          <w:szCs w:val="28"/>
        </w:rPr>
        <w:t>三、经济效益</w:t>
      </w:r>
    </w:p>
    <w:p w14:paraId="77A4F790">
      <w:pPr>
        <w:adjustRightInd w:val="0"/>
        <w:snapToGrid w:val="0"/>
        <w:spacing w:line="360" w:lineRule="auto"/>
        <w:ind w:firstLine="560" w:firstLineChars="200"/>
        <w:rPr>
          <w:color w:val="auto"/>
          <w:sz w:val="28"/>
          <w:szCs w:val="28"/>
        </w:rPr>
      </w:pPr>
      <w:r>
        <w:rPr>
          <w:color w:val="auto"/>
          <w:sz w:val="28"/>
          <w:szCs w:val="28"/>
        </w:rPr>
        <w:t>矿区生态修复工程经济效益主要由减灾效益和增值效益两部分组成。以减灾效益为主，增值效益为辅。实施矿山地质环境治理工程后，有效消除或减轻了地质灾害隐患，保护了人员生命财产及设备安全；其增值效益主要体现在废渣利用和经过治理的土地资源所产生的价值上。</w:t>
      </w:r>
    </w:p>
    <w:p w14:paraId="1AFF7E7F">
      <w:pPr>
        <w:adjustRightInd w:val="0"/>
        <w:snapToGrid w:val="0"/>
        <w:spacing w:line="360" w:lineRule="auto"/>
        <w:ind w:firstLine="560" w:firstLineChars="200"/>
        <w:rPr>
          <w:rFonts w:hint="eastAsia" w:ascii="宋体" w:hAnsi="宋体" w:cs="宋体"/>
          <w:color w:val="auto"/>
          <w:sz w:val="28"/>
          <w:szCs w:val="28"/>
        </w:rPr>
      </w:pPr>
      <w:r>
        <w:rPr>
          <w:color w:val="auto"/>
          <w:sz w:val="28"/>
          <w:szCs w:val="28"/>
        </w:rPr>
        <w:t>经设计复垦林地</w:t>
      </w:r>
      <w:r>
        <w:rPr>
          <w:rFonts w:hint="eastAsia"/>
          <w:color w:val="auto"/>
          <w:sz w:val="28"/>
          <w:szCs w:val="28"/>
          <w:lang w:val="en-US" w:eastAsia="zh-CN"/>
        </w:rPr>
        <w:t>0.0965</w:t>
      </w:r>
      <w:r>
        <w:rPr>
          <w:rFonts w:hint="eastAsia"/>
          <w:color w:val="auto"/>
          <w:sz w:val="28"/>
          <w:szCs w:val="28"/>
        </w:rPr>
        <w:t>h</w:t>
      </w:r>
      <w:r>
        <w:rPr>
          <w:color w:val="auto"/>
          <w:sz w:val="28"/>
          <w:szCs w:val="28"/>
        </w:rPr>
        <w:t>m</w:t>
      </w:r>
      <w:r>
        <w:rPr>
          <w:color w:val="auto"/>
          <w:sz w:val="28"/>
          <w:szCs w:val="28"/>
          <w:vertAlign w:val="superscript"/>
        </w:rPr>
        <w:t>2</w:t>
      </w:r>
      <w:r>
        <w:rPr>
          <w:color w:val="auto"/>
          <w:sz w:val="28"/>
          <w:szCs w:val="28"/>
        </w:rPr>
        <w:t>，复垦草地</w:t>
      </w:r>
      <w:r>
        <w:rPr>
          <w:rFonts w:hint="eastAsia"/>
          <w:color w:val="auto"/>
          <w:sz w:val="28"/>
          <w:szCs w:val="28"/>
          <w:lang w:val="en-US" w:eastAsia="zh-CN"/>
        </w:rPr>
        <w:t>6.5362</w:t>
      </w:r>
      <w:r>
        <w:rPr>
          <w:rFonts w:hint="eastAsia"/>
          <w:color w:val="auto"/>
          <w:sz w:val="28"/>
          <w:szCs w:val="28"/>
        </w:rPr>
        <w:t>h</w:t>
      </w:r>
      <w:r>
        <w:rPr>
          <w:color w:val="auto"/>
          <w:sz w:val="28"/>
          <w:szCs w:val="28"/>
        </w:rPr>
        <w:t>m</w:t>
      </w:r>
      <w:r>
        <w:rPr>
          <w:color w:val="auto"/>
          <w:sz w:val="28"/>
          <w:szCs w:val="28"/>
          <w:vertAlign w:val="superscript"/>
        </w:rPr>
        <w:t>2</w:t>
      </w:r>
      <w:r>
        <w:rPr>
          <w:color w:val="auto"/>
          <w:sz w:val="28"/>
          <w:szCs w:val="28"/>
        </w:rPr>
        <w:t>，通过林地、草地的直接经营、资源产出或使用权流转获得的经济收益，并且通过改善区域生态环境、优化资源配置、降低社会成本，为区域经济发展提供长期支撑，其综合价值往往高于直接经济效益</w:t>
      </w:r>
      <w:bookmarkEnd w:id="94"/>
      <w:bookmarkEnd w:id="95"/>
      <w:r>
        <w:rPr>
          <w:color w:val="auto"/>
          <w:sz w:val="28"/>
          <w:szCs w:val="28"/>
        </w:rPr>
        <w:t>。</w:t>
      </w:r>
    </w:p>
    <w:p w14:paraId="56A4843C">
      <w:pPr>
        <w:tabs>
          <w:tab w:val="left" w:pos="720"/>
        </w:tabs>
        <w:spacing w:line="360" w:lineRule="auto"/>
        <w:ind w:firstLine="560" w:firstLineChars="200"/>
        <w:rPr>
          <w:rFonts w:hint="eastAsia" w:ascii="宋体" w:hAnsi="宋体" w:cs="宋体"/>
          <w:color w:val="auto"/>
          <w:sz w:val="28"/>
          <w:szCs w:val="28"/>
        </w:rPr>
      </w:pPr>
    </w:p>
    <w:p w14:paraId="0071D12F">
      <w:pPr>
        <w:adjustRightInd w:val="0"/>
        <w:snapToGrid w:val="0"/>
        <w:spacing w:line="360" w:lineRule="auto"/>
        <w:ind w:firstLine="560" w:firstLineChars="200"/>
        <w:rPr>
          <w:rFonts w:hint="eastAsia" w:ascii="宋体" w:hAnsi="宋体" w:cs="宋体"/>
          <w:color w:val="auto"/>
          <w:sz w:val="28"/>
          <w:szCs w:val="28"/>
        </w:rPr>
        <w:sectPr>
          <w:headerReference r:id="rId23" w:type="default"/>
          <w:footerReference r:id="rId24" w:type="default"/>
          <w:pgSz w:w="11906" w:h="16838"/>
          <w:pgMar w:top="1219" w:right="1797" w:bottom="1440" w:left="1797" w:header="851" w:footer="992" w:gutter="0"/>
          <w:pgNumType w:fmt="decimal"/>
          <w:cols w:space="720" w:num="1"/>
          <w:docGrid w:linePitch="312" w:charSpace="0"/>
        </w:sectPr>
      </w:pPr>
    </w:p>
    <w:p w14:paraId="2972B451">
      <w:pPr>
        <w:pStyle w:val="2"/>
        <w:spacing w:line="360" w:lineRule="auto"/>
        <w:jc w:val="center"/>
        <w:rPr>
          <w:rFonts w:hint="eastAsia" w:ascii="黑体" w:hAnsi="黑体" w:eastAsia="黑体" w:cs="黑体"/>
          <w:bCs/>
          <w:color w:val="auto"/>
        </w:rPr>
      </w:pPr>
      <w:bookmarkStart w:id="103" w:name="_Toc32625"/>
      <w:r>
        <w:rPr>
          <w:rFonts w:hint="eastAsia" w:ascii="黑体" w:hAnsi="黑体" w:eastAsia="黑体" w:cs="黑体"/>
          <w:bCs/>
          <w:color w:val="auto"/>
        </w:rPr>
        <w:t>第八章  结论</w:t>
      </w:r>
      <w:bookmarkEnd w:id="103"/>
    </w:p>
    <w:p w14:paraId="105194CD">
      <w:pPr>
        <w:adjustRightInd w:val="0"/>
        <w:snapToGrid w:val="0"/>
        <w:spacing w:line="360" w:lineRule="auto"/>
        <w:ind w:firstLine="560" w:firstLineChars="200"/>
        <w:rPr>
          <w:color w:val="auto"/>
          <w:kern w:val="0"/>
          <w:sz w:val="28"/>
          <w:szCs w:val="28"/>
        </w:rPr>
      </w:pPr>
      <w:r>
        <w:rPr>
          <w:color w:val="auto"/>
          <w:sz w:val="28"/>
          <w:szCs w:val="28"/>
        </w:rPr>
        <w:t>一、</w:t>
      </w:r>
      <w:r>
        <w:rPr>
          <w:rFonts w:hint="eastAsia"/>
          <w:color w:val="auto"/>
          <w:sz w:val="28"/>
          <w:szCs w:val="28"/>
          <w:lang w:eastAsia="zh-CN"/>
        </w:rPr>
        <w:t>松山区初头朗镇窑沟门碎石矿</w:t>
      </w:r>
      <w:r>
        <w:rPr>
          <w:color w:val="auto"/>
          <w:sz w:val="28"/>
          <w:szCs w:val="28"/>
        </w:rPr>
        <w:t>矿区面积为</w:t>
      </w:r>
      <w:r>
        <w:rPr>
          <w:rFonts w:hint="eastAsia"/>
          <w:color w:val="auto"/>
          <w:sz w:val="28"/>
          <w:szCs w:val="28"/>
          <w:lang w:val="en-US" w:eastAsia="zh-CN"/>
        </w:rPr>
        <w:t>0.044</w:t>
      </w:r>
      <w:r>
        <w:rPr>
          <w:color w:val="auto"/>
          <w:sz w:val="28"/>
          <w:szCs w:val="28"/>
        </w:rPr>
        <w:t>km</w:t>
      </w:r>
      <w:r>
        <w:rPr>
          <w:color w:val="auto"/>
          <w:sz w:val="28"/>
          <w:szCs w:val="28"/>
          <w:vertAlign w:val="superscript"/>
        </w:rPr>
        <w:t>2</w:t>
      </w:r>
      <w:r>
        <w:rPr>
          <w:color w:val="auto"/>
          <w:kern w:val="0"/>
          <w:sz w:val="28"/>
          <w:szCs w:val="28"/>
        </w:rPr>
        <w:t>，开采矿种为</w:t>
      </w:r>
      <w:r>
        <w:rPr>
          <w:rFonts w:hint="eastAsia" w:ascii="Times New Roman" w:hAnsi="Times New Roman" w:cs="Times New Roman"/>
          <w:color w:val="auto"/>
          <w:sz w:val="28"/>
          <w:szCs w:val="28"/>
        </w:rPr>
        <w:t>建筑用石料（凝灰岩）</w:t>
      </w:r>
      <w:r>
        <w:rPr>
          <w:color w:val="auto"/>
          <w:kern w:val="0"/>
          <w:sz w:val="28"/>
          <w:szCs w:val="28"/>
        </w:rPr>
        <w:t>，开采方式为</w:t>
      </w:r>
      <w:r>
        <w:rPr>
          <w:rFonts w:hint="eastAsia"/>
          <w:color w:val="auto"/>
          <w:kern w:val="0"/>
          <w:sz w:val="28"/>
          <w:szCs w:val="28"/>
          <w:lang w:val="en-US" w:eastAsia="zh-CN"/>
        </w:rPr>
        <w:t>露天</w:t>
      </w:r>
      <w:r>
        <w:rPr>
          <w:color w:val="auto"/>
          <w:kern w:val="0"/>
          <w:sz w:val="28"/>
          <w:szCs w:val="28"/>
        </w:rPr>
        <w:t>开采，生产规模为</w:t>
      </w:r>
      <w:r>
        <w:rPr>
          <w:rFonts w:hint="eastAsia"/>
          <w:color w:val="auto"/>
          <w:kern w:val="0"/>
          <w:sz w:val="28"/>
          <w:szCs w:val="28"/>
          <w:lang w:val="en-US" w:eastAsia="zh-CN"/>
        </w:rPr>
        <w:t>2</w:t>
      </w:r>
      <w:r>
        <w:rPr>
          <w:color w:val="auto"/>
          <w:kern w:val="0"/>
          <w:sz w:val="28"/>
          <w:szCs w:val="28"/>
        </w:rPr>
        <w:t>×10</w:t>
      </w:r>
      <w:r>
        <w:rPr>
          <w:color w:val="auto"/>
          <w:kern w:val="0"/>
          <w:sz w:val="28"/>
          <w:szCs w:val="28"/>
          <w:vertAlign w:val="superscript"/>
        </w:rPr>
        <w:t>4</w:t>
      </w:r>
      <w:r>
        <w:rPr>
          <w:color w:val="auto"/>
          <w:kern w:val="0"/>
          <w:sz w:val="28"/>
          <w:szCs w:val="28"/>
        </w:rPr>
        <w:t>t/a，</w:t>
      </w:r>
      <w:r>
        <w:rPr>
          <w:rFonts w:hint="eastAsia" w:ascii="Times New Roman" w:hAnsi="Times New Roman" w:eastAsia="宋体" w:cs="Times New Roman"/>
          <w:color w:val="auto"/>
          <w:sz w:val="28"/>
          <w:szCs w:val="28"/>
        </w:rPr>
        <w:t>矿山</w:t>
      </w:r>
      <w:r>
        <w:rPr>
          <w:rFonts w:hint="eastAsia" w:cs="Times New Roman"/>
          <w:color w:val="auto"/>
          <w:sz w:val="28"/>
          <w:szCs w:val="28"/>
          <w:lang w:val="en-US" w:eastAsia="zh-CN"/>
        </w:rPr>
        <w:t>不再继续开采，近期1年主要进行矿区生态修复工作</w:t>
      </w:r>
      <w:r>
        <w:rPr>
          <w:rFonts w:hint="eastAsia"/>
          <w:color w:val="auto"/>
          <w:sz w:val="28"/>
          <w:szCs w:val="28"/>
        </w:rPr>
        <w:t>，矿山后续管护期</w:t>
      </w:r>
      <w:r>
        <w:rPr>
          <w:rFonts w:hint="eastAsia"/>
          <w:color w:val="auto"/>
          <w:sz w:val="28"/>
          <w:szCs w:val="28"/>
          <w:lang w:val="en-US" w:eastAsia="zh-CN"/>
        </w:rPr>
        <w:t>1</w:t>
      </w:r>
      <w:r>
        <w:rPr>
          <w:rFonts w:hint="eastAsia"/>
          <w:color w:val="auto"/>
          <w:sz w:val="28"/>
          <w:szCs w:val="28"/>
        </w:rPr>
        <w:t>年</w:t>
      </w:r>
      <w:r>
        <w:rPr>
          <w:rFonts w:hint="eastAsia"/>
          <w:color w:val="auto"/>
          <w:sz w:val="28"/>
          <w:szCs w:val="28"/>
          <w:lang w:eastAsia="zh-CN"/>
        </w:rPr>
        <w:t>，</w:t>
      </w:r>
      <w:r>
        <w:rPr>
          <w:color w:val="auto"/>
          <w:sz w:val="28"/>
          <w:szCs w:val="28"/>
        </w:rPr>
        <w:t>据此确定本方案服务年限为</w:t>
      </w:r>
      <w:r>
        <w:rPr>
          <w:rFonts w:hint="eastAsia"/>
          <w:color w:val="auto"/>
          <w:sz w:val="28"/>
          <w:szCs w:val="28"/>
          <w:lang w:val="en-US" w:eastAsia="zh-CN"/>
        </w:rPr>
        <w:t>2</w:t>
      </w:r>
      <w:r>
        <w:rPr>
          <w:color w:val="auto"/>
          <w:sz w:val="28"/>
          <w:szCs w:val="28"/>
        </w:rPr>
        <w:t>年，即2026年</w:t>
      </w:r>
      <w:r>
        <w:rPr>
          <w:rFonts w:hint="eastAsia"/>
          <w:color w:val="auto"/>
          <w:sz w:val="28"/>
          <w:szCs w:val="28"/>
          <w:lang w:val="en-US" w:eastAsia="zh-CN"/>
        </w:rPr>
        <w:t>7</w:t>
      </w:r>
      <w:r>
        <w:rPr>
          <w:color w:val="auto"/>
          <w:sz w:val="28"/>
          <w:szCs w:val="28"/>
        </w:rPr>
        <w:t>月至20</w:t>
      </w:r>
      <w:r>
        <w:rPr>
          <w:rFonts w:hint="eastAsia"/>
          <w:color w:val="auto"/>
          <w:sz w:val="28"/>
          <w:szCs w:val="28"/>
          <w:lang w:val="en-US" w:eastAsia="zh-CN"/>
        </w:rPr>
        <w:t>28</w:t>
      </w:r>
      <w:r>
        <w:rPr>
          <w:color w:val="auto"/>
          <w:sz w:val="28"/>
          <w:szCs w:val="28"/>
        </w:rPr>
        <w:t>年</w:t>
      </w:r>
      <w:r>
        <w:rPr>
          <w:rFonts w:hint="eastAsia"/>
          <w:color w:val="auto"/>
          <w:sz w:val="28"/>
          <w:szCs w:val="28"/>
          <w:lang w:val="en-US" w:eastAsia="zh-CN"/>
        </w:rPr>
        <w:t>6</w:t>
      </w:r>
      <w:r>
        <w:rPr>
          <w:color w:val="auto"/>
          <w:sz w:val="28"/>
          <w:szCs w:val="28"/>
        </w:rPr>
        <w:t>月。方案基准期以自然资源部门批准该方案之日算起（通过审查的公告日）。</w:t>
      </w:r>
    </w:p>
    <w:p w14:paraId="30D30434">
      <w:pPr>
        <w:adjustRightInd w:val="0"/>
        <w:snapToGrid w:val="0"/>
        <w:spacing w:line="360" w:lineRule="auto"/>
        <w:ind w:firstLine="560" w:firstLineChars="200"/>
        <w:rPr>
          <w:color w:val="auto"/>
          <w:sz w:val="28"/>
          <w:szCs w:val="28"/>
        </w:rPr>
      </w:pPr>
      <w:r>
        <w:rPr>
          <w:color w:val="auto"/>
          <w:sz w:val="28"/>
          <w:szCs w:val="28"/>
        </w:rPr>
        <w:t>二、根据现有矿区范围、矿业活动影响范围，综合确定矿区生态修复范围面积</w:t>
      </w:r>
      <w:r>
        <w:rPr>
          <w:rFonts w:hint="eastAsia"/>
          <w:color w:val="auto"/>
          <w:sz w:val="28"/>
          <w:szCs w:val="28"/>
          <w:lang w:val="en-US" w:eastAsia="zh-CN"/>
        </w:rPr>
        <w:t>8.9990</w:t>
      </w:r>
      <w:r>
        <w:rPr>
          <w:color w:val="auto"/>
          <w:sz w:val="28"/>
          <w:szCs w:val="28"/>
        </w:rPr>
        <w:t>hm</w:t>
      </w:r>
      <w:r>
        <w:rPr>
          <w:color w:val="auto"/>
          <w:sz w:val="28"/>
          <w:szCs w:val="28"/>
          <w:vertAlign w:val="superscript"/>
        </w:rPr>
        <w:t>2</w:t>
      </w:r>
      <w:r>
        <w:rPr>
          <w:color w:val="auto"/>
          <w:sz w:val="28"/>
          <w:szCs w:val="28"/>
        </w:rPr>
        <w:t>。</w:t>
      </w:r>
    </w:p>
    <w:p w14:paraId="2A54FDAF">
      <w:pPr>
        <w:adjustRightInd w:val="0"/>
        <w:snapToGrid w:val="0"/>
        <w:spacing w:line="360" w:lineRule="auto"/>
        <w:ind w:firstLine="560" w:firstLineChars="200"/>
        <w:rPr>
          <w:color w:val="auto"/>
          <w:sz w:val="28"/>
          <w:szCs w:val="28"/>
        </w:rPr>
      </w:pPr>
      <w:r>
        <w:rPr>
          <w:color w:val="auto"/>
          <w:sz w:val="28"/>
          <w:szCs w:val="28"/>
        </w:rPr>
        <w:t>三、生态修复范围内根据地质环境破坏问题、土地资源损毁问题、生态系统受损问题，将生态修复影响范围划分为重度受损区、中度受损区、轻度受损区。其中重度受损区为</w:t>
      </w:r>
      <w:r>
        <w:rPr>
          <w:rFonts w:hint="eastAsia" w:ascii="Times New Roman" w:cs="Times New Roman"/>
          <w:color w:val="auto"/>
          <w:sz w:val="28"/>
          <w:szCs w:val="28"/>
        </w:rPr>
        <w:t>露天采场、</w:t>
      </w:r>
      <w:r>
        <w:rPr>
          <w:rFonts w:hint="eastAsia" w:cs="Times New Roman"/>
          <w:color w:val="auto"/>
          <w:sz w:val="28"/>
          <w:szCs w:val="28"/>
          <w:lang w:val="en-US" w:eastAsia="zh-CN"/>
        </w:rPr>
        <w:t>2#废</w:t>
      </w:r>
      <w:r>
        <w:rPr>
          <w:rFonts w:hint="eastAsia" w:ascii="Times New Roman" w:cs="Times New Roman"/>
          <w:color w:val="auto"/>
          <w:sz w:val="28"/>
          <w:szCs w:val="28"/>
        </w:rPr>
        <w:t>石场</w:t>
      </w:r>
      <w:r>
        <w:rPr>
          <w:color w:val="auto"/>
          <w:sz w:val="28"/>
          <w:szCs w:val="28"/>
        </w:rPr>
        <w:t>总</w:t>
      </w:r>
      <w:r>
        <w:rPr>
          <w:rFonts w:ascii="Times New Roman" w:cs="Times New Roman"/>
          <w:color w:val="auto"/>
          <w:sz w:val="28"/>
          <w:szCs w:val="28"/>
        </w:rPr>
        <w:t>面积</w:t>
      </w:r>
      <w:r>
        <w:rPr>
          <w:rFonts w:hint="eastAsia" w:cs="Times New Roman"/>
          <w:color w:val="auto"/>
          <w:sz w:val="28"/>
          <w:szCs w:val="28"/>
          <w:lang w:val="en-US" w:eastAsia="zh-CN"/>
        </w:rPr>
        <w:t>4.9282</w:t>
      </w:r>
      <w:r>
        <w:rPr>
          <w:rFonts w:hint="eastAsia" w:ascii="Times New Roman" w:cs="Times New Roman"/>
          <w:color w:val="auto"/>
          <w:sz w:val="28"/>
          <w:szCs w:val="28"/>
        </w:rPr>
        <w:t>h</w:t>
      </w:r>
      <w:r>
        <w:rPr>
          <w:rFonts w:ascii="Times New Roman" w:cs="Times New Roman"/>
          <w:color w:val="auto"/>
          <w:sz w:val="28"/>
          <w:szCs w:val="28"/>
        </w:rPr>
        <w:t>m</w:t>
      </w:r>
      <w:r>
        <w:rPr>
          <w:rFonts w:ascii="Times New Roman" w:cs="Times New Roman"/>
          <w:color w:val="auto"/>
          <w:sz w:val="28"/>
          <w:szCs w:val="28"/>
          <w:vertAlign w:val="superscript"/>
        </w:rPr>
        <w:t>2</w:t>
      </w:r>
      <w:r>
        <w:rPr>
          <w:rFonts w:hint="eastAsia"/>
          <w:color w:val="auto"/>
          <w:sz w:val="28"/>
          <w:szCs w:val="28"/>
          <w:lang w:eastAsia="zh-CN"/>
        </w:rPr>
        <w:t>；</w:t>
      </w:r>
      <w:r>
        <w:rPr>
          <w:color w:val="auto"/>
          <w:sz w:val="28"/>
          <w:szCs w:val="28"/>
        </w:rPr>
        <w:t>中度受损区为</w:t>
      </w:r>
      <w:r>
        <w:rPr>
          <w:rFonts w:hint="eastAsia"/>
          <w:color w:val="auto"/>
          <w:sz w:val="28"/>
          <w:szCs w:val="28"/>
          <w:lang w:val="en-US" w:eastAsia="zh-CN"/>
        </w:rPr>
        <w:t>1#</w:t>
      </w:r>
      <w:r>
        <w:rPr>
          <w:rFonts w:hint="eastAsia" w:ascii="Times New Roman" w:cs="Times New Roman"/>
          <w:color w:val="auto"/>
          <w:sz w:val="28"/>
          <w:szCs w:val="28"/>
        </w:rPr>
        <w:t>废石场、1#废渣堆、2#废渣堆、3#废渣堆、</w:t>
      </w:r>
      <w:r>
        <w:rPr>
          <w:rFonts w:hint="eastAsia" w:cs="Times New Roman"/>
          <w:color w:val="auto"/>
          <w:sz w:val="28"/>
          <w:szCs w:val="28"/>
          <w:lang w:val="en-US" w:eastAsia="zh-CN"/>
        </w:rPr>
        <w:t>工业场地、办公生活区、矿区道路</w:t>
      </w:r>
      <w:r>
        <w:rPr>
          <w:rFonts w:hint="eastAsia"/>
          <w:color w:val="auto"/>
          <w:kern w:val="0"/>
          <w:sz w:val="28"/>
          <w:szCs w:val="28"/>
          <w:lang w:val="en-US" w:eastAsia="zh-CN"/>
        </w:rPr>
        <w:t>、变压器</w:t>
      </w:r>
      <w:r>
        <w:rPr>
          <w:rFonts w:hint="eastAsia" w:cs="Times New Roman"/>
          <w:color w:val="auto"/>
          <w:sz w:val="28"/>
          <w:szCs w:val="28"/>
          <w:lang w:val="en-US" w:eastAsia="zh-CN"/>
        </w:rPr>
        <w:t>，</w:t>
      </w:r>
      <w:r>
        <w:rPr>
          <w:color w:val="auto"/>
          <w:sz w:val="28"/>
          <w:szCs w:val="28"/>
        </w:rPr>
        <w:t>总</w:t>
      </w:r>
      <w:r>
        <w:rPr>
          <w:rFonts w:ascii="Times New Roman" w:cs="Times New Roman"/>
          <w:color w:val="auto"/>
          <w:sz w:val="28"/>
          <w:szCs w:val="28"/>
        </w:rPr>
        <w:t>面积</w:t>
      </w:r>
      <w:r>
        <w:rPr>
          <w:rFonts w:hint="eastAsia" w:cs="Times New Roman"/>
          <w:color w:val="auto"/>
          <w:sz w:val="28"/>
          <w:szCs w:val="28"/>
          <w:lang w:val="en-US" w:eastAsia="zh-CN"/>
        </w:rPr>
        <w:t>2.8406</w:t>
      </w:r>
      <w:r>
        <w:rPr>
          <w:rFonts w:hint="eastAsia" w:ascii="Times New Roman" w:cs="Times New Roman"/>
          <w:color w:val="auto"/>
          <w:sz w:val="28"/>
          <w:szCs w:val="28"/>
        </w:rPr>
        <w:t>h</w:t>
      </w:r>
      <w:r>
        <w:rPr>
          <w:rFonts w:ascii="Times New Roman" w:cs="Times New Roman"/>
          <w:color w:val="auto"/>
          <w:sz w:val="28"/>
          <w:szCs w:val="28"/>
        </w:rPr>
        <w:t>m</w:t>
      </w:r>
      <w:r>
        <w:rPr>
          <w:rFonts w:ascii="Times New Roman" w:cs="Times New Roman"/>
          <w:color w:val="auto"/>
          <w:sz w:val="28"/>
          <w:szCs w:val="28"/>
          <w:vertAlign w:val="superscript"/>
        </w:rPr>
        <w:t>2</w:t>
      </w:r>
      <w:r>
        <w:rPr>
          <w:rFonts w:hint="eastAsia"/>
          <w:color w:val="auto"/>
          <w:sz w:val="28"/>
          <w:szCs w:val="28"/>
          <w:lang w:eastAsia="zh-CN"/>
        </w:rPr>
        <w:t>；</w:t>
      </w:r>
      <w:r>
        <w:rPr>
          <w:color w:val="auto"/>
          <w:sz w:val="28"/>
          <w:szCs w:val="28"/>
        </w:rPr>
        <w:t>轻度受损区为范围内其他区域总</w:t>
      </w:r>
      <w:r>
        <w:rPr>
          <w:rFonts w:ascii="Times New Roman" w:cs="Times New Roman"/>
          <w:color w:val="auto"/>
          <w:sz w:val="28"/>
          <w:szCs w:val="28"/>
        </w:rPr>
        <w:t>面积</w:t>
      </w:r>
      <w:r>
        <w:rPr>
          <w:rFonts w:hint="eastAsia" w:cs="Times New Roman"/>
          <w:color w:val="auto"/>
          <w:sz w:val="28"/>
          <w:szCs w:val="28"/>
          <w:lang w:val="en-US" w:eastAsia="zh-CN"/>
        </w:rPr>
        <w:t>1.2302</w:t>
      </w:r>
      <w:r>
        <w:rPr>
          <w:rFonts w:hint="eastAsia" w:ascii="Times New Roman" w:cs="Times New Roman"/>
          <w:color w:val="auto"/>
          <w:sz w:val="28"/>
          <w:szCs w:val="28"/>
        </w:rPr>
        <w:t>h</w:t>
      </w:r>
      <w:r>
        <w:rPr>
          <w:rFonts w:ascii="Times New Roman" w:cs="Times New Roman"/>
          <w:color w:val="auto"/>
          <w:sz w:val="28"/>
          <w:szCs w:val="28"/>
        </w:rPr>
        <w:t>m</w:t>
      </w:r>
      <w:r>
        <w:rPr>
          <w:rFonts w:ascii="Times New Roman" w:cs="Times New Roman"/>
          <w:color w:val="auto"/>
          <w:sz w:val="28"/>
          <w:szCs w:val="28"/>
          <w:vertAlign w:val="superscript"/>
        </w:rPr>
        <w:t>2</w:t>
      </w:r>
      <w:r>
        <w:rPr>
          <w:color w:val="auto"/>
          <w:sz w:val="28"/>
          <w:szCs w:val="28"/>
        </w:rPr>
        <w:t>。</w:t>
      </w:r>
    </w:p>
    <w:p w14:paraId="1994DE4B">
      <w:pPr>
        <w:adjustRightInd w:val="0"/>
        <w:snapToGrid w:val="0"/>
        <w:spacing w:line="360" w:lineRule="auto"/>
        <w:ind w:firstLine="560" w:firstLineChars="200"/>
        <w:rPr>
          <w:color w:val="auto"/>
          <w:sz w:val="28"/>
          <w:szCs w:val="28"/>
        </w:rPr>
      </w:pPr>
      <w:r>
        <w:rPr>
          <w:color w:val="auto"/>
          <w:sz w:val="28"/>
          <w:szCs w:val="28"/>
        </w:rPr>
        <w:t>四、矿区生态修复总体部署划分为</w:t>
      </w:r>
      <w:r>
        <w:rPr>
          <w:rFonts w:hint="eastAsia"/>
          <w:color w:val="auto"/>
          <w:sz w:val="28"/>
          <w:szCs w:val="28"/>
          <w:lang w:val="en-US" w:eastAsia="zh-CN"/>
        </w:rPr>
        <w:t>一</w:t>
      </w:r>
      <w:r>
        <w:rPr>
          <w:color w:val="auto"/>
          <w:sz w:val="28"/>
          <w:szCs w:val="28"/>
        </w:rPr>
        <w:t>个阶段</w:t>
      </w:r>
      <w:r>
        <w:rPr>
          <w:rFonts w:hint="eastAsia"/>
          <w:color w:val="auto"/>
          <w:sz w:val="28"/>
          <w:szCs w:val="28"/>
          <w:lang w:eastAsia="zh-CN"/>
        </w:rPr>
        <w:t>：</w:t>
      </w:r>
      <w:r>
        <w:rPr>
          <w:rFonts w:hint="eastAsia"/>
          <w:color w:val="auto"/>
          <w:sz w:val="28"/>
          <w:szCs w:val="28"/>
          <w:lang w:val="en-US" w:eastAsia="zh-CN"/>
        </w:rPr>
        <w:t>生态修复</w:t>
      </w:r>
      <w:r>
        <w:rPr>
          <w:color w:val="auto"/>
          <w:sz w:val="28"/>
          <w:szCs w:val="28"/>
        </w:rPr>
        <w:t>期</w:t>
      </w:r>
      <w:r>
        <w:rPr>
          <w:rFonts w:hint="eastAsia"/>
          <w:color w:val="auto"/>
          <w:sz w:val="28"/>
          <w:szCs w:val="28"/>
          <w:lang w:val="en-US" w:eastAsia="zh-CN"/>
        </w:rPr>
        <w:t>1</w:t>
      </w:r>
      <w:r>
        <w:rPr>
          <w:color w:val="auto"/>
          <w:sz w:val="28"/>
          <w:szCs w:val="28"/>
        </w:rPr>
        <w:t>年（20</w:t>
      </w:r>
      <w:r>
        <w:rPr>
          <w:rFonts w:hint="eastAsia"/>
          <w:color w:val="auto"/>
          <w:sz w:val="28"/>
          <w:szCs w:val="28"/>
          <w:lang w:val="en-US" w:eastAsia="zh-CN"/>
        </w:rPr>
        <w:t>26</w:t>
      </w:r>
      <w:r>
        <w:rPr>
          <w:color w:val="auto"/>
          <w:sz w:val="28"/>
          <w:szCs w:val="28"/>
        </w:rPr>
        <w:t>年</w:t>
      </w:r>
      <w:r>
        <w:rPr>
          <w:rFonts w:hint="eastAsia"/>
          <w:color w:val="auto"/>
          <w:sz w:val="28"/>
          <w:szCs w:val="28"/>
          <w:lang w:val="en-US" w:eastAsia="zh-CN"/>
        </w:rPr>
        <w:t>10</w:t>
      </w:r>
      <w:r>
        <w:rPr>
          <w:color w:val="auto"/>
          <w:sz w:val="28"/>
          <w:szCs w:val="28"/>
        </w:rPr>
        <w:t>月至20</w:t>
      </w:r>
      <w:r>
        <w:rPr>
          <w:rFonts w:hint="eastAsia"/>
          <w:color w:val="auto"/>
          <w:sz w:val="28"/>
          <w:szCs w:val="28"/>
          <w:lang w:val="en-US" w:eastAsia="zh-CN"/>
        </w:rPr>
        <w:t>27</w:t>
      </w:r>
      <w:r>
        <w:rPr>
          <w:color w:val="auto"/>
          <w:sz w:val="28"/>
          <w:szCs w:val="28"/>
        </w:rPr>
        <w:t>年</w:t>
      </w:r>
      <w:r>
        <w:rPr>
          <w:rFonts w:hint="eastAsia"/>
          <w:color w:val="auto"/>
          <w:sz w:val="28"/>
          <w:szCs w:val="28"/>
          <w:lang w:val="en-US" w:eastAsia="zh-CN"/>
        </w:rPr>
        <w:t>9</w:t>
      </w:r>
      <w:r>
        <w:rPr>
          <w:color w:val="auto"/>
          <w:sz w:val="28"/>
          <w:szCs w:val="28"/>
        </w:rPr>
        <w:t>月），生态修复工作预计在20</w:t>
      </w:r>
      <w:r>
        <w:rPr>
          <w:rFonts w:hint="eastAsia"/>
          <w:color w:val="auto"/>
          <w:sz w:val="28"/>
          <w:szCs w:val="28"/>
          <w:lang w:val="en-US" w:eastAsia="zh-CN"/>
        </w:rPr>
        <w:t>27</w:t>
      </w:r>
      <w:r>
        <w:rPr>
          <w:color w:val="auto"/>
          <w:sz w:val="28"/>
          <w:szCs w:val="28"/>
        </w:rPr>
        <w:t>年</w:t>
      </w:r>
      <w:r>
        <w:rPr>
          <w:rFonts w:hint="eastAsia"/>
          <w:color w:val="auto"/>
          <w:sz w:val="28"/>
          <w:szCs w:val="28"/>
          <w:lang w:val="en-US" w:eastAsia="zh-CN"/>
        </w:rPr>
        <w:t>9</w:t>
      </w:r>
      <w:r>
        <w:rPr>
          <w:color w:val="auto"/>
          <w:sz w:val="28"/>
          <w:szCs w:val="28"/>
        </w:rPr>
        <w:t>月</w:t>
      </w:r>
      <w:r>
        <w:rPr>
          <w:rFonts w:hint="eastAsia"/>
          <w:color w:val="auto"/>
          <w:sz w:val="28"/>
          <w:szCs w:val="28"/>
          <w:lang w:val="en-US" w:eastAsia="zh-CN"/>
        </w:rPr>
        <w:t>底</w:t>
      </w:r>
      <w:r>
        <w:rPr>
          <w:color w:val="auto"/>
          <w:sz w:val="28"/>
          <w:szCs w:val="28"/>
        </w:rPr>
        <w:t>前结束。</w:t>
      </w:r>
    </w:p>
    <w:p w14:paraId="5D9DD2E0">
      <w:pPr>
        <w:pStyle w:val="71"/>
        <w:spacing w:line="360" w:lineRule="auto"/>
        <w:ind w:firstLine="560" w:firstLineChars="200"/>
        <w:jc w:val="both"/>
        <w:rPr>
          <w:rFonts w:ascii="Times New Roman" w:hAnsi="Times New Roman" w:cs="Times New Roman"/>
          <w:color w:val="auto"/>
          <w:sz w:val="28"/>
          <w:szCs w:val="28"/>
        </w:rPr>
      </w:pPr>
      <w:r>
        <w:rPr>
          <w:rFonts w:hint="eastAsia" w:ascii="Times New Roman" w:hAnsi="Times New Roman" w:cs="Times New Roman"/>
          <w:color w:val="auto"/>
          <w:sz w:val="28"/>
          <w:szCs w:val="28"/>
          <w:lang w:val="en-US" w:eastAsia="zh-CN"/>
        </w:rPr>
        <w:t>矿山已不再继续开采，闭坑阶段</w:t>
      </w:r>
      <w:r>
        <w:rPr>
          <w:rFonts w:ascii="Times New Roman" w:hAnsi="Times New Roman" w:cs="Times New Roman"/>
          <w:color w:val="auto"/>
          <w:sz w:val="28"/>
          <w:szCs w:val="28"/>
        </w:rPr>
        <w:t>重点</w:t>
      </w:r>
      <w:r>
        <w:rPr>
          <w:rFonts w:hint="eastAsia" w:ascii="Times New Roman" w:hAnsi="Times New Roman" w:cs="Times New Roman"/>
          <w:color w:val="auto"/>
          <w:sz w:val="28"/>
          <w:szCs w:val="28"/>
          <w:lang w:val="en-US" w:eastAsia="zh-CN"/>
        </w:rPr>
        <w:t>治理</w:t>
      </w:r>
      <w:r>
        <w:rPr>
          <w:rFonts w:ascii="Times New Roman" w:hAnsi="Times New Roman" w:cs="Times New Roman"/>
          <w:color w:val="auto"/>
          <w:sz w:val="28"/>
          <w:szCs w:val="28"/>
        </w:rPr>
        <w:t>有以下内容：</w:t>
      </w:r>
    </w:p>
    <w:p w14:paraId="3B84BBA5">
      <w:pPr>
        <w:spacing w:line="360" w:lineRule="auto"/>
        <w:ind w:firstLine="560" w:firstLineChars="200"/>
        <w:rPr>
          <w:rFonts w:eastAsiaTheme="minorEastAsia"/>
          <w:color w:val="auto"/>
          <w:sz w:val="28"/>
          <w:szCs w:val="28"/>
        </w:rPr>
      </w:pPr>
      <w:r>
        <w:rPr>
          <w:rFonts w:hint="eastAsia" w:eastAsiaTheme="minorEastAsia"/>
          <w:color w:val="auto"/>
          <w:sz w:val="28"/>
          <w:szCs w:val="28"/>
          <w:lang w:val="en-US" w:eastAsia="zh-CN"/>
        </w:rPr>
        <w:t>1、露天采场边坡已形成2处台阶，但未覆土、恢复植被，本次生态修复设计对场地内孤立岩体进行清除，对场地内采坑进行回填，对采场高陡边坡垫坡，对边坡顶部尖角状坡面进行削坡取直，形成圆滑美观的坡面线，采取以上治理措施后，除垫坡后上部较陡部分外，整个场地进行覆土、恢复植被</w:t>
      </w:r>
      <w:r>
        <w:rPr>
          <w:rFonts w:eastAsiaTheme="minorEastAsia"/>
          <w:color w:val="auto"/>
          <w:sz w:val="28"/>
          <w:szCs w:val="28"/>
        </w:rPr>
        <w:t>；</w:t>
      </w:r>
    </w:p>
    <w:p w14:paraId="2A628C09">
      <w:pPr>
        <w:spacing w:line="360" w:lineRule="auto"/>
        <w:ind w:firstLine="560" w:firstLineChars="200"/>
        <w:rPr>
          <w:rFonts w:eastAsiaTheme="minorEastAsia"/>
          <w:color w:val="auto"/>
          <w:sz w:val="28"/>
          <w:szCs w:val="28"/>
        </w:rPr>
      </w:pPr>
      <w:r>
        <w:rPr>
          <w:rFonts w:hint="eastAsia" w:eastAsiaTheme="minorEastAsia"/>
          <w:color w:val="auto"/>
          <w:sz w:val="28"/>
          <w:szCs w:val="28"/>
          <w:lang w:val="en-US" w:eastAsia="zh-CN"/>
        </w:rPr>
        <w:t>2、设计对1#废石场边坡进行削坡压脚整形，减小边坡角度利于覆土，覆土后恢复植被</w:t>
      </w:r>
      <w:r>
        <w:rPr>
          <w:rFonts w:eastAsiaTheme="minorEastAsia"/>
          <w:color w:val="auto"/>
          <w:sz w:val="28"/>
          <w:szCs w:val="28"/>
        </w:rPr>
        <w:t>；</w:t>
      </w:r>
    </w:p>
    <w:p w14:paraId="5E8265C8">
      <w:pPr>
        <w:spacing w:line="360" w:lineRule="auto"/>
        <w:ind w:firstLine="560" w:firstLineChars="200"/>
        <w:rPr>
          <w:rFonts w:eastAsiaTheme="minorEastAsia"/>
          <w:color w:val="auto"/>
          <w:sz w:val="28"/>
          <w:szCs w:val="28"/>
        </w:rPr>
      </w:pPr>
      <w:r>
        <w:rPr>
          <w:rFonts w:hint="eastAsia" w:eastAsiaTheme="minorEastAsia"/>
          <w:color w:val="auto"/>
          <w:sz w:val="28"/>
          <w:szCs w:val="28"/>
          <w:lang w:val="en-US" w:eastAsia="zh-CN"/>
        </w:rPr>
        <w:t>3、</w:t>
      </w:r>
      <w:r>
        <w:rPr>
          <w:rFonts w:eastAsiaTheme="minorEastAsia"/>
          <w:color w:val="auto"/>
          <w:sz w:val="28"/>
          <w:szCs w:val="28"/>
        </w:rPr>
        <w:t>对</w:t>
      </w:r>
      <w:r>
        <w:rPr>
          <w:rFonts w:hint="eastAsia" w:eastAsiaTheme="minorEastAsia"/>
          <w:color w:val="auto"/>
          <w:sz w:val="28"/>
          <w:szCs w:val="28"/>
          <w:lang w:val="en-US" w:eastAsia="zh-CN"/>
        </w:rPr>
        <w:t>2#废石场地内堆积的废石进行清运至露天采场边坡垫坡使用，</w:t>
      </w:r>
      <w:r>
        <w:rPr>
          <w:rFonts w:hint="eastAsia"/>
          <w:color w:val="auto"/>
          <w:kern w:val="0"/>
          <w:sz w:val="28"/>
          <w:szCs w:val="28"/>
          <w:lang w:val="en-US" w:eastAsia="zh-CN"/>
        </w:rPr>
        <w:t>边坡处进行垫坡，</w:t>
      </w:r>
      <w:r>
        <w:rPr>
          <w:rFonts w:hint="eastAsia" w:eastAsiaTheme="minorEastAsia"/>
          <w:color w:val="auto"/>
          <w:sz w:val="28"/>
          <w:szCs w:val="28"/>
          <w:lang w:val="en-US" w:eastAsia="zh-CN"/>
        </w:rPr>
        <w:t>清运后的场地覆土后恢复植被</w:t>
      </w:r>
      <w:r>
        <w:rPr>
          <w:rFonts w:eastAsiaTheme="minorEastAsia"/>
          <w:color w:val="auto"/>
          <w:sz w:val="28"/>
          <w:szCs w:val="28"/>
        </w:rPr>
        <w:t>；</w:t>
      </w:r>
    </w:p>
    <w:p w14:paraId="579F4569">
      <w:pPr>
        <w:spacing w:line="360" w:lineRule="auto"/>
        <w:ind w:firstLine="560" w:firstLineChars="200"/>
        <w:rPr>
          <w:rFonts w:eastAsiaTheme="minorEastAsia"/>
          <w:color w:val="auto"/>
          <w:sz w:val="28"/>
          <w:szCs w:val="28"/>
        </w:rPr>
      </w:pPr>
      <w:r>
        <w:rPr>
          <w:rFonts w:hint="eastAsia" w:eastAsiaTheme="minorEastAsia"/>
          <w:color w:val="auto"/>
          <w:sz w:val="28"/>
          <w:szCs w:val="28"/>
          <w:lang w:val="en-US" w:eastAsia="zh-CN"/>
        </w:rPr>
        <w:t>4、</w:t>
      </w:r>
      <w:r>
        <w:rPr>
          <w:rFonts w:eastAsiaTheme="minorEastAsia"/>
          <w:color w:val="auto"/>
          <w:sz w:val="28"/>
          <w:szCs w:val="28"/>
        </w:rPr>
        <w:t>对</w:t>
      </w:r>
      <w:r>
        <w:rPr>
          <w:rFonts w:hint="eastAsia" w:eastAsiaTheme="minorEastAsia"/>
          <w:color w:val="auto"/>
          <w:sz w:val="28"/>
          <w:szCs w:val="28"/>
        </w:rPr>
        <w:t>1#</w:t>
      </w:r>
      <w:r>
        <w:rPr>
          <w:rFonts w:hint="eastAsia" w:eastAsiaTheme="minorEastAsia"/>
          <w:color w:val="auto"/>
          <w:sz w:val="28"/>
          <w:szCs w:val="28"/>
          <w:lang w:val="en-US" w:eastAsia="zh-CN"/>
        </w:rPr>
        <w:t>废渣堆</w:t>
      </w:r>
      <w:r>
        <w:rPr>
          <w:rFonts w:hint="eastAsia" w:eastAsiaTheme="minorEastAsia"/>
          <w:color w:val="auto"/>
          <w:sz w:val="28"/>
          <w:szCs w:val="28"/>
          <w:lang w:eastAsia="zh-CN"/>
        </w:rPr>
        <w:t>、</w:t>
      </w:r>
      <w:r>
        <w:rPr>
          <w:rFonts w:hint="eastAsia" w:eastAsiaTheme="minorEastAsia"/>
          <w:color w:val="auto"/>
          <w:sz w:val="28"/>
          <w:szCs w:val="28"/>
        </w:rPr>
        <w:t>2#</w:t>
      </w:r>
      <w:r>
        <w:rPr>
          <w:rFonts w:hint="eastAsia" w:eastAsiaTheme="minorEastAsia"/>
          <w:color w:val="auto"/>
          <w:sz w:val="28"/>
          <w:szCs w:val="28"/>
          <w:lang w:val="en-US" w:eastAsia="zh-CN"/>
        </w:rPr>
        <w:t>废渣堆</w:t>
      </w:r>
      <w:r>
        <w:rPr>
          <w:rFonts w:hint="eastAsia" w:eastAsiaTheme="minorEastAsia"/>
          <w:color w:val="auto"/>
          <w:sz w:val="28"/>
          <w:szCs w:val="28"/>
          <w:lang w:eastAsia="zh-CN"/>
        </w:rPr>
        <w:t>、</w:t>
      </w:r>
      <w:r>
        <w:rPr>
          <w:rFonts w:hint="eastAsia" w:eastAsiaTheme="minorEastAsia"/>
          <w:color w:val="auto"/>
          <w:sz w:val="28"/>
          <w:szCs w:val="28"/>
        </w:rPr>
        <w:t>3#</w:t>
      </w:r>
      <w:r>
        <w:rPr>
          <w:rFonts w:hint="eastAsia" w:eastAsiaTheme="minorEastAsia"/>
          <w:color w:val="auto"/>
          <w:sz w:val="28"/>
          <w:szCs w:val="28"/>
          <w:lang w:val="en-US" w:eastAsia="zh-CN"/>
        </w:rPr>
        <w:t>废渣堆进行削坡压脚整形，减小边坡角度利于覆土，覆土后恢复植被</w:t>
      </w:r>
      <w:r>
        <w:rPr>
          <w:rFonts w:eastAsiaTheme="minorEastAsia"/>
          <w:color w:val="auto"/>
          <w:sz w:val="28"/>
          <w:szCs w:val="28"/>
        </w:rPr>
        <w:t>；</w:t>
      </w:r>
    </w:p>
    <w:p w14:paraId="58F6BFF7">
      <w:pPr>
        <w:widowControl/>
        <w:spacing w:line="360" w:lineRule="auto"/>
        <w:ind w:firstLine="560" w:firstLineChars="200"/>
        <w:rPr>
          <w:rFonts w:hint="eastAsia" w:eastAsiaTheme="minorEastAsia"/>
          <w:color w:val="auto"/>
          <w:kern w:val="0"/>
          <w:sz w:val="28"/>
          <w:szCs w:val="28"/>
          <w:lang w:eastAsia="zh-CN"/>
        </w:rPr>
      </w:pPr>
      <w:r>
        <w:rPr>
          <w:rFonts w:hint="eastAsia" w:eastAsiaTheme="minorEastAsia"/>
          <w:color w:val="auto"/>
          <w:sz w:val="28"/>
          <w:szCs w:val="28"/>
          <w:lang w:val="en-US" w:eastAsia="zh-CN"/>
        </w:rPr>
        <w:t>5、</w:t>
      </w:r>
      <w:r>
        <w:rPr>
          <w:color w:val="auto"/>
          <w:kern w:val="0"/>
          <w:sz w:val="28"/>
          <w:szCs w:val="28"/>
        </w:rPr>
        <w:t>对矿区道路</w:t>
      </w:r>
      <w:r>
        <w:rPr>
          <w:rFonts w:hint="eastAsia"/>
          <w:color w:val="auto"/>
          <w:kern w:val="0"/>
          <w:sz w:val="28"/>
          <w:szCs w:val="28"/>
          <w:lang w:val="en-US" w:eastAsia="zh-CN"/>
        </w:rPr>
        <w:t>边坡进行垫坡，对形成的马道进行回填，采取以上治理措施后</w:t>
      </w:r>
      <w:r>
        <w:rPr>
          <w:rFonts w:hint="eastAsia" w:eastAsiaTheme="minorEastAsia"/>
          <w:color w:val="auto"/>
          <w:sz w:val="28"/>
          <w:szCs w:val="28"/>
          <w:lang w:val="en-US" w:eastAsia="zh-CN"/>
        </w:rPr>
        <w:t>覆土、恢复植被</w:t>
      </w:r>
      <w:r>
        <w:rPr>
          <w:rFonts w:hint="eastAsia" w:eastAsiaTheme="minorEastAsia"/>
          <w:color w:val="auto"/>
          <w:kern w:val="0"/>
          <w:sz w:val="28"/>
          <w:szCs w:val="28"/>
          <w:lang w:eastAsia="zh-CN"/>
        </w:rPr>
        <w:t>；</w:t>
      </w:r>
    </w:p>
    <w:p w14:paraId="0136DF52">
      <w:pPr>
        <w:spacing w:line="360" w:lineRule="auto"/>
        <w:ind w:firstLine="560" w:firstLineChars="200"/>
        <w:rPr>
          <w:rFonts w:hint="default" w:eastAsia="宋体"/>
          <w:color w:val="auto"/>
          <w:kern w:val="0"/>
          <w:sz w:val="28"/>
          <w:szCs w:val="28"/>
          <w:lang w:val="en-US" w:eastAsia="zh-CN"/>
        </w:rPr>
      </w:pPr>
      <w:r>
        <w:rPr>
          <w:rFonts w:hint="eastAsia"/>
          <w:color w:val="auto"/>
          <w:kern w:val="0"/>
          <w:sz w:val="28"/>
          <w:szCs w:val="28"/>
          <w:lang w:val="en-US" w:eastAsia="zh-CN"/>
        </w:rPr>
        <w:t>6、对工业场地内平台进行拆除、清运、整平，采取以上治理措施后场地进行覆土恢复植被；</w:t>
      </w:r>
    </w:p>
    <w:p w14:paraId="161DBB96">
      <w:pPr>
        <w:widowControl/>
        <w:spacing w:line="360" w:lineRule="auto"/>
        <w:ind w:firstLine="560" w:firstLineChars="200"/>
        <w:rPr>
          <w:rFonts w:hint="eastAsia" w:eastAsiaTheme="minorEastAsia"/>
          <w:color w:val="auto"/>
          <w:kern w:val="0"/>
          <w:sz w:val="28"/>
          <w:szCs w:val="28"/>
          <w:lang w:eastAsia="zh-CN"/>
        </w:rPr>
      </w:pPr>
      <w:r>
        <w:rPr>
          <w:rFonts w:hint="eastAsia"/>
          <w:color w:val="auto"/>
          <w:kern w:val="0"/>
          <w:sz w:val="28"/>
          <w:szCs w:val="28"/>
          <w:lang w:val="en-US" w:eastAsia="zh-CN"/>
        </w:rPr>
        <w:t>7、根据窑沟门村委会意见，办公生活区、变压器进行保留，不设计治理工程</w:t>
      </w:r>
      <w:r>
        <w:rPr>
          <w:rFonts w:hint="eastAsia" w:eastAsiaTheme="minorEastAsia"/>
          <w:color w:val="auto"/>
          <w:sz w:val="28"/>
          <w:szCs w:val="28"/>
          <w:lang w:val="en-US" w:eastAsia="zh-CN"/>
        </w:rPr>
        <w:t>措施；</w:t>
      </w:r>
    </w:p>
    <w:p w14:paraId="7C8FD0C9">
      <w:pPr>
        <w:pStyle w:val="71"/>
        <w:spacing w:line="360" w:lineRule="auto"/>
        <w:ind w:firstLine="560" w:firstLineChars="200"/>
        <w:jc w:val="both"/>
        <w:rPr>
          <w:color w:val="auto"/>
          <w:sz w:val="28"/>
          <w:szCs w:val="28"/>
        </w:rPr>
      </w:pPr>
      <w:r>
        <w:rPr>
          <w:rFonts w:hint="eastAsia" w:ascii="Times New Roman" w:hAnsi="Times New Roman" w:cs="Times New Roman"/>
          <w:color w:val="auto"/>
          <w:sz w:val="28"/>
          <w:szCs w:val="28"/>
          <w:lang w:val="en-US" w:eastAsia="zh-CN"/>
        </w:rPr>
        <w:t>8</w:t>
      </w:r>
      <w:r>
        <w:rPr>
          <w:rFonts w:ascii="Times New Roman" w:hAnsi="Times New Roman" w:cs="Times New Roman"/>
          <w:color w:val="auto"/>
          <w:sz w:val="28"/>
          <w:szCs w:val="28"/>
        </w:rPr>
        <w:t>、定期对</w:t>
      </w:r>
      <w:r>
        <w:rPr>
          <w:rFonts w:hint="eastAsia" w:ascii="Times New Roman" w:hAnsi="Times New Roman" w:cs="Times New Roman"/>
          <w:color w:val="auto"/>
          <w:sz w:val="28"/>
          <w:szCs w:val="28"/>
          <w:lang w:val="en-US" w:eastAsia="zh-CN"/>
        </w:rPr>
        <w:t>地形地貌景观及土地资源进行监测</w:t>
      </w:r>
      <w:r>
        <w:rPr>
          <w:rFonts w:ascii="Times New Roman" w:hAnsi="Times New Roman" w:cs="Times New Roman"/>
          <w:color w:val="auto"/>
          <w:sz w:val="28"/>
          <w:szCs w:val="28"/>
        </w:rPr>
        <w:t>。</w:t>
      </w:r>
    </w:p>
    <w:p w14:paraId="177554D9">
      <w:pPr>
        <w:adjustRightInd w:val="0"/>
        <w:snapToGrid w:val="0"/>
        <w:spacing w:line="360" w:lineRule="auto"/>
        <w:ind w:firstLine="560" w:firstLineChars="200"/>
        <w:rPr>
          <w:rFonts w:hint="eastAsia" w:eastAsia="宋体"/>
          <w:color w:val="auto"/>
          <w:sz w:val="28"/>
          <w:szCs w:val="28"/>
          <w:lang w:val="en-US" w:eastAsia="zh-CN"/>
        </w:rPr>
      </w:pPr>
      <w:r>
        <w:rPr>
          <w:color w:val="auto"/>
          <w:sz w:val="28"/>
          <w:szCs w:val="28"/>
        </w:rPr>
        <w:t>五、对生态修复影响范围内地质灾害、地形地貌景观、土壤、复垦效果进行全面</w:t>
      </w:r>
      <w:r>
        <w:rPr>
          <w:rFonts w:hint="eastAsia"/>
          <w:color w:val="auto"/>
          <w:sz w:val="28"/>
          <w:szCs w:val="28"/>
          <w:lang w:val="en-US" w:eastAsia="zh-CN"/>
        </w:rPr>
        <w:t>监测，</w:t>
      </w:r>
      <w:r>
        <w:rPr>
          <w:color w:val="auto"/>
          <w:sz w:val="28"/>
          <w:szCs w:val="28"/>
        </w:rPr>
        <w:t>时限为202</w:t>
      </w:r>
      <w:r>
        <w:rPr>
          <w:rFonts w:hint="eastAsia"/>
          <w:color w:val="auto"/>
          <w:sz w:val="28"/>
          <w:szCs w:val="28"/>
          <w:lang w:val="en-US" w:eastAsia="zh-CN"/>
        </w:rPr>
        <w:t>7</w:t>
      </w:r>
      <w:r>
        <w:rPr>
          <w:color w:val="auto"/>
          <w:sz w:val="28"/>
          <w:szCs w:val="28"/>
        </w:rPr>
        <w:t>年</w:t>
      </w:r>
      <w:r>
        <w:rPr>
          <w:rFonts w:hint="eastAsia"/>
          <w:color w:val="auto"/>
          <w:sz w:val="28"/>
          <w:szCs w:val="28"/>
          <w:lang w:val="en-US" w:eastAsia="zh-CN"/>
        </w:rPr>
        <w:t>10</w:t>
      </w:r>
      <w:r>
        <w:rPr>
          <w:color w:val="auto"/>
          <w:sz w:val="28"/>
          <w:szCs w:val="28"/>
        </w:rPr>
        <w:t>月至20</w:t>
      </w:r>
      <w:r>
        <w:rPr>
          <w:rFonts w:hint="eastAsia"/>
          <w:color w:val="auto"/>
          <w:sz w:val="28"/>
          <w:szCs w:val="28"/>
          <w:lang w:val="en-US" w:eastAsia="zh-CN"/>
        </w:rPr>
        <w:t>30</w:t>
      </w:r>
      <w:r>
        <w:rPr>
          <w:color w:val="auto"/>
          <w:sz w:val="28"/>
          <w:szCs w:val="28"/>
        </w:rPr>
        <w:t>年</w:t>
      </w:r>
      <w:r>
        <w:rPr>
          <w:rFonts w:hint="eastAsia"/>
          <w:color w:val="auto"/>
          <w:sz w:val="28"/>
          <w:szCs w:val="28"/>
          <w:lang w:val="en-US" w:eastAsia="zh-CN"/>
        </w:rPr>
        <w:t>9</w:t>
      </w:r>
      <w:r>
        <w:rPr>
          <w:color w:val="auto"/>
          <w:sz w:val="28"/>
          <w:szCs w:val="28"/>
        </w:rPr>
        <w:t>月</w:t>
      </w:r>
      <w:r>
        <w:rPr>
          <w:rFonts w:hint="eastAsia"/>
          <w:color w:val="auto"/>
          <w:sz w:val="28"/>
          <w:szCs w:val="28"/>
          <w:lang w:eastAsia="zh-CN"/>
        </w:rPr>
        <w:t>。</w:t>
      </w:r>
    </w:p>
    <w:p w14:paraId="0B44C05C">
      <w:pPr>
        <w:adjustRightInd w:val="0"/>
        <w:snapToGrid w:val="0"/>
        <w:spacing w:line="360" w:lineRule="auto"/>
        <w:ind w:firstLine="560" w:firstLineChars="200"/>
        <w:rPr>
          <w:rFonts w:eastAsia="宋体"/>
          <w:color w:val="auto"/>
          <w:sz w:val="28"/>
          <w:szCs w:val="28"/>
        </w:rPr>
      </w:pPr>
      <w:r>
        <w:rPr>
          <w:color w:val="auto"/>
          <w:sz w:val="28"/>
          <w:szCs w:val="28"/>
        </w:rPr>
        <w:t>植被管护面积为复垦的林地、草地，总面积</w:t>
      </w:r>
      <w:r>
        <w:rPr>
          <w:rFonts w:hint="eastAsia"/>
          <w:color w:val="auto"/>
          <w:sz w:val="28"/>
          <w:szCs w:val="28"/>
          <w:lang w:val="en-US" w:eastAsia="zh-CN"/>
        </w:rPr>
        <w:t>7.6955</w:t>
      </w:r>
      <w:r>
        <w:rPr>
          <w:color w:val="auto"/>
          <w:sz w:val="28"/>
          <w:szCs w:val="28"/>
        </w:rPr>
        <w:t>hm</w:t>
      </w:r>
      <w:r>
        <w:rPr>
          <w:color w:val="auto"/>
          <w:sz w:val="28"/>
          <w:szCs w:val="28"/>
          <w:vertAlign w:val="superscript"/>
        </w:rPr>
        <w:t>2</w:t>
      </w:r>
      <w:r>
        <w:rPr>
          <w:color w:val="auto"/>
          <w:sz w:val="28"/>
          <w:szCs w:val="28"/>
        </w:rPr>
        <w:t>，管护时限为</w:t>
      </w:r>
      <w:r>
        <w:rPr>
          <w:rFonts w:hint="eastAsia"/>
          <w:color w:val="auto"/>
          <w:sz w:val="28"/>
          <w:szCs w:val="28"/>
          <w:lang w:val="en-US" w:eastAsia="zh-CN"/>
        </w:rPr>
        <w:t>3</w:t>
      </w:r>
      <w:r>
        <w:rPr>
          <w:color w:val="auto"/>
          <w:sz w:val="28"/>
          <w:szCs w:val="28"/>
        </w:rPr>
        <w:t>年</w:t>
      </w:r>
      <w:r>
        <w:rPr>
          <w:rFonts w:hint="eastAsia"/>
          <w:color w:val="auto"/>
          <w:sz w:val="28"/>
          <w:szCs w:val="28"/>
          <w:lang w:eastAsia="zh-CN"/>
        </w:rPr>
        <w:t>，赤峰鑫鑫矿业有限公司管护1年，剩余2年管护期由土地权属人窑沟门村进行管护。</w:t>
      </w:r>
      <w:r>
        <w:rPr>
          <w:color w:val="auto"/>
          <w:sz w:val="28"/>
          <w:szCs w:val="28"/>
        </w:rPr>
        <w:t>。</w:t>
      </w:r>
    </w:p>
    <w:p w14:paraId="67942D63">
      <w:pPr>
        <w:adjustRightInd w:val="0"/>
        <w:snapToGrid w:val="0"/>
        <w:spacing w:line="360" w:lineRule="auto"/>
        <w:ind w:firstLine="560" w:firstLineChars="200"/>
        <w:rPr>
          <w:rFonts w:eastAsia="宋体"/>
          <w:color w:val="auto"/>
          <w:sz w:val="28"/>
          <w:szCs w:val="28"/>
        </w:rPr>
      </w:pPr>
      <w:r>
        <w:rPr>
          <w:rFonts w:hint="eastAsia" w:eastAsiaTheme="minorEastAsia"/>
          <w:color w:val="auto"/>
          <w:sz w:val="28"/>
          <w:szCs w:val="28"/>
          <w:lang w:val="en-US" w:eastAsia="zh-CN"/>
        </w:rPr>
        <w:t>六、</w:t>
      </w:r>
      <w:r>
        <w:rPr>
          <w:color w:val="auto"/>
          <w:sz w:val="28"/>
          <w:szCs w:val="28"/>
        </w:rPr>
        <w:t>矿区</w:t>
      </w:r>
      <w:r>
        <w:rPr>
          <w:rFonts w:ascii="Times New Roman" w:hAnsi="Times New Roman" w:eastAsiaTheme="minorEastAsia"/>
          <w:color w:val="auto"/>
          <w:sz w:val="28"/>
          <w:szCs w:val="28"/>
        </w:rPr>
        <w:t>生态修复工程总投资经费</w:t>
      </w:r>
      <w:r>
        <w:rPr>
          <w:rFonts w:hint="eastAsia" w:ascii="Times New Roman" w:hAnsi="Times New Roman" w:eastAsiaTheme="minorEastAsia"/>
          <w:color w:val="auto"/>
          <w:sz w:val="28"/>
          <w:szCs w:val="28"/>
          <w:lang w:val="en-US" w:eastAsia="zh-CN"/>
        </w:rPr>
        <w:t>207.29</w:t>
      </w:r>
      <w:r>
        <w:rPr>
          <w:rFonts w:ascii="Times New Roman" w:hAnsi="Times New Roman" w:eastAsiaTheme="minorEastAsia"/>
          <w:color w:val="auto"/>
          <w:sz w:val="28"/>
          <w:szCs w:val="28"/>
        </w:rPr>
        <w:t>万元，其中工程施工费</w:t>
      </w:r>
      <w:r>
        <w:rPr>
          <w:rFonts w:hint="eastAsia" w:ascii="Times New Roman" w:hAnsi="Times New Roman" w:eastAsiaTheme="minorEastAsia"/>
          <w:color w:val="auto"/>
          <w:sz w:val="28"/>
          <w:szCs w:val="28"/>
          <w:lang w:val="en-US" w:eastAsia="zh-CN"/>
        </w:rPr>
        <w:t>167.98</w:t>
      </w:r>
      <w:r>
        <w:rPr>
          <w:rFonts w:ascii="Times New Roman" w:hAnsi="Times New Roman" w:eastAsiaTheme="minorEastAsia"/>
          <w:color w:val="auto"/>
          <w:sz w:val="28"/>
          <w:szCs w:val="28"/>
        </w:rPr>
        <w:t>万元，其他费用</w:t>
      </w:r>
      <w:r>
        <w:rPr>
          <w:rFonts w:hint="eastAsia" w:ascii="Times New Roman" w:hAnsi="Times New Roman" w:eastAsiaTheme="minorEastAsia"/>
          <w:color w:val="auto"/>
          <w:sz w:val="28"/>
          <w:szCs w:val="28"/>
          <w:lang w:val="en-US" w:eastAsia="zh-CN"/>
        </w:rPr>
        <w:t>30.74</w:t>
      </w:r>
      <w:r>
        <w:rPr>
          <w:rFonts w:ascii="Times New Roman" w:hAnsi="Times New Roman" w:eastAsiaTheme="minorEastAsia"/>
          <w:color w:val="auto"/>
          <w:sz w:val="28"/>
          <w:szCs w:val="28"/>
        </w:rPr>
        <w:t>万元，监测+管护费</w:t>
      </w:r>
      <w:r>
        <w:rPr>
          <w:rFonts w:hint="eastAsia" w:ascii="Times New Roman" w:hAnsi="Times New Roman" w:eastAsiaTheme="minorEastAsia"/>
          <w:color w:val="auto"/>
          <w:sz w:val="28"/>
          <w:szCs w:val="28"/>
          <w:lang w:val="en-US" w:eastAsia="zh-CN"/>
        </w:rPr>
        <w:t>6.58</w:t>
      </w:r>
      <w:r>
        <w:rPr>
          <w:rFonts w:ascii="Times New Roman" w:hAnsi="Times New Roman" w:eastAsiaTheme="minorEastAsia"/>
          <w:color w:val="auto"/>
          <w:sz w:val="28"/>
          <w:szCs w:val="28"/>
        </w:rPr>
        <w:t>万元，动态投资经费为</w:t>
      </w:r>
      <w:r>
        <w:rPr>
          <w:rFonts w:hint="eastAsia" w:ascii="Times New Roman" w:hAnsi="Times New Roman" w:eastAsiaTheme="minorEastAsia"/>
          <w:color w:val="auto"/>
          <w:sz w:val="28"/>
          <w:szCs w:val="28"/>
          <w:lang w:val="en-US" w:eastAsia="zh-CN"/>
        </w:rPr>
        <w:t>1.99</w:t>
      </w:r>
      <w:r>
        <w:rPr>
          <w:rFonts w:ascii="Times New Roman" w:hAnsi="Times New Roman" w:eastAsiaTheme="minorEastAsia"/>
          <w:color w:val="auto"/>
          <w:sz w:val="28"/>
          <w:szCs w:val="28"/>
        </w:rPr>
        <w:t>万元。</w:t>
      </w:r>
      <w:r>
        <w:rPr>
          <w:rFonts w:ascii="Times New Roman" w:hAnsi="Times New Roman" w:eastAsia="宋体" w:cs="Times New Roman"/>
          <w:color w:val="auto"/>
          <w:sz w:val="28"/>
          <w:szCs w:val="28"/>
        </w:rPr>
        <w:t>矿区生态修复方案不代表生态修复设计，实际投入工程量及投资金额最终以</w:t>
      </w:r>
      <w:r>
        <w:rPr>
          <w:rFonts w:eastAsia="宋体"/>
          <w:color w:val="auto"/>
          <w:sz w:val="28"/>
          <w:szCs w:val="28"/>
        </w:rPr>
        <w:t>工程设计及预算为准。</w:t>
      </w:r>
    </w:p>
    <w:p w14:paraId="07CDE51D">
      <w:pPr>
        <w:adjustRightInd w:val="0"/>
        <w:snapToGrid w:val="0"/>
        <w:spacing w:line="360" w:lineRule="auto"/>
        <w:ind w:firstLine="560" w:firstLineChars="200"/>
        <w:rPr>
          <w:rFonts w:ascii="Times New Roman" w:hAnsi="Times New Roman" w:eastAsiaTheme="minorEastAsia"/>
          <w:color w:val="auto"/>
          <w:sz w:val="28"/>
          <w:szCs w:val="28"/>
        </w:rPr>
      </w:pPr>
      <w:r>
        <w:rPr>
          <w:rFonts w:hint="eastAsia" w:eastAsiaTheme="minorEastAsia"/>
          <w:color w:val="auto"/>
          <w:sz w:val="28"/>
          <w:szCs w:val="28"/>
          <w:lang w:val="en-US" w:eastAsia="zh-CN"/>
        </w:rPr>
        <w:t>七、</w:t>
      </w:r>
      <w:r>
        <w:rPr>
          <w:rFonts w:hint="eastAsia" w:ascii="Times New Roman" w:hAnsi="Times New Roman" w:eastAsiaTheme="minorEastAsia"/>
          <w:color w:val="auto"/>
          <w:sz w:val="28"/>
          <w:szCs w:val="28"/>
          <w:lang w:val="en-US" w:eastAsia="zh-CN"/>
        </w:rPr>
        <w:t>本</w:t>
      </w:r>
      <w:r>
        <w:rPr>
          <w:rFonts w:hint="eastAsia" w:ascii="Times New Roman" w:hAnsi="Times New Roman" w:eastAsiaTheme="minorEastAsia"/>
          <w:color w:val="auto"/>
          <w:sz w:val="28"/>
          <w:szCs w:val="28"/>
        </w:rPr>
        <w:t>方案仅用于指导矿山闭坑阶段的矿山</w:t>
      </w:r>
      <w:r>
        <w:rPr>
          <w:rFonts w:hint="eastAsia" w:eastAsiaTheme="minorEastAsia"/>
          <w:color w:val="auto"/>
          <w:sz w:val="28"/>
          <w:szCs w:val="28"/>
          <w:lang w:val="en-US" w:eastAsia="zh-CN"/>
        </w:rPr>
        <w:t>生态修复</w:t>
      </w:r>
      <w:r>
        <w:rPr>
          <w:rFonts w:hint="eastAsia" w:ascii="Times New Roman" w:hAnsi="Times New Roman" w:eastAsiaTheme="minorEastAsia"/>
          <w:color w:val="auto"/>
          <w:sz w:val="28"/>
          <w:szCs w:val="28"/>
        </w:rPr>
        <w:t>工作，与生产矿山的</w:t>
      </w:r>
      <w:r>
        <w:rPr>
          <w:rFonts w:hint="eastAsia" w:eastAsiaTheme="minorEastAsia"/>
          <w:color w:val="auto"/>
          <w:sz w:val="28"/>
          <w:szCs w:val="28"/>
          <w:lang w:val="en-US" w:eastAsia="zh-CN"/>
        </w:rPr>
        <w:t>生态修复</w:t>
      </w:r>
      <w:r>
        <w:rPr>
          <w:rFonts w:hint="eastAsia" w:ascii="Times New Roman" w:hAnsi="Times New Roman" w:eastAsiaTheme="minorEastAsia"/>
          <w:color w:val="auto"/>
          <w:sz w:val="28"/>
          <w:szCs w:val="28"/>
        </w:rPr>
        <w:t>方案职能不同，严禁矿山超越设计的治理区</w:t>
      </w:r>
      <w:r>
        <w:rPr>
          <w:rFonts w:hint="eastAsia" w:eastAsiaTheme="minorEastAsia"/>
          <w:color w:val="auto"/>
          <w:sz w:val="28"/>
          <w:szCs w:val="28"/>
          <w:lang w:val="en-US" w:eastAsia="zh-CN"/>
        </w:rPr>
        <w:t>界线</w:t>
      </w:r>
      <w:r>
        <w:rPr>
          <w:rFonts w:hint="eastAsia" w:ascii="Times New Roman" w:hAnsi="Times New Roman" w:eastAsiaTheme="minorEastAsia"/>
          <w:color w:val="auto"/>
          <w:sz w:val="28"/>
          <w:szCs w:val="28"/>
        </w:rPr>
        <w:t>非法开采，严禁矿山将削坡</w:t>
      </w:r>
      <w:r>
        <w:rPr>
          <w:rFonts w:hint="eastAsia" w:eastAsiaTheme="minorEastAsia"/>
          <w:color w:val="auto"/>
          <w:sz w:val="28"/>
          <w:szCs w:val="28"/>
          <w:lang w:eastAsia="zh-CN"/>
        </w:rPr>
        <w:t>、</w:t>
      </w:r>
      <w:r>
        <w:rPr>
          <w:rFonts w:hint="eastAsia" w:eastAsiaTheme="minorEastAsia"/>
          <w:color w:val="auto"/>
          <w:sz w:val="28"/>
          <w:szCs w:val="28"/>
          <w:lang w:val="en-US" w:eastAsia="zh-CN"/>
        </w:rPr>
        <w:t>清运等</w:t>
      </w:r>
      <w:r>
        <w:rPr>
          <w:rFonts w:hint="eastAsia" w:ascii="Times New Roman" w:hAnsi="Times New Roman" w:eastAsiaTheme="minorEastAsia"/>
          <w:color w:val="auto"/>
          <w:sz w:val="28"/>
          <w:szCs w:val="28"/>
        </w:rPr>
        <w:t>产生的废石进入市场销售。</w:t>
      </w:r>
    </w:p>
    <w:p w14:paraId="4B4B1552">
      <w:pPr>
        <w:spacing w:line="360" w:lineRule="auto"/>
        <w:rPr>
          <w:color w:val="auto"/>
          <w:sz w:val="24"/>
          <w:szCs w:val="24"/>
        </w:rPr>
      </w:pPr>
    </w:p>
    <w:sectPr>
      <w:footerReference r:id="rId25" w:type="default"/>
      <w:pgSz w:w="11907" w:h="16840"/>
      <w:pgMar w:top="1418" w:right="1418" w:bottom="1418" w:left="1418" w:header="992" w:footer="992"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TimesNewRomanPSMT">
    <w:altName w:val="宋体"/>
    <w:panose1 w:val="00000000000000000000"/>
    <w:charset w:val="00"/>
    <w:family w:val="roman"/>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MS Mincho">
    <w:panose1 w:val="02020609040205080304"/>
    <w:charset w:val="80"/>
    <w:family w:val="modern"/>
    <w:pitch w:val="default"/>
    <w:sig w:usb0="E00002FF" w:usb1="6AC7FDFB" w:usb2="00000012" w:usb3="00000000" w:csb0="4002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A6895">
    <w:pPr>
      <w:pStyle w:val="22"/>
      <w:jc w:val="both"/>
      <w:rPr>
        <w:sz w:val="21"/>
        <w:szCs w:val="21"/>
      </w:rPr>
    </w:pPr>
    <w:r>
      <w:rPr>
        <w:sz w:val="21"/>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EE0AA4">
                          <w:pPr>
                            <w:pStyle w:val="2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0CEE0AA4">
                    <w:pPr>
                      <w:pStyle w:val="22"/>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51CED6">
                          <w:pPr>
                            <w:pStyle w:val="2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C51CED6">
                    <w:pPr>
                      <w:pStyle w:val="22"/>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0F08D">
    <w:pPr>
      <w:pStyle w:val="22"/>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8009CF">
                          <w:pPr>
                            <w:pStyle w:val="2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578009CF">
                    <w:pPr>
                      <w:pStyle w:val="22"/>
                    </w:pPr>
                  </w:p>
                </w:txbxContent>
              </v:textbox>
            </v:shape>
          </w:pict>
        </mc:Fallback>
      </mc:AlternateContent>
    </w: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D6161B"/>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4AD6161B"/>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59A68">
    <w:pPr>
      <w:pStyle w:val="22"/>
      <w:rPr>
        <w:rFonts w:hint="eastAsia" w:eastAsia="宋体"/>
        <w:lang w:val="en-US" w:eastAsia="zh-CN"/>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054AA4">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69054AA4">
                    <w:pPr>
                      <w:pStyle w:val="22"/>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9504" behindDoc="0" locked="0" layoutInCell="1" allowOverlap="1">
              <wp:simplePos x="0" y="0"/>
              <wp:positionH relativeFrom="margin">
                <wp:posOffset>4271010</wp:posOffset>
              </wp:positionH>
              <wp:positionV relativeFrom="paragraph">
                <wp:posOffset>-3132455</wp:posOffset>
              </wp:positionV>
              <wp:extent cx="235585" cy="163195"/>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235585" cy="1631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FCF7A5">
                          <w:pPr>
                            <w:pStyle w:val="22"/>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36.3pt;margin-top:-246.65pt;height:12.85pt;width:18.55pt;mso-position-horizontal-relative:margin;z-index:251669504;mso-width-relative:page;mso-height-relative:page;" filled="f" stroked="f" coordsize="21600,21600" o:gfxdata="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kLBRI2wAAAA0BAAAPAAAAAAAAAAEAIAAAACIAAABkcnMv&#10;ZG93bnJldi54bWxQSwECFAAUAAAACACHTuJAKMH9ozkCAABjBAAADgAAAAAAAAABACAAAAAqAQAA&#10;ZHJzL2Uyb0RvYy54bWxQSwUGAAAAAAYABgBZAQAA1QUAAAAA&#10;">
              <v:fill on="f" focussize="0,0"/>
              <v:stroke on="f" weight="0.5pt"/>
              <v:imagedata o:title=""/>
              <o:lock v:ext="edit" aspectratio="f"/>
              <v:textbox inset="0mm,0mm,0mm,0mm">
                <w:txbxContent>
                  <w:p w14:paraId="74FCF7A5">
                    <w:pPr>
                      <w:pStyle w:val="22"/>
                    </w:pPr>
                  </w:p>
                </w:txbxContent>
              </v:textbox>
            </v:shape>
          </w:pict>
        </mc:Fallback>
      </mc:AlternateContent>
    </w: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60662C">
                          <w:pPr>
                            <w:pStyle w:val="2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Oos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OoszAgAAYwQAAA4AAAAAAAAAAQAgAAAAHwEAAGRycy9lMm9Eb2MueG1sUEsF&#10;BgAAAAAGAAYAWQEAAMQFAAAAAA==&#10;">
              <v:fill on="f" focussize="0,0"/>
              <v:stroke on="f" weight="0.5pt"/>
              <v:imagedata o:title=""/>
              <o:lock v:ext="edit" aspectratio="f"/>
              <v:textbox inset="0mm,0mm,0mm,0mm" style="mso-fit-shape-to-text:t;">
                <w:txbxContent>
                  <w:p w14:paraId="6860662C">
                    <w:pPr>
                      <w:pStyle w:val="22"/>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F8A95">
    <w:pPr>
      <w:pStyle w:val="22"/>
      <w:rPr>
        <w:rFonts w:hint="eastAsia" w:eastAsia="宋体"/>
        <w:lang w:val="en-US" w:eastAsia="zh-CN"/>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F23F04">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22F23F04">
                    <w:pPr>
                      <w:pStyle w:val="22"/>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72576" behindDoc="0" locked="0" layoutInCell="1" allowOverlap="1">
              <wp:simplePos x="0" y="0"/>
              <wp:positionH relativeFrom="margin">
                <wp:posOffset>4271010</wp:posOffset>
              </wp:positionH>
              <wp:positionV relativeFrom="paragraph">
                <wp:posOffset>-3132455</wp:posOffset>
              </wp:positionV>
              <wp:extent cx="235585" cy="16319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235585" cy="1631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0EC21D">
                          <w:pPr>
                            <w:pStyle w:val="22"/>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36.3pt;margin-top:-246.65pt;height:12.85pt;width:18.55pt;mso-position-horizontal-relative:margin;z-index:251672576;mso-width-relative:page;mso-height-relative:page;" filled="f" stroked="f" coordsize="21600,21600" o:gfxdata="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CQsFEjbAAAADQEAAA8AAAAAAAAAAQAgAAAAIgAAAGRycy9k&#10;b3ducmV2LnhtbFBLAQIUABQAAAAIAIdO4kBBqfdIOAIAAGMEAAAOAAAAAAAAAAEAIAAAACoBAABk&#10;cnMvZTJvRG9jLnhtbFBLBQYAAAAABgAGAFkBAADUBQAAAAA=&#10;">
              <v:fill on="f" focussize="0,0"/>
              <v:stroke on="f" weight="0.5pt"/>
              <v:imagedata o:title=""/>
              <o:lock v:ext="edit" aspectratio="f"/>
              <v:textbox inset="0mm,0mm,0mm,0mm">
                <w:txbxContent>
                  <w:p w14:paraId="7E0EC21D">
                    <w:pPr>
                      <w:pStyle w:val="22"/>
                    </w:pPr>
                  </w:p>
                </w:txbxContent>
              </v:textbox>
            </v:shape>
          </w:pict>
        </mc:Fallback>
      </mc:AlternateContent>
    </w: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53E2A7">
                          <w:pPr>
                            <w:pStyle w:val="2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2A53E2A7">
                    <w:pPr>
                      <w:pStyle w:val="22"/>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864BC">
    <w:pPr>
      <w:pStyle w:val="22"/>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91" name="文本框 9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39208F">
                          <w:pPr>
                            <w:pStyle w:val="22"/>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82AzAgAAYwQAAA4AAABkcnMvZTJvRG9jLnhtbK1UzY7TMBC+I/EO&#10;lu80aRGrUj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82AzAgAAYwQAAA4AAAAAAAAAAQAgAAAAHwEAAGRycy9lMm9Eb2MueG1sUEsF&#10;BgAAAAAGAAYAWQEAAMQFAAAAAA==&#10;">
              <v:fill on="f" focussize="0,0"/>
              <v:stroke on="f" weight="0.5pt"/>
              <v:imagedata o:title=""/>
              <o:lock v:ext="edit" aspectratio="f"/>
              <v:textbox inset="0mm,0mm,0mm,0mm" style="mso-fit-shape-to-text:t;">
                <w:txbxContent>
                  <w:p w14:paraId="5639208F">
                    <w:pPr>
                      <w:pStyle w:val="22"/>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397CF">
    <w:pPr>
      <w:pStyle w:val="2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01015" cy="1828800"/>
              <wp:effectExtent l="0" t="0" r="13970" b="14605"/>
              <wp:wrapNone/>
              <wp:docPr id="120" name="文本框 120"/>
              <wp:cNvGraphicFramePr/>
              <a:graphic xmlns:a="http://schemas.openxmlformats.org/drawingml/2006/main">
                <a:graphicData uri="http://schemas.microsoft.com/office/word/2010/wordprocessingShape">
                  <wps:wsp>
                    <wps:cNvSpPr txBox="1"/>
                    <wps:spPr>
                      <a:xfrm>
                        <a:off x="0" y="0"/>
                        <a:ext cx="500933"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752759">
                          <w:pPr>
                            <w:pStyle w:val="22"/>
                            <w:jc w:val="center"/>
                          </w:pPr>
                          <w:r>
                            <w:fldChar w:fldCharType="begin"/>
                          </w:r>
                          <w:r>
                            <w:instrText xml:space="preserve"> PAGE  \* MERGEFORMAT </w:instrText>
                          </w:r>
                          <w:r>
                            <w:fldChar w:fldCharType="separate"/>
                          </w:r>
                          <w:r>
                            <w:t>204</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39.45pt;mso-position-horizontal:center;mso-position-horizontal-relative:margin;z-index:251659264;mso-width-relative:page;mso-height-relative:page;" filled="f" stroked="f" coordsize="21600,21600" o:gfxdata="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OR7ceLTAAAABAEAAA8AAAAAAAAAAQAgAAAAIgAAAGRycy9kb3ducmV2LnhtbFBL&#10;AQIUABQAAAAIAIdO4kC5x/uhNAIAAFoEAAAOAAAAAAAAAAEAIAAAACIBAABkcnMvZTJvRG9jLnht&#10;bFBLBQYAAAAABgAGAFkBAADIBQAAAAA=&#10;">
              <v:fill on="f" focussize="0,0"/>
              <v:stroke on="f" weight="0.5pt"/>
              <v:imagedata o:title=""/>
              <o:lock v:ext="edit" aspectratio="f"/>
              <v:textbox inset="0mm,0mm,0mm,0mm" style="mso-fit-shape-to-text:t;">
                <w:txbxContent>
                  <w:p w14:paraId="07752759">
                    <w:pPr>
                      <w:pStyle w:val="22"/>
                      <w:jc w:val="center"/>
                    </w:pPr>
                    <w:r>
                      <w:fldChar w:fldCharType="begin"/>
                    </w:r>
                    <w:r>
                      <w:instrText xml:space="preserve"> PAGE  \* MERGEFORMAT </w:instrText>
                    </w:r>
                    <w:r>
                      <w:fldChar w:fldCharType="separate"/>
                    </w:r>
                    <w:r>
                      <w:t>204</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60085">
    <w:pPr>
      <w:spacing w:line="169" w:lineRule="auto"/>
      <w:jc w:val="center"/>
      <w:rPr>
        <w:rFonts w:ascii="Calibri" w:hAnsi="Calibri" w:eastAsia="Calibri" w:cs="Calibri"/>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BBED58">
                          <w:pPr>
                            <w:pStyle w:val="22"/>
                          </w:pPr>
                          <w:r>
                            <w:fldChar w:fldCharType="begin"/>
                          </w:r>
                          <w:r>
                            <w:instrText xml:space="preserve"> PAGE  \* MERGEFORMAT </w:instrText>
                          </w:r>
                          <w:r>
                            <w:fldChar w:fldCharType="separate"/>
                          </w:r>
                          <w:r>
                            <w:t>104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36BBED58">
                    <w:pPr>
                      <w:pStyle w:val="22"/>
                    </w:pPr>
                    <w:r>
                      <w:fldChar w:fldCharType="begin"/>
                    </w:r>
                    <w:r>
                      <w:instrText xml:space="preserve"> PAGE  \* MERGEFORMAT </w:instrText>
                    </w:r>
                    <w:r>
                      <w:fldChar w:fldCharType="separate"/>
                    </w:r>
                    <w:r>
                      <w:t>104</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DA396">
    <w:pPr>
      <w:pStyle w:val="2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5" name="文本框 1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C564A">
                          <w:pPr>
                            <w:pStyle w:val="22"/>
                          </w:pPr>
                          <w:r>
                            <w:fldChar w:fldCharType="begin"/>
                          </w:r>
                          <w:r>
                            <w:instrText xml:space="preserve"> PAGE  \* MERGEFORMAT </w:instrText>
                          </w:r>
                          <w:r>
                            <w:fldChar w:fldCharType="separate"/>
                          </w:r>
                          <w:r>
                            <w:t>267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eFEvQtAgAAWQ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eFEvQtAgAAWQQAAA4AAAAAAAAAAQAgAAAAHwEAAGRycy9lMm9Eb2MueG1sUEsFBgAAAAAG&#10;AAYAWQEAAL4FAAAAAA==&#10;">
              <v:fill on="f" focussize="0,0"/>
              <v:stroke on="f" weight="0.5pt"/>
              <v:imagedata o:title=""/>
              <o:lock v:ext="edit" aspectratio="f"/>
              <v:textbox inset="0mm,0mm,0mm,0mm" style="mso-fit-shape-to-text:t;">
                <w:txbxContent>
                  <w:p w14:paraId="405C564A">
                    <w:pPr>
                      <w:pStyle w:val="22"/>
                    </w:pPr>
                    <w:r>
                      <w:fldChar w:fldCharType="begin"/>
                    </w:r>
                    <w:r>
                      <w:instrText xml:space="preserve"> PAGE  \* MERGEFORMAT </w:instrText>
                    </w:r>
                    <w:r>
                      <w:fldChar w:fldCharType="separate"/>
                    </w:r>
                    <w:r>
                      <w:t>267</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4FF14">
    <w:pPr>
      <w:pStyle w:val="22"/>
      <w:jc w:val="center"/>
      <w:rPr>
        <w:sz w:val="21"/>
        <w:szCs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6" name="文本框 1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165577">
                          <w:pPr>
                            <w:pStyle w:val="22"/>
                          </w:pPr>
                          <w:r>
                            <w:fldChar w:fldCharType="begin"/>
                          </w:r>
                          <w:r>
                            <w:instrText xml:space="preserve"> PAGE  \* MERGEFORMAT </w:instrText>
                          </w:r>
                          <w:r>
                            <w:fldChar w:fldCharType="separate"/>
                          </w:r>
                          <w:r>
                            <w:t>327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VlZhMsAgAAW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1WVmEywCAABZBAAADgAAAAAAAAABACAAAAAfAQAAZHJzL2Uyb0RvYy54bWxQSwUGAAAAAAYA&#10;BgBZAQAAvQUAAAAA&#10;">
              <v:fill on="f" focussize="0,0"/>
              <v:stroke on="f" weight="0.5pt"/>
              <v:imagedata o:title=""/>
              <o:lock v:ext="edit" aspectratio="f"/>
              <v:textbox inset="0mm,0mm,0mm,0mm" style="mso-fit-shape-to-text:t;">
                <w:txbxContent>
                  <w:p w14:paraId="5F165577">
                    <w:pPr>
                      <w:pStyle w:val="22"/>
                    </w:pPr>
                    <w:r>
                      <w:fldChar w:fldCharType="begin"/>
                    </w:r>
                    <w:r>
                      <w:instrText xml:space="preserve"> PAGE  \* MERGEFORMAT </w:instrText>
                    </w:r>
                    <w:r>
                      <w:fldChar w:fldCharType="separate"/>
                    </w:r>
                    <w:r>
                      <w:t>327</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A945E">
    <w:pPr>
      <w:pStyle w:val="22"/>
      <w:jc w:val="center"/>
      <w:rPr>
        <w:rFonts w:eastAsia="Times New Roman"/>
        <w:szCs w:val="18"/>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6665"/>
                          </w:sdtPr>
                          <w:sdtContent>
                            <w:p w14:paraId="1866BB71">
                              <w:pPr>
                                <w:pStyle w:val="22"/>
                                <w:jc w:val="center"/>
                              </w:pPr>
                              <w:r>
                                <w:fldChar w:fldCharType="begin"/>
                              </w:r>
                              <w:r>
                                <w:instrText xml:space="preserve">PAGE   \* MERGEFORMAT</w:instrText>
                              </w:r>
                              <w:r>
                                <w:fldChar w:fldCharType="separate"/>
                              </w:r>
                              <w:r>
                                <w:rPr>
                                  <w:lang w:val="zh-CN"/>
                                </w:rPr>
                                <w:t>2</w:t>
                              </w:r>
                              <w: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147456665"/>
                    </w:sdtPr>
                    <w:sdtContent>
                      <w:p w14:paraId="1866BB71">
                        <w:pPr>
                          <w:pStyle w:val="22"/>
                          <w:jc w:val="center"/>
                        </w:pPr>
                        <w:r>
                          <w:fldChar w:fldCharType="begin"/>
                        </w:r>
                        <w:r>
                          <w:instrText xml:space="preserve">PAGE   \* MERGEFORMAT</w:instrText>
                        </w:r>
                        <w:r>
                          <w:fldChar w:fldCharType="separate"/>
                        </w:r>
                        <w:r>
                          <w:rPr>
                            <w:lang w:val="zh-CN"/>
                          </w:rPr>
                          <w:t>2</w:t>
                        </w:r>
                        <w:r>
                          <w:fldChar w:fldCharType="end"/>
                        </w:r>
                      </w:p>
                    </w:sdtContent>
                  </w:sdt>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F58E2">
    <w:pPr>
      <w:pStyle w:val="22"/>
      <w:ind w:right="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7" name="文本框 1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B184D6">
                          <w:pPr>
                            <w:pStyle w:val="22"/>
                          </w:pPr>
                          <w:r>
                            <w:fldChar w:fldCharType="begin"/>
                          </w:r>
                          <w:r>
                            <w:instrText xml:space="preserve"> PAGE  \* MERGEFORMAT </w:instrText>
                          </w:r>
                          <w:r>
                            <w:fldChar w:fldCharType="separate"/>
                          </w:r>
                          <w:r>
                            <w:t>385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6Sk4tAgAAWQ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s6Sk4tAgAAWQQAAA4AAAAAAAAAAQAgAAAAHwEAAGRycy9lMm9Eb2MueG1sUEsFBgAAAAAG&#10;AAYAWQEAAL4FAAAAAA==&#10;">
              <v:fill on="f" focussize="0,0"/>
              <v:stroke on="f" weight="0.5pt"/>
              <v:imagedata o:title=""/>
              <o:lock v:ext="edit" aspectratio="f"/>
              <v:textbox inset="0mm,0mm,0mm,0mm" style="mso-fit-shape-to-text:t;">
                <w:txbxContent>
                  <w:p w14:paraId="5FB184D6">
                    <w:pPr>
                      <w:pStyle w:val="22"/>
                    </w:pPr>
                    <w:r>
                      <w:fldChar w:fldCharType="begin"/>
                    </w:r>
                    <w:r>
                      <w:instrText xml:space="preserve"> PAGE  \* MERGEFORMAT </w:instrText>
                    </w:r>
                    <w:r>
                      <w:fldChar w:fldCharType="separate"/>
                    </w:r>
                    <w:r>
                      <w:t>385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B1B4D">
    <w:pPr>
      <w:jc w:val="center"/>
      <w:rPr>
        <w:rFonts w:hint="eastAsia" w:ascii="宋体" w:hAnsi="宋体"/>
        <w:b/>
        <w:bCs/>
        <w:color w:val="000000"/>
        <w:kern w:val="0"/>
        <w:sz w:val="22"/>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8D996"/>
  <w:p w14:paraId="641046DA">
    <w:pPr>
      <w:ind w:firstLine="5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C6E47"/>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9E934"/>
  <w:p w14:paraId="34744F80"/>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54485"/>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8638A">
    <w:pPr>
      <w:pStyle w:val="14"/>
      <w:spacing w:before="56" w:line="227" w:lineRule="auto"/>
      <w:ind w:left="3251"/>
      <w:rPr>
        <w:sz w:val="20"/>
        <w:szCs w:val="20"/>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38F47"/>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0E899"/>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24C7B"/>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2622E"/>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BE66E"/>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4D9D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0BF2B9"/>
    <w:multiLevelType w:val="singleLevel"/>
    <w:tmpl w:val="BF0BF2B9"/>
    <w:lvl w:ilvl="0" w:tentative="0">
      <w:start w:val="7"/>
      <w:numFmt w:val="chineseCounting"/>
      <w:suff w:val="nothing"/>
      <w:lvlText w:val="（%1）"/>
      <w:lvlJc w:val="left"/>
      <w:rPr>
        <w:rFonts w:hint="eastAsia"/>
      </w:rPr>
    </w:lvl>
  </w:abstractNum>
  <w:abstractNum w:abstractNumId="1">
    <w:nsid w:val="E3F0DB80"/>
    <w:multiLevelType w:val="singleLevel"/>
    <w:tmpl w:val="E3F0DB80"/>
    <w:lvl w:ilvl="0" w:tentative="0">
      <w:start w:val="1"/>
      <w:numFmt w:val="decimal"/>
      <w:suff w:val="nothing"/>
      <w:lvlText w:val="%1、"/>
      <w:lvlJc w:val="left"/>
    </w:lvl>
  </w:abstractNum>
  <w:abstractNum w:abstractNumId="2">
    <w:nsid w:val="E6D7E53D"/>
    <w:multiLevelType w:val="singleLevel"/>
    <w:tmpl w:val="E6D7E53D"/>
    <w:lvl w:ilvl="0" w:tentative="0">
      <w:start w:val="2"/>
      <w:numFmt w:val="decimal"/>
      <w:suff w:val="nothing"/>
      <w:lvlText w:val="（%1）"/>
      <w:lvlJc w:val="left"/>
    </w:lvl>
  </w:abstractNum>
  <w:abstractNum w:abstractNumId="3">
    <w:nsid w:val="0E0B965C"/>
    <w:multiLevelType w:val="singleLevel"/>
    <w:tmpl w:val="0E0B965C"/>
    <w:lvl w:ilvl="0" w:tentative="0">
      <w:start w:val="2"/>
      <w:numFmt w:val="chineseCounting"/>
      <w:suff w:val="nothing"/>
      <w:lvlText w:val="（%1）"/>
      <w:lvlJc w:val="left"/>
      <w:rPr>
        <w:rFonts w:hint="eastAsia"/>
      </w:rPr>
    </w:lvl>
  </w:abstractNum>
  <w:abstractNum w:abstractNumId="4">
    <w:nsid w:val="37573F20"/>
    <w:multiLevelType w:val="singleLevel"/>
    <w:tmpl w:val="37573F20"/>
    <w:lvl w:ilvl="0" w:tentative="0">
      <w:start w:val="8"/>
      <w:numFmt w:val="decimal"/>
      <w:suff w:val="nothing"/>
      <w:lvlText w:val="（%1）"/>
      <w:lvlJc w:val="left"/>
    </w:lvl>
  </w:abstractNum>
  <w:abstractNum w:abstractNumId="5">
    <w:nsid w:val="3C0280BE"/>
    <w:multiLevelType w:val="singleLevel"/>
    <w:tmpl w:val="3C0280BE"/>
    <w:lvl w:ilvl="0" w:tentative="0">
      <w:start w:val="1"/>
      <w:numFmt w:val="decimal"/>
      <w:suff w:val="nothing"/>
      <w:lvlText w:val="%1、"/>
      <w:lvlJc w:val="left"/>
    </w:lvl>
  </w:abstractNum>
  <w:num w:numId="1">
    <w:abstractNumId w:val="3"/>
  </w:num>
  <w:num w:numId="2">
    <w:abstractNumId w:val="1"/>
  </w:num>
  <w:num w:numId="3">
    <w:abstractNumId w:val="4"/>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4EA"/>
    <w:rsid w:val="000006DF"/>
    <w:rsid w:val="000007A6"/>
    <w:rsid w:val="00000BF5"/>
    <w:rsid w:val="00000C74"/>
    <w:rsid w:val="00000D7C"/>
    <w:rsid w:val="00001205"/>
    <w:rsid w:val="0000144C"/>
    <w:rsid w:val="00001E24"/>
    <w:rsid w:val="00001FA0"/>
    <w:rsid w:val="0000275D"/>
    <w:rsid w:val="000027BB"/>
    <w:rsid w:val="000027F7"/>
    <w:rsid w:val="00002F15"/>
    <w:rsid w:val="00003383"/>
    <w:rsid w:val="000033B7"/>
    <w:rsid w:val="000033D5"/>
    <w:rsid w:val="00003859"/>
    <w:rsid w:val="00003864"/>
    <w:rsid w:val="00003A98"/>
    <w:rsid w:val="00003D3D"/>
    <w:rsid w:val="00003D8D"/>
    <w:rsid w:val="00004340"/>
    <w:rsid w:val="00004813"/>
    <w:rsid w:val="0000486D"/>
    <w:rsid w:val="00004F38"/>
    <w:rsid w:val="000053CF"/>
    <w:rsid w:val="00005E54"/>
    <w:rsid w:val="00005F6E"/>
    <w:rsid w:val="0000635F"/>
    <w:rsid w:val="0000651F"/>
    <w:rsid w:val="00006600"/>
    <w:rsid w:val="00006610"/>
    <w:rsid w:val="0000664E"/>
    <w:rsid w:val="00006791"/>
    <w:rsid w:val="00006B04"/>
    <w:rsid w:val="00007024"/>
    <w:rsid w:val="00007340"/>
    <w:rsid w:val="000075E4"/>
    <w:rsid w:val="000077D1"/>
    <w:rsid w:val="00007A58"/>
    <w:rsid w:val="00007EB3"/>
    <w:rsid w:val="00007F1C"/>
    <w:rsid w:val="00010028"/>
    <w:rsid w:val="000103AE"/>
    <w:rsid w:val="00010454"/>
    <w:rsid w:val="00010959"/>
    <w:rsid w:val="00010AE7"/>
    <w:rsid w:val="00010B8C"/>
    <w:rsid w:val="00011159"/>
    <w:rsid w:val="00011927"/>
    <w:rsid w:val="00011A49"/>
    <w:rsid w:val="000120C0"/>
    <w:rsid w:val="000120C7"/>
    <w:rsid w:val="000121B6"/>
    <w:rsid w:val="0001303B"/>
    <w:rsid w:val="0001305A"/>
    <w:rsid w:val="00013598"/>
    <w:rsid w:val="000140A4"/>
    <w:rsid w:val="00014289"/>
    <w:rsid w:val="0001447B"/>
    <w:rsid w:val="00014559"/>
    <w:rsid w:val="000145A0"/>
    <w:rsid w:val="00014E8F"/>
    <w:rsid w:val="00014F3E"/>
    <w:rsid w:val="00014F6B"/>
    <w:rsid w:val="00015501"/>
    <w:rsid w:val="00015634"/>
    <w:rsid w:val="000157F7"/>
    <w:rsid w:val="00016340"/>
    <w:rsid w:val="00016541"/>
    <w:rsid w:val="00017309"/>
    <w:rsid w:val="00017821"/>
    <w:rsid w:val="00017D16"/>
    <w:rsid w:val="00020073"/>
    <w:rsid w:val="000205AE"/>
    <w:rsid w:val="000209E9"/>
    <w:rsid w:val="00020C53"/>
    <w:rsid w:val="00020D75"/>
    <w:rsid w:val="0002155B"/>
    <w:rsid w:val="00021626"/>
    <w:rsid w:val="000218CC"/>
    <w:rsid w:val="00021BBE"/>
    <w:rsid w:val="00021CFB"/>
    <w:rsid w:val="00021D8E"/>
    <w:rsid w:val="00022290"/>
    <w:rsid w:val="0002232F"/>
    <w:rsid w:val="00022BB8"/>
    <w:rsid w:val="0002303A"/>
    <w:rsid w:val="00023267"/>
    <w:rsid w:val="00023428"/>
    <w:rsid w:val="0002342F"/>
    <w:rsid w:val="000234DD"/>
    <w:rsid w:val="000235EA"/>
    <w:rsid w:val="0002368D"/>
    <w:rsid w:val="0002438F"/>
    <w:rsid w:val="00024679"/>
    <w:rsid w:val="00024B49"/>
    <w:rsid w:val="00024D4D"/>
    <w:rsid w:val="00024D57"/>
    <w:rsid w:val="000250A5"/>
    <w:rsid w:val="0002535D"/>
    <w:rsid w:val="000258A5"/>
    <w:rsid w:val="0002591D"/>
    <w:rsid w:val="00025FA4"/>
    <w:rsid w:val="00026202"/>
    <w:rsid w:val="000265CD"/>
    <w:rsid w:val="0002745E"/>
    <w:rsid w:val="00027B07"/>
    <w:rsid w:val="000300A6"/>
    <w:rsid w:val="000301B1"/>
    <w:rsid w:val="00030483"/>
    <w:rsid w:val="00030593"/>
    <w:rsid w:val="000306F6"/>
    <w:rsid w:val="00030C7D"/>
    <w:rsid w:val="0003124F"/>
    <w:rsid w:val="00031366"/>
    <w:rsid w:val="00031741"/>
    <w:rsid w:val="00031DD7"/>
    <w:rsid w:val="00031F59"/>
    <w:rsid w:val="0003278F"/>
    <w:rsid w:val="00032DBA"/>
    <w:rsid w:val="000331B1"/>
    <w:rsid w:val="0003349B"/>
    <w:rsid w:val="000336EA"/>
    <w:rsid w:val="000337E5"/>
    <w:rsid w:val="00033CE1"/>
    <w:rsid w:val="00033F2F"/>
    <w:rsid w:val="0003466A"/>
    <w:rsid w:val="000346B9"/>
    <w:rsid w:val="00034924"/>
    <w:rsid w:val="00035085"/>
    <w:rsid w:val="000350B5"/>
    <w:rsid w:val="00035B95"/>
    <w:rsid w:val="00035EC2"/>
    <w:rsid w:val="00035F24"/>
    <w:rsid w:val="00036521"/>
    <w:rsid w:val="00036556"/>
    <w:rsid w:val="000367F1"/>
    <w:rsid w:val="00036969"/>
    <w:rsid w:val="00036AE8"/>
    <w:rsid w:val="00036B5C"/>
    <w:rsid w:val="00036F78"/>
    <w:rsid w:val="0003720B"/>
    <w:rsid w:val="0003744E"/>
    <w:rsid w:val="00037564"/>
    <w:rsid w:val="00037747"/>
    <w:rsid w:val="00037A1C"/>
    <w:rsid w:val="00037B36"/>
    <w:rsid w:val="00037BD1"/>
    <w:rsid w:val="00037F4B"/>
    <w:rsid w:val="00040180"/>
    <w:rsid w:val="00040489"/>
    <w:rsid w:val="00040C4B"/>
    <w:rsid w:val="00040E68"/>
    <w:rsid w:val="00040F09"/>
    <w:rsid w:val="00041112"/>
    <w:rsid w:val="00041404"/>
    <w:rsid w:val="00041722"/>
    <w:rsid w:val="00041BF1"/>
    <w:rsid w:val="0004202D"/>
    <w:rsid w:val="000421BB"/>
    <w:rsid w:val="00042580"/>
    <w:rsid w:val="000425E7"/>
    <w:rsid w:val="000429D3"/>
    <w:rsid w:val="00042ECF"/>
    <w:rsid w:val="000431CF"/>
    <w:rsid w:val="0004340E"/>
    <w:rsid w:val="000434DF"/>
    <w:rsid w:val="0004385B"/>
    <w:rsid w:val="00044341"/>
    <w:rsid w:val="00044817"/>
    <w:rsid w:val="00044DC7"/>
    <w:rsid w:val="00045186"/>
    <w:rsid w:val="0004526B"/>
    <w:rsid w:val="000452F0"/>
    <w:rsid w:val="00045656"/>
    <w:rsid w:val="00045944"/>
    <w:rsid w:val="00045EB9"/>
    <w:rsid w:val="00046011"/>
    <w:rsid w:val="00046964"/>
    <w:rsid w:val="00046E5E"/>
    <w:rsid w:val="0004734F"/>
    <w:rsid w:val="000479C4"/>
    <w:rsid w:val="00047CDD"/>
    <w:rsid w:val="00047D10"/>
    <w:rsid w:val="00047D96"/>
    <w:rsid w:val="00050056"/>
    <w:rsid w:val="0005044C"/>
    <w:rsid w:val="00050B8C"/>
    <w:rsid w:val="000513FA"/>
    <w:rsid w:val="000514DA"/>
    <w:rsid w:val="000515D3"/>
    <w:rsid w:val="0005192F"/>
    <w:rsid w:val="000519B6"/>
    <w:rsid w:val="00051C09"/>
    <w:rsid w:val="00051EB0"/>
    <w:rsid w:val="00052B6F"/>
    <w:rsid w:val="00052D43"/>
    <w:rsid w:val="000534C3"/>
    <w:rsid w:val="0005356D"/>
    <w:rsid w:val="0005368E"/>
    <w:rsid w:val="00053E94"/>
    <w:rsid w:val="00053EB1"/>
    <w:rsid w:val="00054581"/>
    <w:rsid w:val="00054AF9"/>
    <w:rsid w:val="000554B1"/>
    <w:rsid w:val="0005571F"/>
    <w:rsid w:val="00055966"/>
    <w:rsid w:val="00055ACA"/>
    <w:rsid w:val="00055D81"/>
    <w:rsid w:val="000560DB"/>
    <w:rsid w:val="00056138"/>
    <w:rsid w:val="000566A8"/>
    <w:rsid w:val="000566E7"/>
    <w:rsid w:val="00056816"/>
    <w:rsid w:val="00056873"/>
    <w:rsid w:val="0005691F"/>
    <w:rsid w:val="00056A94"/>
    <w:rsid w:val="00057040"/>
    <w:rsid w:val="000576E6"/>
    <w:rsid w:val="000602F2"/>
    <w:rsid w:val="000604B8"/>
    <w:rsid w:val="000604D5"/>
    <w:rsid w:val="000606EB"/>
    <w:rsid w:val="00060734"/>
    <w:rsid w:val="000609E4"/>
    <w:rsid w:val="00060B0C"/>
    <w:rsid w:val="00060D3A"/>
    <w:rsid w:val="00061992"/>
    <w:rsid w:val="00061A5A"/>
    <w:rsid w:val="00061AD8"/>
    <w:rsid w:val="00061C2A"/>
    <w:rsid w:val="00061C9A"/>
    <w:rsid w:val="00061CB9"/>
    <w:rsid w:val="000624D2"/>
    <w:rsid w:val="000626F5"/>
    <w:rsid w:val="00062848"/>
    <w:rsid w:val="00062947"/>
    <w:rsid w:val="00062BFF"/>
    <w:rsid w:val="00062CC1"/>
    <w:rsid w:val="00062DD8"/>
    <w:rsid w:val="00062F92"/>
    <w:rsid w:val="00063106"/>
    <w:rsid w:val="00064007"/>
    <w:rsid w:val="00064199"/>
    <w:rsid w:val="0006448B"/>
    <w:rsid w:val="000645E0"/>
    <w:rsid w:val="00064771"/>
    <w:rsid w:val="0006502C"/>
    <w:rsid w:val="00066166"/>
    <w:rsid w:val="00066E46"/>
    <w:rsid w:val="00066FF9"/>
    <w:rsid w:val="0006703B"/>
    <w:rsid w:val="00067D0A"/>
    <w:rsid w:val="00067D23"/>
    <w:rsid w:val="00067E75"/>
    <w:rsid w:val="00067FA3"/>
    <w:rsid w:val="00067FD3"/>
    <w:rsid w:val="00070090"/>
    <w:rsid w:val="00070707"/>
    <w:rsid w:val="000707CB"/>
    <w:rsid w:val="000708D2"/>
    <w:rsid w:val="00070921"/>
    <w:rsid w:val="000709E4"/>
    <w:rsid w:val="00070A1D"/>
    <w:rsid w:val="00070BE7"/>
    <w:rsid w:val="00070CA4"/>
    <w:rsid w:val="00070F26"/>
    <w:rsid w:val="00070FE7"/>
    <w:rsid w:val="00071210"/>
    <w:rsid w:val="000713B9"/>
    <w:rsid w:val="00071454"/>
    <w:rsid w:val="00071555"/>
    <w:rsid w:val="00071A4A"/>
    <w:rsid w:val="00071B1E"/>
    <w:rsid w:val="00071CEF"/>
    <w:rsid w:val="000722B6"/>
    <w:rsid w:val="00072748"/>
    <w:rsid w:val="00072F2E"/>
    <w:rsid w:val="000731C4"/>
    <w:rsid w:val="000733C1"/>
    <w:rsid w:val="0007341D"/>
    <w:rsid w:val="000734D5"/>
    <w:rsid w:val="0007380B"/>
    <w:rsid w:val="00073F02"/>
    <w:rsid w:val="00074518"/>
    <w:rsid w:val="0007474E"/>
    <w:rsid w:val="00074FAA"/>
    <w:rsid w:val="00075149"/>
    <w:rsid w:val="0007541F"/>
    <w:rsid w:val="0007601A"/>
    <w:rsid w:val="00076359"/>
    <w:rsid w:val="00076FAD"/>
    <w:rsid w:val="0007778E"/>
    <w:rsid w:val="00077808"/>
    <w:rsid w:val="000778B9"/>
    <w:rsid w:val="00077973"/>
    <w:rsid w:val="00080083"/>
    <w:rsid w:val="000800FD"/>
    <w:rsid w:val="00080393"/>
    <w:rsid w:val="0008054B"/>
    <w:rsid w:val="000808D5"/>
    <w:rsid w:val="00080BD1"/>
    <w:rsid w:val="000810CC"/>
    <w:rsid w:val="00081819"/>
    <w:rsid w:val="00081C02"/>
    <w:rsid w:val="00081F62"/>
    <w:rsid w:val="0008208E"/>
    <w:rsid w:val="00082396"/>
    <w:rsid w:val="00082DE0"/>
    <w:rsid w:val="000835B0"/>
    <w:rsid w:val="00083799"/>
    <w:rsid w:val="0008390E"/>
    <w:rsid w:val="00083FA0"/>
    <w:rsid w:val="000840B1"/>
    <w:rsid w:val="000844CB"/>
    <w:rsid w:val="000845F1"/>
    <w:rsid w:val="00085040"/>
    <w:rsid w:val="000852CB"/>
    <w:rsid w:val="0008583D"/>
    <w:rsid w:val="0008583F"/>
    <w:rsid w:val="00085D51"/>
    <w:rsid w:val="0008601D"/>
    <w:rsid w:val="00086700"/>
    <w:rsid w:val="00086AD8"/>
    <w:rsid w:val="00086F19"/>
    <w:rsid w:val="00087218"/>
    <w:rsid w:val="0008771F"/>
    <w:rsid w:val="00087F2D"/>
    <w:rsid w:val="0009023B"/>
    <w:rsid w:val="00090A4D"/>
    <w:rsid w:val="00090A73"/>
    <w:rsid w:val="00090ADE"/>
    <w:rsid w:val="00090B7F"/>
    <w:rsid w:val="00090C08"/>
    <w:rsid w:val="00090C57"/>
    <w:rsid w:val="00090D5D"/>
    <w:rsid w:val="00091014"/>
    <w:rsid w:val="000912C3"/>
    <w:rsid w:val="000916EA"/>
    <w:rsid w:val="00091723"/>
    <w:rsid w:val="00091A2F"/>
    <w:rsid w:val="00092397"/>
    <w:rsid w:val="00092464"/>
    <w:rsid w:val="00092808"/>
    <w:rsid w:val="000929EB"/>
    <w:rsid w:val="00092D0E"/>
    <w:rsid w:val="00092E62"/>
    <w:rsid w:val="00092EB9"/>
    <w:rsid w:val="00092F2F"/>
    <w:rsid w:val="00093066"/>
    <w:rsid w:val="000930B7"/>
    <w:rsid w:val="000933AA"/>
    <w:rsid w:val="000934EA"/>
    <w:rsid w:val="00093BFE"/>
    <w:rsid w:val="00093D5E"/>
    <w:rsid w:val="00093E10"/>
    <w:rsid w:val="000940CC"/>
    <w:rsid w:val="00094229"/>
    <w:rsid w:val="00094A2D"/>
    <w:rsid w:val="00094BB0"/>
    <w:rsid w:val="00095185"/>
    <w:rsid w:val="000954DF"/>
    <w:rsid w:val="00095701"/>
    <w:rsid w:val="0009584B"/>
    <w:rsid w:val="0009622C"/>
    <w:rsid w:val="00096273"/>
    <w:rsid w:val="000962D6"/>
    <w:rsid w:val="00096504"/>
    <w:rsid w:val="00096597"/>
    <w:rsid w:val="00096EEB"/>
    <w:rsid w:val="0009777E"/>
    <w:rsid w:val="00097B92"/>
    <w:rsid w:val="00097F60"/>
    <w:rsid w:val="000A02BE"/>
    <w:rsid w:val="000A03B8"/>
    <w:rsid w:val="000A06F4"/>
    <w:rsid w:val="000A09CF"/>
    <w:rsid w:val="000A0F1D"/>
    <w:rsid w:val="000A1084"/>
    <w:rsid w:val="000A16C9"/>
    <w:rsid w:val="000A1A5B"/>
    <w:rsid w:val="000A2112"/>
    <w:rsid w:val="000A29E3"/>
    <w:rsid w:val="000A3730"/>
    <w:rsid w:val="000A37E3"/>
    <w:rsid w:val="000A43C9"/>
    <w:rsid w:val="000A4657"/>
    <w:rsid w:val="000A48CE"/>
    <w:rsid w:val="000A4924"/>
    <w:rsid w:val="000A4F4D"/>
    <w:rsid w:val="000A5583"/>
    <w:rsid w:val="000A5C19"/>
    <w:rsid w:val="000A5E05"/>
    <w:rsid w:val="000A5E4D"/>
    <w:rsid w:val="000A6020"/>
    <w:rsid w:val="000A63FF"/>
    <w:rsid w:val="000A689A"/>
    <w:rsid w:val="000A6AA5"/>
    <w:rsid w:val="000A6E76"/>
    <w:rsid w:val="000A6FC3"/>
    <w:rsid w:val="000A716E"/>
    <w:rsid w:val="000A7395"/>
    <w:rsid w:val="000A74CA"/>
    <w:rsid w:val="000A7560"/>
    <w:rsid w:val="000B0020"/>
    <w:rsid w:val="000B0034"/>
    <w:rsid w:val="000B0463"/>
    <w:rsid w:val="000B07D9"/>
    <w:rsid w:val="000B16E1"/>
    <w:rsid w:val="000B1E5F"/>
    <w:rsid w:val="000B227C"/>
    <w:rsid w:val="000B28DD"/>
    <w:rsid w:val="000B298A"/>
    <w:rsid w:val="000B2AA6"/>
    <w:rsid w:val="000B2BC4"/>
    <w:rsid w:val="000B3062"/>
    <w:rsid w:val="000B3109"/>
    <w:rsid w:val="000B3257"/>
    <w:rsid w:val="000B3B79"/>
    <w:rsid w:val="000B4459"/>
    <w:rsid w:val="000B4773"/>
    <w:rsid w:val="000B4AB8"/>
    <w:rsid w:val="000B4D66"/>
    <w:rsid w:val="000B5002"/>
    <w:rsid w:val="000B5480"/>
    <w:rsid w:val="000B59BF"/>
    <w:rsid w:val="000B5EBA"/>
    <w:rsid w:val="000B6624"/>
    <w:rsid w:val="000B6BC3"/>
    <w:rsid w:val="000B6DC8"/>
    <w:rsid w:val="000B6EF1"/>
    <w:rsid w:val="000B6FE3"/>
    <w:rsid w:val="000B7059"/>
    <w:rsid w:val="000B753F"/>
    <w:rsid w:val="000B791B"/>
    <w:rsid w:val="000B7B58"/>
    <w:rsid w:val="000B7D17"/>
    <w:rsid w:val="000B7F05"/>
    <w:rsid w:val="000C026C"/>
    <w:rsid w:val="000C06A2"/>
    <w:rsid w:val="000C0C1A"/>
    <w:rsid w:val="000C0D5A"/>
    <w:rsid w:val="000C0D8C"/>
    <w:rsid w:val="000C23A7"/>
    <w:rsid w:val="000C26FA"/>
    <w:rsid w:val="000C2B0D"/>
    <w:rsid w:val="000C2F24"/>
    <w:rsid w:val="000C3200"/>
    <w:rsid w:val="000C360B"/>
    <w:rsid w:val="000C3B2E"/>
    <w:rsid w:val="000C3B3B"/>
    <w:rsid w:val="000C3E26"/>
    <w:rsid w:val="000C3F19"/>
    <w:rsid w:val="000C4419"/>
    <w:rsid w:val="000C5166"/>
    <w:rsid w:val="000C5889"/>
    <w:rsid w:val="000C5E97"/>
    <w:rsid w:val="000C61C2"/>
    <w:rsid w:val="000C6338"/>
    <w:rsid w:val="000C66E1"/>
    <w:rsid w:val="000C68A6"/>
    <w:rsid w:val="000C6B22"/>
    <w:rsid w:val="000C6E5E"/>
    <w:rsid w:val="000C6EF2"/>
    <w:rsid w:val="000C6F07"/>
    <w:rsid w:val="000C7104"/>
    <w:rsid w:val="000C7466"/>
    <w:rsid w:val="000C787D"/>
    <w:rsid w:val="000C7896"/>
    <w:rsid w:val="000D0038"/>
    <w:rsid w:val="000D013D"/>
    <w:rsid w:val="000D040E"/>
    <w:rsid w:val="000D04FB"/>
    <w:rsid w:val="000D07E9"/>
    <w:rsid w:val="000D09DE"/>
    <w:rsid w:val="000D0B40"/>
    <w:rsid w:val="000D1060"/>
    <w:rsid w:val="000D1300"/>
    <w:rsid w:val="000D159F"/>
    <w:rsid w:val="000D19D9"/>
    <w:rsid w:val="000D1C7C"/>
    <w:rsid w:val="000D1DB7"/>
    <w:rsid w:val="000D2015"/>
    <w:rsid w:val="000D2398"/>
    <w:rsid w:val="000D29C8"/>
    <w:rsid w:val="000D2CC0"/>
    <w:rsid w:val="000D3217"/>
    <w:rsid w:val="000D3A67"/>
    <w:rsid w:val="000D3AD3"/>
    <w:rsid w:val="000D4406"/>
    <w:rsid w:val="000D49E4"/>
    <w:rsid w:val="000D4BEB"/>
    <w:rsid w:val="000D4C5D"/>
    <w:rsid w:val="000D571E"/>
    <w:rsid w:val="000D57FA"/>
    <w:rsid w:val="000D58E0"/>
    <w:rsid w:val="000D5F2D"/>
    <w:rsid w:val="000D63E4"/>
    <w:rsid w:val="000D6650"/>
    <w:rsid w:val="000D683E"/>
    <w:rsid w:val="000D6BE9"/>
    <w:rsid w:val="000D7014"/>
    <w:rsid w:val="000D718F"/>
    <w:rsid w:val="000D7368"/>
    <w:rsid w:val="000D7392"/>
    <w:rsid w:val="000D7750"/>
    <w:rsid w:val="000D7D4D"/>
    <w:rsid w:val="000D7F40"/>
    <w:rsid w:val="000D7FAA"/>
    <w:rsid w:val="000E0361"/>
    <w:rsid w:val="000E06F7"/>
    <w:rsid w:val="000E099A"/>
    <w:rsid w:val="000E0D84"/>
    <w:rsid w:val="000E0DE2"/>
    <w:rsid w:val="000E194D"/>
    <w:rsid w:val="000E1A41"/>
    <w:rsid w:val="000E1AB6"/>
    <w:rsid w:val="000E214C"/>
    <w:rsid w:val="000E2269"/>
    <w:rsid w:val="000E2819"/>
    <w:rsid w:val="000E2B31"/>
    <w:rsid w:val="000E2CB9"/>
    <w:rsid w:val="000E2D48"/>
    <w:rsid w:val="000E2DA2"/>
    <w:rsid w:val="000E31A1"/>
    <w:rsid w:val="000E327B"/>
    <w:rsid w:val="000E3E10"/>
    <w:rsid w:val="000E3E32"/>
    <w:rsid w:val="000E41C2"/>
    <w:rsid w:val="000E43A2"/>
    <w:rsid w:val="000E46B2"/>
    <w:rsid w:val="000E48F7"/>
    <w:rsid w:val="000E4EF6"/>
    <w:rsid w:val="000E53EF"/>
    <w:rsid w:val="000E558E"/>
    <w:rsid w:val="000E584A"/>
    <w:rsid w:val="000E5BD2"/>
    <w:rsid w:val="000E5DB1"/>
    <w:rsid w:val="000E65E7"/>
    <w:rsid w:val="000E6654"/>
    <w:rsid w:val="000E67B4"/>
    <w:rsid w:val="000E67BB"/>
    <w:rsid w:val="000E6804"/>
    <w:rsid w:val="000E6BB2"/>
    <w:rsid w:val="000E757B"/>
    <w:rsid w:val="000E75D8"/>
    <w:rsid w:val="000E7823"/>
    <w:rsid w:val="000E78F7"/>
    <w:rsid w:val="000E7E96"/>
    <w:rsid w:val="000F013A"/>
    <w:rsid w:val="000F01DF"/>
    <w:rsid w:val="000F02D9"/>
    <w:rsid w:val="000F03C0"/>
    <w:rsid w:val="000F09C7"/>
    <w:rsid w:val="000F0B27"/>
    <w:rsid w:val="000F0B58"/>
    <w:rsid w:val="000F0F06"/>
    <w:rsid w:val="000F0F4D"/>
    <w:rsid w:val="000F1638"/>
    <w:rsid w:val="000F180E"/>
    <w:rsid w:val="000F2789"/>
    <w:rsid w:val="000F286D"/>
    <w:rsid w:val="000F2C4C"/>
    <w:rsid w:val="000F33AE"/>
    <w:rsid w:val="000F37C1"/>
    <w:rsid w:val="000F38F9"/>
    <w:rsid w:val="000F3F9F"/>
    <w:rsid w:val="000F545D"/>
    <w:rsid w:val="000F546A"/>
    <w:rsid w:val="000F594D"/>
    <w:rsid w:val="000F5A80"/>
    <w:rsid w:val="000F5B0C"/>
    <w:rsid w:val="000F5E90"/>
    <w:rsid w:val="000F61CE"/>
    <w:rsid w:val="000F61FB"/>
    <w:rsid w:val="000F622C"/>
    <w:rsid w:val="000F65C5"/>
    <w:rsid w:val="000F6712"/>
    <w:rsid w:val="000F6939"/>
    <w:rsid w:val="000F6AC6"/>
    <w:rsid w:val="000F6B55"/>
    <w:rsid w:val="000F6F13"/>
    <w:rsid w:val="000F7174"/>
    <w:rsid w:val="000F7228"/>
    <w:rsid w:val="000F7478"/>
    <w:rsid w:val="000F776A"/>
    <w:rsid w:val="000F7C9A"/>
    <w:rsid w:val="000F7DA2"/>
    <w:rsid w:val="00100211"/>
    <w:rsid w:val="00100456"/>
    <w:rsid w:val="001004C5"/>
    <w:rsid w:val="00100752"/>
    <w:rsid w:val="001008E9"/>
    <w:rsid w:val="0010103A"/>
    <w:rsid w:val="00102206"/>
    <w:rsid w:val="001024E6"/>
    <w:rsid w:val="001026A2"/>
    <w:rsid w:val="001027BA"/>
    <w:rsid w:val="00102931"/>
    <w:rsid w:val="00102B2A"/>
    <w:rsid w:val="00102F46"/>
    <w:rsid w:val="001037A1"/>
    <w:rsid w:val="00103F9E"/>
    <w:rsid w:val="00103FE8"/>
    <w:rsid w:val="00104248"/>
    <w:rsid w:val="001042FE"/>
    <w:rsid w:val="001044F5"/>
    <w:rsid w:val="00104587"/>
    <w:rsid w:val="0010471C"/>
    <w:rsid w:val="0010493A"/>
    <w:rsid w:val="00104BA8"/>
    <w:rsid w:val="00104E5F"/>
    <w:rsid w:val="00104EA5"/>
    <w:rsid w:val="0010565B"/>
    <w:rsid w:val="0010566D"/>
    <w:rsid w:val="0010574B"/>
    <w:rsid w:val="0010581F"/>
    <w:rsid w:val="00105A4A"/>
    <w:rsid w:val="00106704"/>
    <w:rsid w:val="001068BD"/>
    <w:rsid w:val="00106DB6"/>
    <w:rsid w:val="00107031"/>
    <w:rsid w:val="0010752D"/>
    <w:rsid w:val="00107B92"/>
    <w:rsid w:val="0011018C"/>
    <w:rsid w:val="00110297"/>
    <w:rsid w:val="00110303"/>
    <w:rsid w:val="0011048D"/>
    <w:rsid w:val="0011062E"/>
    <w:rsid w:val="00110BC7"/>
    <w:rsid w:val="00110C02"/>
    <w:rsid w:val="00110DE6"/>
    <w:rsid w:val="001110FA"/>
    <w:rsid w:val="001111E4"/>
    <w:rsid w:val="0011147A"/>
    <w:rsid w:val="001117B8"/>
    <w:rsid w:val="00111839"/>
    <w:rsid w:val="00111E07"/>
    <w:rsid w:val="00112BA9"/>
    <w:rsid w:val="00112FE5"/>
    <w:rsid w:val="001137D4"/>
    <w:rsid w:val="00113CBF"/>
    <w:rsid w:val="00113CC6"/>
    <w:rsid w:val="00114083"/>
    <w:rsid w:val="001141C2"/>
    <w:rsid w:val="00114573"/>
    <w:rsid w:val="00114690"/>
    <w:rsid w:val="001149CB"/>
    <w:rsid w:val="00114B03"/>
    <w:rsid w:val="00114CBB"/>
    <w:rsid w:val="00115406"/>
    <w:rsid w:val="0011584B"/>
    <w:rsid w:val="00115882"/>
    <w:rsid w:val="00115A41"/>
    <w:rsid w:val="00115AC7"/>
    <w:rsid w:val="0011621F"/>
    <w:rsid w:val="001167B0"/>
    <w:rsid w:val="00116ACC"/>
    <w:rsid w:val="00116D9E"/>
    <w:rsid w:val="00116E5B"/>
    <w:rsid w:val="0011702D"/>
    <w:rsid w:val="00117306"/>
    <w:rsid w:val="00117D19"/>
    <w:rsid w:val="00117D6C"/>
    <w:rsid w:val="00117D87"/>
    <w:rsid w:val="00117FCF"/>
    <w:rsid w:val="001201AE"/>
    <w:rsid w:val="0012029F"/>
    <w:rsid w:val="001206DB"/>
    <w:rsid w:val="001208D0"/>
    <w:rsid w:val="00120E46"/>
    <w:rsid w:val="00121076"/>
    <w:rsid w:val="001219F1"/>
    <w:rsid w:val="00121AF5"/>
    <w:rsid w:val="00121E68"/>
    <w:rsid w:val="00122C29"/>
    <w:rsid w:val="00122C3E"/>
    <w:rsid w:val="00122D3F"/>
    <w:rsid w:val="00122D4A"/>
    <w:rsid w:val="00122DD5"/>
    <w:rsid w:val="0012315C"/>
    <w:rsid w:val="001235D0"/>
    <w:rsid w:val="001236B4"/>
    <w:rsid w:val="00124467"/>
    <w:rsid w:val="00124D67"/>
    <w:rsid w:val="001256CA"/>
    <w:rsid w:val="001259C1"/>
    <w:rsid w:val="00125CE2"/>
    <w:rsid w:val="00126796"/>
    <w:rsid w:val="0012690F"/>
    <w:rsid w:val="00126BFE"/>
    <w:rsid w:val="00126FCF"/>
    <w:rsid w:val="001275FC"/>
    <w:rsid w:val="00127625"/>
    <w:rsid w:val="001309D6"/>
    <w:rsid w:val="00130C59"/>
    <w:rsid w:val="001314C1"/>
    <w:rsid w:val="00131831"/>
    <w:rsid w:val="00131C59"/>
    <w:rsid w:val="00131DA8"/>
    <w:rsid w:val="00132B96"/>
    <w:rsid w:val="00132E8C"/>
    <w:rsid w:val="001333F4"/>
    <w:rsid w:val="00133A88"/>
    <w:rsid w:val="00133C00"/>
    <w:rsid w:val="00133F5A"/>
    <w:rsid w:val="00133FF3"/>
    <w:rsid w:val="001342C7"/>
    <w:rsid w:val="00134711"/>
    <w:rsid w:val="0013472B"/>
    <w:rsid w:val="001347B5"/>
    <w:rsid w:val="00134E12"/>
    <w:rsid w:val="001350BF"/>
    <w:rsid w:val="001353DA"/>
    <w:rsid w:val="00136C02"/>
    <w:rsid w:val="001376C9"/>
    <w:rsid w:val="00137B25"/>
    <w:rsid w:val="00140607"/>
    <w:rsid w:val="00140650"/>
    <w:rsid w:val="00140804"/>
    <w:rsid w:val="001409F2"/>
    <w:rsid w:val="00140C41"/>
    <w:rsid w:val="0014112B"/>
    <w:rsid w:val="00141381"/>
    <w:rsid w:val="00141424"/>
    <w:rsid w:val="001415E5"/>
    <w:rsid w:val="00141730"/>
    <w:rsid w:val="001423CC"/>
    <w:rsid w:val="00142652"/>
    <w:rsid w:val="00142EF2"/>
    <w:rsid w:val="00142FF0"/>
    <w:rsid w:val="0014308A"/>
    <w:rsid w:val="001434CE"/>
    <w:rsid w:val="00143658"/>
    <w:rsid w:val="00143685"/>
    <w:rsid w:val="001439A1"/>
    <w:rsid w:val="001439B6"/>
    <w:rsid w:val="00143E23"/>
    <w:rsid w:val="00144929"/>
    <w:rsid w:val="00144943"/>
    <w:rsid w:val="00144B9A"/>
    <w:rsid w:val="00144C0D"/>
    <w:rsid w:val="00145535"/>
    <w:rsid w:val="00145646"/>
    <w:rsid w:val="0014588A"/>
    <w:rsid w:val="00145CA4"/>
    <w:rsid w:val="00146093"/>
    <w:rsid w:val="00146688"/>
    <w:rsid w:val="00146F5B"/>
    <w:rsid w:val="001477C6"/>
    <w:rsid w:val="00147A86"/>
    <w:rsid w:val="0015009D"/>
    <w:rsid w:val="00150346"/>
    <w:rsid w:val="001503AB"/>
    <w:rsid w:val="001503FF"/>
    <w:rsid w:val="001504AA"/>
    <w:rsid w:val="001509E3"/>
    <w:rsid w:val="00150B6F"/>
    <w:rsid w:val="00151043"/>
    <w:rsid w:val="0015116A"/>
    <w:rsid w:val="00151A37"/>
    <w:rsid w:val="00151B6F"/>
    <w:rsid w:val="00151C0B"/>
    <w:rsid w:val="00152033"/>
    <w:rsid w:val="001521F5"/>
    <w:rsid w:val="00152BA0"/>
    <w:rsid w:val="00152FF2"/>
    <w:rsid w:val="0015310B"/>
    <w:rsid w:val="00153707"/>
    <w:rsid w:val="00154141"/>
    <w:rsid w:val="00154686"/>
    <w:rsid w:val="001546A2"/>
    <w:rsid w:val="0015473F"/>
    <w:rsid w:val="00154821"/>
    <w:rsid w:val="001548E5"/>
    <w:rsid w:val="00154953"/>
    <w:rsid w:val="001549D7"/>
    <w:rsid w:val="00154D39"/>
    <w:rsid w:val="001552B5"/>
    <w:rsid w:val="0015532B"/>
    <w:rsid w:val="00155DB3"/>
    <w:rsid w:val="00155FAF"/>
    <w:rsid w:val="001560CF"/>
    <w:rsid w:val="001563CD"/>
    <w:rsid w:val="001564BA"/>
    <w:rsid w:val="00156555"/>
    <w:rsid w:val="00156DE6"/>
    <w:rsid w:val="00156E83"/>
    <w:rsid w:val="00156EC8"/>
    <w:rsid w:val="00157304"/>
    <w:rsid w:val="00157541"/>
    <w:rsid w:val="001576A9"/>
    <w:rsid w:val="001578EC"/>
    <w:rsid w:val="00160349"/>
    <w:rsid w:val="001606FD"/>
    <w:rsid w:val="0016091F"/>
    <w:rsid w:val="00160E89"/>
    <w:rsid w:val="00160ED7"/>
    <w:rsid w:val="00160EF2"/>
    <w:rsid w:val="00161065"/>
    <w:rsid w:val="00161076"/>
    <w:rsid w:val="0016110F"/>
    <w:rsid w:val="00161295"/>
    <w:rsid w:val="00161807"/>
    <w:rsid w:val="0016194D"/>
    <w:rsid w:val="0016233A"/>
    <w:rsid w:val="0016235F"/>
    <w:rsid w:val="00162B6F"/>
    <w:rsid w:val="00162E85"/>
    <w:rsid w:val="00163101"/>
    <w:rsid w:val="00163189"/>
    <w:rsid w:val="001631A9"/>
    <w:rsid w:val="00163366"/>
    <w:rsid w:val="0016349B"/>
    <w:rsid w:val="001635D6"/>
    <w:rsid w:val="00163786"/>
    <w:rsid w:val="00163805"/>
    <w:rsid w:val="00163D07"/>
    <w:rsid w:val="001648C7"/>
    <w:rsid w:val="00164CB8"/>
    <w:rsid w:val="00164F18"/>
    <w:rsid w:val="001651D4"/>
    <w:rsid w:val="0016525C"/>
    <w:rsid w:val="001654C1"/>
    <w:rsid w:val="001655C0"/>
    <w:rsid w:val="00165959"/>
    <w:rsid w:val="001659BE"/>
    <w:rsid w:val="00165A58"/>
    <w:rsid w:val="00165BEB"/>
    <w:rsid w:val="00166084"/>
    <w:rsid w:val="001666E8"/>
    <w:rsid w:val="00166949"/>
    <w:rsid w:val="00166D78"/>
    <w:rsid w:val="001676B8"/>
    <w:rsid w:val="00167A5C"/>
    <w:rsid w:val="0017033D"/>
    <w:rsid w:val="00170EA2"/>
    <w:rsid w:val="001710B4"/>
    <w:rsid w:val="00171462"/>
    <w:rsid w:val="001719EB"/>
    <w:rsid w:val="00172007"/>
    <w:rsid w:val="001725C5"/>
    <w:rsid w:val="00172A27"/>
    <w:rsid w:val="00172B98"/>
    <w:rsid w:val="00172CC9"/>
    <w:rsid w:val="00173AD1"/>
    <w:rsid w:val="00173FFF"/>
    <w:rsid w:val="0017486C"/>
    <w:rsid w:val="00174F5A"/>
    <w:rsid w:val="001754DA"/>
    <w:rsid w:val="00175BD6"/>
    <w:rsid w:val="00175FE2"/>
    <w:rsid w:val="00176B14"/>
    <w:rsid w:val="00176DFD"/>
    <w:rsid w:val="00176F5C"/>
    <w:rsid w:val="00177637"/>
    <w:rsid w:val="00177A0D"/>
    <w:rsid w:val="00177FC5"/>
    <w:rsid w:val="00180005"/>
    <w:rsid w:val="0018078C"/>
    <w:rsid w:val="00180C85"/>
    <w:rsid w:val="0018131A"/>
    <w:rsid w:val="001814B4"/>
    <w:rsid w:val="001816B0"/>
    <w:rsid w:val="00181716"/>
    <w:rsid w:val="001818F6"/>
    <w:rsid w:val="00181DF6"/>
    <w:rsid w:val="00181EAB"/>
    <w:rsid w:val="001820E0"/>
    <w:rsid w:val="00182889"/>
    <w:rsid w:val="0018293A"/>
    <w:rsid w:val="00182A09"/>
    <w:rsid w:val="00182AF2"/>
    <w:rsid w:val="00182F06"/>
    <w:rsid w:val="00183455"/>
    <w:rsid w:val="001837CF"/>
    <w:rsid w:val="00183BCC"/>
    <w:rsid w:val="00183E52"/>
    <w:rsid w:val="00183ECA"/>
    <w:rsid w:val="00183EE1"/>
    <w:rsid w:val="00184581"/>
    <w:rsid w:val="001845F2"/>
    <w:rsid w:val="001848C6"/>
    <w:rsid w:val="00184A5D"/>
    <w:rsid w:val="00184F93"/>
    <w:rsid w:val="001850FC"/>
    <w:rsid w:val="001858C7"/>
    <w:rsid w:val="00185C70"/>
    <w:rsid w:val="00185DFB"/>
    <w:rsid w:val="001860E2"/>
    <w:rsid w:val="0018619E"/>
    <w:rsid w:val="001861A2"/>
    <w:rsid w:val="001862AC"/>
    <w:rsid w:val="00186376"/>
    <w:rsid w:val="001865DA"/>
    <w:rsid w:val="001866FE"/>
    <w:rsid w:val="0018671C"/>
    <w:rsid w:val="00186BEB"/>
    <w:rsid w:val="00186EB4"/>
    <w:rsid w:val="00187114"/>
    <w:rsid w:val="001873EE"/>
    <w:rsid w:val="001873F2"/>
    <w:rsid w:val="0019075A"/>
    <w:rsid w:val="0019083C"/>
    <w:rsid w:val="0019189C"/>
    <w:rsid w:val="00191F2B"/>
    <w:rsid w:val="00192755"/>
    <w:rsid w:val="001927FC"/>
    <w:rsid w:val="00192C84"/>
    <w:rsid w:val="00193126"/>
    <w:rsid w:val="00193154"/>
    <w:rsid w:val="0019393B"/>
    <w:rsid w:val="00193A26"/>
    <w:rsid w:val="00193C34"/>
    <w:rsid w:val="00193E38"/>
    <w:rsid w:val="00193F2A"/>
    <w:rsid w:val="0019418E"/>
    <w:rsid w:val="0019447B"/>
    <w:rsid w:val="00194588"/>
    <w:rsid w:val="001946DC"/>
    <w:rsid w:val="00194813"/>
    <w:rsid w:val="00194A6A"/>
    <w:rsid w:val="00194B8E"/>
    <w:rsid w:val="00194BA2"/>
    <w:rsid w:val="00194E9A"/>
    <w:rsid w:val="00194EF5"/>
    <w:rsid w:val="00194F23"/>
    <w:rsid w:val="001952AB"/>
    <w:rsid w:val="0019544C"/>
    <w:rsid w:val="001958A1"/>
    <w:rsid w:val="001958F1"/>
    <w:rsid w:val="00195A6D"/>
    <w:rsid w:val="00195C2B"/>
    <w:rsid w:val="00196C1B"/>
    <w:rsid w:val="00196FA2"/>
    <w:rsid w:val="00197005"/>
    <w:rsid w:val="0019700C"/>
    <w:rsid w:val="0019721E"/>
    <w:rsid w:val="00197423"/>
    <w:rsid w:val="001979E0"/>
    <w:rsid w:val="001A1044"/>
    <w:rsid w:val="001A12A9"/>
    <w:rsid w:val="001A154D"/>
    <w:rsid w:val="001A2077"/>
    <w:rsid w:val="001A2109"/>
    <w:rsid w:val="001A26C7"/>
    <w:rsid w:val="001A2ABA"/>
    <w:rsid w:val="001A2CEB"/>
    <w:rsid w:val="001A2E71"/>
    <w:rsid w:val="001A3003"/>
    <w:rsid w:val="001A33CE"/>
    <w:rsid w:val="001A3574"/>
    <w:rsid w:val="001A3BE0"/>
    <w:rsid w:val="001A3C49"/>
    <w:rsid w:val="001A42FC"/>
    <w:rsid w:val="001A46D0"/>
    <w:rsid w:val="001A48F6"/>
    <w:rsid w:val="001A5311"/>
    <w:rsid w:val="001A5CDE"/>
    <w:rsid w:val="001A5D3B"/>
    <w:rsid w:val="001A5F92"/>
    <w:rsid w:val="001A6000"/>
    <w:rsid w:val="001A6223"/>
    <w:rsid w:val="001A6964"/>
    <w:rsid w:val="001A699A"/>
    <w:rsid w:val="001A6A4A"/>
    <w:rsid w:val="001A6B3D"/>
    <w:rsid w:val="001A6B4C"/>
    <w:rsid w:val="001A6C16"/>
    <w:rsid w:val="001A6D71"/>
    <w:rsid w:val="001A7AB6"/>
    <w:rsid w:val="001A7CD7"/>
    <w:rsid w:val="001B00D7"/>
    <w:rsid w:val="001B029F"/>
    <w:rsid w:val="001B02CA"/>
    <w:rsid w:val="001B0791"/>
    <w:rsid w:val="001B1370"/>
    <w:rsid w:val="001B1ABC"/>
    <w:rsid w:val="001B2433"/>
    <w:rsid w:val="001B2A71"/>
    <w:rsid w:val="001B30FD"/>
    <w:rsid w:val="001B3149"/>
    <w:rsid w:val="001B32DD"/>
    <w:rsid w:val="001B3990"/>
    <w:rsid w:val="001B40DB"/>
    <w:rsid w:val="001B4142"/>
    <w:rsid w:val="001B41D5"/>
    <w:rsid w:val="001B42D8"/>
    <w:rsid w:val="001B4972"/>
    <w:rsid w:val="001B4B86"/>
    <w:rsid w:val="001B5381"/>
    <w:rsid w:val="001B54C5"/>
    <w:rsid w:val="001B5825"/>
    <w:rsid w:val="001B589E"/>
    <w:rsid w:val="001B5C08"/>
    <w:rsid w:val="001B5E05"/>
    <w:rsid w:val="001B64E4"/>
    <w:rsid w:val="001B6FA4"/>
    <w:rsid w:val="001B7006"/>
    <w:rsid w:val="001B7AD1"/>
    <w:rsid w:val="001B7D65"/>
    <w:rsid w:val="001C0036"/>
    <w:rsid w:val="001C0915"/>
    <w:rsid w:val="001C165E"/>
    <w:rsid w:val="001C2681"/>
    <w:rsid w:val="001C310D"/>
    <w:rsid w:val="001C3162"/>
    <w:rsid w:val="001C3E32"/>
    <w:rsid w:val="001C407E"/>
    <w:rsid w:val="001C40FA"/>
    <w:rsid w:val="001C4392"/>
    <w:rsid w:val="001C4D30"/>
    <w:rsid w:val="001C4D35"/>
    <w:rsid w:val="001C4E0F"/>
    <w:rsid w:val="001C501B"/>
    <w:rsid w:val="001C5075"/>
    <w:rsid w:val="001C50AD"/>
    <w:rsid w:val="001C523D"/>
    <w:rsid w:val="001C533C"/>
    <w:rsid w:val="001C53D8"/>
    <w:rsid w:val="001C5899"/>
    <w:rsid w:val="001C5A47"/>
    <w:rsid w:val="001C5B9C"/>
    <w:rsid w:val="001C5CB4"/>
    <w:rsid w:val="001C6432"/>
    <w:rsid w:val="001C65C5"/>
    <w:rsid w:val="001C69F8"/>
    <w:rsid w:val="001C7013"/>
    <w:rsid w:val="001C77B5"/>
    <w:rsid w:val="001C7888"/>
    <w:rsid w:val="001C7958"/>
    <w:rsid w:val="001D0071"/>
    <w:rsid w:val="001D022F"/>
    <w:rsid w:val="001D033D"/>
    <w:rsid w:val="001D0452"/>
    <w:rsid w:val="001D05F7"/>
    <w:rsid w:val="001D0968"/>
    <w:rsid w:val="001D0C35"/>
    <w:rsid w:val="001D0F84"/>
    <w:rsid w:val="001D165C"/>
    <w:rsid w:val="001D19AC"/>
    <w:rsid w:val="001D1A94"/>
    <w:rsid w:val="001D1DD3"/>
    <w:rsid w:val="001D220F"/>
    <w:rsid w:val="001D2604"/>
    <w:rsid w:val="001D29AF"/>
    <w:rsid w:val="001D2CA6"/>
    <w:rsid w:val="001D32BB"/>
    <w:rsid w:val="001D3300"/>
    <w:rsid w:val="001D3802"/>
    <w:rsid w:val="001D3E20"/>
    <w:rsid w:val="001D3E2E"/>
    <w:rsid w:val="001D400D"/>
    <w:rsid w:val="001D40D3"/>
    <w:rsid w:val="001D40ED"/>
    <w:rsid w:val="001D43D0"/>
    <w:rsid w:val="001D45D2"/>
    <w:rsid w:val="001D4607"/>
    <w:rsid w:val="001D4AB9"/>
    <w:rsid w:val="001D4B54"/>
    <w:rsid w:val="001D4F77"/>
    <w:rsid w:val="001D5491"/>
    <w:rsid w:val="001D5921"/>
    <w:rsid w:val="001D5B85"/>
    <w:rsid w:val="001D60D3"/>
    <w:rsid w:val="001D6227"/>
    <w:rsid w:val="001D66BF"/>
    <w:rsid w:val="001D7200"/>
    <w:rsid w:val="001D7969"/>
    <w:rsid w:val="001D7EB3"/>
    <w:rsid w:val="001E0821"/>
    <w:rsid w:val="001E0C9B"/>
    <w:rsid w:val="001E0FE3"/>
    <w:rsid w:val="001E10AF"/>
    <w:rsid w:val="001E12A6"/>
    <w:rsid w:val="001E141D"/>
    <w:rsid w:val="001E1C5F"/>
    <w:rsid w:val="001E1E1C"/>
    <w:rsid w:val="001E229D"/>
    <w:rsid w:val="001E25A8"/>
    <w:rsid w:val="001E2849"/>
    <w:rsid w:val="001E2B08"/>
    <w:rsid w:val="001E2B7A"/>
    <w:rsid w:val="001E2D5E"/>
    <w:rsid w:val="001E2DD5"/>
    <w:rsid w:val="001E2E15"/>
    <w:rsid w:val="001E2EC1"/>
    <w:rsid w:val="001E37E8"/>
    <w:rsid w:val="001E3906"/>
    <w:rsid w:val="001E39F1"/>
    <w:rsid w:val="001E3C52"/>
    <w:rsid w:val="001E3D80"/>
    <w:rsid w:val="001E4C55"/>
    <w:rsid w:val="001E5434"/>
    <w:rsid w:val="001E558F"/>
    <w:rsid w:val="001E5AD0"/>
    <w:rsid w:val="001E5BE8"/>
    <w:rsid w:val="001E62B3"/>
    <w:rsid w:val="001E689F"/>
    <w:rsid w:val="001E6D29"/>
    <w:rsid w:val="001E74EC"/>
    <w:rsid w:val="001E77D3"/>
    <w:rsid w:val="001F0461"/>
    <w:rsid w:val="001F047E"/>
    <w:rsid w:val="001F093A"/>
    <w:rsid w:val="001F0B16"/>
    <w:rsid w:val="001F0E5D"/>
    <w:rsid w:val="001F111C"/>
    <w:rsid w:val="001F1901"/>
    <w:rsid w:val="001F1A52"/>
    <w:rsid w:val="001F205B"/>
    <w:rsid w:val="001F23CA"/>
    <w:rsid w:val="001F2D13"/>
    <w:rsid w:val="001F2D26"/>
    <w:rsid w:val="001F2DC8"/>
    <w:rsid w:val="001F3052"/>
    <w:rsid w:val="001F3099"/>
    <w:rsid w:val="001F3615"/>
    <w:rsid w:val="001F39DA"/>
    <w:rsid w:val="001F3E90"/>
    <w:rsid w:val="001F4058"/>
    <w:rsid w:val="001F4330"/>
    <w:rsid w:val="001F4486"/>
    <w:rsid w:val="001F4CC7"/>
    <w:rsid w:val="001F4E7F"/>
    <w:rsid w:val="001F537D"/>
    <w:rsid w:val="001F56EC"/>
    <w:rsid w:val="001F5C41"/>
    <w:rsid w:val="001F5D69"/>
    <w:rsid w:val="001F5E9C"/>
    <w:rsid w:val="001F621F"/>
    <w:rsid w:val="001F6222"/>
    <w:rsid w:val="001F68A9"/>
    <w:rsid w:val="001F6AA4"/>
    <w:rsid w:val="001F6B58"/>
    <w:rsid w:val="001F6F47"/>
    <w:rsid w:val="001F6F7B"/>
    <w:rsid w:val="001F73D3"/>
    <w:rsid w:val="001F7946"/>
    <w:rsid w:val="001F7B8E"/>
    <w:rsid w:val="0020029B"/>
    <w:rsid w:val="00200C68"/>
    <w:rsid w:val="00200EF8"/>
    <w:rsid w:val="00201AA3"/>
    <w:rsid w:val="00202064"/>
    <w:rsid w:val="002027F1"/>
    <w:rsid w:val="00202E8B"/>
    <w:rsid w:val="00202EF2"/>
    <w:rsid w:val="00203198"/>
    <w:rsid w:val="00203623"/>
    <w:rsid w:val="00203766"/>
    <w:rsid w:val="002040EE"/>
    <w:rsid w:val="00204630"/>
    <w:rsid w:val="002053B6"/>
    <w:rsid w:val="00205B13"/>
    <w:rsid w:val="00205EF7"/>
    <w:rsid w:val="0020609C"/>
    <w:rsid w:val="00206849"/>
    <w:rsid w:val="00206965"/>
    <w:rsid w:val="00206C78"/>
    <w:rsid w:val="00206D61"/>
    <w:rsid w:val="00207234"/>
    <w:rsid w:val="00207374"/>
    <w:rsid w:val="00207505"/>
    <w:rsid w:val="0020756A"/>
    <w:rsid w:val="0020761C"/>
    <w:rsid w:val="002076A4"/>
    <w:rsid w:val="00207F73"/>
    <w:rsid w:val="002100B5"/>
    <w:rsid w:val="002100DB"/>
    <w:rsid w:val="002107D2"/>
    <w:rsid w:val="00210AAE"/>
    <w:rsid w:val="0021135B"/>
    <w:rsid w:val="002118C4"/>
    <w:rsid w:val="00211F72"/>
    <w:rsid w:val="0021231B"/>
    <w:rsid w:val="0021247B"/>
    <w:rsid w:val="002128E6"/>
    <w:rsid w:val="002132D2"/>
    <w:rsid w:val="0021337C"/>
    <w:rsid w:val="0021341F"/>
    <w:rsid w:val="002139A9"/>
    <w:rsid w:val="002139FC"/>
    <w:rsid w:val="00213CDC"/>
    <w:rsid w:val="00213D55"/>
    <w:rsid w:val="00213FC8"/>
    <w:rsid w:val="00213FD9"/>
    <w:rsid w:val="002142C9"/>
    <w:rsid w:val="002145E7"/>
    <w:rsid w:val="00214884"/>
    <w:rsid w:val="002149C8"/>
    <w:rsid w:val="00214D6E"/>
    <w:rsid w:val="002150AC"/>
    <w:rsid w:val="0021517D"/>
    <w:rsid w:val="00215882"/>
    <w:rsid w:val="00215E45"/>
    <w:rsid w:val="002161C2"/>
    <w:rsid w:val="002162FD"/>
    <w:rsid w:val="002163B4"/>
    <w:rsid w:val="00216703"/>
    <w:rsid w:val="00216F98"/>
    <w:rsid w:val="00217041"/>
    <w:rsid w:val="0021724E"/>
    <w:rsid w:val="00217448"/>
    <w:rsid w:val="00217A37"/>
    <w:rsid w:val="00217C6C"/>
    <w:rsid w:val="00220088"/>
    <w:rsid w:val="00220673"/>
    <w:rsid w:val="0022147E"/>
    <w:rsid w:val="0022163E"/>
    <w:rsid w:val="002217DB"/>
    <w:rsid w:val="002217F6"/>
    <w:rsid w:val="0022197C"/>
    <w:rsid w:val="00221B5B"/>
    <w:rsid w:val="00221B61"/>
    <w:rsid w:val="0022218A"/>
    <w:rsid w:val="00222417"/>
    <w:rsid w:val="0022249A"/>
    <w:rsid w:val="00222852"/>
    <w:rsid w:val="00222939"/>
    <w:rsid w:val="00223269"/>
    <w:rsid w:val="00223570"/>
    <w:rsid w:val="002238A4"/>
    <w:rsid w:val="00223E11"/>
    <w:rsid w:val="00223F83"/>
    <w:rsid w:val="00224160"/>
    <w:rsid w:val="00224525"/>
    <w:rsid w:val="00224C62"/>
    <w:rsid w:val="00224D9F"/>
    <w:rsid w:val="00224F40"/>
    <w:rsid w:val="00225527"/>
    <w:rsid w:val="002260C1"/>
    <w:rsid w:val="0022619D"/>
    <w:rsid w:val="0022664B"/>
    <w:rsid w:val="00226DA6"/>
    <w:rsid w:val="00226DCC"/>
    <w:rsid w:val="002271CF"/>
    <w:rsid w:val="00227453"/>
    <w:rsid w:val="0022747B"/>
    <w:rsid w:val="002276C9"/>
    <w:rsid w:val="0022771A"/>
    <w:rsid w:val="00230647"/>
    <w:rsid w:val="00230E7B"/>
    <w:rsid w:val="002310CE"/>
    <w:rsid w:val="002311C9"/>
    <w:rsid w:val="00231CF3"/>
    <w:rsid w:val="00231D7A"/>
    <w:rsid w:val="00231DC5"/>
    <w:rsid w:val="002322E9"/>
    <w:rsid w:val="0023245E"/>
    <w:rsid w:val="002328CD"/>
    <w:rsid w:val="002328E7"/>
    <w:rsid w:val="00232AFE"/>
    <w:rsid w:val="00232FC8"/>
    <w:rsid w:val="002333EE"/>
    <w:rsid w:val="00233561"/>
    <w:rsid w:val="00233A32"/>
    <w:rsid w:val="00234089"/>
    <w:rsid w:val="00234B28"/>
    <w:rsid w:val="00234B7A"/>
    <w:rsid w:val="002356C4"/>
    <w:rsid w:val="002357EA"/>
    <w:rsid w:val="00235968"/>
    <w:rsid w:val="002359BE"/>
    <w:rsid w:val="00235C59"/>
    <w:rsid w:val="00235EAB"/>
    <w:rsid w:val="00236047"/>
    <w:rsid w:val="00236280"/>
    <w:rsid w:val="0023632E"/>
    <w:rsid w:val="0023644E"/>
    <w:rsid w:val="00236451"/>
    <w:rsid w:val="00236539"/>
    <w:rsid w:val="002369E3"/>
    <w:rsid w:val="00236AF1"/>
    <w:rsid w:val="00236D7E"/>
    <w:rsid w:val="0023725D"/>
    <w:rsid w:val="00237751"/>
    <w:rsid w:val="002377CC"/>
    <w:rsid w:val="00237E65"/>
    <w:rsid w:val="002403CF"/>
    <w:rsid w:val="00240BBA"/>
    <w:rsid w:val="00240D0F"/>
    <w:rsid w:val="002420D1"/>
    <w:rsid w:val="002424D2"/>
    <w:rsid w:val="0024283A"/>
    <w:rsid w:val="00242A63"/>
    <w:rsid w:val="00242BF6"/>
    <w:rsid w:val="00242EB4"/>
    <w:rsid w:val="002430D7"/>
    <w:rsid w:val="002436BE"/>
    <w:rsid w:val="0024381F"/>
    <w:rsid w:val="002439B5"/>
    <w:rsid w:val="00243F55"/>
    <w:rsid w:val="0024438D"/>
    <w:rsid w:val="002449B9"/>
    <w:rsid w:val="002449EC"/>
    <w:rsid w:val="00244A93"/>
    <w:rsid w:val="0024519D"/>
    <w:rsid w:val="00245301"/>
    <w:rsid w:val="00245364"/>
    <w:rsid w:val="00245B47"/>
    <w:rsid w:val="00245D1C"/>
    <w:rsid w:val="00245F72"/>
    <w:rsid w:val="00246A62"/>
    <w:rsid w:val="00247297"/>
    <w:rsid w:val="002474C9"/>
    <w:rsid w:val="00247739"/>
    <w:rsid w:val="00247A91"/>
    <w:rsid w:val="00247B03"/>
    <w:rsid w:val="00247DFF"/>
    <w:rsid w:val="00247F35"/>
    <w:rsid w:val="002501C5"/>
    <w:rsid w:val="00250A7A"/>
    <w:rsid w:val="00250A7C"/>
    <w:rsid w:val="00251589"/>
    <w:rsid w:val="0025189D"/>
    <w:rsid w:val="0025190B"/>
    <w:rsid w:val="00251968"/>
    <w:rsid w:val="00251B58"/>
    <w:rsid w:val="00251CE4"/>
    <w:rsid w:val="00251DA1"/>
    <w:rsid w:val="0025236F"/>
    <w:rsid w:val="002523A6"/>
    <w:rsid w:val="0025289F"/>
    <w:rsid w:val="00252BAB"/>
    <w:rsid w:val="00252E1C"/>
    <w:rsid w:val="0025317B"/>
    <w:rsid w:val="00253432"/>
    <w:rsid w:val="0025357D"/>
    <w:rsid w:val="002535E9"/>
    <w:rsid w:val="00253779"/>
    <w:rsid w:val="00253967"/>
    <w:rsid w:val="00253B1F"/>
    <w:rsid w:val="00253DC4"/>
    <w:rsid w:val="00253E2B"/>
    <w:rsid w:val="0025419E"/>
    <w:rsid w:val="002543A9"/>
    <w:rsid w:val="00254408"/>
    <w:rsid w:val="00254BA9"/>
    <w:rsid w:val="002553CC"/>
    <w:rsid w:val="0025557C"/>
    <w:rsid w:val="00255644"/>
    <w:rsid w:val="00255725"/>
    <w:rsid w:val="00255EDA"/>
    <w:rsid w:val="002567D8"/>
    <w:rsid w:val="00256DCD"/>
    <w:rsid w:val="00256E14"/>
    <w:rsid w:val="00257158"/>
    <w:rsid w:val="00257224"/>
    <w:rsid w:val="0025756F"/>
    <w:rsid w:val="00257754"/>
    <w:rsid w:val="00257CD0"/>
    <w:rsid w:val="002602B6"/>
    <w:rsid w:val="002604AE"/>
    <w:rsid w:val="002606FB"/>
    <w:rsid w:val="00260998"/>
    <w:rsid w:val="00260C93"/>
    <w:rsid w:val="00260FC6"/>
    <w:rsid w:val="00261438"/>
    <w:rsid w:val="002614B5"/>
    <w:rsid w:val="00261516"/>
    <w:rsid w:val="00261CF1"/>
    <w:rsid w:val="00261E41"/>
    <w:rsid w:val="002627B1"/>
    <w:rsid w:val="0026295E"/>
    <w:rsid w:val="0026379E"/>
    <w:rsid w:val="002637A8"/>
    <w:rsid w:val="00263916"/>
    <w:rsid w:val="0026396F"/>
    <w:rsid w:val="00263C08"/>
    <w:rsid w:val="00263FE6"/>
    <w:rsid w:val="00264137"/>
    <w:rsid w:val="002644D3"/>
    <w:rsid w:val="00264F83"/>
    <w:rsid w:val="00265209"/>
    <w:rsid w:val="002654D0"/>
    <w:rsid w:val="00265577"/>
    <w:rsid w:val="00265AFB"/>
    <w:rsid w:val="00266366"/>
    <w:rsid w:val="00266745"/>
    <w:rsid w:val="00266D53"/>
    <w:rsid w:val="00267425"/>
    <w:rsid w:val="00267A34"/>
    <w:rsid w:val="00270081"/>
    <w:rsid w:val="0027031C"/>
    <w:rsid w:val="002704FE"/>
    <w:rsid w:val="00270659"/>
    <w:rsid w:val="00270F16"/>
    <w:rsid w:val="00271468"/>
    <w:rsid w:val="002721B3"/>
    <w:rsid w:val="00272512"/>
    <w:rsid w:val="0027297E"/>
    <w:rsid w:val="00272BF5"/>
    <w:rsid w:val="00272D8C"/>
    <w:rsid w:val="00272E4B"/>
    <w:rsid w:val="00273A41"/>
    <w:rsid w:val="0027456A"/>
    <w:rsid w:val="00274EA5"/>
    <w:rsid w:val="00274FF4"/>
    <w:rsid w:val="002751E5"/>
    <w:rsid w:val="002752C4"/>
    <w:rsid w:val="0027564F"/>
    <w:rsid w:val="002757A4"/>
    <w:rsid w:val="00275807"/>
    <w:rsid w:val="00275A98"/>
    <w:rsid w:val="00275CBF"/>
    <w:rsid w:val="0027614B"/>
    <w:rsid w:val="00276543"/>
    <w:rsid w:val="00276920"/>
    <w:rsid w:val="00276975"/>
    <w:rsid w:val="00276FD2"/>
    <w:rsid w:val="00277221"/>
    <w:rsid w:val="002772BE"/>
    <w:rsid w:val="002772D6"/>
    <w:rsid w:val="00277ADB"/>
    <w:rsid w:val="00277B8F"/>
    <w:rsid w:val="00277D06"/>
    <w:rsid w:val="00277F45"/>
    <w:rsid w:val="0028008B"/>
    <w:rsid w:val="0028028B"/>
    <w:rsid w:val="00280394"/>
    <w:rsid w:val="002804AF"/>
    <w:rsid w:val="002805EE"/>
    <w:rsid w:val="00280C9D"/>
    <w:rsid w:val="00280D18"/>
    <w:rsid w:val="00281031"/>
    <w:rsid w:val="0028136C"/>
    <w:rsid w:val="00281A88"/>
    <w:rsid w:val="00281CEF"/>
    <w:rsid w:val="002827D7"/>
    <w:rsid w:val="0028296E"/>
    <w:rsid w:val="0028361E"/>
    <w:rsid w:val="00283C4D"/>
    <w:rsid w:val="00284184"/>
    <w:rsid w:val="0028423B"/>
    <w:rsid w:val="002843B4"/>
    <w:rsid w:val="00284517"/>
    <w:rsid w:val="0028459B"/>
    <w:rsid w:val="00284616"/>
    <w:rsid w:val="00284B44"/>
    <w:rsid w:val="00285135"/>
    <w:rsid w:val="0028528D"/>
    <w:rsid w:val="00285B45"/>
    <w:rsid w:val="00285E0B"/>
    <w:rsid w:val="002860D8"/>
    <w:rsid w:val="00286626"/>
    <w:rsid w:val="00286E94"/>
    <w:rsid w:val="00287089"/>
    <w:rsid w:val="00287675"/>
    <w:rsid w:val="00287699"/>
    <w:rsid w:val="002879D5"/>
    <w:rsid w:val="00287B57"/>
    <w:rsid w:val="00287F02"/>
    <w:rsid w:val="0029131C"/>
    <w:rsid w:val="00291440"/>
    <w:rsid w:val="00291C00"/>
    <w:rsid w:val="002921BA"/>
    <w:rsid w:val="00292E27"/>
    <w:rsid w:val="00292EC5"/>
    <w:rsid w:val="0029326C"/>
    <w:rsid w:val="00293D29"/>
    <w:rsid w:val="00294351"/>
    <w:rsid w:val="00294382"/>
    <w:rsid w:val="002943F8"/>
    <w:rsid w:val="002945D3"/>
    <w:rsid w:val="002947C7"/>
    <w:rsid w:val="00294AF9"/>
    <w:rsid w:val="002950DE"/>
    <w:rsid w:val="002955DA"/>
    <w:rsid w:val="00295A82"/>
    <w:rsid w:val="00295B9F"/>
    <w:rsid w:val="00295E84"/>
    <w:rsid w:val="00296618"/>
    <w:rsid w:val="00296797"/>
    <w:rsid w:val="00296B9E"/>
    <w:rsid w:val="00296F10"/>
    <w:rsid w:val="002970DE"/>
    <w:rsid w:val="0029716B"/>
    <w:rsid w:val="0029728E"/>
    <w:rsid w:val="00297909"/>
    <w:rsid w:val="0029793D"/>
    <w:rsid w:val="00297A9F"/>
    <w:rsid w:val="00297DC4"/>
    <w:rsid w:val="00297E68"/>
    <w:rsid w:val="002A089D"/>
    <w:rsid w:val="002A11C7"/>
    <w:rsid w:val="002A127E"/>
    <w:rsid w:val="002A13A6"/>
    <w:rsid w:val="002A159C"/>
    <w:rsid w:val="002A172C"/>
    <w:rsid w:val="002A19CA"/>
    <w:rsid w:val="002A203C"/>
    <w:rsid w:val="002A212B"/>
    <w:rsid w:val="002A2E24"/>
    <w:rsid w:val="002A32E1"/>
    <w:rsid w:val="002A339A"/>
    <w:rsid w:val="002A3C17"/>
    <w:rsid w:val="002A3D9D"/>
    <w:rsid w:val="002A3ED0"/>
    <w:rsid w:val="002A42F8"/>
    <w:rsid w:val="002A45B4"/>
    <w:rsid w:val="002A4962"/>
    <w:rsid w:val="002A49A1"/>
    <w:rsid w:val="002A4B7B"/>
    <w:rsid w:val="002A4D5E"/>
    <w:rsid w:val="002A4DA8"/>
    <w:rsid w:val="002A50D2"/>
    <w:rsid w:val="002A52A4"/>
    <w:rsid w:val="002A5301"/>
    <w:rsid w:val="002A5B5A"/>
    <w:rsid w:val="002A65A4"/>
    <w:rsid w:val="002A66DE"/>
    <w:rsid w:val="002A685B"/>
    <w:rsid w:val="002A6EF7"/>
    <w:rsid w:val="002A70B7"/>
    <w:rsid w:val="002A74D6"/>
    <w:rsid w:val="002A75BB"/>
    <w:rsid w:val="002A78E4"/>
    <w:rsid w:val="002A7DEB"/>
    <w:rsid w:val="002A7EAA"/>
    <w:rsid w:val="002B07E6"/>
    <w:rsid w:val="002B0832"/>
    <w:rsid w:val="002B0C51"/>
    <w:rsid w:val="002B1013"/>
    <w:rsid w:val="002B12B8"/>
    <w:rsid w:val="002B16E4"/>
    <w:rsid w:val="002B1757"/>
    <w:rsid w:val="002B191A"/>
    <w:rsid w:val="002B1C96"/>
    <w:rsid w:val="002B1E76"/>
    <w:rsid w:val="002B2EA3"/>
    <w:rsid w:val="002B2F85"/>
    <w:rsid w:val="002B3474"/>
    <w:rsid w:val="002B3741"/>
    <w:rsid w:val="002B3949"/>
    <w:rsid w:val="002B3A60"/>
    <w:rsid w:val="002B3E05"/>
    <w:rsid w:val="002B4735"/>
    <w:rsid w:val="002B4F9C"/>
    <w:rsid w:val="002B51C5"/>
    <w:rsid w:val="002B56F3"/>
    <w:rsid w:val="002B58E6"/>
    <w:rsid w:val="002B5C93"/>
    <w:rsid w:val="002B5D55"/>
    <w:rsid w:val="002B5EB9"/>
    <w:rsid w:val="002B5EE2"/>
    <w:rsid w:val="002B66B3"/>
    <w:rsid w:val="002B69E7"/>
    <w:rsid w:val="002B7110"/>
    <w:rsid w:val="002B7396"/>
    <w:rsid w:val="002B75EC"/>
    <w:rsid w:val="002B7C0A"/>
    <w:rsid w:val="002B7D3B"/>
    <w:rsid w:val="002C0000"/>
    <w:rsid w:val="002C0125"/>
    <w:rsid w:val="002C0439"/>
    <w:rsid w:val="002C0B68"/>
    <w:rsid w:val="002C0F89"/>
    <w:rsid w:val="002C125F"/>
    <w:rsid w:val="002C1596"/>
    <w:rsid w:val="002C18C1"/>
    <w:rsid w:val="002C190E"/>
    <w:rsid w:val="002C1DAB"/>
    <w:rsid w:val="002C2195"/>
    <w:rsid w:val="002C25CA"/>
    <w:rsid w:val="002C3538"/>
    <w:rsid w:val="002C39A5"/>
    <w:rsid w:val="002C489C"/>
    <w:rsid w:val="002C49B3"/>
    <w:rsid w:val="002C4E08"/>
    <w:rsid w:val="002C5117"/>
    <w:rsid w:val="002C5165"/>
    <w:rsid w:val="002C51FA"/>
    <w:rsid w:val="002C55F0"/>
    <w:rsid w:val="002C56FD"/>
    <w:rsid w:val="002C6545"/>
    <w:rsid w:val="002C677C"/>
    <w:rsid w:val="002C6CA0"/>
    <w:rsid w:val="002C7A55"/>
    <w:rsid w:val="002C7A65"/>
    <w:rsid w:val="002D01DE"/>
    <w:rsid w:val="002D0511"/>
    <w:rsid w:val="002D0774"/>
    <w:rsid w:val="002D0BC7"/>
    <w:rsid w:val="002D1003"/>
    <w:rsid w:val="002D1042"/>
    <w:rsid w:val="002D1148"/>
    <w:rsid w:val="002D1733"/>
    <w:rsid w:val="002D1D60"/>
    <w:rsid w:val="002D1F55"/>
    <w:rsid w:val="002D239A"/>
    <w:rsid w:val="002D2879"/>
    <w:rsid w:val="002D2EB4"/>
    <w:rsid w:val="002D3228"/>
    <w:rsid w:val="002D342B"/>
    <w:rsid w:val="002D3559"/>
    <w:rsid w:val="002D35D0"/>
    <w:rsid w:val="002D3BA2"/>
    <w:rsid w:val="002D3C3C"/>
    <w:rsid w:val="002D3DBF"/>
    <w:rsid w:val="002D43DF"/>
    <w:rsid w:val="002D49B9"/>
    <w:rsid w:val="002D533C"/>
    <w:rsid w:val="002D57D2"/>
    <w:rsid w:val="002D5816"/>
    <w:rsid w:val="002D58BC"/>
    <w:rsid w:val="002D5A07"/>
    <w:rsid w:val="002D5C80"/>
    <w:rsid w:val="002D5E64"/>
    <w:rsid w:val="002D60F1"/>
    <w:rsid w:val="002D61E2"/>
    <w:rsid w:val="002D6282"/>
    <w:rsid w:val="002D65DD"/>
    <w:rsid w:val="002D65FE"/>
    <w:rsid w:val="002D696B"/>
    <w:rsid w:val="002D6EE1"/>
    <w:rsid w:val="002D6FF9"/>
    <w:rsid w:val="002D73EF"/>
    <w:rsid w:val="002D7703"/>
    <w:rsid w:val="002E01C1"/>
    <w:rsid w:val="002E0589"/>
    <w:rsid w:val="002E0EC6"/>
    <w:rsid w:val="002E1E6B"/>
    <w:rsid w:val="002E24C6"/>
    <w:rsid w:val="002E25B0"/>
    <w:rsid w:val="002E25C3"/>
    <w:rsid w:val="002E265D"/>
    <w:rsid w:val="002E2FE3"/>
    <w:rsid w:val="002E3309"/>
    <w:rsid w:val="002E35F8"/>
    <w:rsid w:val="002E38B9"/>
    <w:rsid w:val="002E3C8A"/>
    <w:rsid w:val="002E42F1"/>
    <w:rsid w:val="002E4371"/>
    <w:rsid w:val="002E49AC"/>
    <w:rsid w:val="002E50D2"/>
    <w:rsid w:val="002E5186"/>
    <w:rsid w:val="002E51A4"/>
    <w:rsid w:val="002E522F"/>
    <w:rsid w:val="002E5398"/>
    <w:rsid w:val="002E55C6"/>
    <w:rsid w:val="002E5993"/>
    <w:rsid w:val="002E5F75"/>
    <w:rsid w:val="002E6BD0"/>
    <w:rsid w:val="002E7009"/>
    <w:rsid w:val="002E7272"/>
    <w:rsid w:val="002E7688"/>
    <w:rsid w:val="002E776E"/>
    <w:rsid w:val="002E7ABD"/>
    <w:rsid w:val="002E7B7C"/>
    <w:rsid w:val="002E7B9A"/>
    <w:rsid w:val="002F048F"/>
    <w:rsid w:val="002F09B1"/>
    <w:rsid w:val="002F0D3A"/>
    <w:rsid w:val="002F1530"/>
    <w:rsid w:val="002F15BE"/>
    <w:rsid w:val="002F1CA7"/>
    <w:rsid w:val="002F1D71"/>
    <w:rsid w:val="002F205E"/>
    <w:rsid w:val="002F220A"/>
    <w:rsid w:val="002F279F"/>
    <w:rsid w:val="002F2B37"/>
    <w:rsid w:val="002F2E29"/>
    <w:rsid w:val="002F2F01"/>
    <w:rsid w:val="002F3285"/>
    <w:rsid w:val="002F3B73"/>
    <w:rsid w:val="002F3C8E"/>
    <w:rsid w:val="002F3FBD"/>
    <w:rsid w:val="002F4476"/>
    <w:rsid w:val="002F468E"/>
    <w:rsid w:val="002F5685"/>
    <w:rsid w:val="002F56AE"/>
    <w:rsid w:val="002F589F"/>
    <w:rsid w:val="002F59A7"/>
    <w:rsid w:val="002F59E9"/>
    <w:rsid w:val="002F5A92"/>
    <w:rsid w:val="002F5E7C"/>
    <w:rsid w:val="002F637B"/>
    <w:rsid w:val="002F63EC"/>
    <w:rsid w:val="002F66B8"/>
    <w:rsid w:val="002F6718"/>
    <w:rsid w:val="002F6739"/>
    <w:rsid w:val="002F68AA"/>
    <w:rsid w:val="002F6A27"/>
    <w:rsid w:val="002F70A6"/>
    <w:rsid w:val="002F70A7"/>
    <w:rsid w:val="002F7292"/>
    <w:rsid w:val="002F7430"/>
    <w:rsid w:val="002F7941"/>
    <w:rsid w:val="002F7AB3"/>
    <w:rsid w:val="002F7F00"/>
    <w:rsid w:val="0030053B"/>
    <w:rsid w:val="00300867"/>
    <w:rsid w:val="00300918"/>
    <w:rsid w:val="0030094A"/>
    <w:rsid w:val="00300AFB"/>
    <w:rsid w:val="00300F04"/>
    <w:rsid w:val="00300F5F"/>
    <w:rsid w:val="0030154E"/>
    <w:rsid w:val="00301B78"/>
    <w:rsid w:val="00301D82"/>
    <w:rsid w:val="00301E48"/>
    <w:rsid w:val="00302320"/>
    <w:rsid w:val="00302802"/>
    <w:rsid w:val="00302B1A"/>
    <w:rsid w:val="00302E66"/>
    <w:rsid w:val="003034F5"/>
    <w:rsid w:val="00303B62"/>
    <w:rsid w:val="00303C4B"/>
    <w:rsid w:val="003040AB"/>
    <w:rsid w:val="0030414D"/>
    <w:rsid w:val="00304693"/>
    <w:rsid w:val="0030556A"/>
    <w:rsid w:val="00305AE0"/>
    <w:rsid w:val="00305CB4"/>
    <w:rsid w:val="00305D16"/>
    <w:rsid w:val="00305F1A"/>
    <w:rsid w:val="00305F75"/>
    <w:rsid w:val="003062BB"/>
    <w:rsid w:val="00306417"/>
    <w:rsid w:val="00306496"/>
    <w:rsid w:val="003065BB"/>
    <w:rsid w:val="0030692D"/>
    <w:rsid w:val="00306A1E"/>
    <w:rsid w:val="00306B6F"/>
    <w:rsid w:val="00306BD4"/>
    <w:rsid w:val="0030703A"/>
    <w:rsid w:val="00307112"/>
    <w:rsid w:val="0030729D"/>
    <w:rsid w:val="003074DC"/>
    <w:rsid w:val="00307745"/>
    <w:rsid w:val="00307BC6"/>
    <w:rsid w:val="00307CAD"/>
    <w:rsid w:val="0031001B"/>
    <w:rsid w:val="00310B37"/>
    <w:rsid w:val="00310CB0"/>
    <w:rsid w:val="0031165C"/>
    <w:rsid w:val="00311820"/>
    <w:rsid w:val="00311888"/>
    <w:rsid w:val="00311A26"/>
    <w:rsid w:val="00311C3D"/>
    <w:rsid w:val="003125FC"/>
    <w:rsid w:val="00312FD4"/>
    <w:rsid w:val="00313819"/>
    <w:rsid w:val="00313982"/>
    <w:rsid w:val="00313EC1"/>
    <w:rsid w:val="003140D3"/>
    <w:rsid w:val="00314315"/>
    <w:rsid w:val="0031457F"/>
    <w:rsid w:val="003155B1"/>
    <w:rsid w:val="003156A2"/>
    <w:rsid w:val="00315923"/>
    <w:rsid w:val="003159D0"/>
    <w:rsid w:val="00316B09"/>
    <w:rsid w:val="00316B72"/>
    <w:rsid w:val="00317230"/>
    <w:rsid w:val="00317EDE"/>
    <w:rsid w:val="0032075B"/>
    <w:rsid w:val="0032096F"/>
    <w:rsid w:val="00320BEE"/>
    <w:rsid w:val="00320F7D"/>
    <w:rsid w:val="00321228"/>
    <w:rsid w:val="0032128E"/>
    <w:rsid w:val="00321913"/>
    <w:rsid w:val="003219AF"/>
    <w:rsid w:val="003221B8"/>
    <w:rsid w:val="003223B1"/>
    <w:rsid w:val="00322674"/>
    <w:rsid w:val="0032276C"/>
    <w:rsid w:val="003229BA"/>
    <w:rsid w:val="00322C6B"/>
    <w:rsid w:val="00322EFE"/>
    <w:rsid w:val="00322F9D"/>
    <w:rsid w:val="00323202"/>
    <w:rsid w:val="00325104"/>
    <w:rsid w:val="00325327"/>
    <w:rsid w:val="00325347"/>
    <w:rsid w:val="00325A41"/>
    <w:rsid w:val="00325D01"/>
    <w:rsid w:val="00326287"/>
    <w:rsid w:val="00326415"/>
    <w:rsid w:val="003264C4"/>
    <w:rsid w:val="00326A91"/>
    <w:rsid w:val="00326F24"/>
    <w:rsid w:val="003270DA"/>
    <w:rsid w:val="003273A4"/>
    <w:rsid w:val="0032754F"/>
    <w:rsid w:val="0032764A"/>
    <w:rsid w:val="00327809"/>
    <w:rsid w:val="00327823"/>
    <w:rsid w:val="00327A6D"/>
    <w:rsid w:val="0033045D"/>
    <w:rsid w:val="00330666"/>
    <w:rsid w:val="00330846"/>
    <w:rsid w:val="00330CDF"/>
    <w:rsid w:val="00330F18"/>
    <w:rsid w:val="00330FE1"/>
    <w:rsid w:val="003315A2"/>
    <w:rsid w:val="00331F01"/>
    <w:rsid w:val="003321AC"/>
    <w:rsid w:val="0033224C"/>
    <w:rsid w:val="003322DC"/>
    <w:rsid w:val="003328B3"/>
    <w:rsid w:val="00332B03"/>
    <w:rsid w:val="00332C84"/>
    <w:rsid w:val="0033307B"/>
    <w:rsid w:val="0033307C"/>
    <w:rsid w:val="003337C7"/>
    <w:rsid w:val="00333A49"/>
    <w:rsid w:val="0033402D"/>
    <w:rsid w:val="003343BC"/>
    <w:rsid w:val="003343D7"/>
    <w:rsid w:val="00334898"/>
    <w:rsid w:val="003349C5"/>
    <w:rsid w:val="00334CC5"/>
    <w:rsid w:val="00334F84"/>
    <w:rsid w:val="00335094"/>
    <w:rsid w:val="003351CA"/>
    <w:rsid w:val="00335571"/>
    <w:rsid w:val="003355BB"/>
    <w:rsid w:val="00335672"/>
    <w:rsid w:val="00335919"/>
    <w:rsid w:val="00335FB5"/>
    <w:rsid w:val="003365A8"/>
    <w:rsid w:val="00336956"/>
    <w:rsid w:val="00336D39"/>
    <w:rsid w:val="00336FB9"/>
    <w:rsid w:val="00337161"/>
    <w:rsid w:val="003371DB"/>
    <w:rsid w:val="003373B5"/>
    <w:rsid w:val="0033745E"/>
    <w:rsid w:val="00337566"/>
    <w:rsid w:val="003375E3"/>
    <w:rsid w:val="003376D8"/>
    <w:rsid w:val="00337B7E"/>
    <w:rsid w:val="00340226"/>
    <w:rsid w:val="0034046B"/>
    <w:rsid w:val="0034048B"/>
    <w:rsid w:val="003404E6"/>
    <w:rsid w:val="00340564"/>
    <w:rsid w:val="003406E7"/>
    <w:rsid w:val="00340868"/>
    <w:rsid w:val="00340952"/>
    <w:rsid w:val="003409F0"/>
    <w:rsid w:val="00340A33"/>
    <w:rsid w:val="003411ED"/>
    <w:rsid w:val="00341481"/>
    <w:rsid w:val="00341622"/>
    <w:rsid w:val="00341BA4"/>
    <w:rsid w:val="00342766"/>
    <w:rsid w:val="003429E1"/>
    <w:rsid w:val="00342D4A"/>
    <w:rsid w:val="00342F9B"/>
    <w:rsid w:val="003432CA"/>
    <w:rsid w:val="00343C4F"/>
    <w:rsid w:val="00343E6D"/>
    <w:rsid w:val="003443C4"/>
    <w:rsid w:val="00344674"/>
    <w:rsid w:val="00344A26"/>
    <w:rsid w:val="00344AC8"/>
    <w:rsid w:val="00344BE1"/>
    <w:rsid w:val="00345683"/>
    <w:rsid w:val="0034577D"/>
    <w:rsid w:val="0034597B"/>
    <w:rsid w:val="00345D34"/>
    <w:rsid w:val="00345D9B"/>
    <w:rsid w:val="0034665D"/>
    <w:rsid w:val="00346D60"/>
    <w:rsid w:val="0034730D"/>
    <w:rsid w:val="003475C2"/>
    <w:rsid w:val="00347756"/>
    <w:rsid w:val="00347C07"/>
    <w:rsid w:val="003500B0"/>
    <w:rsid w:val="003501AA"/>
    <w:rsid w:val="003505BB"/>
    <w:rsid w:val="00350697"/>
    <w:rsid w:val="003507C9"/>
    <w:rsid w:val="00350B49"/>
    <w:rsid w:val="00350D6F"/>
    <w:rsid w:val="00350F6F"/>
    <w:rsid w:val="00350FB5"/>
    <w:rsid w:val="00351BBD"/>
    <w:rsid w:val="00351F8D"/>
    <w:rsid w:val="00352169"/>
    <w:rsid w:val="003525B6"/>
    <w:rsid w:val="00352894"/>
    <w:rsid w:val="00352DDE"/>
    <w:rsid w:val="003532EE"/>
    <w:rsid w:val="0035475C"/>
    <w:rsid w:val="0035568D"/>
    <w:rsid w:val="003557DA"/>
    <w:rsid w:val="00355ABD"/>
    <w:rsid w:val="00355B5A"/>
    <w:rsid w:val="00355C6B"/>
    <w:rsid w:val="003562CB"/>
    <w:rsid w:val="00356687"/>
    <w:rsid w:val="0035679A"/>
    <w:rsid w:val="0035680A"/>
    <w:rsid w:val="003568EF"/>
    <w:rsid w:val="00356D33"/>
    <w:rsid w:val="0035703F"/>
    <w:rsid w:val="0035726A"/>
    <w:rsid w:val="00357558"/>
    <w:rsid w:val="0035779B"/>
    <w:rsid w:val="00357C29"/>
    <w:rsid w:val="00357F12"/>
    <w:rsid w:val="00357F78"/>
    <w:rsid w:val="0036007B"/>
    <w:rsid w:val="003600D6"/>
    <w:rsid w:val="00360129"/>
    <w:rsid w:val="00360146"/>
    <w:rsid w:val="00360403"/>
    <w:rsid w:val="003612FE"/>
    <w:rsid w:val="00361447"/>
    <w:rsid w:val="0036242C"/>
    <w:rsid w:val="00362670"/>
    <w:rsid w:val="00362764"/>
    <w:rsid w:val="00362772"/>
    <w:rsid w:val="00362D61"/>
    <w:rsid w:val="00362DE3"/>
    <w:rsid w:val="003632E2"/>
    <w:rsid w:val="00363BD2"/>
    <w:rsid w:val="00363CE4"/>
    <w:rsid w:val="00363E53"/>
    <w:rsid w:val="00363E7D"/>
    <w:rsid w:val="003646DB"/>
    <w:rsid w:val="00364A18"/>
    <w:rsid w:val="00364BC1"/>
    <w:rsid w:val="00364ECE"/>
    <w:rsid w:val="00364FB4"/>
    <w:rsid w:val="0036528D"/>
    <w:rsid w:val="00365513"/>
    <w:rsid w:val="00365825"/>
    <w:rsid w:val="00365AF3"/>
    <w:rsid w:val="00366239"/>
    <w:rsid w:val="00366491"/>
    <w:rsid w:val="003665F3"/>
    <w:rsid w:val="003666A3"/>
    <w:rsid w:val="003666B5"/>
    <w:rsid w:val="00366895"/>
    <w:rsid w:val="00366A49"/>
    <w:rsid w:val="00367117"/>
    <w:rsid w:val="00367572"/>
    <w:rsid w:val="003676DB"/>
    <w:rsid w:val="00367B3C"/>
    <w:rsid w:val="00370122"/>
    <w:rsid w:val="003708CB"/>
    <w:rsid w:val="003708F8"/>
    <w:rsid w:val="00370926"/>
    <w:rsid w:val="00370985"/>
    <w:rsid w:val="00370CD0"/>
    <w:rsid w:val="0037138E"/>
    <w:rsid w:val="003713A1"/>
    <w:rsid w:val="00371569"/>
    <w:rsid w:val="0037194A"/>
    <w:rsid w:val="00371F29"/>
    <w:rsid w:val="00372392"/>
    <w:rsid w:val="003725F1"/>
    <w:rsid w:val="0037281C"/>
    <w:rsid w:val="00372A1D"/>
    <w:rsid w:val="00372DF0"/>
    <w:rsid w:val="00372E5D"/>
    <w:rsid w:val="003732BC"/>
    <w:rsid w:val="003739F0"/>
    <w:rsid w:val="003743DD"/>
    <w:rsid w:val="003748DC"/>
    <w:rsid w:val="00374DB5"/>
    <w:rsid w:val="00374FB6"/>
    <w:rsid w:val="00374FC4"/>
    <w:rsid w:val="0037508D"/>
    <w:rsid w:val="0037513A"/>
    <w:rsid w:val="0037578C"/>
    <w:rsid w:val="0037578D"/>
    <w:rsid w:val="003757EA"/>
    <w:rsid w:val="00375C17"/>
    <w:rsid w:val="00376105"/>
    <w:rsid w:val="0037645B"/>
    <w:rsid w:val="00376488"/>
    <w:rsid w:val="00376555"/>
    <w:rsid w:val="00376794"/>
    <w:rsid w:val="0037680F"/>
    <w:rsid w:val="0037682B"/>
    <w:rsid w:val="00376969"/>
    <w:rsid w:val="003769B5"/>
    <w:rsid w:val="00376A6B"/>
    <w:rsid w:val="00376A8F"/>
    <w:rsid w:val="00380250"/>
    <w:rsid w:val="00380B8C"/>
    <w:rsid w:val="00380FF1"/>
    <w:rsid w:val="0038132D"/>
    <w:rsid w:val="00381803"/>
    <w:rsid w:val="00381E7D"/>
    <w:rsid w:val="00382036"/>
    <w:rsid w:val="00382F01"/>
    <w:rsid w:val="00383162"/>
    <w:rsid w:val="0038334F"/>
    <w:rsid w:val="003834A0"/>
    <w:rsid w:val="00383705"/>
    <w:rsid w:val="0038380A"/>
    <w:rsid w:val="00383A47"/>
    <w:rsid w:val="00383FA2"/>
    <w:rsid w:val="003847B9"/>
    <w:rsid w:val="00384858"/>
    <w:rsid w:val="00384F0A"/>
    <w:rsid w:val="00385500"/>
    <w:rsid w:val="00385575"/>
    <w:rsid w:val="00385729"/>
    <w:rsid w:val="0038576C"/>
    <w:rsid w:val="00385C05"/>
    <w:rsid w:val="00385F9F"/>
    <w:rsid w:val="00386451"/>
    <w:rsid w:val="0038664F"/>
    <w:rsid w:val="003869FE"/>
    <w:rsid w:val="00386ACA"/>
    <w:rsid w:val="00386EAE"/>
    <w:rsid w:val="00386F43"/>
    <w:rsid w:val="00387622"/>
    <w:rsid w:val="003878AC"/>
    <w:rsid w:val="003879EE"/>
    <w:rsid w:val="00387B19"/>
    <w:rsid w:val="00387C08"/>
    <w:rsid w:val="00387C19"/>
    <w:rsid w:val="00387E78"/>
    <w:rsid w:val="003904A0"/>
    <w:rsid w:val="00390AE3"/>
    <w:rsid w:val="00390B8C"/>
    <w:rsid w:val="00390C07"/>
    <w:rsid w:val="00390D24"/>
    <w:rsid w:val="00390FBE"/>
    <w:rsid w:val="00391388"/>
    <w:rsid w:val="0039138A"/>
    <w:rsid w:val="00391585"/>
    <w:rsid w:val="003915F2"/>
    <w:rsid w:val="0039180A"/>
    <w:rsid w:val="003922EA"/>
    <w:rsid w:val="003927D0"/>
    <w:rsid w:val="00392CA0"/>
    <w:rsid w:val="00393A47"/>
    <w:rsid w:val="00393D3B"/>
    <w:rsid w:val="00393E38"/>
    <w:rsid w:val="00393E8B"/>
    <w:rsid w:val="003940A0"/>
    <w:rsid w:val="003942B5"/>
    <w:rsid w:val="0039444D"/>
    <w:rsid w:val="00394546"/>
    <w:rsid w:val="003945A4"/>
    <w:rsid w:val="00394D87"/>
    <w:rsid w:val="00394E28"/>
    <w:rsid w:val="00394EE9"/>
    <w:rsid w:val="00395050"/>
    <w:rsid w:val="00395422"/>
    <w:rsid w:val="00395AA7"/>
    <w:rsid w:val="003960F9"/>
    <w:rsid w:val="0039642B"/>
    <w:rsid w:val="00396529"/>
    <w:rsid w:val="00396AB7"/>
    <w:rsid w:val="00396DB5"/>
    <w:rsid w:val="00396E0F"/>
    <w:rsid w:val="00396E55"/>
    <w:rsid w:val="00396E6D"/>
    <w:rsid w:val="003970E5"/>
    <w:rsid w:val="00397641"/>
    <w:rsid w:val="003976B2"/>
    <w:rsid w:val="00397A14"/>
    <w:rsid w:val="00397B1F"/>
    <w:rsid w:val="00397E31"/>
    <w:rsid w:val="00397FF9"/>
    <w:rsid w:val="003A00FE"/>
    <w:rsid w:val="003A0638"/>
    <w:rsid w:val="003A090E"/>
    <w:rsid w:val="003A0C9B"/>
    <w:rsid w:val="003A0DFC"/>
    <w:rsid w:val="003A0E6C"/>
    <w:rsid w:val="003A10F7"/>
    <w:rsid w:val="003A147B"/>
    <w:rsid w:val="003A167B"/>
    <w:rsid w:val="003A1684"/>
    <w:rsid w:val="003A1828"/>
    <w:rsid w:val="003A182C"/>
    <w:rsid w:val="003A20A0"/>
    <w:rsid w:val="003A2976"/>
    <w:rsid w:val="003A29F7"/>
    <w:rsid w:val="003A2B52"/>
    <w:rsid w:val="003A2EB3"/>
    <w:rsid w:val="003A2FF6"/>
    <w:rsid w:val="003A32A8"/>
    <w:rsid w:val="003A3418"/>
    <w:rsid w:val="003A3B8F"/>
    <w:rsid w:val="003A3ED4"/>
    <w:rsid w:val="003A4155"/>
    <w:rsid w:val="003A42AD"/>
    <w:rsid w:val="003A48B2"/>
    <w:rsid w:val="003A4C50"/>
    <w:rsid w:val="003A4DD4"/>
    <w:rsid w:val="003A4F8C"/>
    <w:rsid w:val="003A4FE8"/>
    <w:rsid w:val="003A5243"/>
    <w:rsid w:val="003A54DC"/>
    <w:rsid w:val="003A5E58"/>
    <w:rsid w:val="003A6351"/>
    <w:rsid w:val="003A65A9"/>
    <w:rsid w:val="003A65EE"/>
    <w:rsid w:val="003A66E1"/>
    <w:rsid w:val="003A6757"/>
    <w:rsid w:val="003A6E59"/>
    <w:rsid w:val="003A6EE1"/>
    <w:rsid w:val="003A6EFD"/>
    <w:rsid w:val="003A723E"/>
    <w:rsid w:val="003A7299"/>
    <w:rsid w:val="003A730C"/>
    <w:rsid w:val="003A7623"/>
    <w:rsid w:val="003A7CDF"/>
    <w:rsid w:val="003B0E3C"/>
    <w:rsid w:val="003B1025"/>
    <w:rsid w:val="003B1238"/>
    <w:rsid w:val="003B14C2"/>
    <w:rsid w:val="003B19E2"/>
    <w:rsid w:val="003B1A0B"/>
    <w:rsid w:val="003B1B66"/>
    <w:rsid w:val="003B1F0C"/>
    <w:rsid w:val="003B215B"/>
    <w:rsid w:val="003B22B9"/>
    <w:rsid w:val="003B2346"/>
    <w:rsid w:val="003B2446"/>
    <w:rsid w:val="003B294E"/>
    <w:rsid w:val="003B2AE1"/>
    <w:rsid w:val="003B2FAD"/>
    <w:rsid w:val="003B2FF1"/>
    <w:rsid w:val="003B3B02"/>
    <w:rsid w:val="003B3B43"/>
    <w:rsid w:val="003B48C2"/>
    <w:rsid w:val="003B4A17"/>
    <w:rsid w:val="003B5505"/>
    <w:rsid w:val="003B56AA"/>
    <w:rsid w:val="003B576A"/>
    <w:rsid w:val="003B5804"/>
    <w:rsid w:val="003B5C5B"/>
    <w:rsid w:val="003B5D4D"/>
    <w:rsid w:val="003B6512"/>
    <w:rsid w:val="003B6C4B"/>
    <w:rsid w:val="003B6CF0"/>
    <w:rsid w:val="003B6E11"/>
    <w:rsid w:val="003B72ED"/>
    <w:rsid w:val="003B75E4"/>
    <w:rsid w:val="003B7657"/>
    <w:rsid w:val="003B76EA"/>
    <w:rsid w:val="003C013F"/>
    <w:rsid w:val="003C0171"/>
    <w:rsid w:val="003C047A"/>
    <w:rsid w:val="003C06A4"/>
    <w:rsid w:val="003C1048"/>
    <w:rsid w:val="003C1D16"/>
    <w:rsid w:val="003C1FD6"/>
    <w:rsid w:val="003C20C6"/>
    <w:rsid w:val="003C310B"/>
    <w:rsid w:val="003C4049"/>
    <w:rsid w:val="003C4647"/>
    <w:rsid w:val="003C4658"/>
    <w:rsid w:val="003C4AB0"/>
    <w:rsid w:val="003C5183"/>
    <w:rsid w:val="003C550B"/>
    <w:rsid w:val="003C55A1"/>
    <w:rsid w:val="003C5603"/>
    <w:rsid w:val="003C63DD"/>
    <w:rsid w:val="003C6580"/>
    <w:rsid w:val="003C6D9D"/>
    <w:rsid w:val="003C700F"/>
    <w:rsid w:val="003C7762"/>
    <w:rsid w:val="003C77DC"/>
    <w:rsid w:val="003C7850"/>
    <w:rsid w:val="003C7B33"/>
    <w:rsid w:val="003C7D3C"/>
    <w:rsid w:val="003D0022"/>
    <w:rsid w:val="003D016A"/>
    <w:rsid w:val="003D0908"/>
    <w:rsid w:val="003D09B3"/>
    <w:rsid w:val="003D0D24"/>
    <w:rsid w:val="003D0D63"/>
    <w:rsid w:val="003D13B4"/>
    <w:rsid w:val="003D153B"/>
    <w:rsid w:val="003D1DAF"/>
    <w:rsid w:val="003D1F45"/>
    <w:rsid w:val="003D2019"/>
    <w:rsid w:val="003D240F"/>
    <w:rsid w:val="003D2A6E"/>
    <w:rsid w:val="003D2CCD"/>
    <w:rsid w:val="003D2DA7"/>
    <w:rsid w:val="003D2F60"/>
    <w:rsid w:val="003D3252"/>
    <w:rsid w:val="003D3698"/>
    <w:rsid w:val="003D4D74"/>
    <w:rsid w:val="003D4DF2"/>
    <w:rsid w:val="003D51AA"/>
    <w:rsid w:val="003D5253"/>
    <w:rsid w:val="003D5394"/>
    <w:rsid w:val="003D5AE5"/>
    <w:rsid w:val="003D602B"/>
    <w:rsid w:val="003D6A78"/>
    <w:rsid w:val="003D70B2"/>
    <w:rsid w:val="003D7984"/>
    <w:rsid w:val="003D7D8D"/>
    <w:rsid w:val="003D7D9E"/>
    <w:rsid w:val="003E04E1"/>
    <w:rsid w:val="003E05B1"/>
    <w:rsid w:val="003E08A5"/>
    <w:rsid w:val="003E0CBE"/>
    <w:rsid w:val="003E0DAC"/>
    <w:rsid w:val="003E0E7A"/>
    <w:rsid w:val="003E0E99"/>
    <w:rsid w:val="003E0F11"/>
    <w:rsid w:val="003E1D5F"/>
    <w:rsid w:val="003E24A6"/>
    <w:rsid w:val="003E2915"/>
    <w:rsid w:val="003E30F4"/>
    <w:rsid w:val="003E34C0"/>
    <w:rsid w:val="003E3509"/>
    <w:rsid w:val="003E3955"/>
    <w:rsid w:val="003E3D7B"/>
    <w:rsid w:val="003E4093"/>
    <w:rsid w:val="003E4C9B"/>
    <w:rsid w:val="003E5084"/>
    <w:rsid w:val="003E52BE"/>
    <w:rsid w:val="003E5640"/>
    <w:rsid w:val="003E59C8"/>
    <w:rsid w:val="003E615F"/>
    <w:rsid w:val="003E6996"/>
    <w:rsid w:val="003E6AD7"/>
    <w:rsid w:val="003E6C0C"/>
    <w:rsid w:val="003E7908"/>
    <w:rsid w:val="003E792F"/>
    <w:rsid w:val="003E7AF9"/>
    <w:rsid w:val="003E7BF4"/>
    <w:rsid w:val="003E7E99"/>
    <w:rsid w:val="003F00AD"/>
    <w:rsid w:val="003F048E"/>
    <w:rsid w:val="003F0D9E"/>
    <w:rsid w:val="003F0F5D"/>
    <w:rsid w:val="003F11A9"/>
    <w:rsid w:val="003F16C9"/>
    <w:rsid w:val="003F1B60"/>
    <w:rsid w:val="003F1BB1"/>
    <w:rsid w:val="003F1FEE"/>
    <w:rsid w:val="003F228D"/>
    <w:rsid w:val="003F265E"/>
    <w:rsid w:val="003F3530"/>
    <w:rsid w:val="003F3640"/>
    <w:rsid w:val="003F3854"/>
    <w:rsid w:val="003F3903"/>
    <w:rsid w:val="003F39BA"/>
    <w:rsid w:val="003F47F1"/>
    <w:rsid w:val="003F48A0"/>
    <w:rsid w:val="003F5717"/>
    <w:rsid w:val="003F58AA"/>
    <w:rsid w:val="003F5994"/>
    <w:rsid w:val="003F5AD4"/>
    <w:rsid w:val="003F5D6E"/>
    <w:rsid w:val="003F5EDE"/>
    <w:rsid w:val="003F5FAD"/>
    <w:rsid w:val="003F6225"/>
    <w:rsid w:val="003F632A"/>
    <w:rsid w:val="003F6352"/>
    <w:rsid w:val="003F64EC"/>
    <w:rsid w:val="003F6B15"/>
    <w:rsid w:val="003F6EFB"/>
    <w:rsid w:val="003F6FE1"/>
    <w:rsid w:val="003F7024"/>
    <w:rsid w:val="003F737F"/>
    <w:rsid w:val="003F77D7"/>
    <w:rsid w:val="003F7B27"/>
    <w:rsid w:val="003F7BD7"/>
    <w:rsid w:val="00400198"/>
    <w:rsid w:val="0040048F"/>
    <w:rsid w:val="00400D5D"/>
    <w:rsid w:val="00400D6A"/>
    <w:rsid w:val="004010E9"/>
    <w:rsid w:val="00401381"/>
    <w:rsid w:val="00401651"/>
    <w:rsid w:val="00401783"/>
    <w:rsid w:val="004017C3"/>
    <w:rsid w:val="00401B7A"/>
    <w:rsid w:val="00401BA2"/>
    <w:rsid w:val="004021A4"/>
    <w:rsid w:val="00402247"/>
    <w:rsid w:val="004026DC"/>
    <w:rsid w:val="004027F1"/>
    <w:rsid w:val="00402AD5"/>
    <w:rsid w:val="004033D4"/>
    <w:rsid w:val="0040355C"/>
    <w:rsid w:val="004035E3"/>
    <w:rsid w:val="0040391D"/>
    <w:rsid w:val="00403998"/>
    <w:rsid w:val="004039A5"/>
    <w:rsid w:val="00404093"/>
    <w:rsid w:val="00404670"/>
    <w:rsid w:val="00404915"/>
    <w:rsid w:val="00404C81"/>
    <w:rsid w:val="00404D9F"/>
    <w:rsid w:val="004053F8"/>
    <w:rsid w:val="004055DE"/>
    <w:rsid w:val="00406215"/>
    <w:rsid w:val="00406298"/>
    <w:rsid w:val="00407026"/>
    <w:rsid w:val="004076E0"/>
    <w:rsid w:val="0040787A"/>
    <w:rsid w:val="0040793D"/>
    <w:rsid w:val="004079BF"/>
    <w:rsid w:val="00407A3D"/>
    <w:rsid w:val="00407B2B"/>
    <w:rsid w:val="00407F72"/>
    <w:rsid w:val="00410065"/>
    <w:rsid w:val="004108C4"/>
    <w:rsid w:val="00410E0D"/>
    <w:rsid w:val="00411390"/>
    <w:rsid w:val="004116DD"/>
    <w:rsid w:val="004119B2"/>
    <w:rsid w:val="00411B47"/>
    <w:rsid w:val="00411CBF"/>
    <w:rsid w:val="0041202B"/>
    <w:rsid w:val="0041207C"/>
    <w:rsid w:val="0041218F"/>
    <w:rsid w:val="0041238B"/>
    <w:rsid w:val="00412504"/>
    <w:rsid w:val="00412699"/>
    <w:rsid w:val="00412771"/>
    <w:rsid w:val="00412892"/>
    <w:rsid w:val="00412966"/>
    <w:rsid w:val="00412EA3"/>
    <w:rsid w:val="00412F06"/>
    <w:rsid w:val="00412F33"/>
    <w:rsid w:val="00412F9C"/>
    <w:rsid w:val="004132F0"/>
    <w:rsid w:val="00413802"/>
    <w:rsid w:val="0041399C"/>
    <w:rsid w:val="00413AA0"/>
    <w:rsid w:val="00413C1D"/>
    <w:rsid w:val="00413EA5"/>
    <w:rsid w:val="00414876"/>
    <w:rsid w:val="00414B35"/>
    <w:rsid w:val="0041525A"/>
    <w:rsid w:val="004154D0"/>
    <w:rsid w:val="004156A7"/>
    <w:rsid w:val="004159DC"/>
    <w:rsid w:val="00415EE2"/>
    <w:rsid w:val="00415F37"/>
    <w:rsid w:val="00416CAC"/>
    <w:rsid w:val="00416CC2"/>
    <w:rsid w:val="0041701B"/>
    <w:rsid w:val="00417586"/>
    <w:rsid w:val="004175D7"/>
    <w:rsid w:val="0041785F"/>
    <w:rsid w:val="0041798F"/>
    <w:rsid w:val="00417B53"/>
    <w:rsid w:val="00417EC5"/>
    <w:rsid w:val="00420569"/>
    <w:rsid w:val="00420F9C"/>
    <w:rsid w:val="00421937"/>
    <w:rsid w:val="00421975"/>
    <w:rsid w:val="00421A07"/>
    <w:rsid w:val="00421B23"/>
    <w:rsid w:val="00421B57"/>
    <w:rsid w:val="00421BF8"/>
    <w:rsid w:val="00422E15"/>
    <w:rsid w:val="00422EFB"/>
    <w:rsid w:val="00423011"/>
    <w:rsid w:val="0042314F"/>
    <w:rsid w:val="004239F0"/>
    <w:rsid w:val="00423A8D"/>
    <w:rsid w:val="00423CBA"/>
    <w:rsid w:val="00423CC9"/>
    <w:rsid w:val="00423D4D"/>
    <w:rsid w:val="004242FB"/>
    <w:rsid w:val="00424597"/>
    <w:rsid w:val="004245FB"/>
    <w:rsid w:val="00424A30"/>
    <w:rsid w:val="00424CA5"/>
    <w:rsid w:val="00424D13"/>
    <w:rsid w:val="0042554C"/>
    <w:rsid w:val="0042561A"/>
    <w:rsid w:val="00425F05"/>
    <w:rsid w:val="00425F73"/>
    <w:rsid w:val="004264C0"/>
    <w:rsid w:val="00426568"/>
    <w:rsid w:val="00426B20"/>
    <w:rsid w:val="00426B46"/>
    <w:rsid w:val="004277D9"/>
    <w:rsid w:val="004307A8"/>
    <w:rsid w:val="004308AE"/>
    <w:rsid w:val="00430D78"/>
    <w:rsid w:val="004315C9"/>
    <w:rsid w:val="004316F2"/>
    <w:rsid w:val="004318E7"/>
    <w:rsid w:val="00431D4B"/>
    <w:rsid w:val="0043286C"/>
    <w:rsid w:val="00433832"/>
    <w:rsid w:val="004341A4"/>
    <w:rsid w:val="00434FF2"/>
    <w:rsid w:val="0043566D"/>
    <w:rsid w:val="00435C0B"/>
    <w:rsid w:val="00435C49"/>
    <w:rsid w:val="00435E88"/>
    <w:rsid w:val="004360B2"/>
    <w:rsid w:val="004363EB"/>
    <w:rsid w:val="004364FF"/>
    <w:rsid w:val="00436509"/>
    <w:rsid w:val="004365DC"/>
    <w:rsid w:val="00436D3B"/>
    <w:rsid w:val="004372C4"/>
    <w:rsid w:val="004374A4"/>
    <w:rsid w:val="00437651"/>
    <w:rsid w:val="00437714"/>
    <w:rsid w:val="00437B21"/>
    <w:rsid w:val="00437DDF"/>
    <w:rsid w:val="00437F80"/>
    <w:rsid w:val="00440099"/>
    <w:rsid w:val="00440502"/>
    <w:rsid w:val="00440B2B"/>
    <w:rsid w:val="00440D1D"/>
    <w:rsid w:val="00440E64"/>
    <w:rsid w:val="004410D8"/>
    <w:rsid w:val="004411E7"/>
    <w:rsid w:val="00441416"/>
    <w:rsid w:val="004416B2"/>
    <w:rsid w:val="00441A39"/>
    <w:rsid w:val="00441A78"/>
    <w:rsid w:val="00441B8E"/>
    <w:rsid w:val="00441D4F"/>
    <w:rsid w:val="00441DEF"/>
    <w:rsid w:val="0044261A"/>
    <w:rsid w:val="0044286B"/>
    <w:rsid w:val="00442FA3"/>
    <w:rsid w:val="00443046"/>
    <w:rsid w:val="00443100"/>
    <w:rsid w:val="004439A7"/>
    <w:rsid w:val="00443A26"/>
    <w:rsid w:val="00443D90"/>
    <w:rsid w:val="00444187"/>
    <w:rsid w:val="00444967"/>
    <w:rsid w:val="00444A0E"/>
    <w:rsid w:val="00444AE3"/>
    <w:rsid w:val="00444F3D"/>
    <w:rsid w:val="00446142"/>
    <w:rsid w:val="0044621B"/>
    <w:rsid w:val="0044621E"/>
    <w:rsid w:val="00446287"/>
    <w:rsid w:val="004465B0"/>
    <w:rsid w:val="0044698B"/>
    <w:rsid w:val="00446C7B"/>
    <w:rsid w:val="00446EE3"/>
    <w:rsid w:val="00446F6A"/>
    <w:rsid w:val="00446FD2"/>
    <w:rsid w:val="004471E2"/>
    <w:rsid w:val="004473F7"/>
    <w:rsid w:val="00447A7A"/>
    <w:rsid w:val="00447CA0"/>
    <w:rsid w:val="004501A2"/>
    <w:rsid w:val="004501BC"/>
    <w:rsid w:val="0045067C"/>
    <w:rsid w:val="0045075D"/>
    <w:rsid w:val="00450BDA"/>
    <w:rsid w:val="00450F1F"/>
    <w:rsid w:val="00450F6F"/>
    <w:rsid w:val="00451614"/>
    <w:rsid w:val="00451BB8"/>
    <w:rsid w:val="00451EA5"/>
    <w:rsid w:val="004522EC"/>
    <w:rsid w:val="00452E8F"/>
    <w:rsid w:val="00452F80"/>
    <w:rsid w:val="004533BE"/>
    <w:rsid w:val="0045381E"/>
    <w:rsid w:val="00453938"/>
    <w:rsid w:val="00453AE9"/>
    <w:rsid w:val="00453E22"/>
    <w:rsid w:val="00453F89"/>
    <w:rsid w:val="004542E7"/>
    <w:rsid w:val="00454A06"/>
    <w:rsid w:val="00454ECA"/>
    <w:rsid w:val="00455008"/>
    <w:rsid w:val="00455493"/>
    <w:rsid w:val="00455541"/>
    <w:rsid w:val="00455555"/>
    <w:rsid w:val="00455763"/>
    <w:rsid w:val="004558DF"/>
    <w:rsid w:val="00455A42"/>
    <w:rsid w:val="00456038"/>
    <w:rsid w:val="004561BB"/>
    <w:rsid w:val="0045652F"/>
    <w:rsid w:val="004565CA"/>
    <w:rsid w:val="004567EA"/>
    <w:rsid w:val="00456A73"/>
    <w:rsid w:val="00456AF9"/>
    <w:rsid w:val="00456D96"/>
    <w:rsid w:val="00457305"/>
    <w:rsid w:val="00457401"/>
    <w:rsid w:val="00457640"/>
    <w:rsid w:val="004576C2"/>
    <w:rsid w:val="00457799"/>
    <w:rsid w:val="0045793E"/>
    <w:rsid w:val="0045798E"/>
    <w:rsid w:val="00457ADB"/>
    <w:rsid w:val="004602DB"/>
    <w:rsid w:val="0046071E"/>
    <w:rsid w:val="00460738"/>
    <w:rsid w:val="0046083F"/>
    <w:rsid w:val="00460916"/>
    <w:rsid w:val="00460ADB"/>
    <w:rsid w:val="00460C29"/>
    <w:rsid w:val="00460E2D"/>
    <w:rsid w:val="0046122E"/>
    <w:rsid w:val="00461658"/>
    <w:rsid w:val="00461659"/>
    <w:rsid w:val="004617AE"/>
    <w:rsid w:val="00462565"/>
    <w:rsid w:val="00462D83"/>
    <w:rsid w:val="00463A40"/>
    <w:rsid w:val="00463D36"/>
    <w:rsid w:val="00463D89"/>
    <w:rsid w:val="00464097"/>
    <w:rsid w:val="004642DC"/>
    <w:rsid w:val="004649D8"/>
    <w:rsid w:val="00464B4B"/>
    <w:rsid w:val="00464BC1"/>
    <w:rsid w:val="00464C1C"/>
    <w:rsid w:val="00464E7C"/>
    <w:rsid w:val="00464EDB"/>
    <w:rsid w:val="00465524"/>
    <w:rsid w:val="004656F3"/>
    <w:rsid w:val="0046573B"/>
    <w:rsid w:val="00465FFC"/>
    <w:rsid w:val="0046611E"/>
    <w:rsid w:val="004663F1"/>
    <w:rsid w:val="00466767"/>
    <w:rsid w:val="004667C5"/>
    <w:rsid w:val="00467307"/>
    <w:rsid w:val="004674E4"/>
    <w:rsid w:val="00467571"/>
    <w:rsid w:val="00467613"/>
    <w:rsid w:val="00467762"/>
    <w:rsid w:val="00467995"/>
    <w:rsid w:val="0047011B"/>
    <w:rsid w:val="0047029D"/>
    <w:rsid w:val="004705D2"/>
    <w:rsid w:val="00470D22"/>
    <w:rsid w:val="00470DCC"/>
    <w:rsid w:val="004714E2"/>
    <w:rsid w:val="00471550"/>
    <w:rsid w:val="00471DB5"/>
    <w:rsid w:val="004721BD"/>
    <w:rsid w:val="00472221"/>
    <w:rsid w:val="00473249"/>
    <w:rsid w:val="004735D1"/>
    <w:rsid w:val="0047388D"/>
    <w:rsid w:val="00473894"/>
    <w:rsid w:val="00473EE4"/>
    <w:rsid w:val="00473F21"/>
    <w:rsid w:val="00474155"/>
    <w:rsid w:val="0047448E"/>
    <w:rsid w:val="00474540"/>
    <w:rsid w:val="00474B6B"/>
    <w:rsid w:val="00475070"/>
    <w:rsid w:val="004751C3"/>
    <w:rsid w:val="004753D3"/>
    <w:rsid w:val="00475631"/>
    <w:rsid w:val="00475B9A"/>
    <w:rsid w:val="00475C1D"/>
    <w:rsid w:val="00475C4B"/>
    <w:rsid w:val="00475F6B"/>
    <w:rsid w:val="00476172"/>
    <w:rsid w:val="00476885"/>
    <w:rsid w:val="0047692F"/>
    <w:rsid w:val="0047711E"/>
    <w:rsid w:val="004775E3"/>
    <w:rsid w:val="00477F15"/>
    <w:rsid w:val="00480631"/>
    <w:rsid w:val="0048084A"/>
    <w:rsid w:val="00480921"/>
    <w:rsid w:val="00480DBB"/>
    <w:rsid w:val="00480F5D"/>
    <w:rsid w:val="004811A9"/>
    <w:rsid w:val="004813E3"/>
    <w:rsid w:val="0048197A"/>
    <w:rsid w:val="00481CE7"/>
    <w:rsid w:val="004829B6"/>
    <w:rsid w:val="00482D24"/>
    <w:rsid w:val="00483005"/>
    <w:rsid w:val="004831D8"/>
    <w:rsid w:val="00483625"/>
    <w:rsid w:val="004838AD"/>
    <w:rsid w:val="00483C69"/>
    <w:rsid w:val="0048405F"/>
    <w:rsid w:val="004842B2"/>
    <w:rsid w:val="004842C2"/>
    <w:rsid w:val="00484670"/>
    <w:rsid w:val="004848FC"/>
    <w:rsid w:val="00484B63"/>
    <w:rsid w:val="00484D37"/>
    <w:rsid w:val="00484E41"/>
    <w:rsid w:val="00484F8E"/>
    <w:rsid w:val="004851A3"/>
    <w:rsid w:val="00485212"/>
    <w:rsid w:val="00485CC3"/>
    <w:rsid w:val="00485DEE"/>
    <w:rsid w:val="00486279"/>
    <w:rsid w:val="0048644A"/>
    <w:rsid w:val="00486B55"/>
    <w:rsid w:val="00486FE8"/>
    <w:rsid w:val="004870F5"/>
    <w:rsid w:val="0048726E"/>
    <w:rsid w:val="0048765F"/>
    <w:rsid w:val="0048767A"/>
    <w:rsid w:val="004877C2"/>
    <w:rsid w:val="004905D8"/>
    <w:rsid w:val="00490932"/>
    <w:rsid w:val="00490D38"/>
    <w:rsid w:val="004911CA"/>
    <w:rsid w:val="0049127C"/>
    <w:rsid w:val="0049178F"/>
    <w:rsid w:val="00491AAF"/>
    <w:rsid w:val="004921EC"/>
    <w:rsid w:val="00492576"/>
    <w:rsid w:val="00492597"/>
    <w:rsid w:val="004927CE"/>
    <w:rsid w:val="00492859"/>
    <w:rsid w:val="00492DD4"/>
    <w:rsid w:val="00492E7E"/>
    <w:rsid w:val="00492F73"/>
    <w:rsid w:val="004934E4"/>
    <w:rsid w:val="00493E4A"/>
    <w:rsid w:val="0049420C"/>
    <w:rsid w:val="0049483B"/>
    <w:rsid w:val="00494909"/>
    <w:rsid w:val="00494A2A"/>
    <w:rsid w:val="00494C25"/>
    <w:rsid w:val="00495092"/>
    <w:rsid w:val="0049522F"/>
    <w:rsid w:val="004953FE"/>
    <w:rsid w:val="00495606"/>
    <w:rsid w:val="004961A3"/>
    <w:rsid w:val="00496227"/>
    <w:rsid w:val="0049685C"/>
    <w:rsid w:val="0049695B"/>
    <w:rsid w:val="0049696E"/>
    <w:rsid w:val="00496EE2"/>
    <w:rsid w:val="004972A9"/>
    <w:rsid w:val="00497674"/>
    <w:rsid w:val="004979A4"/>
    <w:rsid w:val="00497BAA"/>
    <w:rsid w:val="00497C18"/>
    <w:rsid w:val="004A0356"/>
    <w:rsid w:val="004A0666"/>
    <w:rsid w:val="004A0A94"/>
    <w:rsid w:val="004A0B1F"/>
    <w:rsid w:val="004A0E80"/>
    <w:rsid w:val="004A10D0"/>
    <w:rsid w:val="004A1690"/>
    <w:rsid w:val="004A1787"/>
    <w:rsid w:val="004A2003"/>
    <w:rsid w:val="004A20D3"/>
    <w:rsid w:val="004A2473"/>
    <w:rsid w:val="004A251C"/>
    <w:rsid w:val="004A2B25"/>
    <w:rsid w:val="004A2B60"/>
    <w:rsid w:val="004A2C10"/>
    <w:rsid w:val="004A3180"/>
    <w:rsid w:val="004A3192"/>
    <w:rsid w:val="004A31EE"/>
    <w:rsid w:val="004A3509"/>
    <w:rsid w:val="004A3859"/>
    <w:rsid w:val="004A3CFA"/>
    <w:rsid w:val="004A3EEE"/>
    <w:rsid w:val="004A40B5"/>
    <w:rsid w:val="004A4BDC"/>
    <w:rsid w:val="004A4CA1"/>
    <w:rsid w:val="004A4E51"/>
    <w:rsid w:val="004A5383"/>
    <w:rsid w:val="004A58B2"/>
    <w:rsid w:val="004A5CCD"/>
    <w:rsid w:val="004A654C"/>
    <w:rsid w:val="004A6788"/>
    <w:rsid w:val="004A6905"/>
    <w:rsid w:val="004A6CA6"/>
    <w:rsid w:val="004A6DF1"/>
    <w:rsid w:val="004A6FEE"/>
    <w:rsid w:val="004A72CA"/>
    <w:rsid w:val="004A7C39"/>
    <w:rsid w:val="004A7EEB"/>
    <w:rsid w:val="004B0240"/>
    <w:rsid w:val="004B02ED"/>
    <w:rsid w:val="004B0441"/>
    <w:rsid w:val="004B1414"/>
    <w:rsid w:val="004B1708"/>
    <w:rsid w:val="004B1B41"/>
    <w:rsid w:val="004B1B52"/>
    <w:rsid w:val="004B2832"/>
    <w:rsid w:val="004B288A"/>
    <w:rsid w:val="004B3042"/>
    <w:rsid w:val="004B3121"/>
    <w:rsid w:val="004B38DB"/>
    <w:rsid w:val="004B3CE8"/>
    <w:rsid w:val="004B3F7A"/>
    <w:rsid w:val="004B4195"/>
    <w:rsid w:val="004B4A2B"/>
    <w:rsid w:val="004B4B6A"/>
    <w:rsid w:val="004B6190"/>
    <w:rsid w:val="004B634F"/>
    <w:rsid w:val="004B64B2"/>
    <w:rsid w:val="004B6764"/>
    <w:rsid w:val="004B6DEF"/>
    <w:rsid w:val="004B71E7"/>
    <w:rsid w:val="004B7515"/>
    <w:rsid w:val="004B75E3"/>
    <w:rsid w:val="004B7F2F"/>
    <w:rsid w:val="004C04AF"/>
    <w:rsid w:val="004C0A4D"/>
    <w:rsid w:val="004C0CD2"/>
    <w:rsid w:val="004C11D6"/>
    <w:rsid w:val="004C144D"/>
    <w:rsid w:val="004C1CBC"/>
    <w:rsid w:val="004C1D37"/>
    <w:rsid w:val="004C1D62"/>
    <w:rsid w:val="004C2367"/>
    <w:rsid w:val="004C2457"/>
    <w:rsid w:val="004C2627"/>
    <w:rsid w:val="004C2F82"/>
    <w:rsid w:val="004C32C7"/>
    <w:rsid w:val="004C37F0"/>
    <w:rsid w:val="004C3A35"/>
    <w:rsid w:val="004C3A63"/>
    <w:rsid w:val="004C3A8D"/>
    <w:rsid w:val="004C3FB3"/>
    <w:rsid w:val="004C4121"/>
    <w:rsid w:val="004C41B8"/>
    <w:rsid w:val="004C4657"/>
    <w:rsid w:val="004C544B"/>
    <w:rsid w:val="004C5458"/>
    <w:rsid w:val="004C55FB"/>
    <w:rsid w:val="004C5A2B"/>
    <w:rsid w:val="004C602F"/>
    <w:rsid w:val="004C605C"/>
    <w:rsid w:val="004C627C"/>
    <w:rsid w:val="004C66A9"/>
    <w:rsid w:val="004C6C89"/>
    <w:rsid w:val="004C713F"/>
    <w:rsid w:val="004C7170"/>
    <w:rsid w:val="004C72D8"/>
    <w:rsid w:val="004C7B0C"/>
    <w:rsid w:val="004C7C00"/>
    <w:rsid w:val="004C7DE7"/>
    <w:rsid w:val="004C7F66"/>
    <w:rsid w:val="004D00E8"/>
    <w:rsid w:val="004D06FC"/>
    <w:rsid w:val="004D12CE"/>
    <w:rsid w:val="004D1B68"/>
    <w:rsid w:val="004D1D9C"/>
    <w:rsid w:val="004D262C"/>
    <w:rsid w:val="004D2C49"/>
    <w:rsid w:val="004D2F43"/>
    <w:rsid w:val="004D324B"/>
    <w:rsid w:val="004D345D"/>
    <w:rsid w:val="004D35C9"/>
    <w:rsid w:val="004D3766"/>
    <w:rsid w:val="004D434D"/>
    <w:rsid w:val="004D43F5"/>
    <w:rsid w:val="004D443F"/>
    <w:rsid w:val="004D451D"/>
    <w:rsid w:val="004D456B"/>
    <w:rsid w:val="004D491F"/>
    <w:rsid w:val="004D4DC6"/>
    <w:rsid w:val="004D50B4"/>
    <w:rsid w:val="004D53EC"/>
    <w:rsid w:val="004D54BB"/>
    <w:rsid w:val="004D54C0"/>
    <w:rsid w:val="004D5ACD"/>
    <w:rsid w:val="004D688D"/>
    <w:rsid w:val="004D7720"/>
    <w:rsid w:val="004D7737"/>
    <w:rsid w:val="004D77DA"/>
    <w:rsid w:val="004D7881"/>
    <w:rsid w:val="004D7B28"/>
    <w:rsid w:val="004D7BEF"/>
    <w:rsid w:val="004D7C0E"/>
    <w:rsid w:val="004D7CB3"/>
    <w:rsid w:val="004E011C"/>
    <w:rsid w:val="004E0451"/>
    <w:rsid w:val="004E0ABE"/>
    <w:rsid w:val="004E0DEC"/>
    <w:rsid w:val="004E18D9"/>
    <w:rsid w:val="004E1A37"/>
    <w:rsid w:val="004E1CFD"/>
    <w:rsid w:val="004E1E65"/>
    <w:rsid w:val="004E1EF6"/>
    <w:rsid w:val="004E259F"/>
    <w:rsid w:val="004E25DC"/>
    <w:rsid w:val="004E2710"/>
    <w:rsid w:val="004E2AF3"/>
    <w:rsid w:val="004E33BE"/>
    <w:rsid w:val="004E36EF"/>
    <w:rsid w:val="004E37CB"/>
    <w:rsid w:val="004E3B88"/>
    <w:rsid w:val="004E400C"/>
    <w:rsid w:val="004E4017"/>
    <w:rsid w:val="004E463C"/>
    <w:rsid w:val="004E49A7"/>
    <w:rsid w:val="004E4E15"/>
    <w:rsid w:val="004E4FDE"/>
    <w:rsid w:val="004E5A3D"/>
    <w:rsid w:val="004E5B02"/>
    <w:rsid w:val="004E5C7C"/>
    <w:rsid w:val="004E5D01"/>
    <w:rsid w:val="004E5D60"/>
    <w:rsid w:val="004E5E93"/>
    <w:rsid w:val="004E5E9C"/>
    <w:rsid w:val="004E5F40"/>
    <w:rsid w:val="004E6398"/>
    <w:rsid w:val="004E6669"/>
    <w:rsid w:val="004E6AD0"/>
    <w:rsid w:val="004E6EF1"/>
    <w:rsid w:val="004E6FE2"/>
    <w:rsid w:val="004E70DA"/>
    <w:rsid w:val="004E7A6E"/>
    <w:rsid w:val="004E7CD7"/>
    <w:rsid w:val="004F02B3"/>
    <w:rsid w:val="004F0458"/>
    <w:rsid w:val="004F0856"/>
    <w:rsid w:val="004F08CE"/>
    <w:rsid w:val="004F09A1"/>
    <w:rsid w:val="004F0E55"/>
    <w:rsid w:val="004F0E7A"/>
    <w:rsid w:val="004F0FCF"/>
    <w:rsid w:val="004F174D"/>
    <w:rsid w:val="004F1B8D"/>
    <w:rsid w:val="004F1E7D"/>
    <w:rsid w:val="004F2846"/>
    <w:rsid w:val="004F2912"/>
    <w:rsid w:val="004F2929"/>
    <w:rsid w:val="004F294F"/>
    <w:rsid w:val="004F2B5D"/>
    <w:rsid w:val="004F2BC3"/>
    <w:rsid w:val="004F2C0B"/>
    <w:rsid w:val="004F2D1E"/>
    <w:rsid w:val="004F30C3"/>
    <w:rsid w:val="004F318C"/>
    <w:rsid w:val="004F3E86"/>
    <w:rsid w:val="004F46DE"/>
    <w:rsid w:val="004F4918"/>
    <w:rsid w:val="004F4990"/>
    <w:rsid w:val="004F4EC2"/>
    <w:rsid w:val="004F536C"/>
    <w:rsid w:val="004F5564"/>
    <w:rsid w:val="004F5567"/>
    <w:rsid w:val="004F5F60"/>
    <w:rsid w:val="004F652C"/>
    <w:rsid w:val="004F6673"/>
    <w:rsid w:val="004F6D9E"/>
    <w:rsid w:val="004F6F20"/>
    <w:rsid w:val="004F73CC"/>
    <w:rsid w:val="004F7843"/>
    <w:rsid w:val="004F78CE"/>
    <w:rsid w:val="004F7A33"/>
    <w:rsid w:val="004F7BF8"/>
    <w:rsid w:val="004F7CF7"/>
    <w:rsid w:val="00500077"/>
    <w:rsid w:val="005001B3"/>
    <w:rsid w:val="00500343"/>
    <w:rsid w:val="00500798"/>
    <w:rsid w:val="005008BE"/>
    <w:rsid w:val="00500934"/>
    <w:rsid w:val="00500EA7"/>
    <w:rsid w:val="005012E9"/>
    <w:rsid w:val="0050168B"/>
    <w:rsid w:val="00501869"/>
    <w:rsid w:val="00501923"/>
    <w:rsid w:val="00501B53"/>
    <w:rsid w:val="00502091"/>
    <w:rsid w:val="005021E8"/>
    <w:rsid w:val="0050221C"/>
    <w:rsid w:val="00502B41"/>
    <w:rsid w:val="00502F96"/>
    <w:rsid w:val="00503345"/>
    <w:rsid w:val="0050335F"/>
    <w:rsid w:val="005033A5"/>
    <w:rsid w:val="00503914"/>
    <w:rsid w:val="005039F7"/>
    <w:rsid w:val="00503B93"/>
    <w:rsid w:val="00503EBF"/>
    <w:rsid w:val="00503F87"/>
    <w:rsid w:val="005045C5"/>
    <w:rsid w:val="00504613"/>
    <w:rsid w:val="00504740"/>
    <w:rsid w:val="00504A84"/>
    <w:rsid w:val="00504F9A"/>
    <w:rsid w:val="00505514"/>
    <w:rsid w:val="0050570D"/>
    <w:rsid w:val="00505779"/>
    <w:rsid w:val="005059D9"/>
    <w:rsid w:val="00505A69"/>
    <w:rsid w:val="00505E08"/>
    <w:rsid w:val="005062E7"/>
    <w:rsid w:val="0050632D"/>
    <w:rsid w:val="00506423"/>
    <w:rsid w:val="00506858"/>
    <w:rsid w:val="00507215"/>
    <w:rsid w:val="005075CC"/>
    <w:rsid w:val="005075F0"/>
    <w:rsid w:val="0050769F"/>
    <w:rsid w:val="005079A1"/>
    <w:rsid w:val="00507F3F"/>
    <w:rsid w:val="00510006"/>
    <w:rsid w:val="005101A7"/>
    <w:rsid w:val="0051042A"/>
    <w:rsid w:val="0051061E"/>
    <w:rsid w:val="0051113C"/>
    <w:rsid w:val="005112D9"/>
    <w:rsid w:val="005112FE"/>
    <w:rsid w:val="00511C1A"/>
    <w:rsid w:val="00511DC8"/>
    <w:rsid w:val="00512160"/>
    <w:rsid w:val="00512471"/>
    <w:rsid w:val="005130C0"/>
    <w:rsid w:val="00513A34"/>
    <w:rsid w:val="00513ACD"/>
    <w:rsid w:val="00513B48"/>
    <w:rsid w:val="00514107"/>
    <w:rsid w:val="005143AE"/>
    <w:rsid w:val="005146A5"/>
    <w:rsid w:val="005149D1"/>
    <w:rsid w:val="00515155"/>
    <w:rsid w:val="005152E4"/>
    <w:rsid w:val="00515428"/>
    <w:rsid w:val="0051542D"/>
    <w:rsid w:val="00515935"/>
    <w:rsid w:val="00515B03"/>
    <w:rsid w:val="00515FBF"/>
    <w:rsid w:val="00516027"/>
    <w:rsid w:val="0051605E"/>
    <w:rsid w:val="00516D23"/>
    <w:rsid w:val="005176E7"/>
    <w:rsid w:val="00517A1A"/>
    <w:rsid w:val="00517A47"/>
    <w:rsid w:val="00517AE5"/>
    <w:rsid w:val="00517BA7"/>
    <w:rsid w:val="00517F55"/>
    <w:rsid w:val="0052055A"/>
    <w:rsid w:val="00520B36"/>
    <w:rsid w:val="005217A2"/>
    <w:rsid w:val="005217C0"/>
    <w:rsid w:val="00521893"/>
    <w:rsid w:val="00521AC1"/>
    <w:rsid w:val="00521CD7"/>
    <w:rsid w:val="005227E8"/>
    <w:rsid w:val="005228F2"/>
    <w:rsid w:val="00522A0B"/>
    <w:rsid w:val="00522F54"/>
    <w:rsid w:val="00523022"/>
    <w:rsid w:val="005234DE"/>
    <w:rsid w:val="0052383B"/>
    <w:rsid w:val="005239E9"/>
    <w:rsid w:val="00523D5B"/>
    <w:rsid w:val="0052413F"/>
    <w:rsid w:val="00524193"/>
    <w:rsid w:val="005241BA"/>
    <w:rsid w:val="00524433"/>
    <w:rsid w:val="0052484F"/>
    <w:rsid w:val="00524CE6"/>
    <w:rsid w:val="00525394"/>
    <w:rsid w:val="0052549C"/>
    <w:rsid w:val="00525903"/>
    <w:rsid w:val="00525BE9"/>
    <w:rsid w:val="00525D19"/>
    <w:rsid w:val="005264EB"/>
    <w:rsid w:val="00526813"/>
    <w:rsid w:val="00526841"/>
    <w:rsid w:val="00526DD4"/>
    <w:rsid w:val="0052710B"/>
    <w:rsid w:val="00527425"/>
    <w:rsid w:val="005275EA"/>
    <w:rsid w:val="00527820"/>
    <w:rsid w:val="00527986"/>
    <w:rsid w:val="00527E70"/>
    <w:rsid w:val="00530128"/>
    <w:rsid w:val="00530171"/>
    <w:rsid w:val="005301F5"/>
    <w:rsid w:val="00530706"/>
    <w:rsid w:val="005307C7"/>
    <w:rsid w:val="00530A3F"/>
    <w:rsid w:val="00530D78"/>
    <w:rsid w:val="00531774"/>
    <w:rsid w:val="00531EAD"/>
    <w:rsid w:val="00531ED1"/>
    <w:rsid w:val="00532553"/>
    <w:rsid w:val="005335DB"/>
    <w:rsid w:val="00533872"/>
    <w:rsid w:val="005338A9"/>
    <w:rsid w:val="00533CFF"/>
    <w:rsid w:val="0053411D"/>
    <w:rsid w:val="005353EF"/>
    <w:rsid w:val="005356F8"/>
    <w:rsid w:val="005359B3"/>
    <w:rsid w:val="0053609D"/>
    <w:rsid w:val="00536281"/>
    <w:rsid w:val="005367CE"/>
    <w:rsid w:val="00536979"/>
    <w:rsid w:val="00536E39"/>
    <w:rsid w:val="00536E8B"/>
    <w:rsid w:val="0053721C"/>
    <w:rsid w:val="00537266"/>
    <w:rsid w:val="005373EF"/>
    <w:rsid w:val="005374EE"/>
    <w:rsid w:val="005400B2"/>
    <w:rsid w:val="00540424"/>
    <w:rsid w:val="00540A90"/>
    <w:rsid w:val="00541140"/>
    <w:rsid w:val="005417D6"/>
    <w:rsid w:val="00542F6A"/>
    <w:rsid w:val="00543097"/>
    <w:rsid w:val="0054350D"/>
    <w:rsid w:val="0054402B"/>
    <w:rsid w:val="00544090"/>
    <w:rsid w:val="0054468F"/>
    <w:rsid w:val="00544C19"/>
    <w:rsid w:val="00544CD6"/>
    <w:rsid w:val="00545232"/>
    <w:rsid w:val="0054532B"/>
    <w:rsid w:val="005455E1"/>
    <w:rsid w:val="00545A14"/>
    <w:rsid w:val="00545EBB"/>
    <w:rsid w:val="00545FA2"/>
    <w:rsid w:val="005462ED"/>
    <w:rsid w:val="00546441"/>
    <w:rsid w:val="00546BCF"/>
    <w:rsid w:val="00546E4B"/>
    <w:rsid w:val="00547409"/>
    <w:rsid w:val="005477A3"/>
    <w:rsid w:val="005500F4"/>
    <w:rsid w:val="0055024C"/>
    <w:rsid w:val="005504B3"/>
    <w:rsid w:val="00550553"/>
    <w:rsid w:val="005509FF"/>
    <w:rsid w:val="00550DF2"/>
    <w:rsid w:val="00550FD9"/>
    <w:rsid w:val="00551AFA"/>
    <w:rsid w:val="00552009"/>
    <w:rsid w:val="00552335"/>
    <w:rsid w:val="005529ED"/>
    <w:rsid w:val="00552A8C"/>
    <w:rsid w:val="00552D04"/>
    <w:rsid w:val="005530EB"/>
    <w:rsid w:val="00553631"/>
    <w:rsid w:val="005537BB"/>
    <w:rsid w:val="005537E3"/>
    <w:rsid w:val="00553E5D"/>
    <w:rsid w:val="005541BB"/>
    <w:rsid w:val="00554254"/>
    <w:rsid w:val="005543D0"/>
    <w:rsid w:val="00554645"/>
    <w:rsid w:val="005548B8"/>
    <w:rsid w:val="005550B5"/>
    <w:rsid w:val="005550BC"/>
    <w:rsid w:val="00555242"/>
    <w:rsid w:val="005553A2"/>
    <w:rsid w:val="00555639"/>
    <w:rsid w:val="005559B8"/>
    <w:rsid w:val="00555B04"/>
    <w:rsid w:val="00555B62"/>
    <w:rsid w:val="00555C05"/>
    <w:rsid w:val="00555ECC"/>
    <w:rsid w:val="00555FD7"/>
    <w:rsid w:val="005560FE"/>
    <w:rsid w:val="00556183"/>
    <w:rsid w:val="005561C9"/>
    <w:rsid w:val="0055662A"/>
    <w:rsid w:val="00556912"/>
    <w:rsid w:val="00557267"/>
    <w:rsid w:val="0055752E"/>
    <w:rsid w:val="00557788"/>
    <w:rsid w:val="00560274"/>
    <w:rsid w:val="00560C0A"/>
    <w:rsid w:val="0056163A"/>
    <w:rsid w:val="005616EE"/>
    <w:rsid w:val="00561739"/>
    <w:rsid w:val="00561AA6"/>
    <w:rsid w:val="00561CB3"/>
    <w:rsid w:val="00561F0A"/>
    <w:rsid w:val="00562285"/>
    <w:rsid w:val="005629BF"/>
    <w:rsid w:val="005631A6"/>
    <w:rsid w:val="00563274"/>
    <w:rsid w:val="00563599"/>
    <w:rsid w:val="00563770"/>
    <w:rsid w:val="00563AE3"/>
    <w:rsid w:val="00563E50"/>
    <w:rsid w:val="0056445B"/>
    <w:rsid w:val="00564C39"/>
    <w:rsid w:val="00565154"/>
    <w:rsid w:val="00565174"/>
    <w:rsid w:val="00565289"/>
    <w:rsid w:val="005652B0"/>
    <w:rsid w:val="005653B0"/>
    <w:rsid w:val="005653E0"/>
    <w:rsid w:val="005660D7"/>
    <w:rsid w:val="005662FC"/>
    <w:rsid w:val="00566458"/>
    <w:rsid w:val="0056689B"/>
    <w:rsid w:val="00566A0E"/>
    <w:rsid w:val="00566AEF"/>
    <w:rsid w:val="00566C7D"/>
    <w:rsid w:val="00566F7E"/>
    <w:rsid w:val="00567E62"/>
    <w:rsid w:val="00567E9C"/>
    <w:rsid w:val="00570087"/>
    <w:rsid w:val="005703D2"/>
    <w:rsid w:val="00570550"/>
    <w:rsid w:val="005707A5"/>
    <w:rsid w:val="005708F5"/>
    <w:rsid w:val="00570A08"/>
    <w:rsid w:val="00571176"/>
    <w:rsid w:val="005716F1"/>
    <w:rsid w:val="00571CD2"/>
    <w:rsid w:val="0057290F"/>
    <w:rsid w:val="005729AB"/>
    <w:rsid w:val="00572D3C"/>
    <w:rsid w:val="00573077"/>
    <w:rsid w:val="00573464"/>
    <w:rsid w:val="00573D81"/>
    <w:rsid w:val="00573F59"/>
    <w:rsid w:val="0057446A"/>
    <w:rsid w:val="0057457F"/>
    <w:rsid w:val="00574A3F"/>
    <w:rsid w:val="00574F1B"/>
    <w:rsid w:val="00574FE5"/>
    <w:rsid w:val="005750E2"/>
    <w:rsid w:val="0057570E"/>
    <w:rsid w:val="0057583F"/>
    <w:rsid w:val="00575CA9"/>
    <w:rsid w:val="00576811"/>
    <w:rsid w:val="005773CD"/>
    <w:rsid w:val="00577EBE"/>
    <w:rsid w:val="00580A20"/>
    <w:rsid w:val="00580CD0"/>
    <w:rsid w:val="00580D70"/>
    <w:rsid w:val="00580DE4"/>
    <w:rsid w:val="00580F3A"/>
    <w:rsid w:val="005810D9"/>
    <w:rsid w:val="0058115B"/>
    <w:rsid w:val="0058126F"/>
    <w:rsid w:val="00581408"/>
    <w:rsid w:val="00581F7B"/>
    <w:rsid w:val="00582438"/>
    <w:rsid w:val="00582892"/>
    <w:rsid w:val="005830A9"/>
    <w:rsid w:val="0058377E"/>
    <w:rsid w:val="00583ED0"/>
    <w:rsid w:val="005840F2"/>
    <w:rsid w:val="0058449E"/>
    <w:rsid w:val="005847B2"/>
    <w:rsid w:val="00584E97"/>
    <w:rsid w:val="00585228"/>
    <w:rsid w:val="00585493"/>
    <w:rsid w:val="0058566A"/>
    <w:rsid w:val="00585846"/>
    <w:rsid w:val="005858F6"/>
    <w:rsid w:val="00585DB6"/>
    <w:rsid w:val="00585E8E"/>
    <w:rsid w:val="005863F3"/>
    <w:rsid w:val="00586495"/>
    <w:rsid w:val="005864F3"/>
    <w:rsid w:val="005866C6"/>
    <w:rsid w:val="00586739"/>
    <w:rsid w:val="0058692E"/>
    <w:rsid w:val="00587078"/>
    <w:rsid w:val="005873F8"/>
    <w:rsid w:val="005876CF"/>
    <w:rsid w:val="00587D4F"/>
    <w:rsid w:val="005906DF"/>
    <w:rsid w:val="00590705"/>
    <w:rsid w:val="00590A24"/>
    <w:rsid w:val="00590B43"/>
    <w:rsid w:val="00590F0E"/>
    <w:rsid w:val="0059124B"/>
    <w:rsid w:val="00591706"/>
    <w:rsid w:val="00591709"/>
    <w:rsid w:val="00591AB0"/>
    <w:rsid w:val="005921A2"/>
    <w:rsid w:val="00592580"/>
    <w:rsid w:val="00592BA0"/>
    <w:rsid w:val="0059306F"/>
    <w:rsid w:val="0059309B"/>
    <w:rsid w:val="005931BF"/>
    <w:rsid w:val="00593416"/>
    <w:rsid w:val="0059350A"/>
    <w:rsid w:val="00593B87"/>
    <w:rsid w:val="00593F9C"/>
    <w:rsid w:val="0059441F"/>
    <w:rsid w:val="005948B6"/>
    <w:rsid w:val="00594CCF"/>
    <w:rsid w:val="00594D1D"/>
    <w:rsid w:val="00594DFB"/>
    <w:rsid w:val="0059507A"/>
    <w:rsid w:val="005953BE"/>
    <w:rsid w:val="005959A6"/>
    <w:rsid w:val="00595B17"/>
    <w:rsid w:val="00595C94"/>
    <w:rsid w:val="00595FEE"/>
    <w:rsid w:val="00596193"/>
    <w:rsid w:val="005964A6"/>
    <w:rsid w:val="005969E6"/>
    <w:rsid w:val="00596D1A"/>
    <w:rsid w:val="005978D1"/>
    <w:rsid w:val="005A0206"/>
    <w:rsid w:val="005A0455"/>
    <w:rsid w:val="005A07BE"/>
    <w:rsid w:val="005A0935"/>
    <w:rsid w:val="005A106C"/>
    <w:rsid w:val="005A1119"/>
    <w:rsid w:val="005A2002"/>
    <w:rsid w:val="005A206B"/>
    <w:rsid w:val="005A262D"/>
    <w:rsid w:val="005A317B"/>
    <w:rsid w:val="005A3370"/>
    <w:rsid w:val="005A40A0"/>
    <w:rsid w:val="005A40E8"/>
    <w:rsid w:val="005A439F"/>
    <w:rsid w:val="005A4563"/>
    <w:rsid w:val="005A4606"/>
    <w:rsid w:val="005A4742"/>
    <w:rsid w:val="005A474D"/>
    <w:rsid w:val="005A47EA"/>
    <w:rsid w:val="005A4958"/>
    <w:rsid w:val="005A498C"/>
    <w:rsid w:val="005A52D3"/>
    <w:rsid w:val="005A54D5"/>
    <w:rsid w:val="005A558A"/>
    <w:rsid w:val="005A5EF0"/>
    <w:rsid w:val="005A5EF1"/>
    <w:rsid w:val="005A5F0D"/>
    <w:rsid w:val="005A61FA"/>
    <w:rsid w:val="005A6667"/>
    <w:rsid w:val="005A689E"/>
    <w:rsid w:val="005A6D07"/>
    <w:rsid w:val="005A74C7"/>
    <w:rsid w:val="005A759E"/>
    <w:rsid w:val="005B0590"/>
    <w:rsid w:val="005B07A5"/>
    <w:rsid w:val="005B0EB9"/>
    <w:rsid w:val="005B1353"/>
    <w:rsid w:val="005B1A11"/>
    <w:rsid w:val="005B1CBF"/>
    <w:rsid w:val="005B1CFA"/>
    <w:rsid w:val="005B1D89"/>
    <w:rsid w:val="005B1ED0"/>
    <w:rsid w:val="005B2058"/>
    <w:rsid w:val="005B22BA"/>
    <w:rsid w:val="005B23A9"/>
    <w:rsid w:val="005B2ADA"/>
    <w:rsid w:val="005B2B48"/>
    <w:rsid w:val="005B2DE2"/>
    <w:rsid w:val="005B2F13"/>
    <w:rsid w:val="005B2FE2"/>
    <w:rsid w:val="005B2FF0"/>
    <w:rsid w:val="005B3143"/>
    <w:rsid w:val="005B3447"/>
    <w:rsid w:val="005B36CC"/>
    <w:rsid w:val="005B399D"/>
    <w:rsid w:val="005B39F5"/>
    <w:rsid w:val="005B3D56"/>
    <w:rsid w:val="005B40E1"/>
    <w:rsid w:val="005B4B6C"/>
    <w:rsid w:val="005B51FA"/>
    <w:rsid w:val="005B53EC"/>
    <w:rsid w:val="005B6016"/>
    <w:rsid w:val="005B68EA"/>
    <w:rsid w:val="005B6B51"/>
    <w:rsid w:val="005B6EC1"/>
    <w:rsid w:val="005B7EEF"/>
    <w:rsid w:val="005C0034"/>
    <w:rsid w:val="005C0342"/>
    <w:rsid w:val="005C08AB"/>
    <w:rsid w:val="005C0D9A"/>
    <w:rsid w:val="005C1544"/>
    <w:rsid w:val="005C1839"/>
    <w:rsid w:val="005C19DB"/>
    <w:rsid w:val="005C1E47"/>
    <w:rsid w:val="005C2747"/>
    <w:rsid w:val="005C2ABB"/>
    <w:rsid w:val="005C2B51"/>
    <w:rsid w:val="005C2C07"/>
    <w:rsid w:val="005C2D77"/>
    <w:rsid w:val="005C2E76"/>
    <w:rsid w:val="005C2FB8"/>
    <w:rsid w:val="005C308F"/>
    <w:rsid w:val="005C3375"/>
    <w:rsid w:val="005C37B6"/>
    <w:rsid w:val="005C3969"/>
    <w:rsid w:val="005C3B6E"/>
    <w:rsid w:val="005C3E0C"/>
    <w:rsid w:val="005C423B"/>
    <w:rsid w:val="005C4731"/>
    <w:rsid w:val="005C49D4"/>
    <w:rsid w:val="005C4A4C"/>
    <w:rsid w:val="005C4C18"/>
    <w:rsid w:val="005C4FBA"/>
    <w:rsid w:val="005C56AE"/>
    <w:rsid w:val="005C5C1A"/>
    <w:rsid w:val="005C5C2F"/>
    <w:rsid w:val="005C5F7F"/>
    <w:rsid w:val="005C606E"/>
    <w:rsid w:val="005C60A7"/>
    <w:rsid w:val="005C636F"/>
    <w:rsid w:val="005C6510"/>
    <w:rsid w:val="005C674A"/>
    <w:rsid w:val="005C6CCE"/>
    <w:rsid w:val="005C6CF4"/>
    <w:rsid w:val="005C721B"/>
    <w:rsid w:val="005D05FF"/>
    <w:rsid w:val="005D086A"/>
    <w:rsid w:val="005D0998"/>
    <w:rsid w:val="005D0B86"/>
    <w:rsid w:val="005D0D8D"/>
    <w:rsid w:val="005D14D7"/>
    <w:rsid w:val="005D167C"/>
    <w:rsid w:val="005D16AF"/>
    <w:rsid w:val="005D1860"/>
    <w:rsid w:val="005D199D"/>
    <w:rsid w:val="005D1D5A"/>
    <w:rsid w:val="005D25C6"/>
    <w:rsid w:val="005D2D4F"/>
    <w:rsid w:val="005D2DBA"/>
    <w:rsid w:val="005D2EFF"/>
    <w:rsid w:val="005D2FC7"/>
    <w:rsid w:val="005D3221"/>
    <w:rsid w:val="005D3298"/>
    <w:rsid w:val="005D3387"/>
    <w:rsid w:val="005D3552"/>
    <w:rsid w:val="005D35BD"/>
    <w:rsid w:val="005D3AA5"/>
    <w:rsid w:val="005D3AB6"/>
    <w:rsid w:val="005D3B85"/>
    <w:rsid w:val="005D3D57"/>
    <w:rsid w:val="005D3E98"/>
    <w:rsid w:val="005D41C3"/>
    <w:rsid w:val="005D43BB"/>
    <w:rsid w:val="005D44C8"/>
    <w:rsid w:val="005D468F"/>
    <w:rsid w:val="005D4CB1"/>
    <w:rsid w:val="005D4DCB"/>
    <w:rsid w:val="005D4FEB"/>
    <w:rsid w:val="005D53F9"/>
    <w:rsid w:val="005D5426"/>
    <w:rsid w:val="005D573A"/>
    <w:rsid w:val="005D58C2"/>
    <w:rsid w:val="005D5911"/>
    <w:rsid w:val="005D5E27"/>
    <w:rsid w:val="005D5F2D"/>
    <w:rsid w:val="005D6BDF"/>
    <w:rsid w:val="005D7271"/>
    <w:rsid w:val="005D7414"/>
    <w:rsid w:val="005D7775"/>
    <w:rsid w:val="005D7828"/>
    <w:rsid w:val="005D78FD"/>
    <w:rsid w:val="005D7C5F"/>
    <w:rsid w:val="005D7D99"/>
    <w:rsid w:val="005D7DE1"/>
    <w:rsid w:val="005E1844"/>
    <w:rsid w:val="005E1F6C"/>
    <w:rsid w:val="005E260D"/>
    <w:rsid w:val="005E2DC9"/>
    <w:rsid w:val="005E3532"/>
    <w:rsid w:val="005E35F8"/>
    <w:rsid w:val="005E3712"/>
    <w:rsid w:val="005E3845"/>
    <w:rsid w:val="005E42A2"/>
    <w:rsid w:val="005E4473"/>
    <w:rsid w:val="005E476B"/>
    <w:rsid w:val="005E4B27"/>
    <w:rsid w:val="005E4F05"/>
    <w:rsid w:val="005E5135"/>
    <w:rsid w:val="005E546B"/>
    <w:rsid w:val="005E55F2"/>
    <w:rsid w:val="005E5754"/>
    <w:rsid w:val="005E5908"/>
    <w:rsid w:val="005E59F4"/>
    <w:rsid w:val="005E5F5F"/>
    <w:rsid w:val="005E601D"/>
    <w:rsid w:val="005E60A7"/>
    <w:rsid w:val="005E635C"/>
    <w:rsid w:val="005E635D"/>
    <w:rsid w:val="005E636B"/>
    <w:rsid w:val="005E685E"/>
    <w:rsid w:val="005E69CA"/>
    <w:rsid w:val="005E6B32"/>
    <w:rsid w:val="005E7899"/>
    <w:rsid w:val="005E7E10"/>
    <w:rsid w:val="005E7F3B"/>
    <w:rsid w:val="005E7F4B"/>
    <w:rsid w:val="005F0109"/>
    <w:rsid w:val="005F060C"/>
    <w:rsid w:val="005F074F"/>
    <w:rsid w:val="005F1126"/>
    <w:rsid w:val="005F1962"/>
    <w:rsid w:val="005F1B93"/>
    <w:rsid w:val="005F1C76"/>
    <w:rsid w:val="005F1CDA"/>
    <w:rsid w:val="005F2CB0"/>
    <w:rsid w:val="005F2FB1"/>
    <w:rsid w:val="005F302E"/>
    <w:rsid w:val="005F32D4"/>
    <w:rsid w:val="005F3EB4"/>
    <w:rsid w:val="005F40E3"/>
    <w:rsid w:val="005F4177"/>
    <w:rsid w:val="005F425D"/>
    <w:rsid w:val="005F43D4"/>
    <w:rsid w:val="005F4EE9"/>
    <w:rsid w:val="005F5637"/>
    <w:rsid w:val="005F56A9"/>
    <w:rsid w:val="005F5D1A"/>
    <w:rsid w:val="005F6452"/>
    <w:rsid w:val="005F64BC"/>
    <w:rsid w:val="005F67FA"/>
    <w:rsid w:val="005F6FAA"/>
    <w:rsid w:val="005F786A"/>
    <w:rsid w:val="005F7AD7"/>
    <w:rsid w:val="005F7B15"/>
    <w:rsid w:val="005F7B5B"/>
    <w:rsid w:val="00600B50"/>
    <w:rsid w:val="006015FB"/>
    <w:rsid w:val="006017B6"/>
    <w:rsid w:val="006018B6"/>
    <w:rsid w:val="00601D42"/>
    <w:rsid w:val="00602147"/>
    <w:rsid w:val="00602397"/>
    <w:rsid w:val="00602523"/>
    <w:rsid w:val="0060257C"/>
    <w:rsid w:val="00602827"/>
    <w:rsid w:val="00602854"/>
    <w:rsid w:val="00602AA7"/>
    <w:rsid w:val="00602AF7"/>
    <w:rsid w:val="00603D8D"/>
    <w:rsid w:val="00604566"/>
    <w:rsid w:val="006045EB"/>
    <w:rsid w:val="0060484C"/>
    <w:rsid w:val="00604CE3"/>
    <w:rsid w:val="006053CA"/>
    <w:rsid w:val="0060541A"/>
    <w:rsid w:val="00605A6B"/>
    <w:rsid w:val="00605F62"/>
    <w:rsid w:val="006068F4"/>
    <w:rsid w:val="006069B0"/>
    <w:rsid w:val="00606B90"/>
    <w:rsid w:val="00606ED9"/>
    <w:rsid w:val="00606F41"/>
    <w:rsid w:val="00607129"/>
    <w:rsid w:val="00607347"/>
    <w:rsid w:val="0060794C"/>
    <w:rsid w:val="00610189"/>
    <w:rsid w:val="00610372"/>
    <w:rsid w:val="00610CA4"/>
    <w:rsid w:val="00611459"/>
    <w:rsid w:val="006115CB"/>
    <w:rsid w:val="0061182C"/>
    <w:rsid w:val="00611C1A"/>
    <w:rsid w:val="00612119"/>
    <w:rsid w:val="0061245D"/>
    <w:rsid w:val="00613060"/>
    <w:rsid w:val="00613087"/>
    <w:rsid w:val="00613700"/>
    <w:rsid w:val="00613AE7"/>
    <w:rsid w:val="00613BB2"/>
    <w:rsid w:val="006140A6"/>
    <w:rsid w:val="00614233"/>
    <w:rsid w:val="006144AC"/>
    <w:rsid w:val="00614CCA"/>
    <w:rsid w:val="00614E80"/>
    <w:rsid w:val="006150A1"/>
    <w:rsid w:val="00615350"/>
    <w:rsid w:val="006155E3"/>
    <w:rsid w:val="00615F64"/>
    <w:rsid w:val="0061679B"/>
    <w:rsid w:val="00616A24"/>
    <w:rsid w:val="00616D45"/>
    <w:rsid w:val="0061730D"/>
    <w:rsid w:val="0061755D"/>
    <w:rsid w:val="00617592"/>
    <w:rsid w:val="00617BB6"/>
    <w:rsid w:val="00617D1F"/>
    <w:rsid w:val="00617FDF"/>
    <w:rsid w:val="00620E91"/>
    <w:rsid w:val="00621879"/>
    <w:rsid w:val="00621DA9"/>
    <w:rsid w:val="00621E9C"/>
    <w:rsid w:val="00621EDE"/>
    <w:rsid w:val="006228EE"/>
    <w:rsid w:val="006229D1"/>
    <w:rsid w:val="00622D6E"/>
    <w:rsid w:val="00622F4A"/>
    <w:rsid w:val="00623547"/>
    <w:rsid w:val="00623985"/>
    <w:rsid w:val="00623C82"/>
    <w:rsid w:val="006240FD"/>
    <w:rsid w:val="00624763"/>
    <w:rsid w:val="00624A22"/>
    <w:rsid w:val="00624DE6"/>
    <w:rsid w:val="00624E8F"/>
    <w:rsid w:val="00625334"/>
    <w:rsid w:val="00625533"/>
    <w:rsid w:val="00625850"/>
    <w:rsid w:val="00625A68"/>
    <w:rsid w:val="00625E87"/>
    <w:rsid w:val="006262CF"/>
    <w:rsid w:val="00626362"/>
    <w:rsid w:val="0062640E"/>
    <w:rsid w:val="00626A11"/>
    <w:rsid w:val="006301F4"/>
    <w:rsid w:val="0063075D"/>
    <w:rsid w:val="00630950"/>
    <w:rsid w:val="00630BC1"/>
    <w:rsid w:val="00630E1F"/>
    <w:rsid w:val="00631733"/>
    <w:rsid w:val="00631BBD"/>
    <w:rsid w:val="00631CE3"/>
    <w:rsid w:val="0063232F"/>
    <w:rsid w:val="00632B33"/>
    <w:rsid w:val="00633053"/>
    <w:rsid w:val="0063311F"/>
    <w:rsid w:val="006333EA"/>
    <w:rsid w:val="006333F9"/>
    <w:rsid w:val="00633854"/>
    <w:rsid w:val="0063387B"/>
    <w:rsid w:val="00633C01"/>
    <w:rsid w:val="00633E38"/>
    <w:rsid w:val="00634349"/>
    <w:rsid w:val="0063484A"/>
    <w:rsid w:val="00634AF0"/>
    <w:rsid w:val="00634ECA"/>
    <w:rsid w:val="00634F79"/>
    <w:rsid w:val="00635478"/>
    <w:rsid w:val="006355D7"/>
    <w:rsid w:val="006355F0"/>
    <w:rsid w:val="00635742"/>
    <w:rsid w:val="00635F87"/>
    <w:rsid w:val="00636336"/>
    <w:rsid w:val="00636351"/>
    <w:rsid w:val="00636577"/>
    <w:rsid w:val="00637051"/>
    <w:rsid w:val="00637171"/>
    <w:rsid w:val="006373EF"/>
    <w:rsid w:val="00637500"/>
    <w:rsid w:val="006375AC"/>
    <w:rsid w:val="00637B96"/>
    <w:rsid w:val="00637E06"/>
    <w:rsid w:val="00637F3E"/>
    <w:rsid w:val="00640112"/>
    <w:rsid w:val="00640353"/>
    <w:rsid w:val="00640499"/>
    <w:rsid w:val="0064052C"/>
    <w:rsid w:val="00640996"/>
    <w:rsid w:val="00640C2C"/>
    <w:rsid w:val="00641034"/>
    <w:rsid w:val="00641311"/>
    <w:rsid w:val="00641388"/>
    <w:rsid w:val="00641B5F"/>
    <w:rsid w:val="00641C4E"/>
    <w:rsid w:val="00641EE5"/>
    <w:rsid w:val="00641F74"/>
    <w:rsid w:val="00642ADE"/>
    <w:rsid w:val="00643072"/>
    <w:rsid w:val="006433B5"/>
    <w:rsid w:val="006436EE"/>
    <w:rsid w:val="00643782"/>
    <w:rsid w:val="00643E43"/>
    <w:rsid w:val="00644177"/>
    <w:rsid w:val="006445A6"/>
    <w:rsid w:val="00644ABB"/>
    <w:rsid w:val="00644B6C"/>
    <w:rsid w:val="006456E8"/>
    <w:rsid w:val="0064573E"/>
    <w:rsid w:val="00645F0B"/>
    <w:rsid w:val="00645FCA"/>
    <w:rsid w:val="00646353"/>
    <w:rsid w:val="00646601"/>
    <w:rsid w:val="00646662"/>
    <w:rsid w:val="0064670F"/>
    <w:rsid w:val="00646886"/>
    <w:rsid w:val="00646C2D"/>
    <w:rsid w:val="00646D8D"/>
    <w:rsid w:val="00647774"/>
    <w:rsid w:val="006479CF"/>
    <w:rsid w:val="006479E6"/>
    <w:rsid w:val="00647AE6"/>
    <w:rsid w:val="00647BBE"/>
    <w:rsid w:val="006501B9"/>
    <w:rsid w:val="006505C1"/>
    <w:rsid w:val="00650BD2"/>
    <w:rsid w:val="00650DF3"/>
    <w:rsid w:val="006510A8"/>
    <w:rsid w:val="00651365"/>
    <w:rsid w:val="006518D6"/>
    <w:rsid w:val="00652398"/>
    <w:rsid w:val="006528DB"/>
    <w:rsid w:val="00652A31"/>
    <w:rsid w:val="00652D4F"/>
    <w:rsid w:val="00652DD5"/>
    <w:rsid w:val="00652F2D"/>
    <w:rsid w:val="0065355A"/>
    <w:rsid w:val="0065373C"/>
    <w:rsid w:val="00653AE6"/>
    <w:rsid w:val="006541DA"/>
    <w:rsid w:val="006543FC"/>
    <w:rsid w:val="0065452C"/>
    <w:rsid w:val="0065490E"/>
    <w:rsid w:val="0065495A"/>
    <w:rsid w:val="006549DE"/>
    <w:rsid w:val="00654A6D"/>
    <w:rsid w:val="00655689"/>
    <w:rsid w:val="006557C3"/>
    <w:rsid w:val="00655965"/>
    <w:rsid w:val="006559A4"/>
    <w:rsid w:val="00655B32"/>
    <w:rsid w:val="00655CC7"/>
    <w:rsid w:val="006565AE"/>
    <w:rsid w:val="00656BB1"/>
    <w:rsid w:val="00656C18"/>
    <w:rsid w:val="0065700D"/>
    <w:rsid w:val="00657AA3"/>
    <w:rsid w:val="00657E92"/>
    <w:rsid w:val="006600A9"/>
    <w:rsid w:val="00660509"/>
    <w:rsid w:val="00660798"/>
    <w:rsid w:val="006607D3"/>
    <w:rsid w:val="00660E7E"/>
    <w:rsid w:val="00660EBE"/>
    <w:rsid w:val="00661506"/>
    <w:rsid w:val="00661747"/>
    <w:rsid w:val="006617CE"/>
    <w:rsid w:val="0066237F"/>
    <w:rsid w:val="00662FE2"/>
    <w:rsid w:val="00663246"/>
    <w:rsid w:val="00663541"/>
    <w:rsid w:val="0066369F"/>
    <w:rsid w:val="0066377A"/>
    <w:rsid w:val="00663B7A"/>
    <w:rsid w:val="00663C1E"/>
    <w:rsid w:val="00663C61"/>
    <w:rsid w:val="0066416C"/>
    <w:rsid w:val="006642B8"/>
    <w:rsid w:val="006645A9"/>
    <w:rsid w:val="00664903"/>
    <w:rsid w:val="00664A7D"/>
    <w:rsid w:val="00664A8E"/>
    <w:rsid w:val="00664FF7"/>
    <w:rsid w:val="006651EF"/>
    <w:rsid w:val="0066623E"/>
    <w:rsid w:val="0066641D"/>
    <w:rsid w:val="00666809"/>
    <w:rsid w:val="0066685F"/>
    <w:rsid w:val="0066691F"/>
    <w:rsid w:val="00666B6E"/>
    <w:rsid w:val="00666D07"/>
    <w:rsid w:val="00666EA6"/>
    <w:rsid w:val="00667DC8"/>
    <w:rsid w:val="00667E30"/>
    <w:rsid w:val="006701D0"/>
    <w:rsid w:val="0067041B"/>
    <w:rsid w:val="006704B5"/>
    <w:rsid w:val="0067099B"/>
    <w:rsid w:val="00670CDF"/>
    <w:rsid w:val="00670FC3"/>
    <w:rsid w:val="00671076"/>
    <w:rsid w:val="006714C5"/>
    <w:rsid w:val="00671848"/>
    <w:rsid w:val="00671AD4"/>
    <w:rsid w:val="00672E9C"/>
    <w:rsid w:val="00672F15"/>
    <w:rsid w:val="006732E1"/>
    <w:rsid w:val="0067348E"/>
    <w:rsid w:val="00673705"/>
    <w:rsid w:val="0067424E"/>
    <w:rsid w:val="00674279"/>
    <w:rsid w:val="00674334"/>
    <w:rsid w:val="00674363"/>
    <w:rsid w:val="006757D0"/>
    <w:rsid w:val="00675A31"/>
    <w:rsid w:val="00675C80"/>
    <w:rsid w:val="00675DD4"/>
    <w:rsid w:val="00675FDF"/>
    <w:rsid w:val="006761CA"/>
    <w:rsid w:val="00676245"/>
    <w:rsid w:val="00676B4E"/>
    <w:rsid w:val="00676FB5"/>
    <w:rsid w:val="0067714A"/>
    <w:rsid w:val="00677710"/>
    <w:rsid w:val="006778AA"/>
    <w:rsid w:val="006801F4"/>
    <w:rsid w:val="00680383"/>
    <w:rsid w:val="00680584"/>
    <w:rsid w:val="00680FF3"/>
    <w:rsid w:val="006811F5"/>
    <w:rsid w:val="0068123D"/>
    <w:rsid w:val="006815BC"/>
    <w:rsid w:val="006818AC"/>
    <w:rsid w:val="00681B27"/>
    <w:rsid w:val="00682168"/>
    <w:rsid w:val="0068265F"/>
    <w:rsid w:val="00682707"/>
    <w:rsid w:val="006834F0"/>
    <w:rsid w:val="0068384F"/>
    <w:rsid w:val="0068396C"/>
    <w:rsid w:val="0068408E"/>
    <w:rsid w:val="006843A7"/>
    <w:rsid w:val="0068457C"/>
    <w:rsid w:val="006845B9"/>
    <w:rsid w:val="006845C6"/>
    <w:rsid w:val="00684773"/>
    <w:rsid w:val="00684CBB"/>
    <w:rsid w:val="00684DAE"/>
    <w:rsid w:val="006850C0"/>
    <w:rsid w:val="006856B1"/>
    <w:rsid w:val="00685E4B"/>
    <w:rsid w:val="00686278"/>
    <w:rsid w:val="006863BF"/>
    <w:rsid w:val="006872CF"/>
    <w:rsid w:val="006878AE"/>
    <w:rsid w:val="00687CD8"/>
    <w:rsid w:val="0069019C"/>
    <w:rsid w:val="00690657"/>
    <w:rsid w:val="006907E8"/>
    <w:rsid w:val="0069081F"/>
    <w:rsid w:val="00690D06"/>
    <w:rsid w:val="006917CD"/>
    <w:rsid w:val="006920BC"/>
    <w:rsid w:val="00692116"/>
    <w:rsid w:val="0069223F"/>
    <w:rsid w:val="00692418"/>
    <w:rsid w:val="00692541"/>
    <w:rsid w:val="00692934"/>
    <w:rsid w:val="00692DD4"/>
    <w:rsid w:val="0069482D"/>
    <w:rsid w:val="00694A90"/>
    <w:rsid w:val="00694D64"/>
    <w:rsid w:val="006955C0"/>
    <w:rsid w:val="006962E2"/>
    <w:rsid w:val="006967AA"/>
    <w:rsid w:val="006967C4"/>
    <w:rsid w:val="0069686C"/>
    <w:rsid w:val="00697658"/>
    <w:rsid w:val="00697855"/>
    <w:rsid w:val="0069786D"/>
    <w:rsid w:val="00697EAE"/>
    <w:rsid w:val="006A0074"/>
    <w:rsid w:val="006A0352"/>
    <w:rsid w:val="006A0997"/>
    <w:rsid w:val="006A150D"/>
    <w:rsid w:val="006A15AE"/>
    <w:rsid w:val="006A1741"/>
    <w:rsid w:val="006A1D1B"/>
    <w:rsid w:val="006A1F4C"/>
    <w:rsid w:val="006A20AF"/>
    <w:rsid w:val="006A2283"/>
    <w:rsid w:val="006A23AC"/>
    <w:rsid w:val="006A2C19"/>
    <w:rsid w:val="006A2C96"/>
    <w:rsid w:val="006A36FA"/>
    <w:rsid w:val="006A3A07"/>
    <w:rsid w:val="006A3DC5"/>
    <w:rsid w:val="006A41B4"/>
    <w:rsid w:val="006A4431"/>
    <w:rsid w:val="006A46BC"/>
    <w:rsid w:val="006A4BB1"/>
    <w:rsid w:val="006A56F1"/>
    <w:rsid w:val="006A57D5"/>
    <w:rsid w:val="006A5862"/>
    <w:rsid w:val="006A59FE"/>
    <w:rsid w:val="006A5D89"/>
    <w:rsid w:val="006A6546"/>
    <w:rsid w:val="006A6617"/>
    <w:rsid w:val="006A67A5"/>
    <w:rsid w:val="006A6A56"/>
    <w:rsid w:val="006A6F85"/>
    <w:rsid w:val="006A71B1"/>
    <w:rsid w:val="006A735B"/>
    <w:rsid w:val="006A7591"/>
    <w:rsid w:val="006A7DDF"/>
    <w:rsid w:val="006B035D"/>
    <w:rsid w:val="006B07C9"/>
    <w:rsid w:val="006B0903"/>
    <w:rsid w:val="006B0A90"/>
    <w:rsid w:val="006B0AB2"/>
    <w:rsid w:val="006B0B36"/>
    <w:rsid w:val="006B11E9"/>
    <w:rsid w:val="006B2847"/>
    <w:rsid w:val="006B2F7F"/>
    <w:rsid w:val="006B30BF"/>
    <w:rsid w:val="006B330C"/>
    <w:rsid w:val="006B359E"/>
    <w:rsid w:val="006B3C3E"/>
    <w:rsid w:val="006B41D5"/>
    <w:rsid w:val="006B4591"/>
    <w:rsid w:val="006B4643"/>
    <w:rsid w:val="006B495B"/>
    <w:rsid w:val="006B4B24"/>
    <w:rsid w:val="006B5046"/>
    <w:rsid w:val="006B506C"/>
    <w:rsid w:val="006B5195"/>
    <w:rsid w:val="006B559A"/>
    <w:rsid w:val="006B626A"/>
    <w:rsid w:val="006B641C"/>
    <w:rsid w:val="006B6B0B"/>
    <w:rsid w:val="006B6BF5"/>
    <w:rsid w:val="006B7175"/>
    <w:rsid w:val="006B71B4"/>
    <w:rsid w:val="006B7440"/>
    <w:rsid w:val="006B7548"/>
    <w:rsid w:val="006B7782"/>
    <w:rsid w:val="006B7FE7"/>
    <w:rsid w:val="006C0325"/>
    <w:rsid w:val="006C0389"/>
    <w:rsid w:val="006C0603"/>
    <w:rsid w:val="006C07C1"/>
    <w:rsid w:val="006C098B"/>
    <w:rsid w:val="006C0A80"/>
    <w:rsid w:val="006C0E39"/>
    <w:rsid w:val="006C0F0A"/>
    <w:rsid w:val="006C15D5"/>
    <w:rsid w:val="006C15E5"/>
    <w:rsid w:val="006C2273"/>
    <w:rsid w:val="006C2291"/>
    <w:rsid w:val="006C22A3"/>
    <w:rsid w:val="006C23F6"/>
    <w:rsid w:val="006C295D"/>
    <w:rsid w:val="006C29AA"/>
    <w:rsid w:val="006C29D9"/>
    <w:rsid w:val="006C2DF2"/>
    <w:rsid w:val="006C2FF2"/>
    <w:rsid w:val="006C301D"/>
    <w:rsid w:val="006C3488"/>
    <w:rsid w:val="006C3691"/>
    <w:rsid w:val="006C3B7A"/>
    <w:rsid w:val="006C3BCE"/>
    <w:rsid w:val="006C4CFB"/>
    <w:rsid w:val="006C4FB3"/>
    <w:rsid w:val="006C522F"/>
    <w:rsid w:val="006C53CC"/>
    <w:rsid w:val="006C555A"/>
    <w:rsid w:val="006C5582"/>
    <w:rsid w:val="006C55EA"/>
    <w:rsid w:val="006C5817"/>
    <w:rsid w:val="006C594C"/>
    <w:rsid w:val="006C6160"/>
    <w:rsid w:val="006C6E58"/>
    <w:rsid w:val="006C6EDA"/>
    <w:rsid w:val="006C79CF"/>
    <w:rsid w:val="006C7CCE"/>
    <w:rsid w:val="006C7F18"/>
    <w:rsid w:val="006D031B"/>
    <w:rsid w:val="006D034A"/>
    <w:rsid w:val="006D09AD"/>
    <w:rsid w:val="006D0A33"/>
    <w:rsid w:val="006D20FD"/>
    <w:rsid w:val="006D260A"/>
    <w:rsid w:val="006D2C8E"/>
    <w:rsid w:val="006D2E07"/>
    <w:rsid w:val="006D3248"/>
    <w:rsid w:val="006D3619"/>
    <w:rsid w:val="006D40A2"/>
    <w:rsid w:val="006D4297"/>
    <w:rsid w:val="006D4626"/>
    <w:rsid w:val="006D46B0"/>
    <w:rsid w:val="006D53C1"/>
    <w:rsid w:val="006D58B1"/>
    <w:rsid w:val="006D5BF2"/>
    <w:rsid w:val="006D5EBB"/>
    <w:rsid w:val="006D5F78"/>
    <w:rsid w:val="006D6078"/>
    <w:rsid w:val="006D6471"/>
    <w:rsid w:val="006D66FD"/>
    <w:rsid w:val="006D67C7"/>
    <w:rsid w:val="006D6CFA"/>
    <w:rsid w:val="006D744A"/>
    <w:rsid w:val="006D7713"/>
    <w:rsid w:val="006D77D5"/>
    <w:rsid w:val="006D7937"/>
    <w:rsid w:val="006D7B63"/>
    <w:rsid w:val="006D7B78"/>
    <w:rsid w:val="006D7BDE"/>
    <w:rsid w:val="006D7C66"/>
    <w:rsid w:val="006E015D"/>
    <w:rsid w:val="006E05C1"/>
    <w:rsid w:val="006E0947"/>
    <w:rsid w:val="006E0F9A"/>
    <w:rsid w:val="006E1A4D"/>
    <w:rsid w:val="006E1A7B"/>
    <w:rsid w:val="006E242C"/>
    <w:rsid w:val="006E27F9"/>
    <w:rsid w:val="006E2C3C"/>
    <w:rsid w:val="006E2E10"/>
    <w:rsid w:val="006E32B2"/>
    <w:rsid w:val="006E351B"/>
    <w:rsid w:val="006E368E"/>
    <w:rsid w:val="006E383C"/>
    <w:rsid w:val="006E3B64"/>
    <w:rsid w:val="006E3D7A"/>
    <w:rsid w:val="006E45EA"/>
    <w:rsid w:val="006E48B3"/>
    <w:rsid w:val="006E49ED"/>
    <w:rsid w:val="006E4B27"/>
    <w:rsid w:val="006E4C27"/>
    <w:rsid w:val="006E4C9A"/>
    <w:rsid w:val="006E4D71"/>
    <w:rsid w:val="006E5065"/>
    <w:rsid w:val="006E5184"/>
    <w:rsid w:val="006E5308"/>
    <w:rsid w:val="006E554D"/>
    <w:rsid w:val="006E5721"/>
    <w:rsid w:val="006E6040"/>
    <w:rsid w:val="006E61E7"/>
    <w:rsid w:val="006E62C4"/>
    <w:rsid w:val="006E633D"/>
    <w:rsid w:val="006E6390"/>
    <w:rsid w:val="006E63A4"/>
    <w:rsid w:val="006E64B2"/>
    <w:rsid w:val="006E6651"/>
    <w:rsid w:val="006E68A3"/>
    <w:rsid w:val="006E69E9"/>
    <w:rsid w:val="006E6F3E"/>
    <w:rsid w:val="006E7C8B"/>
    <w:rsid w:val="006E7E19"/>
    <w:rsid w:val="006F001A"/>
    <w:rsid w:val="006F0123"/>
    <w:rsid w:val="006F02EC"/>
    <w:rsid w:val="006F0641"/>
    <w:rsid w:val="006F098F"/>
    <w:rsid w:val="006F0DE8"/>
    <w:rsid w:val="006F1003"/>
    <w:rsid w:val="006F129D"/>
    <w:rsid w:val="006F15D3"/>
    <w:rsid w:val="006F1968"/>
    <w:rsid w:val="006F19F7"/>
    <w:rsid w:val="006F1DAF"/>
    <w:rsid w:val="006F1DBF"/>
    <w:rsid w:val="006F20E1"/>
    <w:rsid w:val="006F266E"/>
    <w:rsid w:val="006F26E5"/>
    <w:rsid w:val="006F2D43"/>
    <w:rsid w:val="006F31D6"/>
    <w:rsid w:val="006F3681"/>
    <w:rsid w:val="006F3917"/>
    <w:rsid w:val="006F3ADC"/>
    <w:rsid w:val="006F3EDA"/>
    <w:rsid w:val="006F47DC"/>
    <w:rsid w:val="006F4A99"/>
    <w:rsid w:val="006F4C57"/>
    <w:rsid w:val="006F4C62"/>
    <w:rsid w:val="006F4CCE"/>
    <w:rsid w:val="006F4DF6"/>
    <w:rsid w:val="006F5020"/>
    <w:rsid w:val="006F5A62"/>
    <w:rsid w:val="006F5C61"/>
    <w:rsid w:val="006F613C"/>
    <w:rsid w:val="006F65FE"/>
    <w:rsid w:val="006F6657"/>
    <w:rsid w:val="006F6A09"/>
    <w:rsid w:val="006F7241"/>
    <w:rsid w:val="006F73D4"/>
    <w:rsid w:val="006F770A"/>
    <w:rsid w:val="006F7B5E"/>
    <w:rsid w:val="006F7FB4"/>
    <w:rsid w:val="00700AC0"/>
    <w:rsid w:val="00700F5C"/>
    <w:rsid w:val="00700FCB"/>
    <w:rsid w:val="0070122F"/>
    <w:rsid w:val="00701524"/>
    <w:rsid w:val="00701652"/>
    <w:rsid w:val="00701818"/>
    <w:rsid w:val="00701A4A"/>
    <w:rsid w:val="00701B5B"/>
    <w:rsid w:val="00701B89"/>
    <w:rsid w:val="00701C29"/>
    <w:rsid w:val="0070297A"/>
    <w:rsid w:val="00702A12"/>
    <w:rsid w:val="00702A7E"/>
    <w:rsid w:val="00703250"/>
    <w:rsid w:val="0070356E"/>
    <w:rsid w:val="00704231"/>
    <w:rsid w:val="007046DB"/>
    <w:rsid w:val="00705146"/>
    <w:rsid w:val="007051E1"/>
    <w:rsid w:val="00706653"/>
    <w:rsid w:val="0070678F"/>
    <w:rsid w:val="00707102"/>
    <w:rsid w:val="00707164"/>
    <w:rsid w:val="00707870"/>
    <w:rsid w:val="00707A24"/>
    <w:rsid w:val="00710082"/>
    <w:rsid w:val="007104AD"/>
    <w:rsid w:val="00710C72"/>
    <w:rsid w:val="00711294"/>
    <w:rsid w:val="007112AA"/>
    <w:rsid w:val="007112C1"/>
    <w:rsid w:val="00711B0B"/>
    <w:rsid w:val="007121F5"/>
    <w:rsid w:val="007123A1"/>
    <w:rsid w:val="00712913"/>
    <w:rsid w:val="00712A7A"/>
    <w:rsid w:val="00712D37"/>
    <w:rsid w:val="00712F25"/>
    <w:rsid w:val="00712F83"/>
    <w:rsid w:val="007131E1"/>
    <w:rsid w:val="00713251"/>
    <w:rsid w:val="00713468"/>
    <w:rsid w:val="00713B50"/>
    <w:rsid w:val="00713DB6"/>
    <w:rsid w:val="0071460A"/>
    <w:rsid w:val="00714E5E"/>
    <w:rsid w:val="00714EE5"/>
    <w:rsid w:val="00714F2B"/>
    <w:rsid w:val="00715990"/>
    <w:rsid w:val="00715CF9"/>
    <w:rsid w:val="00715DD5"/>
    <w:rsid w:val="00716345"/>
    <w:rsid w:val="0071646F"/>
    <w:rsid w:val="00716F05"/>
    <w:rsid w:val="0071704B"/>
    <w:rsid w:val="0071754E"/>
    <w:rsid w:val="00717708"/>
    <w:rsid w:val="00717730"/>
    <w:rsid w:val="00717BC7"/>
    <w:rsid w:val="00717F72"/>
    <w:rsid w:val="00720419"/>
    <w:rsid w:val="0072138B"/>
    <w:rsid w:val="007213D9"/>
    <w:rsid w:val="00721A70"/>
    <w:rsid w:val="00721CBC"/>
    <w:rsid w:val="00722364"/>
    <w:rsid w:val="0072293A"/>
    <w:rsid w:val="00722B5E"/>
    <w:rsid w:val="00722BE9"/>
    <w:rsid w:val="00722D55"/>
    <w:rsid w:val="00722DEA"/>
    <w:rsid w:val="00722F5F"/>
    <w:rsid w:val="007231FB"/>
    <w:rsid w:val="00723242"/>
    <w:rsid w:val="00723FD5"/>
    <w:rsid w:val="007241D3"/>
    <w:rsid w:val="007248D2"/>
    <w:rsid w:val="00724C75"/>
    <w:rsid w:val="00724CBB"/>
    <w:rsid w:val="00724CEB"/>
    <w:rsid w:val="00725048"/>
    <w:rsid w:val="0072561A"/>
    <w:rsid w:val="00725B61"/>
    <w:rsid w:val="0072678D"/>
    <w:rsid w:val="007268F3"/>
    <w:rsid w:val="00726FD2"/>
    <w:rsid w:val="00727342"/>
    <w:rsid w:val="00727349"/>
    <w:rsid w:val="00727579"/>
    <w:rsid w:val="007277F1"/>
    <w:rsid w:val="00727AF9"/>
    <w:rsid w:val="00727CF3"/>
    <w:rsid w:val="00727FBC"/>
    <w:rsid w:val="00730482"/>
    <w:rsid w:val="0073053E"/>
    <w:rsid w:val="00730732"/>
    <w:rsid w:val="0073074F"/>
    <w:rsid w:val="007309FB"/>
    <w:rsid w:val="00730CEA"/>
    <w:rsid w:val="00730F74"/>
    <w:rsid w:val="0073103A"/>
    <w:rsid w:val="0073151E"/>
    <w:rsid w:val="00731CE4"/>
    <w:rsid w:val="00731E65"/>
    <w:rsid w:val="00732427"/>
    <w:rsid w:val="007327DF"/>
    <w:rsid w:val="00732B28"/>
    <w:rsid w:val="00732DBA"/>
    <w:rsid w:val="00733320"/>
    <w:rsid w:val="00733656"/>
    <w:rsid w:val="00733958"/>
    <w:rsid w:val="00733C39"/>
    <w:rsid w:val="00733E2D"/>
    <w:rsid w:val="00734649"/>
    <w:rsid w:val="007349FC"/>
    <w:rsid w:val="00734F63"/>
    <w:rsid w:val="00735308"/>
    <w:rsid w:val="00735341"/>
    <w:rsid w:val="00735563"/>
    <w:rsid w:val="00735666"/>
    <w:rsid w:val="00735A66"/>
    <w:rsid w:val="00735B29"/>
    <w:rsid w:val="00735D73"/>
    <w:rsid w:val="0073629F"/>
    <w:rsid w:val="00736A75"/>
    <w:rsid w:val="00736D86"/>
    <w:rsid w:val="00736E2C"/>
    <w:rsid w:val="0073775E"/>
    <w:rsid w:val="007379D1"/>
    <w:rsid w:val="00737B29"/>
    <w:rsid w:val="00737C5A"/>
    <w:rsid w:val="00741754"/>
    <w:rsid w:val="00741F52"/>
    <w:rsid w:val="0074204D"/>
    <w:rsid w:val="00742057"/>
    <w:rsid w:val="00742A70"/>
    <w:rsid w:val="00742A7A"/>
    <w:rsid w:val="00742AB7"/>
    <w:rsid w:val="00742ACF"/>
    <w:rsid w:val="00742BCD"/>
    <w:rsid w:val="00742D71"/>
    <w:rsid w:val="0074303D"/>
    <w:rsid w:val="00743B09"/>
    <w:rsid w:val="00744594"/>
    <w:rsid w:val="00744D8E"/>
    <w:rsid w:val="00745478"/>
    <w:rsid w:val="00745801"/>
    <w:rsid w:val="00745B3F"/>
    <w:rsid w:val="00745B74"/>
    <w:rsid w:val="00745DB6"/>
    <w:rsid w:val="00745E69"/>
    <w:rsid w:val="007463C5"/>
    <w:rsid w:val="00746638"/>
    <w:rsid w:val="0074686D"/>
    <w:rsid w:val="00746936"/>
    <w:rsid w:val="00746D53"/>
    <w:rsid w:val="007470D1"/>
    <w:rsid w:val="00747240"/>
    <w:rsid w:val="007474AB"/>
    <w:rsid w:val="00747DEF"/>
    <w:rsid w:val="00747E16"/>
    <w:rsid w:val="007511F6"/>
    <w:rsid w:val="00751576"/>
    <w:rsid w:val="007515E7"/>
    <w:rsid w:val="00751B35"/>
    <w:rsid w:val="00751C15"/>
    <w:rsid w:val="00751C5D"/>
    <w:rsid w:val="00751CF3"/>
    <w:rsid w:val="00752028"/>
    <w:rsid w:val="00752185"/>
    <w:rsid w:val="0075240C"/>
    <w:rsid w:val="00752737"/>
    <w:rsid w:val="007528AC"/>
    <w:rsid w:val="00752996"/>
    <w:rsid w:val="00753066"/>
    <w:rsid w:val="00753320"/>
    <w:rsid w:val="00753534"/>
    <w:rsid w:val="007536DA"/>
    <w:rsid w:val="007537C8"/>
    <w:rsid w:val="00753C91"/>
    <w:rsid w:val="00753F04"/>
    <w:rsid w:val="00753F18"/>
    <w:rsid w:val="00753F51"/>
    <w:rsid w:val="00753F59"/>
    <w:rsid w:val="00754271"/>
    <w:rsid w:val="00754305"/>
    <w:rsid w:val="00754496"/>
    <w:rsid w:val="007544AE"/>
    <w:rsid w:val="00754776"/>
    <w:rsid w:val="00755275"/>
    <w:rsid w:val="00755999"/>
    <w:rsid w:val="00755F11"/>
    <w:rsid w:val="0075641F"/>
    <w:rsid w:val="00756497"/>
    <w:rsid w:val="0075672E"/>
    <w:rsid w:val="00756A07"/>
    <w:rsid w:val="00756A26"/>
    <w:rsid w:val="00756AEF"/>
    <w:rsid w:val="0075746E"/>
    <w:rsid w:val="00757538"/>
    <w:rsid w:val="00757746"/>
    <w:rsid w:val="007600A7"/>
    <w:rsid w:val="00760599"/>
    <w:rsid w:val="007608FD"/>
    <w:rsid w:val="00760A88"/>
    <w:rsid w:val="00760BEB"/>
    <w:rsid w:val="00760E28"/>
    <w:rsid w:val="00760EB4"/>
    <w:rsid w:val="00760F66"/>
    <w:rsid w:val="007617A6"/>
    <w:rsid w:val="00761AFD"/>
    <w:rsid w:val="00761E11"/>
    <w:rsid w:val="00761E1E"/>
    <w:rsid w:val="007623ED"/>
    <w:rsid w:val="00762933"/>
    <w:rsid w:val="00762BE0"/>
    <w:rsid w:val="00762CD7"/>
    <w:rsid w:val="00762E6C"/>
    <w:rsid w:val="00763171"/>
    <w:rsid w:val="00763517"/>
    <w:rsid w:val="007639D9"/>
    <w:rsid w:val="00763B32"/>
    <w:rsid w:val="00763BC3"/>
    <w:rsid w:val="00763C8D"/>
    <w:rsid w:val="007643CA"/>
    <w:rsid w:val="0076493D"/>
    <w:rsid w:val="00765129"/>
    <w:rsid w:val="007651D9"/>
    <w:rsid w:val="0076547C"/>
    <w:rsid w:val="007656E9"/>
    <w:rsid w:val="00765725"/>
    <w:rsid w:val="00765B37"/>
    <w:rsid w:val="00765C8F"/>
    <w:rsid w:val="00766028"/>
    <w:rsid w:val="007664CB"/>
    <w:rsid w:val="00766801"/>
    <w:rsid w:val="00766AFE"/>
    <w:rsid w:val="00766D3D"/>
    <w:rsid w:val="00766D8F"/>
    <w:rsid w:val="00767163"/>
    <w:rsid w:val="0076719C"/>
    <w:rsid w:val="007675BC"/>
    <w:rsid w:val="00767726"/>
    <w:rsid w:val="00767A6C"/>
    <w:rsid w:val="00767B61"/>
    <w:rsid w:val="00767E82"/>
    <w:rsid w:val="00770467"/>
    <w:rsid w:val="0077046B"/>
    <w:rsid w:val="007705A3"/>
    <w:rsid w:val="0077068C"/>
    <w:rsid w:val="007708C4"/>
    <w:rsid w:val="007709F2"/>
    <w:rsid w:val="00770BAC"/>
    <w:rsid w:val="00770DC3"/>
    <w:rsid w:val="00771107"/>
    <w:rsid w:val="00771125"/>
    <w:rsid w:val="007717A0"/>
    <w:rsid w:val="00771893"/>
    <w:rsid w:val="00771A5F"/>
    <w:rsid w:val="00771A6C"/>
    <w:rsid w:val="00771FE7"/>
    <w:rsid w:val="0077210C"/>
    <w:rsid w:val="007725D3"/>
    <w:rsid w:val="0077261A"/>
    <w:rsid w:val="00772975"/>
    <w:rsid w:val="00772CAC"/>
    <w:rsid w:val="00772F5E"/>
    <w:rsid w:val="007730F2"/>
    <w:rsid w:val="007735B2"/>
    <w:rsid w:val="00773ED5"/>
    <w:rsid w:val="00774980"/>
    <w:rsid w:val="007751B6"/>
    <w:rsid w:val="0077532E"/>
    <w:rsid w:val="007753C0"/>
    <w:rsid w:val="0077544E"/>
    <w:rsid w:val="0077560A"/>
    <w:rsid w:val="007757CF"/>
    <w:rsid w:val="00775CE4"/>
    <w:rsid w:val="00775FA4"/>
    <w:rsid w:val="007760DE"/>
    <w:rsid w:val="0077656C"/>
    <w:rsid w:val="007765C3"/>
    <w:rsid w:val="0077693C"/>
    <w:rsid w:val="00776B10"/>
    <w:rsid w:val="00776CD1"/>
    <w:rsid w:val="00776FAF"/>
    <w:rsid w:val="00777112"/>
    <w:rsid w:val="007771CA"/>
    <w:rsid w:val="0077725A"/>
    <w:rsid w:val="0077767B"/>
    <w:rsid w:val="00777DA5"/>
    <w:rsid w:val="00777DF5"/>
    <w:rsid w:val="007802EE"/>
    <w:rsid w:val="0078031F"/>
    <w:rsid w:val="007803A0"/>
    <w:rsid w:val="00780746"/>
    <w:rsid w:val="007807B8"/>
    <w:rsid w:val="00780974"/>
    <w:rsid w:val="00780FC9"/>
    <w:rsid w:val="007810DA"/>
    <w:rsid w:val="007819A1"/>
    <w:rsid w:val="00781A80"/>
    <w:rsid w:val="00781B5D"/>
    <w:rsid w:val="00781B87"/>
    <w:rsid w:val="00781C45"/>
    <w:rsid w:val="00781DBF"/>
    <w:rsid w:val="00781EA4"/>
    <w:rsid w:val="00782197"/>
    <w:rsid w:val="007821C7"/>
    <w:rsid w:val="00782D16"/>
    <w:rsid w:val="00783209"/>
    <w:rsid w:val="00783764"/>
    <w:rsid w:val="007846EF"/>
    <w:rsid w:val="00784788"/>
    <w:rsid w:val="0078491E"/>
    <w:rsid w:val="00785419"/>
    <w:rsid w:val="007854C5"/>
    <w:rsid w:val="00785E02"/>
    <w:rsid w:val="00786519"/>
    <w:rsid w:val="00786AFC"/>
    <w:rsid w:val="00786C54"/>
    <w:rsid w:val="00786DA1"/>
    <w:rsid w:val="0078702C"/>
    <w:rsid w:val="00787165"/>
    <w:rsid w:val="0079035F"/>
    <w:rsid w:val="00790540"/>
    <w:rsid w:val="0079056C"/>
    <w:rsid w:val="0079065E"/>
    <w:rsid w:val="007908E7"/>
    <w:rsid w:val="007909C2"/>
    <w:rsid w:val="00790A62"/>
    <w:rsid w:val="00790BE1"/>
    <w:rsid w:val="00790CC0"/>
    <w:rsid w:val="00790D28"/>
    <w:rsid w:val="00790D4D"/>
    <w:rsid w:val="00790DA5"/>
    <w:rsid w:val="00790EF3"/>
    <w:rsid w:val="00790F3D"/>
    <w:rsid w:val="007923B1"/>
    <w:rsid w:val="00792735"/>
    <w:rsid w:val="007928B5"/>
    <w:rsid w:val="00792F1D"/>
    <w:rsid w:val="00792F44"/>
    <w:rsid w:val="00793051"/>
    <w:rsid w:val="007934A1"/>
    <w:rsid w:val="007937E8"/>
    <w:rsid w:val="007937FE"/>
    <w:rsid w:val="00793E18"/>
    <w:rsid w:val="00793E8E"/>
    <w:rsid w:val="00793EC6"/>
    <w:rsid w:val="00793FA5"/>
    <w:rsid w:val="007945CF"/>
    <w:rsid w:val="00794702"/>
    <w:rsid w:val="00794842"/>
    <w:rsid w:val="007948FB"/>
    <w:rsid w:val="00794E4C"/>
    <w:rsid w:val="00795019"/>
    <w:rsid w:val="007951B7"/>
    <w:rsid w:val="0079534E"/>
    <w:rsid w:val="00795AB6"/>
    <w:rsid w:val="00795C62"/>
    <w:rsid w:val="00796817"/>
    <w:rsid w:val="00796D68"/>
    <w:rsid w:val="00797063"/>
    <w:rsid w:val="00797A35"/>
    <w:rsid w:val="00797A6B"/>
    <w:rsid w:val="00797B8C"/>
    <w:rsid w:val="00797CE3"/>
    <w:rsid w:val="00797D89"/>
    <w:rsid w:val="00797E27"/>
    <w:rsid w:val="007A0423"/>
    <w:rsid w:val="007A06E7"/>
    <w:rsid w:val="007A09D9"/>
    <w:rsid w:val="007A0C82"/>
    <w:rsid w:val="007A0F26"/>
    <w:rsid w:val="007A128A"/>
    <w:rsid w:val="007A1B4E"/>
    <w:rsid w:val="007A2065"/>
    <w:rsid w:val="007A2336"/>
    <w:rsid w:val="007A241E"/>
    <w:rsid w:val="007A2C6D"/>
    <w:rsid w:val="007A2D51"/>
    <w:rsid w:val="007A358D"/>
    <w:rsid w:val="007A3637"/>
    <w:rsid w:val="007A36D6"/>
    <w:rsid w:val="007A37B1"/>
    <w:rsid w:val="007A3869"/>
    <w:rsid w:val="007A39F3"/>
    <w:rsid w:val="007A3BBF"/>
    <w:rsid w:val="007A3E9F"/>
    <w:rsid w:val="007A4DE1"/>
    <w:rsid w:val="007A5B97"/>
    <w:rsid w:val="007A60A7"/>
    <w:rsid w:val="007A6CFB"/>
    <w:rsid w:val="007A7245"/>
    <w:rsid w:val="007A755C"/>
    <w:rsid w:val="007A7B2E"/>
    <w:rsid w:val="007A7B43"/>
    <w:rsid w:val="007A7BC5"/>
    <w:rsid w:val="007B0235"/>
    <w:rsid w:val="007B09AF"/>
    <w:rsid w:val="007B0C05"/>
    <w:rsid w:val="007B1700"/>
    <w:rsid w:val="007B1787"/>
    <w:rsid w:val="007B1D7A"/>
    <w:rsid w:val="007B1DF9"/>
    <w:rsid w:val="007B21C2"/>
    <w:rsid w:val="007B384C"/>
    <w:rsid w:val="007B3D38"/>
    <w:rsid w:val="007B3DB3"/>
    <w:rsid w:val="007B406D"/>
    <w:rsid w:val="007B4469"/>
    <w:rsid w:val="007B4FFF"/>
    <w:rsid w:val="007B5154"/>
    <w:rsid w:val="007B5CFE"/>
    <w:rsid w:val="007B6171"/>
    <w:rsid w:val="007B648B"/>
    <w:rsid w:val="007B6679"/>
    <w:rsid w:val="007B66F2"/>
    <w:rsid w:val="007B6763"/>
    <w:rsid w:val="007B7211"/>
    <w:rsid w:val="007B7411"/>
    <w:rsid w:val="007B7BEC"/>
    <w:rsid w:val="007C03CC"/>
    <w:rsid w:val="007C056B"/>
    <w:rsid w:val="007C0E5B"/>
    <w:rsid w:val="007C0EA5"/>
    <w:rsid w:val="007C0F5C"/>
    <w:rsid w:val="007C0FD3"/>
    <w:rsid w:val="007C123F"/>
    <w:rsid w:val="007C16D1"/>
    <w:rsid w:val="007C16D4"/>
    <w:rsid w:val="007C176A"/>
    <w:rsid w:val="007C18E7"/>
    <w:rsid w:val="007C19C0"/>
    <w:rsid w:val="007C1BD4"/>
    <w:rsid w:val="007C1D6A"/>
    <w:rsid w:val="007C1D82"/>
    <w:rsid w:val="007C1E0C"/>
    <w:rsid w:val="007C2238"/>
    <w:rsid w:val="007C2499"/>
    <w:rsid w:val="007C3770"/>
    <w:rsid w:val="007C3938"/>
    <w:rsid w:val="007C3EBE"/>
    <w:rsid w:val="007C4A6C"/>
    <w:rsid w:val="007C4B78"/>
    <w:rsid w:val="007C4ED9"/>
    <w:rsid w:val="007C52D1"/>
    <w:rsid w:val="007C5666"/>
    <w:rsid w:val="007C59ED"/>
    <w:rsid w:val="007C60EC"/>
    <w:rsid w:val="007C713E"/>
    <w:rsid w:val="007C78FD"/>
    <w:rsid w:val="007C7A07"/>
    <w:rsid w:val="007D02A7"/>
    <w:rsid w:val="007D11B9"/>
    <w:rsid w:val="007D198F"/>
    <w:rsid w:val="007D21A7"/>
    <w:rsid w:val="007D28EC"/>
    <w:rsid w:val="007D2AE9"/>
    <w:rsid w:val="007D2C6E"/>
    <w:rsid w:val="007D2D78"/>
    <w:rsid w:val="007D33AB"/>
    <w:rsid w:val="007D34DD"/>
    <w:rsid w:val="007D3CBE"/>
    <w:rsid w:val="007D3E2F"/>
    <w:rsid w:val="007D3E77"/>
    <w:rsid w:val="007D40B2"/>
    <w:rsid w:val="007D41C9"/>
    <w:rsid w:val="007D42E8"/>
    <w:rsid w:val="007D448C"/>
    <w:rsid w:val="007D4642"/>
    <w:rsid w:val="007D4869"/>
    <w:rsid w:val="007D498F"/>
    <w:rsid w:val="007D4BEA"/>
    <w:rsid w:val="007D4F7B"/>
    <w:rsid w:val="007D5B7E"/>
    <w:rsid w:val="007D622C"/>
    <w:rsid w:val="007D652C"/>
    <w:rsid w:val="007D6AAA"/>
    <w:rsid w:val="007D6C61"/>
    <w:rsid w:val="007D6D6E"/>
    <w:rsid w:val="007D6F87"/>
    <w:rsid w:val="007D78F4"/>
    <w:rsid w:val="007D7914"/>
    <w:rsid w:val="007D79FD"/>
    <w:rsid w:val="007E04D5"/>
    <w:rsid w:val="007E0C9D"/>
    <w:rsid w:val="007E0D96"/>
    <w:rsid w:val="007E0ED5"/>
    <w:rsid w:val="007E0F95"/>
    <w:rsid w:val="007E10C8"/>
    <w:rsid w:val="007E13D0"/>
    <w:rsid w:val="007E1462"/>
    <w:rsid w:val="007E15AF"/>
    <w:rsid w:val="007E16DE"/>
    <w:rsid w:val="007E16F8"/>
    <w:rsid w:val="007E16FC"/>
    <w:rsid w:val="007E17A2"/>
    <w:rsid w:val="007E17CC"/>
    <w:rsid w:val="007E1ABF"/>
    <w:rsid w:val="007E1CFF"/>
    <w:rsid w:val="007E2007"/>
    <w:rsid w:val="007E2383"/>
    <w:rsid w:val="007E26BD"/>
    <w:rsid w:val="007E2D94"/>
    <w:rsid w:val="007E36B5"/>
    <w:rsid w:val="007E3C0B"/>
    <w:rsid w:val="007E3ED3"/>
    <w:rsid w:val="007E4723"/>
    <w:rsid w:val="007E5134"/>
    <w:rsid w:val="007E51E4"/>
    <w:rsid w:val="007E58F2"/>
    <w:rsid w:val="007E5A44"/>
    <w:rsid w:val="007E5DB8"/>
    <w:rsid w:val="007E5E5B"/>
    <w:rsid w:val="007E6317"/>
    <w:rsid w:val="007E65CF"/>
    <w:rsid w:val="007E6D05"/>
    <w:rsid w:val="007E7CF4"/>
    <w:rsid w:val="007F05C2"/>
    <w:rsid w:val="007F0609"/>
    <w:rsid w:val="007F09F9"/>
    <w:rsid w:val="007F0C15"/>
    <w:rsid w:val="007F0DEF"/>
    <w:rsid w:val="007F13BF"/>
    <w:rsid w:val="007F14B9"/>
    <w:rsid w:val="007F16DC"/>
    <w:rsid w:val="007F17D1"/>
    <w:rsid w:val="007F18E7"/>
    <w:rsid w:val="007F199B"/>
    <w:rsid w:val="007F1A42"/>
    <w:rsid w:val="007F1D8F"/>
    <w:rsid w:val="007F1F54"/>
    <w:rsid w:val="007F2123"/>
    <w:rsid w:val="007F21D9"/>
    <w:rsid w:val="007F301F"/>
    <w:rsid w:val="007F31FE"/>
    <w:rsid w:val="007F3D44"/>
    <w:rsid w:val="007F3E88"/>
    <w:rsid w:val="007F4225"/>
    <w:rsid w:val="007F4895"/>
    <w:rsid w:val="007F497E"/>
    <w:rsid w:val="007F4D96"/>
    <w:rsid w:val="007F5255"/>
    <w:rsid w:val="007F54E1"/>
    <w:rsid w:val="007F5601"/>
    <w:rsid w:val="007F5AD7"/>
    <w:rsid w:val="007F5EA8"/>
    <w:rsid w:val="007F5FDD"/>
    <w:rsid w:val="007F608C"/>
    <w:rsid w:val="007F663E"/>
    <w:rsid w:val="007F6D8A"/>
    <w:rsid w:val="007F6E94"/>
    <w:rsid w:val="007F6F12"/>
    <w:rsid w:val="007F6FCA"/>
    <w:rsid w:val="007F7192"/>
    <w:rsid w:val="007F78F9"/>
    <w:rsid w:val="007F7E7C"/>
    <w:rsid w:val="00800128"/>
    <w:rsid w:val="0080012F"/>
    <w:rsid w:val="008001E8"/>
    <w:rsid w:val="00800816"/>
    <w:rsid w:val="00800C81"/>
    <w:rsid w:val="00800C82"/>
    <w:rsid w:val="00800D20"/>
    <w:rsid w:val="0080137A"/>
    <w:rsid w:val="00801489"/>
    <w:rsid w:val="0080175F"/>
    <w:rsid w:val="00801AB4"/>
    <w:rsid w:val="00801B81"/>
    <w:rsid w:val="0080273B"/>
    <w:rsid w:val="0080277F"/>
    <w:rsid w:val="0080286D"/>
    <w:rsid w:val="00802B61"/>
    <w:rsid w:val="00802E21"/>
    <w:rsid w:val="0080335F"/>
    <w:rsid w:val="008034FB"/>
    <w:rsid w:val="00803BAD"/>
    <w:rsid w:val="00803E9F"/>
    <w:rsid w:val="00805222"/>
    <w:rsid w:val="00805298"/>
    <w:rsid w:val="008054F6"/>
    <w:rsid w:val="008056F9"/>
    <w:rsid w:val="00805A0E"/>
    <w:rsid w:val="00805C91"/>
    <w:rsid w:val="00805E58"/>
    <w:rsid w:val="008061DD"/>
    <w:rsid w:val="0080620A"/>
    <w:rsid w:val="00806394"/>
    <w:rsid w:val="00806DDA"/>
    <w:rsid w:val="008073A3"/>
    <w:rsid w:val="00807DE2"/>
    <w:rsid w:val="008102C4"/>
    <w:rsid w:val="00810894"/>
    <w:rsid w:val="00810C5D"/>
    <w:rsid w:val="00811184"/>
    <w:rsid w:val="0081140E"/>
    <w:rsid w:val="0081165E"/>
    <w:rsid w:val="00811E13"/>
    <w:rsid w:val="00811FC3"/>
    <w:rsid w:val="00812374"/>
    <w:rsid w:val="00812C22"/>
    <w:rsid w:val="008131BC"/>
    <w:rsid w:val="0081344F"/>
    <w:rsid w:val="00813A05"/>
    <w:rsid w:val="00813B0E"/>
    <w:rsid w:val="00813DE3"/>
    <w:rsid w:val="00813E12"/>
    <w:rsid w:val="0081435B"/>
    <w:rsid w:val="0081454F"/>
    <w:rsid w:val="00814956"/>
    <w:rsid w:val="008158A1"/>
    <w:rsid w:val="00815978"/>
    <w:rsid w:val="00815979"/>
    <w:rsid w:val="00815C58"/>
    <w:rsid w:val="00815D76"/>
    <w:rsid w:val="00815DBD"/>
    <w:rsid w:val="008165EA"/>
    <w:rsid w:val="00816621"/>
    <w:rsid w:val="0081681A"/>
    <w:rsid w:val="00816C12"/>
    <w:rsid w:val="00816D67"/>
    <w:rsid w:val="0081767E"/>
    <w:rsid w:val="00817CC4"/>
    <w:rsid w:val="00820088"/>
    <w:rsid w:val="00820346"/>
    <w:rsid w:val="008205A1"/>
    <w:rsid w:val="0082090D"/>
    <w:rsid w:val="00820929"/>
    <w:rsid w:val="00820A50"/>
    <w:rsid w:val="0082105A"/>
    <w:rsid w:val="0082106E"/>
    <w:rsid w:val="008211EC"/>
    <w:rsid w:val="008217FC"/>
    <w:rsid w:val="00821847"/>
    <w:rsid w:val="00821E11"/>
    <w:rsid w:val="008221A6"/>
    <w:rsid w:val="008224E3"/>
    <w:rsid w:val="008225CC"/>
    <w:rsid w:val="00822BB6"/>
    <w:rsid w:val="00822D81"/>
    <w:rsid w:val="008238A7"/>
    <w:rsid w:val="00823AEA"/>
    <w:rsid w:val="00823EBA"/>
    <w:rsid w:val="00824FBC"/>
    <w:rsid w:val="008255E4"/>
    <w:rsid w:val="00825ABE"/>
    <w:rsid w:val="00825F80"/>
    <w:rsid w:val="00826D59"/>
    <w:rsid w:val="00826E74"/>
    <w:rsid w:val="008273F7"/>
    <w:rsid w:val="00827406"/>
    <w:rsid w:val="008278E8"/>
    <w:rsid w:val="00827A15"/>
    <w:rsid w:val="00827B9E"/>
    <w:rsid w:val="00827CB3"/>
    <w:rsid w:val="00827FED"/>
    <w:rsid w:val="008306D5"/>
    <w:rsid w:val="008307C1"/>
    <w:rsid w:val="00830836"/>
    <w:rsid w:val="0083171A"/>
    <w:rsid w:val="00832061"/>
    <w:rsid w:val="00832866"/>
    <w:rsid w:val="00832B55"/>
    <w:rsid w:val="00832CB4"/>
    <w:rsid w:val="008333A6"/>
    <w:rsid w:val="00833452"/>
    <w:rsid w:val="00833A84"/>
    <w:rsid w:val="00833D0C"/>
    <w:rsid w:val="00833E2B"/>
    <w:rsid w:val="00833F1A"/>
    <w:rsid w:val="00833FC4"/>
    <w:rsid w:val="008341B2"/>
    <w:rsid w:val="00834422"/>
    <w:rsid w:val="00834A61"/>
    <w:rsid w:val="00835256"/>
    <w:rsid w:val="0083559D"/>
    <w:rsid w:val="00835730"/>
    <w:rsid w:val="00835B67"/>
    <w:rsid w:val="00835C19"/>
    <w:rsid w:val="00835D5C"/>
    <w:rsid w:val="00835F32"/>
    <w:rsid w:val="00835F86"/>
    <w:rsid w:val="00836BE4"/>
    <w:rsid w:val="00836F01"/>
    <w:rsid w:val="00837133"/>
    <w:rsid w:val="008371C6"/>
    <w:rsid w:val="00837580"/>
    <w:rsid w:val="00837970"/>
    <w:rsid w:val="00837F14"/>
    <w:rsid w:val="00840155"/>
    <w:rsid w:val="0084021E"/>
    <w:rsid w:val="008405DE"/>
    <w:rsid w:val="008407AE"/>
    <w:rsid w:val="00840B29"/>
    <w:rsid w:val="008410EE"/>
    <w:rsid w:val="00842028"/>
    <w:rsid w:val="0084209D"/>
    <w:rsid w:val="0084260B"/>
    <w:rsid w:val="00842613"/>
    <w:rsid w:val="00842E1C"/>
    <w:rsid w:val="00843012"/>
    <w:rsid w:val="00843684"/>
    <w:rsid w:val="008438B3"/>
    <w:rsid w:val="008438FC"/>
    <w:rsid w:val="00844A43"/>
    <w:rsid w:val="00844DBF"/>
    <w:rsid w:val="008450C2"/>
    <w:rsid w:val="0084513C"/>
    <w:rsid w:val="00845966"/>
    <w:rsid w:val="008459DB"/>
    <w:rsid w:val="00845A48"/>
    <w:rsid w:val="008468EA"/>
    <w:rsid w:val="00846C88"/>
    <w:rsid w:val="008471C3"/>
    <w:rsid w:val="00847312"/>
    <w:rsid w:val="008474F6"/>
    <w:rsid w:val="00847C93"/>
    <w:rsid w:val="008504B2"/>
    <w:rsid w:val="008507DD"/>
    <w:rsid w:val="00850A53"/>
    <w:rsid w:val="00850EBA"/>
    <w:rsid w:val="00851D52"/>
    <w:rsid w:val="00851EB1"/>
    <w:rsid w:val="008520CC"/>
    <w:rsid w:val="00852639"/>
    <w:rsid w:val="00852C61"/>
    <w:rsid w:val="00852CBC"/>
    <w:rsid w:val="00852D11"/>
    <w:rsid w:val="00852D19"/>
    <w:rsid w:val="00853B47"/>
    <w:rsid w:val="00853DD7"/>
    <w:rsid w:val="00853E36"/>
    <w:rsid w:val="0085425C"/>
    <w:rsid w:val="00854445"/>
    <w:rsid w:val="008544EC"/>
    <w:rsid w:val="00854A41"/>
    <w:rsid w:val="00854DDD"/>
    <w:rsid w:val="00855132"/>
    <w:rsid w:val="0085561D"/>
    <w:rsid w:val="00855C98"/>
    <w:rsid w:val="00856223"/>
    <w:rsid w:val="008566B6"/>
    <w:rsid w:val="008567C4"/>
    <w:rsid w:val="00856E65"/>
    <w:rsid w:val="00856EFF"/>
    <w:rsid w:val="008572DB"/>
    <w:rsid w:val="00857370"/>
    <w:rsid w:val="00860F74"/>
    <w:rsid w:val="00861277"/>
    <w:rsid w:val="00861E37"/>
    <w:rsid w:val="00861E63"/>
    <w:rsid w:val="00862681"/>
    <w:rsid w:val="0086288B"/>
    <w:rsid w:val="00862A29"/>
    <w:rsid w:val="00862F55"/>
    <w:rsid w:val="00863BFE"/>
    <w:rsid w:val="00864756"/>
    <w:rsid w:val="008648EA"/>
    <w:rsid w:val="00864F99"/>
    <w:rsid w:val="00865037"/>
    <w:rsid w:val="00865E80"/>
    <w:rsid w:val="00866097"/>
    <w:rsid w:val="00866588"/>
    <w:rsid w:val="00866C88"/>
    <w:rsid w:val="00866D25"/>
    <w:rsid w:val="00866F10"/>
    <w:rsid w:val="00866F4B"/>
    <w:rsid w:val="008670C3"/>
    <w:rsid w:val="008673D9"/>
    <w:rsid w:val="0086765D"/>
    <w:rsid w:val="00867859"/>
    <w:rsid w:val="008678CE"/>
    <w:rsid w:val="00867E66"/>
    <w:rsid w:val="00867FE2"/>
    <w:rsid w:val="00870890"/>
    <w:rsid w:val="0087099A"/>
    <w:rsid w:val="00870A43"/>
    <w:rsid w:val="00870D3E"/>
    <w:rsid w:val="008711FE"/>
    <w:rsid w:val="008712D4"/>
    <w:rsid w:val="00871E25"/>
    <w:rsid w:val="00871ED7"/>
    <w:rsid w:val="00872BF2"/>
    <w:rsid w:val="0087363E"/>
    <w:rsid w:val="008737D4"/>
    <w:rsid w:val="00873CB1"/>
    <w:rsid w:val="00873F4C"/>
    <w:rsid w:val="008740E8"/>
    <w:rsid w:val="008743B4"/>
    <w:rsid w:val="008743CF"/>
    <w:rsid w:val="00874798"/>
    <w:rsid w:val="00874C9D"/>
    <w:rsid w:val="00874F7A"/>
    <w:rsid w:val="008750B7"/>
    <w:rsid w:val="008752E5"/>
    <w:rsid w:val="00875382"/>
    <w:rsid w:val="008756BC"/>
    <w:rsid w:val="00875958"/>
    <w:rsid w:val="0087597C"/>
    <w:rsid w:val="008759B7"/>
    <w:rsid w:val="00875B78"/>
    <w:rsid w:val="0087604D"/>
    <w:rsid w:val="0087684F"/>
    <w:rsid w:val="00876B5D"/>
    <w:rsid w:val="00876D64"/>
    <w:rsid w:val="00876EF5"/>
    <w:rsid w:val="0087702A"/>
    <w:rsid w:val="00877174"/>
    <w:rsid w:val="008772B6"/>
    <w:rsid w:val="00877368"/>
    <w:rsid w:val="00877781"/>
    <w:rsid w:val="00880748"/>
    <w:rsid w:val="00880B97"/>
    <w:rsid w:val="00880CA2"/>
    <w:rsid w:val="008813B3"/>
    <w:rsid w:val="0088144C"/>
    <w:rsid w:val="0088177B"/>
    <w:rsid w:val="00882042"/>
    <w:rsid w:val="008822C9"/>
    <w:rsid w:val="00882725"/>
    <w:rsid w:val="008827A0"/>
    <w:rsid w:val="00882A02"/>
    <w:rsid w:val="00882BF2"/>
    <w:rsid w:val="00883046"/>
    <w:rsid w:val="00883A32"/>
    <w:rsid w:val="00883DDC"/>
    <w:rsid w:val="00883E1E"/>
    <w:rsid w:val="00884219"/>
    <w:rsid w:val="00884381"/>
    <w:rsid w:val="00885011"/>
    <w:rsid w:val="008852F7"/>
    <w:rsid w:val="00885AAE"/>
    <w:rsid w:val="00885C01"/>
    <w:rsid w:val="0088633F"/>
    <w:rsid w:val="0088638C"/>
    <w:rsid w:val="008865DD"/>
    <w:rsid w:val="00886604"/>
    <w:rsid w:val="00886690"/>
    <w:rsid w:val="00886DE7"/>
    <w:rsid w:val="0088734E"/>
    <w:rsid w:val="0088789C"/>
    <w:rsid w:val="00887CB7"/>
    <w:rsid w:val="0089094E"/>
    <w:rsid w:val="00890D57"/>
    <w:rsid w:val="00890EF7"/>
    <w:rsid w:val="00890F22"/>
    <w:rsid w:val="008911E0"/>
    <w:rsid w:val="0089122E"/>
    <w:rsid w:val="0089165B"/>
    <w:rsid w:val="00891716"/>
    <w:rsid w:val="00891CCF"/>
    <w:rsid w:val="00891FBC"/>
    <w:rsid w:val="008921A2"/>
    <w:rsid w:val="008922DA"/>
    <w:rsid w:val="00892595"/>
    <w:rsid w:val="00892B4F"/>
    <w:rsid w:val="00892F6E"/>
    <w:rsid w:val="0089306C"/>
    <w:rsid w:val="00893351"/>
    <w:rsid w:val="008937B7"/>
    <w:rsid w:val="00893EC0"/>
    <w:rsid w:val="00894461"/>
    <w:rsid w:val="0089452D"/>
    <w:rsid w:val="00894929"/>
    <w:rsid w:val="00894AFC"/>
    <w:rsid w:val="00894B35"/>
    <w:rsid w:val="00894C9D"/>
    <w:rsid w:val="008954D0"/>
    <w:rsid w:val="00895589"/>
    <w:rsid w:val="00895651"/>
    <w:rsid w:val="00895821"/>
    <w:rsid w:val="0089636B"/>
    <w:rsid w:val="00896594"/>
    <w:rsid w:val="00896923"/>
    <w:rsid w:val="00896A6B"/>
    <w:rsid w:val="00896BF1"/>
    <w:rsid w:val="00897067"/>
    <w:rsid w:val="0089781C"/>
    <w:rsid w:val="00897A98"/>
    <w:rsid w:val="00897DFC"/>
    <w:rsid w:val="008A0266"/>
    <w:rsid w:val="008A0283"/>
    <w:rsid w:val="008A02F6"/>
    <w:rsid w:val="008A0695"/>
    <w:rsid w:val="008A0D8B"/>
    <w:rsid w:val="008A0F24"/>
    <w:rsid w:val="008A1902"/>
    <w:rsid w:val="008A1996"/>
    <w:rsid w:val="008A1A7A"/>
    <w:rsid w:val="008A22B6"/>
    <w:rsid w:val="008A23C8"/>
    <w:rsid w:val="008A2933"/>
    <w:rsid w:val="008A30EC"/>
    <w:rsid w:val="008A3CB6"/>
    <w:rsid w:val="008A3DC1"/>
    <w:rsid w:val="008A3E7B"/>
    <w:rsid w:val="008A3EBF"/>
    <w:rsid w:val="008A4314"/>
    <w:rsid w:val="008A4692"/>
    <w:rsid w:val="008A4828"/>
    <w:rsid w:val="008A4F24"/>
    <w:rsid w:val="008A50E7"/>
    <w:rsid w:val="008A570E"/>
    <w:rsid w:val="008A5966"/>
    <w:rsid w:val="008A5BB1"/>
    <w:rsid w:val="008A5D60"/>
    <w:rsid w:val="008A62E2"/>
    <w:rsid w:val="008A63D5"/>
    <w:rsid w:val="008A648A"/>
    <w:rsid w:val="008A65D2"/>
    <w:rsid w:val="008A662E"/>
    <w:rsid w:val="008A69F8"/>
    <w:rsid w:val="008A6A20"/>
    <w:rsid w:val="008A6DA6"/>
    <w:rsid w:val="008A71C9"/>
    <w:rsid w:val="008A73E1"/>
    <w:rsid w:val="008A780B"/>
    <w:rsid w:val="008A7B49"/>
    <w:rsid w:val="008A7E94"/>
    <w:rsid w:val="008A7ED2"/>
    <w:rsid w:val="008B02CF"/>
    <w:rsid w:val="008B03A1"/>
    <w:rsid w:val="008B0448"/>
    <w:rsid w:val="008B098A"/>
    <w:rsid w:val="008B0FFF"/>
    <w:rsid w:val="008B11C2"/>
    <w:rsid w:val="008B138A"/>
    <w:rsid w:val="008B141C"/>
    <w:rsid w:val="008B196D"/>
    <w:rsid w:val="008B1C35"/>
    <w:rsid w:val="008B1CC9"/>
    <w:rsid w:val="008B1E74"/>
    <w:rsid w:val="008B1F1D"/>
    <w:rsid w:val="008B20FA"/>
    <w:rsid w:val="008B21A6"/>
    <w:rsid w:val="008B2516"/>
    <w:rsid w:val="008B2D46"/>
    <w:rsid w:val="008B2F4A"/>
    <w:rsid w:val="008B328D"/>
    <w:rsid w:val="008B3481"/>
    <w:rsid w:val="008B3B66"/>
    <w:rsid w:val="008B3C95"/>
    <w:rsid w:val="008B3CF4"/>
    <w:rsid w:val="008B44FD"/>
    <w:rsid w:val="008B4CB5"/>
    <w:rsid w:val="008B4D16"/>
    <w:rsid w:val="008B4F3E"/>
    <w:rsid w:val="008B5444"/>
    <w:rsid w:val="008B554F"/>
    <w:rsid w:val="008B587B"/>
    <w:rsid w:val="008B5967"/>
    <w:rsid w:val="008B5AFF"/>
    <w:rsid w:val="008B5B5E"/>
    <w:rsid w:val="008B5B8C"/>
    <w:rsid w:val="008B5B8F"/>
    <w:rsid w:val="008B5C58"/>
    <w:rsid w:val="008B648C"/>
    <w:rsid w:val="008B6709"/>
    <w:rsid w:val="008B6783"/>
    <w:rsid w:val="008B67C2"/>
    <w:rsid w:val="008B6C85"/>
    <w:rsid w:val="008B6D78"/>
    <w:rsid w:val="008B6F7A"/>
    <w:rsid w:val="008B702F"/>
    <w:rsid w:val="008B7062"/>
    <w:rsid w:val="008B7277"/>
    <w:rsid w:val="008B72BE"/>
    <w:rsid w:val="008B7D0C"/>
    <w:rsid w:val="008B7EA9"/>
    <w:rsid w:val="008C0446"/>
    <w:rsid w:val="008C068D"/>
    <w:rsid w:val="008C1616"/>
    <w:rsid w:val="008C1E41"/>
    <w:rsid w:val="008C22D5"/>
    <w:rsid w:val="008C23A3"/>
    <w:rsid w:val="008C2543"/>
    <w:rsid w:val="008C2607"/>
    <w:rsid w:val="008C29D1"/>
    <w:rsid w:val="008C2C43"/>
    <w:rsid w:val="008C3236"/>
    <w:rsid w:val="008C3485"/>
    <w:rsid w:val="008C3555"/>
    <w:rsid w:val="008C3C58"/>
    <w:rsid w:val="008C4191"/>
    <w:rsid w:val="008C4657"/>
    <w:rsid w:val="008C46E3"/>
    <w:rsid w:val="008C472B"/>
    <w:rsid w:val="008C4A28"/>
    <w:rsid w:val="008C4D00"/>
    <w:rsid w:val="008C5404"/>
    <w:rsid w:val="008C5823"/>
    <w:rsid w:val="008C5A9B"/>
    <w:rsid w:val="008C6845"/>
    <w:rsid w:val="008C6DF6"/>
    <w:rsid w:val="008C6F7A"/>
    <w:rsid w:val="008C7148"/>
    <w:rsid w:val="008C7192"/>
    <w:rsid w:val="008C7455"/>
    <w:rsid w:val="008C7546"/>
    <w:rsid w:val="008C7869"/>
    <w:rsid w:val="008C7A72"/>
    <w:rsid w:val="008C7A7A"/>
    <w:rsid w:val="008D0028"/>
    <w:rsid w:val="008D0195"/>
    <w:rsid w:val="008D0515"/>
    <w:rsid w:val="008D09E8"/>
    <w:rsid w:val="008D0FBE"/>
    <w:rsid w:val="008D1348"/>
    <w:rsid w:val="008D13D0"/>
    <w:rsid w:val="008D1441"/>
    <w:rsid w:val="008D17BE"/>
    <w:rsid w:val="008D182E"/>
    <w:rsid w:val="008D1FF2"/>
    <w:rsid w:val="008D20E7"/>
    <w:rsid w:val="008D2160"/>
    <w:rsid w:val="008D23DB"/>
    <w:rsid w:val="008D2456"/>
    <w:rsid w:val="008D2B63"/>
    <w:rsid w:val="008D2E8C"/>
    <w:rsid w:val="008D2ED2"/>
    <w:rsid w:val="008D2FB8"/>
    <w:rsid w:val="008D3C6B"/>
    <w:rsid w:val="008D402F"/>
    <w:rsid w:val="008D41D7"/>
    <w:rsid w:val="008D42A4"/>
    <w:rsid w:val="008D44F6"/>
    <w:rsid w:val="008D4AFE"/>
    <w:rsid w:val="008D4B88"/>
    <w:rsid w:val="008D4CFA"/>
    <w:rsid w:val="008D4FD8"/>
    <w:rsid w:val="008D52FB"/>
    <w:rsid w:val="008D537D"/>
    <w:rsid w:val="008D547B"/>
    <w:rsid w:val="008D5617"/>
    <w:rsid w:val="008D5681"/>
    <w:rsid w:val="008D56D3"/>
    <w:rsid w:val="008D66D2"/>
    <w:rsid w:val="008D6804"/>
    <w:rsid w:val="008D6935"/>
    <w:rsid w:val="008D6A96"/>
    <w:rsid w:val="008D6D2B"/>
    <w:rsid w:val="008D77C7"/>
    <w:rsid w:val="008D798A"/>
    <w:rsid w:val="008D7A2B"/>
    <w:rsid w:val="008D7A6B"/>
    <w:rsid w:val="008D7D35"/>
    <w:rsid w:val="008E0503"/>
    <w:rsid w:val="008E08DA"/>
    <w:rsid w:val="008E0A2D"/>
    <w:rsid w:val="008E0A6B"/>
    <w:rsid w:val="008E12AD"/>
    <w:rsid w:val="008E1785"/>
    <w:rsid w:val="008E1793"/>
    <w:rsid w:val="008E19A3"/>
    <w:rsid w:val="008E2110"/>
    <w:rsid w:val="008E2914"/>
    <w:rsid w:val="008E2AA3"/>
    <w:rsid w:val="008E2BFB"/>
    <w:rsid w:val="008E2D81"/>
    <w:rsid w:val="008E3105"/>
    <w:rsid w:val="008E320F"/>
    <w:rsid w:val="008E3569"/>
    <w:rsid w:val="008E3721"/>
    <w:rsid w:val="008E450B"/>
    <w:rsid w:val="008E47C5"/>
    <w:rsid w:val="008E4F4E"/>
    <w:rsid w:val="008E5161"/>
    <w:rsid w:val="008E5361"/>
    <w:rsid w:val="008E5504"/>
    <w:rsid w:val="008E6283"/>
    <w:rsid w:val="008E660F"/>
    <w:rsid w:val="008E6694"/>
    <w:rsid w:val="008E6772"/>
    <w:rsid w:val="008E6D7F"/>
    <w:rsid w:val="008E73C2"/>
    <w:rsid w:val="008E7A5E"/>
    <w:rsid w:val="008E7CF7"/>
    <w:rsid w:val="008F0353"/>
    <w:rsid w:val="008F0514"/>
    <w:rsid w:val="008F051E"/>
    <w:rsid w:val="008F062A"/>
    <w:rsid w:val="008F0834"/>
    <w:rsid w:val="008F0D86"/>
    <w:rsid w:val="008F0ED5"/>
    <w:rsid w:val="008F0F6B"/>
    <w:rsid w:val="008F14DC"/>
    <w:rsid w:val="008F1506"/>
    <w:rsid w:val="008F1537"/>
    <w:rsid w:val="008F1E55"/>
    <w:rsid w:val="008F1E76"/>
    <w:rsid w:val="008F1FAA"/>
    <w:rsid w:val="008F2C06"/>
    <w:rsid w:val="008F2ED5"/>
    <w:rsid w:val="008F2FAC"/>
    <w:rsid w:val="008F2FF5"/>
    <w:rsid w:val="008F342A"/>
    <w:rsid w:val="008F35D7"/>
    <w:rsid w:val="008F3BBD"/>
    <w:rsid w:val="008F3ECD"/>
    <w:rsid w:val="008F45B4"/>
    <w:rsid w:val="008F4784"/>
    <w:rsid w:val="008F4ACE"/>
    <w:rsid w:val="008F5516"/>
    <w:rsid w:val="008F58B4"/>
    <w:rsid w:val="008F5A11"/>
    <w:rsid w:val="008F6B91"/>
    <w:rsid w:val="008F7022"/>
    <w:rsid w:val="008F70E4"/>
    <w:rsid w:val="008F7136"/>
    <w:rsid w:val="008F79AF"/>
    <w:rsid w:val="008F7D66"/>
    <w:rsid w:val="008F7E30"/>
    <w:rsid w:val="009001FC"/>
    <w:rsid w:val="0090031C"/>
    <w:rsid w:val="009005B0"/>
    <w:rsid w:val="009006CC"/>
    <w:rsid w:val="009009AF"/>
    <w:rsid w:val="00900E38"/>
    <w:rsid w:val="00900FFF"/>
    <w:rsid w:val="00901051"/>
    <w:rsid w:val="009010B8"/>
    <w:rsid w:val="00901271"/>
    <w:rsid w:val="0090173E"/>
    <w:rsid w:val="00901CF9"/>
    <w:rsid w:val="00901E9C"/>
    <w:rsid w:val="00902732"/>
    <w:rsid w:val="00902733"/>
    <w:rsid w:val="00902944"/>
    <w:rsid w:val="0090297A"/>
    <w:rsid w:val="00902DDD"/>
    <w:rsid w:val="00902E26"/>
    <w:rsid w:val="00903030"/>
    <w:rsid w:val="0090356D"/>
    <w:rsid w:val="0090356E"/>
    <w:rsid w:val="00903761"/>
    <w:rsid w:val="009037A0"/>
    <w:rsid w:val="00903AA6"/>
    <w:rsid w:val="00904C38"/>
    <w:rsid w:val="00905074"/>
    <w:rsid w:val="00905078"/>
    <w:rsid w:val="009052E2"/>
    <w:rsid w:val="0090595B"/>
    <w:rsid w:val="00905EAB"/>
    <w:rsid w:val="00906122"/>
    <w:rsid w:val="009061C4"/>
    <w:rsid w:val="0090671C"/>
    <w:rsid w:val="00906A13"/>
    <w:rsid w:val="00906A6B"/>
    <w:rsid w:val="00906D14"/>
    <w:rsid w:val="00906EB1"/>
    <w:rsid w:val="0090765A"/>
    <w:rsid w:val="00907CE5"/>
    <w:rsid w:val="00907FF1"/>
    <w:rsid w:val="00910298"/>
    <w:rsid w:val="00910819"/>
    <w:rsid w:val="00910D5E"/>
    <w:rsid w:val="009110C9"/>
    <w:rsid w:val="0091110C"/>
    <w:rsid w:val="00912151"/>
    <w:rsid w:val="00912AF1"/>
    <w:rsid w:val="0091386F"/>
    <w:rsid w:val="00913EF6"/>
    <w:rsid w:val="00914E39"/>
    <w:rsid w:val="00914EEF"/>
    <w:rsid w:val="00914F04"/>
    <w:rsid w:val="009156F6"/>
    <w:rsid w:val="00915B26"/>
    <w:rsid w:val="00915D68"/>
    <w:rsid w:val="00915EAD"/>
    <w:rsid w:val="0091605F"/>
    <w:rsid w:val="009165A9"/>
    <w:rsid w:val="009166A2"/>
    <w:rsid w:val="00916A8D"/>
    <w:rsid w:val="00916D03"/>
    <w:rsid w:val="00916FF0"/>
    <w:rsid w:val="009179FE"/>
    <w:rsid w:val="009202EF"/>
    <w:rsid w:val="009206C5"/>
    <w:rsid w:val="0092092A"/>
    <w:rsid w:val="00920AF5"/>
    <w:rsid w:val="00920B09"/>
    <w:rsid w:val="0092117A"/>
    <w:rsid w:val="009216E4"/>
    <w:rsid w:val="00921D4E"/>
    <w:rsid w:val="00921D95"/>
    <w:rsid w:val="00921E51"/>
    <w:rsid w:val="009220A4"/>
    <w:rsid w:val="00922736"/>
    <w:rsid w:val="00922A10"/>
    <w:rsid w:val="00922E41"/>
    <w:rsid w:val="00923158"/>
    <w:rsid w:val="009232C1"/>
    <w:rsid w:val="009235B7"/>
    <w:rsid w:val="009235CF"/>
    <w:rsid w:val="00923704"/>
    <w:rsid w:val="0092483D"/>
    <w:rsid w:val="009249A6"/>
    <w:rsid w:val="00924A32"/>
    <w:rsid w:val="00924AA5"/>
    <w:rsid w:val="00925975"/>
    <w:rsid w:val="009259BC"/>
    <w:rsid w:val="00925BA4"/>
    <w:rsid w:val="00925C2F"/>
    <w:rsid w:val="00925DB2"/>
    <w:rsid w:val="00926359"/>
    <w:rsid w:val="00926A2E"/>
    <w:rsid w:val="00926DF1"/>
    <w:rsid w:val="00926DF3"/>
    <w:rsid w:val="00926E17"/>
    <w:rsid w:val="00927362"/>
    <w:rsid w:val="00927909"/>
    <w:rsid w:val="00927C92"/>
    <w:rsid w:val="009309B4"/>
    <w:rsid w:val="00930B66"/>
    <w:rsid w:val="009312A5"/>
    <w:rsid w:val="00932270"/>
    <w:rsid w:val="00932517"/>
    <w:rsid w:val="00932740"/>
    <w:rsid w:val="00932884"/>
    <w:rsid w:val="00932939"/>
    <w:rsid w:val="0093293B"/>
    <w:rsid w:val="00932B94"/>
    <w:rsid w:val="00932CA0"/>
    <w:rsid w:val="0093329A"/>
    <w:rsid w:val="009334D4"/>
    <w:rsid w:val="00933B07"/>
    <w:rsid w:val="00933B64"/>
    <w:rsid w:val="00933F04"/>
    <w:rsid w:val="0093403C"/>
    <w:rsid w:val="0093406E"/>
    <w:rsid w:val="009342BF"/>
    <w:rsid w:val="009345A3"/>
    <w:rsid w:val="009345F2"/>
    <w:rsid w:val="00935500"/>
    <w:rsid w:val="00935613"/>
    <w:rsid w:val="00936CF5"/>
    <w:rsid w:val="00937114"/>
    <w:rsid w:val="009373B7"/>
    <w:rsid w:val="0093741B"/>
    <w:rsid w:val="009375A7"/>
    <w:rsid w:val="0093789C"/>
    <w:rsid w:val="00937D20"/>
    <w:rsid w:val="00937D6D"/>
    <w:rsid w:val="0094039B"/>
    <w:rsid w:val="009404E9"/>
    <w:rsid w:val="00940894"/>
    <w:rsid w:val="0094094E"/>
    <w:rsid w:val="00941237"/>
    <w:rsid w:val="009415F8"/>
    <w:rsid w:val="00941B4B"/>
    <w:rsid w:val="00942301"/>
    <w:rsid w:val="00942A87"/>
    <w:rsid w:val="00942AE7"/>
    <w:rsid w:val="00942C21"/>
    <w:rsid w:val="00942E1F"/>
    <w:rsid w:val="00942E9A"/>
    <w:rsid w:val="00942F58"/>
    <w:rsid w:val="0094355B"/>
    <w:rsid w:val="00943919"/>
    <w:rsid w:val="00943DCF"/>
    <w:rsid w:val="00944106"/>
    <w:rsid w:val="009442B9"/>
    <w:rsid w:val="00944E4B"/>
    <w:rsid w:val="00944F36"/>
    <w:rsid w:val="009450D3"/>
    <w:rsid w:val="00945569"/>
    <w:rsid w:val="0094561F"/>
    <w:rsid w:val="0094594C"/>
    <w:rsid w:val="00945980"/>
    <w:rsid w:val="009459CB"/>
    <w:rsid w:val="0094631C"/>
    <w:rsid w:val="009464FF"/>
    <w:rsid w:val="00946567"/>
    <w:rsid w:val="00946DAC"/>
    <w:rsid w:val="00947255"/>
    <w:rsid w:val="009473D9"/>
    <w:rsid w:val="00947AAD"/>
    <w:rsid w:val="00947B12"/>
    <w:rsid w:val="00947DD5"/>
    <w:rsid w:val="009502C4"/>
    <w:rsid w:val="0095036B"/>
    <w:rsid w:val="00950847"/>
    <w:rsid w:val="00951443"/>
    <w:rsid w:val="00951479"/>
    <w:rsid w:val="00951532"/>
    <w:rsid w:val="00951621"/>
    <w:rsid w:val="00951918"/>
    <w:rsid w:val="00951C78"/>
    <w:rsid w:val="00951DC8"/>
    <w:rsid w:val="009522FE"/>
    <w:rsid w:val="00952B17"/>
    <w:rsid w:val="00952DF8"/>
    <w:rsid w:val="009534F5"/>
    <w:rsid w:val="009537DA"/>
    <w:rsid w:val="00953B12"/>
    <w:rsid w:val="0095422B"/>
    <w:rsid w:val="00954B14"/>
    <w:rsid w:val="00954CFE"/>
    <w:rsid w:val="00955091"/>
    <w:rsid w:val="009552C4"/>
    <w:rsid w:val="0095546F"/>
    <w:rsid w:val="00955576"/>
    <w:rsid w:val="00955D42"/>
    <w:rsid w:val="0095689A"/>
    <w:rsid w:val="00956942"/>
    <w:rsid w:val="00956AFC"/>
    <w:rsid w:val="00957028"/>
    <w:rsid w:val="00957040"/>
    <w:rsid w:val="00957193"/>
    <w:rsid w:val="00957BA2"/>
    <w:rsid w:val="00957C06"/>
    <w:rsid w:val="00957FCB"/>
    <w:rsid w:val="0096018C"/>
    <w:rsid w:val="0096070F"/>
    <w:rsid w:val="0096126E"/>
    <w:rsid w:val="00962166"/>
    <w:rsid w:val="00962474"/>
    <w:rsid w:val="00962535"/>
    <w:rsid w:val="00962BAB"/>
    <w:rsid w:val="00962D8E"/>
    <w:rsid w:val="00962EE5"/>
    <w:rsid w:val="00963FB5"/>
    <w:rsid w:val="009643BF"/>
    <w:rsid w:val="0096473F"/>
    <w:rsid w:val="00964A97"/>
    <w:rsid w:val="00964B99"/>
    <w:rsid w:val="00965136"/>
    <w:rsid w:val="009654A4"/>
    <w:rsid w:val="00965ADB"/>
    <w:rsid w:val="00965AF5"/>
    <w:rsid w:val="00965D78"/>
    <w:rsid w:val="00965F98"/>
    <w:rsid w:val="00966536"/>
    <w:rsid w:val="0096667F"/>
    <w:rsid w:val="009668B4"/>
    <w:rsid w:val="00966B5D"/>
    <w:rsid w:val="00966F66"/>
    <w:rsid w:val="009671E4"/>
    <w:rsid w:val="00967214"/>
    <w:rsid w:val="00967AEE"/>
    <w:rsid w:val="00967F0A"/>
    <w:rsid w:val="009703E9"/>
    <w:rsid w:val="00970641"/>
    <w:rsid w:val="00970F82"/>
    <w:rsid w:val="009710DD"/>
    <w:rsid w:val="00971A4F"/>
    <w:rsid w:val="00971C63"/>
    <w:rsid w:val="00971DAF"/>
    <w:rsid w:val="00971F7E"/>
    <w:rsid w:val="00972403"/>
    <w:rsid w:val="0097249D"/>
    <w:rsid w:val="0097255D"/>
    <w:rsid w:val="00972615"/>
    <w:rsid w:val="00972D03"/>
    <w:rsid w:val="009733F7"/>
    <w:rsid w:val="009734DE"/>
    <w:rsid w:val="00973A38"/>
    <w:rsid w:val="00973C41"/>
    <w:rsid w:val="00973D26"/>
    <w:rsid w:val="00973EA3"/>
    <w:rsid w:val="0097425A"/>
    <w:rsid w:val="0097432D"/>
    <w:rsid w:val="00974943"/>
    <w:rsid w:val="0097495E"/>
    <w:rsid w:val="00974D5C"/>
    <w:rsid w:val="00975387"/>
    <w:rsid w:val="0097577A"/>
    <w:rsid w:val="00976089"/>
    <w:rsid w:val="00976D8C"/>
    <w:rsid w:val="009770ED"/>
    <w:rsid w:val="009772B3"/>
    <w:rsid w:val="00977573"/>
    <w:rsid w:val="00977788"/>
    <w:rsid w:val="00977F68"/>
    <w:rsid w:val="009805A4"/>
    <w:rsid w:val="009806CD"/>
    <w:rsid w:val="009808CF"/>
    <w:rsid w:val="00980A4A"/>
    <w:rsid w:val="00981054"/>
    <w:rsid w:val="0098138A"/>
    <w:rsid w:val="00981593"/>
    <w:rsid w:val="00981635"/>
    <w:rsid w:val="009817B5"/>
    <w:rsid w:val="00981C1D"/>
    <w:rsid w:val="00981CA1"/>
    <w:rsid w:val="00981CB8"/>
    <w:rsid w:val="00981D38"/>
    <w:rsid w:val="009825C4"/>
    <w:rsid w:val="00982CEC"/>
    <w:rsid w:val="00982DE5"/>
    <w:rsid w:val="00983017"/>
    <w:rsid w:val="00983624"/>
    <w:rsid w:val="009837F2"/>
    <w:rsid w:val="00983C7D"/>
    <w:rsid w:val="0098429E"/>
    <w:rsid w:val="00984D7A"/>
    <w:rsid w:val="00984FD8"/>
    <w:rsid w:val="009856DB"/>
    <w:rsid w:val="00985864"/>
    <w:rsid w:val="0098591B"/>
    <w:rsid w:val="009859D0"/>
    <w:rsid w:val="00985B7E"/>
    <w:rsid w:val="00985BBE"/>
    <w:rsid w:val="00985CCA"/>
    <w:rsid w:val="00985E0E"/>
    <w:rsid w:val="00985ECA"/>
    <w:rsid w:val="0098650E"/>
    <w:rsid w:val="0098650F"/>
    <w:rsid w:val="00986793"/>
    <w:rsid w:val="00986AE9"/>
    <w:rsid w:val="00986B18"/>
    <w:rsid w:val="0098715E"/>
    <w:rsid w:val="009872C5"/>
    <w:rsid w:val="00987CA6"/>
    <w:rsid w:val="00987CAB"/>
    <w:rsid w:val="00987CBA"/>
    <w:rsid w:val="00987DB3"/>
    <w:rsid w:val="00990012"/>
    <w:rsid w:val="009905B2"/>
    <w:rsid w:val="00990628"/>
    <w:rsid w:val="00990788"/>
    <w:rsid w:val="00990826"/>
    <w:rsid w:val="009909DE"/>
    <w:rsid w:val="00990E04"/>
    <w:rsid w:val="0099169B"/>
    <w:rsid w:val="00991719"/>
    <w:rsid w:val="009918D3"/>
    <w:rsid w:val="00991D8F"/>
    <w:rsid w:val="00992678"/>
    <w:rsid w:val="00992BE4"/>
    <w:rsid w:val="00992EA0"/>
    <w:rsid w:val="0099356E"/>
    <w:rsid w:val="009938FB"/>
    <w:rsid w:val="00993F4B"/>
    <w:rsid w:val="00994884"/>
    <w:rsid w:val="009949EB"/>
    <w:rsid w:val="00994AC8"/>
    <w:rsid w:val="00994BAE"/>
    <w:rsid w:val="009959DC"/>
    <w:rsid w:val="00995F0C"/>
    <w:rsid w:val="00995F93"/>
    <w:rsid w:val="00996320"/>
    <w:rsid w:val="00996379"/>
    <w:rsid w:val="009965C2"/>
    <w:rsid w:val="00996827"/>
    <w:rsid w:val="00996858"/>
    <w:rsid w:val="00996A2B"/>
    <w:rsid w:val="00996B6A"/>
    <w:rsid w:val="0099765F"/>
    <w:rsid w:val="00997F9B"/>
    <w:rsid w:val="00997FBF"/>
    <w:rsid w:val="009A0166"/>
    <w:rsid w:val="009A02EE"/>
    <w:rsid w:val="009A044C"/>
    <w:rsid w:val="009A065F"/>
    <w:rsid w:val="009A09B6"/>
    <w:rsid w:val="009A0AAD"/>
    <w:rsid w:val="009A0C9C"/>
    <w:rsid w:val="009A0DCE"/>
    <w:rsid w:val="009A1EBC"/>
    <w:rsid w:val="009A1FF9"/>
    <w:rsid w:val="009A205D"/>
    <w:rsid w:val="009A21C5"/>
    <w:rsid w:val="009A21E4"/>
    <w:rsid w:val="009A2267"/>
    <w:rsid w:val="009A259A"/>
    <w:rsid w:val="009A2987"/>
    <w:rsid w:val="009A29A4"/>
    <w:rsid w:val="009A2AFB"/>
    <w:rsid w:val="009A3037"/>
    <w:rsid w:val="009A3277"/>
    <w:rsid w:val="009A33DB"/>
    <w:rsid w:val="009A3643"/>
    <w:rsid w:val="009A3EAB"/>
    <w:rsid w:val="009A409F"/>
    <w:rsid w:val="009A43B2"/>
    <w:rsid w:val="009A45F6"/>
    <w:rsid w:val="009A49A9"/>
    <w:rsid w:val="009A49E3"/>
    <w:rsid w:val="009A4C44"/>
    <w:rsid w:val="009A5109"/>
    <w:rsid w:val="009A5218"/>
    <w:rsid w:val="009A53A3"/>
    <w:rsid w:val="009A5470"/>
    <w:rsid w:val="009A58A1"/>
    <w:rsid w:val="009A5DF4"/>
    <w:rsid w:val="009A5F61"/>
    <w:rsid w:val="009A63B7"/>
    <w:rsid w:val="009A6468"/>
    <w:rsid w:val="009A68C3"/>
    <w:rsid w:val="009A6BBD"/>
    <w:rsid w:val="009A6C6B"/>
    <w:rsid w:val="009A6F3A"/>
    <w:rsid w:val="009A702F"/>
    <w:rsid w:val="009A7191"/>
    <w:rsid w:val="009A72A4"/>
    <w:rsid w:val="009A7454"/>
    <w:rsid w:val="009A7776"/>
    <w:rsid w:val="009A7BC7"/>
    <w:rsid w:val="009A7C76"/>
    <w:rsid w:val="009B0CEB"/>
    <w:rsid w:val="009B118F"/>
    <w:rsid w:val="009B13C1"/>
    <w:rsid w:val="009B211F"/>
    <w:rsid w:val="009B26B8"/>
    <w:rsid w:val="009B2813"/>
    <w:rsid w:val="009B28EB"/>
    <w:rsid w:val="009B2971"/>
    <w:rsid w:val="009B2A2E"/>
    <w:rsid w:val="009B2C47"/>
    <w:rsid w:val="009B2DB3"/>
    <w:rsid w:val="009B3AA4"/>
    <w:rsid w:val="009B3C5C"/>
    <w:rsid w:val="009B3CF6"/>
    <w:rsid w:val="009B3E1C"/>
    <w:rsid w:val="009B3E8A"/>
    <w:rsid w:val="009B415D"/>
    <w:rsid w:val="009B4B09"/>
    <w:rsid w:val="009B4DEE"/>
    <w:rsid w:val="009B4E0F"/>
    <w:rsid w:val="009B4FF3"/>
    <w:rsid w:val="009B572B"/>
    <w:rsid w:val="009B5938"/>
    <w:rsid w:val="009B5A1D"/>
    <w:rsid w:val="009B5B5B"/>
    <w:rsid w:val="009B6260"/>
    <w:rsid w:val="009B632E"/>
    <w:rsid w:val="009B6C5C"/>
    <w:rsid w:val="009B6FA2"/>
    <w:rsid w:val="009B7096"/>
    <w:rsid w:val="009B7416"/>
    <w:rsid w:val="009C078F"/>
    <w:rsid w:val="009C07DD"/>
    <w:rsid w:val="009C088B"/>
    <w:rsid w:val="009C0B15"/>
    <w:rsid w:val="009C1301"/>
    <w:rsid w:val="009C14AF"/>
    <w:rsid w:val="009C14F9"/>
    <w:rsid w:val="009C16FC"/>
    <w:rsid w:val="009C1F9C"/>
    <w:rsid w:val="009C2576"/>
    <w:rsid w:val="009C2780"/>
    <w:rsid w:val="009C2816"/>
    <w:rsid w:val="009C295A"/>
    <w:rsid w:val="009C402B"/>
    <w:rsid w:val="009C43CC"/>
    <w:rsid w:val="009C4A1B"/>
    <w:rsid w:val="009C4A8C"/>
    <w:rsid w:val="009C5062"/>
    <w:rsid w:val="009C5655"/>
    <w:rsid w:val="009C5D3D"/>
    <w:rsid w:val="009C6BD9"/>
    <w:rsid w:val="009C6F25"/>
    <w:rsid w:val="009C717D"/>
    <w:rsid w:val="009C7340"/>
    <w:rsid w:val="009C764F"/>
    <w:rsid w:val="009C7AF8"/>
    <w:rsid w:val="009C7D51"/>
    <w:rsid w:val="009C7EC9"/>
    <w:rsid w:val="009D068F"/>
    <w:rsid w:val="009D108C"/>
    <w:rsid w:val="009D1437"/>
    <w:rsid w:val="009D1446"/>
    <w:rsid w:val="009D1C6B"/>
    <w:rsid w:val="009D23D0"/>
    <w:rsid w:val="009D25E7"/>
    <w:rsid w:val="009D2706"/>
    <w:rsid w:val="009D291C"/>
    <w:rsid w:val="009D2C42"/>
    <w:rsid w:val="009D2E86"/>
    <w:rsid w:val="009D333E"/>
    <w:rsid w:val="009D3E30"/>
    <w:rsid w:val="009D4572"/>
    <w:rsid w:val="009D4857"/>
    <w:rsid w:val="009D4A60"/>
    <w:rsid w:val="009D4D50"/>
    <w:rsid w:val="009D50E3"/>
    <w:rsid w:val="009D53F7"/>
    <w:rsid w:val="009D5E34"/>
    <w:rsid w:val="009D63B7"/>
    <w:rsid w:val="009D63F5"/>
    <w:rsid w:val="009D6FC7"/>
    <w:rsid w:val="009D6FE7"/>
    <w:rsid w:val="009D723E"/>
    <w:rsid w:val="009D756D"/>
    <w:rsid w:val="009D7BB6"/>
    <w:rsid w:val="009E005C"/>
    <w:rsid w:val="009E0518"/>
    <w:rsid w:val="009E0790"/>
    <w:rsid w:val="009E085E"/>
    <w:rsid w:val="009E1646"/>
    <w:rsid w:val="009E1BD0"/>
    <w:rsid w:val="009E1FD5"/>
    <w:rsid w:val="009E239C"/>
    <w:rsid w:val="009E256D"/>
    <w:rsid w:val="009E2669"/>
    <w:rsid w:val="009E27EE"/>
    <w:rsid w:val="009E2C4A"/>
    <w:rsid w:val="009E300B"/>
    <w:rsid w:val="009E30AE"/>
    <w:rsid w:val="009E3557"/>
    <w:rsid w:val="009E38D1"/>
    <w:rsid w:val="009E3DF7"/>
    <w:rsid w:val="009E3F2D"/>
    <w:rsid w:val="009E4321"/>
    <w:rsid w:val="009E4355"/>
    <w:rsid w:val="009E444F"/>
    <w:rsid w:val="009E45A5"/>
    <w:rsid w:val="009E468D"/>
    <w:rsid w:val="009E4745"/>
    <w:rsid w:val="009E4760"/>
    <w:rsid w:val="009E4C45"/>
    <w:rsid w:val="009E51CE"/>
    <w:rsid w:val="009E51E6"/>
    <w:rsid w:val="009E5414"/>
    <w:rsid w:val="009E5443"/>
    <w:rsid w:val="009E573F"/>
    <w:rsid w:val="009E5750"/>
    <w:rsid w:val="009E5B55"/>
    <w:rsid w:val="009E5DAD"/>
    <w:rsid w:val="009E6315"/>
    <w:rsid w:val="009E642A"/>
    <w:rsid w:val="009E6813"/>
    <w:rsid w:val="009E68AB"/>
    <w:rsid w:val="009E6D3F"/>
    <w:rsid w:val="009E6E81"/>
    <w:rsid w:val="009E7545"/>
    <w:rsid w:val="009E7C43"/>
    <w:rsid w:val="009E7F24"/>
    <w:rsid w:val="009E7FD1"/>
    <w:rsid w:val="009F00E1"/>
    <w:rsid w:val="009F02A0"/>
    <w:rsid w:val="009F0587"/>
    <w:rsid w:val="009F0745"/>
    <w:rsid w:val="009F0ABA"/>
    <w:rsid w:val="009F0B0B"/>
    <w:rsid w:val="009F0BB9"/>
    <w:rsid w:val="009F0D06"/>
    <w:rsid w:val="009F0D6D"/>
    <w:rsid w:val="009F1291"/>
    <w:rsid w:val="009F14A8"/>
    <w:rsid w:val="009F1732"/>
    <w:rsid w:val="009F17D3"/>
    <w:rsid w:val="009F1A16"/>
    <w:rsid w:val="009F1FCC"/>
    <w:rsid w:val="009F2039"/>
    <w:rsid w:val="009F2601"/>
    <w:rsid w:val="009F2D27"/>
    <w:rsid w:val="009F3304"/>
    <w:rsid w:val="009F38E0"/>
    <w:rsid w:val="009F3911"/>
    <w:rsid w:val="009F3A2A"/>
    <w:rsid w:val="009F3C84"/>
    <w:rsid w:val="009F4075"/>
    <w:rsid w:val="009F50A4"/>
    <w:rsid w:val="009F52C1"/>
    <w:rsid w:val="009F59D9"/>
    <w:rsid w:val="009F5C5F"/>
    <w:rsid w:val="009F5E3D"/>
    <w:rsid w:val="009F5ECA"/>
    <w:rsid w:val="009F5F05"/>
    <w:rsid w:val="009F633A"/>
    <w:rsid w:val="009F634A"/>
    <w:rsid w:val="009F6716"/>
    <w:rsid w:val="009F6889"/>
    <w:rsid w:val="009F6A86"/>
    <w:rsid w:val="009F6E2B"/>
    <w:rsid w:val="009F73B4"/>
    <w:rsid w:val="009F77CB"/>
    <w:rsid w:val="009F7B7E"/>
    <w:rsid w:val="009F7C58"/>
    <w:rsid w:val="009F7D31"/>
    <w:rsid w:val="00A00292"/>
    <w:rsid w:val="00A002B0"/>
    <w:rsid w:val="00A00DDF"/>
    <w:rsid w:val="00A010FE"/>
    <w:rsid w:val="00A01B53"/>
    <w:rsid w:val="00A01C9D"/>
    <w:rsid w:val="00A01F58"/>
    <w:rsid w:val="00A02375"/>
    <w:rsid w:val="00A02D96"/>
    <w:rsid w:val="00A037E1"/>
    <w:rsid w:val="00A03D88"/>
    <w:rsid w:val="00A04306"/>
    <w:rsid w:val="00A04782"/>
    <w:rsid w:val="00A048F5"/>
    <w:rsid w:val="00A049C2"/>
    <w:rsid w:val="00A04CB9"/>
    <w:rsid w:val="00A04D4C"/>
    <w:rsid w:val="00A04F2B"/>
    <w:rsid w:val="00A050AC"/>
    <w:rsid w:val="00A05819"/>
    <w:rsid w:val="00A05CC0"/>
    <w:rsid w:val="00A05FD6"/>
    <w:rsid w:val="00A06041"/>
    <w:rsid w:val="00A0645D"/>
    <w:rsid w:val="00A06817"/>
    <w:rsid w:val="00A07327"/>
    <w:rsid w:val="00A07405"/>
    <w:rsid w:val="00A07923"/>
    <w:rsid w:val="00A10643"/>
    <w:rsid w:val="00A109FE"/>
    <w:rsid w:val="00A10D72"/>
    <w:rsid w:val="00A11116"/>
    <w:rsid w:val="00A1161E"/>
    <w:rsid w:val="00A11E6A"/>
    <w:rsid w:val="00A126A9"/>
    <w:rsid w:val="00A12AFA"/>
    <w:rsid w:val="00A12C34"/>
    <w:rsid w:val="00A12D83"/>
    <w:rsid w:val="00A12F71"/>
    <w:rsid w:val="00A1307E"/>
    <w:rsid w:val="00A1337A"/>
    <w:rsid w:val="00A133F1"/>
    <w:rsid w:val="00A13B00"/>
    <w:rsid w:val="00A13CBD"/>
    <w:rsid w:val="00A13FDD"/>
    <w:rsid w:val="00A14365"/>
    <w:rsid w:val="00A1439C"/>
    <w:rsid w:val="00A1440B"/>
    <w:rsid w:val="00A14423"/>
    <w:rsid w:val="00A1494C"/>
    <w:rsid w:val="00A14A57"/>
    <w:rsid w:val="00A14DBD"/>
    <w:rsid w:val="00A15089"/>
    <w:rsid w:val="00A1527A"/>
    <w:rsid w:val="00A15617"/>
    <w:rsid w:val="00A158AA"/>
    <w:rsid w:val="00A15922"/>
    <w:rsid w:val="00A15BA3"/>
    <w:rsid w:val="00A15E79"/>
    <w:rsid w:val="00A1641F"/>
    <w:rsid w:val="00A16AAF"/>
    <w:rsid w:val="00A16C06"/>
    <w:rsid w:val="00A17215"/>
    <w:rsid w:val="00A174E1"/>
    <w:rsid w:val="00A2016D"/>
    <w:rsid w:val="00A20A17"/>
    <w:rsid w:val="00A20A84"/>
    <w:rsid w:val="00A21074"/>
    <w:rsid w:val="00A21225"/>
    <w:rsid w:val="00A2133A"/>
    <w:rsid w:val="00A217C6"/>
    <w:rsid w:val="00A21BC0"/>
    <w:rsid w:val="00A21C63"/>
    <w:rsid w:val="00A21DBB"/>
    <w:rsid w:val="00A21EE2"/>
    <w:rsid w:val="00A221D4"/>
    <w:rsid w:val="00A2235A"/>
    <w:rsid w:val="00A22400"/>
    <w:rsid w:val="00A2256C"/>
    <w:rsid w:val="00A225F1"/>
    <w:rsid w:val="00A22BAB"/>
    <w:rsid w:val="00A22F7A"/>
    <w:rsid w:val="00A230A4"/>
    <w:rsid w:val="00A232A4"/>
    <w:rsid w:val="00A235EC"/>
    <w:rsid w:val="00A23748"/>
    <w:rsid w:val="00A23761"/>
    <w:rsid w:val="00A23C65"/>
    <w:rsid w:val="00A2414A"/>
    <w:rsid w:val="00A24188"/>
    <w:rsid w:val="00A24699"/>
    <w:rsid w:val="00A24C97"/>
    <w:rsid w:val="00A24FBE"/>
    <w:rsid w:val="00A251A9"/>
    <w:rsid w:val="00A251BD"/>
    <w:rsid w:val="00A25431"/>
    <w:rsid w:val="00A25C3A"/>
    <w:rsid w:val="00A25E26"/>
    <w:rsid w:val="00A25E4E"/>
    <w:rsid w:val="00A261A3"/>
    <w:rsid w:val="00A26301"/>
    <w:rsid w:val="00A2657F"/>
    <w:rsid w:val="00A2679D"/>
    <w:rsid w:val="00A26B7C"/>
    <w:rsid w:val="00A2711A"/>
    <w:rsid w:val="00A2767D"/>
    <w:rsid w:val="00A278F9"/>
    <w:rsid w:val="00A27B59"/>
    <w:rsid w:val="00A30023"/>
    <w:rsid w:val="00A30072"/>
    <w:rsid w:val="00A30861"/>
    <w:rsid w:val="00A30E44"/>
    <w:rsid w:val="00A30E97"/>
    <w:rsid w:val="00A30EA4"/>
    <w:rsid w:val="00A30EDE"/>
    <w:rsid w:val="00A30FDE"/>
    <w:rsid w:val="00A31041"/>
    <w:rsid w:val="00A31AA7"/>
    <w:rsid w:val="00A321FE"/>
    <w:rsid w:val="00A32845"/>
    <w:rsid w:val="00A32BC3"/>
    <w:rsid w:val="00A32D34"/>
    <w:rsid w:val="00A32FA0"/>
    <w:rsid w:val="00A334F5"/>
    <w:rsid w:val="00A33513"/>
    <w:rsid w:val="00A33867"/>
    <w:rsid w:val="00A33D18"/>
    <w:rsid w:val="00A33DCC"/>
    <w:rsid w:val="00A33E87"/>
    <w:rsid w:val="00A3406F"/>
    <w:rsid w:val="00A340AC"/>
    <w:rsid w:val="00A34902"/>
    <w:rsid w:val="00A349E5"/>
    <w:rsid w:val="00A34AA6"/>
    <w:rsid w:val="00A3536F"/>
    <w:rsid w:val="00A353FB"/>
    <w:rsid w:val="00A35742"/>
    <w:rsid w:val="00A35FA4"/>
    <w:rsid w:val="00A360BA"/>
    <w:rsid w:val="00A362F1"/>
    <w:rsid w:val="00A363B2"/>
    <w:rsid w:val="00A365F9"/>
    <w:rsid w:val="00A36701"/>
    <w:rsid w:val="00A369BB"/>
    <w:rsid w:val="00A36A3D"/>
    <w:rsid w:val="00A36A9B"/>
    <w:rsid w:val="00A37073"/>
    <w:rsid w:val="00A372CB"/>
    <w:rsid w:val="00A402EC"/>
    <w:rsid w:val="00A40A4F"/>
    <w:rsid w:val="00A40DA7"/>
    <w:rsid w:val="00A410E0"/>
    <w:rsid w:val="00A4135C"/>
    <w:rsid w:val="00A41E29"/>
    <w:rsid w:val="00A42067"/>
    <w:rsid w:val="00A4289E"/>
    <w:rsid w:val="00A42A9B"/>
    <w:rsid w:val="00A42C67"/>
    <w:rsid w:val="00A42CCF"/>
    <w:rsid w:val="00A43490"/>
    <w:rsid w:val="00A4385C"/>
    <w:rsid w:val="00A43865"/>
    <w:rsid w:val="00A439A1"/>
    <w:rsid w:val="00A43BDF"/>
    <w:rsid w:val="00A44735"/>
    <w:rsid w:val="00A44B34"/>
    <w:rsid w:val="00A44C11"/>
    <w:rsid w:val="00A44D53"/>
    <w:rsid w:val="00A45672"/>
    <w:rsid w:val="00A458EA"/>
    <w:rsid w:val="00A46448"/>
    <w:rsid w:val="00A464FC"/>
    <w:rsid w:val="00A465A6"/>
    <w:rsid w:val="00A4660E"/>
    <w:rsid w:val="00A468ED"/>
    <w:rsid w:val="00A46936"/>
    <w:rsid w:val="00A4699E"/>
    <w:rsid w:val="00A469B8"/>
    <w:rsid w:val="00A46AAB"/>
    <w:rsid w:val="00A46F47"/>
    <w:rsid w:val="00A47083"/>
    <w:rsid w:val="00A4756A"/>
    <w:rsid w:val="00A479E1"/>
    <w:rsid w:val="00A5031A"/>
    <w:rsid w:val="00A50384"/>
    <w:rsid w:val="00A503DC"/>
    <w:rsid w:val="00A50440"/>
    <w:rsid w:val="00A50A26"/>
    <w:rsid w:val="00A50AD5"/>
    <w:rsid w:val="00A50ADC"/>
    <w:rsid w:val="00A50CDF"/>
    <w:rsid w:val="00A50E34"/>
    <w:rsid w:val="00A51057"/>
    <w:rsid w:val="00A512EA"/>
    <w:rsid w:val="00A51B3C"/>
    <w:rsid w:val="00A520DA"/>
    <w:rsid w:val="00A52109"/>
    <w:rsid w:val="00A52681"/>
    <w:rsid w:val="00A53527"/>
    <w:rsid w:val="00A53717"/>
    <w:rsid w:val="00A5480D"/>
    <w:rsid w:val="00A54E7E"/>
    <w:rsid w:val="00A54E8D"/>
    <w:rsid w:val="00A54FEF"/>
    <w:rsid w:val="00A550E1"/>
    <w:rsid w:val="00A55564"/>
    <w:rsid w:val="00A556EA"/>
    <w:rsid w:val="00A55849"/>
    <w:rsid w:val="00A5605E"/>
    <w:rsid w:val="00A566A4"/>
    <w:rsid w:val="00A56D3F"/>
    <w:rsid w:val="00A56D86"/>
    <w:rsid w:val="00A56E22"/>
    <w:rsid w:val="00A56EF2"/>
    <w:rsid w:val="00A57419"/>
    <w:rsid w:val="00A57A47"/>
    <w:rsid w:val="00A600CD"/>
    <w:rsid w:val="00A60317"/>
    <w:rsid w:val="00A603B7"/>
    <w:rsid w:val="00A60620"/>
    <w:rsid w:val="00A606CA"/>
    <w:rsid w:val="00A60CF6"/>
    <w:rsid w:val="00A60E2C"/>
    <w:rsid w:val="00A611E7"/>
    <w:rsid w:val="00A6134B"/>
    <w:rsid w:val="00A61514"/>
    <w:rsid w:val="00A617B0"/>
    <w:rsid w:val="00A625B3"/>
    <w:rsid w:val="00A62966"/>
    <w:rsid w:val="00A62974"/>
    <w:rsid w:val="00A62B26"/>
    <w:rsid w:val="00A62C44"/>
    <w:rsid w:val="00A636E5"/>
    <w:rsid w:val="00A63922"/>
    <w:rsid w:val="00A63969"/>
    <w:rsid w:val="00A63DBB"/>
    <w:rsid w:val="00A643D0"/>
    <w:rsid w:val="00A645A5"/>
    <w:rsid w:val="00A647EC"/>
    <w:rsid w:val="00A660A1"/>
    <w:rsid w:val="00A661AE"/>
    <w:rsid w:val="00A665E1"/>
    <w:rsid w:val="00A6673A"/>
    <w:rsid w:val="00A66886"/>
    <w:rsid w:val="00A6696B"/>
    <w:rsid w:val="00A66EA1"/>
    <w:rsid w:val="00A66F23"/>
    <w:rsid w:val="00A6743A"/>
    <w:rsid w:val="00A67467"/>
    <w:rsid w:val="00A675A3"/>
    <w:rsid w:val="00A67749"/>
    <w:rsid w:val="00A70321"/>
    <w:rsid w:val="00A707AB"/>
    <w:rsid w:val="00A70DD1"/>
    <w:rsid w:val="00A70E81"/>
    <w:rsid w:val="00A71339"/>
    <w:rsid w:val="00A71673"/>
    <w:rsid w:val="00A71B64"/>
    <w:rsid w:val="00A71F99"/>
    <w:rsid w:val="00A7225F"/>
    <w:rsid w:val="00A72550"/>
    <w:rsid w:val="00A72953"/>
    <w:rsid w:val="00A72EC3"/>
    <w:rsid w:val="00A7371C"/>
    <w:rsid w:val="00A737B0"/>
    <w:rsid w:val="00A737C1"/>
    <w:rsid w:val="00A73DCC"/>
    <w:rsid w:val="00A741CB"/>
    <w:rsid w:val="00A742BB"/>
    <w:rsid w:val="00A74324"/>
    <w:rsid w:val="00A74377"/>
    <w:rsid w:val="00A74747"/>
    <w:rsid w:val="00A750AC"/>
    <w:rsid w:val="00A751F5"/>
    <w:rsid w:val="00A75318"/>
    <w:rsid w:val="00A75CBF"/>
    <w:rsid w:val="00A76013"/>
    <w:rsid w:val="00A761B8"/>
    <w:rsid w:val="00A76A1A"/>
    <w:rsid w:val="00A772DC"/>
    <w:rsid w:val="00A77300"/>
    <w:rsid w:val="00A77707"/>
    <w:rsid w:val="00A77AEC"/>
    <w:rsid w:val="00A77D4E"/>
    <w:rsid w:val="00A80500"/>
    <w:rsid w:val="00A806BF"/>
    <w:rsid w:val="00A80B62"/>
    <w:rsid w:val="00A80E8E"/>
    <w:rsid w:val="00A81259"/>
    <w:rsid w:val="00A81524"/>
    <w:rsid w:val="00A8185E"/>
    <w:rsid w:val="00A81A34"/>
    <w:rsid w:val="00A81BB9"/>
    <w:rsid w:val="00A81C18"/>
    <w:rsid w:val="00A81FF2"/>
    <w:rsid w:val="00A82130"/>
    <w:rsid w:val="00A82EC2"/>
    <w:rsid w:val="00A8301E"/>
    <w:rsid w:val="00A8340F"/>
    <w:rsid w:val="00A83656"/>
    <w:rsid w:val="00A83E6A"/>
    <w:rsid w:val="00A83F5B"/>
    <w:rsid w:val="00A84100"/>
    <w:rsid w:val="00A8424C"/>
    <w:rsid w:val="00A84373"/>
    <w:rsid w:val="00A8441C"/>
    <w:rsid w:val="00A84852"/>
    <w:rsid w:val="00A849A4"/>
    <w:rsid w:val="00A8559A"/>
    <w:rsid w:val="00A85749"/>
    <w:rsid w:val="00A8582D"/>
    <w:rsid w:val="00A85EF2"/>
    <w:rsid w:val="00A860A9"/>
    <w:rsid w:val="00A862F7"/>
    <w:rsid w:val="00A86705"/>
    <w:rsid w:val="00A8688F"/>
    <w:rsid w:val="00A86AC4"/>
    <w:rsid w:val="00A87C6F"/>
    <w:rsid w:val="00A87D87"/>
    <w:rsid w:val="00A87FA0"/>
    <w:rsid w:val="00A90EE7"/>
    <w:rsid w:val="00A91023"/>
    <w:rsid w:val="00A914FB"/>
    <w:rsid w:val="00A91C72"/>
    <w:rsid w:val="00A91D16"/>
    <w:rsid w:val="00A91D50"/>
    <w:rsid w:val="00A91F7C"/>
    <w:rsid w:val="00A9203D"/>
    <w:rsid w:val="00A921FE"/>
    <w:rsid w:val="00A923DD"/>
    <w:rsid w:val="00A9242E"/>
    <w:rsid w:val="00A927EE"/>
    <w:rsid w:val="00A92AAB"/>
    <w:rsid w:val="00A92B7E"/>
    <w:rsid w:val="00A92D58"/>
    <w:rsid w:val="00A92D5E"/>
    <w:rsid w:val="00A92F96"/>
    <w:rsid w:val="00A930EC"/>
    <w:rsid w:val="00A93242"/>
    <w:rsid w:val="00A93448"/>
    <w:rsid w:val="00A93915"/>
    <w:rsid w:val="00A93A20"/>
    <w:rsid w:val="00A93BC6"/>
    <w:rsid w:val="00A9412A"/>
    <w:rsid w:val="00A9421E"/>
    <w:rsid w:val="00A95113"/>
    <w:rsid w:val="00A954AA"/>
    <w:rsid w:val="00A95ECD"/>
    <w:rsid w:val="00A9664E"/>
    <w:rsid w:val="00A967A2"/>
    <w:rsid w:val="00A96CD8"/>
    <w:rsid w:val="00A96DA2"/>
    <w:rsid w:val="00A96F7E"/>
    <w:rsid w:val="00A971F9"/>
    <w:rsid w:val="00A97316"/>
    <w:rsid w:val="00A97491"/>
    <w:rsid w:val="00A97680"/>
    <w:rsid w:val="00A9784A"/>
    <w:rsid w:val="00A97B6E"/>
    <w:rsid w:val="00A97C73"/>
    <w:rsid w:val="00A97FB4"/>
    <w:rsid w:val="00AA1207"/>
    <w:rsid w:val="00AA1222"/>
    <w:rsid w:val="00AA13CB"/>
    <w:rsid w:val="00AA1545"/>
    <w:rsid w:val="00AA21BB"/>
    <w:rsid w:val="00AA24CF"/>
    <w:rsid w:val="00AA2716"/>
    <w:rsid w:val="00AA294D"/>
    <w:rsid w:val="00AA2BCF"/>
    <w:rsid w:val="00AA2BDC"/>
    <w:rsid w:val="00AA2C2D"/>
    <w:rsid w:val="00AA2C81"/>
    <w:rsid w:val="00AA308E"/>
    <w:rsid w:val="00AA32A2"/>
    <w:rsid w:val="00AA386E"/>
    <w:rsid w:val="00AA3F20"/>
    <w:rsid w:val="00AA4217"/>
    <w:rsid w:val="00AA4493"/>
    <w:rsid w:val="00AA4897"/>
    <w:rsid w:val="00AA4D14"/>
    <w:rsid w:val="00AA4D86"/>
    <w:rsid w:val="00AA5554"/>
    <w:rsid w:val="00AA5B15"/>
    <w:rsid w:val="00AA6AB0"/>
    <w:rsid w:val="00AA6D57"/>
    <w:rsid w:val="00AA6ED9"/>
    <w:rsid w:val="00AA7988"/>
    <w:rsid w:val="00AA7D94"/>
    <w:rsid w:val="00AB020F"/>
    <w:rsid w:val="00AB0235"/>
    <w:rsid w:val="00AB072B"/>
    <w:rsid w:val="00AB0E06"/>
    <w:rsid w:val="00AB12C5"/>
    <w:rsid w:val="00AB1889"/>
    <w:rsid w:val="00AB1AC1"/>
    <w:rsid w:val="00AB1B12"/>
    <w:rsid w:val="00AB1F3B"/>
    <w:rsid w:val="00AB24F1"/>
    <w:rsid w:val="00AB252C"/>
    <w:rsid w:val="00AB285C"/>
    <w:rsid w:val="00AB294F"/>
    <w:rsid w:val="00AB2E74"/>
    <w:rsid w:val="00AB2EA9"/>
    <w:rsid w:val="00AB3057"/>
    <w:rsid w:val="00AB3532"/>
    <w:rsid w:val="00AB353E"/>
    <w:rsid w:val="00AB3B53"/>
    <w:rsid w:val="00AB3C21"/>
    <w:rsid w:val="00AB3CC3"/>
    <w:rsid w:val="00AB43A0"/>
    <w:rsid w:val="00AB4478"/>
    <w:rsid w:val="00AB4590"/>
    <w:rsid w:val="00AB4BB5"/>
    <w:rsid w:val="00AB5026"/>
    <w:rsid w:val="00AB5278"/>
    <w:rsid w:val="00AB5C72"/>
    <w:rsid w:val="00AB5D98"/>
    <w:rsid w:val="00AB65B8"/>
    <w:rsid w:val="00AB6A3D"/>
    <w:rsid w:val="00AB737A"/>
    <w:rsid w:val="00AB7899"/>
    <w:rsid w:val="00AB7C08"/>
    <w:rsid w:val="00AC03D2"/>
    <w:rsid w:val="00AC0433"/>
    <w:rsid w:val="00AC0750"/>
    <w:rsid w:val="00AC0C2E"/>
    <w:rsid w:val="00AC0C4B"/>
    <w:rsid w:val="00AC0F91"/>
    <w:rsid w:val="00AC1177"/>
    <w:rsid w:val="00AC1B1C"/>
    <w:rsid w:val="00AC1BC8"/>
    <w:rsid w:val="00AC1F14"/>
    <w:rsid w:val="00AC1FC4"/>
    <w:rsid w:val="00AC209C"/>
    <w:rsid w:val="00AC236E"/>
    <w:rsid w:val="00AC2B87"/>
    <w:rsid w:val="00AC2FA1"/>
    <w:rsid w:val="00AC31F0"/>
    <w:rsid w:val="00AC31F3"/>
    <w:rsid w:val="00AC3550"/>
    <w:rsid w:val="00AC3679"/>
    <w:rsid w:val="00AC3724"/>
    <w:rsid w:val="00AC3A53"/>
    <w:rsid w:val="00AC3A7D"/>
    <w:rsid w:val="00AC3C6E"/>
    <w:rsid w:val="00AC3DAE"/>
    <w:rsid w:val="00AC3F45"/>
    <w:rsid w:val="00AC42CE"/>
    <w:rsid w:val="00AC456B"/>
    <w:rsid w:val="00AC4724"/>
    <w:rsid w:val="00AC4801"/>
    <w:rsid w:val="00AC48B7"/>
    <w:rsid w:val="00AC5114"/>
    <w:rsid w:val="00AC521A"/>
    <w:rsid w:val="00AC548A"/>
    <w:rsid w:val="00AC5DD9"/>
    <w:rsid w:val="00AC5F79"/>
    <w:rsid w:val="00AC6015"/>
    <w:rsid w:val="00AC6449"/>
    <w:rsid w:val="00AC64B6"/>
    <w:rsid w:val="00AC673C"/>
    <w:rsid w:val="00AC68FC"/>
    <w:rsid w:val="00AC6954"/>
    <w:rsid w:val="00AC69C9"/>
    <w:rsid w:val="00AC6EE9"/>
    <w:rsid w:val="00AC6FB3"/>
    <w:rsid w:val="00AC7AA3"/>
    <w:rsid w:val="00AC7AA5"/>
    <w:rsid w:val="00AD0564"/>
    <w:rsid w:val="00AD0907"/>
    <w:rsid w:val="00AD0A0D"/>
    <w:rsid w:val="00AD0D74"/>
    <w:rsid w:val="00AD0E8B"/>
    <w:rsid w:val="00AD0F32"/>
    <w:rsid w:val="00AD0F76"/>
    <w:rsid w:val="00AD1242"/>
    <w:rsid w:val="00AD1762"/>
    <w:rsid w:val="00AD183C"/>
    <w:rsid w:val="00AD18C6"/>
    <w:rsid w:val="00AD18E5"/>
    <w:rsid w:val="00AD1957"/>
    <w:rsid w:val="00AD1B01"/>
    <w:rsid w:val="00AD1B8A"/>
    <w:rsid w:val="00AD2109"/>
    <w:rsid w:val="00AD21D8"/>
    <w:rsid w:val="00AD232A"/>
    <w:rsid w:val="00AD2381"/>
    <w:rsid w:val="00AD2A3D"/>
    <w:rsid w:val="00AD2B97"/>
    <w:rsid w:val="00AD2BD6"/>
    <w:rsid w:val="00AD3163"/>
    <w:rsid w:val="00AD3B59"/>
    <w:rsid w:val="00AD4235"/>
    <w:rsid w:val="00AD4E64"/>
    <w:rsid w:val="00AD5327"/>
    <w:rsid w:val="00AD5822"/>
    <w:rsid w:val="00AD5860"/>
    <w:rsid w:val="00AD5993"/>
    <w:rsid w:val="00AD5A4B"/>
    <w:rsid w:val="00AD5D2C"/>
    <w:rsid w:val="00AD6035"/>
    <w:rsid w:val="00AD627F"/>
    <w:rsid w:val="00AD68C5"/>
    <w:rsid w:val="00AD73AA"/>
    <w:rsid w:val="00AD76F6"/>
    <w:rsid w:val="00AD77F8"/>
    <w:rsid w:val="00AD7BEA"/>
    <w:rsid w:val="00AD7E0C"/>
    <w:rsid w:val="00AD7F17"/>
    <w:rsid w:val="00AE0272"/>
    <w:rsid w:val="00AE05DF"/>
    <w:rsid w:val="00AE08DB"/>
    <w:rsid w:val="00AE0BE1"/>
    <w:rsid w:val="00AE0EF5"/>
    <w:rsid w:val="00AE19A7"/>
    <w:rsid w:val="00AE2550"/>
    <w:rsid w:val="00AE2811"/>
    <w:rsid w:val="00AE34C3"/>
    <w:rsid w:val="00AE37AC"/>
    <w:rsid w:val="00AE3F8A"/>
    <w:rsid w:val="00AE409A"/>
    <w:rsid w:val="00AE53C0"/>
    <w:rsid w:val="00AE571D"/>
    <w:rsid w:val="00AE5A7A"/>
    <w:rsid w:val="00AE5D30"/>
    <w:rsid w:val="00AE60BF"/>
    <w:rsid w:val="00AE6185"/>
    <w:rsid w:val="00AE6401"/>
    <w:rsid w:val="00AE694C"/>
    <w:rsid w:val="00AE715F"/>
    <w:rsid w:val="00AE7480"/>
    <w:rsid w:val="00AE750F"/>
    <w:rsid w:val="00AE7697"/>
    <w:rsid w:val="00AE770F"/>
    <w:rsid w:val="00AE77C9"/>
    <w:rsid w:val="00AE7A2C"/>
    <w:rsid w:val="00AF085E"/>
    <w:rsid w:val="00AF0C57"/>
    <w:rsid w:val="00AF0F65"/>
    <w:rsid w:val="00AF17B7"/>
    <w:rsid w:val="00AF191A"/>
    <w:rsid w:val="00AF1B25"/>
    <w:rsid w:val="00AF21C4"/>
    <w:rsid w:val="00AF2B06"/>
    <w:rsid w:val="00AF2BC3"/>
    <w:rsid w:val="00AF2D0A"/>
    <w:rsid w:val="00AF37C0"/>
    <w:rsid w:val="00AF3CE1"/>
    <w:rsid w:val="00AF3D44"/>
    <w:rsid w:val="00AF45B6"/>
    <w:rsid w:val="00AF4D5A"/>
    <w:rsid w:val="00AF4FFD"/>
    <w:rsid w:val="00AF57DA"/>
    <w:rsid w:val="00AF5ACE"/>
    <w:rsid w:val="00AF5AF2"/>
    <w:rsid w:val="00AF5BF9"/>
    <w:rsid w:val="00AF5CA7"/>
    <w:rsid w:val="00AF5E15"/>
    <w:rsid w:val="00AF60AB"/>
    <w:rsid w:val="00AF62A2"/>
    <w:rsid w:val="00AF6327"/>
    <w:rsid w:val="00AF6618"/>
    <w:rsid w:val="00AF685F"/>
    <w:rsid w:val="00AF6F7A"/>
    <w:rsid w:val="00AF713D"/>
    <w:rsid w:val="00AF7290"/>
    <w:rsid w:val="00AF7523"/>
    <w:rsid w:val="00AF7FBE"/>
    <w:rsid w:val="00B00045"/>
    <w:rsid w:val="00B012A7"/>
    <w:rsid w:val="00B012AE"/>
    <w:rsid w:val="00B01488"/>
    <w:rsid w:val="00B019B9"/>
    <w:rsid w:val="00B01B49"/>
    <w:rsid w:val="00B01B72"/>
    <w:rsid w:val="00B01D14"/>
    <w:rsid w:val="00B01D43"/>
    <w:rsid w:val="00B0235B"/>
    <w:rsid w:val="00B0264F"/>
    <w:rsid w:val="00B02D28"/>
    <w:rsid w:val="00B02DA8"/>
    <w:rsid w:val="00B0341C"/>
    <w:rsid w:val="00B0411A"/>
    <w:rsid w:val="00B0412B"/>
    <w:rsid w:val="00B04304"/>
    <w:rsid w:val="00B04AE9"/>
    <w:rsid w:val="00B04C47"/>
    <w:rsid w:val="00B04D5E"/>
    <w:rsid w:val="00B056B0"/>
    <w:rsid w:val="00B0575B"/>
    <w:rsid w:val="00B057C1"/>
    <w:rsid w:val="00B05891"/>
    <w:rsid w:val="00B05AEA"/>
    <w:rsid w:val="00B05BD9"/>
    <w:rsid w:val="00B05C0C"/>
    <w:rsid w:val="00B05DD1"/>
    <w:rsid w:val="00B061EC"/>
    <w:rsid w:val="00B0626A"/>
    <w:rsid w:val="00B066AD"/>
    <w:rsid w:val="00B06750"/>
    <w:rsid w:val="00B067FE"/>
    <w:rsid w:val="00B06964"/>
    <w:rsid w:val="00B06D07"/>
    <w:rsid w:val="00B06E15"/>
    <w:rsid w:val="00B0732B"/>
    <w:rsid w:val="00B07752"/>
    <w:rsid w:val="00B0777F"/>
    <w:rsid w:val="00B07A18"/>
    <w:rsid w:val="00B10080"/>
    <w:rsid w:val="00B10439"/>
    <w:rsid w:val="00B10570"/>
    <w:rsid w:val="00B109C3"/>
    <w:rsid w:val="00B10C41"/>
    <w:rsid w:val="00B10D4A"/>
    <w:rsid w:val="00B1114A"/>
    <w:rsid w:val="00B11B0C"/>
    <w:rsid w:val="00B11B3B"/>
    <w:rsid w:val="00B11F36"/>
    <w:rsid w:val="00B127E4"/>
    <w:rsid w:val="00B12AC9"/>
    <w:rsid w:val="00B12E1A"/>
    <w:rsid w:val="00B1304A"/>
    <w:rsid w:val="00B1339D"/>
    <w:rsid w:val="00B1372F"/>
    <w:rsid w:val="00B1395F"/>
    <w:rsid w:val="00B13A28"/>
    <w:rsid w:val="00B13AAF"/>
    <w:rsid w:val="00B13B94"/>
    <w:rsid w:val="00B13C98"/>
    <w:rsid w:val="00B13E6E"/>
    <w:rsid w:val="00B1447D"/>
    <w:rsid w:val="00B14605"/>
    <w:rsid w:val="00B148DF"/>
    <w:rsid w:val="00B14DB1"/>
    <w:rsid w:val="00B14E2B"/>
    <w:rsid w:val="00B1585D"/>
    <w:rsid w:val="00B15950"/>
    <w:rsid w:val="00B163E5"/>
    <w:rsid w:val="00B16D24"/>
    <w:rsid w:val="00B16D8B"/>
    <w:rsid w:val="00B16E78"/>
    <w:rsid w:val="00B16E99"/>
    <w:rsid w:val="00B16EC9"/>
    <w:rsid w:val="00B17340"/>
    <w:rsid w:val="00B173BD"/>
    <w:rsid w:val="00B173D4"/>
    <w:rsid w:val="00B176BD"/>
    <w:rsid w:val="00B179AB"/>
    <w:rsid w:val="00B17C51"/>
    <w:rsid w:val="00B17ED3"/>
    <w:rsid w:val="00B20146"/>
    <w:rsid w:val="00B20903"/>
    <w:rsid w:val="00B20C42"/>
    <w:rsid w:val="00B20EF3"/>
    <w:rsid w:val="00B219C0"/>
    <w:rsid w:val="00B21AE3"/>
    <w:rsid w:val="00B21B7A"/>
    <w:rsid w:val="00B21E92"/>
    <w:rsid w:val="00B220EF"/>
    <w:rsid w:val="00B22A7B"/>
    <w:rsid w:val="00B22B21"/>
    <w:rsid w:val="00B22B91"/>
    <w:rsid w:val="00B22D51"/>
    <w:rsid w:val="00B22E7E"/>
    <w:rsid w:val="00B23120"/>
    <w:rsid w:val="00B238E3"/>
    <w:rsid w:val="00B23B08"/>
    <w:rsid w:val="00B23E5A"/>
    <w:rsid w:val="00B24165"/>
    <w:rsid w:val="00B2438D"/>
    <w:rsid w:val="00B247F6"/>
    <w:rsid w:val="00B24E63"/>
    <w:rsid w:val="00B254DF"/>
    <w:rsid w:val="00B25542"/>
    <w:rsid w:val="00B25668"/>
    <w:rsid w:val="00B25BD0"/>
    <w:rsid w:val="00B25E79"/>
    <w:rsid w:val="00B26267"/>
    <w:rsid w:val="00B263DE"/>
    <w:rsid w:val="00B26B3B"/>
    <w:rsid w:val="00B26C47"/>
    <w:rsid w:val="00B27C0E"/>
    <w:rsid w:val="00B30009"/>
    <w:rsid w:val="00B3015D"/>
    <w:rsid w:val="00B3056E"/>
    <w:rsid w:val="00B3092D"/>
    <w:rsid w:val="00B309FD"/>
    <w:rsid w:val="00B30CB1"/>
    <w:rsid w:val="00B314D0"/>
    <w:rsid w:val="00B31901"/>
    <w:rsid w:val="00B321D7"/>
    <w:rsid w:val="00B32A20"/>
    <w:rsid w:val="00B32B9B"/>
    <w:rsid w:val="00B32BAB"/>
    <w:rsid w:val="00B32FBB"/>
    <w:rsid w:val="00B33236"/>
    <w:rsid w:val="00B3471C"/>
    <w:rsid w:val="00B3490D"/>
    <w:rsid w:val="00B34C94"/>
    <w:rsid w:val="00B34CC8"/>
    <w:rsid w:val="00B34D46"/>
    <w:rsid w:val="00B355EE"/>
    <w:rsid w:val="00B35C5F"/>
    <w:rsid w:val="00B35EDA"/>
    <w:rsid w:val="00B36597"/>
    <w:rsid w:val="00B36610"/>
    <w:rsid w:val="00B3662E"/>
    <w:rsid w:val="00B3668D"/>
    <w:rsid w:val="00B368DA"/>
    <w:rsid w:val="00B36BE2"/>
    <w:rsid w:val="00B37519"/>
    <w:rsid w:val="00B37628"/>
    <w:rsid w:val="00B3799A"/>
    <w:rsid w:val="00B37DF7"/>
    <w:rsid w:val="00B402D1"/>
    <w:rsid w:val="00B4090A"/>
    <w:rsid w:val="00B40C17"/>
    <w:rsid w:val="00B4101F"/>
    <w:rsid w:val="00B413BC"/>
    <w:rsid w:val="00B413CD"/>
    <w:rsid w:val="00B418D8"/>
    <w:rsid w:val="00B4233D"/>
    <w:rsid w:val="00B42530"/>
    <w:rsid w:val="00B4253A"/>
    <w:rsid w:val="00B4256C"/>
    <w:rsid w:val="00B426FF"/>
    <w:rsid w:val="00B42737"/>
    <w:rsid w:val="00B43582"/>
    <w:rsid w:val="00B43635"/>
    <w:rsid w:val="00B43936"/>
    <w:rsid w:val="00B439E3"/>
    <w:rsid w:val="00B43BC8"/>
    <w:rsid w:val="00B43D33"/>
    <w:rsid w:val="00B4428F"/>
    <w:rsid w:val="00B445C5"/>
    <w:rsid w:val="00B445EF"/>
    <w:rsid w:val="00B447FC"/>
    <w:rsid w:val="00B44E62"/>
    <w:rsid w:val="00B44FE3"/>
    <w:rsid w:val="00B450E0"/>
    <w:rsid w:val="00B451EE"/>
    <w:rsid w:val="00B4531F"/>
    <w:rsid w:val="00B45597"/>
    <w:rsid w:val="00B4586D"/>
    <w:rsid w:val="00B45D8D"/>
    <w:rsid w:val="00B465C1"/>
    <w:rsid w:val="00B50051"/>
    <w:rsid w:val="00B50077"/>
    <w:rsid w:val="00B5039D"/>
    <w:rsid w:val="00B508C6"/>
    <w:rsid w:val="00B509E7"/>
    <w:rsid w:val="00B50D7C"/>
    <w:rsid w:val="00B50F22"/>
    <w:rsid w:val="00B51809"/>
    <w:rsid w:val="00B519CB"/>
    <w:rsid w:val="00B52564"/>
    <w:rsid w:val="00B5266C"/>
    <w:rsid w:val="00B5273B"/>
    <w:rsid w:val="00B528BB"/>
    <w:rsid w:val="00B52B34"/>
    <w:rsid w:val="00B52CAC"/>
    <w:rsid w:val="00B52CE2"/>
    <w:rsid w:val="00B53056"/>
    <w:rsid w:val="00B533B5"/>
    <w:rsid w:val="00B53442"/>
    <w:rsid w:val="00B5391D"/>
    <w:rsid w:val="00B53B6E"/>
    <w:rsid w:val="00B53DEF"/>
    <w:rsid w:val="00B53F64"/>
    <w:rsid w:val="00B540BB"/>
    <w:rsid w:val="00B541D6"/>
    <w:rsid w:val="00B549ED"/>
    <w:rsid w:val="00B54C74"/>
    <w:rsid w:val="00B54CE3"/>
    <w:rsid w:val="00B55306"/>
    <w:rsid w:val="00B5539C"/>
    <w:rsid w:val="00B5545E"/>
    <w:rsid w:val="00B5553A"/>
    <w:rsid w:val="00B5580A"/>
    <w:rsid w:val="00B55D0F"/>
    <w:rsid w:val="00B55D12"/>
    <w:rsid w:val="00B55D8F"/>
    <w:rsid w:val="00B56071"/>
    <w:rsid w:val="00B561CA"/>
    <w:rsid w:val="00B561FD"/>
    <w:rsid w:val="00B567AC"/>
    <w:rsid w:val="00B5683B"/>
    <w:rsid w:val="00B56DE5"/>
    <w:rsid w:val="00B56EEE"/>
    <w:rsid w:val="00B575C1"/>
    <w:rsid w:val="00B57715"/>
    <w:rsid w:val="00B577F3"/>
    <w:rsid w:val="00B579C9"/>
    <w:rsid w:val="00B60696"/>
    <w:rsid w:val="00B60E1B"/>
    <w:rsid w:val="00B60EE3"/>
    <w:rsid w:val="00B617B0"/>
    <w:rsid w:val="00B62139"/>
    <w:rsid w:val="00B622B3"/>
    <w:rsid w:val="00B62CCA"/>
    <w:rsid w:val="00B62E3E"/>
    <w:rsid w:val="00B62FC0"/>
    <w:rsid w:val="00B63085"/>
    <w:rsid w:val="00B63324"/>
    <w:rsid w:val="00B635EE"/>
    <w:rsid w:val="00B63AAD"/>
    <w:rsid w:val="00B63D54"/>
    <w:rsid w:val="00B6426B"/>
    <w:rsid w:val="00B6444D"/>
    <w:rsid w:val="00B64576"/>
    <w:rsid w:val="00B64894"/>
    <w:rsid w:val="00B64A99"/>
    <w:rsid w:val="00B6524B"/>
    <w:rsid w:val="00B65355"/>
    <w:rsid w:val="00B655E9"/>
    <w:rsid w:val="00B65828"/>
    <w:rsid w:val="00B658F7"/>
    <w:rsid w:val="00B65A3B"/>
    <w:rsid w:val="00B65C8D"/>
    <w:rsid w:val="00B65D60"/>
    <w:rsid w:val="00B660FB"/>
    <w:rsid w:val="00B6610F"/>
    <w:rsid w:val="00B667E4"/>
    <w:rsid w:val="00B67455"/>
    <w:rsid w:val="00B67459"/>
    <w:rsid w:val="00B678DE"/>
    <w:rsid w:val="00B67981"/>
    <w:rsid w:val="00B701C0"/>
    <w:rsid w:val="00B70433"/>
    <w:rsid w:val="00B704C5"/>
    <w:rsid w:val="00B704E1"/>
    <w:rsid w:val="00B7068A"/>
    <w:rsid w:val="00B70D21"/>
    <w:rsid w:val="00B712AF"/>
    <w:rsid w:val="00B71644"/>
    <w:rsid w:val="00B718DD"/>
    <w:rsid w:val="00B71A48"/>
    <w:rsid w:val="00B71DEF"/>
    <w:rsid w:val="00B71F98"/>
    <w:rsid w:val="00B72214"/>
    <w:rsid w:val="00B72AE5"/>
    <w:rsid w:val="00B72C51"/>
    <w:rsid w:val="00B737B6"/>
    <w:rsid w:val="00B73A8F"/>
    <w:rsid w:val="00B73F17"/>
    <w:rsid w:val="00B73F5C"/>
    <w:rsid w:val="00B74167"/>
    <w:rsid w:val="00B74367"/>
    <w:rsid w:val="00B75938"/>
    <w:rsid w:val="00B75C5F"/>
    <w:rsid w:val="00B75F0A"/>
    <w:rsid w:val="00B762BB"/>
    <w:rsid w:val="00B768CE"/>
    <w:rsid w:val="00B76930"/>
    <w:rsid w:val="00B76D5B"/>
    <w:rsid w:val="00B77235"/>
    <w:rsid w:val="00B77424"/>
    <w:rsid w:val="00B777D1"/>
    <w:rsid w:val="00B7785C"/>
    <w:rsid w:val="00B77A0F"/>
    <w:rsid w:val="00B77AFA"/>
    <w:rsid w:val="00B8012C"/>
    <w:rsid w:val="00B808D3"/>
    <w:rsid w:val="00B80D96"/>
    <w:rsid w:val="00B80E5D"/>
    <w:rsid w:val="00B80F9F"/>
    <w:rsid w:val="00B80FA1"/>
    <w:rsid w:val="00B80FBC"/>
    <w:rsid w:val="00B81344"/>
    <w:rsid w:val="00B81832"/>
    <w:rsid w:val="00B81946"/>
    <w:rsid w:val="00B81961"/>
    <w:rsid w:val="00B81A2D"/>
    <w:rsid w:val="00B81C9F"/>
    <w:rsid w:val="00B81F89"/>
    <w:rsid w:val="00B82008"/>
    <w:rsid w:val="00B823C5"/>
    <w:rsid w:val="00B82733"/>
    <w:rsid w:val="00B82940"/>
    <w:rsid w:val="00B829A4"/>
    <w:rsid w:val="00B82ABE"/>
    <w:rsid w:val="00B82B60"/>
    <w:rsid w:val="00B83200"/>
    <w:rsid w:val="00B8390D"/>
    <w:rsid w:val="00B83B7D"/>
    <w:rsid w:val="00B840AB"/>
    <w:rsid w:val="00B844B9"/>
    <w:rsid w:val="00B84747"/>
    <w:rsid w:val="00B8496E"/>
    <w:rsid w:val="00B84AB6"/>
    <w:rsid w:val="00B84C6F"/>
    <w:rsid w:val="00B84EA5"/>
    <w:rsid w:val="00B85546"/>
    <w:rsid w:val="00B855F1"/>
    <w:rsid w:val="00B857A8"/>
    <w:rsid w:val="00B85884"/>
    <w:rsid w:val="00B859FC"/>
    <w:rsid w:val="00B85CD6"/>
    <w:rsid w:val="00B86636"/>
    <w:rsid w:val="00B86ABC"/>
    <w:rsid w:val="00B87BF7"/>
    <w:rsid w:val="00B9037B"/>
    <w:rsid w:val="00B90793"/>
    <w:rsid w:val="00B90853"/>
    <w:rsid w:val="00B909D3"/>
    <w:rsid w:val="00B909F6"/>
    <w:rsid w:val="00B90CE1"/>
    <w:rsid w:val="00B918A1"/>
    <w:rsid w:val="00B91E1D"/>
    <w:rsid w:val="00B91E21"/>
    <w:rsid w:val="00B91FD5"/>
    <w:rsid w:val="00B92047"/>
    <w:rsid w:val="00B92052"/>
    <w:rsid w:val="00B920F9"/>
    <w:rsid w:val="00B9239D"/>
    <w:rsid w:val="00B92603"/>
    <w:rsid w:val="00B926E2"/>
    <w:rsid w:val="00B9298C"/>
    <w:rsid w:val="00B92AA4"/>
    <w:rsid w:val="00B93AD7"/>
    <w:rsid w:val="00B93B51"/>
    <w:rsid w:val="00B93E1B"/>
    <w:rsid w:val="00B93FA9"/>
    <w:rsid w:val="00B9403F"/>
    <w:rsid w:val="00B940B1"/>
    <w:rsid w:val="00B94394"/>
    <w:rsid w:val="00B94923"/>
    <w:rsid w:val="00B94CA9"/>
    <w:rsid w:val="00B94D65"/>
    <w:rsid w:val="00B94DA3"/>
    <w:rsid w:val="00B951E2"/>
    <w:rsid w:val="00B9521F"/>
    <w:rsid w:val="00B955B7"/>
    <w:rsid w:val="00B959A5"/>
    <w:rsid w:val="00B95ECE"/>
    <w:rsid w:val="00B96096"/>
    <w:rsid w:val="00B96545"/>
    <w:rsid w:val="00B96797"/>
    <w:rsid w:val="00B974AD"/>
    <w:rsid w:val="00B974BC"/>
    <w:rsid w:val="00B97991"/>
    <w:rsid w:val="00B97B4B"/>
    <w:rsid w:val="00BA0015"/>
    <w:rsid w:val="00BA02C3"/>
    <w:rsid w:val="00BA0381"/>
    <w:rsid w:val="00BA0A07"/>
    <w:rsid w:val="00BA0C80"/>
    <w:rsid w:val="00BA0D43"/>
    <w:rsid w:val="00BA0F50"/>
    <w:rsid w:val="00BA0FD7"/>
    <w:rsid w:val="00BA2093"/>
    <w:rsid w:val="00BA2742"/>
    <w:rsid w:val="00BA27B7"/>
    <w:rsid w:val="00BA27EF"/>
    <w:rsid w:val="00BA2951"/>
    <w:rsid w:val="00BA2A4E"/>
    <w:rsid w:val="00BA2B83"/>
    <w:rsid w:val="00BA2BF0"/>
    <w:rsid w:val="00BA3459"/>
    <w:rsid w:val="00BA34A9"/>
    <w:rsid w:val="00BA3C16"/>
    <w:rsid w:val="00BA3C71"/>
    <w:rsid w:val="00BA41C6"/>
    <w:rsid w:val="00BA42F9"/>
    <w:rsid w:val="00BA4C4A"/>
    <w:rsid w:val="00BA5002"/>
    <w:rsid w:val="00BA51B9"/>
    <w:rsid w:val="00BA570D"/>
    <w:rsid w:val="00BA5A17"/>
    <w:rsid w:val="00BA5CCF"/>
    <w:rsid w:val="00BA5EFA"/>
    <w:rsid w:val="00BA6158"/>
    <w:rsid w:val="00BA6634"/>
    <w:rsid w:val="00BA6DCA"/>
    <w:rsid w:val="00BA7077"/>
    <w:rsid w:val="00BA76C2"/>
    <w:rsid w:val="00BA77B3"/>
    <w:rsid w:val="00BA7877"/>
    <w:rsid w:val="00BA7B25"/>
    <w:rsid w:val="00BB0003"/>
    <w:rsid w:val="00BB0377"/>
    <w:rsid w:val="00BB0391"/>
    <w:rsid w:val="00BB06B6"/>
    <w:rsid w:val="00BB1472"/>
    <w:rsid w:val="00BB158F"/>
    <w:rsid w:val="00BB1907"/>
    <w:rsid w:val="00BB1A61"/>
    <w:rsid w:val="00BB1D41"/>
    <w:rsid w:val="00BB201E"/>
    <w:rsid w:val="00BB2506"/>
    <w:rsid w:val="00BB274A"/>
    <w:rsid w:val="00BB2D22"/>
    <w:rsid w:val="00BB2F4A"/>
    <w:rsid w:val="00BB3EAE"/>
    <w:rsid w:val="00BB4108"/>
    <w:rsid w:val="00BB4227"/>
    <w:rsid w:val="00BB4457"/>
    <w:rsid w:val="00BB4593"/>
    <w:rsid w:val="00BB46A7"/>
    <w:rsid w:val="00BB4971"/>
    <w:rsid w:val="00BB497A"/>
    <w:rsid w:val="00BB4DB0"/>
    <w:rsid w:val="00BB5D7E"/>
    <w:rsid w:val="00BB6393"/>
    <w:rsid w:val="00BB6C36"/>
    <w:rsid w:val="00BB6DD5"/>
    <w:rsid w:val="00BB713B"/>
    <w:rsid w:val="00BB73C7"/>
    <w:rsid w:val="00BB77AE"/>
    <w:rsid w:val="00BB795F"/>
    <w:rsid w:val="00BB7988"/>
    <w:rsid w:val="00BB7F5F"/>
    <w:rsid w:val="00BB7FD1"/>
    <w:rsid w:val="00BC02D9"/>
    <w:rsid w:val="00BC0536"/>
    <w:rsid w:val="00BC06B2"/>
    <w:rsid w:val="00BC0A22"/>
    <w:rsid w:val="00BC0DDF"/>
    <w:rsid w:val="00BC0F43"/>
    <w:rsid w:val="00BC10A5"/>
    <w:rsid w:val="00BC10EA"/>
    <w:rsid w:val="00BC11F0"/>
    <w:rsid w:val="00BC20CC"/>
    <w:rsid w:val="00BC2669"/>
    <w:rsid w:val="00BC28C9"/>
    <w:rsid w:val="00BC2B59"/>
    <w:rsid w:val="00BC2EE1"/>
    <w:rsid w:val="00BC319D"/>
    <w:rsid w:val="00BC3C77"/>
    <w:rsid w:val="00BC3D70"/>
    <w:rsid w:val="00BC3FDC"/>
    <w:rsid w:val="00BC4621"/>
    <w:rsid w:val="00BC4980"/>
    <w:rsid w:val="00BC498B"/>
    <w:rsid w:val="00BC4995"/>
    <w:rsid w:val="00BC512F"/>
    <w:rsid w:val="00BC54B0"/>
    <w:rsid w:val="00BC560A"/>
    <w:rsid w:val="00BC5787"/>
    <w:rsid w:val="00BC582E"/>
    <w:rsid w:val="00BC5B39"/>
    <w:rsid w:val="00BC5CC0"/>
    <w:rsid w:val="00BC5CCD"/>
    <w:rsid w:val="00BC5D9A"/>
    <w:rsid w:val="00BC5DE9"/>
    <w:rsid w:val="00BC6059"/>
    <w:rsid w:val="00BC62B4"/>
    <w:rsid w:val="00BC62D3"/>
    <w:rsid w:val="00BC63E4"/>
    <w:rsid w:val="00BC6412"/>
    <w:rsid w:val="00BC649C"/>
    <w:rsid w:val="00BC692F"/>
    <w:rsid w:val="00BC693A"/>
    <w:rsid w:val="00BC6D97"/>
    <w:rsid w:val="00BC74D2"/>
    <w:rsid w:val="00BC79EA"/>
    <w:rsid w:val="00BC7ADB"/>
    <w:rsid w:val="00BC7BEC"/>
    <w:rsid w:val="00BD0712"/>
    <w:rsid w:val="00BD0A87"/>
    <w:rsid w:val="00BD0AF4"/>
    <w:rsid w:val="00BD0C1A"/>
    <w:rsid w:val="00BD154A"/>
    <w:rsid w:val="00BD1B4B"/>
    <w:rsid w:val="00BD1C96"/>
    <w:rsid w:val="00BD20AB"/>
    <w:rsid w:val="00BD26E4"/>
    <w:rsid w:val="00BD295F"/>
    <w:rsid w:val="00BD2A84"/>
    <w:rsid w:val="00BD2CEE"/>
    <w:rsid w:val="00BD2E6D"/>
    <w:rsid w:val="00BD3131"/>
    <w:rsid w:val="00BD316E"/>
    <w:rsid w:val="00BD350E"/>
    <w:rsid w:val="00BD3B2C"/>
    <w:rsid w:val="00BD4522"/>
    <w:rsid w:val="00BD4610"/>
    <w:rsid w:val="00BD4785"/>
    <w:rsid w:val="00BD4DD5"/>
    <w:rsid w:val="00BD575F"/>
    <w:rsid w:val="00BD6034"/>
    <w:rsid w:val="00BD6373"/>
    <w:rsid w:val="00BD73AE"/>
    <w:rsid w:val="00BD7AB0"/>
    <w:rsid w:val="00BE02AD"/>
    <w:rsid w:val="00BE03A8"/>
    <w:rsid w:val="00BE0479"/>
    <w:rsid w:val="00BE09DD"/>
    <w:rsid w:val="00BE0B0F"/>
    <w:rsid w:val="00BE0C9E"/>
    <w:rsid w:val="00BE0D91"/>
    <w:rsid w:val="00BE10D2"/>
    <w:rsid w:val="00BE163A"/>
    <w:rsid w:val="00BE1678"/>
    <w:rsid w:val="00BE1EA6"/>
    <w:rsid w:val="00BE1F6E"/>
    <w:rsid w:val="00BE200F"/>
    <w:rsid w:val="00BE221F"/>
    <w:rsid w:val="00BE23F6"/>
    <w:rsid w:val="00BE24A7"/>
    <w:rsid w:val="00BE25C1"/>
    <w:rsid w:val="00BE2AA2"/>
    <w:rsid w:val="00BE3438"/>
    <w:rsid w:val="00BE3D55"/>
    <w:rsid w:val="00BE3F1B"/>
    <w:rsid w:val="00BE40D8"/>
    <w:rsid w:val="00BE4709"/>
    <w:rsid w:val="00BE4939"/>
    <w:rsid w:val="00BE499B"/>
    <w:rsid w:val="00BE4CF4"/>
    <w:rsid w:val="00BE59F6"/>
    <w:rsid w:val="00BE5AAE"/>
    <w:rsid w:val="00BE5DB2"/>
    <w:rsid w:val="00BE677B"/>
    <w:rsid w:val="00BE6C1D"/>
    <w:rsid w:val="00BE6C54"/>
    <w:rsid w:val="00BE6CDE"/>
    <w:rsid w:val="00BE6F43"/>
    <w:rsid w:val="00BE70A3"/>
    <w:rsid w:val="00BE70E7"/>
    <w:rsid w:val="00BE7212"/>
    <w:rsid w:val="00BE7740"/>
    <w:rsid w:val="00BE7847"/>
    <w:rsid w:val="00BE7A2A"/>
    <w:rsid w:val="00BE7CDE"/>
    <w:rsid w:val="00BE7CE6"/>
    <w:rsid w:val="00BE7E03"/>
    <w:rsid w:val="00BE7F5A"/>
    <w:rsid w:val="00BF0091"/>
    <w:rsid w:val="00BF017F"/>
    <w:rsid w:val="00BF03F5"/>
    <w:rsid w:val="00BF08A0"/>
    <w:rsid w:val="00BF0A8C"/>
    <w:rsid w:val="00BF0B59"/>
    <w:rsid w:val="00BF120E"/>
    <w:rsid w:val="00BF12F2"/>
    <w:rsid w:val="00BF15AB"/>
    <w:rsid w:val="00BF195E"/>
    <w:rsid w:val="00BF20D3"/>
    <w:rsid w:val="00BF2204"/>
    <w:rsid w:val="00BF2207"/>
    <w:rsid w:val="00BF22A6"/>
    <w:rsid w:val="00BF2556"/>
    <w:rsid w:val="00BF26DF"/>
    <w:rsid w:val="00BF2909"/>
    <w:rsid w:val="00BF2A34"/>
    <w:rsid w:val="00BF2A89"/>
    <w:rsid w:val="00BF2AA1"/>
    <w:rsid w:val="00BF33EB"/>
    <w:rsid w:val="00BF353B"/>
    <w:rsid w:val="00BF3688"/>
    <w:rsid w:val="00BF3AA0"/>
    <w:rsid w:val="00BF3DA8"/>
    <w:rsid w:val="00BF42C3"/>
    <w:rsid w:val="00BF44D2"/>
    <w:rsid w:val="00BF4685"/>
    <w:rsid w:val="00BF47B5"/>
    <w:rsid w:val="00BF4BF3"/>
    <w:rsid w:val="00BF500B"/>
    <w:rsid w:val="00BF53FB"/>
    <w:rsid w:val="00BF5550"/>
    <w:rsid w:val="00BF5610"/>
    <w:rsid w:val="00BF57E8"/>
    <w:rsid w:val="00BF5A03"/>
    <w:rsid w:val="00BF5C77"/>
    <w:rsid w:val="00BF5CAC"/>
    <w:rsid w:val="00BF5DC0"/>
    <w:rsid w:val="00BF5E6C"/>
    <w:rsid w:val="00BF6535"/>
    <w:rsid w:val="00BF697C"/>
    <w:rsid w:val="00BF6A18"/>
    <w:rsid w:val="00BF6A95"/>
    <w:rsid w:val="00BF6AF0"/>
    <w:rsid w:val="00BF7502"/>
    <w:rsid w:val="00BF770E"/>
    <w:rsid w:val="00BF7792"/>
    <w:rsid w:val="00BF7A55"/>
    <w:rsid w:val="00BF7B50"/>
    <w:rsid w:val="00BF7D40"/>
    <w:rsid w:val="00C00B89"/>
    <w:rsid w:val="00C0112F"/>
    <w:rsid w:val="00C013CD"/>
    <w:rsid w:val="00C018E3"/>
    <w:rsid w:val="00C019A8"/>
    <w:rsid w:val="00C01C98"/>
    <w:rsid w:val="00C01F8B"/>
    <w:rsid w:val="00C0261E"/>
    <w:rsid w:val="00C02C2C"/>
    <w:rsid w:val="00C02F05"/>
    <w:rsid w:val="00C0302D"/>
    <w:rsid w:val="00C03081"/>
    <w:rsid w:val="00C03241"/>
    <w:rsid w:val="00C03549"/>
    <w:rsid w:val="00C03AF5"/>
    <w:rsid w:val="00C03B06"/>
    <w:rsid w:val="00C03E08"/>
    <w:rsid w:val="00C0415E"/>
    <w:rsid w:val="00C04386"/>
    <w:rsid w:val="00C0471E"/>
    <w:rsid w:val="00C05F53"/>
    <w:rsid w:val="00C05FF7"/>
    <w:rsid w:val="00C07042"/>
    <w:rsid w:val="00C07357"/>
    <w:rsid w:val="00C079C1"/>
    <w:rsid w:val="00C07CEE"/>
    <w:rsid w:val="00C101A8"/>
    <w:rsid w:val="00C101CF"/>
    <w:rsid w:val="00C10276"/>
    <w:rsid w:val="00C1037E"/>
    <w:rsid w:val="00C103A9"/>
    <w:rsid w:val="00C10744"/>
    <w:rsid w:val="00C10972"/>
    <w:rsid w:val="00C10B6B"/>
    <w:rsid w:val="00C10D2F"/>
    <w:rsid w:val="00C10F77"/>
    <w:rsid w:val="00C11239"/>
    <w:rsid w:val="00C113B1"/>
    <w:rsid w:val="00C1198F"/>
    <w:rsid w:val="00C12BA9"/>
    <w:rsid w:val="00C12D1E"/>
    <w:rsid w:val="00C13377"/>
    <w:rsid w:val="00C134F2"/>
    <w:rsid w:val="00C13F62"/>
    <w:rsid w:val="00C144F9"/>
    <w:rsid w:val="00C14770"/>
    <w:rsid w:val="00C14D40"/>
    <w:rsid w:val="00C14D43"/>
    <w:rsid w:val="00C14DD0"/>
    <w:rsid w:val="00C154D0"/>
    <w:rsid w:val="00C15A1E"/>
    <w:rsid w:val="00C15B1A"/>
    <w:rsid w:val="00C1616C"/>
    <w:rsid w:val="00C16204"/>
    <w:rsid w:val="00C1637C"/>
    <w:rsid w:val="00C16A77"/>
    <w:rsid w:val="00C16A8D"/>
    <w:rsid w:val="00C16B4F"/>
    <w:rsid w:val="00C16CFA"/>
    <w:rsid w:val="00C16DFF"/>
    <w:rsid w:val="00C16FBC"/>
    <w:rsid w:val="00C17019"/>
    <w:rsid w:val="00C17260"/>
    <w:rsid w:val="00C17855"/>
    <w:rsid w:val="00C17E22"/>
    <w:rsid w:val="00C20016"/>
    <w:rsid w:val="00C202DF"/>
    <w:rsid w:val="00C204E3"/>
    <w:rsid w:val="00C20503"/>
    <w:rsid w:val="00C20B9B"/>
    <w:rsid w:val="00C20DAF"/>
    <w:rsid w:val="00C20DC6"/>
    <w:rsid w:val="00C20FD7"/>
    <w:rsid w:val="00C210D7"/>
    <w:rsid w:val="00C21150"/>
    <w:rsid w:val="00C212CE"/>
    <w:rsid w:val="00C21584"/>
    <w:rsid w:val="00C21654"/>
    <w:rsid w:val="00C2225B"/>
    <w:rsid w:val="00C22793"/>
    <w:rsid w:val="00C23425"/>
    <w:rsid w:val="00C23478"/>
    <w:rsid w:val="00C238FF"/>
    <w:rsid w:val="00C23E3C"/>
    <w:rsid w:val="00C2452C"/>
    <w:rsid w:val="00C249FB"/>
    <w:rsid w:val="00C24B90"/>
    <w:rsid w:val="00C24EFD"/>
    <w:rsid w:val="00C25451"/>
    <w:rsid w:val="00C25684"/>
    <w:rsid w:val="00C25BDB"/>
    <w:rsid w:val="00C25C8F"/>
    <w:rsid w:val="00C25EC2"/>
    <w:rsid w:val="00C25EFA"/>
    <w:rsid w:val="00C26178"/>
    <w:rsid w:val="00C2627B"/>
    <w:rsid w:val="00C26A36"/>
    <w:rsid w:val="00C26C10"/>
    <w:rsid w:val="00C26D1F"/>
    <w:rsid w:val="00C26D97"/>
    <w:rsid w:val="00C272A6"/>
    <w:rsid w:val="00C2742C"/>
    <w:rsid w:val="00C27598"/>
    <w:rsid w:val="00C278E2"/>
    <w:rsid w:val="00C27C14"/>
    <w:rsid w:val="00C27DDE"/>
    <w:rsid w:val="00C27F0E"/>
    <w:rsid w:val="00C27F31"/>
    <w:rsid w:val="00C30196"/>
    <w:rsid w:val="00C302F5"/>
    <w:rsid w:val="00C30480"/>
    <w:rsid w:val="00C30571"/>
    <w:rsid w:val="00C30918"/>
    <w:rsid w:val="00C30CAE"/>
    <w:rsid w:val="00C30F66"/>
    <w:rsid w:val="00C31256"/>
    <w:rsid w:val="00C313C9"/>
    <w:rsid w:val="00C3140D"/>
    <w:rsid w:val="00C31B31"/>
    <w:rsid w:val="00C31B36"/>
    <w:rsid w:val="00C320A0"/>
    <w:rsid w:val="00C3221C"/>
    <w:rsid w:val="00C322BE"/>
    <w:rsid w:val="00C324AD"/>
    <w:rsid w:val="00C3274C"/>
    <w:rsid w:val="00C32DB0"/>
    <w:rsid w:val="00C3306E"/>
    <w:rsid w:val="00C33127"/>
    <w:rsid w:val="00C3338A"/>
    <w:rsid w:val="00C33434"/>
    <w:rsid w:val="00C338E3"/>
    <w:rsid w:val="00C33FD5"/>
    <w:rsid w:val="00C345FF"/>
    <w:rsid w:val="00C34B5D"/>
    <w:rsid w:val="00C34B61"/>
    <w:rsid w:val="00C34F3D"/>
    <w:rsid w:val="00C34FEB"/>
    <w:rsid w:val="00C353EB"/>
    <w:rsid w:val="00C359A6"/>
    <w:rsid w:val="00C35B8A"/>
    <w:rsid w:val="00C35C42"/>
    <w:rsid w:val="00C36631"/>
    <w:rsid w:val="00C367C5"/>
    <w:rsid w:val="00C36900"/>
    <w:rsid w:val="00C36AA5"/>
    <w:rsid w:val="00C36B11"/>
    <w:rsid w:val="00C37018"/>
    <w:rsid w:val="00C3759D"/>
    <w:rsid w:val="00C37B9D"/>
    <w:rsid w:val="00C37BF4"/>
    <w:rsid w:val="00C37EF4"/>
    <w:rsid w:val="00C40429"/>
    <w:rsid w:val="00C4044D"/>
    <w:rsid w:val="00C40AF3"/>
    <w:rsid w:val="00C40D0F"/>
    <w:rsid w:val="00C40E14"/>
    <w:rsid w:val="00C40E3F"/>
    <w:rsid w:val="00C40FAB"/>
    <w:rsid w:val="00C4109E"/>
    <w:rsid w:val="00C4111D"/>
    <w:rsid w:val="00C416C6"/>
    <w:rsid w:val="00C4179D"/>
    <w:rsid w:val="00C417D0"/>
    <w:rsid w:val="00C41867"/>
    <w:rsid w:val="00C4187E"/>
    <w:rsid w:val="00C41896"/>
    <w:rsid w:val="00C41D11"/>
    <w:rsid w:val="00C42533"/>
    <w:rsid w:val="00C42862"/>
    <w:rsid w:val="00C42A51"/>
    <w:rsid w:val="00C430B7"/>
    <w:rsid w:val="00C43415"/>
    <w:rsid w:val="00C43DA8"/>
    <w:rsid w:val="00C44070"/>
    <w:rsid w:val="00C4477E"/>
    <w:rsid w:val="00C447A3"/>
    <w:rsid w:val="00C448BC"/>
    <w:rsid w:val="00C44CE8"/>
    <w:rsid w:val="00C45100"/>
    <w:rsid w:val="00C4538F"/>
    <w:rsid w:val="00C45D3B"/>
    <w:rsid w:val="00C4635A"/>
    <w:rsid w:val="00C4680E"/>
    <w:rsid w:val="00C46BC9"/>
    <w:rsid w:val="00C46D46"/>
    <w:rsid w:val="00C46E06"/>
    <w:rsid w:val="00C46F0F"/>
    <w:rsid w:val="00C46FB2"/>
    <w:rsid w:val="00C47071"/>
    <w:rsid w:val="00C474D0"/>
    <w:rsid w:val="00C4796E"/>
    <w:rsid w:val="00C47B66"/>
    <w:rsid w:val="00C47EE3"/>
    <w:rsid w:val="00C47FED"/>
    <w:rsid w:val="00C50060"/>
    <w:rsid w:val="00C502E2"/>
    <w:rsid w:val="00C50A9C"/>
    <w:rsid w:val="00C50CF9"/>
    <w:rsid w:val="00C50D7C"/>
    <w:rsid w:val="00C51342"/>
    <w:rsid w:val="00C51690"/>
    <w:rsid w:val="00C5195A"/>
    <w:rsid w:val="00C51A11"/>
    <w:rsid w:val="00C51B84"/>
    <w:rsid w:val="00C51EE6"/>
    <w:rsid w:val="00C523BA"/>
    <w:rsid w:val="00C524E1"/>
    <w:rsid w:val="00C526DE"/>
    <w:rsid w:val="00C52C06"/>
    <w:rsid w:val="00C52C49"/>
    <w:rsid w:val="00C52D89"/>
    <w:rsid w:val="00C53BA3"/>
    <w:rsid w:val="00C53BE0"/>
    <w:rsid w:val="00C53ECF"/>
    <w:rsid w:val="00C548DF"/>
    <w:rsid w:val="00C550C8"/>
    <w:rsid w:val="00C5550C"/>
    <w:rsid w:val="00C555BD"/>
    <w:rsid w:val="00C556BF"/>
    <w:rsid w:val="00C55876"/>
    <w:rsid w:val="00C5595F"/>
    <w:rsid w:val="00C55F21"/>
    <w:rsid w:val="00C5667A"/>
    <w:rsid w:val="00C56884"/>
    <w:rsid w:val="00C568A9"/>
    <w:rsid w:val="00C5697D"/>
    <w:rsid w:val="00C56CEF"/>
    <w:rsid w:val="00C57573"/>
    <w:rsid w:val="00C578D4"/>
    <w:rsid w:val="00C57B60"/>
    <w:rsid w:val="00C6063E"/>
    <w:rsid w:val="00C606A0"/>
    <w:rsid w:val="00C60D70"/>
    <w:rsid w:val="00C60E68"/>
    <w:rsid w:val="00C61020"/>
    <w:rsid w:val="00C610B4"/>
    <w:rsid w:val="00C611F3"/>
    <w:rsid w:val="00C61292"/>
    <w:rsid w:val="00C617F9"/>
    <w:rsid w:val="00C61F67"/>
    <w:rsid w:val="00C62E7F"/>
    <w:rsid w:val="00C6306C"/>
    <w:rsid w:val="00C635DB"/>
    <w:rsid w:val="00C63A29"/>
    <w:rsid w:val="00C63DE2"/>
    <w:rsid w:val="00C63F66"/>
    <w:rsid w:val="00C6409C"/>
    <w:rsid w:val="00C6431E"/>
    <w:rsid w:val="00C6454B"/>
    <w:rsid w:val="00C64BA0"/>
    <w:rsid w:val="00C65233"/>
    <w:rsid w:val="00C65491"/>
    <w:rsid w:val="00C6624F"/>
    <w:rsid w:val="00C66768"/>
    <w:rsid w:val="00C669D1"/>
    <w:rsid w:val="00C66DBA"/>
    <w:rsid w:val="00C67191"/>
    <w:rsid w:val="00C672C8"/>
    <w:rsid w:val="00C673B5"/>
    <w:rsid w:val="00C6740A"/>
    <w:rsid w:val="00C675D4"/>
    <w:rsid w:val="00C67AC8"/>
    <w:rsid w:val="00C67B05"/>
    <w:rsid w:val="00C67EC6"/>
    <w:rsid w:val="00C67FD4"/>
    <w:rsid w:val="00C70135"/>
    <w:rsid w:val="00C70C53"/>
    <w:rsid w:val="00C70CCD"/>
    <w:rsid w:val="00C70D39"/>
    <w:rsid w:val="00C70FE0"/>
    <w:rsid w:val="00C71390"/>
    <w:rsid w:val="00C71584"/>
    <w:rsid w:val="00C719E7"/>
    <w:rsid w:val="00C71A2B"/>
    <w:rsid w:val="00C71EBF"/>
    <w:rsid w:val="00C72FF4"/>
    <w:rsid w:val="00C73542"/>
    <w:rsid w:val="00C73750"/>
    <w:rsid w:val="00C73A78"/>
    <w:rsid w:val="00C73C63"/>
    <w:rsid w:val="00C73E6D"/>
    <w:rsid w:val="00C746BD"/>
    <w:rsid w:val="00C74C79"/>
    <w:rsid w:val="00C75113"/>
    <w:rsid w:val="00C7514B"/>
    <w:rsid w:val="00C751BD"/>
    <w:rsid w:val="00C753A9"/>
    <w:rsid w:val="00C75C4A"/>
    <w:rsid w:val="00C763EB"/>
    <w:rsid w:val="00C76D2F"/>
    <w:rsid w:val="00C7769D"/>
    <w:rsid w:val="00C777FF"/>
    <w:rsid w:val="00C77D4C"/>
    <w:rsid w:val="00C80559"/>
    <w:rsid w:val="00C80C11"/>
    <w:rsid w:val="00C80DA9"/>
    <w:rsid w:val="00C810F6"/>
    <w:rsid w:val="00C813B9"/>
    <w:rsid w:val="00C81558"/>
    <w:rsid w:val="00C819A2"/>
    <w:rsid w:val="00C81B91"/>
    <w:rsid w:val="00C81E35"/>
    <w:rsid w:val="00C822E0"/>
    <w:rsid w:val="00C82A87"/>
    <w:rsid w:val="00C82C87"/>
    <w:rsid w:val="00C82FDC"/>
    <w:rsid w:val="00C8351C"/>
    <w:rsid w:val="00C837A9"/>
    <w:rsid w:val="00C83BA4"/>
    <w:rsid w:val="00C83F06"/>
    <w:rsid w:val="00C8423A"/>
    <w:rsid w:val="00C843E6"/>
    <w:rsid w:val="00C84556"/>
    <w:rsid w:val="00C84701"/>
    <w:rsid w:val="00C8485B"/>
    <w:rsid w:val="00C84C6E"/>
    <w:rsid w:val="00C850B4"/>
    <w:rsid w:val="00C852DC"/>
    <w:rsid w:val="00C85317"/>
    <w:rsid w:val="00C8566C"/>
    <w:rsid w:val="00C8582C"/>
    <w:rsid w:val="00C85EC8"/>
    <w:rsid w:val="00C85FC8"/>
    <w:rsid w:val="00C86215"/>
    <w:rsid w:val="00C86773"/>
    <w:rsid w:val="00C86AE0"/>
    <w:rsid w:val="00C86DE9"/>
    <w:rsid w:val="00C86FCE"/>
    <w:rsid w:val="00C87220"/>
    <w:rsid w:val="00C8753C"/>
    <w:rsid w:val="00C8786A"/>
    <w:rsid w:val="00C878C2"/>
    <w:rsid w:val="00C87AF1"/>
    <w:rsid w:val="00C90047"/>
    <w:rsid w:val="00C90480"/>
    <w:rsid w:val="00C90941"/>
    <w:rsid w:val="00C90B8E"/>
    <w:rsid w:val="00C91305"/>
    <w:rsid w:val="00C916F7"/>
    <w:rsid w:val="00C91C9F"/>
    <w:rsid w:val="00C91E1C"/>
    <w:rsid w:val="00C9247F"/>
    <w:rsid w:val="00C92D5B"/>
    <w:rsid w:val="00C93269"/>
    <w:rsid w:val="00C932BA"/>
    <w:rsid w:val="00C932C3"/>
    <w:rsid w:val="00C93487"/>
    <w:rsid w:val="00C93870"/>
    <w:rsid w:val="00C94144"/>
    <w:rsid w:val="00C94176"/>
    <w:rsid w:val="00C94357"/>
    <w:rsid w:val="00C94696"/>
    <w:rsid w:val="00C94A92"/>
    <w:rsid w:val="00C95F2F"/>
    <w:rsid w:val="00C96424"/>
    <w:rsid w:val="00C96EF5"/>
    <w:rsid w:val="00C96F28"/>
    <w:rsid w:val="00C96F29"/>
    <w:rsid w:val="00C9737D"/>
    <w:rsid w:val="00C97555"/>
    <w:rsid w:val="00C97EB1"/>
    <w:rsid w:val="00CA095B"/>
    <w:rsid w:val="00CA0C6D"/>
    <w:rsid w:val="00CA14C7"/>
    <w:rsid w:val="00CA1B27"/>
    <w:rsid w:val="00CA20D7"/>
    <w:rsid w:val="00CA2FE2"/>
    <w:rsid w:val="00CA3112"/>
    <w:rsid w:val="00CA3AFC"/>
    <w:rsid w:val="00CA3D98"/>
    <w:rsid w:val="00CA3DEE"/>
    <w:rsid w:val="00CA40DE"/>
    <w:rsid w:val="00CA424B"/>
    <w:rsid w:val="00CA47EB"/>
    <w:rsid w:val="00CA4837"/>
    <w:rsid w:val="00CA48C7"/>
    <w:rsid w:val="00CA48F5"/>
    <w:rsid w:val="00CA4A63"/>
    <w:rsid w:val="00CA4E35"/>
    <w:rsid w:val="00CA515E"/>
    <w:rsid w:val="00CA51D1"/>
    <w:rsid w:val="00CA5A11"/>
    <w:rsid w:val="00CA5E39"/>
    <w:rsid w:val="00CA6774"/>
    <w:rsid w:val="00CA6AC5"/>
    <w:rsid w:val="00CA6B32"/>
    <w:rsid w:val="00CA77A8"/>
    <w:rsid w:val="00CB08FF"/>
    <w:rsid w:val="00CB092D"/>
    <w:rsid w:val="00CB0CF9"/>
    <w:rsid w:val="00CB101F"/>
    <w:rsid w:val="00CB1344"/>
    <w:rsid w:val="00CB2198"/>
    <w:rsid w:val="00CB274B"/>
    <w:rsid w:val="00CB2A0F"/>
    <w:rsid w:val="00CB3417"/>
    <w:rsid w:val="00CB358C"/>
    <w:rsid w:val="00CB3616"/>
    <w:rsid w:val="00CB36BD"/>
    <w:rsid w:val="00CB36C2"/>
    <w:rsid w:val="00CB3AEC"/>
    <w:rsid w:val="00CB4085"/>
    <w:rsid w:val="00CB40CA"/>
    <w:rsid w:val="00CB4102"/>
    <w:rsid w:val="00CB4203"/>
    <w:rsid w:val="00CB429A"/>
    <w:rsid w:val="00CB44B7"/>
    <w:rsid w:val="00CB4C44"/>
    <w:rsid w:val="00CB5146"/>
    <w:rsid w:val="00CB552E"/>
    <w:rsid w:val="00CB55FE"/>
    <w:rsid w:val="00CB596A"/>
    <w:rsid w:val="00CB5C7E"/>
    <w:rsid w:val="00CB6203"/>
    <w:rsid w:val="00CB638B"/>
    <w:rsid w:val="00CB6681"/>
    <w:rsid w:val="00CB753F"/>
    <w:rsid w:val="00CB764E"/>
    <w:rsid w:val="00CB7BCC"/>
    <w:rsid w:val="00CB7E70"/>
    <w:rsid w:val="00CC01A6"/>
    <w:rsid w:val="00CC067E"/>
    <w:rsid w:val="00CC086A"/>
    <w:rsid w:val="00CC0AA7"/>
    <w:rsid w:val="00CC0BFB"/>
    <w:rsid w:val="00CC0F95"/>
    <w:rsid w:val="00CC1154"/>
    <w:rsid w:val="00CC12CF"/>
    <w:rsid w:val="00CC1714"/>
    <w:rsid w:val="00CC171F"/>
    <w:rsid w:val="00CC1804"/>
    <w:rsid w:val="00CC1A26"/>
    <w:rsid w:val="00CC1BF3"/>
    <w:rsid w:val="00CC22DE"/>
    <w:rsid w:val="00CC2518"/>
    <w:rsid w:val="00CC26A0"/>
    <w:rsid w:val="00CC26DD"/>
    <w:rsid w:val="00CC27E7"/>
    <w:rsid w:val="00CC29AA"/>
    <w:rsid w:val="00CC29BF"/>
    <w:rsid w:val="00CC2BFC"/>
    <w:rsid w:val="00CC2DF2"/>
    <w:rsid w:val="00CC3095"/>
    <w:rsid w:val="00CC316F"/>
    <w:rsid w:val="00CC3621"/>
    <w:rsid w:val="00CC367D"/>
    <w:rsid w:val="00CC36D8"/>
    <w:rsid w:val="00CC3B10"/>
    <w:rsid w:val="00CC3F19"/>
    <w:rsid w:val="00CC40DD"/>
    <w:rsid w:val="00CC420C"/>
    <w:rsid w:val="00CC448C"/>
    <w:rsid w:val="00CC4CA3"/>
    <w:rsid w:val="00CC566E"/>
    <w:rsid w:val="00CC5729"/>
    <w:rsid w:val="00CC5B35"/>
    <w:rsid w:val="00CC5CA2"/>
    <w:rsid w:val="00CC5D14"/>
    <w:rsid w:val="00CC607A"/>
    <w:rsid w:val="00CC6705"/>
    <w:rsid w:val="00CC67F5"/>
    <w:rsid w:val="00CC7CCC"/>
    <w:rsid w:val="00CC7FF3"/>
    <w:rsid w:val="00CD0261"/>
    <w:rsid w:val="00CD0983"/>
    <w:rsid w:val="00CD1012"/>
    <w:rsid w:val="00CD1078"/>
    <w:rsid w:val="00CD18A1"/>
    <w:rsid w:val="00CD1F20"/>
    <w:rsid w:val="00CD22C6"/>
    <w:rsid w:val="00CD2439"/>
    <w:rsid w:val="00CD26FA"/>
    <w:rsid w:val="00CD2A1A"/>
    <w:rsid w:val="00CD3921"/>
    <w:rsid w:val="00CD3C65"/>
    <w:rsid w:val="00CD414B"/>
    <w:rsid w:val="00CD4204"/>
    <w:rsid w:val="00CD512A"/>
    <w:rsid w:val="00CD5571"/>
    <w:rsid w:val="00CD55BC"/>
    <w:rsid w:val="00CD5C6C"/>
    <w:rsid w:val="00CD5E82"/>
    <w:rsid w:val="00CD5FBC"/>
    <w:rsid w:val="00CD60B1"/>
    <w:rsid w:val="00CD6489"/>
    <w:rsid w:val="00CD6491"/>
    <w:rsid w:val="00CD6618"/>
    <w:rsid w:val="00CD68FB"/>
    <w:rsid w:val="00CD69A1"/>
    <w:rsid w:val="00CD6DD3"/>
    <w:rsid w:val="00CD6E49"/>
    <w:rsid w:val="00CD77B3"/>
    <w:rsid w:val="00CD7F85"/>
    <w:rsid w:val="00CE024D"/>
    <w:rsid w:val="00CE029A"/>
    <w:rsid w:val="00CE097E"/>
    <w:rsid w:val="00CE1350"/>
    <w:rsid w:val="00CE1CFB"/>
    <w:rsid w:val="00CE1DD9"/>
    <w:rsid w:val="00CE26DD"/>
    <w:rsid w:val="00CE2FA6"/>
    <w:rsid w:val="00CE36CB"/>
    <w:rsid w:val="00CE36CF"/>
    <w:rsid w:val="00CE38A4"/>
    <w:rsid w:val="00CE40A9"/>
    <w:rsid w:val="00CE4970"/>
    <w:rsid w:val="00CE5A10"/>
    <w:rsid w:val="00CE5CF9"/>
    <w:rsid w:val="00CE621A"/>
    <w:rsid w:val="00CE669B"/>
    <w:rsid w:val="00CE676C"/>
    <w:rsid w:val="00CE68E8"/>
    <w:rsid w:val="00CE7B7B"/>
    <w:rsid w:val="00CE7E76"/>
    <w:rsid w:val="00CF0779"/>
    <w:rsid w:val="00CF0920"/>
    <w:rsid w:val="00CF0B29"/>
    <w:rsid w:val="00CF0D1F"/>
    <w:rsid w:val="00CF0E10"/>
    <w:rsid w:val="00CF0E45"/>
    <w:rsid w:val="00CF111E"/>
    <w:rsid w:val="00CF13EB"/>
    <w:rsid w:val="00CF1589"/>
    <w:rsid w:val="00CF17FE"/>
    <w:rsid w:val="00CF19C4"/>
    <w:rsid w:val="00CF1AC0"/>
    <w:rsid w:val="00CF1C29"/>
    <w:rsid w:val="00CF2076"/>
    <w:rsid w:val="00CF2733"/>
    <w:rsid w:val="00CF2C1C"/>
    <w:rsid w:val="00CF2EB5"/>
    <w:rsid w:val="00CF3420"/>
    <w:rsid w:val="00CF34AE"/>
    <w:rsid w:val="00CF369E"/>
    <w:rsid w:val="00CF379B"/>
    <w:rsid w:val="00CF3980"/>
    <w:rsid w:val="00CF3C84"/>
    <w:rsid w:val="00CF40D6"/>
    <w:rsid w:val="00CF4283"/>
    <w:rsid w:val="00CF455E"/>
    <w:rsid w:val="00CF4D71"/>
    <w:rsid w:val="00CF4D92"/>
    <w:rsid w:val="00CF50CC"/>
    <w:rsid w:val="00CF5581"/>
    <w:rsid w:val="00CF580D"/>
    <w:rsid w:val="00CF58C0"/>
    <w:rsid w:val="00CF5902"/>
    <w:rsid w:val="00CF5A9D"/>
    <w:rsid w:val="00CF69AA"/>
    <w:rsid w:val="00CF69E9"/>
    <w:rsid w:val="00CF6AC5"/>
    <w:rsid w:val="00CF6D2E"/>
    <w:rsid w:val="00CF6D55"/>
    <w:rsid w:val="00CF6F80"/>
    <w:rsid w:val="00CF75C0"/>
    <w:rsid w:val="00CF7F90"/>
    <w:rsid w:val="00D0065E"/>
    <w:rsid w:val="00D0097E"/>
    <w:rsid w:val="00D00F49"/>
    <w:rsid w:val="00D01024"/>
    <w:rsid w:val="00D012AE"/>
    <w:rsid w:val="00D01B01"/>
    <w:rsid w:val="00D01C3B"/>
    <w:rsid w:val="00D01D7D"/>
    <w:rsid w:val="00D0208D"/>
    <w:rsid w:val="00D02864"/>
    <w:rsid w:val="00D02DAF"/>
    <w:rsid w:val="00D03419"/>
    <w:rsid w:val="00D03421"/>
    <w:rsid w:val="00D03501"/>
    <w:rsid w:val="00D038B4"/>
    <w:rsid w:val="00D05432"/>
    <w:rsid w:val="00D055C7"/>
    <w:rsid w:val="00D05D2B"/>
    <w:rsid w:val="00D06AC8"/>
    <w:rsid w:val="00D06C47"/>
    <w:rsid w:val="00D06DAB"/>
    <w:rsid w:val="00D06FDC"/>
    <w:rsid w:val="00D06FEB"/>
    <w:rsid w:val="00D075C4"/>
    <w:rsid w:val="00D07A78"/>
    <w:rsid w:val="00D07C37"/>
    <w:rsid w:val="00D07EEE"/>
    <w:rsid w:val="00D1076A"/>
    <w:rsid w:val="00D10CC5"/>
    <w:rsid w:val="00D10DF2"/>
    <w:rsid w:val="00D1143A"/>
    <w:rsid w:val="00D11500"/>
    <w:rsid w:val="00D11899"/>
    <w:rsid w:val="00D11D1C"/>
    <w:rsid w:val="00D1207B"/>
    <w:rsid w:val="00D123E2"/>
    <w:rsid w:val="00D1246E"/>
    <w:rsid w:val="00D1312E"/>
    <w:rsid w:val="00D132D6"/>
    <w:rsid w:val="00D1384C"/>
    <w:rsid w:val="00D13B44"/>
    <w:rsid w:val="00D13BD8"/>
    <w:rsid w:val="00D13D6A"/>
    <w:rsid w:val="00D14309"/>
    <w:rsid w:val="00D14DD2"/>
    <w:rsid w:val="00D153DC"/>
    <w:rsid w:val="00D1577C"/>
    <w:rsid w:val="00D159E1"/>
    <w:rsid w:val="00D15DC7"/>
    <w:rsid w:val="00D16019"/>
    <w:rsid w:val="00D16091"/>
    <w:rsid w:val="00D164E5"/>
    <w:rsid w:val="00D1675E"/>
    <w:rsid w:val="00D16E28"/>
    <w:rsid w:val="00D16FCF"/>
    <w:rsid w:val="00D17250"/>
    <w:rsid w:val="00D17378"/>
    <w:rsid w:val="00D17494"/>
    <w:rsid w:val="00D176BB"/>
    <w:rsid w:val="00D17B88"/>
    <w:rsid w:val="00D17D6D"/>
    <w:rsid w:val="00D20017"/>
    <w:rsid w:val="00D20385"/>
    <w:rsid w:val="00D203E3"/>
    <w:rsid w:val="00D20A15"/>
    <w:rsid w:val="00D20AF7"/>
    <w:rsid w:val="00D21017"/>
    <w:rsid w:val="00D21425"/>
    <w:rsid w:val="00D21479"/>
    <w:rsid w:val="00D21A28"/>
    <w:rsid w:val="00D21A93"/>
    <w:rsid w:val="00D21AA5"/>
    <w:rsid w:val="00D21B81"/>
    <w:rsid w:val="00D21C83"/>
    <w:rsid w:val="00D221E8"/>
    <w:rsid w:val="00D2240B"/>
    <w:rsid w:val="00D2279F"/>
    <w:rsid w:val="00D2284C"/>
    <w:rsid w:val="00D22866"/>
    <w:rsid w:val="00D22914"/>
    <w:rsid w:val="00D23949"/>
    <w:rsid w:val="00D23A2D"/>
    <w:rsid w:val="00D23BD5"/>
    <w:rsid w:val="00D23DD6"/>
    <w:rsid w:val="00D23F0B"/>
    <w:rsid w:val="00D25393"/>
    <w:rsid w:val="00D25584"/>
    <w:rsid w:val="00D258E4"/>
    <w:rsid w:val="00D25EB2"/>
    <w:rsid w:val="00D26253"/>
    <w:rsid w:val="00D2649E"/>
    <w:rsid w:val="00D26AFA"/>
    <w:rsid w:val="00D2724A"/>
    <w:rsid w:val="00D27994"/>
    <w:rsid w:val="00D279D8"/>
    <w:rsid w:val="00D27A46"/>
    <w:rsid w:val="00D27C9C"/>
    <w:rsid w:val="00D317C1"/>
    <w:rsid w:val="00D31882"/>
    <w:rsid w:val="00D31B59"/>
    <w:rsid w:val="00D31DC0"/>
    <w:rsid w:val="00D31E3F"/>
    <w:rsid w:val="00D32318"/>
    <w:rsid w:val="00D3274E"/>
    <w:rsid w:val="00D32759"/>
    <w:rsid w:val="00D328C1"/>
    <w:rsid w:val="00D32AE7"/>
    <w:rsid w:val="00D33588"/>
    <w:rsid w:val="00D336AA"/>
    <w:rsid w:val="00D3392D"/>
    <w:rsid w:val="00D33B9E"/>
    <w:rsid w:val="00D33BB8"/>
    <w:rsid w:val="00D33DAF"/>
    <w:rsid w:val="00D33FAD"/>
    <w:rsid w:val="00D340FF"/>
    <w:rsid w:val="00D34585"/>
    <w:rsid w:val="00D34D20"/>
    <w:rsid w:val="00D34D2D"/>
    <w:rsid w:val="00D34F52"/>
    <w:rsid w:val="00D357F4"/>
    <w:rsid w:val="00D35A16"/>
    <w:rsid w:val="00D35CAB"/>
    <w:rsid w:val="00D35E93"/>
    <w:rsid w:val="00D363B1"/>
    <w:rsid w:val="00D370D7"/>
    <w:rsid w:val="00D372E0"/>
    <w:rsid w:val="00D37363"/>
    <w:rsid w:val="00D373FD"/>
    <w:rsid w:val="00D376CF"/>
    <w:rsid w:val="00D40051"/>
    <w:rsid w:val="00D40F0E"/>
    <w:rsid w:val="00D41144"/>
    <w:rsid w:val="00D416CB"/>
    <w:rsid w:val="00D422F8"/>
    <w:rsid w:val="00D424FF"/>
    <w:rsid w:val="00D427E6"/>
    <w:rsid w:val="00D42B6A"/>
    <w:rsid w:val="00D42BBC"/>
    <w:rsid w:val="00D42D59"/>
    <w:rsid w:val="00D4333D"/>
    <w:rsid w:val="00D4356D"/>
    <w:rsid w:val="00D43AC5"/>
    <w:rsid w:val="00D43F12"/>
    <w:rsid w:val="00D43FD8"/>
    <w:rsid w:val="00D445F4"/>
    <w:rsid w:val="00D4496E"/>
    <w:rsid w:val="00D44BA2"/>
    <w:rsid w:val="00D44CF9"/>
    <w:rsid w:val="00D44EBB"/>
    <w:rsid w:val="00D45329"/>
    <w:rsid w:val="00D4588B"/>
    <w:rsid w:val="00D45999"/>
    <w:rsid w:val="00D45F87"/>
    <w:rsid w:val="00D465D9"/>
    <w:rsid w:val="00D46AA5"/>
    <w:rsid w:val="00D47127"/>
    <w:rsid w:val="00D473CC"/>
    <w:rsid w:val="00D473D9"/>
    <w:rsid w:val="00D4762F"/>
    <w:rsid w:val="00D477BF"/>
    <w:rsid w:val="00D47DBC"/>
    <w:rsid w:val="00D47E30"/>
    <w:rsid w:val="00D47F99"/>
    <w:rsid w:val="00D504E9"/>
    <w:rsid w:val="00D509EA"/>
    <w:rsid w:val="00D50A1E"/>
    <w:rsid w:val="00D50B24"/>
    <w:rsid w:val="00D50D55"/>
    <w:rsid w:val="00D514D7"/>
    <w:rsid w:val="00D519CE"/>
    <w:rsid w:val="00D51AFD"/>
    <w:rsid w:val="00D51DA3"/>
    <w:rsid w:val="00D52274"/>
    <w:rsid w:val="00D522C9"/>
    <w:rsid w:val="00D52594"/>
    <w:rsid w:val="00D52616"/>
    <w:rsid w:val="00D52645"/>
    <w:rsid w:val="00D526CF"/>
    <w:rsid w:val="00D52888"/>
    <w:rsid w:val="00D528A3"/>
    <w:rsid w:val="00D52A77"/>
    <w:rsid w:val="00D52C4C"/>
    <w:rsid w:val="00D5305C"/>
    <w:rsid w:val="00D53448"/>
    <w:rsid w:val="00D5345E"/>
    <w:rsid w:val="00D534D8"/>
    <w:rsid w:val="00D53C0F"/>
    <w:rsid w:val="00D53E63"/>
    <w:rsid w:val="00D5423B"/>
    <w:rsid w:val="00D547E2"/>
    <w:rsid w:val="00D54858"/>
    <w:rsid w:val="00D5490C"/>
    <w:rsid w:val="00D54B2B"/>
    <w:rsid w:val="00D54BA3"/>
    <w:rsid w:val="00D54F6A"/>
    <w:rsid w:val="00D550F5"/>
    <w:rsid w:val="00D55415"/>
    <w:rsid w:val="00D5562E"/>
    <w:rsid w:val="00D5600E"/>
    <w:rsid w:val="00D560F9"/>
    <w:rsid w:val="00D565C8"/>
    <w:rsid w:val="00D56C88"/>
    <w:rsid w:val="00D57198"/>
    <w:rsid w:val="00D57E51"/>
    <w:rsid w:val="00D60127"/>
    <w:rsid w:val="00D6014E"/>
    <w:rsid w:val="00D60168"/>
    <w:rsid w:val="00D6016A"/>
    <w:rsid w:val="00D602DF"/>
    <w:rsid w:val="00D602EF"/>
    <w:rsid w:val="00D6034D"/>
    <w:rsid w:val="00D60463"/>
    <w:rsid w:val="00D60838"/>
    <w:rsid w:val="00D60DD4"/>
    <w:rsid w:val="00D60F87"/>
    <w:rsid w:val="00D61084"/>
    <w:rsid w:val="00D611A9"/>
    <w:rsid w:val="00D6177D"/>
    <w:rsid w:val="00D617FA"/>
    <w:rsid w:val="00D61A4B"/>
    <w:rsid w:val="00D61E54"/>
    <w:rsid w:val="00D61FCE"/>
    <w:rsid w:val="00D62B68"/>
    <w:rsid w:val="00D6304E"/>
    <w:rsid w:val="00D63131"/>
    <w:rsid w:val="00D632C6"/>
    <w:rsid w:val="00D634D9"/>
    <w:rsid w:val="00D63575"/>
    <w:rsid w:val="00D63E09"/>
    <w:rsid w:val="00D63EDC"/>
    <w:rsid w:val="00D65189"/>
    <w:rsid w:val="00D658E7"/>
    <w:rsid w:val="00D65AD6"/>
    <w:rsid w:val="00D6634E"/>
    <w:rsid w:val="00D66575"/>
    <w:rsid w:val="00D668E8"/>
    <w:rsid w:val="00D669BF"/>
    <w:rsid w:val="00D66D13"/>
    <w:rsid w:val="00D66DC9"/>
    <w:rsid w:val="00D66E0E"/>
    <w:rsid w:val="00D66E2D"/>
    <w:rsid w:val="00D66E83"/>
    <w:rsid w:val="00D6742A"/>
    <w:rsid w:val="00D67914"/>
    <w:rsid w:val="00D67A37"/>
    <w:rsid w:val="00D67AA9"/>
    <w:rsid w:val="00D67F28"/>
    <w:rsid w:val="00D7048F"/>
    <w:rsid w:val="00D70502"/>
    <w:rsid w:val="00D70545"/>
    <w:rsid w:val="00D7077F"/>
    <w:rsid w:val="00D70C3B"/>
    <w:rsid w:val="00D70E66"/>
    <w:rsid w:val="00D70FEA"/>
    <w:rsid w:val="00D712EE"/>
    <w:rsid w:val="00D728CA"/>
    <w:rsid w:val="00D72C6F"/>
    <w:rsid w:val="00D7369D"/>
    <w:rsid w:val="00D738A3"/>
    <w:rsid w:val="00D73C61"/>
    <w:rsid w:val="00D73D44"/>
    <w:rsid w:val="00D7462F"/>
    <w:rsid w:val="00D74A15"/>
    <w:rsid w:val="00D74E3A"/>
    <w:rsid w:val="00D74FED"/>
    <w:rsid w:val="00D751C1"/>
    <w:rsid w:val="00D75794"/>
    <w:rsid w:val="00D75925"/>
    <w:rsid w:val="00D75DEC"/>
    <w:rsid w:val="00D75F00"/>
    <w:rsid w:val="00D75FDE"/>
    <w:rsid w:val="00D76AF4"/>
    <w:rsid w:val="00D76D0D"/>
    <w:rsid w:val="00D76D93"/>
    <w:rsid w:val="00D7706B"/>
    <w:rsid w:val="00D77748"/>
    <w:rsid w:val="00D77A7B"/>
    <w:rsid w:val="00D77FF2"/>
    <w:rsid w:val="00D806D1"/>
    <w:rsid w:val="00D80B92"/>
    <w:rsid w:val="00D80F98"/>
    <w:rsid w:val="00D8131B"/>
    <w:rsid w:val="00D823B7"/>
    <w:rsid w:val="00D8295D"/>
    <w:rsid w:val="00D83019"/>
    <w:rsid w:val="00D833CD"/>
    <w:rsid w:val="00D83671"/>
    <w:rsid w:val="00D83872"/>
    <w:rsid w:val="00D83BD3"/>
    <w:rsid w:val="00D83E79"/>
    <w:rsid w:val="00D83F15"/>
    <w:rsid w:val="00D83F38"/>
    <w:rsid w:val="00D84414"/>
    <w:rsid w:val="00D845EA"/>
    <w:rsid w:val="00D852CE"/>
    <w:rsid w:val="00D853BD"/>
    <w:rsid w:val="00D854C5"/>
    <w:rsid w:val="00D85946"/>
    <w:rsid w:val="00D85967"/>
    <w:rsid w:val="00D8599E"/>
    <w:rsid w:val="00D85A63"/>
    <w:rsid w:val="00D85E00"/>
    <w:rsid w:val="00D86250"/>
    <w:rsid w:val="00D86576"/>
    <w:rsid w:val="00D8674B"/>
    <w:rsid w:val="00D868D9"/>
    <w:rsid w:val="00D868F8"/>
    <w:rsid w:val="00D87484"/>
    <w:rsid w:val="00D8762F"/>
    <w:rsid w:val="00D87BEF"/>
    <w:rsid w:val="00D87EDF"/>
    <w:rsid w:val="00D90173"/>
    <w:rsid w:val="00D90324"/>
    <w:rsid w:val="00D90D80"/>
    <w:rsid w:val="00D9128E"/>
    <w:rsid w:val="00D914BB"/>
    <w:rsid w:val="00D91722"/>
    <w:rsid w:val="00D91C6F"/>
    <w:rsid w:val="00D92247"/>
    <w:rsid w:val="00D92432"/>
    <w:rsid w:val="00D92C4B"/>
    <w:rsid w:val="00D92E98"/>
    <w:rsid w:val="00D9308A"/>
    <w:rsid w:val="00D938A6"/>
    <w:rsid w:val="00D93983"/>
    <w:rsid w:val="00D93DBC"/>
    <w:rsid w:val="00D94072"/>
    <w:rsid w:val="00D940BA"/>
    <w:rsid w:val="00D9456C"/>
    <w:rsid w:val="00D94AE5"/>
    <w:rsid w:val="00D94E5F"/>
    <w:rsid w:val="00D94F14"/>
    <w:rsid w:val="00D95056"/>
    <w:rsid w:val="00D95497"/>
    <w:rsid w:val="00D955D1"/>
    <w:rsid w:val="00D95888"/>
    <w:rsid w:val="00D96672"/>
    <w:rsid w:val="00D96DA7"/>
    <w:rsid w:val="00D97056"/>
    <w:rsid w:val="00D9712A"/>
    <w:rsid w:val="00D97194"/>
    <w:rsid w:val="00D977A6"/>
    <w:rsid w:val="00D9794E"/>
    <w:rsid w:val="00D97BE8"/>
    <w:rsid w:val="00DA013B"/>
    <w:rsid w:val="00DA181D"/>
    <w:rsid w:val="00DA19C2"/>
    <w:rsid w:val="00DA26E9"/>
    <w:rsid w:val="00DA2D9D"/>
    <w:rsid w:val="00DA2FAA"/>
    <w:rsid w:val="00DA325F"/>
    <w:rsid w:val="00DA3343"/>
    <w:rsid w:val="00DA3454"/>
    <w:rsid w:val="00DA3458"/>
    <w:rsid w:val="00DA39E5"/>
    <w:rsid w:val="00DA3D98"/>
    <w:rsid w:val="00DA3EAB"/>
    <w:rsid w:val="00DA3F84"/>
    <w:rsid w:val="00DA467E"/>
    <w:rsid w:val="00DA4984"/>
    <w:rsid w:val="00DA4A6B"/>
    <w:rsid w:val="00DA4CE7"/>
    <w:rsid w:val="00DA510E"/>
    <w:rsid w:val="00DA5719"/>
    <w:rsid w:val="00DA5ADE"/>
    <w:rsid w:val="00DA5DE8"/>
    <w:rsid w:val="00DA5E84"/>
    <w:rsid w:val="00DA636B"/>
    <w:rsid w:val="00DA68C4"/>
    <w:rsid w:val="00DA7309"/>
    <w:rsid w:val="00DA752C"/>
    <w:rsid w:val="00DA780E"/>
    <w:rsid w:val="00DA7DB8"/>
    <w:rsid w:val="00DA7EB6"/>
    <w:rsid w:val="00DB06E5"/>
    <w:rsid w:val="00DB09C8"/>
    <w:rsid w:val="00DB0F3D"/>
    <w:rsid w:val="00DB1255"/>
    <w:rsid w:val="00DB1559"/>
    <w:rsid w:val="00DB19B9"/>
    <w:rsid w:val="00DB1BD4"/>
    <w:rsid w:val="00DB1D95"/>
    <w:rsid w:val="00DB1F21"/>
    <w:rsid w:val="00DB20A1"/>
    <w:rsid w:val="00DB27D2"/>
    <w:rsid w:val="00DB3585"/>
    <w:rsid w:val="00DB39A3"/>
    <w:rsid w:val="00DB3C82"/>
    <w:rsid w:val="00DB3E5D"/>
    <w:rsid w:val="00DB4014"/>
    <w:rsid w:val="00DB4414"/>
    <w:rsid w:val="00DB4477"/>
    <w:rsid w:val="00DB4FAF"/>
    <w:rsid w:val="00DB558F"/>
    <w:rsid w:val="00DB565C"/>
    <w:rsid w:val="00DB5ABB"/>
    <w:rsid w:val="00DB5E41"/>
    <w:rsid w:val="00DB63C7"/>
    <w:rsid w:val="00DB6470"/>
    <w:rsid w:val="00DB66C8"/>
    <w:rsid w:val="00DB6F22"/>
    <w:rsid w:val="00DB6FA7"/>
    <w:rsid w:val="00DB72EF"/>
    <w:rsid w:val="00DB77B5"/>
    <w:rsid w:val="00DB7889"/>
    <w:rsid w:val="00DB7D21"/>
    <w:rsid w:val="00DC035F"/>
    <w:rsid w:val="00DC03F5"/>
    <w:rsid w:val="00DC056A"/>
    <w:rsid w:val="00DC0C23"/>
    <w:rsid w:val="00DC0E88"/>
    <w:rsid w:val="00DC1745"/>
    <w:rsid w:val="00DC1836"/>
    <w:rsid w:val="00DC186D"/>
    <w:rsid w:val="00DC24C4"/>
    <w:rsid w:val="00DC27DA"/>
    <w:rsid w:val="00DC3091"/>
    <w:rsid w:val="00DC3794"/>
    <w:rsid w:val="00DC4293"/>
    <w:rsid w:val="00DC42F0"/>
    <w:rsid w:val="00DC474F"/>
    <w:rsid w:val="00DC47CE"/>
    <w:rsid w:val="00DC4BB7"/>
    <w:rsid w:val="00DC503B"/>
    <w:rsid w:val="00DC52A6"/>
    <w:rsid w:val="00DC5C5F"/>
    <w:rsid w:val="00DC5CE5"/>
    <w:rsid w:val="00DC5F9D"/>
    <w:rsid w:val="00DC63D6"/>
    <w:rsid w:val="00DC6679"/>
    <w:rsid w:val="00DC67A8"/>
    <w:rsid w:val="00DC73FC"/>
    <w:rsid w:val="00DC7650"/>
    <w:rsid w:val="00DC7D48"/>
    <w:rsid w:val="00DC7F8E"/>
    <w:rsid w:val="00DD00F1"/>
    <w:rsid w:val="00DD0678"/>
    <w:rsid w:val="00DD08E2"/>
    <w:rsid w:val="00DD095F"/>
    <w:rsid w:val="00DD0A97"/>
    <w:rsid w:val="00DD0DB7"/>
    <w:rsid w:val="00DD1BDE"/>
    <w:rsid w:val="00DD1E07"/>
    <w:rsid w:val="00DD21BE"/>
    <w:rsid w:val="00DD2535"/>
    <w:rsid w:val="00DD25D0"/>
    <w:rsid w:val="00DD2A07"/>
    <w:rsid w:val="00DD2AB4"/>
    <w:rsid w:val="00DD2F00"/>
    <w:rsid w:val="00DD2F71"/>
    <w:rsid w:val="00DD355A"/>
    <w:rsid w:val="00DD3D36"/>
    <w:rsid w:val="00DD3E83"/>
    <w:rsid w:val="00DD3F0D"/>
    <w:rsid w:val="00DD43D8"/>
    <w:rsid w:val="00DD4991"/>
    <w:rsid w:val="00DD53AE"/>
    <w:rsid w:val="00DD53D0"/>
    <w:rsid w:val="00DD583C"/>
    <w:rsid w:val="00DD5C14"/>
    <w:rsid w:val="00DD5D40"/>
    <w:rsid w:val="00DD62C2"/>
    <w:rsid w:val="00DD69D6"/>
    <w:rsid w:val="00DD703F"/>
    <w:rsid w:val="00DE042B"/>
    <w:rsid w:val="00DE077D"/>
    <w:rsid w:val="00DE0847"/>
    <w:rsid w:val="00DE1D61"/>
    <w:rsid w:val="00DE24EF"/>
    <w:rsid w:val="00DE2762"/>
    <w:rsid w:val="00DE299D"/>
    <w:rsid w:val="00DE2F96"/>
    <w:rsid w:val="00DE30A6"/>
    <w:rsid w:val="00DE35E7"/>
    <w:rsid w:val="00DE37F5"/>
    <w:rsid w:val="00DE39CA"/>
    <w:rsid w:val="00DE4143"/>
    <w:rsid w:val="00DE44D9"/>
    <w:rsid w:val="00DE459D"/>
    <w:rsid w:val="00DE487B"/>
    <w:rsid w:val="00DE5086"/>
    <w:rsid w:val="00DE5205"/>
    <w:rsid w:val="00DE525E"/>
    <w:rsid w:val="00DE53E6"/>
    <w:rsid w:val="00DE542C"/>
    <w:rsid w:val="00DE564E"/>
    <w:rsid w:val="00DE57E6"/>
    <w:rsid w:val="00DE59BA"/>
    <w:rsid w:val="00DE5A12"/>
    <w:rsid w:val="00DE6688"/>
    <w:rsid w:val="00DE68BB"/>
    <w:rsid w:val="00DE6CB0"/>
    <w:rsid w:val="00DE6F4F"/>
    <w:rsid w:val="00DE70B3"/>
    <w:rsid w:val="00DE73EA"/>
    <w:rsid w:val="00DE763A"/>
    <w:rsid w:val="00DF04BC"/>
    <w:rsid w:val="00DF070D"/>
    <w:rsid w:val="00DF0C29"/>
    <w:rsid w:val="00DF12AC"/>
    <w:rsid w:val="00DF1410"/>
    <w:rsid w:val="00DF1900"/>
    <w:rsid w:val="00DF1C9E"/>
    <w:rsid w:val="00DF1CB3"/>
    <w:rsid w:val="00DF23D1"/>
    <w:rsid w:val="00DF2516"/>
    <w:rsid w:val="00DF2711"/>
    <w:rsid w:val="00DF2890"/>
    <w:rsid w:val="00DF2A51"/>
    <w:rsid w:val="00DF37FE"/>
    <w:rsid w:val="00DF386F"/>
    <w:rsid w:val="00DF3BE9"/>
    <w:rsid w:val="00DF42FD"/>
    <w:rsid w:val="00DF4530"/>
    <w:rsid w:val="00DF45B0"/>
    <w:rsid w:val="00DF484D"/>
    <w:rsid w:val="00DF591C"/>
    <w:rsid w:val="00DF5F4F"/>
    <w:rsid w:val="00DF6303"/>
    <w:rsid w:val="00E00991"/>
    <w:rsid w:val="00E00FD1"/>
    <w:rsid w:val="00E015B1"/>
    <w:rsid w:val="00E01BB2"/>
    <w:rsid w:val="00E01CA6"/>
    <w:rsid w:val="00E0273F"/>
    <w:rsid w:val="00E02892"/>
    <w:rsid w:val="00E028F1"/>
    <w:rsid w:val="00E02BFF"/>
    <w:rsid w:val="00E03308"/>
    <w:rsid w:val="00E0353B"/>
    <w:rsid w:val="00E037B4"/>
    <w:rsid w:val="00E038FA"/>
    <w:rsid w:val="00E03C85"/>
    <w:rsid w:val="00E043D3"/>
    <w:rsid w:val="00E04650"/>
    <w:rsid w:val="00E04653"/>
    <w:rsid w:val="00E048BB"/>
    <w:rsid w:val="00E04ACC"/>
    <w:rsid w:val="00E0585B"/>
    <w:rsid w:val="00E06387"/>
    <w:rsid w:val="00E065E4"/>
    <w:rsid w:val="00E06D54"/>
    <w:rsid w:val="00E07592"/>
    <w:rsid w:val="00E0772E"/>
    <w:rsid w:val="00E07770"/>
    <w:rsid w:val="00E078BD"/>
    <w:rsid w:val="00E07969"/>
    <w:rsid w:val="00E07DA8"/>
    <w:rsid w:val="00E10111"/>
    <w:rsid w:val="00E10126"/>
    <w:rsid w:val="00E10411"/>
    <w:rsid w:val="00E1052E"/>
    <w:rsid w:val="00E10E13"/>
    <w:rsid w:val="00E112A6"/>
    <w:rsid w:val="00E11986"/>
    <w:rsid w:val="00E11B97"/>
    <w:rsid w:val="00E11C06"/>
    <w:rsid w:val="00E11C7E"/>
    <w:rsid w:val="00E1212D"/>
    <w:rsid w:val="00E12321"/>
    <w:rsid w:val="00E126DA"/>
    <w:rsid w:val="00E12861"/>
    <w:rsid w:val="00E12AC8"/>
    <w:rsid w:val="00E12C6C"/>
    <w:rsid w:val="00E12FE3"/>
    <w:rsid w:val="00E13149"/>
    <w:rsid w:val="00E1316D"/>
    <w:rsid w:val="00E13484"/>
    <w:rsid w:val="00E136DF"/>
    <w:rsid w:val="00E13891"/>
    <w:rsid w:val="00E13E0F"/>
    <w:rsid w:val="00E1449D"/>
    <w:rsid w:val="00E14829"/>
    <w:rsid w:val="00E14A1B"/>
    <w:rsid w:val="00E14A61"/>
    <w:rsid w:val="00E14E05"/>
    <w:rsid w:val="00E156F3"/>
    <w:rsid w:val="00E15ACC"/>
    <w:rsid w:val="00E16134"/>
    <w:rsid w:val="00E165D8"/>
    <w:rsid w:val="00E165E1"/>
    <w:rsid w:val="00E17729"/>
    <w:rsid w:val="00E177CF"/>
    <w:rsid w:val="00E17867"/>
    <w:rsid w:val="00E17AEF"/>
    <w:rsid w:val="00E17F46"/>
    <w:rsid w:val="00E20837"/>
    <w:rsid w:val="00E209EF"/>
    <w:rsid w:val="00E20A4F"/>
    <w:rsid w:val="00E20EC7"/>
    <w:rsid w:val="00E2141C"/>
    <w:rsid w:val="00E214F3"/>
    <w:rsid w:val="00E21700"/>
    <w:rsid w:val="00E2193C"/>
    <w:rsid w:val="00E22513"/>
    <w:rsid w:val="00E22522"/>
    <w:rsid w:val="00E227EE"/>
    <w:rsid w:val="00E22A73"/>
    <w:rsid w:val="00E22C19"/>
    <w:rsid w:val="00E22D12"/>
    <w:rsid w:val="00E22D27"/>
    <w:rsid w:val="00E23820"/>
    <w:rsid w:val="00E238FC"/>
    <w:rsid w:val="00E23A03"/>
    <w:rsid w:val="00E24174"/>
    <w:rsid w:val="00E24461"/>
    <w:rsid w:val="00E246C3"/>
    <w:rsid w:val="00E248E4"/>
    <w:rsid w:val="00E25108"/>
    <w:rsid w:val="00E2519A"/>
    <w:rsid w:val="00E251EC"/>
    <w:rsid w:val="00E25BCD"/>
    <w:rsid w:val="00E25D7B"/>
    <w:rsid w:val="00E2648D"/>
    <w:rsid w:val="00E26769"/>
    <w:rsid w:val="00E269B6"/>
    <w:rsid w:val="00E26B13"/>
    <w:rsid w:val="00E26C04"/>
    <w:rsid w:val="00E2711A"/>
    <w:rsid w:val="00E273CD"/>
    <w:rsid w:val="00E27EB6"/>
    <w:rsid w:val="00E302CE"/>
    <w:rsid w:val="00E30322"/>
    <w:rsid w:val="00E305E1"/>
    <w:rsid w:val="00E3064C"/>
    <w:rsid w:val="00E307E0"/>
    <w:rsid w:val="00E30989"/>
    <w:rsid w:val="00E30C4A"/>
    <w:rsid w:val="00E31200"/>
    <w:rsid w:val="00E312C5"/>
    <w:rsid w:val="00E31A9E"/>
    <w:rsid w:val="00E31C43"/>
    <w:rsid w:val="00E32607"/>
    <w:rsid w:val="00E33056"/>
    <w:rsid w:val="00E334A4"/>
    <w:rsid w:val="00E3410E"/>
    <w:rsid w:val="00E3463B"/>
    <w:rsid w:val="00E34698"/>
    <w:rsid w:val="00E351E7"/>
    <w:rsid w:val="00E35862"/>
    <w:rsid w:val="00E35A32"/>
    <w:rsid w:val="00E36528"/>
    <w:rsid w:val="00E3685D"/>
    <w:rsid w:val="00E36E8A"/>
    <w:rsid w:val="00E37574"/>
    <w:rsid w:val="00E408DA"/>
    <w:rsid w:val="00E40A43"/>
    <w:rsid w:val="00E40AE5"/>
    <w:rsid w:val="00E40D7F"/>
    <w:rsid w:val="00E40DE1"/>
    <w:rsid w:val="00E40E11"/>
    <w:rsid w:val="00E40EED"/>
    <w:rsid w:val="00E41077"/>
    <w:rsid w:val="00E412D6"/>
    <w:rsid w:val="00E41373"/>
    <w:rsid w:val="00E41ADD"/>
    <w:rsid w:val="00E41FC1"/>
    <w:rsid w:val="00E424EB"/>
    <w:rsid w:val="00E42999"/>
    <w:rsid w:val="00E4351C"/>
    <w:rsid w:val="00E435DF"/>
    <w:rsid w:val="00E43A59"/>
    <w:rsid w:val="00E43B06"/>
    <w:rsid w:val="00E43E2E"/>
    <w:rsid w:val="00E44106"/>
    <w:rsid w:val="00E4416F"/>
    <w:rsid w:val="00E44508"/>
    <w:rsid w:val="00E44516"/>
    <w:rsid w:val="00E447B1"/>
    <w:rsid w:val="00E44882"/>
    <w:rsid w:val="00E44D85"/>
    <w:rsid w:val="00E44EF9"/>
    <w:rsid w:val="00E44F87"/>
    <w:rsid w:val="00E459AF"/>
    <w:rsid w:val="00E45A1C"/>
    <w:rsid w:val="00E45FCB"/>
    <w:rsid w:val="00E46AD9"/>
    <w:rsid w:val="00E46C54"/>
    <w:rsid w:val="00E47331"/>
    <w:rsid w:val="00E475FB"/>
    <w:rsid w:val="00E47713"/>
    <w:rsid w:val="00E4785B"/>
    <w:rsid w:val="00E479A6"/>
    <w:rsid w:val="00E47B7B"/>
    <w:rsid w:val="00E5019C"/>
    <w:rsid w:val="00E5065A"/>
    <w:rsid w:val="00E5091A"/>
    <w:rsid w:val="00E5101D"/>
    <w:rsid w:val="00E51563"/>
    <w:rsid w:val="00E517D3"/>
    <w:rsid w:val="00E51DEC"/>
    <w:rsid w:val="00E52655"/>
    <w:rsid w:val="00E52886"/>
    <w:rsid w:val="00E52926"/>
    <w:rsid w:val="00E53103"/>
    <w:rsid w:val="00E536AF"/>
    <w:rsid w:val="00E53798"/>
    <w:rsid w:val="00E5405B"/>
    <w:rsid w:val="00E54370"/>
    <w:rsid w:val="00E54A55"/>
    <w:rsid w:val="00E54E77"/>
    <w:rsid w:val="00E54F1A"/>
    <w:rsid w:val="00E551ED"/>
    <w:rsid w:val="00E55ADD"/>
    <w:rsid w:val="00E55CEA"/>
    <w:rsid w:val="00E55E96"/>
    <w:rsid w:val="00E56157"/>
    <w:rsid w:val="00E56D95"/>
    <w:rsid w:val="00E5722A"/>
    <w:rsid w:val="00E5726B"/>
    <w:rsid w:val="00E572E2"/>
    <w:rsid w:val="00E576F8"/>
    <w:rsid w:val="00E57BFD"/>
    <w:rsid w:val="00E606B7"/>
    <w:rsid w:val="00E606EE"/>
    <w:rsid w:val="00E60D9C"/>
    <w:rsid w:val="00E60F19"/>
    <w:rsid w:val="00E61B18"/>
    <w:rsid w:val="00E61D59"/>
    <w:rsid w:val="00E621CF"/>
    <w:rsid w:val="00E6246F"/>
    <w:rsid w:val="00E6280E"/>
    <w:rsid w:val="00E62BD7"/>
    <w:rsid w:val="00E62C35"/>
    <w:rsid w:val="00E62C4C"/>
    <w:rsid w:val="00E62D87"/>
    <w:rsid w:val="00E62E17"/>
    <w:rsid w:val="00E6387D"/>
    <w:rsid w:val="00E63A2E"/>
    <w:rsid w:val="00E63A5E"/>
    <w:rsid w:val="00E63C59"/>
    <w:rsid w:val="00E63F56"/>
    <w:rsid w:val="00E64068"/>
    <w:rsid w:val="00E64A48"/>
    <w:rsid w:val="00E64CAB"/>
    <w:rsid w:val="00E65AF1"/>
    <w:rsid w:val="00E65FFC"/>
    <w:rsid w:val="00E6629A"/>
    <w:rsid w:val="00E6629D"/>
    <w:rsid w:val="00E6659C"/>
    <w:rsid w:val="00E66A39"/>
    <w:rsid w:val="00E66CA7"/>
    <w:rsid w:val="00E66D8E"/>
    <w:rsid w:val="00E66F92"/>
    <w:rsid w:val="00E67788"/>
    <w:rsid w:val="00E67B6D"/>
    <w:rsid w:val="00E67BB9"/>
    <w:rsid w:val="00E67D17"/>
    <w:rsid w:val="00E70B5C"/>
    <w:rsid w:val="00E70C76"/>
    <w:rsid w:val="00E70E58"/>
    <w:rsid w:val="00E7112D"/>
    <w:rsid w:val="00E7129E"/>
    <w:rsid w:val="00E7141C"/>
    <w:rsid w:val="00E71530"/>
    <w:rsid w:val="00E7159E"/>
    <w:rsid w:val="00E715E6"/>
    <w:rsid w:val="00E719C0"/>
    <w:rsid w:val="00E71E38"/>
    <w:rsid w:val="00E72108"/>
    <w:rsid w:val="00E72ADE"/>
    <w:rsid w:val="00E72D10"/>
    <w:rsid w:val="00E7369F"/>
    <w:rsid w:val="00E73BCF"/>
    <w:rsid w:val="00E73EB5"/>
    <w:rsid w:val="00E74225"/>
    <w:rsid w:val="00E745DC"/>
    <w:rsid w:val="00E74ECA"/>
    <w:rsid w:val="00E75453"/>
    <w:rsid w:val="00E75B9E"/>
    <w:rsid w:val="00E76A25"/>
    <w:rsid w:val="00E76C10"/>
    <w:rsid w:val="00E76C78"/>
    <w:rsid w:val="00E76DCF"/>
    <w:rsid w:val="00E770FE"/>
    <w:rsid w:val="00E772AA"/>
    <w:rsid w:val="00E77318"/>
    <w:rsid w:val="00E7768E"/>
    <w:rsid w:val="00E77DF9"/>
    <w:rsid w:val="00E8035B"/>
    <w:rsid w:val="00E803F9"/>
    <w:rsid w:val="00E8043E"/>
    <w:rsid w:val="00E80CE3"/>
    <w:rsid w:val="00E81020"/>
    <w:rsid w:val="00E81181"/>
    <w:rsid w:val="00E812B1"/>
    <w:rsid w:val="00E814EB"/>
    <w:rsid w:val="00E81573"/>
    <w:rsid w:val="00E81866"/>
    <w:rsid w:val="00E81870"/>
    <w:rsid w:val="00E81977"/>
    <w:rsid w:val="00E81A6D"/>
    <w:rsid w:val="00E81D4D"/>
    <w:rsid w:val="00E82038"/>
    <w:rsid w:val="00E82476"/>
    <w:rsid w:val="00E828F5"/>
    <w:rsid w:val="00E82914"/>
    <w:rsid w:val="00E829BC"/>
    <w:rsid w:val="00E82DA7"/>
    <w:rsid w:val="00E8351D"/>
    <w:rsid w:val="00E83538"/>
    <w:rsid w:val="00E8357F"/>
    <w:rsid w:val="00E837EE"/>
    <w:rsid w:val="00E83813"/>
    <w:rsid w:val="00E83E02"/>
    <w:rsid w:val="00E83E24"/>
    <w:rsid w:val="00E83E28"/>
    <w:rsid w:val="00E840C3"/>
    <w:rsid w:val="00E84338"/>
    <w:rsid w:val="00E8452D"/>
    <w:rsid w:val="00E84559"/>
    <w:rsid w:val="00E84638"/>
    <w:rsid w:val="00E8508D"/>
    <w:rsid w:val="00E853EB"/>
    <w:rsid w:val="00E85862"/>
    <w:rsid w:val="00E85A8B"/>
    <w:rsid w:val="00E85D21"/>
    <w:rsid w:val="00E85F45"/>
    <w:rsid w:val="00E864AB"/>
    <w:rsid w:val="00E86778"/>
    <w:rsid w:val="00E86F56"/>
    <w:rsid w:val="00E87432"/>
    <w:rsid w:val="00E8751F"/>
    <w:rsid w:val="00E876BD"/>
    <w:rsid w:val="00E87A21"/>
    <w:rsid w:val="00E87A30"/>
    <w:rsid w:val="00E87BC7"/>
    <w:rsid w:val="00E87CA2"/>
    <w:rsid w:val="00E87CF4"/>
    <w:rsid w:val="00E87E5F"/>
    <w:rsid w:val="00E87EBE"/>
    <w:rsid w:val="00E90491"/>
    <w:rsid w:val="00E90616"/>
    <w:rsid w:val="00E90ADA"/>
    <w:rsid w:val="00E90B88"/>
    <w:rsid w:val="00E90C25"/>
    <w:rsid w:val="00E90EF7"/>
    <w:rsid w:val="00E90F22"/>
    <w:rsid w:val="00E91482"/>
    <w:rsid w:val="00E9150B"/>
    <w:rsid w:val="00E91EAB"/>
    <w:rsid w:val="00E91F49"/>
    <w:rsid w:val="00E91F70"/>
    <w:rsid w:val="00E921F4"/>
    <w:rsid w:val="00E92577"/>
    <w:rsid w:val="00E9270C"/>
    <w:rsid w:val="00E929E0"/>
    <w:rsid w:val="00E92A54"/>
    <w:rsid w:val="00E93249"/>
    <w:rsid w:val="00E939F3"/>
    <w:rsid w:val="00E93BA9"/>
    <w:rsid w:val="00E941DA"/>
    <w:rsid w:val="00E945D8"/>
    <w:rsid w:val="00E946BE"/>
    <w:rsid w:val="00E94880"/>
    <w:rsid w:val="00E94D82"/>
    <w:rsid w:val="00E95373"/>
    <w:rsid w:val="00E95704"/>
    <w:rsid w:val="00E95B4E"/>
    <w:rsid w:val="00E95D0D"/>
    <w:rsid w:val="00E97215"/>
    <w:rsid w:val="00E97591"/>
    <w:rsid w:val="00E97692"/>
    <w:rsid w:val="00E97EA6"/>
    <w:rsid w:val="00EA08D7"/>
    <w:rsid w:val="00EA0B63"/>
    <w:rsid w:val="00EA0D32"/>
    <w:rsid w:val="00EA1217"/>
    <w:rsid w:val="00EA147B"/>
    <w:rsid w:val="00EA14B1"/>
    <w:rsid w:val="00EA1606"/>
    <w:rsid w:val="00EA164D"/>
    <w:rsid w:val="00EA1A40"/>
    <w:rsid w:val="00EA207C"/>
    <w:rsid w:val="00EA26DD"/>
    <w:rsid w:val="00EA2DE1"/>
    <w:rsid w:val="00EA3250"/>
    <w:rsid w:val="00EA3494"/>
    <w:rsid w:val="00EA3754"/>
    <w:rsid w:val="00EA3EFA"/>
    <w:rsid w:val="00EA3F71"/>
    <w:rsid w:val="00EA4656"/>
    <w:rsid w:val="00EA48CD"/>
    <w:rsid w:val="00EA4D9E"/>
    <w:rsid w:val="00EA4F93"/>
    <w:rsid w:val="00EA535D"/>
    <w:rsid w:val="00EA54FA"/>
    <w:rsid w:val="00EA59FF"/>
    <w:rsid w:val="00EA6255"/>
    <w:rsid w:val="00EA656D"/>
    <w:rsid w:val="00EA7C6D"/>
    <w:rsid w:val="00EA7D1B"/>
    <w:rsid w:val="00EA7D1D"/>
    <w:rsid w:val="00EA7F00"/>
    <w:rsid w:val="00EA7F96"/>
    <w:rsid w:val="00EB00C3"/>
    <w:rsid w:val="00EB035F"/>
    <w:rsid w:val="00EB0847"/>
    <w:rsid w:val="00EB0BFA"/>
    <w:rsid w:val="00EB0D80"/>
    <w:rsid w:val="00EB11F5"/>
    <w:rsid w:val="00EB1542"/>
    <w:rsid w:val="00EB158D"/>
    <w:rsid w:val="00EB159E"/>
    <w:rsid w:val="00EB1894"/>
    <w:rsid w:val="00EB19CC"/>
    <w:rsid w:val="00EB1D8D"/>
    <w:rsid w:val="00EB1E97"/>
    <w:rsid w:val="00EB259E"/>
    <w:rsid w:val="00EB2996"/>
    <w:rsid w:val="00EB2CD9"/>
    <w:rsid w:val="00EB2D3D"/>
    <w:rsid w:val="00EB2D3F"/>
    <w:rsid w:val="00EB2F68"/>
    <w:rsid w:val="00EB33BE"/>
    <w:rsid w:val="00EB33EF"/>
    <w:rsid w:val="00EB37BE"/>
    <w:rsid w:val="00EB3801"/>
    <w:rsid w:val="00EB3855"/>
    <w:rsid w:val="00EB38FE"/>
    <w:rsid w:val="00EB3F57"/>
    <w:rsid w:val="00EB45EE"/>
    <w:rsid w:val="00EB4ACF"/>
    <w:rsid w:val="00EB4BCF"/>
    <w:rsid w:val="00EB4C49"/>
    <w:rsid w:val="00EB4CAC"/>
    <w:rsid w:val="00EB501F"/>
    <w:rsid w:val="00EB5071"/>
    <w:rsid w:val="00EB575F"/>
    <w:rsid w:val="00EB5E34"/>
    <w:rsid w:val="00EB5E6A"/>
    <w:rsid w:val="00EB619C"/>
    <w:rsid w:val="00EB63C8"/>
    <w:rsid w:val="00EB67BC"/>
    <w:rsid w:val="00EB68D3"/>
    <w:rsid w:val="00EB6A85"/>
    <w:rsid w:val="00EB6DCD"/>
    <w:rsid w:val="00EB6DF1"/>
    <w:rsid w:val="00EB6E5D"/>
    <w:rsid w:val="00EB6FED"/>
    <w:rsid w:val="00EB73E1"/>
    <w:rsid w:val="00EB7966"/>
    <w:rsid w:val="00EB7A7C"/>
    <w:rsid w:val="00EB7AA0"/>
    <w:rsid w:val="00EB7B86"/>
    <w:rsid w:val="00EB7BA6"/>
    <w:rsid w:val="00EB7FE1"/>
    <w:rsid w:val="00EC0879"/>
    <w:rsid w:val="00EC0900"/>
    <w:rsid w:val="00EC0A68"/>
    <w:rsid w:val="00EC1A72"/>
    <w:rsid w:val="00EC1EC9"/>
    <w:rsid w:val="00EC2032"/>
    <w:rsid w:val="00EC2499"/>
    <w:rsid w:val="00EC2621"/>
    <w:rsid w:val="00EC31D3"/>
    <w:rsid w:val="00EC381C"/>
    <w:rsid w:val="00EC437A"/>
    <w:rsid w:val="00EC457D"/>
    <w:rsid w:val="00EC46CB"/>
    <w:rsid w:val="00EC4717"/>
    <w:rsid w:val="00EC4AB8"/>
    <w:rsid w:val="00EC4D3D"/>
    <w:rsid w:val="00EC512F"/>
    <w:rsid w:val="00EC5168"/>
    <w:rsid w:val="00EC585F"/>
    <w:rsid w:val="00EC5C0C"/>
    <w:rsid w:val="00EC67C1"/>
    <w:rsid w:val="00EC698A"/>
    <w:rsid w:val="00EC6D2C"/>
    <w:rsid w:val="00EC701B"/>
    <w:rsid w:val="00EC725E"/>
    <w:rsid w:val="00EC72A7"/>
    <w:rsid w:val="00EC763D"/>
    <w:rsid w:val="00EC795A"/>
    <w:rsid w:val="00EC7C44"/>
    <w:rsid w:val="00EC7C82"/>
    <w:rsid w:val="00ED0F2C"/>
    <w:rsid w:val="00ED15B2"/>
    <w:rsid w:val="00ED1D35"/>
    <w:rsid w:val="00ED2512"/>
    <w:rsid w:val="00ED2567"/>
    <w:rsid w:val="00ED282A"/>
    <w:rsid w:val="00ED308A"/>
    <w:rsid w:val="00ED3390"/>
    <w:rsid w:val="00ED34EC"/>
    <w:rsid w:val="00ED3547"/>
    <w:rsid w:val="00ED4717"/>
    <w:rsid w:val="00ED4793"/>
    <w:rsid w:val="00ED480A"/>
    <w:rsid w:val="00ED53E4"/>
    <w:rsid w:val="00ED563A"/>
    <w:rsid w:val="00ED56FA"/>
    <w:rsid w:val="00ED59CB"/>
    <w:rsid w:val="00ED5E01"/>
    <w:rsid w:val="00ED5E73"/>
    <w:rsid w:val="00ED66BB"/>
    <w:rsid w:val="00ED67DA"/>
    <w:rsid w:val="00ED67FA"/>
    <w:rsid w:val="00ED6DDC"/>
    <w:rsid w:val="00ED706F"/>
    <w:rsid w:val="00ED750A"/>
    <w:rsid w:val="00ED755F"/>
    <w:rsid w:val="00ED792E"/>
    <w:rsid w:val="00ED794A"/>
    <w:rsid w:val="00ED7F17"/>
    <w:rsid w:val="00EE0328"/>
    <w:rsid w:val="00EE0B02"/>
    <w:rsid w:val="00EE0C79"/>
    <w:rsid w:val="00EE0F28"/>
    <w:rsid w:val="00EE15A3"/>
    <w:rsid w:val="00EE1C0A"/>
    <w:rsid w:val="00EE1E70"/>
    <w:rsid w:val="00EE237B"/>
    <w:rsid w:val="00EE2557"/>
    <w:rsid w:val="00EE25EF"/>
    <w:rsid w:val="00EE2791"/>
    <w:rsid w:val="00EE2958"/>
    <w:rsid w:val="00EE3A1C"/>
    <w:rsid w:val="00EE3BD3"/>
    <w:rsid w:val="00EE3E06"/>
    <w:rsid w:val="00EE48B8"/>
    <w:rsid w:val="00EE4CBE"/>
    <w:rsid w:val="00EE502C"/>
    <w:rsid w:val="00EE5262"/>
    <w:rsid w:val="00EE54A6"/>
    <w:rsid w:val="00EE54C1"/>
    <w:rsid w:val="00EE55CD"/>
    <w:rsid w:val="00EE57F3"/>
    <w:rsid w:val="00EE5AAB"/>
    <w:rsid w:val="00EE5AF3"/>
    <w:rsid w:val="00EE6678"/>
    <w:rsid w:val="00EE66B6"/>
    <w:rsid w:val="00EE67CD"/>
    <w:rsid w:val="00EE6943"/>
    <w:rsid w:val="00EE6DF5"/>
    <w:rsid w:val="00EE767B"/>
    <w:rsid w:val="00EE7BD9"/>
    <w:rsid w:val="00EE7CCD"/>
    <w:rsid w:val="00EE7CE1"/>
    <w:rsid w:val="00EE7F99"/>
    <w:rsid w:val="00EF03B6"/>
    <w:rsid w:val="00EF0663"/>
    <w:rsid w:val="00EF0BE3"/>
    <w:rsid w:val="00EF0BED"/>
    <w:rsid w:val="00EF188B"/>
    <w:rsid w:val="00EF1928"/>
    <w:rsid w:val="00EF1EEB"/>
    <w:rsid w:val="00EF2508"/>
    <w:rsid w:val="00EF26AC"/>
    <w:rsid w:val="00EF2CC9"/>
    <w:rsid w:val="00EF3286"/>
    <w:rsid w:val="00EF3A86"/>
    <w:rsid w:val="00EF3D3F"/>
    <w:rsid w:val="00EF3DE1"/>
    <w:rsid w:val="00EF442D"/>
    <w:rsid w:val="00EF443E"/>
    <w:rsid w:val="00EF4780"/>
    <w:rsid w:val="00EF497F"/>
    <w:rsid w:val="00EF4A53"/>
    <w:rsid w:val="00EF5033"/>
    <w:rsid w:val="00EF54C5"/>
    <w:rsid w:val="00EF58F1"/>
    <w:rsid w:val="00EF5970"/>
    <w:rsid w:val="00EF5A67"/>
    <w:rsid w:val="00EF5AA3"/>
    <w:rsid w:val="00EF5C9F"/>
    <w:rsid w:val="00EF6722"/>
    <w:rsid w:val="00EF673E"/>
    <w:rsid w:val="00EF68D4"/>
    <w:rsid w:val="00EF691B"/>
    <w:rsid w:val="00EF6B2E"/>
    <w:rsid w:val="00EF6CE1"/>
    <w:rsid w:val="00EF6CF6"/>
    <w:rsid w:val="00EF6FA3"/>
    <w:rsid w:val="00EF77CE"/>
    <w:rsid w:val="00EF7800"/>
    <w:rsid w:val="00EF789E"/>
    <w:rsid w:val="00EF7EBE"/>
    <w:rsid w:val="00EF7F49"/>
    <w:rsid w:val="00F00438"/>
    <w:rsid w:val="00F0085A"/>
    <w:rsid w:val="00F00EE2"/>
    <w:rsid w:val="00F00FF8"/>
    <w:rsid w:val="00F018BE"/>
    <w:rsid w:val="00F01A45"/>
    <w:rsid w:val="00F020F0"/>
    <w:rsid w:val="00F024B0"/>
    <w:rsid w:val="00F025FA"/>
    <w:rsid w:val="00F026CA"/>
    <w:rsid w:val="00F02F95"/>
    <w:rsid w:val="00F03994"/>
    <w:rsid w:val="00F040A7"/>
    <w:rsid w:val="00F0417B"/>
    <w:rsid w:val="00F042CC"/>
    <w:rsid w:val="00F0460F"/>
    <w:rsid w:val="00F04655"/>
    <w:rsid w:val="00F0482A"/>
    <w:rsid w:val="00F0498B"/>
    <w:rsid w:val="00F0518E"/>
    <w:rsid w:val="00F05509"/>
    <w:rsid w:val="00F05A42"/>
    <w:rsid w:val="00F05D9F"/>
    <w:rsid w:val="00F05E10"/>
    <w:rsid w:val="00F062DC"/>
    <w:rsid w:val="00F0645F"/>
    <w:rsid w:val="00F064A1"/>
    <w:rsid w:val="00F07229"/>
    <w:rsid w:val="00F07361"/>
    <w:rsid w:val="00F074F0"/>
    <w:rsid w:val="00F07BF8"/>
    <w:rsid w:val="00F07EEC"/>
    <w:rsid w:val="00F10006"/>
    <w:rsid w:val="00F10135"/>
    <w:rsid w:val="00F104BD"/>
    <w:rsid w:val="00F10865"/>
    <w:rsid w:val="00F108E5"/>
    <w:rsid w:val="00F110EC"/>
    <w:rsid w:val="00F112B4"/>
    <w:rsid w:val="00F114A1"/>
    <w:rsid w:val="00F11685"/>
    <w:rsid w:val="00F119AC"/>
    <w:rsid w:val="00F11A48"/>
    <w:rsid w:val="00F11A8E"/>
    <w:rsid w:val="00F1238D"/>
    <w:rsid w:val="00F1271B"/>
    <w:rsid w:val="00F127C1"/>
    <w:rsid w:val="00F127FF"/>
    <w:rsid w:val="00F12D3E"/>
    <w:rsid w:val="00F13313"/>
    <w:rsid w:val="00F13821"/>
    <w:rsid w:val="00F13B49"/>
    <w:rsid w:val="00F13B4A"/>
    <w:rsid w:val="00F13C30"/>
    <w:rsid w:val="00F13CD7"/>
    <w:rsid w:val="00F13D5F"/>
    <w:rsid w:val="00F13D7A"/>
    <w:rsid w:val="00F13E42"/>
    <w:rsid w:val="00F13F8F"/>
    <w:rsid w:val="00F14023"/>
    <w:rsid w:val="00F14136"/>
    <w:rsid w:val="00F1458E"/>
    <w:rsid w:val="00F14649"/>
    <w:rsid w:val="00F14C17"/>
    <w:rsid w:val="00F14FF5"/>
    <w:rsid w:val="00F1535B"/>
    <w:rsid w:val="00F15B93"/>
    <w:rsid w:val="00F1657D"/>
    <w:rsid w:val="00F16CEC"/>
    <w:rsid w:val="00F1726A"/>
    <w:rsid w:val="00F172FB"/>
    <w:rsid w:val="00F17B7B"/>
    <w:rsid w:val="00F17B86"/>
    <w:rsid w:val="00F17E93"/>
    <w:rsid w:val="00F17F15"/>
    <w:rsid w:val="00F17FBF"/>
    <w:rsid w:val="00F204AD"/>
    <w:rsid w:val="00F2069F"/>
    <w:rsid w:val="00F2086E"/>
    <w:rsid w:val="00F20A57"/>
    <w:rsid w:val="00F21492"/>
    <w:rsid w:val="00F215CE"/>
    <w:rsid w:val="00F21B0D"/>
    <w:rsid w:val="00F21E9F"/>
    <w:rsid w:val="00F223C5"/>
    <w:rsid w:val="00F2293B"/>
    <w:rsid w:val="00F229CD"/>
    <w:rsid w:val="00F22B04"/>
    <w:rsid w:val="00F22B3B"/>
    <w:rsid w:val="00F23864"/>
    <w:rsid w:val="00F23BBB"/>
    <w:rsid w:val="00F2428A"/>
    <w:rsid w:val="00F24404"/>
    <w:rsid w:val="00F24E20"/>
    <w:rsid w:val="00F24FCE"/>
    <w:rsid w:val="00F251E0"/>
    <w:rsid w:val="00F25673"/>
    <w:rsid w:val="00F25711"/>
    <w:rsid w:val="00F25DAE"/>
    <w:rsid w:val="00F26263"/>
    <w:rsid w:val="00F2626F"/>
    <w:rsid w:val="00F265E9"/>
    <w:rsid w:val="00F26ACD"/>
    <w:rsid w:val="00F26E2D"/>
    <w:rsid w:val="00F27087"/>
    <w:rsid w:val="00F272CF"/>
    <w:rsid w:val="00F276C8"/>
    <w:rsid w:val="00F277B2"/>
    <w:rsid w:val="00F27931"/>
    <w:rsid w:val="00F3013A"/>
    <w:rsid w:val="00F3041B"/>
    <w:rsid w:val="00F304FE"/>
    <w:rsid w:val="00F305D3"/>
    <w:rsid w:val="00F3067A"/>
    <w:rsid w:val="00F308A5"/>
    <w:rsid w:val="00F308FE"/>
    <w:rsid w:val="00F30E1D"/>
    <w:rsid w:val="00F3142A"/>
    <w:rsid w:val="00F31D5B"/>
    <w:rsid w:val="00F32010"/>
    <w:rsid w:val="00F3232B"/>
    <w:rsid w:val="00F325A8"/>
    <w:rsid w:val="00F32CF6"/>
    <w:rsid w:val="00F32E01"/>
    <w:rsid w:val="00F3372F"/>
    <w:rsid w:val="00F33F9F"/>
    <w:rsid w:val="00F34694"/>
    <w:rsid w:val="00F348A8"/>
    <w:rsid w:val="00F3492D"/>
    <w:rsid w:val="00F34DD2"/>
    <w:rsid w:val="00F34EF8"/>
    <w:rsid w:val="00F355A5"/>
    <w:rsid w:val="00F3593F"/>
    <w:rsid w:val="00F3640C"/>
    <w:rsid w:val="00F3668D"/>
    <w:rsid w:val="00F367DC"/>
    <w:rsid w:val="00F36A70"/>
    <w:rsid w:val="00F36B21"/>
    <w:rsid w:val="00F371E9"/>
    <w:rsid w:val="00F3744D"/>
    <w:rsid w:val="00F3753D"/>
    <w:rsid w:val="00F37888"/>
    <w:rsid w:val="00F37C48"/>
    <w:rsid w:val="00F37FF5"/>
    <w:rsid w:val="00F40BCD"/>
    <w:rsid w:val="00F40D10"/>
    <w:rsid w:val="00F40FD6"/>
    <w:rsid w:val="00F411E4"/>
    <w:rsid w:val="00F41A80"/>
    <w:rsid w:val="00F41BAC"/>
    <w:rsid w:val="00F420C1"/>
    <w:rsid w:val="00F422A8"/>
    <w:rsid w:val="00F42458"/>
    <w:rsid w:val="00F42608"/>
    <w:rsid w:val="00F42C4C"/>
    <w:rsid w:val="00F42CDB"/>
    <w:rsid w:val="00F431E4"/>
    <w:rsid w:val="00F4374E"/>
    <w:rsid w:val="00F441AE"/>
    <w:rsid w:val="00F443E0"/>
    <w:rsid w:val="00F44486"/>
    <w:rsid w:val="00F447A0"/>
    <w:rsid w:val="00F44B1B"/>
    <w:rsid w:val="00F44D31"/>
    <w:rsid w:val="00F44F58"/>
    <w:rsid w:val="00F45127"/>
    <w:rsid w:val="00F45C71"/>
    <w:rsid w:val="00F45E0E"/>
    <w:rsid w:val="00F4614F"/>
    <w:rsid w:val="00F4663A"/>
    <w:rsid w:val="00F46ABC"/>
    <w:rsid w:val="00F46D16"/>
    <w:rsid w:val="00F46E50"/>
    <w:rsid w:val="00F47314"/>
    <w:rsid w:val="00F474DB"/>
    <w:rsid w:val="00F476F5"/>
    <w:rsid w:val="00F478B2"/>
    <w:rsid w:val="00F47CBA"/>
    <w:rsid w:val="00F50492"/>
    <w:rsid w:val="00F505B6"/>
    <w:rsid w:val="00F50651"/>
    <w:rsid w:val="00F507D5"/>
    <w:rsid w:val="00F508E1"/>
    <w:rsid w:val="00F50BB4"/>
    <w:rsid w:val="00F5123E"/>
    <w:rsid w:val="00F514C2"/>
    <w:rsid w:val="00F51932"/>
    <w:rsid w:val="00F51A18"/>
    <w:rsid w:val="00F51DDE"/>
    <w:rsid w:val="00F520C2"/>
    <w:rsid w:val="00F528D7"/>
    <w:rsid w:val="00F52AD9"/>
    <w:rsid w:val="00F530AA"/>
    <w:rsid w:val="00F53344"/>
    <w:rsid w:val="00F533C7"/>
    <w:rsid w:val="00F53571"/>
    <w:rsid w:val="00F538AA"/>
    <w:rsid w:val="00F53AD8"/>
    <w:rsid w:val="00F53C67"/>
    <w:rsid w:val="00F53D05"/>
    <w:rsid w:val="00F53DBA"/>
    <w:rsid w:val="00F54117"/>
    <w:rsid w:val="00F5417E"/>
    <w:rsid w:val="00F54B0A"/>
    <w:rsid w:val="00F54D93"/>
    <w:rsid w:val="00F55077"/>
    <w:rsid w:val="00F55205"/>
    <w:rsid w:val="00F56756"/>
    <w:rsid w:val="00F57021"/>
    <w:rsid w:val="00F57283"/>
    <w:rsid w:val="00F573F0"/>
    <w:rsid w:val="00F57595"/>
    <w:rsid w:val="00F575C5"/>
    <w:rsid w:val="00F57B8E"/>
    <w:rsid w:val="00F57C22"/>
    <w:rsid w:val="00F60257"/>
    <w:rsid w:val="00F604BC"/>
    <w:rsid w:val="00F605B5"/>
    <w:rsid w:val="00F6082E"/>
    <w:rsid w:val="00F60C5E"/>
    <w:rsid w:val="00F6128D"/>
    <w:rsid w:val="00F6139D"/>
    <w:rsid w:val="00F6141C"/>
    <w:rsid w:val="00F6141E"/>
    <w:rsid w:val="00F61AE0"/>
    <w:rsid w:val="00F61EEA"/>
    <w:rsid w:val="00F6226A"/>
    <w:rsid w:val="00F62716"/>
    <w:rsid w:val="00F6292A"/>
    <w:rsid w:val="00F62A64"/>
    <w:rsid w:val="00F62C39"/>
    <w:rsid w:val="00F631A7"/>
    <w:rsid w:val="00F63723"/>
    <w:rsid w:val="00F63B20"/>
    <w:rsid w:val="00F63C2B"/>
    <w:rsid w:val="00F63C9A"/>
    <w:rsid w:val="00F63CF6"/>
    <w:rsid w:val="00F63E1B"/>
    <w:rsid w:val="00F63FA2"/>
    <w:rsid w:val="00F640A8"/>
    <w:rsid w:val="00F645E1"/>
    <w:rsid w:val="00F6473E"/>
    <w:rsid w:val="00F64CF1"/>
    <w:rsid w:val="00F653AD"/>
    <w:rsid w:val="00F655AD"/>
    <w:rsid w:val="00F65894"/>
    <w:rsid w:val="00F65971"/>
    <w:rsid w:val="00F65AC5"/>
    <w:rsid w:val="00F65BB4"/>
    <w:rsid w:val="00F65E85"/>
    <w:rsid w:val="00F66273"/>
    <w:rsid w:val="00F664B7"/>
    <w:rsid w:val="00F666F7"/>
    <w:rsid w:val="00F667E9"/>
    <w:rsid w:val="00F66BA1"/>
    <w:rsid w:val="00F66C6F"/>
    <w:rsid w:val="00F66F08"/>
    <w:rsid w:val="00F671B6"/>
    <w:rsid w:val="00F67D5B"/>
    <w:rsid w:val="00F67F37"/>
    <w:rsid w:val="00F70089"/>
    <w:rsid w:val="00F70176"/>
    <w:rsid w:val="00F70196"/>
    <w:rsid w:val="00F70628"/>
    <w:rsid w:val="00F706FE"/>
    <w:rsid w:val="00F7085D"/>
    <w:rsid w:val="00F70EE9"/>
    <w:rsid w:val="00F70F81"/>
    <w:rsid w:val="00F7110D"/>
    <w:rsid w:val="00F716EF"/>
    <w:rsid w:val="00F7176F"/>
    <w:rsid w:val="00F71961"/>
    <w:rsid w:val="00F71CE2"/>
    <w:rsid w:val="00F71EAA"/>
    <w:rsid w:val="00F72198"/>
    <w:rsid w:val="00F724B3"/>
    <w:rsid w:val="00F728E6"/>
    <w:rsid w:val="00F72A0F"/>
    <w:rsid w:val="00F72B92"/>
    <w:rsid w:val="00F73059"/>
    <w:rsid w:val="00F734C9"/>
    <w:rsid w:val="00F734CB"/>
    <w:rsid w:val="00F738EA"/>
    <w:rsid w:val="00F73A37"/>
    <w:rsid w:val="00F73E40"/>
    <w:rsid w:val="00F7414F"/>
    <w:rsid w:val="00F74630"/>
    <w:rsid w:val="00F74E72"/>
    <w:rsid w:val="00F74FC9"/>
    <w:rsid w:val="00F7512B"/>
    <w:rsid w:val="00F75299"/>
    <w:rsid w:val="00F7538B"/>
    <w:rsid w:val="00F7666F"/>
    <w:rsid w:val="00F76946"/>
    <w:rsid w:val="00F76BA2"/>
    <w:rsid w:val="00F77345"/>
    <w:rsid w:val="00F773FD"/>
    <w:rsid w:val="00F774E6"/>
    <w:rsid w:val="00F7773A"/>
    <w:rsid w:val="00F801A0"/>
    <w:rsid w:val="00F80489"/>
    <w:rsid w:val="00F80A14"/>
    <w:rsid w:val="00F81110"/>
    <w:rsid w:val="00F81515"/>
    <w:rsid w:val="00F8171C"/>
    <w:rsid w:val="00F81A69"/>
    <w:rsid w:val="00F81AF0"/>
    <w:rsid w:val="00F81E44"/>
    <w:rsid w:val="00F82220"/>
    <w:rsid w:val="00F8333C"/>
    <w:rsid w:val="00F83436"/>
    <w:rsid w:val="00F83587"/>
    <w:rsid w:val="00F83955"/>
    <w:rsid w:val="00F83B23"/>
    <w:rsid w:val="00F83C21"/>
    <w:rsid w:val="00F84188"/>
    <w:rsid w:val="00F84331"/>
    <w:rsid w:val="00F8444E"/>
    <w:rsid w:val="00F846B9"/>
    <w:rsid w:val="00F84CE5"/>
    <w:rsid w:val="00F85038"/>
    <w:rsid w:val="00F8510B"/>
    <w:rsid w:val="00F8558D"/>
    <w:rsid w:val="00F85B58"/>
    <w:rsid w:val="00F85DC9"/>
    <w:rsid w:val="00F864A5"/>
    <w:rsid w:val="00F86851"/>
    <w:rsid w:val="00F870CD"/>
    <w:rsid w:val="00F8719B"/>
    <w:rsid w:val="00F87647"/>
    <w:rsid w:val="00F876EA"/>
    <w:rsid w:val="00F879FF"/>
    <w:rsid w:val="00F87ABA"/>
    <w:rsid w:val="00F87B61"/>
    <w:rsid w:val="00F87BB8"/>
    <w:rsid w:val="00F9050C"/>
    <w:rsid w:val="00F90C1E"/>
    <w:rsid w:val="00F90DA5"/>
    <w:rsid w:val="00F912E8"/>
    <w:rsid w:val="00F91583"/>
    <w:rsid w:val="00F92032"/>
    <w:rsid w:val="00F9282B"/>
    <w:rsid w:val="00F92837"/>
    <w:rsid w:val="00F92E45"/>
    <w:rsid w:val="00F9344B"/>
    <w:rsid w:val="00F93999"/>
    <w:rsid w:val="00F93B4E"/>
    <w:rsid w:val="00F93BD5"/>
    <w:rsid w:val="00F93D53"/>
    <w:rsid w:val="00F94073"/>
    <w:rsid w:val="00F94374"/>
    <w:rsid w:val="00F94604"/>
    <w:rsid w:val="00F94834"/>
    <w:rsid w:val="00F9490A"/>
    <w:rsid w:val="00F94DB3"/>
    <w:rsid w:val="00F953FE"/>
    <w:rsid w:val="00F95D52"/>
    <w:rsid w:val="00F95D64"/>
    <w:rsid w:val="00F95FAF"/>
    <w:rsid w:val="00F9610B"/>
    <w:rsid w:val="00F965BF"/>
    <w:rsid w:val="00F96C13"/>
    <w:rsid w:val="00F96DD9"/>
    <w:rsid w:val="00F96F5B"/>
    <w:rsid w:val="00F97389"/>
    <w:rsid w:val="00F97E17"/>
    <w:rsid w:val="00FA0059"/>
    <w:rsid w:val="00FA0491"/>
    <w:rsid w:val="00FA06BA"/>
    <w:rsid w:val="00FA0CB2"/>
    <w:rsid w:val="00FA0D6E"/>
    <w:rsid w:val="00FA10CD"/>
    <w:rsid w:val="00FA1301"/>
    <w:rsid w:val="00FA1ACF"/>
    <w:rsid w:val="00FA1C48"/>
    <w:rsid w:val="00FA1DE2"/>
    <w:rsid w:val="00FA1F17"/>
    <w:rsid w:val="00FA1F49"/>
    <w:rsid w:val="00FA1F9E"/>
    <w:rsid w:val="00FA2BE3"/>
    <w:rsid w:val="00FA2D00"/>
    <w:rsid w:val="00FA35B2"/>
    <w:rsid w:val="00FA38AA"/>
    <w:rsid w:val="00FA398F"/>
    <w:rsid w:val="00FA3993"/>
    <w:rsid w:val="00FA3CD7"/>
    <w:rsid w:val="00FA3ECB"/>
    <w:rsid w:val="00FA4306"/>
    <w:rsid w:val="00FA4A8F"/>
    <w:rsid w:val="00FA4D0B"/>
    <w:rsid w:val="00FA4DFF"/>
    <w:rsid w:val="00FA5014"/>
    <w:rsid w:val="00FA52DC"/>
    <w:rsid w:val="00FA5479"/>
    <w:rsid w:val="00FA5971"/>
    <w:rsid w:val="00FA5C06"/>
    <w:rsid w:val="00FA6159"/>
    <w:rsid w:val="00FA61EC"/>
    <w:rsid w:val="00FA6D78"/>
    <w:rsid w:val="00FA7592"/>
    <w:rsid w:val="00FA759C"/>
    <w:rsid w:val="00FA7A1D"/>
    <w:rsid w:val="00FA7A5F"/>
    <w:rsid w:val="00FA7AD0"/>
    <w:rsid w:val="00FA7FB2"/>
    <w:rsid w:val="00FB00D9"/>
    <w:rsid w:val="00FB0363"/>
    <w:rsid w:val="00FB05E2"/>
    <w:rsid w:val="00FB06C4"/>
    <w:rsid w:val="00FB07BA"/>
    <w:rsid w:val="00FB127C"/>
    <w:rsid w:val="00FB1328"/>
    <w:rsid w:val="00FB14C2"/>
    <w:rsid w:val="00FB1FE0"/>
    <w:rsid w:val="00FB200D"/>
    <w:rsid w:val="00FB2435"/>
    <w:rsid w:val="00FB25B4"/>
    <w:rsid w:val="00FB25DC"/>
    <w:rsid w:val="00FB2795"/>
    <w:rsid w:val="00FB2A08"/>
    <w:rsid w:val="00FB2EC5"/>
    <w:rsid w:val="00FB30A1"/>
    <w:rsid w:val="00FB3704"/>
    <w:rsid w:val="00FB4167"/>
    <w:rsid w:val="00FB421B"/>
    <w:rsid w:val="00FB455E"/>
    <w:rsid w:val="00FB472B"/>
    <w:rsid w:val="00FB482C"/>
    <w:rsid w:val="00FB4A1D"/>
    <w:rsid w:val="00FB5EF0"/>
    <w:rsid w:val="00FB62BC"/>
    <w:rsid w:val="00FB6A2B"/>
    <w:rsid w:val="00FB6E87"/>
    <w:rsid w:val="00FB7143"/>
    <w:rsid w:val="00FB72A2"/>
    <w:rsid w:val="00FB7900"/>
    <w:rsid w:val="00FB7A8D"/>
    <w:rsid w:val="00FB7D21"/>
    <w:rsid w:val="00FC0368"/>
    <w:rsid w:val="00FC0E02"/>
    <w:rsid w:val="00FC1B79"/>
    <w:rsid w:val="00FC1CB1"/>
    <w:rsid w:val="00FC1D59"/>
    <w:rsid w:val="00FC1FE1"/>
    <w:rsid w:val="00FC214F"/>
    <w:rsid w:val="00FC2288"/>
    <w:rsid w:val="00FC245B"/>
    <w:rsid w:val="00FC27F6"/>
    <w:rsid w:val="00FC2843"/>
    <w:rsid w:val="00FC2AE9"/>
    <w:rsid w:val="00FC2CD3"/>
    <w:rsid w:val="00FC31E5"/>
    <w:rsid w:val="00FC36B7"/>
    <w:rsid w:val="00FC3A00"/>
    <w:rsid w:val="00FC4000"/>
    <w:rsid w:val="00FC41EC"/>
    <w:rsid w:val="00FC4A71"/>
    <w:rsid w:val="00FC4C82"/>
    <w:rsid w:val="00FC4E0F"/>
    <w:rsid w:val="00FC549D"/>
    <w:rsid w:val="00FC5652"/>
    <w:rsid w:val="00FC5827"/>
    <w:rsid w:val="00FC5D3F"/>
    <w:rsid w:val="00FC6237"/>
    <w:rsid w:val="00FC6516"/>
    <w:rsid w:val="00FC6801"/>
    <w:rsid w:val="00FC69A0"/>
    <w:rsid w:val="00FC6AC4"/>
    <w:rsid w:val="00FC6B7D"/>
    <w:rsid w:val="00FC6BF9"/>
    <w:rsid w:val="00FC6CBC"/>
    <w:rsid w:val="00FC70C6"/>
    <w:rsid w:val="00FC72C7"/>
    <w:rsid w:val="00FC7A46"/>
    <w:rsid w:val="00FD073B"/>
    <w:rsid w:val="00FD0A0E"/>
    <w:rsid w:val="00FD0AF3"/>
    <w:rsid w:val="00FD0F1C"/>
    <w:rsid w:val="00FD1084"/>
    <w:rsid w:val="00FD11F6"/>
    <w:rsid w:val="00FD1338"/>
    <w:rsid w:val="00FD138F"/>
    <w:rsid w:val="00FD15BE"/>
    <w:rsid w:val="00FD1CFC"/>
    <w:rsid w:val="00FD2240"/>
    <w:rsid w:val="00FD295B"/>
    <w:rsid w:val="00FD36C4"/>
    <w:rsid w:val="00FD3924"/>
    <w:rsid w:val="00FD5003"/>
    <w:rsid w:val="00FD5131"/>
    <w:rsid w:val="00FD536D"/>
    <w:rsid w:val="00FD559B"/>
    <w:rsid w:val="00FD58AE"/>
    <w:rsid w:val="00FD5B67"/>
    <w:rsid w:val="00FD5C1F"/>
    <w:rsid w:val="00FD5C67"/>
    <w:rsid w:val="00FD6024"/>
    <w:rsid w:val="00FD612F"/>
    <w:rsid w:val="00FD6330"/>
    <w:rsid w:val="00FD6789"/>
    <w:rsid w:val="00FD6D78"/>
    <w:rsid w:val="00FE0CBD"/>
    <w:rsid w:val="00FE1250"/>
    <w:rsid w:val="00FE1325"/>
    <w:rsid w:val="00FE13A1"/>
    <w:rsid w:val="00FE1955"/>
    <w:rsid w:val="00FE1F2C"/>
    <w:rsid w:val="00FE1F69"/>
    <w:rsid w:val="00FE21D5"/>
    <w:rsid w:val="00FE2363"/>
    <w:rsid w:val="00FE242B"/>
    <w:rsid w:val="00FE252B"/>
    <w:rsid w:val="00FE28EF"/>
    <w:rsid w:val="00FE299B"/>
    <w:rsid w:val="00FE2D52"/>
    <w:rsid w:val="00FE2E21"/>
    <w:rsid w:val="00FE34A5"/>
    <w:rsid w:val="00FE353C"/>
    <w:rsid w:val="00FE3591"/>
    <w:rsid w:val="00FE3980"/>
    <w:rsid w:val="00FE3C1B"/>
    <w:rsid w:val="00FE3E07"/>
    <w:rsid w:val="00FE3EAB"/>
    <w:rsid w:val="00FE3ED1"/>
    <w:rsid w:val="00FE43AB"/>
    <w:rsid w:val="00FE464D"/>
    <w:rsid w:val="00FE48F0"/>
    <w:rsid w:val="00FE4B59"/>
    <w:rsid w:val="00FE4EDC"/>
    <w:rsid w:val="00FE4F40"/>
    <w:rsid w:val="00FE5CC9"/>
    <w:rsid w:val="00FE5F9F"/>
    <w:rsid w:val="00FE62C3"/>
    <w:rsid w:val="00FE6782"/>
    <w:rsid w:val="00FE6DF1"/>
    <w:rsid w:val="00FE7886"/>
    <w:rsid w:val="00FE7A01"/>
    <w:rsid w:val="00FE7CB4"/>
    <w:rsid w:val="00FE7D7D"/>
    <w:rsid w:val="00FF0243"/>
    <w:rsid w:val="00FF07AB"/>
    <w:rsid w:val="00FF0F39"/>
    <w:rsid w:val="00FF1546"/>
    <w:rsid w:val="00FF1A14"/>
    <w:rsid w:val="00FF1ACD"/>
    <w:rsid w:val="00FF1BCB"/>
    <w:rsid w:val="00FF2160"/>
    <w:rsid w:val="00FF2866"/>
    <w:rsid w:val="00FF2F54"/>
    <w:rsid w:val="00FF2FDA"/>
    <w:rsid w:val="00FF314A"/>
    <w:rsid w:val="00FF3508"/>
    <w:rsid w:val="00FF3691"/>
    <w:rsid w:val="00FF38CB"/>
    <w:rsid w:val="00FF3A7F"/>
    <w:rsid w:val="00FF3CC4"/>
    <w:rsid w:val="00FF428E"/>
    <w:rsid w:val="00FF42D2"/>
    <w:rsid w:val="00FF4897"/>
    <w:rsid w:val="00FF499D"/>
    <w:rsid w:val="00FF4E13"/>
    <w:rsid w:val="00FF5087"/>
    <w:rsid w:val="00FF5164"/>
    <w:rsid w:val="00FF52B2"/>
    <w:rsid w:val="00FF5740"/>
    <w:rsid w:val="00FF5A25"/>
    <w:rsid w:val="00FF5B64"/>
    <w:rsid w:val="00FF5BB6"/>
    <w:rsid w:val="00FF5E7D"/>
    <w:rsid w:val="00FF6266"/>
    <w:rsid w:val="00FF670E"/>
    <w:rsid w:val="00FF6B30"/>
    <w:rsid w:val="00FF6BFD"/>
    <w:rsid w:val="00FF6D48"/>
    <w:rsid w:val="00FF7416"/>
    <w:rsid w:val="00FF7F51"/>
    <w:rsid w:val="00FF7FA0"/>
    <w:rsid w:val="010B447C"/>
    <w:rsid w:val="012D2E9F"/>
    <w:rsid w:val="01597580"/>
    <w:rsid w:val="01705095"/>
    <w:rsid w:val="0179351B"/>
    <w:rsid w:val="01897EDF"/>
    <w:rsid w:val="01902F7E"/>
    <w:rsid w:val="01A927F4"/>
    <w:rsid w:val="01C04D8D"/>
    <w:rsid w:val="01DB7ED5"/>
    <w:rsid w:val="01E943A0"/>
    <w:rsid w:val="01EB4081"/>
    <w:rsid w:val="01EB6738"/>
    <w:rsid w:val="01F25CB3"/>
    <w:rsid w:val="01F55F05"/>
    <w:rsid w:val="02077660"/>
    <w:rsid w:val="026B1E21"/>
    <w:rsid w:val="027404F3"/>
    <w:rsid w:val="02E66B31"/>
    <w:rsid w:val="02F359E2"/>
    <w:rsid w:val="02FF49D3"/>
    <w:rsid w:val="030E582C"/>
    <w:rsid w:val="03623241"/>
    <w:rsid w:val="03793394"/>
    <w:rsid w:val="039651C1"/>
    <w:rsid w:val="03AA4003"/>
    <w:rsid w:val="03BD58AF"/>
    <w:rsid w:val="03CC21CB"/>
    <w:rsid w:val="03F03CF3"/>
    <w:rsid w:val="0410559E"/>
    <w:rsid w:val="04175749"/>
    <w:rsid w:val="04294066"/>
    <w:rsid w:val="0436158A"/>
    <w:rsid w:val="04410CD2"/>
    <w:rsid w:val="0443363B"/>
    <w:rsid w:val="04560769"/>
    <w:rsid w:val="045A1DC6"/>
    <w:rsid w:val="0478565D"/>
    <w:rsid w:val="04810029"/>
    <w:rsid w:val="0495080F"/>
    <w:rsid w:val="049E2C49"/>
    <w:rsid w:val="04A25998"/>
    <w:rsid w:val="04AC0233"/>
    <w:rsid w:val="04DA4A37"/>
    <w:rsid w:val="04FA4B16"/>
    <w:rsid w:val="05596483"/>
    <w:rsid w:val="05771E90"/>
    <w:rsid w:val="0578785D"/>
    <w:rsid w:val="058970CC"/>
    <w:rsid w:val="058F525E"/>
    <w:rsid w:val="06102051"/>
    <w:rsid w:val="06284F47"/>
    <w:rsid w:val="062C6F51"/>
    <w:rsid w:val="06816950"/>
    <w:rsid w:val="06E308B5"/>
    <w:rsid w:val="06EC048E"/>
    <w:rsid w:val="06F73010"/>
    <w:rsid w:val="06FD269B"/>
    <w:rsid w:val="072C351D"/>
    <w:rsid w:val="073A1E93"/>
    <w:rsid w:val="075951D2"/>
    <w:rsid w:val="07656842"/>
    <w:rsid w:val="076B3AA9"/>
    <w:rsid w:val="076E2D5D"/>
    <w:rsid w:val="07B71D79"/>
    <w:rsid w:val="07E11D24"/>
    <w:rsid w:val="08275F3E"/>
    <w:rsid w:val="084F24D1"/>
    <w:rsid w:val="086325B4"/>
    <w:rsid w:val="08672088"/>
    <w:rsid w:val="08CE0793"/>
    <w:rsid w:val="08EB4EA1"/>
    <w:rsid w:val="08ED7DB9"/>
    <w:rsid w:val="08FA1588"/>
    <w:rsid w:val="095E3965"/>
    <w:rsid w:val="09673489"/>
    <w:rsid w:val="09880DFE"/>
    <w:rsid w:val="098C6C86"/>
    <w:rsid w:val="09995076"/>
    <w:rsid w:val="099E7346"/>
    <w:rsid w:val="09AD07B5"/>
    <w:rsid w:val="09B34A27"/>
    <w:rsid w:val="09BF5116"/>
    <w:rsid w:val="09EE6E95"/>
    <w:rsid w:val="0A1641A0"/>
    <w:rsid w:val="0A522CFE"/>
    <w:rsid w:val="0A702FC6"/>
    <w:rsid w:val="0A7669ED"/>
    <w:rsid w:val="0ADB1EC4"/>
    <w:rsid w:val="0ADC4B13"/>
    <w:rsid w:val="0AE64409"/>
    <w:rsid w:val="0AE95411"/>
    <w:rsid w:val="0AEA2F37"/>
    <w:rsid w:val="0AFB0D0D"/>
    <w:rsid w:val="0AFC0FE8"/>
    <w:rsid w:val="0AFD0EBC"/>
    <w:rsid w:val="0B091C0E"/>
    <w:rsid w:val="0B1701D0"/>
    <w:rsid w:val="0B177A7E"/>
    <w:rsid w:val="0B1C1431"/>
    <w:rsid w:val="0B262672"/>
    <w:rsid w:val="0B3E09C6"/>
    <w:rsid w:val="0B5D0BD9"/>
    <w:rsid w:val="0B6727D9"/>
    <w:rsid w:val="0BA13D85"/>
    <w:rsid w:val="0BA37C3B"/>
    <w:rsid w:val="0BA55730"/>
    <w:rsid w:val="0BFE4EEC"/>
    <w:rsid w:val="0C637294"/>
    <w:rsid w:val="0C7568C5"/>
    <w:rsid w:val="0C9A3574"/>
    <w:rsid w:val="0CAD1DF7"/>
    <w:rsid w:val="0CAD1E3F"/>
    <w:rsid w:val="0CBA039B"/>
    <w:rsid w:val="0CCB22A3"/>
    <w:rsid w:val="0CCE728F"/>
    <w:rsid w:val="0CE13FE7"/>
    <w:rsid w:val="0CE37F83"/>
    <w:rsid w:val="0D110C4F"/>
    <w:rsid w:val="0D3E1715"/>
    <w:rsid w:val="0D40165A"/>
    <w:rsid w:val="0D4B0BF5"/>
    <w:rsid w:val="0D96711B"/>
    <w:rsid w:val="0D9C125F"/>
    <w:rsid w:val="0DA758EA"/>
    <w:rsid w:val="0DAA28D1"/>
    <w:rsid w:val="0DDA15A9"/>
    <w:rsid w:val="0DF26CD2"/>
    <w:rsid w:val="0E032C8D"/>
    <w:rsid w:val="0E19425F"/>
    <w:rsid w:val="0E1C3DD4"/>
    <w:rsid w:val="0E1E74F1"/>
    <w:rsid w:val="0E833DCE"/>
    <w:rsid w:val="0E8D2083"/>
    <w:rsid w:val="0E8F0AAE"/>
    <w:rsid w:val="0E9A2BC2"/>
    <w:rsid w:val="0EA31D7A"/>
    <w:rsid w:val="0EC97353"/>
    <w:rsid w:val="0ECA5A1A"/>
    <w:rsid w:val="0EF867C3"/>
    <w:rsid w:val="0F194577"/>
    <w:rsid w:val="0F3155D8"/>
    <w:rsid w:val="0F3D4967"/>
    <w:rsid w:val="0F5463AB"/>
    <w:rsid w:val="0F5E1E62"/>
    <w:rsid w:val="0F6A57D0"/>
    <w:rsid w:val="0F7974C3"/>
    <w:rsid w:val="0F802539"/>
    <w:rsid w:val="0F8971C2"/>
    <w:rsid w:val="0F916077"/>
    <w:rsid w:val="0FA509B5"/>
    <w:rsid w:val="0FD90C49"/>
    <w:rsid w:val="0FFC5BE6"/>
    <w:rsid w:val="103B5A25"/>
    <w:rsid w:val="10471646"/>
    <w:rsid w:val="107C6D27"/>
    <w:rsid w:val="108375D6"/>
    <w:rsid w:val="10923B44"/>
    <w:rsid w:val="10991687"/>
    <w:rsid w:val="10DE4491"/>
    <w:rsid w:val="11225B26"/>
    <w:rsid w:val="112851FD"/>
    <w:rsid w:val="112B06EC"/>
    <w:rsid w:val="11430EC5"/>
    <w:rsid w:val="114417CA"/>
    <w:rsid w:val="11501139"/>
    <w:rsid w:val="116D5804"/>
    <w:rsid w:val="116F23E8"/>
    <w:rsid w:val="11831DEC"/>
    <w:rsid w:val="119A4F8F"/>
    <w:rsid w:val="11B607BD"/>
    <w:rsid w:val="11E20A7B"/>
    <w:rsid w:val="11EE0DAF"/>
    <w:rsid w:val="11F744C2"/>
    <w:rsid w:val="12035184"/>
    <w:rsid w:val="122A4C8C"/>
    <w:rsid w:val="123E4699"/>
    <w:rsid w:val="124F46F3"/>
    <w:rsid w:val="12863E8D"/>
    <w:rsid w:val="129D3738"/>
    <w:rsid w:val="12A95883"/>
    <w:rsid w:val="12BE53D5"/>
    <w:rsid w:val="12BE7183"/>
    <w:rsid w:val="12CB0D13"/>
    <w:rsid w:val="12D67209"/>
    <w:rsid w:val="12F73112"/>
    <w:rsid w:val="131274CE"/>
    <w:rsid w:val="13187091"/>
    <w:rsid w:val="13195F5F"/>
    <w:rsid w:val="1331795E"/>
    <w:rsid w:val="134F1DB9"/>
    <w:rsid w:val="134F49ED"/>
    <w:rsid w:val="13541895"/>
    <w:rsid w:val="13751DAE"/>
    <w:rsid w:val="137D5290"/>
    <w:rsid w:val="13B27BEC"/>
    <w:rsid w:val="13B42314"/>
    <w:rsid w:val="13BE3AB4"/>
    <w:rsid w:val="13D84274"/>
    <w:rsid w:val="13E96481"/>
    <w:rsid w:val="141243CA"/>
    <w:rsid w:val="149C734F"/>
    <w:rsid w:val="14B97378"/>
    <w:rsid w:val="14BB58C7"/>
    <w:rsid w:val="14C94BC9"/>
    <w:rsid w:val="14E31122"/>
    <w:rsid w:val="151D31F9"/>
    <w:rsid w:val="153068E7"/>
    <w:rsid w:val="15597637"/>
    <w:rsid w:val="158B2477"/>
    <w:rsid w:val="15A765F4"/>
    <w:rsid w:val="15BB3E4D"/>
    <w:rsid w:val="15FD6B1B"/>
    <w:rsid w:val="16044E3B"/>
    <w:rsid w:val="16365D5E"/>
    <w:rsid w:val="16396572"/>
    <w:rsid w:val="164847F3"/>
    <w:rsid w:val="164A63ED"/>
    <w:rsid w:val="164B6D74"/>
    <w:rsid w:val="16640041"/>
    <w:rsid w:val="166C55C2"/>
    <w:rsid w:val="16861ED0"/>
    <w:rsid w:val="16965687"/>
    <w:rsid w:val="16970AF8"/>
    <w:rsid w:val="169D1BBA"/>
    <w:rsid w:val="16AC6039"/>
    <w:rsid w:val="171D33E4"/>
    <w:rsid w:val="174C3F87"/>
    <w:rsid w:val="1765414D"/>
    <w:rsid w:val="176A78D9"/>
    <w:rsid w:val="17B15508"/>
    <w:rsid w:val="17C87326"/>
    <w:rsid w:val="17CE1BA5"/>
    <w:rsid w:val="17E052C5"/>
    <w:rsid w:val="17E70A14"/>
    <w:rsid w:val="180B10BC"/>
    <w:rsid w:val="180B1B5A"/>
    <w:rsid w:val="183E09B8"/>
    <w:rsid w:val="188967FD"/>
    <w:rsid w:val="18927D8F"/>
    <w:rsid w:val="189C30AD"/>
    <w:rsid w:val="18A76FCA"/>
    <w:rsid w:val="18D32F94"/>
    <w:rsid w:val="190827BC"/>
    <w:rsid w:val="190B7C05"/>
    <w:rsid w:val="191621CE"/>
    <w:rsid w:val="192561AE"/>
    <w:rsid w:val="194843C7"/>
    <w:rsid w:val="19564376"/>
    <w:rsid w:val="19632832"/>
    <w:rsid w:val="19B72B7E"/>
    <w:rsid w:val="19BD24B7"/>
    <w:rsid w:val="19C20BB7"/>
    <w:rsid w:val="19C239FC"/>
    <w:rsid w:val="19C5529B"/>
    <w:rsid w:val="19C75A80"/>
    <w:rsid w:val="19F50240"/>
    <w:rsid w:val="19F773EB"/>
    <w:rsid w:val="1A204BC7"/>
    <w:rsid w:val="1A2D77E8"/>
    <w:rsid w:val="1A485F02"/>
    <w:rsid w:val="1A5149DE"/>
    <w:rsid w:val="1A5D54D3"/>
    <w:rsid w:val="1A794BCB"/>
    <w:rsid w:val="1AA7685B"/>
    <w:rsid w:val="1AAE3F0C"/>
    <w:rsid w:val="1AB16A3F"/>
    <w:rsid w:val="1ACE63D1"/>
    <w:rsid w:val="1AD96DDF"/>
    <w:rsid w:val="1AE04A49"/>
    <w:rsid w:val="1AEA6E53"/>
    <w:rsid w:val="1AF72561"/>
    <w:rsid w:val="1B096CBB"/>
    <w:rsid w:val="1B2E6738"/>
    <w:rsid w:val="1B390718"/>
    <w:rsid w:val="1B4548E5"/>
    <w:rsid w:val="1B5051CC"/>
    <w:rsid w:val="1B744BA6"/>
    <w:rsid w:val="1BD178CF"/>
    <w:rsid w:val="1BDC68CC"/>
    <w:rsid w:val="1BE64814"/>
    <w:rsid w:val="1C0302FC"/>
    <w:rsid w:val="1C786CD1"/>
    <w:rsid w:val="1CA23E86"/>
    <w:rsid w:val="1CB3003D"/>
    <w:rsid w:val="1CB87339"/>
    <w:rsid w:val="1CD174C1"/>
    <w:rsid w:val="1CDF04BB"/>
    <w:rsid w:val="1D07144E"/>
    <w:rsid w:val="1D1B0CF1"/>
    <w:rsid w:val="1D461065"/>
    <w:rsid w:val="1D8B208F"/>
    <w:rsid w:val="1D9B7671"/>
    <w:rsid w:val="1D9E652E"/>
    <w:rsid w:val="1DAC3655"/>
    <w:rsid w:val="1DE45B80"/>
    <w:rsid w:val="1E0A0261"/>
    <w:rsid w:val="1E0D1FB6"/>
    <w:rsid w:val="1E0E46D0"/>
    <w:rsid w:val="1E434DB1"/>
    <w:rsid w:val="1E62130A"/>
    <w:rsid w:val="1E670D33"/>
    <w:rsid w:val="1E704B77"/>
    <w:rsid w:val="1EFF5CBE"/>
    <w:rsid w:val="1F0A5813"/>
    <w:rsid w:val="1F164D67"/>
    <w:rsid w:val="1F4711E8"/>
    <w:rsid w:val="1F5F3A9B"/>
    <w:rsid w:val="1F6B6461"/>
    <w:rsid w:val="1F7E6617"/>
    <w:rsid w:val="1FC54DAC"/>
    <w:rsid w:val="1FDC333E"/>
    <w:rsid w:val="1FEB1241"/>
    <w:rsid w:val="1FF640DD"/>
    <w:rsid w:val="20065D8F"/>
    <w:rsid w:val="20116E43"/>
    <w:rsid w:val="20735A50"/>
    <w:rsid w:val="207F19D9"/>
    <w:rsid w:val="20823833"/>
    <w:rsid w:val="208337BA"/>
    <w:rsid w:val="208B528C"/>
    <w:rsid w:val="2091237A"/>
    <w:rsid w:val="20B030D1"/>
    <w:rsid w:val="20B9306D"/>
    <w:rsid w:val="20D4744E"/>
    <w:rsid w:val="21104077"/>
    <w:rsid w:val="21160133"/>
    <w:rsid w:val="21625C1D"/>
    <w:rsid w:val="21685BAA"/>
    <w:rsid w:val="21823B8C"/>
    <w:rsid w:val="21933ED0"/>
    <w:rsid w:val="21AC4814"/>
    <w:rsid w:val="21C34E85"/>
    <w:rsid w:val="21FC7B27"/>
    <w:rsid w:val="22285CB9"/>
    <w:rsid w:val="22390D9C"/>
    <w:rsid w:val="223E539D"/>
    <w:rsid w:val="22433622"/>
    <w:rsid w:val="22502A0F"/>
    <w:rsid w:val="22AC171B"/>
    <w:rsid w:val="22D71A68"/>
    <w:rsid w:val="22D73147"/>
    <w:rsid w:val="22E22825"/>
    <w:rsid w:val="23130803"/>
    <w:rsid w:val="23506F8C"/>
    <w:rsid w:val="238A487C"/>
    <w:rsid w:val="23B755D9"/>
    <w:rsid w:val="23CB363C"/>
    <w:rsid w:val="23E34573"/>
    <w:rsid w:val="24055832"/>
    <w:rsid w:val="2414485B"/>
    <w:rsid w:val="24205B19"/>
    <w:rsid w:val="242F6132"/>
    <w:rsid w:val="24570A8C"/>
    <w:rsid w:val="24880C3C"/>
    <w:rsid w:val="24976961"/>
    <w:rsid w:val="24A31690"/>
    <w:rsid w:val="24A8491F"/>
    <w:rsid w:val="24BD5806"/>
    <w:rsid w:val="250E7F05"/>
    <w:rsid w:val="253B139F"/>
    <w:rsid w:val="25652FE5"/>
    <w:rsid w:val="256B3E31"/>
    <w:rsid w:val="256D59A8"/>
    <w:rsid w:val="25804017"/>
    <w:rsid w:val="25936091"/>
    <w:rsid w:val="259A256A"/>
    <w:rsid w:val="25B51151"/>
    <w:rsid w:val="25D476F1"/>
    <w:rsid w:val="25E45F63"/>
    <w:rsid w:val="25ED0053"/>
    <w:rsid w:val="25F77FE0"/>
    <w:rsid w:val="25F81A16"/>
    <w:rsid w:val="26032699"/>
    <w:rsid w:val="26045291"/>
    <w:rsid w:val="260809E9"/>
    <w:rsid w:val="26092E0B"/>
    <w:rsid w:val="262928CF"/>
    <w:rsid w:val="26362DEA"/>
    <w:rsid w:val="263F6199"/>
    <w:rsid w:val="26780215"/>
    <w:rsid w:val="268968FC"/>
    <w:rsid w:val="268D524F"/>
    <w:rsid w:val="26A56238"/>
    <w:rsid w:val="26AA7CF2"/>
    <w:rsid w:val="26B40B71"/>
    <w:rsid w:val="26BD5600"/>
    <w:rsid w:val="26ED5E39"/>
    <w:rsid w:val="271C7063"/>
    <w:rsid w:val="275A503A"/>
    <w:rsid w:val="277C5482"/>
    <w:rsid w:val="27C4332C"/>
    <w:rsid w:val="27C50CF8"/>
    <w:rsid w:val="27DA3BAA"/>
    <w:rsid w:val="284A5607"/>
    <w:rsid w:val="286F5B1F"/>
    <w:rsid w:val="28A27E57"/>
    <w:rsid w:val="28B236CF"/>
    <w:rsid w:val="28EC0E3D"/>
    <w:rsid w:val="28F65471"/>
    <w:rsid w:val="29214A2D"/>
    <w:rsid w:val="296434D8"/>
    <w:rsid w:val="298A5BB9"/>
    <w:rsid w:val="29B81F73"/>
    <w:rsid w:val="29BA649E"/>
    <w:rsid w:val="29BC09A8"/>
    <w:rsid w:val="29D31FAF"/>
    <w:rsid w:val="29E44D3F"/>
    <w:rsid w:val="2A134266"/>
    <w:rsid w:val="2A3C2ACC"/>
    <w:rsid w:val="2A522B7B"/>
    <w:rsid w:val="2A5B0B23"/>
    <w:rsid w:val="2A7D06D5"/>
    <w:rsid w:val="2A86034D"/>
    <w:rsid w:val="2AC94666"/>
    <w:rsid w:val="2AEF1E49"/>
    <w:rsid w:val="2B002DA1"/>
    <w:rsid w:val="2B401485"/>
    <w:rsid w:val="2B4E2C5C"/>
    <w:rsid w:val="2B687849"/>
    <w:rsid w:val="2B7652CE"/>
    <w:rsid w:val="2B874618"/>
    <w:rsid w:val="2B8C5C18"/>
    <w:rsid w:val="2B9B0122"/>
    <w:rsid w:val="2BFE2541"/>
    <w:rsid w:val="2C105EE8"/>
    <w:rsid w:val="2C1A1476"/>
    <w:rsid w:val="2C45281E"/>
    <w:rsid w:val="2C45628D"/>
    <w:rsid w:val="2C671A4A"/>
    <w:rsid w:val="2C6876DE"/>
    <w:rsid w:val="2CA10CD2"/>
    <w:rsid w:val="2CDD1BA8"/>
    <w:rsid w:val="2CF25F4F"/>
    <w:rsid w:val="2D281971"/>
    <w:rsid w:val="2D2E1F0E"/>
    <w:rsid w:val="2D3561E7"/>
    <w:rsid w:val="2D670325"/>
    <w:rsid w:val="2D9371DA"/>
    <w:rsid w:val="2DA3549B"/>
    <w:rsid w:val="2DAD2843"/>
    <w:rsid w:val="2DBE05AF"/>
    <w:rsid w:val="2DC077A8"/>
    <w:rsid w:val="2DD44E4E"/>
    <w:rsid w:val="2E0C2B45"/>
    <w:rsid w:val="2E4865B6"/>
    <w:rsid w:val="2E492F1F"/>
    <w:rsid w:val="2E5549E7"/>
    <w:rsid w:val="2E6A32A4"/>
    <w:rsid w:val="2E88669A"/>
    <w:rsid w:val="2E966435"/>
    <w:rsid w:val="2E9A11A6"/>
    <w:rsid w:val="2EA259F0"/>
    <w:rsid w:val="2EBC6814"/>
    <w:rsid w:val="2EED4C20"/>
    <w:rsid w:val="2EF35FAE"/>
    <w:rsid w:val="2F2C0D7A"/>
    <w:rsid w:val="2F607DF9"/>
    <w:rsid w:val="2F692F3E"/>
    <w:rsid w:val="2F825136"/>
    <w:rsid w:val="2F890455"/>
    <w:rsid w:val="2FBB0F0F"/>
    <w:rsid w:val="2FBD5B34"/>
    <w:rsid w:val="3014442E"/>
    <w:rsid w:val="301B0ECD"/>
    <w:rsid w:val="303E14AB"/>
    <w:rsid w:val="30484F83"/>
    <w:rsid w:val="306D74E0"/>
    <w:rsid w:val="30980AC9"/>
    <w:rsid w:val="30CC2470"/>
    <w:rsid w:val="30D02EC5"/>
    <w:rsid w:val="310E3BB2"/>
    <w:rsid w:val="312313DF"/>
    <w:rsid w:val="31234F7C"/>
    <w:rsid w:val="31404ADB"/>
    <w:rsid w:val="314B26DB"/>
    <w:rsid w:val="317950FC"/>
    <w:rsid w:val="3196159F"/>
    <w:rsid w:val="31B51F3B"/>
    <w:rsid w:val="31CA56EC"/>
    <w:rsid w:val="31E14A69"/>
    <w:rsid w:val="31E71DFA"/>
    <w:rsid w:val="320C1047"/>
    <w:rsid w:val="32676A97"/>
    <w:rsid w:val="3273007E"/>
    <w:rsid w:val="327B43A9"/>
    <w:rsid w:val="32AF263D"/>
    <w:rsid w:val="32CA196C"/>
    <w:rsid w:val="32E1088C"/>
    <w:rsid w:val="32EA419D"/>
    <w:rsid w:val="32F65C0D"/>
    <w:rsid w:val="32FA3DAF"/>
    <w:rsid w:val="32FC3F64"/>
    <w:rsid w:val="33154B7C"/>
    <w:rsid w:val="33274478"/>
    <w:rsid w:val="33340117"/>
    <w:rsid w:val="334F6734"/>
    <w:rsid w:val="335F57F6"/>
    <w:rsid w:val="336942E9"/>
    <w:rsid w:val="337B1BFD"/>
    <w:rsid w:val="338C28FC"/>
    <w:rsid w:val="33AF51D3"/>
    <w:rsid w:val="33CE29D7"/>
    <w:rsid w:val="33E359C9"/>
    <w:rsid w:val="33E50074"/>
    <w:rsid w:val="343251A4"/>
    <w:rsid w:val="343F6D1F"/>
    <w:rsid w:val="34444FB3"/>
    <w:rsid w:val="347463FA"/>
    <w:rsid w:val="34765FDE"/>
    <w:rsid w:val="347A4129"/>
    <w:rsid w:val="347C44FE"/>
    <w:rsid w:val="34AF2977"/>
    <w:rsid w:val="34C659D6"/>
    <w:rsid w:val="34D92233"/>
    <w:rsid w:val="34ED5FAA"/>
    <w:rsid w:val="34FE58B1"/>
    <w:rsid w:val="3533798B"/>
    <w:rsid w:val="35441FE0"/>
    <w:rsid w:val="356903C7"/>
    <w:rsid w:val="359E15E2"/>
    <w:rsid w:val="35D72AD4"/>
    <w:rsid w:val="36041569"/>
    <w:rsid w:val="362354AA"/>
    <w:rsid w:val="366639A9"/>
    <w:rsid w:val="36A41BD3"/>
    <w:rsid w:val="36A63D03"/>
    <w:rsid w:val="36CF7301"/>
    <w:rsid w:val="36F15D7B"/>
    <w:rsid w:val="36F50D18"/>
    <w:rsid w:val="36FF7BE6"/>
    <w:rsid w:val="37125937"/>
    <w:rsid w:val="371A4032"/>
    <w:rsid w:val="371F5BA8"/>
    <w:rsid w:val="373F3945"/>
    <w:rsid w:val="375515B4"/>
    <w:rsid w:val="37700220"/>
    <w:rsid w:val="377F0D27"/>
    <w:rsid w:val="377F4883"/>
    <w:rsid w:val="37A602B6"/>
    <w:rsid w:val="38201673"/>
    <w:rsid w:val="38201989"/>
    <w:rsid w:val="3843357E"/>
    <w:rsid w:val="385C4BC4"/>
    <w:rsid w:val="386F6042"/>
    <w:rsid w:val="38715D41"/>
    <w:rsid w:val="387B07CC"/>
    <w:rsid w:val="38804D57"/>
    <w:rsid w:val="38885768"/>
    <w:rsid w:val="38A06017"/>
    <w:rsid w:val="38AF51A0"/>
    <w:rsid w:val="38B659D3"/>
    <w:rsid w:val="38C70B1E"/>
    <w:rsid w:val="391915E3"/>
    <w:rsid w:val="39265C0F"/>
    <w:rsid w:val="392A57BD"/>
    <w:rsid w:val="393618B9"/>
    <w:rsid w:val="39462E8E"/>
    <w:rsid w:val="394D4BCF"/>
    <w:rsid w:val="394F20C7"/>
    <w:rsid w:val="39782384"/>
    <w:rsid w:val="398C14D9"/>
    <w:rsid w:val="39903487"/>
    <w:rsid w:val="39B71976"/>
    <w:rsid w:val="39E63876"/>
    <w:rsid w:val="39E77348"/>
    <w:rsid w:val="39F72DF7"/>
    <w:rsid w:val="39FD20B6"/>
    <w:rsid w:val="3A32635E"/>
    <w:rsid w:val="3A4B36BE"/>
    <w:rsid w:val="3A502F3D"/>
    <w:rsid w:val="3A58211C"/>
    <w:rsid w:val="3A720B54"/>
    <w:rsid w:val="3AA073CE"/>
    <w:rsid w:val="3AD036D7"/>
    <w:rsid w:val="3ADA7FA0"/>
    <w:rsid w:val="3AE470C6"/>
    <w:rsid w:val="3AE535B8"/>
    <w:rsid w:val="3B0136EC"/>
    <w:rsid w:val="3B043A1D"/>
    <w:rsid w:val="3B1D426C"/>
    <w:rsid w:val="3B263535"/>
    <w:rsid w:val="3B266D39"/>
    <w:rsid w:val="3B4A51B8"/>
    <w:rsid w:val="3B4E4C98"/>
    <w:rsid w:val="3B6224F2"/>
    <w:rsid w:val="3B651FE2"/>
    <w:rsid w:val="3B893A52"/>
    <w:rsid w:val="3BA23236"/>
    <w:rsid w:val="3BA26D92"/>
    <w:rsid w:val="3BD31D7B"/>
    <w:rsid w:val="3BE5429E"/>
    <w:rsid w:val="3C0A0ADE"/>
    <w:rsid w:val="3C174758"/>
    <w:rsid w:val="3C26573E"/>
    <w:rsid w:val="3C2A5807"/>
    <w:rsid w:val="3C34517E"/>
    <w:rsid w:val="3D206AE1"/>
    <w:rsid w:val="3D61758A"/>
    <w:rsid w:val="3D6F0EF6"/>
    <w:rsid w:val="3DB95EAB"/>
    <w:rsid w:val="3DFC19E0"/>
    <w:rsid w:val="3E22274E"/>
    <w:rsid w:val="3E295D60"/>
    <w:rsid w:val="3E33697C"/>
    <w:rsid w:val="3E3A59A8"/>
    <w:rsid w:val="3E691492"/>
    <w:rsid w:val="3E6B790F"/>
    <w:rsid w:val="3E863F64"/>
    <w:rsid w:val="3EA15DDB"/>
    <w:rsid w:val="3EA81909"/>
    <w:rsid w:val="3EBF7C5B"/>
    <w:rsid w:val="3F1C0367"/>
    <w:rsid w:val="3F3B4A90"/>
    <w:rsid w:val="3F6050F1"/>
    <w:rsid w:val="3F8C2233"/>
    <w:rsid w:val="3FAD32B3"/>
    <w:rsid w:val="3FCB33FA"/>
    <w:rsid w:val="3FDB75D6"/>
    <w:rsid w:val="3FF775C1"/>
    <w:rsid w:val="400E4D46"/>
    <w:rsid w:val="401D4F88"/>
    <w:rsid w:val="40321D59"/>
    <w:rsid w:val="403B1563"/>
    <w:rsid w:val="403F39C6"/>
    <w:rsid w:val="4045633B"/>
    <w:rsid w:val="40595B77"/>
    <w:rsid w:val="40713AD5"/>
    <w:rsid w:val="40722AC0"/>
    <w:rsid w:val="40995A3F"/>
    <w:rsid w:val="40BB0C2F"/>
    <w:rsid w:val="40C642DB"/>
    <w:rsid w:val="40E45720"/>
    <w:rsid w:val="40E8793D"/>
    <w:rsid w:val="40F100CB"/>
    <w:rsid w:val="41047C5E"/>
    <w:rsid w:val="417137CD"/>
    <w:rsid w:val="41856DF5"/>
    <w:rsid w:val="41903CC4"/>
    <w:rsid w:val="419A464B"/>
    <w:rsid w:val="41B15F81"/>
    <w:rsid w:val="41E23538"/>
    <w:rsid w:val="41E61631"/>
    <w:rsid w:val="4206416C"/>
    <w:rsid w:val="423A7198"/>
    <w:rsid w:val="425075FD"/>
    <w:rsid w:val="426052B1"/>
    <w:rsid w:val="42664FBD"/>
    <w:rsid w:val="428D40C8"/>
    <w:rsid w:val="4291797E"/>
    <w:rsid w:val="42CC5100"/>
    <w:rsid w:val="42D2380D"/>
    <w:rsid w:val="42E03A84"/>
    <w:rsid w:val="4320568E"/>
    <w:rsid w:val="4349650B"/>
    <w:rsid w:val="437B23A2"/>
    <w:rsid w:val="43841AE2"/>
    <w:rsid w:val="43E921DC"/>
    <w:rsid w:val="4466063F"/>
    <w:rsid w:val="446C572C"/>
    <w:rsid w:val="448D57A2"/>
    <w:rsid w:val="44B745DD"/>
    <w:rsid w:val="44BE2E8F"/>
    <w:rsid w:val="44E06689"/>
    <w:rsid w:val="450B59A8"/>
    <w:rsid w:val="45240818"/>
    <w:rsid w:val="4528655A"/>
    <w:rsid w:val="453C2005"/>
    <w:rsid w:val="455530C7"/>
    <w:rsid w:val="45863281"/>
    <w:rsid w:val="459B6D2C"/>
    <w:rsid w:val="45C9356A"/>
    <w:rsid w:val="45E03F95"/>
    <w:rsid w:val="45F8417E"/>
    <w:rsid w:val="460366D7"/>
    <w:rsid w:val="46043E80"/>
    <w:rsid w:val="464A0BAA"/>
    <w:rsid w:val="466E66F5"/>
    <w:rsid w:val="469E262A"/>
    <w:rsid w:val="469F0A9E"/>
    <w:rsid w:val="46AB001C"/>
    <w:rsid w:val="46B05036"/>
    <w:rsid w:val="46B207D1"/>
    <w:rsid w:val="46BC33FE"/>
    <w:rsid w:val="46C936D2"/>
    <w:rsid w:val="471C5C4A"/>
    <w:rsid w:val="4754799E"/>
    <w:rsid w:val="477270D6"/>
    <w:rsid w:val="4781463F"/>
    <w:rsid w:val="479963B4"/>
    <w:rsid w:val="47D34F2D"/>
    <w:rsid w:val="47E90C28"/>
    <w:rsid w:val="481F5A7B"/>
    <w:rsid w:val="483562CA"/>
    <w:rsid w:val="483A049F"/>
    <w:rsid w:val="483B0352"/>
    <w:rsid w:val="4864156E"/>
    <w:rsid w:val="486D0510"/>
    <w:rsid w:val="48822766"/>
    <w:rsid w:val="489363E0"/>
    <w:rsid w:val="48937BD1"/>
    <w:rsid w:val="48A9289D"/>
    <w:rsid w:val="48B63E7D"/>
    <w:rsid w:val="48E35A7E"/>
    <w:rsid w:val="48E95242"/>
    <w:rsid w:val="49026BF4"/>
    <w:rsid w:val="49033566"/>
    <w:rsid w:val="49177011"/>
    <w:rsid w:val="491931AD"/>
    <w:rsid w:val="49414222"/>
    <w:rsid w:val="495733F2"/>
    <w:rsid w:val="4966657D"/>
    <w:rsid w:val="497271B9"/>
    <w:rsid w:val="497E2BEC"/>
    <w:rsid w:val="499125F1"/>
    <w:rsid w:val="49A05A0F"/>
    <w:rsid w:val="49B11CFD"/>
    <w:rsid w:val="49BE748D"/>
    <w:rsid w:val="49CC3DFA"/>
    <w:rsid w:val="4A0E0D9F"/>
    <w:rsid w:val="4A21693F"/>
    <w:rsid w:val="4A345070"/>
    <w:rsid w:val="4A592677"/>
    <w:rsid w:val="4A607995"/>
    <w:rsid w:val="4A6A06B6"/>
    <w:rsid w:val="4A9D02BC"/>
    <w:rsid w:val="4AC52317"/>
    <w:rsid w:val="4AC84139"/>
    <w:rsid w:val="4ACE2536"/>
    <w:rsid w:val="4ACF1226"/>
    <w:rsid w:val="4B05490B"/>
    <w:rsid w:val="4B2406CF"/>
    <w:rsid w:val="4B337A07"/>
    <w:rsid w:val="4B3A6A14"/>
    <w:rsid w:val="4B3D25BB"/>
    <w:rsid w:val="4B693428"/>
    <w:rsid w:val="4B707344"/>
    <w:rsid w:val="4BF21867"/>
    <w:rsid w:val="4C212CB3"/>
    <w:rsid w:val="4C4A6E65"/>
    <w:rsid w:val="4CCF7724"/>
    <w:rsid w:val="4CF431C6"/>
    <w:rsid w:val="4D0C5F4F"/>
    <w:rsid w:val="4D0F7FFF"/>
    <w:rsid w:val="4D196014"/>
    <w:rsid w:val="4D1E2107"/>
    <w:rsid w:val="4D72067C"/>
    <w:rsid w:val="4D8209DD"/>
    <w:rsid w:val="4D8F2A4A"/>
    <w:rsid w:val="4D9E7067"/>
    <w:rsid w:val="4DB20A30"/>
    <w:rsid w:val="4E051752"/>
    <w:rsid w:val="4E061163"/>
    <w:rsid w:val="4E0A5A2B"/>
    <w:rsid w:val="4E10216C"/>
    <w:rsid w:val="4E200716"/>
    <w:rsid w:val="4E465CA3"/>
    <w:rsid w:val="4E4B32B9"/>
    <w:rsid w:val="4E4B5067"/>
    <w:rsid w:val="4E5A37A3"/>
    <w:rsid w:val="4E8557D8"/>
    <w:rsid w:val="4EAC7057"/>
    <w:rsid w:val="4EBE2625"/>
    <w:rsid w:val="4EBE2AE0"/>
    <w:rsid w:val="4F053468"/>
    <w:rsid w:val="4F091FE6"/>
    <w:rsid w:val="4F093316"/>
    <w:rsid w:val="4F0E5419"/>
    <w:rsid w:val="4F103130"/>
    <w:rsid w:val="4F1F09CE"/>
    <w:rsid w:val="4F294853"/>
    <w:rsid w:val="4F2A1C13"/>
    <w:rsid w:val="4F3D2C02"/>
    <w:rsid w:val="4F4E7F12"/>
    <w:rsid w:val="4F536409"/>
    <w:rsid w:val="4F921750"/>
    <w:rsid w:val="4F93316A"/>
    <w:rsid w:val="4FA804E9"/>
    <w:rsid w:val="4FD615AF"/>
    <w:rsid w:val="4FEA0304"/>
    <w:rsid w:val="501A03D3"/>
    <w:rsid w:val="502B33A2"/>
    <w:rsid w:val="50354221"/>
    <w:rsid w:val="508126D0"/>
    <w:rsid w:val="50B27620"/>
    <w:rsid w:val="50C77594"/>
    <w:rsid w:val="50DA0AD0"/>
    <w:rsid w:val="510F7C85"/>
    <w:rsid w:val="514431F6"/>
    <w:rsid w:val="515A59BF"/>
    <w:rsid w:val="5165265C"/>
    <w:rsid w:val="516C2F33"/>
    <w:rsid w:val="51794097"/>
    <w:rsid w:val="5193460E"/>
    <w:rsid w:val="51994AA7"/>
    <w:rsid w:val="51AA5915"/>
    <w:rsid w:val="51B11593"/>
    <w:rsid w:val="51C91A71"/>
    <w:rsid w:val="51DC1D71"/>
    <w:rsid w:val="51DD0963"/>
    <w:rsid w:val="51DF3448"/>
    <w:rsid w:val="5202334D"/>
    <w:rsid w:val="522352D9"/>
    <w:rsid w:val="522A7E9D"/>
    <w:rsid w:val="523878FD"/>
    <w:rsid w:val="523A56C9"/>
    <w:rsid w:val="526861E8"/>
    <w:rsid w:val="5279146A"/>
    <w:rsid w:val="52794838"/>
    <w:rsid w:val="52992A59"/>
    <w:rsid w:val="52A37D0F"/>
    <w:rsid w:val="52AC63CA"/>
    <w:rsid w:val="52B4767F"/>
    <w:rsid w:val="52C8183A"/>
    <w:rsid w:val="52CD3EE7"/>
    <w:rsid w:val="52D95337"/>
    <w:rsid w:val="52DC6BD6"/>
    <w:rsid w:val="532332A6"/>
    <w:rsid w:val="53270D14"/>
    <w:rsid w:val="53277E51"/>
    <w:rsid w:val="533C5109"/>
    <w:rsid w:val="53545E36"/>
    <w:rsid w:val="536F4F48"/>
    <w:rsid w:val="537406C9"/>
    <w:rsid w:val="538D3F96"/>
    <w:rsid w:val="53922FB7"/>
    <w:rsid w:val="539D0113"/>
    <w:rsid w:val="539F5829"/>
    <w:rsid w:val="53B3212B"/>
    <w:rsid w:val="53B931EA"/>
    <w:rsid w:val="53BA1776"/>
    <w:rsid w:val="53C07F63"/>
    <w:rsid w:val="53C83DE9"/>
    <w:rsid w:val="53EC2E48"/>
    <w:rsid w:val="54756427"/>
    <w:rsid w:val="54776BB6"/>
    <w:rsid w:val="547868A6"/>
    <w:rsid w:val="54C80134"/>
    <w:rsid w:val="54D94C44"/>
    <w:rsid w:val="55005333"/>
    <w:rsid w:val="550D3076"/>
    <w:rsid w:val="5520724E"/>
    <w:rsid w:val="55246821"/>
    <w:rsid w:val="55425416"/>
    <w:rsid w:val="554271C4"/>
    <w:rsid w:val="554967A4"/>
    <w:rsid w:val="555E38D2"/>
    <w:rsid w:val="55B160F8"/>
    <w:rsid w:val="55F90831"/>
    <w:rsid w:val="55F91E6B"/>
    <w:rsid w:val="5668515A"/>
    <w:rsid w:val="56717F8A"/>
    <w:rsid w:val="568F468B"/>
    <w:rsid w:val="56C51B2C"/>
    <w:rsid w:val="56E11E48"/>
    <w:rsid w:val="56E17336"/>
    <w:rsid w:val="56F3629C"/>
    <w:rsid w:val="57076C37"/>
    <w:rsid w:val="57201009"/>
    <w:rsid w:val="57433371"/>
    <w:rsid w:val="57521214"/>
    <w:rsid w:val="575C0CCD"/>
    <w:rsid w:val="575E48BE"/>
    <w:rsid w:val="58042D03"/>
    <w:rsid w:val="580E02F4"/>
    <w:rsid w:val="582405D0"/>
    <w:rsid w:val="58266054"/>
    <w:rsid w:val="582F0D60"/>
    <w:rsid w:val="58F41BBE"/>
    <w:rsid w:val="58FF4688"/>
    <w:rsid w:val="59275C71"/>
    <w:rsid w:val="593B1EE8"/>
    <w:rsid w:val="594B23BF"/>
    <w:rsid w:val="599A5276"/>
    <w:rsid w:val="59A1166F"/>
    <w:rsid w:val="59A93C47"/>
    <w:rsid w:val="59EE66D4"/>
    <w:rsid w:val="59F80047"/>
    <w:rsid w:val="5A074538"/>
    <w:rsid w:val="5A2B28D0"/>
    <w:rsid w:val="5A3131F3"/>
    <w:rsid w:val="5A381F5F"/>
    <w:rsid w:val="5A3C270F"/>
    <w:rsid w:val="5A592FC1"/>
    <w:rsid w:val="5A655703"/>
    <w:rsid w:val="5A985960"/>
    <w:rsid w:val="5AC8131C"/>
    <w:rsid w:val="5AD34005"/>
    <w:rsid w:val="5AD930BB"/>
    <w:rsid w:val="5ADA39FB"/>
    <w:rsid w:val="5AFF2821"/>
    <w:rsid w:val="5B514BC9"/>
    <w:rsid w:val="5B8F6CFD"/>
    <w:rsid w:val="5BA966A8"/>
    <w:rsid w:val="5BAB6C05"/>
    <w:rsid w:val="5BB713C3"/>
    <w:rsid w:val="5BDA6BEA"/>
    <w:rsid w:val="5C074CC3"/>
    <w:rsid w:val="5C0D255A"/>
    <w:rsid w:val="5C1C2BAE"/>
    <w:rsid w:val="5C2B00DF"/>
    <w:rsid w:val="5C4D08B6"/>
    <w:rsid w:val="5C6A684D"/>
    <w:rsid w:val="5C9554D6"/>
    <w:rsid w:val="5CA26954"/>
    <w:rsid w:val="5CB41412"/>
    <w:rsid w:val="5CDF010F"/>
    <w:rsid w:val="5CF71093"/>
    <w:rsid w:val="5D024229"/>
    <w:rsid w:val="5D076E85"/>
    <w:rsid w:val="5D1D4073"/>
    <w:rsid w:val="5D5A08CD"/>
    <w:rsid w:val="5D6E3CF2"/>
    <w:rsid w:val="5D8D744A"/>
    <w:rsid w:val="5DFA430F"/>
    <w:rsid w:val="5E330DDF"/>
    <w:rsid w:val="5E3B3440"/>
    <w:rsid w:val="5E525F9E"/>
    <w:rsid w:val="5E6B7683"/>
    <w:rsid w:val="5EAF7499"/>
    <w:rsid w:val="5EBA1FDC"/>
    <w:rsid w:val="5EDD02A8"/>
    <w:rsid w:val="5EDD05CE"/>
    <w:rsid w:val="5F064A76"/>
    <w:rsid w:val="5F100333"/>
    <w:rsid w:val="5F227DDC"/>
    <w:rsid w:val="5F540363"/>
    <w:rsid w:val="5F5F0AD9"/>
    <w:rsid w:val="5F7B7E30"/>
    <w:rsid w:val="5F8C1714"/>
    <w:rsid w:val="5FC54ED2"/>
    <w:rsid w:val="5FCD3B2E"/>
    <w:rsid w:val="60013E67"/>
    <w:rsid w:val="6001764F"/>
    <w:rsid w:val="602725C9"/>
    <w:rsid w:val="60310561"/>
    <w:rsid w:val="603F367A"/>
    <w:rsid w:val="60421B4F"/>
    <w:rsid w:val="60583D40"/>
    <w:rsid w:val="6075301F"/>
    <w:rsid w:val="6085265B"/>
    <w:rsid w:val="60A51FF5"/>
    <w:rsid w:val="60AC3215"/>
    <w:rsid w:val="60AF2CDA"/>
    <w:rsid w:val="60BD0047"/>
    <w:rsid w:val="61016185"/>
    <w:rsid w:val="612B7C31"/>
    <w:rsid w:val="61365606"/>
    <w:rsid w:val="61431749"/>
    <w:rsid w:val="61432F1A"/>
    <w:rsid w:val="6155662A"/>
    <w:rsid w:val="61720E25"/>
    <w:rsid w:val="61A35111"/>
    <w:rsid w:val="61BD4495"/>
    <w:rsid w:val="61CB6119"/>
    <w:rsid w:val="61DB131A"/>
    <w:rsid w:val="61E12101"/>
    <w:rsid w:val="61F30DB8"/>
    <w:rsid w:val="62143968"/>
    <w:rsid w:val="624D71A8"/>
    <w:rsid w:val="62887A8E"/>
    <w:rsid w:val="62890131"/>
    <w:rsid w:val="629D6CC7"/>
    <w:rsid w:val="62AA476A"/>
    <w:rsid w:val="62E66AA7"/>
    <w:rsid w:val="631635FF"/>
    <w:rsid w:val="631E6365"/>
    <w:rsid w:val="634369A5"/>
    <w:rsid w:val="636A17C6"/>
    <w:rsid w:val="639F303E"/>
    <w:rsid w:val="63B1110F"/>
    <w:rsid w:val="63BA6ABF"/>
    <w:rsid w:val="63BE3763"/>
    <w:rsid w:val="63C641C2"/>
    <w:rsid w:val="63C72A84"/>
    <w:rsid w:val="63CE60C7"/>
    <w:rsid w:val="63FB6FC8"/>
    <w:rsid w:val="640931CD"/>
    <w:rsid w:val="640953EC"/>
    <w:rsid w:val="6410048D"/>
    <w:rsid w:val="64176A67"/>
    <w:rsid w:val="64545DB4"/>
    <w:rsid w:val="64567AF7"/>
    <w:rsid w:val="64992181"/>
    <w:rsid w:val="649D15ED"/>
    <w:rsid w:val="64B3664E"/>
    <w:rsid w:val="64CE2822"/>
    <w:rsid w:val="65455808"/>
    <w:rsid w:val="65946093"/>
    <w:rsid w:val="65FD3D40"/>
    <w:rsid w:val="661F70AE"/>
    <w:rsid w:val="66373E26"/>
    <w:rsid w:val="664E4DFC"/>
    <w:rsid w:val="66783384"/>
    <w:rsid w:val="66F347C2"/>
    <w:rsid w:val="670359C1"/>
    <w:rsid w:val="671866E1"/>
    <w:rsid w:val="67322237"/>
    <w:rsid w:val="67360E78"/>
    <w:rsid w:val="676D4D14"/>
    <w:rsid w:val="67974E1F"/>
    <w:rsid w:val="67EF3C7F"/>
    <w:rsid w:val="68263E9E"/>
    <w:rsid w:val="688D5D44"/>
    <w:rsid w:val="68A30659"/>
    <w:rsid w:val="68AA0B82"/>
    <w:rsid w:val="68B01412"/>
    <w:rsid w:val="68B50C1E"/>
    <w:rsid w:val="68D44BE3"/>
    <w:rsid w:val="68F62348"/>
    <w:rsid w:val="696325FA"/>
    <w:rsid w:val="69724608"/>
    <w:rsid w:val="697A5A54"/>
    <w:rsid w:val="697E6350"/>
    <w:rsid w:val="69CF4947"/>
    <w:rsid w:val="6A122AE0"/>
    <w:rsid w:val="6A1567FD"/>
    <w:rsid w:val="6A2B3816"/>
    <w:rsid w:val="6A497AA1"/>
    <w:rsid w:val="6A4E61B3"/>
    <w:rsid w:val="6A82750E"/>
    <w:rsid w:val="6AA72715"/>
    <w:rsid w:val="6AEE1328"/>
    <w:rsid w:val="6AF11120"/>
    <w:rsid w:val="6B407419"/>
    <w:rsid w:val="6B4220F9"/>
    <w:rsid w:val="6B4C76AF"/>
    <w:rsid w:val="6B697D32"/>
    <w:rsid w:val="6B7F5116"/>
    <w:rsid w:val="6B9B2D32"/>
    <w:rsid w:val="6B9C561F"/>
    <w:rsid w:val="6BB94832"/>
    <w:rsid w:val="6BCE3108"/>
    <w:rsid w:val="6BD153AB"/>
    <w:rsid w:val="6BD31FE8"/>
    <w:rsid w:val="6BDC2E5C"/>
    <w:rsid w:val="6BE21B12"/>
    <w:rsid w:val="6BF47849"/>
    <w:rsid w:val="6C0A469B"/>
    <w:rsid w:val="6C1F079C"/>
    <w:rsid w:val="6C53185F"/>
    <w:rsid w:val="6C65552C"/>
    <w:rsid w:val="6C727F37"/>
    <w:rsid w:val="6C834AB9"/>
    <w:rsid w:val="6CB06CB1"/>
    <w:rsid w:val="6CB542C8"/>
    <w:rsid w:val="6CE07597"/>
    <w:rsid w:val="6CE201C5"/>
    <w:rsid w:val="6CF564B6"/>
    <w:rsid w:val="6D543E19"/>
    <w:rsid w:val="6D602C23"/>
    <w:rsid w:val="6D752839"/>
    <w:rsid w:val="6D792935"/>
    <w:rsid w:val="6D877A12"/>
    <w:rsid w:val="6D8F4B19"/>
    <w:rsid w:val="6D98369F"/>
    <w:rsid w:val="6D9C02B4"/>
    <w:rsid w:val="6DA32B19"/>
    <w:rsid w:val="6DA85746"/>
    <w:rsid w:val="6DAD337A"/>
    <w:rsid w:val="6DBA066E"/>
    <w:rsid w:val="6DC9627D"/>
    <w:rsid w:val="6DCD5CBB"/>
    <w:rsid w:val="6DD90074"/>
    <w:rsid w:val="6DEA3B9A"/>
    <w:rsid w:val="6DFC58D2"/>
    <w:rsid w:val="6DFC73BF"/>
    <w:rsid w:val="6E007061"/>
    <w:rsid w:val="6E1119D2"/>
    <w:rsid w:val="6E3C285F"/>
    <w:rsid w:val="6E6E1333"/>
    <w:rsid w:val="6E7D2BC3"/>
    <w:rsid w:val="6EA2735F"/>
    <w:rsid w:val="6EE13152"/>
    <w:rsid w:val="6EE439B6"/>
    <w:rsid w:val="6EE452B6"/>
    <w:rsid w:val="6F0D03EB"/>
    <w:rsid w:val="6F65153D"/>
    <w:rsid w:val="6F8C31F6"/>
    <w:rsid w:val="6F9D5EC5"/>
    <w:rsid w:val="6FBD57C0"/>
    <w:rsid w:val="6FF71F7C"/>
    <w:rsid w:val="702E7987"/>
    <w:rsid w:val="704277B4"/>
    <w:rsid w:val="70445090"/>
    <w:rsid w:val="70587DE3"/>
    <w:rsid w:val="706346C8"/>
    <w:rsid w:val="707B432A"/>
    <w:rsid w:val="709E7BD1"/>
    <w:rsid w:val="70AD1CDF"/>
    <w:rsid w:val="71003A35"/>
    <w:rsid w:val="71265794"/>
    <w:rsid w:val="713409E4"/>
    <w:rsid w:val="7137621B"/>
    <w:rsid w:val="71480EF7"/>
    <w:rsid w:val="718042B8"/>
    <w:rsid w:val="71B344B4"/>
    <w:rsid w:val="71CE323A"/>
    <w:rsid w:val="71EB4F2E"/>
    <w:rsid w:val="71FB3880"/>
    <w:rsid w:val="72191BC2"/>
    <w:rsid w:val="72206871"/>
    <w:rsid w:val="7240750B"/>
    <w:rsid w:val="72432464"/>
    <w:rsid w:val="72442376"/>
    <w:rsid w:val="72685D92"/>
    <w:rsid w:val="726B3F64"/>
    <w:rsid w:val="72730565"/>
    <w:rsid w:val="727748A5"/>
    <w:rsid w:val="72CE5BF7"/>
    <w:rsid w:val="72F03761"/>
    <w:rsid w:val="733D14C2"/>
    <w:rsid w:val="734B14EC"/>
    <w:rsid w:val="735E2DA8"/>
    <w:rsid w:val="7371287E"/>
    <w:rsid w:val="73730DA8"/>
    <w:rsid w:val="738C3DDE"/>
    <w:rsid w:val="73AC00C7"/>
    <w:rsid w:val="73B35FDA"/>
    <w:rsid w:val="73FB2F08"/>
    <w:rsid w:val="74314888"/>
    <w:rsid w:val="7441186B"/>
    <w:rsid w:val="745D14CD"/>
    <w:rsid w:val="74950E3C"/>
    <w:rsid w:val="749F1968"/>
    <w:rsid w:val="74A2537B"/>
    <w:rsid w:val="74C40C24"/>
    <w:rsid w:val="74FF5BB4"/>
    <w:rsid w:val="75293A89"/>
    <w:rsid w:val="752D582D"/>
    <w:rsid w:val="75302E62"/>
    <w:rsid w:val="7553580B"/>
    <w:rsid w:val="757F2EE9"/>
    <w:rsid w:val="75903640"/>
    <w:rsid w:val="759870D7"/>
    <w:rsid w:val="76135FB8"/>
    <w:rsid w:val="761402B1"/>
    <w:rsid w:val="7676090F"/>
    <w:rsid w:val="76853C7B"/>
    <w:rsid w:val="768E0063"/>
    <w:rsid w:val="769B008A"/>
    <w:rsid w:val="76AE76CF"/>
    <w:rsid w:val="76D45A99"/>
    <w:rsid w:val="76D878F5"/>
    <w:rsid w:val="76EC740F"/>
    <w:rsid w:val="76EE28B0"/>
    <w:rsid w:val="77091498"/>
    <w:rsid w:val="77146D03"/>
    <w:rsid w:val="7717055D"/>
    <w:rsid w:val="7763641C"/>
    <w:rsid w:val="776F5D0F"/>
    <w:rsid w:val="777A7BD9"/>
    <w:rsid w:val="77853A74"/>
    <w:rsid w:val="77BC5482"/>
    <w:rsid w:val="77DF30DC"/>
    <w:rsid w:val="77F55D3B"/>
    <w:rsid w:val="780B717A"/>
    <w:rsid w:val="780D320A"/>
    <w:rsid w:val="781A19CA"/>
    <w:rsid w:val="78420875"/>
    <w:rsid w:val="788B702C"/>
    <w:rsid w:val="78983387"/>
    <w:rsid w:val="78E201F2"/>
    <w:rsid w:val="78EB5903"/>
    <w:rsid w:val="78F341AE"/>
    <w:rsid w:val="790C526F"/>
    <w:rsid w:val="791C756C"/>
    <w:rsid w:val="791E6FF5"/>
    <w:rsid w:val="79314456"/>
    <w:rsid w:val="796055BB"/>
    <w:rsid w:val="79621333"/>
    <w:rsid w:val="797739AF"/>
    <w:rsid w:val="798845C5"/>
    <w:rsid w:val="79A11E5C"/>
    <w:rsid w:val="79C84BBC"/>
    <w:rsid w:val="79CF4946"/>
    <w:rsid w:val="79DB05A5"/>
    <w:rsid w:val="79E81468"/>
    <w:rsid w:val="79F77CCE"/>
    <w:rsid w:val="7A0D3B0F"/>
    <w:rsid w:val="7A2A61BE"/>
    <w:rsid w:val="7A4F2B81"/>
    <w:rsid w:val="7A5B2F65"/>
    <w:rsid w:val="7A5E23ED"/>
    <w:rsid w:val="7A5F6D0B"/>
    <w:rsid w:val="7A697E46"/>
    <w:rsid w:val="7AD618FC"/>
    <w:rsid w:val="7AD61FD9"/>
    <w:rsid w:val="7ADB139D"/>
    <w:rsid w:val="7AE715F0"/>
    <w:rsid w:val="7AE97D27"/>
    <w:rsid w:val="7B03623F"/>
    <w:rsid w:val="7B046B46"/>
    <w:rsid w:val="7B1D5512"/>
    <w:rsid w:val="7B2F4C29"/>
    <w:rsid w:val="7B6E4BE6"/>
    <w:rsid w:val="7B817BAE"/>
    <w:rsid w:val="7B900BC9"/>
    <w:rsid w:val="7B910C90"/>
    <w:rsid w:val="7B96414A"/>
    <w:rsid w:val="7BB46E71"/>
    <w:rsid w:val="7BB66BC0"/>
    <w:rsid w:val="7BBE0066"/>
    <w:rsid w:val="7BDA16FC"/>
    <w:rsid w:val="7BF831EC"/>
    <w:rsid w:val="7BFE3A38"/>
    <w:rsid w:val="7C0C33B7"/>
    <w:rsid w:val="7C2D15F7"/>
    <w:rsid w:val="7C2E374F"/>
    <w:rsid w:val="7C3B7086"/>
    <w:rsid w:val="7C3F3BAE"/>
    <w:rsid w:val="7C7346B3"/>
    <w:rsid w:val="7C8737CE"/>
    <w:rsid w:val="7C982923"/>
    <w:rsid w:val="7CA436E6"/>
    <w:rsid w:val="7D1D7F9B"/>
    <w:rsid w:val="7D1E420E"/>
    <w:rsid w:val="7D360B0D"/>
    <w:rsid w:val="7D401740"/>
    <w:rsid w:val="7D43515D"/>
    <w:rsid w:val="7D517874"/>
    <w:rsid w:val="7D535BB4"/>
    <w:rsid w:val="7D6438CC"/>
    <w:rsid w:val="7D785512"/>
    <w:rsid w:val="7DC75C09"/>
    <w:rsid w:val="7DEF74BD"/>
    <w:rsid w:val="7DFA7FB1"/>
    <w:rsid w:val="7E041620"/>
    <w:rsid w:val="7E204004"/>
    <w:rsid w:val="7E6F77A5"/>
    <w:rsid w:val="7E7171E6"/>
    <w:rsid w:val="7E7F4A0D"/>
    <w:rsid w:val="7E9A585D"/>
    <w:rsid w:val="7EC4554C"/>
    <w:rsid w:val="7EEA35A1"/>
    <w:rsid w:val="7EF742CC"/>
    <w:rsid w:val="7EF81106"/>
    <w:rsid w:val="7F091AE8"/>
    <w:rsid w:val="7F211349"/>
    <w:rsid w:val="7F595BC9"/>
    <w:rsid w:val="7F651B7D"/>
    <w:rsid w:val="7F71407E"/>
    <w:rsid w:val="7F8F7E3F"/>
    <w:rsid w:val="7F966AB8"/>
    <w:rsid w:val="7FAC3308"/>
    <w:rsid w:val="7FE3055C"/>
    <w:rsid w:val="7FEC4EB9"/>
    <w:rsid w:val="7FF17F2D"/>
    <w:rsid w:val="7FFF15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99" w:name="Placeholder Text"/>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43"/>
    <w:qFormat/>
    <w:uiPriority w:val="0"/>
    <w:pPr>
      <w:pageBreakBefore/>
      <w:outlineLvl w:val="0"/>
    </w:pPr>
    <w:rPr>
      <w:kern w:val="0"/>
      <w:sz w:val="32"/>
    </w:rPr>
  </w:style>
  <w:style w:type="paragraph" w:styleId="3">
    <w:name w:val="heading 2"/>
    <w:basedOn w:val="1"/>
    <w:next w:val="1"/>
    <w:link w:val="160"/>
    <w:qFormat/>
    <w:uiPriority w:val="0"/>
    <w:pPr>
      <w:keepNext/>
      <w:keepLines/>
      <w:adjustRightInd w:val="0"/>
      <w:snapToGrid w:val="0"/>
      <w:spacing w:before="100" w:beforeLines="100" w:line="360" w:lineRule="auto"/>
      <w:jc w:val="center"/>
      <w:outlineLvl w:val="1"/>
    </w:pPr>
    <w:rPr>
      <w:rFonts w:ascii="黑体" w:hAnsi="Arial"/>
      <w:b/>
      <w:sz w:val="30"/>
    </w:rPr>
  </w:style>
  <w:style w:type="paragraph" w:styleId="4">
    <w:name w:val="heading 3"/>
    <w:basedOn w:val="1"/>
    <w:next w:val="1"/>
    <w:link w:val="173"/>
    <w:qFormat/>
    <w:uiPriority w:val="0"/>
    <w:pPr>
      <w:outlineLvl w:val="2"/>
    </w:pPr>
    <w:rPr>
      <w:rFonts w:ascii="黑体"/>
    </w:rPr>
  </w:style>
  <w:style w:type="paragraph" w:styleId="5">
    <w:name w:val="heading 4"/>
    <w:basedOn w:val="1"/>
    <w:next w:val="1"/>
    <w:link w:val="172"/>
    <w:qFormat/>
    <w:uiPriority w:val="0"/>
    <w:pPr>
      <w:keepNext/>
      <w:keepLines/>
      <w:adjustRightInd w:val="0"/>
      <w:snapToGrid w:val="0"/>
      <w:spacing w:line="360" w:lineRule="auto"/>
      <w:ind w:firstLine="200" w:firstLineChars="200"/>
      <w:jc w:val="left"/>
      <w:outlineLvl w:val="3"/>
    </w:pPr>
    <w:rPr>
      <w:rFonts w:ascii="Arial" w:hAnsi="Arial"/>
      <w:b/>
      <w:sz w:val="24"/>
    </w:rPr>
  </w:style>
  <w:style w:type="paragraph" w:styleId="6">
    <w:name w:val="heading 5"/>
    <w:basedOn w:val="1"/>
    <w:next w:val="1"/>
    <w:link w:val="171"/>
    <w:qFormat/>
    <w:uiPriority w:val="0"/>
    <w:pPr>
      <w:keepNext/>
      <w:keepLines/>
      <w:spacing w:before="280" w:after="290" w:line="376" w:lineRule="auto"/>
      <w:ind w:firstLine="200" w:firstLineChars="200"/>
      <w:outlineLvl w:val="4"/>
    </w:pPr>
    <w:rPr>
      <w:b/>
      <w:bCs/>
      <w:sz w:val="28"/>
      <w:szCs w:val="28"/>
    </w:rPr>
  </w:style>
  <w:style w:type="paragraph" w:styleId="7">
    <w:name w:val="heading 6"/>
    <w:basedOn w:val="1"/>
    <w:next w:val="1"/>
    <w:link w:val="245"/>
    <w:unhideWhenUsed/>
    <w:qFormat/>
    <w:uiPriority w:val="9"/>
    <w:pPr>
      <w:keepNext/>
      <w:keepLines/>
      <w:spacing w:before="240" w:after="64" w:line="320" w:lineRule="auto"/>
      <w:outlineLvl w:val="5"/>
    </w:pPr>
    <w:rPr>
      <w:rFonts w:ascii="等线 Light" w:hAnsi="等线 Light" w:eastAsia="等线 Light"/>
      <w:b/>
      <w:bCs/>
      <w:sz w:val="24"/>
      <w:szCs w:val="24"/>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8">
    <w:name w:val="List 3"/>
    <w:basedOn w:val="1"/>
    <w:qFormat/>
    <w:uiPriority w:val="0"/>
    <w:pPr>
      <w:ind w:left="100" w:leftChars="400" w:hanging="200" w:hangingChars="200"/>
    </w:pPr>
    <w:rPr>
      <w:rFonts w:ascii="宋体" w:hAnsi="Courier New"/>
      <w:sz w:val="28"/>
      <w:szCs w:val="21"/>
    </w:rPr>
  </w:style>
  <w:style w:type="paragraph" w:styleId="9">
    <w:name w:val="Normal Indent"/>
    <w:basedOn w:val="1"/>
    <w:link w:val="174"/>
    <w:qFormat/>
    <w:uiPriority w:val="0"/>
    <w:pPr>
      <w:adjustRightInd w:val="0"/>
      <w:spacing w:line="360" w:lineRule="atLeast"/>
      <w:ind w:firstLine="420"/>
      <w:jc w:val="left"/>
      <w:textAlignment w:val="baseline"/>
    </w:pPr>
    <w:rPr>
      <w:kern w:val="0"/>
      <w:sz w:val="24"/>
    </w:rPr>
  </w:style>
  <w:style w:type="paragraph" w:styleId="10">
    <w:name w:val="caption"/>
    <w:basedOn w:val="1"/>
    <w:next w:val="1"/>
    <w:qFormat/>
    <w:uiPriority w:val="0"/>
    <w:pPr>
      <w:spacing w:before="152" w:after="160"/>
    </w:pPr>
    <w:rPr>
      <w:rFonts w:ascii="Arial" w:hAnsi="Arial" w:eastAsia="黑体" w:cs="Arial"/>
      <w:sz w:val="20"/>
    </w:rPr>
  </w:style>
  <w:style w:type="paragraph" w:styleId="11">
    <w:name w:val="Document Map"/>
    <w:basedOn w:val="1"/>
    <w:link w:val="175"/>
    <w:semiHidden/>
    <w:qFormat/>
    <w:uiPriority w:val="0"/>
    <w:pPr>
      <w:shd w:val="clear" w:color="auto" w:fill="000080"/>
    </w:pPr>
  </w:style>
  <w:style w:type="paragraph" w:styleId="12">
    <w:name w:val="annotation text"/>
    <w:basedOn w:val="1"/>
    <w:link w:val="176"/>
    <w:semiHidden/>
    <w:qFormat/>
    <w:uiPriority w:val="0"/>
    <w:pPr>
      <w:jc w:val="left"/>
    </w:pPr>
  </w:style>
  <w:style w:type="paragraph" w:styleId="13">
    <w:name w:val="Body Text 3"/>
    <w:basedOn w:val="1"/>
    <w:link w:val="177"/>
    <w:qFormat/>
    <w:uiPriority w:val="0"/>
    <w:rPr>
      <w:rFonts w:eastAsia="仿宋_GB2312"/>
      <w:color w:val="FF0000"/>
      <w:sz w:val="28"/>
    </w:rPr>
  </w:style>
  <w:style w:type="paragraph" w:styleId="14">
    <w:name w:val="Body Text"/>
    <w:basedOn w:val="1"/>
    <w:link w:val="178"/>
    <w:qFormat/>
    <w:uiPriority w:val="0"/>
    <w:rPr>
      <w:rFonts w:eastAsia="仿宋_GB2312"/>
      <w:sz w:val="28"/>
    </w:rPr>
  </w:style>
  <w:style w:type="paragraph" w:styleId="15">
    <w:name w:val="Body Text Indent"/>
    <w:basedOn w:val="1"/>
    <w:link w:val="179"/>
    <w:qFormat/>
    <w:uiPriority w:val="0"/>
    <w:pPr>
      <w:ind w:firstLine="538" w:firstLineChars="192"/>
    </w:pPr>
    <w:rPr>
      <w:rFonts w:eastAsia="仿宋_GB2312"/>
      <w:sz w:val="28"/>
    </w:rPr>
  </w:style>
  <w:style w:type="paragraph" w:styleId="16">
    <w:name w:val="List 2"/>
    <w:basedOn w:val="1"/>
    <w:qFormat/>
    <w:uiPriority w:val="0"/>
    <w:pPr>
      <w:ind w:left="100" w:leftChars="200" w:hanging="200" w:hangingChars="200"/>
    </w:pPr>
    <w:rPr>
      <w:rFonts w:ascii="宋体" w:hAnsi="Courier New"/>
      <w:sz w:val="28"/>
      <w:szCs w:val="21"/>
    </w:rPr>
  </w:style>
  <w:style w:type="paragraph" w:styleId="17">
    <w:name w:val="toc 3"/>
    <w:basedOn w:val="1"/>
    <w:next w:val="1"/>
    <w:qFormat/>
    <w:uiPriority w:val="0"/>
    <w:pPr>
      <w:ind w:left="840" w:leftChars="400"/>
    </w:pPr>
  </w:style>
  <w:style w:type="paragraph" w:styleId="18">
    <w:name w:val="Plain Text"/>
    <w:basedOn w:val="1"/>
    <w:link w:val="48"/>
    <w:qFormat/>
    <w:uiPriority w:val="0"/>
    <w:rPr>
      <w:rFonts w:ascii="宋体" w:hAnsi="Courier New"/>
    </w:rPr>
  </w:style>
  <w:style w:type="paragraph" w:styleId="19">
    <w:name w:val="Date"/>
    <w:basedOn w:val="1"/>
    <w:next w:val="1"/>
    <w:link w:val="121"/>
    <w:qFormat/>
    <w:uiPriority w:val="0"/>
    <w:pPr>
      <w:ind w:left="100" w:leftChars="2500"/>
    </w:pPr>
  </w:style>
  <w:style w:type="paragraph" w:styleId="20">
    <w:name w:val="Body Text Indent 2"/>
    <w:basedOn w:val="1"/>
    <w:link w:val="180"/>
    <w:qFormat/>
    <w:uiPriority w:val="0"/>
    <w:pPr>
      <w:spacing w:line="300" w:lineRule="auto"/>
      <w:ind w:firstLine="560" w:firstLineChars="200"/>
    </w:pPr>
    <w:rPr>
      <w:rFonts w:ascii="宋体" w:hAnsi="宋体"/>
      <w:sz w:val="28"/>
    </w:rPr>
  </w:style>
  <w:style w:type="paragraph" w:styleId="21">
    <w:name w:val="Balloon Text"/>
    <w:basedOn w:val="1"/>
    <w:link w:val="181"/>
    <w:semiHidden/>
    <w:qFormat/>
    <w:uiPriority w:val="0"/>
    <w:rPr>
      <w:sz w:val="18"/>
      <w:szCs w:val="18"/>
    </w:rPr>
  </w:style>
  <w:style w:type="paragraph" w:styleId="22">
    <w:name w:val="footer"/>
    <w:basedOn w:val="1"/>
    <w:link w:val="58"/>
    <w:qFormat/>
    <w:uiPriority w:val="99"/>
    <w:pPr>
      <w:tabs>
        <w:tab w:val="center" w:pos="4153"/>
        <w:tab w:val="right" w:pos="8306"/>
      </w:tabs>
      <w:snapToGrid w:val="0"/>
      <w:jc w:val="left"/>
    </w:pPr>
    <w:rPr>
      <w:sz w:val="18"/>
    </w:rPr>
  </w:style>
  <w:style w:type="paragraph" w:styleId="23">
    <w:name w:val="header"/>
    <w:basedOn w:val="1"/>
    <w:link w:val="246"/>
    <w:qFormat/>
    <w:uiPriority w:val="0"/>
    <w:pPr>
      <w:pBdr>
        <w:bottom w:val="single" w:color="auto" w:sz="6" w:space="1"/>
      </w:pBdr>
      <w:tabs>
        <w:tab w:val="center" w:pos="4153"/>
        <w:tab w:val="right" w:pos="8306"/>
      </w:tabs>
      <w:snapToGrid w:val="0"/>
      <w:jc w:val="center"/>
    </w:pPr>
    <w:rPr>
      <w:sz w:val="18"/>
    </w:rPr>
  </w:style>
  <w:style w:type="paragraph" w:styleId="24">
    <w:name w:val="toc 1"/>
    <w:basedOn w:val="1"/>
    <w:next w:val="1"/>
    <w:qFormat/>
    <w:uiPriority w:val="39"/>
    <w:pPr>
      <w:spacing w:before="120" w:after="120"/>
      <w:jc w:val="left"/>
    </w:pPr>
    <w:rPr>
      <w:b/>
      <w:caps/>
      <w:sz w:val="20"/>
    </w:rPr>
  </w:style>
  <w:style w:type="paragraph" w:styleId="25">
    <w:name w:val="Subtitle"/>
    <w:basedOn w:val="1"/>
    <w:next w:val="1"/>
    <w:link w:val="182"/>
    <w:qFormat/>
    <w:uiPriority w:val="0"/>
    <w:pPr>
      <w:spacing w:before="240" w:after="60" w:line="312" w:lineRule="auto"/>
      <w:ind w:firstLine="200" w:firstLineChars="200"/>
      <w:jc w:val="center"/>
      <w:outlineLvl w:val="1"/>
    </w:pPr>
    <w:rPr>
      <w:rFonts w:ascii="Cambria" w:hAnsi="Cambria"/>
      <w:b/>
      <w:bCs/>
      <w:kern w:val="28"/>
      <w:sz w:val="32"/>
      <w:szCs w:val="32"/>
    </w:rPr>
  </w:style>
  <w:style w:type="paragraph" w:styleId="26">
    <w:name w:val="Body Text Indent 3"/>
    <w:basedOn w:val="1"/>
    <w:link w:val="183"/>
    <w:qFormat/>
    <w:uiPriority w:val="0"/>
    <w:pPr>
      <w:adjustRightInd w:val="0"/>
      <w:snapToGrid w:val="0"/>
      <w:spacing w:line="360" w:lineRule="auto"/>
      <w:ind w:firstLine="515" w:firstLineChars="192"/>
    </w:pPr>
    <w:rPr>
      <w:rFonts w:ascii="仿宋_GB2312" w:eastAsia="仿宋_GB2312"/>
      <w:spacing w:val="-6"/>
      <w:sz w:val="28"/>
    </w:rPr>
  </w:style>
  <w:style w:type="paragraph" w:styleId="27">
    <w:name w:val="toc 2"/>
    <w:basedOn w:val="1"/>
    <w:next w:val="1"/>
    <w:qFormat/>
    <w:uiPriority w:val="39"/>
    <w:pPr>
      <w:ind w:left="210"/>
      <w:jc w:val="left"/>
    </w:pPr>
    <w:rPr>
      <w:smallCaps/>
      <w:sz w:val="20"/>
    </w:rPr>
  </w:style>
  <w:style w:type="paragraph" w:styleId="28">
    <w:name w:val="Body Text 2"/>
    <w:basedOn w:val="1"/>
    <w:link w:val="184"/>
    <w:qFormat/>
    <w:uiPriority w:val="0"/>
    <w:pPr>
      <w:adjustRightInd w:val="0"/>
      <w:snapToGrid w:val="0"/>
      <w:jc w:val="center"/>
    </w:pPr>
    <w:rPr>
      <w:rFonts w:eastAsia="仿宋_GB2312"/>
      <w:sz w:val="24"/>
    </w:rPr>
  </w:style>
  <w:style w:type="paragraph" w:styleId="29">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30">
    <w:name w:val="Title"/>
    <w:basedOn w:val="2"/>
    <w:link w:val="185"/>
    <w:qFormat/>
    <w:uiPriority w:val="0"/>
    <w:rPr>
      <w:sz w:val="30"/>
    </w:rPr>
  </w:style>
  <w:style w:type="paragraph" w:styleId="31">
    <w:name w:val="annotation subject"/>
    <w:basedOn w:val="12"/>
    <w:next w:val="12"/>
    <w:link w:val="186"/>
    <w:semiHidden/>
    <w:qFormat/>
    <w:uiPriority w:val="0"/>
    <w:rPr>
      <w:b/>
      <w:bCs/>
    </w:rPr>
  </w:style>
  <w:style w:type="paragraph" w:styleId="32">
    <w:name w:val="Body Text First Indent"/>
    <w:basedOn w:val="14"/>
    <w:link w:val="187"/>
    <w:qFormat/>
    <w:uiPriority w:val="0"/>
    <w:pPr>
      <w:spacing w:after="120"/>
      <w:ind w:firstLine="420" w:firstLineChars="100"/>
    </w:pPr>
    <w:rPr>
      <w:rFonts w:eastAsia="宋体"/>
      <w:sz w:val="30"/>
      <w:szCs w:val="30"/>
    </w:rPr>
  </w:style>
  <w:style w:type="paragraph" w:styleId="33">
    <w:name w:val="Body Text First Indent 2"/>
    <w:basedOn w:val="1"/>
    <w:link w:val="188"/>
    <w:qFormat/>
    <w:uiPriority w:val="0"/>
    <w:pPr>
      <w:spacing w:after="120"/>
      <w:ind w:left="420" w:leftChars="200" w:firstLine="420"/>
    </w:pPr>
  </w:style>
  <w:style w:type="table" w:styleId="35">
    <w:name w:val="Table Grid"/>
    <w:basedOn w:val="3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basedOn w:val="36"/>
    <w:qFormat/>
    <w:uiPriority w:val="0"/>
    <w:rPr>
      <w:b/>
      <w:bCs/>
    </w:rPr>
  </w:style>
  <w:style w:type="character" w:styleId="38">
    <w:name w:val="page number"/>
    <w:basedOn w:val="36"/>
    <w:qFormat/>
    <w:uiPriority w:val="99"/>
  </w:style>
  <w:style w:type="character" w:styleId="39">
    <w:name w:val="FollowedHyperlink"/>
    <w:qFormat/>
    <w:uiPriority w:val="99"/>
    <w:rPr>
      <w:color w:val="800080"/>
      <w:u w:val="single"/>
    </w:rPr>
  </w:style>
  <w:style w:type="character" w:styleId="40">
    <w:name w:val="Emphasis"/>
    <w:qFormat/>
    <w:uiPriority w:val="0"/>
    <w:rPr>
      <w:i/>
      <w:iCs/>
    </w:rPr>
  </w:style>
  <w:style w:type="character" w:styleId="41">
    <w:name w:val="Hyperlink"/>
    <w:qFormat/>
    <w:uiPriority w:val="99"/>
    <w:rPr>
      <w:color w:val="0000FF"/>
      <w:u w:val="single"/>
    </w:rPr>
  </w:style>
  <w:style w:type="character" w:styleId="42">
    <w:name w:val="annotation reference"/>
    <w:semiHidden/>
    <w:qFormat/>
    <w:uiPriority w:val="0"/>
    <w:rPr>
      <w:sz w:val="21"/>
      <w:szCs w:val="21"/>
    </w:rPr>
  </w:style>
  <w:style w:type="character" w:customStyle="1" w:styleId="43">
    <w:name w:val="标题 1 字符"/>
    <w:link w:val="2"/>
    <w:qFormat/>
    <w:uiPriority w:val="0"/>
    <w:rPr>
      <w:sz w:val="32"/>
    </w:rPr>
  </w:style>
  <w:style w:type="paragraph" w:customStyle="1" w:styleId="4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5">
    <w:name w:val="我的正文"/>
    <w:basedOn w:val="1"/>
    <w:next w:val="1"/>
    <w:qFormat/>
    <w:uiPriority w:val="0"/>
    <w:pPr>
      <w:ind w:firstLine="480"/>
    </w:pPr>
    <w:rPr>
      <w:rFonts w:cs="宋体"/>
    </w:rPr>
  </w:style>
  <w:style w:type="character" w:customStyle="1" w:styleId="46">
    <w:name w:val="表头 Char"/>
    <w:link w:val="47"/>
    <w:qFormat/>
    <w:uiPriority w:val="0"/>
    <w:rPr>
      <w:rFonts w:eastAsia="黑体"/>
      <w:sz w:val="24"/>
    </w:rPr>
  </w:style>
  <w:style w:type="paragraph" w:customStyle="1" w:styleId="47">
    <w:name w:val="表头"/>
    <w:basedOn w:val="1"/>
    <w:link w:val="46"/>
    <w:qFormat/>
    <w:uiPriority w:val="0"/>
    <w:pPr>
      <w:spacing w:line="360" w:lineRule="auto"/>
      <w:jc w:val="center"/>
      <w:textAlignment w:val="center"/>
    </w:pPr>
    <w:rPr>
      <w:rFonts w:eastAsia="黑体"/>
      <w:kern w:val="0"/>
      <w:sz w:val="24"/>
    </w:rPr>
  </w:style>
  <w:style w:type="character" w:customStyle="1" w:styleId="48">
    <w:name w:val="纯文本 字符"/>
    <w:link w:val="18"/>
    <w:qFormat/>
    <w:uiPriority w:val="0"/>
    <w:rPr>
      <w:rFonts w:ascii="宋体" w:hAnsi="Courier New" w:eastAsia="宋体"/>
      <w:kern w:val="2"/>
      <w:sz w:val="21"/>
      <w:lang w:val="en-US" w:eastAsia="zh-CN"/>
    </w:rPr>
  </w:style>
  <w:style w:type="paragraph" w:customStyle="1" w:styleId="49">
    <w:name w:val="Char2"/>
    <w:basedOn w:val="11"/>
    <w:qFormat/>
    <w:uiPriority w:val="0"/>
    <w:pPr>
      <w:adjustRightInd w:val="0"/>
      <w:spacing w:line="436" w:lineRule="exact"/>
      <w:ind w:left="357"/>
      <w:jc w:val="left"/>
      <w:outlineLvl w:val="3"/>
    </w:pPr>
    <w:rPr>
      <w:rFonts w:ascii="Tahoma" w:hAnsi="Tahoma"/>
      <w:b/>
      <w:sz w:val="24"/>
      <w:szCs w:val="24"/>
    </w:rPr>
  </w:style>
  <w:style w:type="paragraph" w:customStyle="1" w:styleId="50">
    <w:name w:val="正文文字缩进2"/>
    <w:basedOn w:val="20"/>
    <w:qFormat/>
    <w:uiPriority w:val="0"/>
    <w:pPr>
      <w:spacing w:line="240" w:lineRule="auto"/>
    </w:pPr>
    <w:rPr>
      <w:rFonts w:ascii="仿宋_GB2312" w:hAnsi="Times New Roman" w:eastAsia="仿宋_GB2312"/>
      <w:szCs w:val="24"/>
    </w:rPr>
  </w:style>
  <w:style w:type="paragraph" w:customStyle="1" w:styleId="51">
    <w:name w:val="样式3"/>
    <w:basedOn w:val="1"/>
    <w:qFormat/>
    <w:uiPriority w:val="0"/>
    <w:pPr>
      <w:spacing w:line="760" w:lineRule="exact"/>
      <w:ind w:firstLine="200" w:firstLineChars="200"/>
      <w:jc w:val="left"/>
    </w:pPr>
    <w:rPr>
      <w:sz w:val="28"/>
      <w:szCs w:val="24"/>
    </w:rPr>
  </w:style>
  <w:style w:type="paragraph" w:customStyle="1" w:styleId="52">
    <w:name w:val="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53">
    <w:name w:val="xl44"/>
    <w:basedOn w:val="1"/>
    <w:qFormat/>
    <w:uiPriority w:val="0"/>
    <w:pPr>
      <w:widowControl/>
      <w:spacing w:before="100" w:beforeAutospacing="1" w:after="100" w:afterAutospacing="1"/>
      <w:jc w:val="center"/>
      <w:textAlignment w:val="center"/>
    </w:pPr>
    <w:rPr>
      <w:kern w:val="0"/>
      <w:sz w:val="24"/>
      <w:szCs w:val="24"/>
    </w:rPr>
  </w:style>
  <w:style w:type="paragraph" w:customStyle="1" w:styleId="54">
    <w:name w:val="Char Char Char1 Char Char Char Char Char Char Char"/>
    <w:basedOn w:val="1"/>
    <w:qFormat/>
    <w:uiPriority w:val="0"/>
    <w:pPr>
      <w:snapToGrid w:val="0"/>
      <w:spacing w:line="360" w:lineRule="auto"/>
      <w:ind w:firstLine="200" w:firstLineChars="200"/>
    </w:pPr>
    <w:rPr>
      <w:rFonts w:eastAsia="仿宋_GB2312"/>
      <w:sz w:val="24"/>
      <w:szCs w:val="24"/>
    </w:rPr>
  </w:style>
  <w:style w:type="paragraph" w:customStyle="1" w:styleId="55">
    <w:name w:val="Char21"/>
    <w:basedOn w:val="11"/>
    <w:qFormat/>
    <w:uiPriority w:val="0"/>
    <w:pPr>
      <w:adjustRightInd w:val="0"/>
      <w:spacing w:line="436" w:lineRule="exact"/>
      <w:ind w:left="357"/>
      <w:jc w:val="left"/>
      <w:outlineLvl w:val="3"/>
    </w:pPr>
    <w:rPr>
      <w:rFonts w:ascii="Tahoma" w:hAnsi="Tahoma"/>
      <w:b/>
      <w:sz w:val="24"/>
      <w:szCs w:val="24"/>
    </w:rPr>
  </w:style>
  <w:style w:type="paragraph" w:customStyle="1" w:styleId="56">
    <w:name w:val="Char4"/>
    <w:basedOn w:val="1"/>
    <w:qFormat/>
    <w:uiPriority w:val="0"/>
    <w:pPr>
      <w:spacing w:line="360" w:lineRule="auto"/>
      <w:ind w:firstLine="200" w:firstLineChars="200"/>
    </w:pPr>
    <w:rPr>
      <w:rFonts w:ascii="宋体" w:hAnsi="宋体" w:cs="宋体"/>
      <w:sz w:val="24"/>
      <w:szCs w:val="24"/>
    </w:rPr>
  </w:style>
  <w:style w:type="paragraph" w:customStyle="1" w:styleId="57">
    <w:name w:val="Char"/>
    <w:basedOn w:val="1"/>
    <w:qFormat/>
    <w:uiPriority w:val="0"/>
    <w:rPr>
      <w:szCs w:val="24"/>
    </w:rPr>
  </w:style>
  <w:style w:type="character" w:customStyle="1" w:styleId="58">
    <w:name w:val="页脚 字符"/>
    <w:link w:val="22"/>
    <w:qFormat/>
    <w:uiPriority w:val="99"/>
    <w:rPr>
      <w:kern w:val="2"/>
      <w:sz w:val="18"/>
    </w:rPr>
  </w:style>
  <w:style w:type="paragraph" w:customStyle="1" w:styleId="59">
    <w:name w:val="Char Char Char1 Char Char Char Char Char Char Char1"/>
    <w:basedOn w:val="1"/>
    <w:qFormat/>
    <w:uiPriority w:val="0"/>
    <w:pPr>
      <w:snapToGrid w:val="0"/>
      <w:spacing w:line="360" w:lineRule="auto"/>
      <w:ind w:firstLine="200" w:firstLineChars="200"/>
    </w:pPr>
    <w:rPr>
      <w:rFonts w:eastAsia="仿宋_GB2312"/>
      <w:sz w:val="24"/>
      <w:szCs w:val="24"/>
    </w:rPr>
  </w:style>
  <w:style w:type="paragraph" w:customStyle="1" w:styleId="60">
    <w:name w:val="Char1"/>
    <w:basedOn w:val="1"/>
    <w:qFormat/>
    <w:uiPriority w:val="0"/>
    <w:rPr>
      <w:rFonts w:ascii="仿宋_GB2312" w:eastAsia="仿宋_GB2312"/>
      <w:b/>
      <w:sz w:val="32"/>
      <w:szCs w:val="32"/>
    </w:rPr>
  </w:style>
  <w:style w:type="paragraph" w:customStyle="1" w:styleId="61">
    <w:name w:val="xl41"/>
    <w:basedOn w:val="1"/>
    <w:qFormat/>
    <w:uiPriority w:val="0"/>
    <w:pPr>
      <w:widowControl/>
      <w:pBdr>
        <w:bottom w:val="single" w:color="auto" w:sz="4" w:space="0"/>
      </w:pBdr>
      <w:spacing w:before="100" w:beforeAutospacing="1" w:after="100" w:afterAutospacing="1"/>
      <w:jc w:val="center"/>
    </w:pPr>
    <w:rPr>
      <w:kern w:val="0"/>
    </w:rPr>
  </w:style>
  <w:style w:type="paragraph" w:customStyle="1" w:styleId="62">
    <w:name w:val="默认段落字体 Para Char"/>
    <w:basedOn w:val="1"/>
    <w:next w:val="1"/>
    <w:qFormat/>
    <w:uiPriority w:val="0"/>
    <w:pPr>
      <w:spacing w:line="360" w:lineRule="auto"/>
      <w:ind w:firstLine="200" w:firstLineChars="200"/>
    </w:pPr>
  </w:style>
  <w:style w:type="character" w:customStyle="1" w:styleId="63">
    <w:name w:val="页码1"/>
    <w:qFormat/>
    <w:uiPriority w:val="0"/>
  </w:style>
  <w:style w:type="character" w:customStyle="1" w:styleId="64">
    <w:name w:val="页眉 Char"/>
    <w:link w:val="65"/>
    <w:qFormat/>
    <w:uiPriority w:val="0"/>
    <w:rPr>
      <w:kern w:val="2"/>
      <w:sz w:val="18"/>
    </w:rPr>
  </w:style>
  <w:style w:type="paragraph" w:customStyle="1" w:styleId="65">
    <w:name w:val="页眉1"/>
    <w:basedOn w:val="1"/>
    <w:link w:val="64"/>
    <w:qFormat/>
    <w:uiPriority w:val="0"/>
    <w:pPr>
      <w:tabs>
        <w:tab w:val="center" w:pos="4153"/>
        <w:tab w:val="right" w:pos="8306"/>
      </w:tabs>
      <w:snapToGrid w:val="0"/>
      <w:spacing w:line="360" w:lineRule="auto"/>
      <w:ind w:firstLine="200" w:firstLineChars="200"/>
      <w:jc w:val="center"/>
    </w:pPr>
    <w:rPr>
      <w:sz w:val="18"/>
    </w:rPr>
  </w:style>
  <w:style w:type="paragraph" w:customStyle="1" w:styleId="66">
    <w:name w:val="页脚1"/>
    <w:basedOn w:val="1"/>
    <w:qFormat/>
    <w:uiPriority w:val="0"/>
    <w:pPr>
      <w:tabs>
        <w:tab w:val="center" w:pos="4153"/>
        <w:tab w:val="right" w:pos="8306"/>
      </w:tabs>
      <w:snapToGrid w:val="0"/>
      <w:spacing w:line="360" w:lineRule="auto"/>
      <w:ind w:firstLine="200" w:firstLineChars="200"/>
      <w:jc w:val="left"/>
    </w:pPr>
    <w:rPr>
      <w:rFonts w:eastAsia="华文中宋"/>
      <w:sz w:val="18"/>
    </w:rPr>
  </w:style>
  <w:style w:type="character" w:customStyle="1" w:styleId="67">
    <w:name w:val="fontstyle11"/>
    <w:qFormat/>
    <w:uiPriority w:val="0"/>
    <w:rPr>
      <w:rFonts w:hint="eastAsia" w:ascii="宋体" w:hAnsi="宋体" w:eastAsia="宋体" w:cs="宋体"/>
      <w:color w:val="000000"/>
      <w:sz w:val="24"/>
      <w:szCs w:val="24"/>
    </w:rPr>
  </w:style>
  <w:style w:type="character" w:customStyle="1" w:styleId="68">
    <w:name w:val="fontstyle01"/>
    <w:qFormat/>
    <w:uiPriority w:val="0"/>
    <w:rPr>
      <w:rFonts w:hint="default" w:ascii="TimesNewRomanPSMT" w:hAnsi="TimesNewRomanPSMT" w:cs="宋体"/>
      <w:color w:val="000000"/>
      <w:sz w:val="24"/>
      <w:szCs w:val="24"/>
    </w:rPr>
  </w:style>
  <w:style w:type="paragraph" w:customStyle="1" w:styleId="69">
    <w:name w:val="_正文格式"/>
    <w:basedOn w:val="1"/>
    <w:link w:val="70"/>
    <w:qFormat/>
    <w:uiPriority w:val="0"/>
    <w:pPr>
      <w:spacing w:line="560" w:lineRule="exact"/>
      <w:ind w:firstLine="200" w:firstLineChars="200"/>
    </w:pPr>
    <w:rPr>
      <w:rFonts w:eastAsia="仿宋_GB2312"/>
      <w:sz w:val="28"/>
      <w:lang w:val="zh-CN"/>
    </w:rPr>
  </w:style>
  <w:style w:type="character" w:customStyle="1" w:styleId="70">
    <w:name w:val="_正文格式 Char1"/>
    <w:link w:val="69"/>
    <w:qFormat/>
    <w:uiPriority w:val="0"/>
    <w:rPr>
      <w:rFonts w:eastAsia="仿宋_GB2312"/>
      <w:kern w:val="2"/>
      <w:sz w:val="28"/>
      <w:lang w:val="zh-CN" w:eastAsia="zh-CN"/>
    </w:rPr>
  </w:style>
  <w:style w:type="paragraph" w:customStyle="1" w:styleId="71">
    <w:name w:val="图名表名"/>
    <w:basedOn w:val="1"/>
    <w:link w:val="72"/>
    <w:qFormat/>
    <w:uiPriority w:val="0"/>
    <w:pPr>
      <w:jc w:val="center"/>
    </w:pPr>
    <w:rPr>
      <w:rFonts w:ascii="宋体" w:hAnsi="宋体" w:cs="仿宋"/>
    </w:rPr>
  </w:style>
  <w:style w:type="character" w:customStyle="1" w:styleId="72">
    <w:name w:val="图名表名 Char"/>
    <w:basedOn w:val="36"/>
    <w:link w:val="71"/>
    <w:qFormat/>
    <w:uiPriority w:val="0"/>
    <w:rPr>
      <w:rFonts w:ascii="宋体" w:hAnsi="宋体" w:cs="仿宋"/>
      <w:kern w:val="2"/>
      <w:sz w:val="21"/>
    </w:rPr>
  </w:style>
  <w:style w:type="character" w:customStyle="1" w:styleId="73">
    <w:name w:val="报告正文 Char Char"/>
    <w:link w:val="74"/>
    <w:qFormat/>
    <w:uiPriority w:val="0"/>
    <w:rPr>
      <w:rFonts w:ascii="宋体" w:hAnsi="宋体"/>
      <w:color w:val="000000"/>
      <w:kern w:val="2"/>
      <w:sz w:val="24"/>
      <w:szCs w:val="28"/>
    </w:rPr>
  </w:style>
  <w:style w:type="paragraph" w:customStyle="1" w:styleId="74">
    <w:name w:val="报告正文"/>
    <w:basedOn w:val="28"/>
    <w:next w:val="1"/>
    <w:link w:val="73"/>
    <w:qFormat/>
    <w:uiPriority w:val="0"/>
    <w:pPr>
      <w:spacing w:line="360" w:lineRule="auto"/>
      <w:ind w:firstLine="482" w:firstLineChars="200"/>
      <w:jc w:val="both"/>
    </w:pPr>
    <w:rPr>
      <w:rFonts w:ascii="宋体" w:hAnsi="宋体" w:eastAsia="宋体"/>
      <w:color w:val="000000"/>
      <w:szCs w:val="28"/>
    </w:rPr>
  </w:style>
  <w:style w:type="paragraph" w:customStyle="1" w:styleId="75">
    <w:name w:val="font5"/>
    <w:basedOn w:val="1"/>
    <w:qFormat/>
    <w:uiPriority w:val="0"/>
    <w:pPr>
      <w:widowControl/>
      <w:spacing w:before="100" w:beforeAutospacing="1" w:after="100" w:afterAutospacing="1"/>
      <w:jc w:val="left"/>
    </w:pPr>
    <w:rPr>
      <w:color w:val="000000"/>
      <w:kern w:val="0"/>
      <w:sz w:val="20"/>
    </w:rPr>
  </w:style>
  <w:style w:type="paragraph" w:customStyle="1" w:styleId="76">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77">
    <w:name w:val="font7"/>
    <w:basedOn w:val="1"/>
    <w:qFormat/>
    <w:uiPriority w:val="0"/>
    <w:pPr>
      <w:widowControl/>
      <w:spacing w:before="100" w:beforeAutospacing="1" w:after="100" w:afterAutospacing="1"/>
      <w:jc w:val="left"/>
    </w:pPr>
    <w:rPr>
      <w:rFonts w:ascii="宋体" w:hAnsi="宋体" w:cs="宋体"/>
      <w:b/>
      <w:bCs/>
      <w:color w:val="000000"/>
      <w:kern w:val="0"/>
      <w:sz w:val="22"/>
      <w:szCs w:val="22"/>
    </w:rPr>
  </w:style>
  <w:style w:type="paragraph" w:customStyle="1" w:styleId="78">
    <w:name w:val="font8"/>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9">
    <w:name w:val="font9"/>
    <w:basedOn w:val="1"/>
    <w:qFormat/>
    <w:uiPriority w:val="0"/>
    <w:pPr>
      <w:widowControl/>
      <w:spacing w:before="100" w:beforeAutospacing="1" w:after="100" w:afterAutospacing="1"/>
      <w:jc w:val="left"/>
    </w:pPr>
    <w:rPr>
      <w:rFonts w:ascii="宋体" w:hAnsi="宋体" w:cs="宋体"/>
      <w:color w:val="000000"/>
      <w:kern w:val="0"/>
      <w:sz w:val="20"/>
    </w:rPr>
  </w:style>
  <w:style w:type="paragraph" w:customStyle="1" w:styleId="80">
    <w:name w:val="font10"/>
    <w:basedOn w:val="1"/>
    <w:qFormat/>
    <w:uiPriority w:val="0"/>
    <w:pPr>
      <w:widowControl/>
      <w:spacing w:before="100" w:beforeAutospacing="1" w:after="100" w:afterAutospacing="1"/>
      <w:jc w:val="left"/>
    </w:pPr>
    <w:rPr>
      <w:color w:val="000000"/>
      <w:kern w:val="0"/>
      <w:sz w:val="20"/>
    </w:rPr>
  </w:style>
  <w:style w:type="paragraph" w:customStyle="1" w:styleId="81">
    <w:name w:val="font11"/>
    <w:basedOn w:val="1"/>
    <w:qFormat/>
    <w:uiPriority w:val="0"/>
    <w:pPr>
      <w:widowControl/>
      <w:spacing w:before="100" w:beforeAutospacing="1" w:after="100" w:afterAutospacing="1"/>
      <w:jc w:val="left"/>
    </w:pPr>
    <w:rPr>
      <w:rFonts w:ascii="宋体" w:hAnsi="宋体" w:cs="宋体"/>
      <w:color w:val="000000"/>
      <w:kern w:val="0"/>
      <w:sz w:val="20"/>
    </w:rPr>
  </w:style>
  <w:style w:type="paragraph" w:customStyle="1" w:styleId="82">
    <w:name w:val="font12"/>
    <w:basedOn w:val="1"/>
    <w:qFormat/>
    <w:uiPriority w:val="0"/>
    <w:pPr>
      <w:widowControl/>
      <w:spacing w:before="100" w:beforeAutospacing="1" w:after="100" w:afterAutospacing="1"/>
      <w:jc w:val="left"/>
    </w:pPr>
    <w:rPr>
      <w:kern w:val="0"/>
      <w:sz w:val="20"/>
    </w:rPr>
  </w:style>
  <w:style w:type="paragraph" w:customStyle="1" w:styleId="83">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84">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85">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86">
    <w:name w:val="xl66"/>
    <w:basedOn w:val="1"/>
    <w:qFormat/>
    <w:uiPriority w:val="0"/>
    <w:pPr>
      <w:widowControl/>
      <w:spacing w:before="100" w:beforeAutospacing="1" w:after="100" w:afterAutospacing="1"/>
      <w:jc w:val="center"/>
      <w:textAlignment w:val="center"/>
    </w:pPr>
    <w:rPr>
      <w:kern w:val="0"/>
      <w:sz w:val="20"/>
    </w:rPr>
  </w:style>
  <w:style w:type="paragraph" w:customStyle="1" w:styleId="87">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88">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89">
    <w:name w:val="xl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90">
    <w:name w:val="xl70"/>
    <w:basedOn w:val="1"/>
    <w:qFormat/>
    <w:uiPriority w:val="0"/>
    <w:pPr>
      <w:widowControl/>
      <w:spacing w:before="100" w:beforeAutospacing="1" w:after="100" w:afterAutospacing="1"/>
      <w:jc w:val="center"/>
      <w:textAlignment w:val="center"/>
    </w:pPr>
    <w:rPr>
      <w:kern w:val="0"/>
      <w:sz w:val="20"/>
    </w:rPr>
  </w:style>
  <w:style w:type="paragraph" w:customStyle="1" w:styleId="91">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9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9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94">
    <w:name w:val="xl7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95">
    <w:name w:val="xl75"/>
    <w:basedOn w:val="1"/>
    <w:qFormat/>
    <w:uiPriority w:val="0"/>
    <w:pPr>
      <w:widowControl/>
      <w:pBdr>
        <w:left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96">
    <w:name w:val="xl7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97">
    <w:name w:val="font13"/>
    <w:basedOn w:val="1"/>
    <w:qFormat/>
    <w:uiPriority w:val="0"/>
    <w:pPr>
      <w:widowControl/>
      <w:spacing w:before="100" w:beforeAutospacing="1" w:after="100" w:afterAutospacing="1"/>
      <w:jc w:val="left"/>
    </w:pPr>
    <w:rPr>
      <w:kern w:val="0"/>
      <w:sz w:val="20"/>
    </w:rPr>
  </w:style>
  <w:style w:type="paragraph" w:customStyle="1" w:styleId="98">
    <w:name w:val="font14"/>
    <w:basedOn w:val="1"/>
    <w:qFormat/>
    <w:uiPriority w:val="0"/>
    <w:pPr>
      <w:widowControl/>
      <w:spacing w:before="100" w:beforeAutospacing="1" w:after="100" w:afterAutospacing="1"/>
      <w:jc w:val="left"/>
    </w:pPr>
    <w:rPr>
      <w:rFonts w:ascii="宋体" w:hAnsi="宋体" w:cs="宋体"/>
      <w:kern w:val="0"/>
      <w:sz w:val="20"/>
    </w:rPr>
  </w:style>
  <w:style w:type="paragraph" w:customStyle="1" w:styleId="99">
    <w:name w:val="font15"/>
    <w:basedOn w:val="1"/>
    <w:qFormat/>
    <w:uiPriority w:val="0"/>
    <w:pPr>
      <w:widowControl/>
      <w:spacing w:before="100" w:beforeAutospacing="1" w:after="100" w:afterAutospacing="1"/>
      <w:jc w:val="left"/>
    </w:pPr>
    <w:rPr>
      <w:color w:val="000000"/>
      <w:kern w:val="0"/>
      <w:sz w:val="20"/>
    </w:rPr>
  </w:style>
  <w:style w:type="paragraph" w:customStyle="1" w:styleId="100">
    <w:name w:val="font16"/>
    <w:basedOn w:val="1"/>
    <w:qFormat/>
    <w:uiPriority w:val="0"/>
    <w:pPr>
      <w:widowControl/>
      <w:spacing w:before="100" w:beforeAutospacing="1" w:after="100" w:afterAutospacing="1"/>
      <w:jc w:val="left"/>
    </w:pPr>
    <w:rPr>
      <w:rFonts w:ascii="宋体" w:hAnsi="宋体" w:cs="宋体"/>
      <w:color w:val="000000"/>
      <w:kern w:val="0"/>
      <w:sz w:val="20"/>
    </w:rPr>
  </w:style>
  <w:style w:type="paragraph" w:styleId="101">
    <w:name w:val="List Paragraph"/>
    <w:basedOn w:val="1"/>
    <w:qFormat/>
    <w:uiPriority w:val="34"/>
    <w:pPr>
      <w:adjustRightInd w:val="0"/>
      <w:snapToGrid w:val="0"/>
      <w:spacing w:line="360" w:lineRule="auto"/>
      <w:ind w:firstLine="200" w:firstLineChars="200"/>
    </w:pPr>
    <w:rPr>
      <w:rFonts w:ascii="华文中宋" w:hAnsi="华文中宋" w:cs="华文中宋"/>
      <w:sz w:val="24"/>
    </w:rPr>
  </w:style>
  <w:style w:type="character" w:customStyle="1" w:styleId="102">
    <w:name w:val="answerref"/>
    <w:basedOn w:val="36"/>
    <w:qFormat/>
    <w:uiPriority w:val="0"/>
  </w:style>
  <w:style w:type="paragraph" w:customStyle="1" w:styleId="103">
    <w:name w:val="p0"/>
    <w:basedOn w:val="1"/>
    <w:qFormat/>
    <w:uiPriority w:val="0"/>
    <w:pPr>
      <w:widowControl/>
      <w:spacing w:line="408" w:lineRule="auto"/>
      <w:ind w:left="1"/>
      <w:textAlignment w:val="bottom"/>
    </w:pPr>
    <w:rPr>
      <w:color w:val="000000"/>
      <w:kern w:val="0"/>
      <w:sz w:val="30"/>
      <w:szCs w:val="30"/>
    </w:rPr>
  </w:style>
  <w:style w:type="character" w:customStyle="1" w:styleId="104">
    <w:name w:val="纯文本 字符1"/>
    <w:qFormat/>
    <w:uiPriority w:val="0"/>
    <w:rPr>
      <w:rFonts w:ascii="宋体" w:hAnsi="Courier New" w:eastAsia="宋体"/>
      <w:szCs w:val="21"/>
    </w:rPr>
  </w:style>
  <w:style w:type="paragraph" w:customStyle="1" w:styleId="105">
    <w:name w:val="xl77"/>
    <w:basedOn w:val="1"/>
    <w:qFormat/>
    <w:uiPriority w:val="0"/>
    <w:pPr>
      <w:widowControl/>
      <w:shd w:val="clear" w:color="000000" w:fill="FFFF00"/>
      <w:spacing w:before="100" w:beforeAutospacing="1" w:after="100" w:afterAutospacing="1"/>
      <w:jc w:val="center"/>
      <w:textAlignment w:val="center"/>
    </w:pPr>
    <w:rPr>
      <w:rFonts w:ascii="宋体" w:hAnsi="宋体" w:cs="宋体"/>
      <w:kern w:val="0"/>
      <w:sz w:val="20"/>
    </w:rPr>
  </w:style>
  <w:style w:type="paragraph" w:customStyle="1" w:styleId="106">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color w:val="FF0000"/>
      <w:kern w:val="0"/>
      <w:sz w:val="20"/>
    </w:rPr>
  </w:style>
  <w:style w:type="paragraph" w:customStyle="1" w:styleId="107">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color w:val="FF0000"/>
      <w:kern w:val="0"/>
      <w:sz w:val="20"/>
    </w:rPr>
  </w:style>
  <w:style w:type="paragraph" w:customStyle="1" w:styleId="108">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color w:val="FF0000"/>
      <w:kern w:val="0"/>
      <w:sz w:val="20"/>
    </w:rPr>
  </w:style>
  <w:style w:type="paragraph" w:customStyle="1" w:styleId="109">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color w:val="FF0000"/>
      <w:kern w:val="0"/>
      <w:sz w:val="20"/>
      <w:u w:val="single"/>
    </w:rPr>
  </w:style>
  <w:style w:type="paragraph" w:customStyle="1" w:styleId="110">
    <w:name w:val="xl82"/>
    <w:basedOn w:val="1"/>
    <w:qFormat/>
    <w:uiPriority w:val="0"/>
    <w:pPr>
      <w:widowControl/>
      <w:shd w:val="clear" w:color="000000" w:fill="FFFF00"/>
      <w:spacing w:before="100" w:beforeAutospacing="1" w:after="100" w:afterAutospacing="1"/>
      <w:jc w:val="center"/>
      <w:textAlignment w:val="center"/>
    </w:pPr>
    <w:rPr>
      <w:rFonts w:ascii="宋体" w:hAnsi="宋体" w:cs="宋体"/>
      <w:color w:val="FF0000"/>
      <w:kern w:val="0"/>
      <w:sz w:val="20"/>
    </w:rPr>
  </w:style>
  <w:style w:type="paragraph" w:customStyle="1" w:styleId="11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11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113">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114">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FF0000"/>
      <w:kern w:val="0"/>
      <w:sz w:val="20"/>
    </w:rPr>
  </w:style>
  <w:style w:type="paragraph" w:customStyle="1" w:styleId="115">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116">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117">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u w:val="single"/>
    </w:rPr>
  </w:style>
  <w:style w:type="paragraph" w:customStyle="1" w:styleId="118">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FF0000"/>
      <w:kern w:val="0"/>
      <w:sz w:val="20"/>
    </w:rPr>
  </w:style>
  <w:style w:type="paragraph" w:customStyle="1" w:styleId="119">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u w:val="single"/>
    </w:rPr>
  </w:style>
  <w:style w:type="character" w:customStyle="1" w:styleId="120">
    <w:name w:val="页脚 Char1"/>
    <w:qFormat/>
    <w:uiPriority w:val="0"/>
    <w:rPr>
      <w:rFonts w:eastAsia="宋体"/>
      <w:kern w:val="2"/>
      <w:sz w:val="18"/>
      <w:szCs w:val="18"/>
      <w:lang w:val="en-US" w:eastAsia="zh-CN" w:bidi="ar-SA"/>
    </w:rPr>
  </w:style>
  <w:style w:type="character" w:customStyle="1" w:styleId="121">
    <w:name w:val="日期 字符"/>
    <w:link w:val="19"/>
    <w:qFormat/>
    <w:uiPriority w:val="0"/>
    <w:rPr>
      <w:kern w:val="2"/>
      <w:sz w:val="21"/>
    </w:rPr>
  </w:style>
  <w:style w:type="character" w:customStyle="1" w:styleId="122">
    <w:name w:val="普通文字 Char Char2"/>
    <w:qFormat/>
    <w:uiPriority w:val="99"/>
    <w:rPr>
      <w:rFonts w:ascii="宋体" w:hAnsi="Courier New" w:eastAsia="宋体"/>
      <w:kern w:val="2"/>
      <w:sz w:val="21"/>
      <w:lang w:val="en-US" w:eastAsia="zh-CN"/>
    </w:rPr>
  </w:style>
  <w:style w:type="paragraph" w:customStyle="1" w:styleId="123">
    <w:name w:val="Table Paragraph"/>
    <w:basedOn w:val="1"/>
    <w:qFormat/>
    <w:uiPriority w:val="1"/>
    <w:pPr>
      <w:autoSpaceDE w:val="0"/>
      <w:autoSpaceDN w:val="0"/>
      <w:jc w:val="center"/>
    </w:pPr>
    <w:rPr>
      <w:rFonts w:ascii="宋体" w:hAnsi="宋体" w:cs="宋体"/>
      <w:kern w:val="0"/>
      <w:sz w:val="22"/>
      <w:szCs w:val="22"/>
      <w:lang w:val="zh-CN" w:bidi="zh-CN"/>
    </w:rPr>
  </w:style>
  <w:style w:type="character" w:customStyle="1" w:styleId="124">
    <w:name w:val="正文11111111111111111111 Char Char"/>
    <w:link w:val="125"/>
    <w:qFormat/>
    <w:uiPriority w:val="0"/>
    <w:rPr>
      <w:rFonts w:ascii="宋体" w:hAnsi="宋体"/>
      <w:sz w:val="24"/>
      <w:szCs w:val="24"/>
    </w:rPr>
  </w:style>
  <w:style w:type="paragraph" w:customStyle="1" w:styleId="125">
    <w:name w:val="正文11111111111111111111"/>
    <w:basedOn w:val="1"/>
    <w:link w:val="124"/>
    <w:qFormat/>
    <w:uiPriority w:val="0"/>
    <w:pPr>
      <w:spacing w:line="360" w:lineRule="auto"/>
      <w:ind w:firstLine="480" w:firstLineChars="200"/>
    </w:pPr>
    <w:rPr>
      <w:rFonts w:ascii="宋体" w:hAnsi="宋体"/>
      <w:kern w:val="0"/>
      <w:sz w:val="24"/>
      <w:szCs w:val="24"/>
    </w:rPr>
  </w:style>
  <w:style w:type="paragraph" w:customStyle="1" w:styleId="126">
    <w:name w:val="列出段落1"/>
    <w:basedOn w:val="1"/>
    <w:qFormat/>
    <w:uiPriority w:val="99"/>
    <w:pPr>
      <w:ind w:firstLine="420" w:firstLineChars="200"/>
    </w:pPr>
    <w:rPr>
      <w:szCs w:val="22"/>
    </w:rPr>
  </w:style>
  <w:style w:type="paragraph" w:customStyle="1" w:styleId="127">
    <w:name w:val="段"/>
    <w:link w:val="128"/>
    <w:qFormat/>
    <w:uiPriority w:val="0"/>
    <w:pPr>
      <w:autoSpaceDE w:val="0"/>
      <w:autoSpaceDN w:val="0"/>
      <w:ind w:firstLine="200" w:firstLineChars="200"/>
      <w:jc w:val="both"/>
    </w:pPr>
    <w:rPr>
      <w:rFonts w:ascii="宋体" w:hAnsi="Times New Roman" w:eastAsia="宋体" w:cs="Times New Roman"/>
      <w:kern w:val="2"/>
      <w:sz w:val="22"/>
      <w:lang w:val="en-US" w:eastAsia="zh-CN" w:bidi="ar-SA"/>
    </w:rPr>
  </w:style>
  <w:style w:type="character" w:customStyle="1" w:styleId="128">
    <w:name w:val="段 Char Char"/>
    <w:link w:val="127"/>
    <w:qFormat/>
    <w:locked/>
    <w:uiPriority w:val="0"/>
    <w:rPr>
      <w:rFonts w:ascii="宋体"/>
      <w:kern w:val="2"/>
      <w:sz w:val="22"/>
    </w:rPr>
  </w:style>
  <w:style w:type="paragraph" w:customStyle="1" w:styleId="129">
    <w:name w:val="表中"/>
    <w:qFormat/>
    <w:uiPriority w:val="0"/>
    <w:pPr>
      <w:spacing w:before="100" w:beforeAutospacing="1" w:after="100" w:afterAutospacing="1"/>
      <w:ind w:firstLine="420"/>
      <w:jc w:val="center"/>
    </w:pPr>
    <w:rPr>
      <w:rFonts w:ascii="宋体" w:hAnsi="宋体" w:eastAsia="宋体" w:cs="Times New Roman"/>
      <w:color w:val="000000"/>
      <w:kern w:val="44"/>
      <w:sz w:val="21"/>
      <w:szCs w:val="21"/>
      <w:lang w:val="en-US" w:eastAsia="zh-CN" w:bidi="ar-SA"/>
    </w:rPr>
  </w:style>
  <w:style w:type="character" w:customStyle="1" w:styleId="130">
    <w:name w:val="样式 宋体 四号"/>
    <w:basedOn w:val="36"/>
    <w:qFormat/>
    <w:uiPriority w:val="0"/>
    <w:rPr>
      <w:rFonts w:ascii="Times New Roman" w:hAnsi="Times New Roman" w:eastAsia="宋体"/>
      <w:sz w:val="28"/>
      <w:szCs w:val="28"/>
    </w:rPr>
  </w:style>
  <w:style w:type="character" w:customStyle="1" w:styleId="131">
    <w:name w:val="[1]正文 Char"/>
    <w:link w:val="132"/>
    <w:qFormat/>
    <w:uiPriority w:val="0"/>
    <w:rPr>
      <w:sz w:val="28"/>
      <w:szCs w:val="28"/>
    </w:rPr>
  </w:style>
  <w:style w:type="paragraph" w:customStyle="1" w:styleId="132">
    <w:name w:val="[1]正文"/>
    <w:basedOn w:val="1"/>
    <w:link w:val="131"/>
    <w:qFormat/>
    <w:uiPriority w:val="0"/>
    <w:pPr>
      <w:spacing w:line="360" w:lineRule="auto"/>
      <w:ind w:firstLine="200" w:firstLineChars="200"/>
    </w:pPr>
    <w:rPr>
      <w:kern w:val="0"/>
      <w:sz w:val="28"/>
      <w:szCs w:val="28"/>
    </w:rPr>
  </w:style>
  <w:style w:type="character" w:customStyle="1" w:styleId="133">
    <w:name w:val="样式 宋体 四号2 Char"/>
    <w:link w:val="134"/>
    <w:qFormat/>
    <w:uiPriority w:val="0"/>
    <w:rPr>
      <w:rFonts w:ascii="宋体" w:hAnsi="宋体" w:cs="宋体"/>
      <w:kern w:val="2"/>
      <w:sz w:val="28"/>
    </w:rPr>
  </w:style>
  <w:style w:type="paragraph" w:customStyle="1" w:styleId="134">
    <w:name w:val="样式 宋体 四号2"/>
    <w:basedOn w:val="1"/>
    <w:link w:val="133"/>
    <w:qFormat/>
    <w:uiPriority w:val="0"/>
    <w:pPr>
      <w:spacing w:line="520" w:lineRule="exact"/>
      <w:ind w:firstLine="200" w:firstLineChars="200"/>
    </w:pPr>
    <w:rPr>
      <w:rFonts w:ascii="宋体" w:hAnsi="宋体" w:cs="宋体"/>
      <w:sz w:val="28"/>
    </w:rPr>
  </w:style>
  <w:style w:type="character" w:customStyle="1" w:styleId="135">
    <w:name w:val="27-正文 Char"/>
    <w:link w:val="136"/>
    <w:qFormat/>
    <w:uiPriority w:val="0"/>
    <w:rPr>
      <w:kern w:val="2"/>
      <w:sz w:val="28"/>
      <w:szCs w:val="28"/>
    </w:rPr>
  </w:style>
  <w:style w:type="paragraph" w:customStyle="1" w:styleId="136">
    <w:name w:val="27-正文"/>
    <w:basedOn w:val="1"/>
    <w:link w:val="135"/>
    <w:qFormat/>
    <w:uiPriority w:val="0"/>
    <w:pPr>
      <w:spacing w:line="520" w:lineRule="exact"/>
      <w:ind w:firstLine="200" w:firstLineChars="200"/>
    </w:pPr>
    <w:rPr>
      <w:sz w:val="28"/>
      <w:szCs w:val="28"/>
    </w:rPr>
  </w:style>
  <w:style w:type="paragraph" w:customStyle="1" w:styleId="137">
    <w:name w:val="样式 标题 4 + 黑色 首行缩进:  2 字符"/>
    <w:basedOn w:val="5"/>
    <w:qFormat/>
    <w:uiPriority w:val="0"/>
    <w:pPr>
      <w:adjustRightInd/>
      <w:snapToGrid/>
      <w:spacing w:line="560" w:lineRule="exact"/>
      <w:ind w:firstLine="0" w:firstLineChars="0"/>
      <w:jc w:val="both"/>
    </w:pPr>
    <w:rPr>
      <w:rFonts w:ascii="Times New Roman" w:hAnsi="Times New Roman" w:cs="宋体"/>
      <w:b w:val="0"/>
      <w:bCs/>
      <w:color w:val="000000"/>
      <w:sz w:val="28"/>
    </w:rPr>
  </w:style>
  <w:style w:type="character" w:customStyle="1" w:styleId="138">
    <w:name w:val="font21"/>
    <w:basedOn w:val="36"/>
    <w:qFormat/>
    <w:uiPriority w:val="0"/>
    <w:rPr>
      <w:rFonts w:hint="eastAsia" w:ascii="宋体" w:hAnsi="宋体" w:eastAsia="宋体" w:cs="宋体"/>
      <w:b/>
      <w:bCs/>
      <w:color w:val="000000"/>
      <w:sz w:val="21"/>
      <w:szCs w:val="21"/>
      <w:u w:val="none"/>
    </w:rPr>
  </w:style>
  <w:style w:type="character" w:customStyle="1" w:styleId="139">
    <w:name w:val="font51"/>
    <w:basedOn w:val="36"/>
    <w:qFormat/>
    <w:uiPriority w:val="0"/>
    <w:rPr>
      <w:rFonts w:hint="eastAsia" w:ascii="宋体" w:hAnsi="宋体" w:eastAsia="宋体" w:cs="宋体"/>
      <w:b/>
      <w:bCs/>
      <w:color w:val="000000"/>
      <w:sz w:val="21"/>
      <w:szCs w:val="21"/>
      <w:u w:val="none"/>
      <w:vertAlign w:val="superscript"/>
    </w:rPr>
  </w:style>
  <w:style w:type="character" w:customStyle="1" w:styleId="140">
    <w:name w:val="font61"/>
    <w:basedOn w:val="36"/>
    <w:qFormat/>
    <w:uiPriority w:val="0"/>
    <w:rPr>
      <w:rFonts w:hint="eastAsia" w:ascii="宋体" w:hAnsi="宋体" w:eastAsia="宋体" w:cs="宋体"/>
      <w:color w:val="000000"/>
      <w:sz w:val="21"/>
      <w:szCs w:val="21"/>
      <w:u w:val="none"/>
      <w:vertAlign w:val="superscript"/>
    </w:rPr>
  </w:style>
  <w:style w:type="character" w:customStyle="1" w:styleId="141">
    <w:name w:val="font31"/>
    <w:basedOn w:val="36"/>
    <w:qFormat/>
    <w:uiPriority w:val="0"/>
    <w:rPr>
      <w:rFonts w:hint="eastAsia" w:ascii="宋体" w:hAnsi="宋体" w:eastAsia="宋体" w:cs="宋体"/>
      <w:color w:val="000000"/>
      <w:sz w:val="21"/>
      <w:szCs w:val="21"/>
      <w:u w:val="none"/>
    </w:rPr>
  </w:style>
  <w:style w:type="paragraph" w:customStyle="1" w:styleId="142">
    <w:name w:val="1-正文"/>
    <w:basedOn w:val="1"/>
    <w:qFormat/>
    <w:uiPriority w:val="0"/>
    <w:pPr>
      <w:ind w:firstLine="560" w:firstLineChars="200"/>
    </w:pPr>
    <w:rPr>
      <w:sz w:val="28"/>
      <w:szCs w:val="28"/>
    </w:rPr>
  </w:style>
  <w:style w:type="paragraph" w:customStyle="1" w:styleId="143">
    <w:name w:val="Table Text"/>
    <w:basedOn w:val="1"/>
    <w:semiHidden/>
    <w:qFormat/>
    <w:uiPriority w:val="0"/>
    <w:rPr>
      <w:rFonts w:ascii="宋体" w:hAnsi="宋体" w:cs="宋体"/>
      <w:szCs w:val="21"/>
      <w:lang w:eastAsia="en-US"/>
    </w:rPr>
  </w:style>
  <w:style w:type="table" w:customStyle="1" w:styleId="144">
    <w:name w:val="Table Normal"/>
    <w:semiHidden/>
    <w:unhideWhenUsed/>
    <w:qFormat/>
    <w:uiPriority w:val="0"/>
    <w:tblPr>
      <w:tblCellMar>
        <w:top w:w="0" w:type="dxa"/>
        <w:left w:w="0" w:type="dxa"/>
        <w:bottom w:w="0" w:type="dxa"/>
        <w:right w:w="0" w:type="dxa"/>
      </w:tblCellMar>
    </w:tblPr>
  </w:style>
  <w:style w:type="paragraph" w:customStyle="1" w:styleId="145">
    <w:name w:val="表"/>
    <w:basedOn w:val="1"/>
    <w:qFormat/>
    <w:uiPriority w:val="0"/>
    <w:pPr>
      <w:jc w:val="center"/>
    </w:pPr>
  </w:style>
  <w:style w:type="character" w:customStyle="1" w:styleId="146">
    <w:name w:val="font71"/>
    <w:basedOn w:val="36"/>
    <w:qFormat/>
    <w:uiPriority w:val="0"/>
    <w:rPr>
      <w:rFonts w:hint="eastAsia" w:ascii="宋体" w:hAnsi="宋体" w:eastAsia="宋体" w:cs="宋体"/>
      <w:b/>
      <w:bCs/>
      <w:color w:val="000000"/>
      <w:sz w:val="21"/>
      <w:szCs w:val="21"/>
      <w:u w:val="none"/>
      <w:vertAlign w:val="superscript"/>
    </w:rPr>
  </w:style>
  <w:style w:type="character" w:customStyle="1" w:styleId="147">
    <w:name w:val="font41"/>
    <w:basedOn w:val="36"/>
    <w:qFormat/>
    <w:uiPriority w:val="0"/>
    <w:rPr>
      <w:rFonts w:hint="eastAsia" w:ascii="宋体" w:hAnsi="宋体" w:eastAsia="宋体" w:cs="宋体"/>
      <w:color w:val="FF0000"/>
      <w:sz w:val="21"/>
      <w:szCs w:val="21"/>
      <w:u w:val="none"/>
      <w:vertAlign w:val="superscript"/>
    </w:rPr>
  </w:style>
  <w:style w:type="paragraph" w:customStyle="1" w:styleId="148">
    <w:name w:val="样式 左侧:  0 厘米 首行缩进:  0.85 厘米"/>
    <w:basedOn w:val="1"/>
    <w:qFormat/>
    <w:uiPriority w:val="0"/>
    <w:pPr>
      <w:ind w:firstLine="480"/>
    </w:pPr>
    <w:rPr>
      <w:rFonts w:cs="宋体"/>
    </w:rPr>
  </w:style>
  <w:style w:type="character" w:customStyle="1" w:styleId="149">
    <w:name w:val="font01"/>
    <w:basedOn w:val="36"/>
    <w:qFormat/>
    <w:uiPriority w:val="0"/>
    <w:rPr>
      <w:rFonts w:hint="eastAsia" w:ascii="宋体" w:hAnsi="宋体" w:eastAsia="宋体" w:cs="宋体"/>
      <w:color w:val="000000"/>
      <w:sz w:val="24"/>
      <w:szCs w:val="24"/>
      <w:u w:val="none"/>
    </w:rPr>
  </w:style>
  <w:style w:type="character" w:customStyle="1" w:styleId="150">
    <w:name w:val="font81"/>
    <w:basedOn w:val="36"/>
    <w:qFormat/>
    <w:uiPriority w:val="0"/>
    <w:rPr>
      <w:rFonts w:hint="eastAsia" w:ascii="宋体" w:hAnsi="宋体" w:eastAsia="宋体" w:cs="宋体"/>
      <w:color w:val="000000"/>
      <w:sz w:val="21"/>
      <w:szCs w:val="21"/>
      <w:u w:val="none"/>
      <w:vertAlign w:val="superscript"/>
    </w:rPr>
  </w:style>
  <w:style w:type="character" w:customStyle="1" w:styleId="151">
    <w:name w:val="font161"/>
    <w:basedOn w:val="36"/>
    <w:qFormat/>
    <w:uiPriority w:val="0"/>
    <w:rPr>
      <w:rFonts w:hint="eastAsia" w:ascii="宋体" w:hAnsi="宋体" w:eastAsia="宋体" w:cs="宋体"/>
      <w:color w:val="000000"/>
      <w:sz w:val="20"/>
      <w:szCs w:val="20"/>
      <w:u w:val="none"/>
      <w:vertAlign w:val="superscript"/>
    </w:rPr>
  </w:style>
  <w:style w:type="character" w:customStyle="1" w:styleId="152">
    <w:name w:val="font101"/>
    <w:basedOn w:val="36"/>
    <w:qFormat/>
    <w:uiPriority w:val="0"/>
    <w:rPr>
      <w:rFonts w:hint="eastAsia" w:ascii="宋体" w:hAnsi="宋体" w:eastAsia="宋体" w:cs="宋体"/>
      <w:color w:val="FF0000"/>
      <w:sz w:val="20"/>
      <w:szCs w:val="20"/>
      <w:u w:val="none"/>
    </w:rPr>
  </w:style>
  <w:style w:type="character" w:customStyle="1" w:styleId="153">
    <w:name w:val="font171"/>
    <w:basedOn w:val="36"/>
    <w:qFormat/>
    <w:uiPriority w:val="0"/>
    <w:rPr>
      <w:rFonts w:hint="eastAsia" w:ascii="宋体" w:hAnsi="宋体" w:eastAsia="宋体" w:cs="宋体"/>
      <w:color w:val="FF0000"/>
      <w:sz w:val="20"/>
      <w:szCs w:val="20"/>
      <w:u w:val="none"/>
      <w:vertAlign w:val="superscript"/>
    </w:rPr>
  </w:style>
  <w:style w:type="character" w:customStyle="1" w:styleId="154">
    <w:name w:val="font181"/>
    <w:basedOn w:val="36"/>
    <w:qFormat/>
    <w:uiPriority w:val="0"/>
    <w:rPr>
      <w:rFonts w:hint="default" w:ascii="Times New Roman" w:hAnsi="Times New Roman" w:cs="Times New Roman"/>
      <w:color w:val="000000"/>
      <w:sz w:val="20"/>
      <w:szCs w:val="20"/>
      <w:u w:val="none"/>
      <w:vertAlign w:val="superscript"/>
    </w:rPr>
  </w:style>
  <w:style w:type="character" w:customStyle="1" w:styleId="155">
    <w:name w:val="font191"/>
    <w:basedOn w:val="36"/>
    <w:qFormat/>
    <w:uiPriority w:val="0"/>
    <w:rPr>
      <w:rFonts w:hint="eastAsia" w:ascii="宋体" w:hAnsi="宋体" w:eastAsia="宋体" w:cs="宋体"/>
      <w:color w:val="FF0000"/>
      <w:sz w:val="21"/>
      <w:szCs w:val="21"/>
      <w:u w:val="none"/>
      <w:vertAlign w:val="superscript"/>
    </w:rPr>
  </w:style>
  <w:style w:type="character" w:customStyle="1" w:styleId="156">
    <w:name w:val="font131"/>
    <w:basedOn w:val="36"/>
    <w:qFormat/>
    <w:uiPriority w:val="0"/>
    <w:rPr>
      <w:rFonts w:hint="eastAsia" w:ascii="宋体" w:hAnsi="宋体" w:eastAsia="宋体" w:cs="宋体"/>
      <w:color w:val="FF0000"/>
      <w:sz w:val="21"/>
      <w:szCs w:val="21"/>
      <w:u w:val="none"/>
    </w:rPr>
  </w:style>
  <w:style w:type="character" w:customStyle="1" w:styleId="157">
    <w:name w:val="font141"/>
    <w:basedOn w:val="36"/>
    <w:qFormat/>
    <w:uiPriority w:val="0"/>
    <w:rPr>
      <w:rFonts w:hint="eastAsia" w:ascii="宋体" w:hAnsi="宋体" w:eastAsia="宋体" w:cs="宋体"/>
      <w:b/>
      <w:bCs/>
      <w:color w:val="FF0000"/>
      <w:sz w:val="18"/>
      <w:szCs w:val="18"/>
      <w:u w:val="none"/>
    </w:rPr>
  </w:style>
  <w:style w:type="character" w:customStyle="1" w:styleId="158">
    <w:name w:val="font201"/>
    <w:basedOn w:val="36"/>
    <w:qFormat/>
    <w:uiPriority w:val="0"/>
    <w:rPr>
      <w:rFonts w:hint="eastAsia" w:ascii="宋体" w:hAnsi="宋体" w:eastAsia="宋体" w:cs="宋体"/>
      <w:b/>
      <w:bCs/>
      <w:color w:val="FF0000"/>
      <w:sz w:val="18"/>
      <w:szCs w:val="18"/>
      <w:u w:val="none"/>
      <w:vertAlign w:val="superscript"/>
    </w:rPr>
  </w:style>
  <w:style w:type="paragraph" w:customStyle="1" w:styleId="159">
    <w:name w:val="表内"/>
    <w:basedOn w:val="71"/>
    <w:link w:val="204"/>
    <w:autoRedefine/>
    <w:qFormat/>
    <w:uiPriority w:val="0"/>
  </w:style>
  <w:style w:type="character" w:customStyle="1" w:styleId="160">
    <w:name w:val="标题 2 字符"/>
    <w:link w:val="3"/>
    <w:qFormat/>
    <w:uiPriority w:val="0"/>
    <w:rPr>
      <w:rFonts w:ascii="黑体" w:hAnsi="Arial"/>
      <w:b/>
      <w:sz w:val="30"/>
    </w:rPr>
  </w:style>
  <w:style w:type="paragraph" w:customStyle="1" w:styleId="161">
    <w:name w:val="AAAAAAAAA"/>
    <w:basedOn w:val="1"/>
    <w:qFormat/>
    <w:uiPriority w:val="0"/>
    <w:pPr>
      <w:ind w:firstLine="560"/>
    </w:pPr>
    <w:rPr>
      <w:rFonts w:ascii="仿宋_GB2312" w:hAnsi="宋体" w:eastAsia="仿宋_GB2312" w:cstheme="minorBidi"/>
    </w:rPr>
  </w:style>
  <w:style w:type="paragraph" w:customStyle="1" w:styleId="162">
    <w:name w:val="图名"/>
    <w:qFormat/>
    <w:uiPriority w:val="0"/>
    <w:pPr>
      <w:snapToGrid w:val="0"/>
      <w:jc w:val="center"/>
    </w:pPr>
    <w:rPr>
      <w:rFonts w:ascii="Times New Roman" w:hAnsi="Times New Roman" w:eastAsia="仿宋_GB2312" w:cs="Times New Roman"/>
      <w:lang w:val="en-US" w:eastAsia="zh-CN" w:bidi="ar-SA"/>
    </w:rPr>
  </w:style>
  <w:style w:type="paragraph" w:customStyle="1" w:styleId="163">
    <w:name w:val="样式 样式 宋体 四号 左1 + 首行缩进:  2 字符"/>
    <w:basedOn w:val="1"/>
    <w:qFormat/>
    <w:uiPriority w:val="0"/>
    <w:pPr>
      <w:spacing w:line="460" w:lineRule="exact"/>
      <w:ind w:firstLine="480" w:firstLineChars="200"/>
    </w:pPr>
    <w:rPr>
      <w:rFonts w:ascii="宋体" w:hAnsi="宋体" w:cs="宋体"/>
    </w:rPr>
  </w:style>
  <w:style w:type="character" w:customStyle="1" w:styleId="164">
    <w:name w:val="font212"/>
    <w:basedOn w:val="36"/>
    <w:qFormat/>
    <w:uiPriority w:val="0"/>
    <w:rPr>
      <w:rFonts w:hint="eastAsia" w:ascii="宋体" w:hAnsi="宋体" w:eastAsia="宋体" w:cs="宋体"/>
      <w:b/>
      <w:bCs/>
      <w:color w:val="000000"/>
      <w:sz w:val="22"/>
      <w:szCs w:val="22"/>
      <w:u w:val="none"/>
    </w:rPr>
  </w:style>
  <w:style w:type="character" w:customStyle="1" w:styleId="165">
    <w:name w:val="font91"/>
    <w:basedOn w:val="36"/>
    <w:qFormat/>
    <w:uiPriority w:val="0"/>
    <w:rPr>
      <w:rFonts w:hint="eastAsia" w:ascii="宋体" w:hAnsi="宋体" w:eastAsia="宋体" w:cs="宋体"/>
      <w:b/>
      <w:bCs/>
      <w:color w:val="000000"/>
      <w:sz w:val="22"/>
      <w:szCs w:val="22"/>
      <w:u w:val="none"/>
    </w:rPr>
  </w:style>
  <w:style w:type="character" w:customStyle="1" w:styleId="166">
    <w:name w:val="font112"/>
    <w:basedOn w:val="36"/>
    <w:qFormat/>
    <w:uiPriority w:val="0"/>
    <w:rPr>
      <w:rFonts w:hint="eastAsia" w:ascii="宋体" w:hAnsi="宋体" w:eastAsia="宋体" w:cs="宋体"/>
      <w:color w:val="000000"/>
      <w:sz w:val="21"/>
      <w:szCs w:val="21"/>
      <w:u w:val="none"/>
      <w:vertAlign w:val="superscript"/>
    </w:rPr>
  </w:style>
  <w:style w:type="character" w:customStyle="1" w:styleId="167">
    <w:name w:val="font121"/>
    <w:basedOn w:val="36"/>
    <w:qFormat/>
    <w:uiPriority w:val="0"/>
    <w:rPr>
      <w:rFonts w:hint="default" w:ascii="Times New Roman" w:hAnsi="Times New Roman" w:cs="Times New Roman"/>
      <w:color w:val="FF0000"/>
      <w:sz w:val="20"/>
      <w:szCs w:val="20"/>
      <w:u w:val="none"/>
    </w:rPr>
  </w:style>
  <w:style w:type="table" w:customStyle="1" w:styleId="168">
    <w:name w:val="Table Normal1"/>
    <w:semiHidden/>
    <w:unhideWhenUsed/>
    <w:qFormat/>
    <w:uiPriority w:val="0"/>
    <w:rPr>
      <w:rFonts w:ascii="Arial" w:hAnsi="Arial" w:eastAsia="等线" w:cs="Arial"/>
      <w:snapToGrid w:val="0"/>
      <w:color w:val="000000"/>
      <w:sz w:val="21"/>
      <w:szCs w:val="21"/>
      <w:lang w:eastAsia="en-US"/>
    </w:rPr>
    <w:tblPr>
      <w:tblCellMar>
        <w:top w:w="0" w:type="dxa"/>
        <w:left w:w="0" w:type="dxa"/>
        <w:bottom w:w="0" w:type="dxa"/>
        <w:right w:w="0" w:type="dxa"/>
      </w:tblCellMar>
    </w:tblPr>
  </w:style>
  <w:style w:type="table" w:customStyle="1" w:styleId="169">
    <w:name w:val="Table Normal2"/>
    <w:semiHidden/>
    <w:unhideWhenUsed/>
    <w:qFormat/>
    <w:uiPriority w:val="0"/>
    <w:rPr>
      <w:rFonts w:ascii="Calibri" w:hAnsi="Calibri"/>
    </w:rPr>
    <w:tblPr>
      <w:tblCellMar>
        <w:top w:w="0" w:type="dxa"/>
        <w:left w:w="0" w:type="dxa"/>
        <w:bottom w:w="0" w:type="dxa"/>
        <w:right w:w="0" w:type="dxa"/>
      </w:tblCellMar>
    </w:tblPr>
  </w:style>
  <w:style w:type="table" w:customStyle="1" w:styleId="170">
    <w:name w:val="Table Normal3"/>
    <w:semiHidden/>
    <w:unhideWhenUsed/>
    <w:qFormat/>
    <w:uiPriority w:val="0"/>
    <w:rPr>
      <w:rFonts w:ascii="Arial" w:hAnsi="Arial" w:eastAsia="等线" w:cs="Arial"/>
      <w:snapToGrid w:val="0"/>
      <w:color w:val="000000"/>
      <w:sz w:val="21"/>
      <w:szCs w:val="21"/>
      <w:lang w:eastAsia="en-US"/>
    </w:rPr>
    <w:tblPr>
      <w:tblCellMar>
        <w:top w:w="0" w:type="dxa"/>
        <w:left w:w="0" w:type="dxa"/>
        <w:bottom w:w="0" w:type="dxa"/>
        <w:right w:w="0" w:type="dxa"/>
      </w:tblCellMar>
    </w:tblPr>
  </w:style>
  <w:style w:type="character" w:customStyle="1" w:styleId="171">
    <w:name w:val="标题 5 字符"/>
    <w:basedOn w:val="36"/>
    <w:link w:val="6"/>
    <w:qFormat/>
    <w:uiPriority w:val="0"/>
    <w:rPr>
      <w:b/>
      <w:bCs/>
      <w:kern w:val="2"/>
      <w:sz w:val="28"/>
      <w:szCs w:val="28"/>
    </w:rPr>
  </w:style>
  <w:style w:type="character" w:customStyle="1" w:styleId="172">
    <w:name w:val="标题 4 字符"/>
    <w:link w:val="5"/>
    <w:qFormat/>
    <w:uiPriority w:val="0"/>
    <w:rPr>
      <w:rFonts w:ascii="Arial" w:hAnsi="Arial"/>
      <w:b/>
      <w:kern w:val="2"/>
      <w:sz w:val="24"/>
    </w:rPr>
  </w:style>
  <w:style w:type="character" w:customStyle="1" w:styleId="173">
    <w:name w:val="标题 3 字符"/>
    <w:link w:val="4"/>
    <w:qFormat/>
    <w:uiPriority w:val="0"/>
    <w:rPr>
      <w:rFonts w:ascii="黑体"/>
      <w:kern w:val="2"/>
      <w:sz w:val="21"/>
    </w:rPr>
  </w:style>
  <w:style w:type="character" w:customStyle="1" w:styleId="174">
    <w:name w:val="正文缩进 字符"/>
    <w:link w:val="9"/>
    <w:qFormat/>
    <w:uiPriority w:val="0"/>
    <w:rPr>
      <w:sz w:val="24"/>
    </w:rPr>
  </w:style>
  <w:style w:type="character" w:customStyle="1" w:styleId="175">
    <w:name w:val="文档结构图 字符"/>
    <w:link w:val="11"/>
    <w:semiHidden/>
    <w:qFormat/>
    <w:uiPriority w:val="0"/>
    <w:rPr>
      <w:kern w:val="2"/>
      <w:sz w:val="21"/>
      <w:shd w:val="clear" w:color="auto" w:fill="000080"/>
    </w:rPr>
  </w:style>
  <w:style w:type="character" w:customStyle="1" w:styleId="176">
    <w:name w:val="批注文字 字符"/>
    <w:link w:val="12"/>
    <w:semiHidden/>
    <w:qFormat/>
    <w:uiPriority w:val="0"/>
    <w:rPr>
      <w:kern w:val="2"/>
      <w:sz w:val="21"/>
    </w:rPr>
  </w:style>
  <w:style w:type="character" w:customStyle="1" w:styleId="177">
    <w:name w:val="正文文本 3 字符"/>
    <w:link w:val="13"/>
    <w:qFormat/>
    <w:uiPriority w:val="0"/>
    <w:rPr>
      <w:rFonts w:eastAsia="仿宋_GB2312"/>
      <w:color w:val="FF0000"/>
      <w:kern w:val="2"/>
      <w:sz w:val="28"/>
    </w:rPr>
  </w:style>
  <w:style w:type="character" w:customStyle="1" w:styleId="178">
    <w:name w:val="正文文本 字符"/>
    <w:link w:val="14"/>
    <w:qFormat/>
    <w:uiPriority w:val="0"/>
    <w:rPr>
      <w:rFonts w:eastAsia="仿宋_GB2312"/>
      <w:kern w:val="2"/>
      <w:sz w:val="28"/>
    </w:rPr>
  </w:style>
  <w:style w:type="character" w:customStyle="1" w:styleId="179">
    <w:name w:val="正文文本缩进 字符"/>
    <w:link w:val="15"/>
    <w:qFormat/>
    <w:uiPriority w:val="0"/>
    <w:rPr>
      <w:rFonts w:eastAsia="仿宋_GB2312"/>
      <w:kern w:val="2"/>
      <w:sz w:val="28"/>
    </w:rPr>
  </w:style>
  <w:style w:type="character" w:customStyle="1" w:styleId="180">
    <w:name w:val="正文文本缩进 2 字符"/>
    <w:link w:val="20"/>
    <w:qFormat/>
    <w:uiPriority w:val="0"/>
    <w:rPr>
      <w:rFonts w:ascii="宋体" w:hAnsi="宋体"/>
      <w:kern w:val="2"/>
      <w:sz w:val="28"/>
    </w:rPr>
  </w:style>
  <w:style w:type="character" w:customStyle="1" w:styleId="181">
    <w:name w:val="批注框文本 字符"/>
    <w:link w:val="21"/>
    <w:semiHidden/>
    <w:qFormat/>
    <w:uiPriority w:val="0"/>
    <w:rPr>
      <w:kern w:val="2"/>
      <w:sz w:val="18"/>
      <w:szCs w:val="18"/>
    </w:rPr>
  </w:style>
  <w:style w:type="character" w:customStyle="1" w:styleId="182">
    <w:name w:val="副标题 字符"/>
    <w:basedOn w:val="36"/>
    <w:link w:val="25"/>
    <w:qFormat/>
    <w:uiPriority w:val="0"/>
    <w:rPr>
      <w:rFonts w:ascii="Cambria" w:hAnsi="Cambria"/>
      <w:b/>
      <w:bCs/>
      <w:kern w:val="28"/>
      <w:sz w:val="32"/>
      <w:szCs w:val="32"/>
    </w:rPr>
  </w:style>
  <w:style w:type="character" w:customStyle="1" w:styleId="183">
    <w:name w:val="正文文本缩进 3 字符"/>
    <w:link w:val="26"/>
    <w:qFormat/>
    <w:uiPriority w:val="0"/>
    <w:rPr>
      <w:rFonts w:ascii="仿宋_GB2312" w:eastAsia="仿宋_GB2312"/>
      <w:spacing w:val="-6"/>
      <w:kern w:val="2"/>
      <w:sz w:val="28"/>
    </w:rPr>
  </w:style>
  <w:style w:type="character" w:customStyle="1" w:styleId="184">
    <w:name w:val="正文文本 2 字符"/>
    <w:link w:val="28"/>
    <w:qFormat/>
    <w:uiPriority w:val="0"/>
    <w:rPr>
      <w:rFonts w:eastAsia="仿宋_GB2312"/>
      <w:kern w:val="2"/>
      <w:sz w:val="24"/>
    </w:rPr>
  </w:style>
  <w:style w:type="character" w:customStyle="1" w:styleId="185">
    <w:name w:val="标题 字符"/>
    <w:link w:val="30"/>
    <w:qFormat/>
    <w:uiPriority w:val="0"/>
    <w:rPr>
      <w:sz w:val="30"/>
    </w:rPr>
  </w:style>
  <w:style w:type="character" w:customStyle="1" w:styleId="186">
    <w:name w:val="批注主题 字符"/>
    <w:link w:val="31"/>
    <w:semiHidden/>
    <w:qFormat/>
    <w:uiPriority w:val="0"/>
    <w:rPr>
      <w:b/>
      <w:bCs/>
      <w:kern w:val="2"/>
      <w:sz w:val="21"/>
    </w:rPr>
  </w:style>
  <w:style w:type="character" w:customStyle="1" w:styleId="187">
    <w:name w:val="正文文本首行缩进 字符"/>
    <w:link w:val="32"/>
    <w:qFormat/>
    <w:uiPriority w:val="0"/>
    <w:rPr>
      <w:kern w:val="2"/>
      <w:sz w:val="30"/>
      <w:szCs w:val="30"/>
    </w:rPr>
  </w:style>
  <w:style w:type="character" w:customStyle="1" w:styleId="188">
    <w:name w:val="正文文本首行缩进 2 字符"/>
    <w:link w:val="33"/>
    <w:qFormat/>
    <w:uiPriority w:val="0"/>
    <w:rPr>
      <w:kern w:val="2"/>
      <w:sz w:val="21"/>
    </w:rPr>
  </w:style>
  <w:style w:type="character" w:customStyle="1" w:styleId="189">
    <w:name w:val="不明显强调1"/>
    <w:qFormat/>
    <w:uiPriority w:val="19"/>
    <w:rPr>
      <w:i/>
      <w:iCs/>
      <w:color w:val="7F7F7F"/>
    </w:rPr>
  </w:style>
  <w:style w:type="character" w:customStyle="1" w:styleId="190">
    <w:name w:val="明显强调1"/>
    <w:qFormat/>
    <w:uiPriority w:val="21"/>
    <w:rPr>
      <w:b/>
      <w:bCs/>
      <w:i/>
      <w:iCs/>
      <w:color w:val="4F81BD"/>
    </w:rPr>
  </w:style>
  <w:style w:type="character" w:customStyle="1" w:styleId="191">
    <w:name w:val="不明显参考1"/>
    <w:qFormat/>
    <w:uiPriority w:val="31"/>
    <w:rPr>
      <w:smallCaps/>
      <w:color w:val="C0504D"/>
      <w:u w:val="single"/>
    </w:rPr>
  </w:style>
  <w:style w:type="character" w:customStyle="1" w:styleId="192">
    <w:name w:val="明显参考1"/>
    <w:qFormat/>
    <w:uiPriority w:val="32"/>
    <w:rPr>
      <w:b/>
      <w:bCs/>
      <w:smallCaps/>
      <w:color w:val="C0504D"/>
      <w:spacing w:val="5"/>
      <w:u w:val="single"/>
    </w:rPr>
  </w:style>
  <w:style w:type="character" w:customStyle="1" w:styleId="193">
    <w:name w:val="书籍标题1"/>
    <w:qFormat/>
    <w:uiPriority w:val="33"/>
    <w:rPr>
      <w:b/>
      <w:bCs/>
      <w:smallCaps/>
      <w:spacing w:val="5"/>
    </w:rPr>
  </w:style>
  <w:style w:type="paragraph" w:styleId="194">
    <w:name w:val="Intense Quote"/>
    <w:basedOn w:val="1"/>
    <w:next w:val="1"/>
    <w:link w:val="195"/>
    <w:qFormat/>
    <w:uiPriority w:val="99"/>
    <w:pPr>
      <w:pBdr>
        <w:bottom w:val="single" w:color="4F81BD" w:sz="4" w:space="4"/>
      </w:pBdr>
      <w:spacing w:before="200" w:after="280" w:line="360" w:lineRule="auto"/>
      <w:ind w:left="936" w:right="936" w:firstLine="200" w:firstLineChars="200"/>
    </w:pPr>
    <w:rPr>
      <w:b/>
      <w:bCs/>
      <w:i/>
      <w:iCs/>
      <w:color w:val="4F81BD"/>
      <w:sz w:val="24"/>
    </w:rPr>
  </w:style>
  <w:style w:type="character" w:customStyle="1" w:styleId="195">
    <w:name w:val="明显引用 字符"/>
    <w:basedOn w:val="36"/>
    <w:link w:val="194"/>
    <w:qFormat/>
    <w:uiPriority w:val="99"/>
    <w:rPr>
      <w:b/>
      <w:bCs/>
      <w:i/>
      <w:iCs/>
      <w:color w:val="4F81BD"/>
      <w:kern w:val="2"/>
      <w:sz w:val="24"/>
    </w:rPr>
  </w:style>
  <w:style w:type="paragraph" w:styleId="196">
    <w:name w:val="No Spacing"/>
    <w:qFormat/>
    <w:uiPriority w:val="99"/>
    <w:pPr>
      <w:widowControl w:val="0"/>
      <w:jc w:val="both"/>
    </w:pPr>
    <w:rPr>
      <w:rFonts w:ascii="Times New Roman" w:hAnsi="Times New Roman" w:eastAsia="宋体" w:cs="Times New Roman"/>
      <w:kern w:val="2"/>
      <w:sz w:val="21"/>
      <w:lang w:val="en-US" w:eastAsia="zh-CN" w:bidi="ar-SA"/>
    </w:rPr>
  </w:style>
  <w:style w:type="paragraph" w:styleId="197">
    <w:name w:val="Quote"/>
    <w:basedOn w:val="1"/>
    <w:next w:val="1"/>
    <w:link w:val="198"/>
    <w:qFormat/>
    <w:uiPriority w:val="99"/>
    <w:pPr>
      <w:spacing w:line="360" w:lineRule="auto"/>
      <w:ind w:firstLine="200" w:firstLineChars="200"/>
    </w:pPr>
    <w:rPr>
      <w:i/>
      <w:iCs/>
      <w:color w:val="000000"/>
      <w:sz w:val="24"/>
    </w:rPr>
  </w:style>
  <w:style w:type="character" w:customStyle="1" w:styleId="198">
    <w:name w:val="引用 字符"/>
    <w:basedOn w:val="36"/>
    <w:link w:val="197"/>
    <w:qFormat/>
    <w:uiPriority w:val="99"/>
    <w:rPr>
      <w:i/>
      <w:iCs/>
      <w:color w:val="000000"/>
      <w:kern w:val="2"/>
      <w:sz w:val="24"/>
    </w:rPr>
  </w:style>
  <w:style w:type="character" w:customStyle="1" w:styleId="199">
    <w:name w:val="_正文格式 Char Char"/>
    <w:qFormat/>
    <w:uiPriority w:val="0"/>
    <w:rPr>
      <w:rFonts w:eastAsia="仿宋_GB2312"/>
      <w:kern w:val="2"/>
      <w:sz w:val="28"/>
      <w:szCs w:val="24"/>
      <w:lang w:val="en-US" w:eastAsia="zh-CN" w:bidi="ar-SA"/>
    </w:rPr>
  </w:style>
  <w:style w:type="table" w:customStyle="1" w:styleId="200">
    <w:name w:val="Table Normal4"/>
    <w:unhideWhenUsed/>
    <w:qFormat/>
    <w:uiPriority w:val="2"/>
    <w:pPr>
      <w:widowControl w:val="0"/>
    </w:pPr>
    <w:rPr>
      <w:rFonts w:ascii="Calibri" w:hAnsi="Calibri"/>
      <w:sz w:val="22"/>
      <w:szCs w:val="22"/>
      <w:lang w:eastAsia="en-US"/>
    </w:rPr>
    <w:tblPr>
      <w:tblCellMar>
        <w:top w:w="0" w:type="dxa"/>
        <w:left w:w="0" w:type="dxa"/>
        <w:bottom w:w="0" w:type="dxa"/>
        <w:right w:w="0" w:type="dxa"/>
      </w:tblCellMar>
    </w:tblPr>
  </w:style>
  <w:style w:type="paragraph" w:customStyle="1" w:styleId="201">
    <w:name w:val="标题4"/>
    <w:basedOn w:val="1"/>
    <w:qFormat/>
    <w:uiPriority w:val="0"/>
    <w:pPr>
      <w:jc w:val="left"/>
    </w:pPr>
    <w:rPr>
      <w:rFonts w:ascii="黑体" w:eastAsia="黑体"/>
      <w:sz w:val="24"/>
    </w:rPr>
  </w:style>
  <w:style w:type="paragraph" w:customStyle="1" w:styleId="202">
    <w:name w:val="Char10"/>
    <w:basedOn w:val="1"/>
    <w:qFormat/>
    <w:uiPriority w:val="0"/>
    <w:rPr>
      <w:szCs w:val="24"/>
    </w:rPr>
  </w:style>
  <w:style w:type="paragraph" w:customStyle="1" w:styleId="203">
    <w:name w:val="Char9"/>
    <w:basedOn w:val="1"/>
    <w:qFormat/>
    <w:uiPriority w:val="0"/>
    <w:rPr>
      <w:szCs w:val="24"/>
    </w:rPr>
  </w:style>
  <w:style w:type="character" w:customStyle="1" w:styleId="204">
    <w:name w:val="表内 Char"/>
    <w:link w:val="159"/>
    <w:qFormat/>
    <w:uiPriority w:val="0"/>
    <w:rPr>
      <w:rFonts w:ascii="宋体" w:hAnsi="宋体" w:cs="仿宋"/>
      <w:kern w:val="2"/>
      <w:sz w:val="21"/>
    </w:rPr>
  </w:style>
  <w:style w:type="paragraph" w:customStyle="1" w:styleId="205">
    <w:name w:val="Char8"/>
    <w:basedOn w:val="1"/>
    <w:qFormat/>
    <w:uiPriority w:val="0"/>
    <w:rPr>
      <w:szCs w:val="24"/>
    </w:rPr>
  </w:style>
  <w:style w:type="paragraph" w:customStyle="1" w:styleId="206">
    <w:name w:val="H正文"/>
    <w:qFormat/>
    <w:uiPriority w:val="0"/>
    <w:pPr>
      <w:spacing w:line="520" w:lineRule="exact"/>
      <w:ind w:firstLine="200" w:firstLineChars="200"/>
      <w:jc w:val="both"/>
      <w:textAlignment w:val="center"/>
    </w:pPr>
    <w:rPr>
      <w:rFonts w:ascii="Times New Roman" w:hAnsi="Times New Roman" w:eastAsia="宋体" w:cs="黑体"/>
      <w:kern w:val="2"/>
      <w:sz w:val="28"/>
      <w:szCs w:val="28"/>
      <w:lang w:val="en-US" w:eastAsia="zh-CN" w:bidi="ar-SA"/>
    </w:rPr>
  </w:style>
  <w:style w:type="paragraph" w:customStyle="1" w:styleId="207">
    <w:name w:val="CM11"/>
    <w:next w:val="23"/>
    <w:qFormat/>
    <w:uiPriority w:val="0"/>
    <w:pPr>
      <w:widowControl w:val="0"/>
      <w:autoSpaceDE w:val="0"/>
      <w:autoSpaceDN w:val="0"/>
      <w:adjustRightInd w:val="0"/>
      <w:spacing w:line="588" w:lineRule="atLeast"/>
    </w:pPr>
    <w:rPr>
      <w:rFonts w:ascii="宋体" w:hAnsi="Times New Roman" w:eastAsia="宋体" w:cs="Times New Roman"/>
      <w:sz w:val="24"/>
      <w:szCs w:val="24"/>
      <w:lang w:val="en-US" w:eastAsia="zh-CN" w:bidi="ar-SA"/>
    </w:rPr>
  </w:style>
  <w:style w:type="character" w:customStyle="1" w:styleId="208">
    <w:name w:val="_正文格式 Char"/>
    <w:qFormat/>
    <w:uiPriority w:val="0"/>
    <w:rPr>
      <w:rFonts w:ascii="Calibri" w:hAnsi="Calibri"/>
      <w:kern w:val="2"/>
      <w:sz w:val="24"/>
      <w:szCs w:val="24"/>
    </w:rPr>
  </w:style>
  <w:style w:type="paragraph" w:customStyle="1" w:styleId="209">
    <w:name w:val="Char7"/>
    <w:basedOn w:val="1"/>
    <w:qFormat/>
    <w:uiPriority w:val="0"/>
    <w:rPr>
      <w:szCs w:val="24"/>
    </w:rPr>
  </w:style>
  <w:style w:type="paragraph" w:customStyle="1" w:styleId="210">
    <w:name w:val="列出段落2"/>
    <w:basedOn w:val="1"/>
    <w:qFormat/>
    <w:uiPriority w:val="0"/>
    <w:pPr>
      <w:ind w:firstLine="420" w:firstLineChars="200"/>
    </w:pPr>
    <w:rPr>
      <w:szCs w:val="22"/>
    </w:rPr>
  </w:style>
  <w:style w:type="paragraph" w:customStyle="1" w:styleId="211">
    <w:name w:val="Char6"/>
    <w:basedOn w:val="1"/>
    <w:qFormat/>
    <w:uiPriority w:val="0"/>
    <w:rPr>
      <w:szCs w:val="24"/>
    </w:rPr>
  </w:style>
  <w:style w:type="paragraph" w:customStyle="1" w:styleId="212">
    <w:name w:val="Char5"/>
    <w:basedOn w:val="1"/>
    <w:qFormat/>
    <w:uiPriority w:val="0"/>
    <w:rPr>
      <w:szCs w:val="24"/>
    </w:rPr>
  </w:style>
  <w:style w:type="paragraph" w:customStyle="1" w:styleId="213">
    <w:name w:val="Char3"/>
    <w:basedOn w:val="1"/>
    <w:qFormat/>
    <w:uiPriority w:val="0"/>
    <w:rPr>
      <w:szCs w:val="24"/>
    </w:rPr>
  </w:style>
  <w:style w:type="paragraph" w:customStyle="1" w:styleId="214">
    <w:name w:val="BST-表内"/>
    <w:basedOn w:val="1"/>
    <w:next w:val="1"/>
    <w:link w:val="215"/>
    <w:qFormat/>
    <w:uiPriority w:val="0"/>
    <w:pPr>
      <w:adjustRightInd w:val="0"/>
      <w:snapToGrid w:val="0"/>
      <w:jc w:val="center"/>
    </w:pPr>
    <w:rPr>
      <w:rFonts w:ascii="宋体" w:hAnsi="宋体"/>
      <w:sz w:val="22"/>
      <w:szCs w:val="28"/>
    </w:rPr>
  </w:style>
  <w:style w:type="character" w:customStyle="1" w:styleId="215">
    <w:name w:val="BST-表内 字符"/>
    <w:link w:val="214"/>
    <w:qFormat/>
    <w:uiPriority w:val="0"/>
    <w:rPr>
      <w:rFonts w:ascii="宋体" w:hAnsi="宋体"/>
      <w:kern w:val="2"/>
      <w:sz w:val="22"/>
      <w:szCs w:val="28"/>
    </w:rPr>
  </w:style>
  <w:style w:type="paragraph" w:customStyle="1" w:styleId="216">
    <w:name w:val="BST-图名"/>
    <w:basedOn w:val="1"/>
    <w:next w:val="1"/>
    <w:link w:val="217"/>
    <w:qFormat/>
    <w:uiPriority w:val="0"/>
    <w:pPr>
      <w:adjustRightInd w:val="0"/>
      <w:snapToGrid w:val="0"/>
      <w:spacing w:after="50" w:line="360" w:lineRule="auto"/>
      <w:jc w:val="center"/>
    </w:pPr>
    <w:rPr>
      <w:rFonts w:ascii="宋体" w:hAnsi="宋体"/>
      <w:b/>
      <w:sz w:val="24"/>
      <w:szCs w:val="28"/>
    </w:rPr>
  </w:style>
  <w:style w:type="character" w:customStyle="1" w:styleId="217">
    <w:name w:val="BST-图名 字符"/>
    <w:link w:val="216"/>
    <w:qFormat/>
    <w:uiPriority w:val="0"/>
    <w:rPr>
      <w:rFonts w:ascii="宋体" w:hAnsi="宋体"/>
      <w:b/>
      <w:kern w:val="2"/>
      <w:sz w:val="24"/>
      <w:szCs w:val="28"/>
    </w:rPr>
  </w:style>
  <w:style w:type="paragraph" w:customStyle="1" w:styleId="218">
    <w:name w:val="BST-表名"/>
    <w:basedOn w:val="1"/>
    <w:next w:val="1"/>
    <w:link w:val="219"/>
    <w:qFormat/>
    <w:uiPriority w:val="0"/>
    <w:pPr>
      <w:keepNext/>
      <w:tabs>
        <w:tab w:val="center" w:pos="4224"/>
      </w:tabs>
      <w:adjustRightInd w:val="0"/>
      <w:snapToGrid w:val="0"/>
      <w:spacing w:line="560" w:lineRule="atLeast"/>
      <w:ind w:firstLine="198" w:firstLineChars="200"/>
      <w:jc w:val="left"/>
    </w:pPr>
    <w:rPr>
      <w:rFonts w:ascii="宋体" w:hAnsi="宋体"/>
      <w:b/>
      <w:kern w:val="0"/>
      <w:sz w:val="24"/>
      <w:szCs w:val="28"/>
    </w:rPr>
  </w:style>
  <w:style w:type="character" w:customStyle="1" w:styleId="219">
    <w:name w:val="BST-表名 字符"/>
    <w:link w:val="218"/>
    <w:qFormat/>
    <w:uiPriority w:val="0"/>
    <w:rPr>
      <w:rFonts w:ascii="宋体" w:hAnsi="宋体"/>
      <w:b/>
      <w:sz w:val="24"/>
      <w:szCs w:val="28"/>
    </w:rPr>
  </w:style>
  <w:style w:type="paragraph" w:customStyle="1" w:styleId="220">
    <w:name w:val="正文文字1"/>
    <w:basedOn w:val="1"/>
    <w:qFormat/>
    <w:uiPriority w:val="0"/>
    <w:pPr>
      <w:jc w:val="center"/>
    </w:pPr>
    <w:rPr>
      <w:rFonts w:ascii="Calibri" w:hAnsi="Calibri"/>
      <w:color w:val="000000"/>
      <w:szCs w:val="22"/>
    </w:rPr>
  </w:style>
  <w:style w:type="paragraph" w:customStyle="1" w:styleId="221">
    <w:name w:val="标题5"/>
    <w:basedOn w:val="1"/>
    <w:next w:val="1"/>
    <w:qFormat/>
    <w:uiPriority w:val="0"/>
    <w:pPr>
      <w:spacing w:line="360" w:lineRule="auto"/>
      <w:ind w:firstLine="480" w:firstLineChars="200"/>
      <w:outlineLvl w:val="4"/>
    </w:pPr>
    <w:rPr>
      <w:sz w:val="24"/>
    </w:rPr>
  </w:style>
  <w:style w:type="character" w:styleId="222">
    <w:name w:val="Placeholder Text"/>
    <w:semiHidden/>
    <w:qFormat/>
    <w:uiPriority w:val="99"/>
    <w:rPr>
      <w:color w:val="808080"/>
    </w:rPr>
  </w:style>
  <w:style w:type="paragraph" w:customStyle="1" w:styleId="223">
    <w:name w:val="Body text|1"/>
    <w:basedOn w:val="1"/>
    <w:qFormat/>
    <w:uiPriority w:val="0"/>
    <w:pPr>
      <w:spacing w:line="480" w:lineRule="auto"/>
      <w:ind w:firstLine="400" w:firstLineChars="200"/>
    </w:pPr>
    <w:rPr>
      <w:rFonts w:ascii="宋体" w:hAnsi="宋体" w:cs="宋体"/>
      <w:sz w:val="26"/>
      <w:szCs w:val="26"/>
      <w:lang w:val="zh-TW" w:eastAsia="zh-TW" w:bidi="zh-TW"/>
    </w:rPr>
  </w:style>
  <w:style w:type="paragraph" w:customStyle="1" w:styleId="224">
    <w:name w:val="Header or footer|1"/>
    <w:basedOn w:val="1"/>
    <w:qFormat/>
    <w:uiPriority w:val="0"/>
    <w:pPr>
      <w:spacing w:line="360" w:lineRule="auto"/>
      <w:ind w:firstLine="200" w:firstLineChars="200"/>
    </w:pPr>
    <w:rPr>
      <w:rFonts w:ascii="宋体" w:hAnsi="宋体" w:cs="宋体"/>
      <w:sz w:val="17"/>
      <w:szCs w:val="17"/>
      <w:lang w:val="zh-TW" w:eastAsia="zh-TW" w:bidi="zh-TW"/>
    </w:rPr>
  </w:style>
  <w:style w:type="paragraph" w:customStyle="1" w:styleId="225">
    <w:name w:val="Body text|3"/>
    <w:basedOn w:val="1"/>
    <w:qFormat/>
    <w:uiPriority w:val="0"/>
    <w:pPr>
      <w:spacing w:line="630" w:lineRule="exact"/>
      <w:ind w:firstLine="600" w:firstLineChars="200"/>
    </w:pPr>
    <w:rPr>
      <w:rFonts w:ascii="宋体" w:hAnsi="宋体" w:cs="宋体"/>
      <w:sz w:val="30"/>
      <w:szCs w:val="30"/>
      <w:lang w:val="zh-TW" w:eastAsia="zh-TW" w:bidi="zh-TW"/>
    </w:rPr>
  </w:style>
  <w:style w:type="paragraph" w:customStyle="1" w:styleId="226">
    <w:name w:val="Other|1"/>
    <w:basedOn w:val="1"/>
    <w:qFormat/>
    <w:uiPriority w:val="0"/>
    <w:pPr>
      <w:spacing w:line="480" w:lineRule="auto"/>
      <w:ind w:firstLine="400" w:firstLineChars="200"/>
    </w:pPr>
    <w:rPr>
      <w:rFonts w:ascii="宋体" w:hAnsi="宋体" w:cs="宋体"/>
      <w:sz w:val="26"/>
      <w:szCs w:val="26"/>
    </w:rPr>
  </w:style>
  <w:style w:type="paragraph" w:customStyle="1" w:styleId="227">
    <w:name w:val="Body text|2"/>
    <w:basedOn w:val="1"/>
    <w:qFormat/>
    <w:uiPriority w:val="0"/>
    <w:pPr>
      <w:spacing w:line="630" w:lineRule="exact"/>
      <w:ind w:firstLine="590" w:firstLineChars="200"/>
    </w:pPr>
    <w:rPr>
      <w:sz w:val="28"/>
      <w:szCs w:val="28"/>
      <w:lang w:val="zh-TW" w:eastAsia="zh-TW" w:bidi="zh-TW"/>
    </w:rPr>
  </w:style>
  <w:style w:type="paragraph" w:customStyle="1" w:styleId="228">
    <w:name w:val="Header or footer|2"/>
    <w:basedOn w:val="1"/>
    <w:qFormat/>
    <w:uiPriority w:val="0"/>
    <w:pPr>
      <w:spacing w:line="360" w:lineRule="auto"/>
      <w:ind w:firstLine="200" w:firstLineChars="200"/>
    </w:pPr>
    <w:rPr>
      <w:sz w:val="20"/>
      <w:lang w:val="zh-TW" w:eastAsia="zh-TW" w:bidi="zh-TW"/>
    </w:rPr>
  </w:style>
  <w:style w:type="paragraph" w:customStyle="1" w:styleId="229">
    <w:name w:val="Picture caption|1"/>
    <w:basedOn w:val="1"/>
    <w:qFormat/>
    <w:uiPriority w:val="0"/>
    <w:pPr>
      <w:spacing w:line="360" w:lineRule="auto"/>
      <w:ind w:firstLine="200" w:firstLineChars="200"/>
      <w:jc w:val="right"/>
    </w:pPr>
    <w:rPr>
      <w:rFonts w:ascii="宋体" w:hAnsi="宋体" w:cs="宋体"/>
      <w:sz w:val="20"/>
      <w:lang w:val="zh-TW" w:eastAsia="zh-TW" w:bidi="zh-TW"/>
    </w:rPr>
  </w:style>
  <w:style w:type="paragraph" w:customStyle="1" w:styleId="230">
    <w:name w:val="正文2"/>
    <w:qFormat/>
    <w:uiPriority w:val="0"/>
    <w:pPr>
      <w:jc w:val="both"/>
    </w:pPr>
    <w:rPr>
      <w:rFonts w:ascii="Times New Roman" w:hAnsi="Times New Roman" w:eastAsia="宋体" w:cs="Times New Roman"/>
      <w:kern w:val="2"/>
      <w:sz w:val="21"/>
      <w:szCs w:val="21"/>
      <w:lang w:val="en-US" w:eastAsia="zh-CN" w:bidi="ar-SA"/>
    </w:rPr>
  </w:style>
  <w:style w:type="paragraph" w:customStyle="1" w:styleId="231">
    <w:name w:val="Body text|4"/>
    <w:basedOn w:val="1"/>
    <w:qFormat/>
    <w:uiPriority w:val="0"/>
    <w:pPr>
      <w:spacing w:line="360" w:lineRule="auto"/>
      <w:ind w:firstLine="700" w:firstLineChars="200"/>
    </w:pPr>
    <w:rPr>
      <w:sz w:val="28"/>
      <w:szCs w:val="28"/>
      <w:lang w:val="zh-TW" w:eastAsia="zh-TW" w:bidi="zh-TW"/>
    </w:rPr>
  </w:style>
  <w:style w:type="paragraph" w:customStyle="1" w:styleId="232">
    <w:name w:val="Table caption|1"/>
    <w:basedOn w:val="1"/>
    <w:qFormat/>
    <w:uiPriority w:val="0"/>
    <w:pPr>
      <w:spacing w:line="360" w:lineRule="auto"/>
      <w:ind w:firstLine="200" w:firstLineChars="200"/>
    </w:pPr>
    <w:rPr>
      <w:rFonts w:ascii="宋体" w:hAnsi="宋体" w:cs="宋体"/>
      <w:sz w:val="17"/>
      <w:szCs w:val="17"/>
      <w:lang w:val="zh-TW" w:eastAsia="zh-TW" w:bidi="zh-TW"/>
    </w:rPr>
  </w:style>
  <w:style w:type="character" w:customStyle="1" w:styleId="233">
    <w:name w:val="不明显强调2"/>
    <w:qFormat/>
    <w:uiPriority w:val="19"/>
    <w:rPr>
      <w:i/>
      <w:iCs/>
      <w:color w:val="7F7F7F"/>
    </w:rPr>
  </w:style>
  <w:style w:type="character" w:customStyle="1" w:styleId="234">
    <w:name w:val="明显强调2"/>
    <w:qFormat/>
    <w:uiPriority w:val="21"/>
    <w:rPr>
      <w:b/>
      <w:bCs/>
      <w:i/>
      <w:iCs/>
      <w:color w:val="4F81BD"/>
    </w:rPr>
  </w:style>
  <w:style w:type="character" w:customStyle="1" w:styleId="235">
    <w:name w:val="不明显参考2"/>
    <w:qFormat/>
    <w:uiPriority w:val="31"/>
    <w:rPr>
      <w:smallCaps/>
      <w:color w:val="C0504D"/>
      <w:u w:val="single"/>
    </w:rPr>
  </w:style>
  <w:style w:type="character" w:customStyle="1" w:styleId="236">
    <w:name w:val="明显参考2"/>
    <w:qFormat/>
    <w:uiPriority w:val="32"/>
    <w:rPr>
      <w:b/>
      <w:bCs/>
      <w:smallCaps/>
      <w:color w:val="C0504D"/>
      <w:spacing w:val="5"/>
      <w:u w:val="single"/>
    </w:rPr>
  </w:style>
  <w:style w:type="character" w:customStyle="1" w:styleId="237">
    <w:name w:val="书籍标题2"/>
    <w:qFormat/>
    <w:uiPriority w:val="33"/>
    <w:rPr>
      <w:b/>
      <w:bCs/>
      <w:smallCaps/>
      <w:spacing w:val="5"/>
    </w:rPr>
  </w:style>
  <w:style w:type="table" w:customStyle="1" w:styleId="238">
    <w:name w:val="Table Normal5"/>
    <w:unhideWhenUsed/>
    <w:qFormat/>
    <w:uiPriority w:val="2"/>
    <w:pPr>
      <w:widowControl w:val="0"/>
    </w:pPr>
    <w:rPr>
      <w:rFonts w:ascii="Calibri" w:hAnsi="Calibri"/>
      <w:sz w:val="22"/>
      <w:szCs w:val="22"/>
      <w:lang w:eastAsia="en-US"/>
    </w:rPr>
    <w:tblPr>
      <w:tblCellMar>
        <w:top w:w="0" w:type="dxa"/>
        <w:left w:w="0" w:type="dxa"/>
        <w:bottom w:w="0" w:type="dxa"/>
        <w:right w:w="0" w:type="dxa"/>
      </w:tblCellMar>
    </w:tblPr>
  </w:style>
  <w:style w:type="paragraph" w:customStyle="1" w:styleId="239">
    <w:name w:val="msonormal"/>
    <w:basedOn w:val="1"/>
    <w:qFormat/>
    <w:uiPriority w:val="0"/>
    <w:pPr>
      <w:widowControl/>
      <w:spacing w:before="100" w:beforeAutospacing="1" w:after="100" w:afterAutospacing="1"/>
      <w:jc w:val="left"/>
    </w:pPr>
    <w:rPr>
      <w:rFonts w:ascii="宋体" w:hAnsi="宋体" w:cs="宋体"/>
      <w:kern w:val="0"/>
      <w:sz w:val="24"/>
      <w:szCs w:val="24"/>
    </w:rPr>
  </w:style>
  <w:style w:type="table" w:customStyle="1" w:styleId="240">
    <w:name w:val="Table Normal6"/>
    <w:semiHidden/>
    <w:unhideWhenUsed/>
    <w:qFormat/>
    <w:uiPriority w:val="0"/>
    <w:rPr>
      <w:rFonts w:ascii="Calibri" w:hAnsi="Calibri"/>
    </w:rPr>
    <w:tblPr>
      <w:tblCellMar>
        <w:top w:w="0" w:type="dxa"/>
        <w:left w:w="0" w:type="dxa"/>
        <w:bottom w:w="0" w:type="dxa"/>
        <w:right w:w="0" w:type="dxa"/>
      </w:tblCellMar>
    </w:tblPr>
  </w:style>
  <w:style w:type="table" w:customStyle="1" w:styleId="241">
    <w:name w:val="Table Normal7"/>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242">
    <w:name w:val="Table Normal8"/>
    <w:semiHidden/>
    <w:unhideWhenUsed/>
    <w:qFormat/>
    <w:uiPriority w:val="0"/>
    <w:rPr>
      <w:rFonts w:ascii="Arial" w:hAnsi="Arial" w:eastAsia="等线" w:cs="Arial"/>
      <w:snapToGrid w:val="0"/>
      <w:color w:val="000000"/>
      <w:sz w:val="21"/>
      <w:szCs w:val="21"/>
      <w:lang w:eastAsia="en-US"/>
    </w:rPr>
    <w:tblPr>
      <w:tblCellMar>
        <w:top w:w="0" w:type="dxa"/>
        <w:left w:w="0" w:type="dxa"/>
        <w:bottom w:w="0" w:type="dxa"/>
        <w:right w:w="0" w:type="dxa"/>
      </w:tblCellMar>
    </w:tblPr>
  </w:style>
  <w:style w:type="table" w:customStyle="1" w:styleId="243">
    <w:name w:val="网格型1"/>
    <w:basedOn w:val="3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4">
    <w:name w:val="网格型2"/>
    <w:basedOn w:val="3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45">
    <w:name w:val="标题 6 字符"/>
    <w:basedOn w:val="36"/>
    <w:link w:val="7"/>
    <w:qFormat/>
    <w:uiPriority w:val="9"/>
    <w:rPr>
      <w:rFonts w:ascii="等线 Light" w:hAnsi="等线 Light" w:eastAsia="等线 Light"/>
      <w:b/>
      <w:bCs/>
      <w:kern w:val="2"/>
      <w:sz w:val="24"/>
      <w:szCs w:val="24"/>
    </w:rPr>
  </w:style>
  <w:style w:type="character" w:customStyle="1" w:styleId="246">
    <w:name w:val="页眉 字符"/>
    <w:basedOn w:val="36"/>
    <w:link w:val="23"/>
    <w:qFormat/>
    <w:uiPriority w:val="0"/>
    <w:rPr>
      <w:kern w:val="2"/>
      <w:sz w:val="18"/>
    </w:rPr>
  </w:style>
  <w:style w:type="paragraph" w:customStyle="1" w:styleId="247">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Cs w:val="21"/>
    </w:rPr>
  </w:style>
  <w:style w:type="paragraph" w:customStyle="1" w:styleId="248">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249">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szCs w:val="24"/>
    </w:rPr>
  </w:style>
  <w:style w:type="paragraph" w:customStyle="1" w:styleId="250">
    <w:name w:val="xl95"/>
    <w:basedOn w:val="1"/>
    <w:qFormat/>
    <w:uiPriority w:val="0"/>
    <w:pPr>
      <w:widowControl/>
      <w:spacing w:before="100" w:beforeAutospacing="1" w:after="100" w:afterAutospacing="1"/>
      <w:jc w:val="center"/>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2.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theme" Target="theme/theme1.xml"/><Relationship Id="rId25" Type="http://schemas.openxmlformats.org/officeDocument/2006/relationships/footer" Target="footer11.xml"/><Relationship Id="rId24" Type="http://schemas.openxmlformats.org/officeDocument/2006/relationships/footer" Target="footer10.xml"/><Relationship Id="rId23" Type="http://schemas.openxmlformats.org/officeDocument/2006/relationships/header" Target="header12.xml"/><Relationship Id="rId22" Type="http://schemas.openxmlformats.org/officeDocument/2006/relationships/footer" Target="footer9.xml"/><Relationship Id="rId21" Type="http://schemas.openxmlformats.org/officeDocument/2006/relationships/header" Target="header11.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header" Target="header10.xml"/><Relationship Id="rId18" Type="http://schemas.openxmlformats.org/officeDocument/2006/relationships/header" Target="header9.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76D024D-E485-4ACD-99C7-41BDFED8C75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137</Pages>
  <Words>5680</Words>
  <Characters>6260</Characters>
  <Lines>1547</Lines>
  <Paragraphs>435</Paragraphs>
  <TotalTime>4</TotalTime>
  <ScaleCrop>false</ScaleCrop>
  <LinksUpToDate>false</LinksUpToDate>
  <CharactersWithSpaces>6427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2026-02-12T00:38:00Z</dcterms:created>
  <dc:creator>Lenovo User</dc:creator>
  <cp:lastModifiedBy>在路上。</cp:lastModifiedBy>
  <cp:lastPrinted>2026-10-13T07:17:00Z</cp:lastPrinted>
  <dcterms:modified xsi:type="dcterms:W3CDTF">2026-10-27T01:28:48Z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eyJoZGlkIjoiZGUyYWM5YTE4ZmFhNzRkYjUyNjczNWMwYjRhMDQyYmEiLCJ1c2VySWQiOiIzMTc5NDEwNjgifQ==</vt:lpwstr>
  </property>
  <property fmtid="{D5CDD505-2E9C-101B-9397-08002B2CF9AE}" pid="4" name="ICV">
    <vt:lpwstr>9FA300380F4A40B78B99F81906EB4983_13</vt:lpwstr>
  </property>
</Properties>
</file>