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BE47F5">
      <w:pPr>
        <w:jc w:val="center"/>
        <w:rPr>
          <w:rStyle w:val="63"/>
          <w:rFonts w:ascii="Times New Roman" w:hAnsi="Times New Roman" w:cs="Times New Roman"/>
          <w:color w:val="000000" w:themeColor="text1"/>
          <w:sz w:val="44"/>
          <w:szCs w:val="44"/>
          <w14:textFill>
            <w14:solidFill>
              <w14:schemeClr w14:val="tx1"/>
            </w14:solidFill>
          </w14:textFill>
        </w:rPr>
      </w:pPr>
      <w:bookmarkStart w:id="0" w:name="_Toc139873757"/>
      <w:bookmarkStart w:id="1" w:name="_Toc168993449"/>
      <w:bookmarkStart w:id="2" w:name="_Toc139505326"/>
    </w:p>
    <w:p w14:paraId="01DB4B23">
      <w:pPr>
        <w:jc w:val="center"/>
        <w:rPr>
          <w:rStyle w:val="63"/>
          <w:rFonts w:ascii="Times New Roman" w:hAnsi="Times New Roman" w:cs="Times New Roman"/>
          <w:b/>
          <w:color w:val="000000" w:themeColor="text1"/>
          <w:sz w:val="52"/>
          <w:szCs w:val="52"/>
          <w14:textFill>
            <w14:solidFill>
              <w14:schemeClr w14:val="tx1"/>
            </w14:solidFill>
          </w14:textFill>
        </w:rPr>
      </w:pPr>
    </w:p>
    <w:p w14:paraId="1D513407">
      <w:pPr>
        <w:spacing w:line="360" w:lineRule="auto"/>
        <w:jc w:val="center"/>
        <w:rPr>
          <w:rStyle w:val="63"/>
          <w:rFonts w:hint="eastAsia" w:ascii="宋体" w:hAnsi="宋体"/>
          <w:color w:val="000000" w:themeColor="text1"/>
          <w:sz w:val="48"/>
          <w:szCs w:val="48"/>
          <w:lang w:val="en-US" w:eastAsia="zh-CN"/>
          <w14:textFill>
            <w14:solidFill>
              <w14:schemeClr w14:val="tx1"/>
            </w14:solidFill>
          </w14:textFill>
        </w:rPr>
      </w:pPr>
      <w:r>
        <w:rPr>
          <w:rStyle w:val="63"/>
          <w:rFonts w:hint="eastAsia" w:ascii="宋体" w:hAnsi="宋体"/>
          <w:color w:val="000000" w:themeColor="text1"/>
          <w:sz w:val="48"/>
          <w:szCs w:val="48"/>
          <w:lang w:val="en-US" w:eastAsia="zh-CN"/>
          <w14:textFill>
            <w14:solidFill>
              <w14:schemeClr w14:val="tx1"/>
            </w14:solidFill>
          </w14:textFill>
        </w:rPr>
        <w:t>赤峰太安新型建筑材料有限公司</w:t>
      </w:r>
    </w:p>
    <w:p w14:paraId="6CAFE3DA">
      <w:pPr>
        <w:spacing w:line="360" w:lineRule="auto"/>
        <w:jc w:val="center"/>
        <w:rPr>
          <w:rStyle w:val="63"/>
          <w:rFonts w:hint="default" w:ascii="宋体" w:hAnsi="宋体" w:eastAsia="宋体"/>
          <w:color w:val="000000" w:themeColor="text1"/>
          <w:sz w:val="48"/>
          <w:szCs w:val="48"/>
          <w:lang w:val="en-US" w:eastAsia="zh-CN"/>
          <w14:textFill>
            <w14:solidFill>
              <w14:schemeClr w14:val="tx1"/>
            </w14:solidFill>
          </w14:textFill>
        </w:rPr>
      </w:pPr>
      <w:r>
        <w:rPr>
          <w:rStyle w:val="63"/>
          <w:rFonts w:hint="eastAsia" w:ascii="宋体" w:hAnsi="宋体"/>
          <w:color w:val="000000" w:themeColor="text1"/>
          <w:sz w:val="48"/>
          <w:szCs w:val="48"/>
          <w:lang w:val="en-US" w:eastAsia="zh-CN"/>
          <w14:textFill>
            <w14:solidFill>
              <w14:schemeClr w14:val="tx1"/>
            </w14:solidFill>
          </w14:textFill>
        </w:rPr>
        <w:t>太平地镇粘土矿</w:t>
      </w:r>
    </w:p>
    <w:p w14:paraId="32C5009B">
      <w:pPr>
        <w:spacing w:line="360" w:lineRule="auto"/>
        <w:jc w:val="center"/>
        <w:rPr>
          <w:rStyle w:val="63"/>
          <w:rFonts w:ascii="Times New Roman" w:hAnsi="Times New Roman" w:eastAsia="黑体" w:cs="Times New Roman"/>
          <w:color w:val="000000" w:themeColor="text1"/>
          <w:sz w:val="52"/>
          <w:szCs w:val="52"/>
          <w14:textFill>
            <w14:solidFill>
              <w14:schemeClr w14:val="tx1"/>
            </w14:solidFill>
          </w14:textFill>
        </w:rPr>
      </w:pPr>
      <w:r>
        <w:rPr>
          <w:rStyle w:val="63"/>
          <w:rFonts w:hint="eastAsia" w:eastAsia="黑体" w:cs="Times New Roman"/>
          <w:color w:val="000000" w:themeColor="text1"/>
          <w:sz w:val="52"/>
          <w:szCs w:val="52"/>
          <w14:textFill>
            <w14:solidFill>
              <w14:schemeClr w14:val="tx1"/>
            </w14:solidFill>
          </w14:textFill>
        </w:rPr>
        <w:t>矿区生态修复方案</w:t>
      </w:r>
    </w:p>
    <w:p w14:paraId="4AB50F0D">
      <w:pPr>
        <w:ind w:firstLine="480"/>
        <w:jc w:val="center"/>
        <w:rPr>
          <w:rStyle w:val="63"/>
          <w:rFonts w:ascii="Times New Roman" w:hAnsi="Times New Roman" w:cs="Times New Roman"/>
          <w:color w:val="000000" w:themeColor="text1"/>
          <w14:textFill>
            <w14:solidFill>
              <w14:schemeClr w14:val="tx1"/>
            </w14:solidFill>
          </w14:textFill>
        </w:rPr>
      </w:pPr>
    </w:p>
    <w:p w14:paraId="1F0F5046">
      <w:pPr>
        <w:ind w:firstLine="480"/>
        <w:jc w:val="center"/>
        <w:rPr>
          <w:rStyle w:val="63"/>
          <w:rFonts w:ascii="Times New Roman" w:hAnsi="Times New Roman" w:cs="Times New Roman"/>
          <w:color w:val="000000" w:themeColor="text1"/>
          <w14:textFill>
            <w14:solidFill>
              <w14:schemeClr w14:val="tx1"/>
            </w14:solidFill>
          </w14:textFill>
        </w:rPr>
      </w:pPr>
    </w:p>
    <w:p w14:paraId="29874C25">
      <w:pPr>
        <w:ind w:firstLine="480"/>
        <w:jc w:val="center"/>
        <w:rPr>
          <w:rStyle w:val="63"/>
          <w:rFonts w:ascii="Times New Roman" w:hAnsi="Times New Roman" w:cs="Times New Roman"/>
          <w:color w:val="000000" w:themeColor="text1"/>
          <w14:textFill>
            <w14:solidFill>
              <w14:schemeClr w14:val="tx1"/>
            </w14:solidFill>
          </w14:textFill>
        </w:rPr>
      </w:pPr>
    </w:p>
    <w:p w14:paraId="4681028E">
      <w:pPr>
        <w:ind w:firstLine="480"/>
        <w:jc w:val="center"/>
        <w:rPr>
          <w:rStyle w:val="63"/>
          <w:rFonts w:ascii="Times New Roman" w:hAnsi="Times New Roman" w:cs="Times New Roman"/>
          <w:color w:val="000000" w:themeColor="text1"/>
          <w14:textFill>
            <w14:solidFill>
              <w14:schemeClr w14:val="tx1"/>
            </w14:solidFill>
          </w14:textFill>
        </w:rPr>
      </w:pPr>
    </w:p>
    <w:p w14:paraId="5E4BD6A1">
      <w:pPr>
        <w:ind w:firstLine="480"/>
        <w:jc w:val="center"/>
        <w:rPr>
          <w:rStyle w:val="63"/>
          <w:rFonts w:ascii="Times New Roman" w:hAnsi="Times New Roman" w:cs="Times New Roman"/>
          <w:color w:val="000000" w:themeColor="text1"/>
          <w14:textFill>
            <w14:solidFill>
              <w14:schemeClr w14:val="tx1"/>
            </w14:solidFill>
          </w14:textFill>
        </w:rPr>
      </w:pPr>
    </w:p>
    <w:p w14:paraId="1E75BE8C">
      <w:pPr>
        <w:ind w:firstLine="480"/>
        <w:jc w:val="center"/>
        <w:rPr>
          <w:rStyle w:val="63"/>
          <w:rFonts w:ascii="Times New Roman" w:hAnsi="Times New Roman" w:cs="Times New Roman"/>
          <w:color w:val="000000" w:themeColor="text1"/>
          <w14:textFill>
            <w14:solidFill>
              <w14:schemeClr w14:val="tx1"/>
            </w14:solidFill>
          </w14:textFill>
        </w:rPr>
      </w:pPr>
    </w:p>
    <w:p w14:paraId="261BD575">
      <w:pPr>
        <w:ind w:firstLine="480"/>
        <w:jc w:val="center"/>
        <w:rPr>
          <w:rStyle w:val="63"/>
          <w:rFonts w:ascii="Times New Roman" w:hAnsi="Times New Roman" w:cs="Times New Roman"/>
          <w:color w:val="000000" w:themeColor="text1"/>
          <w14:textFill>
            <w14:solidFill>
              <w14:schemeClr w14:val="tx1"/>
            </w14:solidFill>
          </w14:textFill>
        </w:rPr>
      </w:pPr>
    </w:p>
    <w:p w14:paraId="14D89FC1">
      <w:pPr>
        <w:ind w:firstLine="480"/>
        <w:jc w:val="center"/>
        <w:rPr>
          <w:rStyle w:val="63"/>
          <w:rFonts w:ascii="Times New Roman" w:hAnsi="Times New Roman" w:cs="Times New Roman"/>
          <w:color w:val="000000" w:themeColor="text1"/>
          <w14:textFill>
            <w14:solidFill>
              <w14:schemeClr w14:val="tx1"/>
            </w14:solidFill>
          </w14:textFill>
        </w:rPr>
      </w:pPr>
    </w:p>
    <w:p w14:paraId="55757612">
      <w:pPr>
        <w:ind w:firstLine="480"/>
        <w:jc w:val="center"/>
        <w:rPr>
          <w:rStyle w:val="63"/>
          <w:rFonts w:ascii="Times New Roman" w:hAnsi="Times New Roman" w:cs="Times New Roman"/>
          <w:color w:val="000000" w:themeColor="text1"/>
          <w14:textFill>
            <w14:solidFill>
              <w14:schemeClr w14:val="tx1"/>
            </w14:solidFill>
          </w14:textFill>
        </w:rPr>
      </w:pPr>
    </w:p>
    <w:p w14:paraId="163F6AE8">
      <w:pPr>
        <w:ind w:firstLine="480"/>
        <w:jc w:val="center"/>
        <w:rPr>
          <w:rStyle w:val="63"/>
          <w:rFonts w:ascii="Times New Roman" w:hAnsi="Times New Roman" w:cs="Times New Roman"/>
          <w:color w:val="000000" w:themeColor="text1"/>
          <w14:textFill>
            <w14:solidFill>
              <w14:schemeClr w14:val="tx1"/>
            </w14:solidFill>
          </w14:textFill>
        </w:rPr>
      </w:pPr>
    </w:p>
    <w:p w14:paraId="19F4FC02">
      <w:pPr>
        <w:ind w:firstLine="480"/>
        <w:jc w:val="center"/>
        <w:rPr>
          <w:rStyle w:val="63"/>
          <w:rFonts w:ascii="Times New Roman" w:hAnsi="Times New Roman" w:cs="Times New Roman"/>
          <w:color w:val="000000" w:themeColor="text1"/>
          <w14:textFill>
            <w14:solidFill>
              <w14:schemeClr w14:val="tx1"/>
            </w14:solidFill>
          </w14:textFill>
        </w:rPr>
      </w:pPr>
    </w:p>
    <w:p w14:paraId="66749544">
      <w:pPr>
        <w:ind w:firstLine="480"/>
        <w:jc w:val="center"/>
        <w:rPr>
          <w:rStyle w:val="63"/>
          <w:rFonts w:ascii="Times New Roman" w:hAnsi="Times New Roman" w:cs="Times New Roman"/>
          <w:color w:val="000000" w:themeColor="text1"/>
          <w14:textFill>
            <w14:solidFill>
              <w14:schemeClr w14:val="tx1"/>
            </w14:solidFill>
          </w14:textFill>
        </w:rPr>
      </w:pPr>
    </w:p>
    <w:p w14:paraId="218F48EB">
      <w:pPr>
        <w:ind w:firstLine="480"/>
        <w:jc w:val="center"/>
        <w:rPr>
          <w:rStyle w:val="63"/>
          <w:rFonts w:ascii="Times New Roman" w:hAnsi="Times New Roman" w:cs="Times New Roman"/>
          <w:color w:val="000000" w:themeColor="text1"/>
          <w14:textFill>
            <w14:solidFill>
              <w14:schemeClr w14:val="tx1"/>
            </w14:solidFill>
          </w14:textFill>
        </w:rPr>
      </w:pPr>
    </w:p>
    <w:p w14:paraId="10ED127A">
      <w:pPr>
        <w:ind w:firstLine="480"/>
        <w:jc w:val="center"/>
        <w:rPr>
          <w:rStyle w:val="63"/>
          <w:rFonts w:ascii="Times New Roman" w:hAnsi="Times New Roman" w:cs="Times New Roman"/>
          <w:color w:val="000000" w:themeColor="text1"/>
          <w14:textFill>
            <w14:solidFill>
              <w14:schemeClr w14:val="tx1"/>
            </w14:solidFill>
          </w14:textFill>
        </w:rPr>
      </w:pPr>
    </w:p>
    <w:p w14:paraId="71EA8126">
      <w:pPr>
        <w:ind w:firstLine="480"/>
        <w:jc w:val="center"/>
        <w:rPr>
          <w:rStyle w:val="63"/>
          <w:rFonts w:ascii="Times New Roman" w:hAnsi="Times New Roman" w:cs="Times New Roman"/>
          <w:color w:val="000000" w:themeColor="text1"/>
          <w14:textFill>
            <w14:solidFill>
              <w14:schemeClr w14:val="tx1"/>
            </w14:solidFill>
          </w14:textFill>
        </w:rPr>
      </w:pPr>
    </w:p>
    <w:p w14:paraId="4C697CCD">
      <w:pPr>
        <w:ind w:firstLine="480"/>
        <w:jc w:val="center"/>
        <w:rPr>
          <w:rStyle w:val="63"/>
          <w:rFonts w:ascii="Times New Roman" w:hAnsi="Times New Roman" w:cs="Times New Roman"/>
          <w:color w:val="000000" w:themeColor="text1"/>
          <w14:textFill>
            <w14:solidFill>
              <w14:schemeClr w14:val="tx1"/>
            </w14:solidFill>
          </w14:textFill>
        </w:rPr>
      </w:pPr>
    </w:p>
    <w:p w14:paraId="05E590D4">
      <w:pPr>
        <w:ind w:firstLine="480"/>
        <w:jc w:val="center"/>
        <w:rPr>
          <w:rStyle w:val="63"/>
          <w:rFonts w:ascii="Times New Roman" w:hAnsi="Times New Roman" w:cs="Times New Roman"/>
          <w:color w:val="000000" w:themeColor="text1"/>
          <w14:textFill>
            <w14:solidFill>
              <w14:schemeClr w14:val="tx1"/>
            </w14:solidFill>
          </w14:textFill>
        </w:rPr>
      </w:pPr>
    </w:p>
    <w:p w14:paraId="52F1CC03">
      <w:pPr>
        <w:ind w:firstLine="480"/>
        <w:jc w:val="center"/>
        <w:rPr>
          <w:rStyle w:val="63"/>
          <w:rFonts w:ascii="Times New Roman" w:hAnsi="Times New Roman" w:cs="Times New Roman"/>
          <w:color w:val="000000" w:themeColor="text1"/>
          <w14:textFill>
            <w14:solidFill>
              <w14:schemeClr w14:val="tx1"/>
            </w14:solidFill>
          </w14:textFill>
        </w:rPr>
      </w:pPr>
    </w:p>
    <w:p w14:paraId="212C755F">
      <w:pPr>
        <w:ind w:firstLine="480"/>
        <w:jc w:val="center"/>
        <w:rPr>
          <w:rStyle w:val="63"/>
          <w:rFonts w:ascii="Times New Roman" w:hAnsi="Times New Roman" w:cs="Times New Roman"/>
          <w:color w:val="000000" w:themeColor="text1"/>
          <w14:textFill>
            <w14:solidFill>
              <w14:schemeClr w14:val="tx1"/>
            </w14:solidFill>
          </w14:textFill>
        </w:rPr>
      </w:pPr>
    </w:p>
    <w:p w14:paraId="419F6EAA">
      <w:pPr>
        <w:ind w:firstLine="480"/>
        <w:jc w:val="center"/>
        <w:rPr>
          <w:rStyle w:val="63"/>
          <w:rFonts w:ascii="Times New Roman" w:hAnsi="Times New Roman" w:cs="Times New Roman"/>
          <w:color w:val="000000" w:themeColor="text1"/>
          <w14:textFill>
            <w14:solidFill>
              <w14:schemeClr w14:val="tx1"/>
            </w14:solidFill>
          </w14:textFill>
        </w:rPr>
      </w:pPr>
    </w:p>
    <w:p w14:paraId="1C654F98">
      <w:pPr>
        <w:ind w:firstLine="480"/>
        <w:jc w:val="center"/>
        <w:rPr>
          <w:rStyle w:val="63"/>
          <w:rFonts w:ascii="Times New Roman" w:hAnsi="Times New Roman" w:cs="Times New Roman"/>
          <w:color w:val="000000" w:themeColor="text1"/>
          <w14:textFill>
            <w14:solidFill>
              <w14:schemeClr w14:val="tx1"/>
            </w14:solidFill>
          </w14:textFill>
        </w:rPr>
      </w:pPr>
    </w:p>
    <w:p w14:paraId="75AB39E8">
      <w:pPr>
        <w:ind w:firstLine="480"/>
        <w:jc w:val="center"/>
        <w:rPr>
          <w:rStyle w:val="63"/>
          <w:rFonts w:ascii="Times New Roman" w:hAnsi="Times New Roman" w:cs="Times New Roman"/>
          <w:color w:val="000000" w:themeColor="text1"/>
          <w14:textFill>
            <w14:solidFill>
              <w14:schemeClr w14:val="tx1"/>
            </w14:solidFill>
          </w14:textFill>
        </w:rPr>
      </w:pPr>
    </w:p>
    <w:p w14:paraId="44D96241">
      <w:pPr>
        <w:ind w:firstLine="480"/>
        <w:jc w:val="center"/>
        <w:rPr>
          <w:rStyle w:val="63"/>
          <w:rFonts w:ascii="Times New Roman" w:hAnsi="Times New Roman" w:cs="Times New Roman"/>
          <w:color w:val="000000" w:themeColor="text1"/>
          <w14:textFill>
            <w14:solidFill>
              <w14:schemeClr w14:val="tx1"/>
            </w14:solidFill>
          </w14:textFill>
        </w:rPr>
      </w:pPr>
    </w:p>
    <w:p w14:paraId="7D2EA1FD">
      <w:pPr>
        <w:pStyle w:val="29"/>
        <w:rPr>
          <w:rStyle w:val="63"/>
          <w:rFonts w:ascii="Times New Roman" w:hAnsi="Times New Roman" w:cs="Times New Roman"/>
          <w:color w:val="000000" w:themeColor="text1"/>
          <w14:textFill>
            <w14:solidFill>
              <w14:schemeClr w14:val="tx1"/>
            </w14:solidFill>
          </w14:textFill>
        </w:rPr>
      </w:pPr>
    </w:p>
    <w:p w14:paraId="7645ED25">
      <w:pPr>
        <w:rPr>
          <w:color w:val="000000" w:themeColor="text1"/>
          <w14:textFill>
            <w14:solidFill>
              <w14:schemeClr w14:val="tx1"/>
            </w14:solidFill>
          </w14:textFill>
        </w:rPr>
      </w:pPr>
    </w:p>
    <w:p w14:paraId="7666C60D">
      <w:pPr>
        <w:ind w:firstLine="480"/>
        <w:jc w:val="center"/>
        <w:rPr>
          <w:rStyle w:val="63"/>
          <w:rFonts w:ascii="Times New Roman" w:hAnsi="Times New Roman" w:cs="Times New Roman"/>
          <w:color w:val="000000" w:themeColor="text1"/>
          <w14:textFill>
            <w14:solidFill>
              <w14:schemeClr w14:val="tx1"/>
            </w14:solidFill>
          </w14:textFill>
        </w:rPr>
      </w:pPr>
    </w:p>
    <w:p w14:paraId="5FC8E4D2">
      <w:pPr>
        <w:ind w:firstLine="480"/>
        <w:jc w:val="center"/>
        <w:rPr>
          <w:rStyle w:val="63"/>
          <w:rFonts w:ascii="Times New Roman" w:hAnsi="Times New Roman" w:cs="Times New Roman"/>
          <w:color w:val="000000" w:themeColor="text1"/>
          <w14:textFill>
            <w14:solidFill>
              <w14:schemeClr w14:val="tx1"/>
            </w14:solidFill>
          </w14:textFill>
        </w:rPr>
      </w:pPr>
    </w:p>
    <w:p w14:paraId="4DEB5A93">
      <w:pPr>
        <w:spacing w:line="360" w:lineRule="auto"/>
        <w:jc w:val="center"/>
        <w:rPr>
          <w:rStyle w:val="63"/>
          <w:rFonts w:hint="default" w:ascii="Times New Roman" w:hAnsi="Times New Roman" w:cs="Times New Roman"/>
          <w:color w:val="000000" w:themeColor="text1"/>
          <w:sz w:val="44"/>
          <w:szCs w:val="44"/>
          <w14:textFill>
            <w14:solidFill>
              <w14:schemeClr w14:val="tx1"/>
            </w14:solidFill>
          </w14:textFill>
        </w:rPr>
      </w:pPr>
      <w:r>
        <w:rPr>
          <w:rStyle w:val="63"/>
          <w:rFonts w:hint="default" w:ascii="Times New Roman" w:hAnsi="Times New Roman" w:cs="Times New Roman"/>
          <w:color w:val="000000" w:themeColor="text1"/>
          <w:sz w:val="44"/>
          <w:szCs w:val="44"/>
          <w14:textFill>
            <w14:solidFill>
              <w14:schemeClr w14:val="tx1"/>
            </w14:solidFill>
          </w14:textFill>
        </w:rPr>
        <w:t>赤峰太安新型建筑材料有限公司</w:t>
      </w:r>
    </w:p>
    <w:p w14:paraId="58FEAAEB">
      <w:pPr>
        <w:spacing w:line="360" w:lineRule="auto"/>
        <w:jc w:val="center"/>
        <w:rPr>
          <w:rStyle w:val="63"/>
          <w:rFonts w:hint="default" w:ascii="Times New Roman" w:hAnsi="Times New Roman" w:cs="Times New Roman"/>
          <w:color w:val="000000" w:themeColor="text1"/>
          <w:sz w:val="44"/>
          <w:szCs w:val="44"/>
          <w14:textFill>
            <w14:solidFill>
              <w14:schemeClr w14:val="tx1"/>
            </w14:solidFill>
          </w14:textFill>
        </w:rPr>
      </w:pPr>
      <w:r>
        <w:rPr>
          <w:rStyle w:val="63"/>
          <w:rFonts w:hint="default" w:ascii="Times New Roman" w:hAnsi="Times New Roman" w:cs="Times New Roman"/>
          <w:color w:val="000000" w:themeColor="text1"/>
          <w:sz w:val="44"/>
          <w:szCs w:val="44"/>
          <w14:textFill>
            <w14:solidFill>
              <w14:schemeClr w14:val="tx1"/>
            </w14:solidFill>
          </w14:textFill>
        </w:rPr>
        <w:t>202</w:t>
      </w:r>
      <w:r>
        <w:rPr>
          <w:rStyle w:val="63"/>
          <w:rFonts w:hint="eastAsia" w:ascii="Times New Roman" w:hAnsi="Times New Roman" w:cs="Times New Roman"/>
          <w:color w:val="000000" w:themeColor="text1"/>
          <w:sz w:val="44"/>
          <w:szCs w:val="44"/>
          <w:lang w:val="en-US" w:eastAsia="zh-CN"/>
          <w14:textFill>
            <w14:solidFill>
              <w14:schemeClr w14:val="tx1"/>
            </w14:solidFill>
          </w14:textFill>
        </w:rPr>
        <w:t>6</w:t>
      </w:r>
      <w:r>
        <w:rPr>
          <w:rStyle w:val="63"/>
          <w:rFonts w:hint="default" w:ascii="Times New Roman" w:hAnsi="Times New Roman" w:cs="Times New Roman"/>
          <w:color w:val="000000" w:themeColor="text1"/>
          <w:sz w:val="44"/>
          <w:szCs w:val="44"/>
          <w14:textFill>
            <w14:solidFill>
              <w14:schemeClr w14:val="tx1"/>
            </w14:solidFill>
          </w14:textFill>
        </w:rPr>
        <w:t>年</w:t>
      </w:r>
      <w:r>
        <w:rPr>
          <w:rStyle w:val="63"/>
          <w:rFonts w:hint="eastAsia" w:cs="Times New Roman"/>
          <w:color w:val="000000" w:themeColor="text1"/>
          <w:sz w:val="44"/>
          <w:szCs w:val="44"/>
          <w:lang w:val="en-US" w:eastAsia="zh-CN"/>
          <w14:textFill>
            <w14:solidFill>
              <w14:schemeClr w14:val="tx1"/>
            </w14:solidFill>
          </w14:textFill>
        </w:rPr>
        <w:t>4</w:t>
      </w:r>
      <w:r>
        <w:rPr>
          <w:rStyle w:val="63"/>
          <w:rFonts w:hint="default" w:ascii="Times New Roman" w:hAnsi="Times New Roman" w:cs="Times New Roman"/>
          <w:color w:val="000000" w:themeColor="text1"/>
          <w:sz w:val="44"/>
          <w:szCs w:val="44"/>
          <w14:textFill>
            <w14:solidFill>
              <w14:schemeClr w14:val="tx1"/>
            </w14:solidFill>
          </w14:textFill>
        </w:rPr>
        <w:t>月</w:t>
      </w:r>
    </w:p>
    <w:p w14:paraId="3CEFDA54">
      <w:pPr>
        <w:spacing w:line="360" w:lineRule="auto"/>
        <w:ind w:firstLine="784"/>
        <w:rPr>
          <w:rFonts w:ascii="宋体" w:hAnsi="宋体" w:cs="宋体"/>
          <w:color w:val="000000" w:themeColor="text1"/>
          <w:spacing w:val="36"/>
          <w:sz w:val="44"/>
          <w:szCs w:val="44"/>
          <w14:textFill>
            <w14:solidFill>
              <w14:schemeClr w14:val="tx1"/>
            </w14:solidFill>
          </w14:textFill>
        </w:rPr>
        <w:sectPr>
          <w:headerReference r:id="rId5" w:type="first"/>
          <w:footerReference r:id="rId7" w:type="first"/>
          <w:headerReference r:id="rId3" w:type="default"/>
          <w:headerReference r:id="rId4" w:type="even"/>
          <w:footerReference r:id="rId6" w:type="even"/>
          <w:type w:val="nextColumn"/>
          <w:pgSz w:w="11906" w:h="16838"/>
          <w:pgMar w:top="1418" w:right="1418" w:bottom="1418" w:left="1418" w:header="851" w:footer="992" w:gutter="0"/>
          <w:cols w:space="720" w:num="1"/>
          <w:titlePg/>
          <w:docGrid w:linePitch="312" w:charSpace="0"/>
        </w:sectPr>
      </w:pPr>
    </w:p>
    <w:p w14:paraId="4C7B8BE3">
      <w:pPr>
        <w:jc w:val="center"/>
        <w:rPr>
          <w:rStyle w:val="63"/>
          <w:rFonts w:ascii="Times New Roman" w:hAnsi="Times New Roman" w:cs="Times New Roman"/>
          <w:color w:val="000000" w:themeColor="text1"/>
          <w:sz w:val="44"/>
          <w:szCs w:val="44"/>
          <w14:textFill>
            <w14:solidFill>
              <w14:schemeClr w14:val="tx1"/>
            </w14:solidFill>
          </w14:textFill>
        </w:rPr>
      </w:pPr>
    </w:p>
    <w:p w14:paraId="3B2057B9">
      <w:pPr>
        <w:spacing w:line="360" w:lineRule="auto"/>
        <w:jc w:val="center"/>
        <w:rPr>
          <w:rStyle w:val="63"/>
          <w:rFonts w:hint="eastAsia" w:ascii="宋体" w:hAnsi="宋体"/>
          <w:color w:val="000000" w:themeColor="text1"/>
          <w:sz w:val="48"/>
          <w:szCs w:val="48"/>
          <w:lang w:val="en-US" w:eastAsia="zh-CN"/>
          <w14:textFill>
            <w14:solidFill>
              <w14:schemeClr w14:val="tx1"/>
            </w14:solidFill>
          </w14:textFill>
        </w:rPr>
      </w:pPr>
      <w:r>
        <w:rPr>
          <w:rStyle w:val="63"/>
          <w:rFonts w:hint="eastAsia" w:ascii="宋体" w:hAnsi="宋体"/>
          <w:color w:val="000000" w:themeColor="text1"/>
          <w:sz w:val="48"/>
          <w:szCs w:val="48"/>
          <w:lang w:val="en-US" w:eastAsia="zh-CN"/>
          <w14:textFill>
            <w14:solidFill>
              <w14:schemeClr w14:val="tx1"/>
            </w14:solidFill>
          </w14:textFill>
        </w:rPr>
        <w:t>赤峰太安新型建筑材料有限公司</w:t>
      </w:r>
    </w:p>
    <w:p w14:paraId="73067C53">
      <w:pPr>
        <w:spacing w:line="360" w:lineRule="auto"/>
        <w:jc w:val="center"/>
        <w:rPr>
          <w:rStyle w:val="63"/>
          <w:rFonts w:hint="default" w:ascii="宋体" w:hAnsi="宋体" w:eastAsia="宋体"/>
          <w:color w:val="000000" w:themeColor="text1"/>
          <w:sz w:val="48"/>
          <w:szCs w:val="48"/>
          <w:lang w:val="en-US" w:eastAsia="zh-CN"/>
          <w14:textFill>
            <w14:solidFill>
              <w14:schemeClr w14:val="tx1"/>
            </w14:solidFill>
          </w14:textFill>
        </w:rPr>
      </w:pPr>
      <w:r>
        <w:rPr>
          <w:rStyle w:val="63"/>
          <w:rFonts w:hint="eastAsia" w:ascii="宋体" w:hAnsi="宋体"/>
          <w:color w:val="000000" w:themeColor="text1"/>
          <w:sz w:val="48"/>
          <w:szCs w:val="48"/>
          <w:lang w:val="en-US" w:eastAsia="zh-CN"/>
          <w14:textFill>
            <w14:solidFill>
              <w14:schemeClr w14:val="tx1"/>
            </w14:solidFill>
          </w14:textFill>
        </w:rPr>
        <w:t>太平地镇粘土矿</w:t>
      </w:r>
    </w:p>
    <w:p w14:paraId="393FCBCA">
      <w:pPr>
        <w:spacing w:line="360" w:lineRule="auto"/>
        <w:jc w:val="center"/>
        <w:rPr>
          <w:rStyle w:val="63"/>
          <w:rFonts w:ascii="Times New Roman" w:hAnsi="Times New Roman" w:eastAsia="黑体" w:cs="Times New Roman"/>
          <w:color w:val="000000" w:themeColor="text1"/>
          <w:sz w:val="52"/>
          <w:szCs w:val="52"/>
          <w14:textFill>
            <w14:solidFill>
              <w14:schemeClr w14:val="tx1"/>
            </w14:solidFill>
          </w14:textFill>
        </w:rPr>
      </w:pPr>
      <w:r>
        <w:rPr>
          <w:rStyle w:val="63"/>
          <w:rFonts w:hint="eastAsia" w:eastAsia="黑体" w:cs="Times New Roman"/>
          <w:color w:val="000000" w:themeColor="text1"/>
          <w:sz w:val="52"/>
          <w:szCs w:val="52"/>
          <w14:textFill>
            <w14:solidFill>
              <w14:schemeClr w14:val="tx1"/>
            </w14:solidFill>
          </w14:textFill>
        </w:rPr>
        <w:t>矿区生态修复方案</w:t>
      </w:r>
    </w:p>
    <w:p w14:paraId="6A9BD731">
      <w:pPr>
        <w:spacing w:line="800" w:lineRule="exact"/>
        <w:ind w:firstLine="590" w:firstLineChars="196"/>
        <w:rPr>
          <w:b/>
          <w:color w:val="000000" w:themeColor="text1"/>
          <w:sz w:val="30"/>
          <w:szCs w:val="30"/>
          <w14:textFill>
            <w14:solidFill>
              <w14:schemeClr w14:val="tx1"/>
            </w14:solidFill>
          </w14:textFill>
        </w:rPr>
      </w:pPr>
    </w:p>
    <w:p w14:paraId="779B5687">
      <w:pPr>
        <w:spacing w:line="800" w:lineRule="exact"/>
        <w:ind w:firstLine="590" w:firstLineChars="196"/>
        <w:rPr>
          <w:b/>
          <w:color w:val="000000" w:themeColor="text1"/>
          <w:sz w:val="30"/>
          <w:szCs w:val="30"/>
          <w14:textFill>
            <w14:solidFill>
              <w14:schemeClr w14:val="tx1"/>
            </w14:solidFill>
          </w14:textFill>
        </w:rPr>
      </w:pPr>
    </w:p>
    <w:p w14:paraId="2B67B7F7">
      <w:pPr>
        <w:spacing w:line="480" w:lineRule="auto"/>
        <w:ind w:firstLine="640" w:firstLineChars="200"/>
        <w:rPr>
          <w:rFonts w:hint="eastAsia"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申报单位：赤峰太安新型建筑材料有限公司</w:t>
      </w:r>
    </w:p>
    <w:p w14:paraId="266D5004">
      <w:pPr>
        <w:spacing w:line="480" w:lineRule="auto"/>
        <w:ind w:firstLine="640" w:firstLineChars="200"/>
        <w:rPr>
          <w:rFonts w:hint="default" w:ascii="宋体" w:hAnsi="宋体" w:eastAsia="宋体" w:cs="宋体"/>
          <w:color w:val="000000" w:themeColor="text1"/>
          <w:sz w:val="32"/>
          <w:szCs w:val="32"/>
          <w:lang w:val="en-US" w:eastAsia="zh-CN"/>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法定代表人：</w:t>
      </w:r>
      <w:r>
        <w:rPr>
          <w:rFonts w:hint="eastAsia" w:ascii="宋体" w:hAnsi="宋体" w:cs="宋体"/>
          <w:color w:val="000000" w:themeColor="text1"/>
          <w:sz w:val="32"/>
          <w:szCs w:val="32"/>
          <w:lang w:val="en-US" w:eastAsia="zh-CN"/>
          <w14:textFill>
            <w14:solidFill>
              <w14:schemeClr w14:val="tx1"/>
            </w14:solidFill>
          </w14:textFill>
        </w:rPr>
        <w:t>李伟臣</w:t>
      </w:r>
    </w:p>
    <w:p w14:paraId="4C9AEF5E">
      <w:pPr>
        <w:spacing w:line="480" w:lineRule="auto"/>
        <w:ind w:firstLine="640" w:firstLineChars="200"/>
        <w:rPr>
          <w:rFonts w:hint="eastAsia"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编制单位：内蒙古众昌项目管理咨询有限公司</w:t>
      </w:r>
    </w:p>
    <w:p w14:paraId="2A633D08">
      <w:pPr>
        <w:spacing w:line="480" w:lineRule="auto"/>
        <w:ind w:firstLine="640" w:firstLineChars="200"/>
        <w:rPr>
          <w:rFonts w:hint="eastAsia" w:ascii="宋体" w:hAnsi="宋体" w:eastAsia="宋体" w:cs="宋体"/>
          <w:color w:val="000000" w:themeColor="text1"/>
          <w:sz w:val="32"/>
          <w:szCs w:val="32"/>
          <w:lang w:eastAsia="zh-CN"/>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法定代表人：</w:t>
      </w:r>
      <w:r>
        <w:rPr>
          <w:rFonts w:hint="eastAsia" w:ascii="宋体" w:hAnsi="宋体" w:cs="宋体"/>
          <w:color w:val="000000" w:themeColor="text1"/>
          <w:sz w:val="32"/>
          <w:szCs w:val="32"/>
          <w:lang w:val="en-US" w:eastAsia="zh-CN"/>
          <w14:textFill>
            <w14:solidFill>
              <w14:schemeClr w14:val="tx1"/>
            </w14:solidFill>
          </w14:textFill>
        </w:rPr>
        <w:t>李建华</w:t>
      </w:r>
    </w:p>
    <w:p w14:paraId="64D2F48E">
      <w:pPr>
        <w:spacing w:line="480" w:lineRule="auto"/>
        <w:ind w:firstLine="640" w:firstLineChars="200"/>
        <w:rPr>
          <w:rFonts w:hint="eastAsia" w:ascii="宋体" w:hAnsi="宋体" w:eastAsia="宋体" w:cs="宋体"/>
          <w:color w:val="000000" w:themeColor="text1"/>
          <w:sz w:val="32"/>
          <w:szCs w:val="32"/>
          <w:lang w:val="en-US" w:eastAsia="zh-CN"/>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总工程师：</w:t>
      </w:r>
      <w:r>
        <w:rPr>
          <w:rFonts w:hint="eastAsia" w:ascii="宋体" w:hAnsi="宋体" w:cs="宋体"/>
          <w:color w:val="000000" w:themeColor="text1"/>
          <w:sz w:val="32"/>
          <w:szCs w:val="32"/>
          <w:lang w:val="en-US" w:eastAsia="zh-CN"/>
          <w14:textFill>
            <w14:solidFill>
              <w14:schemeClr w14:val="tx1"/>
            </w14:solidFill>
          </w14:textFill>
        </w:rPr>
        <w:t>纪云生</w:t>
      </w:r>
    </w:p>
    <w:p w14:paraId="398EFD68">
      <w:pPr>
        <w:spacing w:line="480" w:lineRule="auto"/>
        <w:ind w:firstLine="640" w:firstLineChars="200"/>
        <w:rPr>
          <w:rFonts w:hint="eastAsia"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方案编制负责人：梁成玮</w:t>
      </w:r>
    </w:p>
    <w:p w14:paraId="282CA9B7">
      <w:pPr>
        <w:spacing w:line="480" w:lineRule="auto"/>
        <w:ind w:firstLine="640" w:firstLineChars="200"/>
        <w:rPr>
          <w:rFonts w:hint="eastAsia" w:ascii="宋体" w:hAnsi="宋体" w:eastAsia="宋体" w:cs="宋体"/>
          <w:color w:val="000000" w:themeColor="text1"/>
          <w:sz w:val="32"/>
          <w:szCs w:val="32"/>
          <w:lang w:eastAsia="zh-CN"/>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 xml:space="preserve">主要编制人：梁成玮  </w:t>
      </w:r>
      <w:r>
        <w:rPr>
          <w:rFonts w:hint="eastAsia" w:ascii="宋体" w:hAnsi="宋体" w:cs="宋体"/>
          <w:color w:val="000000" w:themeColor="text1"/>
          <w:sz w:val="32"/>
          <w:szCs w:val="32"/>
          <w:lang w:val="en-US" w:eastAsia="zh-CN"/>
          <w14:textFill>
            <w14:solidFill>
              <w14:schemeClr w14:val="tx1"/>
            </w14:solidFill>
          </w14:textFill>
        </w:rPr>
        <w:t>李建峰</w:t>
      </w:r>
      <w:r>
        <w:rPr>
          <w:rFonts w:hint="eastAsia" w:ascii="宋体" w:hAnsi="宋体" w:cs="宋体"/>
          <w:color w:val="000000" w:themeColor="text1"/>
          <w:sz w:val="32"/>
          <w:szCs w:val="32"/>
          <w14:textFill>
            <w14:solidFill>
              <w14:schemeClr w14:val="tx1"/>
            </w14:solidFill>
          </w14:textFill>
        </w:rPr>
        <w:t xml:space="preserve">  李晓杰</w:t>
      </w:r>
    </w:p>
    <w:p w14:paraId="57313460">
      <w:pPr>
        <w:spacing w:line="480" w:lineRule="auto"/>
        <w:ind w:firstLine="640" w:firstLineChars="200"/>
        <w:rPr>
          <w:rFonts w:hint="eastAsia"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14:textFill>
            <w14:solidFill>
              <w14:schemeClr w14:val="tx1"/>
            </w14:solidFill>
          </w14:textFill>
        </w:rPr>
        <w:t>制图人员：李晓杰</w:t>
      </w:r>
    </w:p>
    <w:p w14:paraId="79ABF660">
      <w:pPr>
        <w:spacing w:line="480" w:lineRule="auto"/>
        <w:ind w:firstLine="640" w:firstLineChars="200"/>
        <w:rPr>
          <w:rFonts w:hint="default" w:ascii="Times New Roman" w:hAnsi="Times New Roman" w:cs="Times New Roman"/>
          <w:b/>
          <w:bCs/>
          <w:color w:val="000000" w:themeColor="text1"/>
          <w:sz w:val="28"/>
          <w:szCs w:val="28"/>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编制时间：2026年</w:t>
      </w:r>
      <w:r>
        <w:rPr>
          <w:rFonts w:hint="eastAsia" w:cs="Times New Roman"/>
          <w:color w:val="000000" w:themeColor="text1"/>
          <w:sz w:val="32"/>
          <w:szCs w:val="32"/>
          <w:lang w:val="en-US" w:eastAsia="zh-CN"/>
          <w14:textFill>
            <w14:solidFill>
              <w14:schemeClr w14:val="tx1"/>
            </w14:solidFill>
          </w14:textFill>
        </w:rPr>
        <w:t>2</w:t>
      </w:r>
      <w:r>
        <w:rPr>
          <w:rFonts w:hint="default" w:ascii="Times New Roman" w:hAnsi="Times New Roman" w:cs="Times New Roman"/>
          <w:color w:val="000000" w:themeColor="text1"/>
          <w:sz w:val="32"/>
          <w:szCs w:val="32"/>
          <w14:textFill>
            <w14:solidFill>
              <w14:schemeClr w14:val="tx1"/>
            </w14:solidFill>
          </w14:textFill>
        </w:rPr>
        <w:t>月</w:t>
      </w:r>
      <w:r>
        <w:rPr>
          <w:rFonts w:hint="eastAsia" w:cs="Times New Roman"/>
          <w:color w:val="000000" w:themeColor="text1"/>
          <w:sz w:val="32"/>
          <w:szCs w:val="32"/>
          <w:lang w:val="en-US" w:eastAsia="zh-CN"/>
          <w14:textFill>
            <w14:solidFill>
              <w14:schemeClr w14:val="tx1"/>
            </w14:solidFill>
          </w14:textFill>
        </w:rPr>
        <w:t>15</w:t>
      </w:r>
      <w:r>
        <w:rPr>
          <w:rFonts w:hint="default" w:ascii="Times New Roman" w:hAnsi="Times New Roman" w:cs="Times New Roman"/>
          <w:color w:val="000000" w:themeColor="text1"/>
          <w:sz w:val="32"/>
          <w:szCs w:val="32"/>
          <w14:textFill>
            <w14:solidFill>
              <w14:schemeClr w14:val="tx1"/>
            </w14:solidFill>
          </w14:textFill>
        </w:rPr>
        <w:t>日～2026年4月</w:t>
      </w:r>
      <w:r>
        <w:rPr>
          <w:rFonts w:hint="eastAsia" w:cs="Times New Roman"/>
          <w:color w:val="000000" w:themeColor="text1"/>
          <w:sz w:val="32"/>
          <w:szCs w:val="32"/>
          <w:lang w:val="en-US" w:eastAsia="zh-CN"/>
          <w14:textFill>
            <w14:solidFill>
              <w14:schemeClr w14:val="tx1"/>
            </w14:solidFill>
          </w14:textFill>
        </w:rPr>
        <w:t>15</w:t>
      </w:r>
      <w:r>
        <w:rPr>
          <w:rFonts w:hint="default" w:ascii="Times New Roman" w:hAnsi="Times New Roman" w:cs="Times New Roman"/>
          <w:color w:val="000000" w:themeColor="text1"/>
          <w:sz w:val="32"/>
          <w:szCs w:val="32"/>
          <w14:textFill>
            <w14:solidFill>
              <w14:schemeClr w14:val="tx1"/>
            </w14:solidFill>
          </w14:textFill>
        </w:rPr>
        <w:t>日</w:t>
      </w:r>
    </w:p>
    <w:p w14:paraId="5517C3C6">
      <w:pPr>
        <w:ind w:firstLine="420" w:firstLineChars="200"/>
        <w:contextualSpacing/>
        <w:rPr>
          <w:rFonts w:ascii="宋体" w:hAnsi="宋体" w:cs="宋体"/>
          <w:color w:val="000000" w:themeColor="text1"/>
          <w14:textFill>
            <w14:solidFill>
              <w14:schemeClr w14:val="tx1"/>
            </w14:solidFill>
          </w14:textFill>
        </w:rPr>
        <w:sectPr>
          <w:headerReference r:id="rId10" w:type="first"/>
          <w:footerReference r:id="rId13" w:type="first"/>
          <w:headerReference r:id="rId8" w:type="default"/>
          <w:footerReference r:id="rId11" w:type="default"/>
          <w:headerReference r:id="rId9" w:type="even"/>
          <w:footerReference r:id="rId12" w:type="even"/>
          <w:type w:val="nextColumn"/>
          <w:pgSz w:w="11906" w:h="16838"/>
          <w:pgMar w:top="1417" w:right="1417" w:bottom="1417" w:left="1417" w:header="1089" w:footer="1174" w:gutter="0"/>
          <w:pgNumType w:start="1"/>
          <w:cols w:space="0" w:num="1"/>
          <w:titlePg/>
          <w:rtlGutter w:val="0"/>
          <w:docGrid w:linePitch="381" w:charSpace="0"/>
        </w:sectPr>
      </w:pPr>
    </w:p>
    <w:p w14:paraId="0BBE695C">
      <w:pPr>
        <w:spacing w:after="120"/>
        <w:jc w:val="center"/>
        <w:rPr>
          <w:b/>
          <w:bCs/>
          <w:color w:val="000000" w:themeColor="text1"/>
          <w:sz w:val="32"/>
          <w:szCs w:val="32"/>
          <w14:textFill>
            <w14:solidFill>
              <w14:schemeClr w14:val="tx1"/>
            </w14:solidFill>
          </w14:textFill>
        </w:rPr>
      </w:pPr>
      <w:r>
        <w:rPr>
          <w:rFonts w:hint="eastAsia"/>
          <w:b/>
          <w:bCs/>
          <w:color w:val="000000" w:themeColor="text1"/>
          <w:sz w:val="32"/>
          <w:szCs w:val="32"/>
          <w14:textFill>
            <w14:solidFill>
              <w14:schemeClr w14:val="tx1"/>
            </w14:solidFill>
          </w14:textFill>
        </w:rPr>
        <w:t>矿区生态修复方案编制信息表</w:t>
      </w:r>
    </w:p>
    <w:p w14:paraId="6C94BD5F">
      <w:pPr>
        <w:jc w:val="center"/>
        <w:rPr>
          <w:b/>
          <w:bCs/>
          <w:color w:val="000000" w:themeColor="text1"/>
          <w:sz w:val="32"/>
          <w:szCs w:val="32"/>
          <w14:textFill>
            <w14:solidFill>
              <w14:schemeClr w14:val="tx1"/>
            </w14:solidFill>
          </w14:textFill>
        </w:rPr>
        <w:sectPr>
          <w:headerReference r:id="rId14" w:type="default"/>
          <w:footerReference r:id="rId15" w:type="default"/>
          <w:pgSz w:w="11907" w:h="16840"/>
          <w:pgMar w:top="1418" w:right="1418" w:bottom="1418" w:left="1701" w:header="851" w:footer="992" w:gutter="0"/>
          <w:pgNumType w:fmt="numberInDash" w:start="1"/>
          <w:cols w:space="720" w:num="1"/>
          <w:titlePg/>
          <w:docGrid w:linePitch="312" w:charSpace="0"/>
        </w:sectPr>
      </w:pPr>
    </w:p>
    <w:p w14:paraId="35D62E2A">
      <w:pPr>
        <w:pStyle w:val="21"/>
        <w:spacing w:before="0" w:after="0" w:line="360" w:lineRule="auto"/>
        <w:jc w:val="center"/>
        <w:rPr>
          <w:color w:val="000000" w:themeColor="text1"/>
          <w:sz w:val="36"/>
          <w:szCs w:val="36"/>
          <w14:textFill>
            <w14:solidFill>
              <w14:schemeClr w14:val="tx1"/>
            </w14:solidFill>
          </w14:textFill>
        </w:rPr>
      </w:pPr>
      <w:r>
        <w:rPr>
          <w:color w:val="000000" w:themeColor="text1"/>
          <w:sz w:val="36"/>
          <w:szCs w:val="36"/>
          <w14:textFill>
            <w14:solidFill>
              <w14:schemeClr w14:val="tx1"/>
            </w14:solidFill>
          </w14:textFill>
        </w:rPr>
        <w:t>目  录</w:t>
      </w:r>
    </w:p>
    <w:p w14:paraId="7D6DCD7B">
      <w:pPr>
        <w:pStyle w:val="21"/>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b w:val="0"/>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b w:val="0"/>
          <w:color w:val="000000" w:themeColor="text1"/>
          <w:sz w:val="24"/>
          <w:szCs w:val="24"/>
          <w14:textFill>
            <w14:solidFill>
              <w14:schemeClr w14:val="tx1"/>
            </w14:solidFill>
          </w14:textFill>
        </w:rPr>
        <w:instrText xml:space="preserve"> TOC \o "1-2" \h \z \u </w:instrText>
      </w:r>
      <w:r>
        <w:rPr>
          <w:rFonts w:hint="default" w:ascii="Times New Roman" w:hAnsi="Times New Roman" w:cs="Times New Roman" w:eastAsiaTheme="minorEastAsia"/>
          <w:b w:val="0"/>
          <w:color w:val="000000" w:themeColor="text1"/>
          <w:sz w:val="24"/>
          <w:szCs w:val="24"/>
          <w14:textFill>
            <w14:solidFill>
              <w14:schemeClr w14:val="tx1"/>
            </w14:solidFill>
          </w14:textFill>
        </w:rPr>
        <w:fldChar w:fldCharType="separate"/>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_Toc27348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ascii="黑体" w:hAnsi="黑体" w:eastAsia="黑体" w:cs="黑体"/>
          <w:bCs/>
          <w:color w:val="000000" w:themeColor="text1"/>
          <w:sz w:val="24"/>
          <w:szCs w:val="24"/>
          <w14:textFill>
            <w14:solidFill>
              <w14:schemeClr w14:val="tx1"/>
            </w14:solidFill>
          </w14:textFill>
        </w:rPr>
        <w:t>前  言</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_Toc27348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1</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3EB0D8F1">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_Toc32341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一、</w:t>
      </w:r>
      <w:r>
        <w:rPr>
          <w:rFonts w:hint="eastAsia"/>
          <w:color w:val="000000" w:themeColor="text1"/>
          <w:sz w:val="24"/>
          <w:szCs w:val="24"/>
          <w14:textFill>
            <w14:solidFill>
              <w14:schemeClr w14:val="tx1"/>
            </w14:solidFill>
          </w14:textFill>
        </w:rPr>
        <w:t>编制目的</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_Toc32341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1</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2F3BC8A7">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_Toc5367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color w:val="000000" w:themeColor="text1"/>
          <w:sz w:val="24"/>
          <w:szCs w:val="24"/>
          <w14:textFill>
            <w14:solidFill>
              <w14:schemeClr w14:val="tx1"/>
            </w14:solidFill>
          </w14:textFill>
        </w:rPr>
        <w:t>二、服务年限</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_Toc5367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12</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027B83A5">
      <w:pPr>
        <w:pStyle w:val="21"/>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_Toc4690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ascii="黑体" w:hAnsi="黑体" w:eastAsia="黑体" w:cs="黑体"/>
          <w:bCs/>
          <w:color w:val="000000" w:themeColor="text1"/>
          <w:sz w:val="24"/>
          <w:szCs w:val="24"/>
          <w14:textFill>
            <w14:solidFill>
              <w14:schemeClr w14:val="tx1"/>
            </w14:solidFill>
          </w14:textFill>
        </w:rPr>
        <w:t>第一章  矿山基本情况</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_Toc4690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14</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4DE8F3B2">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_Toc30833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color w:val="000000" w:themeColor="text1"/>
          <w:sz w:val="24"/>
          <w:szCs w:val="24"/>
          <w:lang w:val="en-US" w:eastAsia="zh-CN"/>
          <w14:textFill>
            <w14:solidFill>
              <w14:schemeClr w14:val="tx1"/>
            </w14:solidFill>
          </w14:textFill>
        </w:rPr>
        <w:t xml:space="preserve">第一节  </w:t>
      </w:r>
      <w:r>
        <w:rPr>
          <w:rFonts w:hint="eastAsia"/>
          <w:color w:val="000000" w:themeColor="text1"/>
          <w:sz w:val="24"/>
          <w:szCs w:val="24"/>
          <w14:textFill>
            <w14:solidFill>
              <w14:schemeClr w14:val="tx1"/>
            </w14:solidFill>
          </w14:textFill>
        </w:rPr>
        <w:t>矿业权人基本情况</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_Toc30833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14</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374C3C19">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_Toc1458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eastAsia="宋体" w:cs="Times New Roman"/>
          <w:color w:val="000000" w:themeColor="text1"/>
          <w:sz w:val="24"/>
          <w:szCs w:val="24"/>
          <w:lang w:val="en-US" w:eastAsia="zh-CN"/>
          <w14:textFill>
            <w14:solidFill>
              <w14:schemeClr w14:val="tx1"/>
            </w14:solidFill>
          </w14:textFill>
        </w:rPr>
        <w:t>第二节  地理位置与区域概况</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_Toc1458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15</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0EB83A0F">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_Toc20613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eastAsia="宋体" w:cs="Times New Roman"/>
          <w:color w:val="000000" w:themeColor="text1"/>
          <w:sz w:val="24"/>
          <w:szCs w:val="24"/>
          <w:lang w:val="en-US" w:eastAsia="zh-CN"/>
          <w14:textFill>
            <w14:solidFill>
              <w14:schemeClr w14:val="tx1"/>
            </w14:solidFill>
          </w14:textFill>
        </w:rPr>
        <w:t>第三节  矿山开采历史及现状</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_Toc20613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20</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053291F8">
      <w:pPr>
        <w:pStyle w:val="21"/>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_Toc17399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ascii="黑体" w:hAnsi="黑体" w:eastAsia="黑体" w:cs="黑体"/>
          <w:bCs/>
          <w:color w:val="000000" w:themeColor="text1"/>
          <w:sz w:val="24"/>
          <w:szCs w:val="24"/>
          <w14:textFill>
            <w14:solidFill>
              <w14:schemeClr w14:val="tx1"/>
            </w14:solidFill>
          </w14:textFill>
        </w:rPr>
        <w:t>第二章  矿区基础信息</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_Toc17399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31</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68D91621">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_Toc10960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color w:val="000000" w:themeColor="text1"/>
          <w:sz w:val="24"/>
          <w:szCs w:val="24"/>
          <w:lang w:val="en-US" w:eastAsia="zh-CN"/>
          <w14:textFill>
            <w14:solidFill>
              <w14:schemeClr w14:val="tx1"/>
            </w14:solidFill>
          </w14:textFill>
        </w:rPr>
        <w:t xml:space="preserve">第一节  </w:t>
      </w:r>
      <w:r>
        <w:rPr>
          <w:rFonts w:hint="eastAsia"/>
          <w:color w:val="000000" w:themeColor="text1"/>
          <w:sz w:val="24"/>
          <w:szCs w:val="24"/>
          <w14:textFill>
            <w14:solidFill>
              <w14:schemeClr w14:val="tx1"/>
            </w14:solidFill>
          </w14:textFill>
        </w:rPr>
        <w:t>矿区自然</w:t>
      </w:r>
      <w:r>
        <w:rPr>
          <w:rFonts w:hint="eastAsia"/>
          <w:color w:val="000000" w:themeColor="text1"/>
          <w:sz w:val="24"/>
          <w:szCs w:val="24"/>
          <w:lang w:val="en-US" w:eastAsia="zh-CN"/>
          <w14:textFill>
            <w14:solidFill>
              <w14:schemeClr w14:val="tx1"/>
            </w14:solidFill>
          </w14:textFill>
        </w:rPr>
        <w:t>条件</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_Toc10960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31</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61E39952">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_Toc15332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color w:val="000000" w:themeColor="text1"/>
          <w:sz w:val="24"/>
          <w:szCs w:val="24"/>
          <w:lang w:val="en-US" w:eastAsia="zh-CN"/>
          <w14:textFill>
            <w14:solidFill>
              <w14:schemeClr w14:val="tx1"/>
            </w14:solidFill>
          </w14:textFill>
        </w:rPr>
        <w:t xml:space="preserve">第二节  </w:t>
      </w:r>
      <w:r>
        <w:rPr>
          <w:rFonts w:hint="eastAsia"/>
          <w:color w:val="000000" w:themeColor="text1"/>
          <w:sz w:val="24"/>
          <w:szCs w:val="24"/>
          <w14:textFill>
            <w14:solidFill>
              <w14:schemeClr w14:val="tx1"/>
            </w14:solidFill>
          </w14:textFill>
        </w:rPr>
        <w:t>社会经济概况</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_Toc15332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34</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13F6D337">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_Toc23613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color w:val="000000" w:themeColor="text1"/>
          <w:sz w:val="24"/>
          <w:szCs w:val="24"/>
          <w:lang w:val="en-US" w:eastAsia="zh-CN"/>
          <w14:textFill>
            <w14:solidFill>
              <w14:schemeClr w14:val="tx1"/>
            </w14:solidFill>
          </w14:textFill>
        </w:rPr>
        <w:t xml:space="preserve">第三节  </w:t>
      </w:r>
      <w:r>
        <w:rPr>
          <w:rFonts w:hint="eastAsia"/>
          <w:color w:val="000000" w:themeColor="text1"/>
          <w:sz w:val="24"/>
          <w:szCs w:val="24"/>
          <w14:textFill>
            <w14:solidFill>
              <w14:schemeClr w14:val="tx1"/>
            </w14:solidFill>
          </w14:textFill>
        </w:rPr>
        <w:t>矿</w:t>
      </w:r>
      <w:r>
        <w:rPr>
          <w:rFonts w:hint="eastAsia"/>
          <w:color w:val="000000" w:themeColor="text1"/>
          <w:sz w:val="24"/>
          <w:szCs w:val="24"/>
          <w:lang w:val="en-US" w:eastAsia="zh-CN"/>
          <w14:textFill>
            <w14:solidFill>
              <w14:schemeClr w14:val="tx1"/>
            </w14:solidFill>
          </w14:textFill>
        </w:rPr>
        <w:t>区</w:t>
      </w:r>
      <w:r>
        <w:rPr>
          <w:rFonts w:hint="eastAsia"/>
          <w:color w:val="000000" w:themeColor="text1"/>
          <w:sz w:val="24"/>
          <w:szCs w:val="24"/>
          <w14:textFill>
            <w14:solidFill>
              <w14:schemeClr w14:val="tx1"/>
            </w14:solidFill>
          </w14:textFill>
        </w:rPr>
        <w:t>地质环境背景</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_Toc23613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35</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6DD11A13">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_Toc21285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color w:val="000000" w:themeColor="text1"/>
          <w:sz w:val="24"/>
          <w:szCs w:val="24"/>
          <w:lang w:val="en-US" w:eastAsia="zh-CN"/>
          <w14:textFill>
            <w14:solidFill>
              <w14:schemeClr w14:val="tx1"/>
            </w14:solidFill>
          </w14:textFill>
        </w:rPr>
        <w:t xml:space="preserve">第四节  </w:t>
      </w:r>
      <w:r>
        <w:rPr>
          <w:rFonts w:hint="eastAsia"/>
          <w:color w:val="000000" w:themeColor="text1"/>
          <w:sz w:val="24"/>
          <w:szCs w:val="24"/>
          <w14:textFill>
            <w14:solidFill>
              <w14:schemeClr w14:val="tx1"/>
            </w14:solidFill>
          </w14:textFill>
        </w:rPr>
        <w:t>矿区土地利用现状及采矿用地审批情况</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_Toc21285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43</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2C114236">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_Toc11913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color w:val="000000" w:themeColor="text1"/>
          <w:sz w:val="24"/>
          <w:szCs w:val="24"/>
          <w:lang w:val="en-US" w:eastAsia="zh-CN"/>
          <w14:textFill>
            <w14:solidFill>
              <w14:schemeClr w14:val="tx1"/>
            </w14:solidFill>
          </w14:textFill>
        </w:rPr>
        <w:t xml:space="preserve">第五节  </w:t>
      </w:r>
      <w:r>
        <w:rPr>
          <w:rFonts w:hint="eastAsia"/>
          <w:color w:val="000000" w:themeColor="text1"/>
          <w:sz w:val="24"/>
          <w:szCs w:val="24"/>
          <w14:textFill>
            <w14:solidFill>
              <w14:schemeClr w14:val="tx1"/>
            </w14:solidFill>
          </w14:textFill>
        </w:rPr>
        <w:t>矿区生态状况</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_Toc11913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47</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0F736E1A">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_Toc17462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color w:val="000000" w:themeColor="text1"/>
          <w:sz w:val="24"/>
          <w:szCs w:val="24"/>
          <w:lang w:val="en-US" w:eastAsia="zh-CN"/>
          <w14:textFill>
            <w14:solidFill>
              <w14:schemeClr w14:val="tx1"/>
            </w14:solidFill>
          </w14:textFill>
        </w:rPr>
        <w:t xml:space="preserve">第六节  </w:t>
      </w:r>
      <w:r>
        <w:rPr>
          <w:rFonts w:hint="eastAsia"/>
          <w:color w:val="000000" w:themeColor="text1"/>
          <w:sz w:val="24"/>
          <w:szCs w:val="24"/>
          <w14:textFill>
            <w14:solidFill>
              <w14:schemeClr w14:val="tx1"/>
            </w14:solidFill>
          </w14:textFill>
        </w:rPr>
        <w:t>矿区及周边人类重大工程活动</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_Toc17462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56</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7F80BD87">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_Toc4878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color w:val="000000" w:themeColor="text1"/>
          <w:sz w:val="24"/>
          <w:szCs w:val="24"/>
          <w:lang w:val="en-US" w:eastAsia="zh-CN"/>
          <w14:textFill>
            <w14:solidFill>
              <w14:schemeClr w14:val="tx1"/>
            </w14:solidFill>
          </w14:textFill>
        </w:rPr>
        <w:t xml:space="preserve">第七节  </w:t>
      </w:r>
      <w:r>
        <w:rPr>
          <w:rFonts w:hint="eastAsia"/>
          <w:color w:val="000000" w:themeColor="text1"/>
          <w:sz w:val="24"/>
          <w:szCs w:val="24"/>
          <w14:textFill>
            <w14:solidFill>
              <w14:schemeClr w14:val="tx1"/>
            </w14:solidFill>
          </w14:textFill>
        </w:rPr>
        <w:t>矿区生态修复工作情况</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_Toc4878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57</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06A63467">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_Toc8348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color w:val="000000" w:themeColor="text1"/>
          <w:sz w:val="24"/>
          <w:szCs w:val="24"/>
          <w:lang w:val="en-US" w:eastAsia="zh-CN"/>
          <w14:textFill>
            <w14:solidFill>
              <w14:schemeClr w14:val="tx1"/>
            </w14:solidFill>
          </w14:textFill>
        </w:rPr>
        <w:t xml:space="preserve">第八节  </w:t>
      </w:r>
      <w:r>
        <w:rPr>
          <w:rFonts w:hint="eastAsia"/>
          <w:color w:val="000000" w:themeColor="text1"/>
          <w:sz w:val="24"/>
          <w:szCs w:val="24"/>
          <w14:textFill>
            <w14:solidFill>
              <w14:schemeClr w14:val="tx1"/>
            </w14:solidFill>
          </w14:textFill>
        </w:rPr>
        <w:t>矿区基本情况调查监测指标</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_Toc8348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60</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01F96D3A">
      <w:pPr>
        <w:pStyle w:val="21"/>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_Toc19620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ascii="黑体" w:hAnsi="黑体" w:eastAsia="黑体" w:cs="黑体"/>
          <w:bCs/>
          <w:color w:val="000000" w:themeColor="text1"/>
          <w:sz w:val="24"/>
          <w:szCs w:val="24"/>
          <w14:textFill>
            <w14:solidFill>
              <w14:schemeClr w14:val="tx1"/>
            </w14:solidFill>
          </w14:textFill>
        </w:rPr>
        <w:t>第三章  问题识别诊断及修复可行性分析</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_Toc19620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65</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568545B2">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_Toc16800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color w:val="000000" w:themeColor="text1"/>
          <w:sz w:val="24"/>
          <w:szCs w:val="24"/>
          <w:lang w:val="en-US" w:eastAsia="zh-CN"/>
          <w14:textFill>
            <w14:solidFill>
              <w14:schemeClr w14:val="tx1"/>
            </w14:solidFill>
          </w14:textFill>
        </w:rPr>
        <w:t xml:space="preserve">第一节  </w:t>
      </w:r>
      <w:r>
        <w:rPr>
          <w:rFonts w:hint="eastAsia"/>
          <w:color w:val="000000" w:themeColor="text1"/>
          <w:sz w:val="24"/>
          <w:szCs w:val="24"/>
          <w14:textFill>
            <w14:solidFill>
              <w14:schemeClr w14:val="tx1"/>
            </w14:solidFill>
          </w14:textFill>
        </w:rPr>
        <w:t>问题识别与受损预测</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_Toc16800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65</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26D6507A">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_Toc17903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color w:val="000000" w:themeColor="text1"/>
          <w:sz w:val="24"/>
          <w:szCs w:val="24"/>
          <w:lang w:val="en-US" w:eastAsia="zh-CN"/>
          <w14:textFill>
            <w14:solidFill>
              <w14:schemeClr w14:val="tx1"/>
            </w14:solidFill>
          </w14:textFill>
        </w:rPr>
        <w:t xml:space="preserve">第二节  </w:t>
      </w:r>
      <w:r>
        <w:rPr>
          <w:rFonts w:hint="eastAsia"/>
          <w:color w:val="000000" w:themeColor="text1"/>
          <w:sz w:val="24"/>
          <w:szCs w:val="24"/>
          <w14:textFill>
            <w14:solidFill>
              <w14:schemeClr w14:val="tx1"/>
            </w14:solidFill>
          </w14:textFill>
        </w:rPr>
        <w:t>生态修复可行性分析</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_Toc17903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116</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685D9D8B">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_Toc21290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color w:val="000000" w:themeColor="text1"/>
          <w:sz w:val="24"/>
          <w:szCs w:val="24"/>
          <w:lang w:val="en-US" w:eastAsia="zh-CN"/>
          <w14:textFill>
            <w14:solidFill>
              <w14:schemeClr w14:val="tx1"/>
            </w14:solidFill>
          </w14:textFill>
        </w:rPr>
        <w:t xml:space="preserve">第三节  </w:t>
      </w:r>
      <w:r>
        <w:rPr>
          <w:rFonts w:hint="eastAsia"/>
          <w:color w:val="000000" w:themeColor="text1"/>
          <w:sz w:val="24"/>
          <w:szCs w:val="24"/>
          <w14:textFill>
            <w14:solidFill>
              <w14:schemeClr w14:val="tx1"/>
            </w14:solidFill>
          </w14:textFill>
        </w:rPr>
        <w:t>生态修复分区及修复时序安排</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_Toc21290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131</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1DCC27CC">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_Toc15741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ascii="Times New Roman" w:hAnsi="Times New Roman"/>
          <w:color w:val="000000" w:themeColor="text1"/>
          <w:sz w:val="24"/>
          <w:szCs w:val="24"/>
          <w:lang w:val="en-US" w:eastAsia="zh-CN"/>
          <w14:textFill>
            <w14:solidFill>
              <w14:schemeClr w14:val="tx1"/>
            </w14:solidFill>
          </w14:textFill>
        </w:rPr>
        <w:t xml:space="preserve">第四节  </w:t>
      </w:r>
      <w:r>
        <w:rPr>
          <w:rFonts w:hint="eastAsia" w:ascii="Times New Roman" w:hAnsi="Times New Roman"/>
          <w:color w:val="000000" w:themeColor="text1"/>
          <w:sz w:val="24"/>
          <w:szCs w:val="24"/>
          <w14:textFill>
            <w14:solidFill>
              <w14:schemeClr w14:val="tx1"/>
            </w14:solidFill>
          </w14:textFill>
        </w:rPr>
        <w:t>采矿用地与复垦修复安排</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_Toc15741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135</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5F380292">
      <w:pPr>
        <w:pStyle w:val="21"/>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_Toc5929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ascii="黑体" w:hAnsi="黑体" w:eastAsia="黑体" w:cs="黑体"/>
          <w:bCs/>
          <w:color w:val="000000" w:themeColor="text1"/>
          <w:sz w:val="24"/>
          <w:szCs w:val="24"/>
          <w14:textFill>
            <w14:solidFill>
              <w14:schemeClr w14:val="tx1"/>
            </w14:solidFill>
          </w14:textFill>
        </w:rPr>
        <w:t>第四章  生态修复措施与工程内容</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_Toc5929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139</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13DD776C">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_Toc5162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color w:val="000000" w:themeColor="text1"/>
          <w:sz w:val="24"/>
          <w:szCs w:val="24"/>
          <w:lang w:val="en-US" w:eastAsia="zh-CN"/>
          <w14:textFill>
            <w14:solidFill>
              <w14:schemeClr w14:val="tx1"/>
            </w14:solidFill>
          </w14:textFill>
        </w:rPr>
        <w:t xml:space="preserve">第一节  </w:t>
      </w:r>
      <w:r>
        <w:rPr>
          <w:rFonts w:hint="eastAsia"/>
          <w:color w:val="000000" w:themeColor="text1"/>
          <w:sz w:val="24"/>
          <w:szCs w:val="24"/>
          <w14:textFill>
            <w14:solidFill>
              <w14:schemeClr w14:val="tx1"/>
            </w14:solidFill>
          </w14:textFill>
        </w:rPr>
        <w:t>保护与预防控制措施</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_Toc5162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139</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7709C4D7">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_Toc17227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color w:val="000000" w:themeColor="text1"/>
          <w:sz w:val="24"/>
          <w:szCs w:val="24"/>
          <w:lang w:val="en-US" w:eastAsia="zh-CN"/>
          <w14:textFill>
            <w14:solidFill>
              <w14:schemeClr w14:val="tx1"/>
            </w14:solidFill>
          </w14:textFill>
        </w:rPr>
        <w:t xml:space="preserve">第二节  </w:t>
      </w:r>
      <w:r>
        <w:rPr>
          <w:rFonts w:hint="eastAsia"/>
          <w:color w:val="000000" w:themeColor="text1"/>
          <w:sz w:val="24"/>
          <w:szCs w:val="24"/>
          <w14:textFill>
            <w14:solidFill>
              <w14:schemeClr w14:val="tx1"/>
            </w14:solidFill>
          </w14:textFill>
        </w:rPr>
        <w:t>修复措施</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_Toc17227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141</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4EDF6B48">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_Toc14054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color w:val="000000" w:themeColor="text1"/>
          <w:sz w:val="24"/>
          <w:szCs w:val="24"/>
          <w:lang w:val="en-US" w:eastAsia="zh-CN"/>
          <w14:textFill>
            <w14:solidFill>
              <w14:schemeClr w14:val="tx1"/>
            </w14:solidFill>
          </w14:textFill>
        </w:rPr>
        <w:t xml:space="preserve">第三节  </w:t>
      </w:r>
      <w:r>
        <w:rPr>
          <w:rFonts w:hint="eastAsia"/>
          <w:color w:val="000000" w:themeColor="text1"/>
          <w:sz w:val="24"/>
          <w:szCs w:val="24"/>
          <w14:textFill>
            <w14:solidFill>
              <w14:schemeClr w14:val="tx1"/>
            </w14:solidFill>
          </w14:textFill>
        </w:rPr>
        <w:t>工程内容</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_Toc14054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148</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0E0F2882">
      <w:pPr>
        <w:pStyle w:val="21"/>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_Toc16076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ascii="黑体" w:hAnsi="黑体" w:eastAsia="黑体" w:cs="黑体"/>
          <w:bCs/>
          <w:color w:val="000000" w:themeColor="text1"/>
          <w:sz w:val="24"/>
          <w:szCs w:val="24"/>
          <w14:textFill>
            <w14:solidFill>
              <w14:schemeClr w14:val="tx1"/>
            </w14:solidFill>
          </w14:textFill>
        </w:rPr>
        <w:t>第五章  监测与管护</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_Toc16076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172</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2A00F64B">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_Toc3557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color w:val="000000" w:themeColor="text1"/>
          <w:sz w:val="24"/>
          <w:szCs w:val="24"/>
          <w:lang w:val="en-US" w:eastAsia="zh-CN"/>
          <w14:textFill>
            <w14:solidFill>
              <w14:schemeClr w14:val="tx1"/>
            </w14:solidFill>
          </w14:textFill>
        </w:rPr>
        <w:t xml:space="preserve">第一节  </w:t>
      </w:r>
      <w:r>
        <w:rPr>
          <w:rFonts w:hint="eastAsia"/>
          <w:color w:val="000000" w:themeColor="text1"/>
          <w:sz w:val="24"/>
          <w:szCs w:val="24"/>
          <w14:textFill>
            <w14:solidFill>
              <w14:schemeClr w14:val="tx1"/>
            </w14:solidFill>
          </w14:textFill>
        </w:rPr>
        <w:t>监测目标与措施</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_Toc3557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172</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064BBFE1">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_Toc32619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color w:val="000000" w:themeColor="text1"/>
          <w:sz w:val="24"/>
          <w:szCs w:val="24"/>
          <w:lang w:val="en-US" w:eastAsia="zh-CN"/>
          <w14:textFill>
            <w14:solidFill>
              <w14:schemeClr w14:val="tx1"/>
            </w14:solidFill>
          </w14:textFill>
        </w:rPr>
        <w:t xml:space="preserve">第二节  </w:t>
      </w:r>
      <w:r>
        <w:rPr>
          <w:rFonts w:hint="eastAsia"/>
          <w:color w:val="000000" w:themeColor="text1"/>
          <w:sz w:val="24"/>
          <w:szCs w:val="24"/>
          <w14:textFill>
            <w14:solidFill>
              <w14:schemeClr w14:val="tx1"/>
            </w14:solidFill>
          </w14:textFill>
        </w:rPr>
        <w:t>管护目标与措施</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_Toc32619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178</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3E6FEFB3">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_Toc5340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 xml:space="preserve">第三节  </w:t>
      </w:r>
      <w:r>
        <w:rPr>
          <w:rFonts w:hint="default" w:ascii="Times New Roman" w:hAnsi="Times New Roman" w:eastAsia="宋体" w:cs="Times New Roman"/>
          <w:bCs/>
          <w:color w:val="000000" w:themeColor="text1"/>
          <w:sz w:val="24"/>
          <w:szCs w:val="24"/>
          <w:highlight w:val="none"/>
          <w:lang w:val="en-US" w:eastAsia="zh-CN"/>
          <w14:textFill>
            <w14:solidFill>
              <w14:schemeClr w14:val="tx1"/>
            </w14:solidFill>
          </w14:textFill>
        </w:rPr>
        <w:t>工程量</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_Toc5340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179</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0F493347">
      <w:pPr>
        <w:pStyle w:val="21"/>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_Toc17197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ascii="黑体" w:hAnsi="黑体" w:eastAsia="黑体" w:cs="黑体"/>
          <w:bCs/>
          <w:color w:val="000000" w:themeColor="text1"/>
          <w:sz w:val="24"/>
          <w:szCs w:val="24"/>
          <w14:textFill>
            <w14:solidFill>
              <w14:schemeClr w14:val="tx1"/>
            </w14:solidFill>
          </w14:textFill>
        </w:rPr>
        <w:t>第六章  工程部署与经费估算</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_Toc17197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181</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11FA13DB">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_Toc9785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color w:val="000000" w:themeColor="text1"/>
          <w:sz w:val="24"/>
          <w:szCs w:val="24"/>
          <w:lang w:val="en-US" w:eastAsia="zh-CN"/>
          <w14:textFill>
            <w14:solidFill>
              <w14:schemeClr w14:val="tx1"/>
            </w14:solidFill>
          </w14:textFill>
        </w:rPr>
        <w:t xml:space="preserve">第一节  </w:t>
      </w:r>
      <w:r>
        <w:rPr>
          <w:rFonts w:hint="eastAsia"/>
          <w:color w:val="000000" w:themeColor="text1"/>
          <w:sz w:val="24"/>
          <w:szCs w:val="24"/>
          <w14:textFill>
            <w14:solidFill>
              <w14:schemeClr w14:val="tx1"/>
            </w14:solidFill>
          </w14:textFill>
        </w:rPr>
        <w:t>总体部署</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_Toc9785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181</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06AAEF17">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_Toc17737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color w:val="000000" w:themeColor="text1"/>
          <w:sz w:val="24"/>
          <w:szCs w:val="24"/>
          <w:lang w:val="en-US" w:eastAsia="zh-CN"/>
          <w14:textFill>
            <w14:solidFill>
              <w14:schemeClr w14:val="tx1"/>
            </w14:solidFill>
          </w14:textFill>
        </w:rPr>
        <w:t>第二节  总体经费估算</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_Toc17737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182</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66E10EBF">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_Toc6382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ascii="宋体" w:hAnsi="宋体" w:cs="宋体"/>
          <w:color w:val="000000" w:themeColor="text1"/>
          <w:sz w:val="24"/>
          <w:szCs w:val="24"/>
          <w:lang w:val="en-US" w:eastAsia="zh-CN"/>
          <w14:textFill>
            <w14:solidFill>
              <w14:schemeClr w14:val="tx1"/>
            </w14:solidFill>
          </w14:textFill>
        </w:rPr>
        <w:t xml:space="preserve">第三节  </w:t>
      </w:r>
      <w:r>
        <w:rPr>
          <w:rFonts w:hint="eastAsia" w:ascii="宋体" w:hAnsi="宋体" w:cs="宋体"/>
          <w:color w:val="000000" w:themeColor="text1"/>
          <w:sz w:val="24"/>
          <w:szCs w:val="24"/>
          <w14:textFill>
            <w14:solidFill>
              <w14:schemeClr w14:val="tx1"/>
            </w14:solidFill>
          </w14:textFill>
        </w:rPr>
        <w:t>阶段工作任务与经费安排</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_Toc6382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202</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7A18E469">
      <w:pPr>
        <w:pStyle w:val="21"/>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_Toc12079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ascii="黑体" w:hAnsi="黑体" w:eastAsia="黑体" w:cs="黑体"/>
          <w:bCs/>
          <w:color w:val="000000" w:themeColor="text1"/>
          <w:sz w:val="24"/>
          <w:szCs w:val="24"/>
          <w14:textFill>
            <w14:solidFill>
              <w14:schemeClr w14:val="tx1"/>
            </w14:solidFill>
          </w14:textFill>
        </w:rPr>
        <w:t>第七章  保障措施与公众参与</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_Toc12079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212</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433C0162">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_Toc3531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color w:val="000000" w:themeColor="text1"/>
          <w:sz w:val="24"/>
          <w:szCs w:val="24"/>
          <w:lang w:val="en-US" w:eastAsia="zh-CN"/>
          <w14:textFill>
            <w14:solidFill>
              <w14:schemeClr w14:val="tx1"/>
            </w14:solidFill>
          </w14:textFill>
        </w:rPr>
        <w:t xml:space="preserve">第一节  </w:t>
      </w:r>
      <w:r>
        <w:rPr>
          <w:rFonts w:hint="eastAsia"/>
          <w:color w:val="000000" w:themeColor="text1"/>
          <w:sz w:val="24"/>
          <w:szCs w:val="24"/>
          <w14:textFill>
            <w14:solidFill>
              <w14:schemeClr w14:val="tx1"/>
            </w14:solidFill>
          </w14:textFill>
        </w:rPr>
        <w:t>保障措施</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_Toc3531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213</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28C261AF">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_Toc20235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第二节  公众参与</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_Toc20235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217</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60C1F851">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_Toc28798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ascii="Times New Roman" w:hAnsi="Times New Roman" w:eastAsia="宋体" w:cs="Times New Roman"/>
          <w:bCs/>
          <w:color w:val="000000" w:themeColor="text1"/>
          <w:sz w:val="24"/>
          <w:szCs w:val="24"/>
          <w:highlight w:val="none"/>
          <w:lang w:val="en-US" w:eastAsia="zh-CN"/>
          <w14:textFill>
            <w14:solidFill>
              <w14:schemeClr w14:val="tx1"/>
            </w14:solidFill>
          </w14:textFill>
        </w:rPr>
        <w:t>第三节  效益分析</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_Toc28798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219</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30097AFE">
      <w:pPr>
        <w:pStyle w:val="21"/>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_Toc10044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eastAsia" w:ascii="黑体" w:hAnsi="黑体" w:eastAsia="黑体" w:cs="黑体"/>
          <w:bCs/>
          <w:color w:val="000000" w:themeColor="text1"/>
          <w:sz w:val="24"/>
          <w:szCs w:val="24"/>
          <w14:textFill>
            <w14:solidFill>
              <w14:schemeClr w14:val="tx1"/>
            </w14:solidFill>
          </w14:textFill>
        </w:rPr>
        <w:t>第八章  结论</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_Toc10044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221</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5B1FFE85">
      <w:pPr>
        <w:pStyle w:val="23"/>
        <w:tabs>
          <w:tab w:val="right" w:leader="dot" w:pos="8788"/>
        </w:tabs>
        <w:spacing w:line="360" w:lineRule="auto"/>
        <w:rPr>
          <w:color w:val="000000" w:themeColor="text1"/>
          <w:sz w:val="24"/>
          <w:szCs w:val="24"/>
          <w14:textFill>
            <w14:solidFill>
              <w14:schemeClr w14:val="tx1"/>
            </w14:solidFill>
          </w14:textFill>
        </w:r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begin"/>
      </w:r>
      <w:r>
        <w:rPr>
          <w:rFonts w:hint="default" w:ascii="Times New Roman" w:hAnsi="Times New Roman" w:cs="Times New Roman" w:eastAsiaTheme="minorEastAsia"/>
          <w:color w:val="000000" w:themeColor="text1"/>
          <w:sz w:val="24"/>
          <w:szCs w:val="24"/>
          <w14:textFill>
            <w14:solidFill>
              <w14:schemeClr w14:val="tx1"/>
            </w14:solidFill>
          </w14:textFill>
        </w:rPr>
        <w:instrText xml:space="preserve"> HYPERLINK \l _Toc4524 </w:instrText>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separate"/>
      </w:r>
      <w:r>
        <w:rPr>
          <w:rFonts w:hint="default" w:ascii="Times New Roman" w:hAnsi="Times New Roman" w:cs="Times New Roman"/>
          <w:color w:val="000000" w:themeColor="text1"/>
          <w:sz w:val="24"/>
          <w:szCs w:val="24"/>
          <w14:textFill>
            <w14:solidFill>
              <w14:schemeClr w14:val="tx1"/>
            </w14:solidFill>
          </w14:textFill>
        </w:rPr>
        <w:t>一、结论</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_Toc4524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221</w:t>
      </w:r>
      <w:r>
        <w:rPr>
          <w:color w:val="000000" w:themeColor="text1"/>
          <w:sz w:val="24"/>
          <w:szCs w:val="24"/>
          <w14:textFill>
            <w14:solidFill>
              <w14:schemeClr w14:val="tx1"/>
            </w14:solidFill>
          </w14:textFill>
        </w:rPr>
        <w:fldChar w:fldCharType="end"/>
      </w: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2EFDB89C">
      <w:pPr>
        <w:spacing w:line="360" w:lineRule="auto"/>
        <w:ind w:firstLine="360" w:firstLineChars="150"/>
        <w:rPr>
          <w:rFonts w:hint="eastAsia" w:asciiTheme="minorEastAsia" w:hAnsiTheme="minorEastAsia" w:eastAsiaTheme="minorEastAsia" w:cstheme="minorEastAsia"/>
          <w:color w:val="000000" w:themeColor="text1"/>
          <w:sz w:val="40"/>
          <w:szCs w:val="40"/>
          <w14:textFill>
            <w14:solidFill>
              <w14:schemeClr w14:val="tx1"/>
            </w14:solidFill>
          </w14:textFill>
        </w:rPr>
        <w:sectPr>
          <w:headerReference r:id="rId16" w:type="first"/>
          <w:pgSz w:w="11907" w:h="16840"/>
          <w:pgMar w:top="1418" w:right="1418" w:bottom="1418" w:left="1701" w:header="851" w:footer="992" w:gutter="0"/>
          <w:pgNumType w:fmt="numberInDash" w:start="1"/>
          <w:cols w:space="720" w:num="1"/>
          <w:titlePg/>
          <w:docGrid w:linePitch="312" w:charSpace="0"/>
        </w:sectPr>
      </w:pPr>
      <w:r>
        <w:rPr>
          <w:rFonts w:hint="default" w:ascii="Times New Roman" w:hAnsi="Times New Roman" w:cs="Times New Roman" w:eastAsiaTheme="minorEastAsia"/>
          <w:color w:val="000000" w:themeColor="text1"/>
          <w:sz w:val="24"/>
          <w:szCs w:val="24"/>
          <w14:textFill>
            <w14:solidFill>
              <w14:schemeClr w14:val="tx1"/>
            </w14:solidFill>
          </w14:textFill>
        </w:rPr>
        <w:fldChar w:fldCharType="end"/>
      </w:r>
    </w:p>
    <w:p w14:paraId="56A01608">
      <w:pPr>
        <w:spacing w:line="360" w:lineRule="auto"/>
        <w:contextualSpacing/>
        <w:jc w:val="center"/>
        <w:rPr>
          <w:rFonts w:ascii="宋体" w:hAnsi="宋体" w:cs="宋体"/>
          <w:b/>
          <w:color w:val="000000" w:themeColor="text1"/>
          <w:sz w:val="28"/>
          <w:szCs w:val="30"/>
          <w14:textFill>
            <w14:solidFill>
              <w14:schemeClr w14:val="tx1"/>
            </w14:solidFill>
          </w14:textFill>
        </w:rPr>
      </w:pPr>
      <w:r>
        <w:rPr>
          <w:rFonts w:hint="eastAsia" w:ascii="宋体" w:hAnsi="宋体" w:cs="宋体"/>
          <w:b/>
          <w:color w:val="000000" w:themeColor="text1"/>
          <w:sz w:val="28"/>
          <w:szCs w:val="30"/>
          <w14:textFill>
            <w14:solidFill>
              <w14:schemeClr w14:val="tx1"/>
            </w14:solidFill>
          </w14:textFill>
        </w:rPr>
        <w:t>附  图</w:t>
      </w:r>
    </w:p>
    <w:p w14:paraId="12ADA087">
      <w:pPr>
        <w:keepNext w:val="0"/>
        <w:keepLines w:val="0"/>
        <w:pageBreakBefore w:val="0"/>
        <w:widowControl w:val="0"/>
        <w:kinsoku/>
        <w:wordWrap/>
        <w:overflowPunct/>
        <w:topLinePunct w:val="0"/>
        <w:autoSpaceDE/>
        <w:autoSpaceDN/>
        <w:bidi w:val="0"/>
        <w:adjustRightInd/>
        <w:snapToGrid/>
        <w:spacing w:before="157" w:beforeLines="50" w:line="360" w:lineRule="auto"/>
        <w:contextualSpacing/>
        <w:jc w:val="center"/>
        <w:textAlignment w:val="auto"/>
        <w:rPr>
          <w:rFonts w:ascii="宋体" w:hAnsi="宋体" w:cs="宋体"/>
          <w:b/>
          <w:color w:val="000000" w:themeColor="text1"/>
          <w:sz w:val="28"/>
          <w:szCs w:val="30"/>
          <w14:textFill>
            <w14:solidFill>
              <w14:schemeClr w14:val="tx1"/>
            </w14:solidFill>
          </w14:textFill>
        </w:rPr>
      </w:pPr>
      <w:r>
        <w:rPr>
          <w:rFonts w:hint="eastAsia" w:ascii="宋体" w:hAnsi="宋体" w:cs="宋体"/>
          <w:b/>
          <w:color w:val="000000" w:themeColor="text1"/>
          <w:sz w:val="28"/>
          <w:szCs w:val="30"/>
          <w14:textFill>
            <w14:solidFill>
              <w14:schemeClr w14:val="tx1"/>
            </w14:solidFill>
          </w14:textFill>
        </w:rPr>
        <w:t>附  表</w:t>
      </w:r>
    </w:p>
    <w:p w14:paraId="2CD5BB4E">
      <w:pPr>
        <w:ind w:firstLine="602"/>
        <w:contextualSpacing/>
        <w:jc w:val="center"/>
        <w:rPr>
          <w:b/>
          <w:color w:val="000000" w:themeColor="text1"/>
          <w:sz w:val="28"/>
          <w:szCs w:val="30"/>
          <w14:textFill>
            <w14:solidFill>
              <w14:schemeClr w14:val="tx1"/>
            </w14:solidFill>
          </w14:textFill>
        </w:rPr>
      </w:pPr>
    </w:p>
    <w:p w14:paraId="3E62C33D">
      <w:pPr>
        <w:rPr>
          <w:b/>
          <w:color w:val="000000" w:themeColor="text1"/>
          <w:sz w:val="28"/>
          <w:szCs w:val="30"/>
          <w14:textFill>
            <w14:solidFill>
              <w14:schemeClr w14:val="tx1"/>
            </w14:solidFill>
          </w14:textFill>
        </w:rPr>
      </w:pPr>
      <w:r>
        <w:rPr>
          <w:b/>
          <w:color w:val="000000" w:themeColor="text1"/>
          <w:sz w:val="28"/>
          <w:szCs w:val="30"/>
          <w14:textFill>
            <w14:solidFill>
              <w14:schemeClr w14:val="tx1"/>
            </w14:solidFill>
          </w14:textFill>
        </w:rPr>
        <w:br w:type="page"/>
      </w:r>
    </w:p>
    <w:p w14:paraId="5282E9E8">
      <w:pPr>
        <w:spacing w:line="360" w:lineRule="auto"/>
        <w:contextualSpacing/>
        <w:jc w:val="center"/>
        <w:rPr>
          <w:b/>
          <w:color w:val="000000" w:themeColor="text1"/>
          <w:sz w:val="28"/>
          <w:szCs w:val="30"/>
          <w14:textFill>
            <w14:solidFill>
              <w14:schemeClr w14:val="tx1"/>
            </w14:solidFill>
          </w14:textFill>
        </w:rPr>
      </w:pPr>
      <w:r>
        <w:rPr>
          <w:b/>
          <w:color w:val="000000" w:themeColor="text1"/>
          <w:sz w:val="28"/>
          <w:szCs w:val="30"/>
          <w14:textFill>
            <w14:solidFill>
              <w14:schemeClr w14:val="tx1"/>
            </w14:solidFill>
          </w14:textFill>
        </w:rPr>
        <w:t>附  件</w:t>
      </w:r>
    </w:p>
    <w:p w14:paraId="5F77A8A3">
      <w:pPr>
        <w:spacing w:line="360" w:lineRule="auto"/>
        <w:contextualSpacing/>
        <w:jc w:val="center"/>
        <w:rPr>
          <w:b/>
          <w:color w:val="000000" w:themeColor="text1"/>
          <w:sz w:val="28"/>
          <w:szCs w:val="30"/>
          <w14:textFill>
            <w14:solidFill>
              <w14:schemeClr w14:val="tx1"/>
            </w14:solidFill>
          </w14:textFill>
        </w:rPr>
      </w:pPr>
    </w:p>
    <w:p w14:paraId="6D5BB8B4">
      <w:pPr>
        <w:ind w:firstLine="602"/>
        <w:contextualSpacing/>
        <w:jc w:val="center"/>
        <w:rPr>
          <w:b/>
          <w:color w:val="000000" w:themeColor="text1"/>
          <w:sz w:val="30"/>
          <w:szCs w:val="30"/>
          <w14:textFill>
            <w14:solidFill>
              <w14:schemeClr w14:val="tx1"/>
            </w14:solidFill>
          </w14:textFill>
        </w:rPr>
        <w:sectPr>
          <w:pgSz w:w="11907" w:h="16840"/>
          <w:pgMar w:top="1418" w:right="1418" w:bottom="1418" w:left="1701" w:header="851" w:footer="992" w:gutter="0"/>
          <w:pgNumType w:fmt="numberInDash" w:start="1"/>
          <w:cols w:space="720" w:num="1"/>
          <w:titlePg/>
          <w:docGrid w:linePitch="312" w:charSpace="0"/>
        </w:sectPr>
      </w:pPr>
    </w:p>
    <w:bookmarkEnd w:id="0"/>
    <w:bookmarkEnd w:id="1"/>
    <w:bookmarkEnd w:id="2"/>
    <w:p w14:paraId="5047EF6A">
      <w:pPr>
        <w:pStyle w:val="2"/>
        <w:keepNext w:val="0"/>
        <w:keepLines w:val="0"/>
        <w:pageBreakBefore/>
        <w:widowControl w:val="0"/>
        <w:kinsoku/>
        <w:wordWrap/>
        <w:overflowPunct/>
        <w:topLinePunct w:val="0"/>
        <w:autoSpaceDE/>
        <w:autoSpaceDN/>
        <w:bidi w:val="0"/>
        <w:adjustRightInd/>
        <w:snapToGrid/>
        <w:spacing w:line="360" w:lineRule="auto"/>
        <w:jc w:val="center"/>
        <w:textAlignment w:val="auto"/>
        <w:rPr>
          <w:rFonts w:ascii="黑体" w:hAnsi="黑体" w:eastAsia="黑体" w:cs="黑体"/>
          <w:bCs/>
          <w:color w:val="000000" w:themeColor="text1"/>
          <w14:textFill>
            <w14:solidFill>
              <w14:schemeClr w14:val="tx1"/>
            </w14:solidFill>
          </w14:textFill>
        </w:rPr>
      </w:pPr>
      <w:bookmarkStart w:id="3" w:name="_Toc27348"/>
      <w:r>
        <w:rPr>
          <w:rFonts w:hint="eastAsia" w:ascii="黑体" w:hAnsi="黑体" w:eastAsia="黑体" w:cs="黑体"/>
          <w:bCs/>
          <w:color w:val="000000" w:themeColor="text1"/>
          <w14:textFill>
            <w14:solidFill>
              <w14:schemeClr w14:val="tx1"/>
            </w14:solidFill>
          </w14:textFill>
        </w:rPr>
        <w:t>前  言</w:t>
      </w:r>
      <w:bookmarkEnd w:id="3"/>
    </w:p>
    <w:p w14:paraId="72B89F4E">
      <w:pPr>
        <w:pStyle w:val="3"/>
        <w:spacing w:before="0" w:beforeLines="0"/>
        <w:ind w:firstLine="602" w:firstLineChars="200"/>
        <w:jc w:val="both"/>
        <w:rPr>
          <w:color w:val="000000" w:themeColor="text1"/>
          <w14:textFill>
            <w14:solidFill>
              <w14:schemeClr w14:val="tx1"/>
            </w14:solidFill>
          </w14:textFill>
        </w:rPr>
      </w:pPr>
      <w:bookmarkStart w:id="4" w:name="_Toc32341"/>
      <w:bookmarkStart w:id="5" w:name="OLE_LINK1"/>
      <w:r>
        <w:rPr>
          <w:color w:val="000000" w:themeColor="text1"/>
          <w14:textFill>
            <w14:solidFill>
              <w14:schemeClr w14:val="tx1"/>
            </w14:solidFill>
          </w14:textFill>
        </w:rPr>
        <w:t>一、</w:t>
      </w:r>
      <w:r>
        <w:rPr>
          <w:rFonts w:hint="eastAsia"/>
          <w:color w:val="000000" w:themeColor="text1"/>
          <w14:textFill>
            <w14:solidFill>
              <w14:schemeClr w14:val="tx1"/>
            </w14:solidFill>
          </w14:textFill>
        </w:rPr>
        <w:t>编制目的</w:t>
      </w:r>
      <w:bookmarkEnd w:id="4"/>
    </w:p>
    <w:p w14:paraId="2FC45F75">
      <w:pPr>
        <w:pStyle w:val="5"/>
        <w:bidi w:val="0"/>
        <w:spacing w:line="360" w:lineRule="auto"/>
        <w:ind w:firstLine="562" w:firstLineChars="200"/>
        <w:rPr>
          <w:b/>
          <w:bCs/>
          <w:color w:val="000000" w:themeColor="text1"/>
          <w:sz w:val="28"/>
          <w:szCs w:val="24"/>
          <w14:textFill>
            <w14:solidFill>
              <w14:schemeClr w14:val="tx1"/>
            </w14:solidFill>
          </w14:textFill>
        </w:rPr>
      </w:pPr>
      <w:r>
        <w:rPr>
          <w:rFonts w:hint="eastAsia"/>
          <w:b/>
          <w:bCs/>
          <w:color w:val="000000" w:themeColor="text1"/>
          <w:sz w:val="28"/>
          <w:szCs w:val="24"/>
          <w14:textFill>
            <w14:solidFill>
              <w14:schemeClr w14:val="tx1"/>
            </w14:solidFill>
          </w14:textFill>
        </w:rPr>
        <w:t>（一）任务由来</w:t>
      </w:r>
    </w:p>
    <w:bookmarkEnd w:id="5"/>
    <w:p w14:paraId="089C58E9">
      <w:pPr>
        <w:spacing w:line="360" w:lineRule="auto"/>
        <w:ind w:firstLine="560" w:firstLineChars="200"/>
        <w:rPr>
          <w:rFonts w:hint="default" w:ascii="Times New Roman" w:hAnsi="Times New Roman" w:eastAsia="宋体" w:cs="Times New Roman"/>
          <w:color w:val="000000" w:themeColor="text1"/>
          <w:sz w:val="28"/>
          <w:szCs w:val="28"/>
          <w:lang w:val="en-US" w:eastAsia="zh-CN"/>
          <w14:textFill>
            <w14:solidFill>
              <w14:schemeClr w14:val="tx1"/>
            </w14:solidFill>
          </w14:textFill>
        </w:rPr>
      </w:pPr>
      <w:bookmarkStart w:id="6" w:name="_Toc210478038"/>
      <w:r>
        <w:rPr>
          <w:rFonts w:hint="default" w:ascii="Times New Roman" w:hAnsi="Times New Roman" w:cs="Times New Roman"/>
          <w:color w:val="000000" w:themeColor="text1"/>
          <w:sz w:val="28"/>
          <w:szCs w:val="28"/>
          <w14:textFill>
            <w14:solidFill>
              <w14:schemeClr w14:val="tx1"/>
            </w14:solidFill>
          </w14:textFill>
        </w:rPr>
        <w:t>赤峰太安新型建筑材料有限公司太平地镇粘土矿属已建矿山，20</w:t>
      </w:r>
      <w:r>
        <w:rPr>
          <w:rFonts w:hint="eastAsia" w:cs="Times New Roman"/>
          <w:color w:val="000000" w:themeColor="text1"/>
          <w:sz w:val="28"/>
          <w:szCs w:val="28"/>
          <w:lang w:val="en-US" w:eastAsia="zh-CN"/>
          <w14:textFill>
            <w14:solidFill>
              <w14:schemeClr w14:val="tx1"/>
            </w14:solidFill>
          </w14:textFill>
        </w:rPr>
        <w:t>21</w:t>
      </w:r>
      <w:r>
        <w:rPr>
          <w:rFonts w:hint="default" w:ascii="Times New Roman" w:hAnsi="Times New Roman" w:cs="Times New Roman"/>
          <w:color w:val="000000" w:themeColor="text1"/>
          <w:sz w:val="28"/>
          <w:szCs w:val="28"/>
          <w14:textFill>
            <w14:solidFill>
              <w14:schemeClr w14:val="tx1"/>
            </w14:solidFill>
          </w14:textFill>
        </w:rPr>
        <w:t>年</w:t>
      </w:r>
      <w:r>
        <w:rPr>
          <w:rFonts w:hint="eastAsia" w:cs="Times New Roman"/>
          <w:color w:val="000000" w:themeColor="text1"/>
          <w:sz w:val="28"/>
          <w:szCs w:val="28"/>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月，由</w:t>
      </w:r>
      <w:r>
        <w:rPr>
          <w:rFonts w:hint="eastAsia" w:cs="Times New Roman"/>
          <w:color w:val="000000" w:themeColor="text1"/>
          <w:sz w:val="28"/>
          <w:szCs w:val="28"/>
          <w:lang w:val="en-US" w:eastAsia="zh-CN"/>
          <w14:textFill>
            <w14:solidFill>
              <w14:schemeClr w14:val="tx1"/>
            </w14:solidFill>
          </w14:textFill>
        </w:rPr>
        <w:t>赤峰带路矿业咨询有限公司联合江西核工业工程地质勘察院</w:t>
      </w:r>
      <w:r>
        <w:rPr>
          <w:rFonts w:hint="default" w:ascii="Times New Roman" w:hAnsi="Times New Roman" w:cs="Times New Roman"/>
          <w:color w:val="000000" w:themeColor="text1"/>
          <w:sz w:val="28"/>
          <w:szCs w:val="28"/>
          <w14:textFill>
            <w14:solidFill>
              <w14:schemeClr w14:val="tx1"/>
            </w14:solidFill>
          </w14:textFill>
        </w:rPr>
        <w:t>编制并提交了《内蒙古自治区赤峰市松山区德春砖厂粘土矿开发与治理综合方案》（已在自然资源</w:t>
      </w:r>
      <w:r>
        <w:rPr>
          <w:rFonts w:hint="eastAsia" w:cs="Times New Roman"/>
          <w:color w:val="000000" w:themeColor="text1"/>
          <w:sz w:val="28"/>
          <w:szCs w:val="28"/>
          <w:lang w:val="en-US" w:eastAsia="zh-CN"/>
          <w14:textFill>
            <w14:solidFill>
              <w14:schemeClr w14:val="tx1"/>
            </w14:solidFill>
          </w14:textFill>
        </w:rPr>
        <w:t>局</w:t>
      </w:r>
      <w:r>
        <w:rPr>
          <w:rFonts w:hint="default" w:ascii="Times New Roman" w:hAnsi="Times New Roman" w:cs="Times New Roman"/>
          <w:color w:val="000000" w:themeColor="text1"/>
          <w:sz w:val="28"/>
          <w:szCs w:val="28"/>
          <w14:textFill>
            <w14:solidFill>
              <w14:schemeClr w14:val="tx1"/>
            </w14:solidFill>
          </w14:textFill>
        </w:rPr>
        <w:t>网站公示）</w:t>
      </w:r>
      <w:r>
        <w:rPr>
          <w:rFonts w:hint="eastAsia"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方案适用年限为202</w:t>
      </w:r>
      <w:r>
        <w:rPr>
          <w:rFonts w:hint="eastAsia" w:cs="Times New Roman"/>
          <w:color w:val="000000" w:themeColor="text1"/>
          <w:sz w:val="28"/>
          <w:szCs w:val="28"/>
          <w:lang w:val="en-US" w:eastAsia="zh-CN"/>
          <w14:textFill>
            <w14:solidFill>
              <w14:schemeClr w14:val="tx1"/>
            </w14:solidFill>
          </w14:textFill>
        </w:rPr>
        <w:t>1</w:t>
      </w:r>
      <w:r>
        <w:rPr>
          <w:rFonts w:hint="default" w:ascii="Times New Roman" w:hAnsi="Times New Roman" w:cs="Times New Roman"/>
          <w:color w:val="000000" w:themeColor="text1"/>
          <w:sz w:val="28"/>
          <w:szCs w:val="28"/>
          <w14:textFill>
            <w14:solidFill>
              <w14:schemeClr w14:val="tx1"/>
            </w14:solidFill>
          </w14:textFill>
        </w:rPr>
        <w:t>年</w:t>
      </w:r>
      <w:r>
        <w:rPr>
          <w:rFonts w:hint="eastAsia" w:cs="Times New Roman"/>
          <w:color w:val="000000" w:themeColor="text1"/>
          <w:sz w:val="28"/>
          <w:szCs w:val="28"/>
          <w:lang w:val="en-US" w:eastAsia="zh-CN"/>
          <w14:textFill>
            <w14:solidFill>
              <w14:schemeClr w14:val="tx1"/>
            </w14:solidFill>
          </w14:textFill>
        </w:rPr>
        <w:t>1</w:t>
      </w:r>
      <w:r>
        <w:rPr>
          <w:rFonts w:hint="default" w:ascii="Times New Roman" w:hAnsi="Times New Roman" w:cs="Times New Roman"/>
          <w:color w:val="000000" w:themeColor="text1"/>
          <w:sz w:val="28"/>
          <w:szCs w:val="28"/>
          <w14:textFill>
            <w14:solidFill>
              <w14:schemeClr w14:val="tx1"/>
            </w14:solidFill>
          </w14:textFill>
        </w:rPr>
        <w:t>月1日至2025年</w:t>
      </w:r>
      <w:r>
        <w:rPr>
          <w:rFonts w:hint="eastAsia" w:cs="Times New Roman"/>
          <w:color w:val="000000" w:themeColor="text1"/>
          <w:sz w:val="28"/>
          <w:szCs w:val="28"/>
          <w:lang w:val="en-US" w:eastAsia="zh-CN"/>
          <w14:textFill>
            <w14:solidFill>
              <w14:schemeClr w14:val="tx1"/>
            </w14:solidFill>
          </w14:textFill>
        </w:rPr>
        <w:t>12</w:t>
      </w:r>
      <w:r>
        <w:rPr>
          <w:rFonts w:hint="default" w:ascii="Times New Roman" w:hAnsi="Times New Roman" w:cs="Times New Roman"/>
          <w:color w:val="000000" w:themeColor="text1"/>
          <w:sz w:val="28"/>
          <w:szCs w:val="28"/>
          <w14:textFill>
            <w14:solidFill>
              <w14:schemeClr w14:val="tx1"/>
            </w14:solidFill>
          </w14:textFill>
        </w:rPr>
        <w:t>月3</w:t>
      </w:r>
      <w:r>
        <w:rPr>
          <w:rFonts w:hint="eastAsia" w:cs="Times New Roman"/>
          <w:color w:val="000000" w:themeColor="text1"/>
          <w:sz w:val="28"/>
          <w:szCs w:val="28"/>
          <w:lang w:val="en-US" w:eastAsia="zh-CN"/>
          <w14:textFill>
            <w14:solidFill>
              <w14:schemeClr w14:val="tx1"/>
            </w14:solidFill>
          </w14:textFill>
        </w:rPr>
        <w:t>1</w:t>
      </w:r>
      <w:r>
        <w:rPr>
          <w:rFonts w:hint="default" w:ascii="Times New Roman" w:hAnsi="Times New Roman" w:cs="Times New Roman"/>
          <w:color w:val="000000" w:themeColor="text1"/>
          <w:sz w:val="28"/>
          <w:szCs w:val="28"/>
          <w14:textFill>
            <w14:solidFill>
              <w14:schemeClr w14:val="tx1"/>
            </w14:solidFill>
          </w14:textFill>
        </w:rPr>
        <w:t>日，现已过适用期。</w:t>
      </w:r>
      <w:r>
        <w:rPr>
          <w:rFonts w:hint="eastAsia" w:cs="Times New Roman"/>
          <w:color w:val="000000" w:themeColor="text1"/>
          <w:sz w:val="28"/>
          <w:szCs w:val="28"/>
          <w:lang w:val="en-US" w:eastAsia="zh-CN"/>
          <w14:textFill>
            <w14:solidFill>
              <w14:schemeClr w14:val="tx1"/>
            </w14:solidFill>
          </w14:textFill>
        </w:rPr>
        <w:t>本次为修编。</w:t>
      </w:r>
    </w:p>
    <w:p w14:paraId="28731035">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宋体" w:cs="Times New Roman"/>
          <w:bCs/>
          <w:color w:val="000000" w:themeColor="text1"/>
          <w:sz w:val="28"/>
          <w:szCs w:val="21"/>
          <w:highlight w:val="none"/>
          <w:lang w:eastAsia="zh-CN"/>
          <w14:textFill>
            <w14:solidFill>
              <w14:schemeClr w14:val="tx1"/>
            </w14:solidFill>
          </w14:textFill>
        </w:rPr>
        <w:t>根据《中华人民共和国矿产资源法》、</w:t>
      </w:r>
      <w:r>
        <w:rPr>
          <w:rFonts w:hint="eastAsia" w:ascii="Times New Roman" w:hAnsi="Times New Roman" w:cs="Times New Roman"/>
          <w:color w:val="000000" w:themeColor="text1"/>
          <w:sz w:val="28"/>
          <w:szCs w:val="28"/>
          <w:highlight w:val="none"/>
          <w:lang w:val="en-US" w:eastAsia="zh-CN"/>
          <w14:textFill>
            <w14:solidFill>
              <w14:schemeClr w14:val="tx1"/>
            </w14:solidFill>
          </w14:textFill>
        </w:rPr>
        <w:t>“</w:t>
      </w: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自然资源部办公厅关于做好《矿产资源法》实施过渡期内矿产生态修复方案编制评审有关工作的通知（自然资办函〔2025〕2043号）</w:t>
      </w:r>
      <w:r>
        <w:rPr>
          <w:rFonts w:hint="eastAsia" w:ascii="Times New Roman" w:hAnsi="Times New Roman" w:cs="Times New Roman"/>
          <w:color w:val="000000" w:themeColor="text1"/>
          <w:sz w:val="28"/>
          <w:szCs w:val="28"/>
          <w:highlight w:val="none"/>
          <w:lang w:val="en-US" w:eastAsia="zh-CN"/>
          <w14:textFill>
            <w14:solidFill>
              <w14:schemeClr w14:val="tx1"/>
            </w14:solidFill>
          </w14:textFill>
        </w:rPr>
        <w:t>”、</w:t>
      </w: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《矿区生态修复方案编制指南（临时）》等相关要求</w:t>
      </w:r>
      <w:r>
        <w:rPr>
          <w:rFonts w:hint="eastAsia" w:ascii="Times New Roman" w:hAnsi="Times New Roman" w:cs="Times New Roman"/>
          <w:color w:val="000000" w:themeColor="text1"/>
          <w:sz w:val="28"/>
          <w:szCs w:val="28"/>
          <w:highlight w:val="none"/>
          <w:lang w:val="en-US"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202</w:t>
      </w:r>
      <w:r>
        <w:rPr>
          <w:rFonts w:hint="eastAsia" w:cs="Times New Roman"/>
          <w:color w:val="000000" w:themeColor="text1"/>
          <w:sz w:val="28"/>
          <w:szCs w:val="28"/>
          <w:lang w:val="en-US" w:eastAsia="zh-CN"/>
          <w14:textFill>
            <w14:solidFill>
              <w14:schemeClr w14:val="tx1"/>
            </w14:solidFill>
          </w14:textFill>
        </w:rPr>
        <w:t>6</w:t>
      </w:r>
      <w:r>
        <w:rPr>
          <w:rFonts w:hint="default" w:ascii="Times New Roman" w:hAnsi="Times New Roman" w:cs="Times New Roman"/>
          <w:color w:val="000000" w:themeColor="text1"/>
          <w:sz w:val="28"/>
          <w:szCs w:val="28"/>
          <w14:textFill>
            <w14:solidFill>
              <w14:schemeClr w14:val="tx1"/>
            </w14:solidFill>
          </w14:textFill>
        </w:rPr>
        <w:t>年</w:t>
      </w:r>
      <w:r>
        <w:rPr>
          <w:rFonts w:hint="eastAsia" w:cs="Times New Roman"/>
          <w:color w:val="000000" w:themeColor="text1"/>
          <w:sz w:val="28"/>
          <w:szCs w:val="28"/>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月，</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赤峰太安新型建筑材料有限公司</w:t>
      </w:r>
      <w:r>
        <w:rPr>
          <w:rFonts w:hint="default" w:ascii="Times New Roman" w:hAnsi="Times New Roman" w:cs="Times New Roman"/>
          <w:color w:val="000000" w:themeColor="text1"/>
          <w:sz w:val="28"/>
          <w:szCs w:val="28"/>
          <w14:textFill>
            <w14:solidFill>
              <w14:schemeClr w14:val="tx1"/>
            </w14:solidFill>
          </w14:textFill>
        </w:rPr>
        <w:t>委托内蒙古众昌项目管理咨询有限公司承担《</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赤峰太安新型建筑材料有限公司太平地镇粘土矿矿区生态修复方案</w:t>
      </w:r>
      <w:r>
        <w:rPr>
          <w:rFonts w:hint="default" w:ascii="Times New Roman" w:hAnsi="Times New Roman" w:cs="Times New Roman"/>
          <w:color w:val="000000" w:themeColor="text1"/>
          <w:sz w:val="28"/>
          <w:szCs w:val="28"/>
          <w14:textFill>
            <w14:solidFill>
              <w14:schemeClr w14:val="tx1"/>
            </w14:solidFill>
          </w14:textFill>
        </w:rPr>
        <w:t>》的编制工作，以下简称《矿区</w:t>
      </w:r>
      <w:r>
        <w:rPr>
          <w:rFonts w:hint="default" w:ascii="Times New Roman" w:hAnsi="Times New Roman" w:cs="Times New Roman"/>
          <w:color w:val="000000" w:themeColor="text1"/>
          <w:kern w:val="0"/>
          <w:sz w:val="28"/>
          <w:szCs w:val="28"/>
          <w14:textFill>
            <w14:solidFill>
              <w14:schemeClr w14:val="tx1"/>
            </w14:solidFill>
          </w14:textFill>
        </w:rPr>
        <w:t>生态修复方案</w:t>
      </w:r>
      <w:r>
        <w:rPr>
          <w:rFonts w:hint="default" w:ascii="Times New Roman" w:hAnsi="Times New Roman" w:cs="Times New Roman"/>
          <w:color w:val="000000" w:themeColor="text1"/>
          <w:sz w:val="28"/>
          <w:szCs w:val="28"/>
          <w14:textFill>
            <w14:solidFill>
              <w14:schemeClr w14:val="tx1"/>
            </w14:solidFill>
          </w14:textFill>
        </w:rPr>
        <w:t>》。</w:t>
      </w:r>
    </w:p>
    <w:p w14:paraId="2A60F67E">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本方案仅作实施保护、监测及生态修复的技术依据之一，不代替相关工程勘查、治理设计。</w:t>
      </w:r>
    </w:p>
    <w:p w14:paraId="0653D194">
      <w:pPr>
        <w:spacing w:line="360" w:lineRule="auto"/>
        <w:ind w:firstLine="562" w:firstLineChars="200"/>
        <w:rPr>
          <w:rFonts w:hint="eastAsia" w:ascii="宋体" w:hAnsi="宋体" w:eastAsia="宋体" w:cs="宋体"/>
          <w:b/>
          <w:bCs/>
          <w:color w:val="000000" w:themeColor="text1"/>
          <w:sz w:val="28"/>
          <w:szCs w:val="28"/>
          <w:lang w:val="en-US" w:eastAsia="zh-CN"/>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t>（二）上阶段方案落实情况</w:t>
      </w:r>
    </w:p>
    <w:p w14:paraId="0FB57E93">
      <w:pPr>
        <w:keepNext w:val="0"/>
        <w:keepLines w:val="0"/>
        <w:pageBreakBefore w:val="0"/>
        <w:widowControl/>
        <w:kinsoku/>
        <w:wordWrap/>
        <w:overflowPunct/>
        <w:topLinePunct w:val="0"/>
        <w:autoSpaceDE w:val="0"/>
        <w:autoSpaceDN w:val="0"/>
        <w:bidi w:val="0"/>
        <w:adjustRightInd w:val="0"/>
        <w:snapToGrid w:val="0"/>
        <w:spacing w:line="360" w:lineRule="auto"/>
        <w:ind w:left="0" w:firstLine="560" w:firstLineChars="200"/>
        <w:jc w:val="both"/>
        <w:textAlignment w:val="baseline"/>
        <w:rPr>
          <w:rFonts w:hint="default" w:ascii="Times New Roman" w:hAnsi="Times New Roman" w:eastAsia="宋体" w:cs="Times New Roman"/>
          <w:b w:val="0"/>
          <w:bCs/>
          <w:color w:val="000000" w:themeColor="text1"/>
          <w:sz w:val="28"/>
          <w:szCs w:val="21"/>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8"/>
          <w:szCs w:val="21"/>
          <w:highlight w:val="none"/>
          <w:lang w:val="en-US" w:eastAsia="zh-CN"/>
          <w14:textFill>
            <w14:solidFill>
              <w14:schemeClr w14:val="tx1"/>
            </w14:solidFill>
          </w14:textFill>
        </w:rPr>
        <w:t>1、上阶段方案落实情况</w:t>
      </w:r>
    </w:p>
    <w:p w14:paraId="3670A6D9">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宋体" w:cs="Times New Roman"/>
          <w:bCs/>
          <w:color w:val="000000" w:themeColor="text1"/>
          <w:sz w:val="28"/>
          <w:szCs w:val="21"/>
          <w:highlight w:val="none"/>
          <w:lang w:val="en-US" w:eastAsia="zh-CN"/>
          <w14:textFill>
            <w14:solidFill>
              <w14:schemeClr w14:val="tx1"/>
            </w14:solidFill>
          </w14:textFill>
        </w:rPr>
        <w:t>上期方案主要目的是</w:t>
      </w:r>
      <w:r>
        <w:rPr>
          <w:rFonts w:hint="default" w:ascii="Times New Roman" w:hAnsi="Times New Roman" w:cs="Times New Roman"/>
          <w:bCs/>
          <w:color w:val="000000" w:themeColor="text1"/>
          <w:sz w:val="28"/>
          <w:szCs w:val="21"/>
          <w:highlight w:val="none"/>
          <w:lang w:val="en-US" w:eastAsia="zh-CN"/>
          <w14:textFill>
            <w14:solidFill>
              <w14:schemeClr w14:val="tx1"/>
            </w14:solidFill>
          </w14:textFill>
        </w:rPr>
        <w:t>采矿证标高进行调整</w:t>
      </w:r>
      <w:r>
        <w:rPr>
          <w:rFonts w:hint="default" w:ascii="Times New Roman" w:hAnsi="Times New Roman" w:eastAsia="宋体" w:cs="Times New Roman"/>
          <w:bCs/>
          <w:color w:val="000000" w:themeColor="text1"/>
          <w:sz w:val="28"/>
          <w:szCs w:val="21"/>
          <w:highlight w:val="none"/>
          <w:lang w:val="en-US" w:eastAsia="zh-CN"/>
          <w14:textFill>
            <w14:solidFill>
              <w14:schemeClr w14:val="tx1"/>
            </w14:solidFill>
          </w14:textFill>
        </w:rPr>
        <w:t>，</w:t>
      </w:r>
      <w:r>
        <w:rPr>
          <w:rFonts w:hint="default" w:ascii="Times New Roman" w:hAnsi="Times New Roman" w:cs="Times New Roman"/>
          <w:bCs/>
          <w:color w:val="000000" w:themeColor="text1"/>
          <w:sz w:val="28"/>
          <w:szCs w:val="21"/>
          <w:highlight w:val="none"/>
          <w:lang w:val="en-US" w:eastAsia="zh-CN"/>
          <w14:textFill>
            <w14:solidFill>
              <w14:schemeClr w14:val="tx1"/>
            </w14:solidFill>
          </w14:textFill>
        </w:rPr>
        <w:t>方案进行重编，</w:t>
      </w:r>
      <w:r>
        <w:rPr>
          <w:rFonts w:hint="default" w:ascii="Times New Roman" w:hAnsi="Times New Roman" w:cs="Times New Roman"/>
          <w:color w:val="000000" w:themeColor="text1"/>
          <w:sz w:val="28"/>
          <w:szCs w:val="28"/>
          <w14:textFill>
            <w14:solidFill>
              <w14:schemeClr w14:val="tx1"/>
            </w14:solidFill>
          </w14:textFill>
        </w:rPr>
        <w:t>方案适用年限</w:t>
      </w:r>
      <w:r>
        <w:rPr>
          <w:rFonts w:hint="default" w:ascii="Times New Roman" w:hAnsi="Times New Roman" w:cs="Times New Roman"/>
          <w:color w:val="000000" w:themeColor="text1"/>
          <w:sz w:val="28"/>
          <w:szCs w:val="28"/>
          <w:lang w:val="en-US" w:eastAsia="zh-CN"/>
          <w14:textFill>
            <w14:solidFill>
              <w14:schemeClr w14:val="tx1"/>
            </w14:solidFill>
          </w14:textFill>
        </w:rPr>
        <w:t>为5年，</w:t>
      </w:r>
      <w:r>
        <w:rPr>
          <w:rFonts w:hint="default" w:ascii="Times New Roman" w:hAnsi="Times New Roman" w:cs="Times New Roman"/>
          <w:color w:val="000000" w:themeColor="text1"/>
          <w:sz w:val="28"/>
          <w:szCs w:val="28"/>
          <w14:textFill>
            <w14:solidFill>
              <w14:schemeClr w14:val="tx1"/>
            </w14:solidFill>
          </w14:textFill>
        </w:rPr>
        <w:t>设计首期矿山地质环境治理任务主要包括：</w:t>
      </w:r>
      <w:r>
        <w:rPr>
          <w:rFonts w:hint="default" w:ascii="Times New Roman" w:hAnsi="Times New Roman" w:cs="Times New Roman"/>
          <w:color w:val="000000" w:themeColor="text1"/>
          <w:sz w:val="28"/>
          <w:szCs w:val="28"/>
          <w:lang w:eastAsia="zh-CN"/>
          <w14:textFill>
            <w14:solidFill>
              <w14:schemeClr w14:val="tx1"/>
            </w14:solidFill>
          </w14:textFill>
        </w:rPr>
        <w:t>对</w:t>
      </w:r>
      <w:r>
        <w:rPr>
          <w:rFonts w:hint="default" w:ascii="Times New Roman" w:hAnsi="Times New Roman" w:cs="Times New Roman"/>
          <w:color w:val="000000" w:themeColor="text1"/>
          <w:sz w:val="28"/>
          <w:szCs w:val="28"/>
          <w14:textFill>
            <w14:solidFill>
              <w14:schemeClr w14:val="tx1"/>
            </w14:solidFill>
          </w14:textFill>
        </w:rPr>
        <w:t>露天采场</w:t>
      </w:r>
      <w:r>
        <w:rPr>
          <w:rFonts w:hint="default" w:ascii="Times New Roman" w:hAnsi="Times New Roman" w:cs="Times New Roman"/>
          <w:color w:val="000000" w:themeColor="text1"/>
          <w:sz w:val="28"/>
          <w:szCs w:val="28"/>
          <w:lang w:eastAsia="zh-CN"/>
          <w14:textFill>
            <w14:solidFill>
              <w14:schemeClr w14:val="tx1"/>
            </w14:solidFill>
          </w14:textFill>
        </w:rPr>
        <w:t>进行回填、整平、</w:t>
      </w:r>
      <w:r>
        <w:rPr>
          <w:rFonts w:hint="default" w:ascii="Times New Roman" w:hAnsi="Times New Roman" w:cs="Times New Roman"/>
          <w:color w:val="000000" w:themeColor="text1"/>
          <w:sz w:val="28"/>
          <w:szCs w:val="28"/>
          <w14:textFill>
            <w14:solidFill>
              <w14:schemeClr w14:val="tx1"/>
            </w14:solidFill>
          </w14:textFill>
        </w:rPr>
        <w:t>翻耕</w:t>
      </w:r>
      <w:r>
        <w:rPr>
          <w:rFonts w:hint="default" w:ascii="Times New Roman" w:hAnsi="Times New Roman" w:cs="Times New Roman"/>
          <w:color w:val="000000" w:themeColor="text1"/>
          <w:sz w:val="28"/>
          <w:szCs w:val="28"/>
          <w:lang w:eastAsia="zh-CN"/>
          <w14:textFill>
            <w14:solidFill>
              <w14:schemeClr w14:val="tx1"/>
            </w14:solidFill>
          </w14:textFill>
        </w:rPr>
        <w:t>、恢复耕地；</w:t>
      </w:r>
      <w:r>
        <w:rPr>
          <w:rFonts w:hint="default" w:ascii="Times New Roman" w:hAnsi="Times New Roman" w:cs="Times New Roman"/>
          <w:color w:val="000000" w:themeColor="text1"/>
          <w:sz w:val="28"/>
          <w:szCs w:val="28"/>
          <w:lang w:val="en-US" w:eastAsia="zh-CN"/>
          <w14:textFill>
            <w14:solidFill>
              <w14:schemeClr w14:val="tx1"/>
            </w14:solidFill>
          </w14:textFill>
        </w:rPr>
        <w:t>对</w:t>
      </w:r>
      <w:r>
        <w:rPr>
          <w:rFonts w:hint="default" w:ascii="Times New Roman" w:hAnsi="Times New Roman" w:cs="Times New Roman"/>
          <w:color w:val="000000" w:themeColor="text1"/>
          <w:sz w:val="28"/>
          <w:szCs w:val="28"/>
          <w14:textFill>
            <w14:solidFill>
              <w14:schemeClr w14:val="tx1"/>
            </w14:solidFill>
          </w14:textFill>
        </w:rPr>
        <w:t>拟建露天采场</w:t>
      </w:r>
      <w:r>
        <w:rPr>
          <w:rFonts w:hint="default" w:ascii="Times New Roman" w:hAnsi="Times New Roman" w:cs="Times New Roman"/>
          <w:color w:val="000000" w:themeColor="text1"/>
          <w:sz w:val="28"/>
          <w:szCs w:val="28"/>
          <w:lang w:val="en-US" w:eastAsia="zh-CN"/>
          <w14:textFill>
            <w14:solidFill>
              <w14:schemeClr w14:val="tx1"/>
            </w14:solidFill>
          </w14:textFill>
        </w:rPr>
        <w:t>1、</w:t>
      </w:r>
      <w:r>
        <w:rPr>
          <w:rFonts w:hint="default" w:ascii="Times New Roman" w:hAnsi="Times New Roman" w:cs="Times New Roman"/>
          <w:color w:val="000000" w:themeColor="text1"/>
          <w:sz w:val="28"/>
          <w:szCs w:val="28"/>
          <w14:textFill>
            <w14:solidFill>
              <w14:schemeClr w14:val="tx1"/>
            </w14:solidFill>
          </w14:textFill>
        </w:rPr>
        <w:t>拟建露天采场</w:t>
      </w:r>
      <w:r>
        <w:rPr>
          <w:rFonts w:hint="default" w:ascii="Times New Roman" w:hAnsi="Times New Roman" w:cs="Times New Roman"/>
          <w:color w:val="000000" w:themeColor="text1"/>
          <w:sz w:val="28"/>
          <w:szCs w:val="28"/>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设置警示牌、网围栏；表土剥离；对采场边坡危岩体进行清理；对边坡稳定性进行监测</w:t>
      </w:r>
      <w:r>
        <w:rPr>
          <w:rFonts w:hint="default"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将成品砖堆放场内</w:t>
      </w:r>
      <w:r>
        <w:rPr>
          <w:rFonts w:hint="default" w:ascii="Times New Roman" w:hAnsi="Times New Roman" w:cs="Times New Roman"/>
          <w:color w:val="000000" w:themeColor="text1"/>
          <w:sz w:val="28"/>
          <w:szCs w:val="28"/>
          <w:lang w:eastAsia="zh-CN"/>
          <w14:textFill>
            <w14:solidFill>
              <w14:schemeClr w14:val="tx1"/>
            </w14:solidFill>
          </w14:textFill>
        </w:rPr>
        <w:t>砖坯</w:t>
      </w:r>
      <w:r>
        <w:rPr>
          <w:rFonts w:hint="default" w:ascii="Times New Roman" w:hAnsi="Times New Roman" w:cs="Times New Roman"/>
          <w:color w:val="000000" w:themeColor="text1"/>
          <w:sz w:val="28"/>
          <w:szCs w:val="28"/>
          <w14:textFill>
            <w14:solidFill>
              <w14:schemeClr w14:val="tx1"/>
            </w14:solidFill>
          </w14:textFill>
        </w:rPr>
        <w:t>清运至拟建成品砖堆放场</w:t>
      </w:r>
      <w:r>
        <w:rPr>
          <w:rFonts w:hint="default"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对清运后的场地进行整平</w:t>
      </w:r>
      <w:r>
        <w:rPr>
          <w:rFonts w:hint="default" w:ascii="Times New Roman" w:hAnsi="Times New Roman" w:cs="Times New Roman"/>
          <w:color w:val="000000" w:themeColor="text1"/>
          <w:sz w:val="28"/>
          <w:szCs w:val="28"/>
          <w14:textFill>
            <w14:solidFill>
              <w14:schemeClr w14:val="tx1"/>
            </w14:solidFill>
          </w14:textFill>
        </w:rPr>
        <w:t>、翻耕和</w:t>
      </w:r>
      <w:r>
        <w:rPr>
          <w:rFonts w:hint="default" w:ascii="Times New Roman" w:hAnsi="Times New Roman" w:cs="Times New Roman"/>
          <w:color w:val="000000" w:themeColor="text1"/>
          <w:sz w:val="28"/>
          <w:szCs w:val="28"/>
          <w:lang w:eastAsia="zh-CN"/>
          <w14:textFill>
            <w14:solidFill>
              <w14:schemeClr w14:val="tx1"/>
            </w14:solidFill>
          </w14:textFill>
        </w:rPr>
        <w:t>栽植松树；</w:t>
      </w:r>
      <w:r>
        <w:rPr>
          <w:rFonts w:hint="default" w:ascii="Times New Roman" w:hAnsi="Times New Roman" w:cs="Times New Roman"/>
          <w:color w:val="000000" w:themeColor="text1"/>
          <w:sz w:val="28"/>
          <w:szCs w:val="28"/>
          <w:lang w:val="en-US" w:eastAsia="zh-CN"/>
          <w14:textFill>
            <w14:solidFill>
              <w14:schemeClr w14:val="tx1"/>
            </w14:solidFill>
          </w14:textFill>
        </w:rPr>
        <w:t>对</w:t>
      </w:r>
      <w:r>
        <w:rPr>
          <w:rFonts w:hint="default" w:ascii="Times New Roman" w:hAnsi="Times New Roman" w:cs="Times New Roman"/>
          <w:color w:val="000000" w:themeColor="text1"/>
          <w:sz w:val="28"/>
          <w:szCs w:val="28"/>
          <w14:textFill>
            <w14:solidFill>
              <w14:schemeClr w14:val="tx1"/>
            </w14:solidFill>
          </w14:textFill>
        </w:rPr>
        <w:t>1号料堆</w:t>
      </w:r>
      <w:r>
        <w:rPr>
          <w:rFonts w:hint="default"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2号料堆清运至拟建料堆</w:t>
      </w:r>
      <w:r>
        <w:rPr>
          <w:rFonts w:hint="default" w:ascii="Times New Roman" w:hAnsi="Times New Roman" w:cs="Times New Roman"/>
          <w:color w:val="000000" w:themeColor="text1"/>
          <w:sz w:val="28"/>
          <w:szCs w:val="28"/>
          <w:lang w:eastAsia="zh-CN"/>
          <w14:textFill>
            <w14:solidFill>
              <w14:schemeClr w14:val="tx1"/>
            </w14:solidFill>
          </w14:textFill>
        </w:rPr>
        <w:t>集中堆放，</w:t>
      </w:r>
      <w:r>
        <w:rPr>
          <w:rFonts w:hint="default" w:ascii="Times New Roman" w:hAnsi="Times New Roman" w:cs="Times New Roman"/>
          <w:color w:val="000000" w:themeColor="text1"/>
          <w:sz w:val="28"/>
          <w:szCs w:val="28"/>
          <w14:textFill>
            <w14:solidFill>
              <w14:schemeClr w14:val="tx1"/>
            </w14:solidFill>
          </w14:textFill>
        </w:rPr>
        <w:t>对1号料堆进行</w:t>
      </w:r>
      <w:r>
        <w:rPr>
          <w:rFonts w:hint="default" w:ascii="Times New Roman" w:hAnsi="Times New Roman" w:cs="Times New Roman"/>
          <w:color w:val="000000" w:themeColor="text1"/>
          <w:sz w:val="28"/>
          <w:szCs w:val="28"/>
          <w:lang w:eastAsia="zh-CN"/>
          <w14:textFill>
            <w14:solidFill>
              <w14:schemeClr w14:val="tx1"/>
            </w14:solidFill>
          </w14:textFill>
        </w:rPr>
        <w:t>整平</w:t>
      </w:r>
      <w:r>
        <w:rPr>
          <w:rFonts w:hint="default" w:ascii="Times New Roman" w:hAnsi="Times New Roman" w:cs="Times New Roman"/>
          <w:color w:val="000000" w:themeColor="text1"/>
          <w:sz w:val="28"/>
          <w:szCs w:val="28"/>
          <w14:textFill>
            <w14:solidFill>
              <w14:schemeClr w14:val="tx1"/>
            </w14:solidFill>
          </w14:textFill>
        </w:rPr>
        <w:t>、翻耕和恢复耕地</w:t>
      </w:r>
      <w:r>
        <w:rPr>
          <w:rFonts w:hint="default"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对拟建储水池、拟建成品砖堆放场进行表土剥离。</w:t>
      </w:r>
    </w:p>
    <w:p w14:paraId="07C5867F">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本矿区严格遵照上一阶段</w:t>
      </w:r>
      <w:r>
        <w:rPr>
          <w:rFonts w:hint="default" w:ascii="Times New Roman" w:hAnsi="Times New Roman" w:cs="Times New Roman"/>
          <w:color w:val="000000" w:themeColor="text1"/>
          <w:sz w:val="28"/>
          <w:szCs w:val="28"/>
          <w:lang w:val="en-US" w:eastAsia="zh-CN"/>
          <w14:textFill>
            <w14:solidFill>
              <w14:schemeClr w14:val="tx1"/>
            </w14:solidFill>
          </w14:textFill>
        </w:rPr>
        <w:t>矿山地质环境治理</w:t>
      </w:r>
      <w:r>
        <w:rPr>
          <w:rFonts w:hint="default" w:ascii="Times New Roman" w:hAnsi="Times New Roman" w:cs="Times New Roman"/>
          <w:color w:val="000000" w:themeColor="text1"/>
          <w:sz w:val="28"/>
          <w:szCs w:val="28"/>
          <w14:textFill>
            <w14:solidFill>
              <w14:schemeClr w14:val="tx1"/>
            </w14:solidFill>
          </w14:textFill>
        </w:rPr>
        <w:t>方案既定目标、实施步骤与技术标准，统筹推进各项治理工程，</w:t>
      </w:r>
      <w:r>
        <w:rPr>
          <w:rFonts w:hint="default" w:ascii="Times New Roman" w:hAnsi="Times New Roman" w:cs="Times New Roman"/>
          <w:color w:val="000000" w:themeColor="text1"/>
          <w:sz w:val="28"/>
          <w:szCs w:val="28"/>
          <w:lang w:val="en-US" w:eastAsia="zh-CN"/>
          <w14:textFill>
            <w14:solidFill>
              <w14:schemeClr w14:val="tx1"/>
            </w14:solidFill>
          </w14:textFill>
        </w:rPr>
        <w:t>因矿山自2021年对调整后的采矿权范围进行资源储量核实后基本处于停产状态，故上期方案设计的大部分工程为拟建工程，所以</w:t>
      </w:r>
      <w:r>
        <w:rPr>
          <w:rFonts w:hint="default" w:ascii="Times New Roman" w:hAnsi="Times New Roman" w:cs="Times New Roman"/>
          <w:color w:val="000000" w:themeColor="text1"/>
          <w:sz w:val="28"/>
          <w:szCs w:val="28"/>
          <w14:textFill>
            <w14:solidFill>
              <w14:schemeClr w14:val="tx1"/>
            </w14:solidFill>
          </w14:textFill>
        </w:rPr>
        <w:t>截至目前</w:t>
      </w:r>
      <w:r>
        <w:rPr>
          <w:rFonts w:hint="eastAsia" w:cs="Times New Roman"/>
          <w:color w:val="000000" w:themeColor="text1"/>
          <w:sz w:val="28"/>
          <w:szCs w:val="28"/>
          <w:lang w:val="en-US" w:eastAsia="zh-CN"/>
          <w14:textFill>
            <w14:solidFill>
              <w14:schemeClr w14:val="tx1"/>
            </w14:solidFill>
          </w14:textFill>
        </w:rPr>
        <w:t>关于拟建场地的治理措施尚</w:t>
      </w:r>
      <w:r>
        <w:rPr>
          <w:rFonts w:hint="default" w:ascii="Times New Roman" w:hAnsi="Times New Roman" w:cs="Times New Roman"/>
          <w:color w:val="000000" w:themeColor="text1"/>
          <w:sz w:val="28"/>
          <w:szCs w:val="28"/>
          <w:lang w:val="en-US" w:eastAsia="zh-CN"/>
          <w14:textFill>
            <w14:solidFill>
              <w14:schemeClr w14:val="tx1"/>
            </w14:solidFill>
          </w14:textFill>
        </w:rPr>
        <w:t>未实施</w:t>
      </w:r>
      <w:r>
        <w:rPr>
          <w:rFonts w:hint="default" w:ascii="Times New Roman" w:hAnsi="Times New Roman" w:cs="Times New Roman"/>
          <w:color w:val="000000" w:themeColor="text1"/>
          <w:sz w:val="28"/>
          <w:szCs w:val="28"/>
          <w14:textFill>
            <w14:solidFill>
              <w14:schemeClr w14:val="tx1"/>
            </w14:solidFill>
          </w14:textFill>
        </w:rPr>
        <w:t>。</w:t>
      </w:r>
    </w:p>
    <w:p w14:paraId="3474AD1A">
      <w:pPr>
        <w:keepNext w:val="0"/>
        <w:keepLines w:val="0"/>
        <w:pageBreakBefore w:val="0"/>
        <w:widowControl/>
        <w:kinsoku/>
        <w:wordWrap/>
        <w:overflowPunct/>
        <w:topLinePunct w:val="0"/>
        <w:autoSpaceDE w:val="0"/>
        <w:autoSpaceDN w:val="0"/>
        <w:bidi w:val="0"/>
        <w:adjustRightInd w:val="0"/>
        <w:snapToGrid w:val="0"/>
        <w:spacing w:line="360" w:lineRule="auto"/>
        <w:ind w:left="0" w:firstLine="560" w:firstLineChars="200"/>
        <w:jc w:val="both"/>
        <w:textAlignment w:val="baseline"/>
        <w:rPr>
          <w:rFonts w:hint="eastAsia" w:ascii="Times New Roman" w:hAnsi="Times New Roman" w:eastAsia="宋体" w:cs="Times New Roman"/>
          <w:bCs/>
          <w:color w:val="000000" w:themeColor="text1"/>
          <w:sz w:val="28"/>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sz w:val="28"/>
          <w:szCs w:val="21"/>
          <w:highlight w:val="none"/>
          <w:lang w:val="en-US" w:eastAsia="zh-CN"/>
          <w14:textFill>
            <w14:solidFill>
              <w14:schemeClr w14:val="tx1"/>
            </w14:solidFill>
          </w14:textFill>
        </w:rPr>
        <w:t>2、存在的问题</w:t>
      </w:r>
    </w:p>
    <w:p w14:paraId="406DD0F2">
      <w:pPr>
        <w:keepNext w:val="0"/>
        <w:keepLines w:val="0"/>
        <w:pageBreakBefore w:val="0"/>
        <w:widowControl/>
        <w:kinsoku/>
        <w:wordWrap/>
        <w:overflowPunct/>
        <w:topLinePunct w:val="0"/>
        <w:autoSpaceDE w:val="0"/>
        <w:autoSpaceDN w:val="0"/>
        <w:bidi w:val="0"/>
        <w:adjustRightInd w:val="0"/>
        <w:snapToGrid w:val="0"/>
        <w:spacing w:line="360" w:lineRule="auto"/>
        <w:ind w:left="0" w:firstLine="560" w:firstLineChars="200"/>
        <w:jc w:val="both"/>
        <w:textAlignment w:val="baseline"/>
        <w:rPr>
          <w:rFonts w:hint="eastAsia" w:ascii="Times New Roman" w:hAnsi="Times New Roman" w:eastAsia="宋体" w:cs="Times New Roman"/>
          <w:bCs/>
          <w:color w:val="000000" w:themeColor="text1"/>
          <w:sz w:val="28"/>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sz w:val="28"/>
          <w:szCs w:val="21"/>
          <w:highlight w:val="none"/>
          <w:lang w:val="en-US" w:eastAsia="zh-CN"/>
          <w14:textFill>
            <w14:solidFill>
              <w14:schemeClr w14:val="tx1"/>
            </w14:solidFill>
          </w14:textFill>
        </w:rPr>
        <w:t>上期方案在落实过程中，未能构建有效的监测、管护与评估体系。尤其在“土地复垦监测”、“植被管护”及“地形地貌景观监测”等需长期跟进的工作中，持续性的监测机制较为薄弱，难以实现对治理效果的动态跟踪与系统评估。</w:t>
      </w:r>
    </w:p>
    <w:p w14:paraId="765259E3">
      <w:pPr>
        <w:keepNext w:val="0"/>
        <w:keepLines w:val="0"/>
        <w:pageBreakBefore w:val="0"/>
        <w:widowControl/>
        <w:kinsoku/>
        <w:wordWrap/>
        <w:overflowPunct/>
        <w:topLinePunct w:val="0"/>
        <w:autoSpaceDE w:val="0"/>
        <w:autoSpaceDN w:val="0"/>
        <w:bidi w:val="0"/>
        <w:adjustRightInd w:val="0"/>
        <w:snapToGrid w:val="0"/>
        <w:spacing w:line="360" w:lineRule="auto"/>
        <w:ind w:left="0" w:firstLine="560" w:firstLineChars="200"/>
        <w:jc w:val="both"/>
        <w:textAlignment w:val="baseline"/>
        <w:rPr>
          <w:rFonts w:hint="default" w:ascii="Times New Roman" w:hAnsi="Times New Roman" w:eastAsia="宋体" w:cs="Times New Roman"/>
          <w:bCs/>
          <w:color w:val="000000" w:themeColor="text1"/>
          <w:sz w:val="28"/>
          <w:szCs w:val="21"/>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sz w:val="28"/>
          <w:szCs w:val="21"/>
          <w:highlight w:val="none"/>
          <w:lang w:val="en-US" w:eastAsia="zh-CN"/>
          <w14:textFill>
            <w14:solidFill>
              <w14:schemeClr w14:val="tx1"/>
            </w14:solidFill>
          </w14:textFill>
        </w:rPr>
        <w:t>3、取得经验</w:t>
      </w:r>
    </w:p>
    <w:p w14:paraId="3D1E9953">
      <w:pPr>
        <w:spacing w:line="360" w:lineRule="auto"/>
        <w:ind w:firstLine="560" w:firstLineChars="200"/>
        <w:rPr>
          <w:rFonts w:hint="eastAsia" w:ascii="宋体" w:hAnsi="宋体" w:cs="宋体"/>
          <w:b/>
          <w:bCs/>
          <w:color w:val="000000" w:themeColor="text1"/>
          <w:sz w:val="28"/>
          <w:szCs w:val="28"/>
          <w14:textFill>
            <w14:solidFill>
              <w14:schemeClr w14:val="tx1"/>
            </w14:solidFill>
          </w14:textFill>
        </w:rPr>
      </w:pPr>
      <w:r>
        <w:rPr>
          <w:rFonts w:hint="eastAsia" w:cs="Times New Roman"/>
          <w:bCs/>
          <w:color w:val="000000" w:themeColor="text1"/>
          <w:sz w:val="28"/>
          <w:szCs w:val="21"/>
          <w:highlight w:val="none"/>
          <w:lang w:val="en-US" w:eastAsia="zh-CN"/>
          <w14:textFill>
            <w14:solidFill>
              <w14:schemeClr w14:val="tx1"/>
            </w14:solidFill>
          </w14:textFill>
        </w:rPr>
        <w:t>上期</w:t>
      </w:r>
      <w:r>
        <w:rPr>
          <w:rFonts w:hint="eastAsia" w:ascii="宋体" w:hAnsi="宋体" w:cs="宋体"/>
          <w:color w:val="000000" w:themeColor="text1"/>
          <w:sz w:val="28"/>
          <w:szCs w:val="28"/>
          <w14:textFill>
            <w14:solidFill>
              <w14:schemeClr w14:val="tx1"/>
            </w14:solidFill>
          </w14:textFill>
        </w:rPr>
        <w:t>方案</w:t>
      </w:r>
      <w:r>
        <w:rPr>
          <w:rFonts w:hint="eastAsia" w:ascii="Times New Roman" w:hAnsi="Times New Roman" w:eastAsia="宋体" w:cs="Times New Roman"/>
          <w:bCs/>
          <w:color w:val="000000" w:themeColor="text1"/>
          <w:sz w:val="28"/>
          <w:szCs w:val="21"/>
          <w:highlight w:val="none"/>
          <w:lang w:val="en-US" w:eastAsia="zh-CN"/>
          <w14:textFill>
            <w14:solidFill>
              <w14:schemeClr w14:val="tx1"/>
            </w14:solidFill>
          </w14:textFill>
        </w:rPr>
        <w:t>为本期方案的编制划定了基本的思路，其单元的界定可以为本方案单元圈定提供借鉴意义，原方案通过风险分级管控，针对不同隐患类型精准匹配治理措施，并依托具体工程量确保方案可实施；同时建立了以全年监测为核心的动态长效机制，通过分阶段滚动实施，兼顾了治理的连续性与可持续性，并通过规范记录实现过程可追溯，整体形成的“预防为主、防治结合、重点治理、长期监测”的科学治理模式为本方案监测提供了借鉴思路。</w:t>
      </w:r>
    </w:p>
    <w:p w14:paraId="64DCF951">
      <w:pPr>
        <w:pStyle w:val="5"/>
        <w:bidi w:val="0"/>
        <w:spacing w:line="360" w:lineRule="auto"/>
        <w:ind w:firstLine="562" w:firstLineChars="200"/>
        <w:rPr>
          <w:rFonts w:hint="eastAsia" w:hAnsi="Times New Roman" w:cs="Times New Roman"/>
          <w:b/>
          <w:bCs/>
          <w:color w:val="000000" w:themeColor="text1"/>
          <w:sz w:val="28"/>
          <w:szCs w:val="24"/>
          <w14:textFill>
            <w14:solidFill>
              <w14:schemeClr w14:val="tx1"/>
            </w14:solidFill>
          </w14:textFill>
        </w:rPr>
      </w:pPr>
      <w:r>
        <w:rPr>
          <w:rFonts w:hint="eastAsia" w:hAnsi="Times New Roman" w:cs="Times New Roman"/>
          <w:b/>
          <w:bCs/>
          <w:color w:val="000000" w:themeColor="text1"/>
          <w:sz w:val="28"/>
          <w:szCs w:val="24"/>
          <w14:textFill>
            <w14:solidFill>
              <w14:schemeClr w14:val="tx1"/>
            </w14:solidFill>
          </w14:textFill>
        </w:rPr>
        <w:t>（</w:t>
      </w:r>
      <w:r>
        <w:rPr>
          <w:rFonts w:hint="eastAsia" w:hAnsi="Times New Roman" w:cs="Times New Roman"/>
          <w:b/>
          <w:bCs/>
          <w:color w:val="000000" w:themeColor="text1"/>
          <w:sz w:val="28"/>
          <w:szCs w:val="24"/>
          <w:lang w:val="en-US" w:eastAsia="zh-CN"/>
          <w14:textFill>
            <w14:solidFill>
              <w14:schemeClr w14:val="tx1"/>
            </w14:solidFill>
          </w14:textFill>
        </w:rPr>
        <w:t>三</w:t>
      </w:r>
      <w:r>
        <w:rPr>
          <w:rFonts w:hint="eastAsia" w:hAnsi="Times New Roman" w:cs="Times New Roman"/>
          <w:b/>
          <w:bCs/>
          <w:color w:val="000000" w:themeColor="text1"/>
          <w:sz w:val="28"/>
          <w:szCs w:val="24"/>
          <w14:textFill>
            <w14:solidFill>
              <w14:schemeClr w14:val="tx1"/>
            </w14:solidFill>
          </w14:textFill>
        </w:rPr>
        <w:t>）编制目的及任务</w:t>
      </w:r>
    </w:p>
    <w:p w14:paraId="3F0DE5CD">
      <w:pPr>
        <w:spacing w:line="360" w:lineRule="auto"/>
        <w:ind w:firstLine="560" w:firstLineChars="200"/>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default" w:ascii="Times New Roman" w:hAnsi="Times New Roman" w:cs="Times New Roman"/>
          <w:color w:val="000000" w:themeColor="text1"/>
          <w:sz w:val="28"/>
          <w:szCs w:val="28"/>
          <w:lang w:val="en-US" w:eastAsia="zh-CN"/>
          <w14:textFill>
            <w14:solidFill>
              <w14:schemeClr w14:val="tx1"/>
            </w14:solidFill>
          </w14:textFill>
        </w:rPr>
        <w:t>1、编制目的</w:t>
      </w:r>
    </w:p>
    <w:p w14:paraId="0C558573">
      <w:pPr>
        <w:spacing w:line="360" w:lineRule="auto"/>
        <w:ind w:firstLine="560" w:firstLineChars="200"/>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根据国家相关法律法规的要求和矿山的实际情况，对矿山生产建设中产生的地质环境问题、土地损毁问题和生态环境问题，采取相应的预防、治理措施，使地质环境、土地损毁、生态环境问题得到治理，使土地恢复达到可供利用状态，特编制本报告，达到以下具体目的：</w:t>
      </w:r>
    </w:p>
    <w:p w14:paraId="47ED4B44">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1</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避免和减少因矿山生产活动产生不稳定地质体；</w:t>
      </w:r>
    </w:p>
    <w:p w14:paraId="756D5C45">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2</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恢复矿山生产活动破坏的地形地貌景观；</w:t>
      </w:r>
    </w:p>
    <w:p w14:paraId="7F79CAD5">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3</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保护含水层水资源、水环境；</w:t>
      </w:r>
    </w:p>
    <w:p w14:paraId="7E6752AC">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4</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预防和治理矿山生产活动所造成的水土污染；</w:t>
      </w:r>
    </w:p>
    <w:p w14:paraId="5CDB9615">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5</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有效遏制评估区地表破坏，对破坏土地进行复垦，尽快恢复和重建矿区生态环境，保障矿区及周边地区地下水资源得到持续利用；</w:t>
      </w:r>
    </w:p>
    <w:p w14:paraId="6F19785F">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6</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更好地贯彻</w:t>
      </w:r>
      <w:r>
        <w:rPr>
          <w:rFonts w:hint="eastAsia"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加快建设资源节约型、环境友好社会</w:t>
      </w:r>
      <w:r>
        <w:rPr>
          <w:rFonts w:hint="eastAsia"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的有关精神，落实《土地复垦条例》中提出的</w:t>
      </w:r>
      <w:r>
        <w:rPr>
          <w:rFonts w:hint="eastAsia"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生产建设活动应当节约利用土地，不占或者少占耕地；对依法占用的土地应当采取有效措施，减少土地损毁面积，降低土地损毁程度</w:t>
      </w:r>
      <w:r>
        <w:rPr>
          <w:rFonts w:hint="eastAsia"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的要求，切实加强生产建设项目土地复垦管理工作；</w:t>
      </w:r>
    </w:p>
    <w:p w14:paraId="3F2BBF0F">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7</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按照</w:t>
      </w:r>
      <w:r>
        <w:rPr>
          <w:rFonts w:hint="eastAsia"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谁损毁，谁复垦</w:t>
      </w:r>
      <w:r>
        <w:rPr>
          <w:rFonts w:hint="eastAsia"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的原则，肩负起对破坏土地的复垦责任与义务，将复垦目标、任务、措施、资金等落实到实处；</w:t>
      </w:r>
    </w:p>
    <w:p w14:paraId="0C4D87AE">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8</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提出有针对性的矿山地质环境保护、治理、土地复垦措施及具体工作计划安排，确保土地复垦工作落实到实处；</w:t>
      </w:r>
    </w:p>
    <w:p w14:paraId="155AE0E6">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9</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为矿山企业落实地质环境治理、土地复垦、生态修复工作提供重要依据，为政府监管矿山企业落实主体责任和基金提取提供依据，促进矿山企业绿色发展等。</w:t>
      </w:r>
    </w:p>
    <w:p w14:paraId="5A72A45B">
      <w:pPr>
        <w:spacing w:line="360" w:lineRule="auto"/>
        <w:ind w:firstLine="560" w:firstLineChars="200"/>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2、主要任务</w:t>
      </w:r>
    </w:p>
    <w:p w14:paraId="65F782AB">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1</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收集资料与野外调查，实地开展矿山地质环境、土地资源及生态状况等信息调查，查明矿山自然信息概况、矿区地质环境条件、土地资源利用现状和矿区生态现状；</w:t>
      </w:r>
    </w:p>
    <w:p w14:paraId="00AF2AD4">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2</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查明矿区地质环境问题、地质灾害发育现状及造成的危害，矿山开采以来矿区各类土地的损毁情况，分析研究主要地质环境问题的分布规律、形成机理及影响因素，论述土地损毁环节与时序；根据调查情况、矿山开发利用方案、采矿地质环境条件对评估区矿山地质环境影响、土地损毁和生态状况进行现状和预测评估；</w:t>
      </w:r>
    </w:p>
    <w:p w14:paraId="7968C040">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3</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在评估的基础上，进行矿山生态修复治理分区和确定土地复垦区与复垦责任范围；</w:t>
      </w:r>
    </w:p>
    <w:p w14:paraId="02B23F74">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4</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从技术、经济、土地适宜性和水土资源平衡等方面进行矿山生态修复可行性进行分析；</w:t>
      </w:r>
    </w:p>
    <w:p w14:paraId="7CC0445F">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5</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提出矿山生态修复的技术措施，矿山地质环境监测、土地复垦监测和管护方案，明确各项工作的目标任务；</w:t>
      </w:r>
    </w:p>
    <w:p w14:paraId="10011765">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6</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对矿山生态修复工作分阶段进行工作部署，并明确近三年工作安排情况；</w:t>
      </w:r>
    </w:p>
    <w:p w14:paraId="31D32083">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7</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进行矿山生态修复工程经费估算，提出矿山生态修复的保障措施。</w:t>
      </w:r>
    </w:p>
    <w:p w14:paraId="083C33EC">
      <w:pPr>
        <w:pStyle w:val="5"/>
        <w:bidi w:val="0"/>
        <w:spacing w:line="360" w:lineRule="auto"/>
        <w:ind w:firstLine="562" w:firstLineChars="200"/>
        <w:rPr>
          <w:rFonts w:hint="eastAsia" w:hAnsi="Times New Roman" w:cs="Times New Roman"/>
          <w:b/>
          <w:bCs/>
          <w:color w:val="000000" w:themeColor="text1"/>
          <w:sz w:val="28"/>
          <w:szCs w:val="24"/>
          <w14:textFill>
            <w14:solidFill>
              <w14:schemeClr w14:val="tx1"/>
            </w14:solidFill>
          </w14:textFill>
        </w:rPr>
      </w:pPr>
      <w:r>
        <w:rPr>
          <w:rFonts w:hint="eastAsia" w:hAnsi="Times New Roman" w:cs="Times New Roman"/>
          <w:b/>
          <w:bCs/>
          <w:color w:val="000000" w:themeColor="text1"/>
          <w:sz w:val="28"/>
          <w:szCs w:val="24"/>
          <w14:textFill>
            <w14:solidFill>
              <w14:schemeClr w14:val="tx1"/>
            </w14:solidFill>
          </w14:textFill>
        </w:rPr>
        <w:t>（</w:t>
      </w:r>
      <w:r>
        <w:rPr>
          <w:rFonts w:hint="eastAsia" w:hAnsi="Times New Roman" w:cs="Times New Roman"/>
          <w:b/>
          <w:bCs/>
          <w:color w:val="000000" w:themeColor="text1"/>
          <w:sz w:val="28"/>
          <w:szCs w:val="24"/>
          <w:lang w:val="en-US" w:eastAsia="zh-CN"/>
          <w14:textFill>
            <w14:solidFill>
              <w14:schemeClr w14:val="tx1"/>
            </w14:solidFill>
          </w14:textFill>
        </w:rPr>
        <w:t>四</w:t>
      </w:r>
      <w:r>
        <w:rPr>
          <w:rFonts w:hint="eastAsia" w:hAnsi="Times New Roman" w:cs="Times New Roman"/>
          <w:b/>
          <w:bCs/>
          <w:color w:val="000000" w:themeColor="text1"/>
          <w:sz w:val="28"/>
          <w:szCs w:val="24"/>
          <w14:textFill>
            <w14:solidFill>
              <w14:schemeClr w14:val="tx1"/>
            </w14:solidFill>
          </w14:textFill>
        </w:rPr>
        <w:t>）编制依据</w:t>
      </w:r>
    </w:p>
    <w:p w14:paraId="7EBB9215">
      <w:pPr>
        <w:spacing w:line="360" w:lineRule="auto"/>
        <w:ind w:firstLine="560" w:firstLineChars="200"/>
        <w:rPr>
          <w:rFonts w:hint="eastAsia" w:ascii="宋体" w:hAnsi="宋体" w:cs="宋体"/>
          <w:color w:val="000000" w:themeColor="text1"/>
          <w:sz w:val="28"/>
          <w:szCs w:val="28"/>
          <w14:textFill>
            <w14:solidFill>
              <w14:schemeClr w14:val="tx1"/>
            </w14:solidFill>
          </w14:textFill>
        </w:rPr>
      </w:pPr>
      <w:bookmarkStart w:id="7" w:name="_Toc210478039"/>
      <w:bookmarkStart w:id="8" w:name="_Toc210478041"/>
      <w:r>
        <w:rPr>
          <w:rFonts w:hint="eastAsia" w:ascii="宋体" w:hAnsi="宋体" w:cs="宋体"/>
          <w:color w:val="000000" w:themeColor="text1"/>
          <w:sz w:val="28"/>
          <w:szCs w:val="28"/>
          <w14:textFill>
            <w14:solidFill>
              <w14:schemeClr w14:val="tx1"/>
            </w14:solidFill>
          </w14:textFill>
        </w:rPr>
        <w:t>主要以国家、地方现行的有关法律、法规、技术规程以及矿山立项、工程技术资料为依据。主要包括：</w:t>
      </w:r>
    </w:p>
    <w:p w14:paraId="16E53C05">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1、法律</w:t>
      </w:r>
      <w:bookmarkEnd w:id="7"/>
    </w:p>
    <w:p w14:paraId="07F8D325">
      <w:pPr>
        <w:pageBreakBefore w:val="0"/>
        <w:widowControl w:val="0"/>
        <w:kinsoku/>
        <w:wordWrap/>
        <w:overflowPunct/>
        <w:topLinePunct w:val="0"/>
        <w:autoSpaceDE/>
        <w:autoSpaceDN/>
        <w:bidi w:val="0"/>
        <w:snapToGrid/>
        <w:spacing w:line="360" w:lineRule="auto"/>
        <w:ind w:firstLine="560" w:firstLineChars="200"/>
        <w:textAlignment w:val="auto"/>
        <w:rPr>
          <w:rFonts w:hint="default" w:ascii="Times New Roman" w:hAnsi="Times New Roman" w:eastAsia="宋体" w:cs="Times New Roman"/>
          <w:color w:val="000000" w:themeColor="text1"/>
          <w:sz w:val="28"/>
          <w:szCs w:val="28"/>
          <w14:textFill>
            <w14:solidFill>
              <w14:schemeClr w14:val="tx1"/>
            </w14:solidFill>
          </w14:textFill>
        </w:rPr>
      </w:pPr>
      <w:bookmarkStart w:id="9" w:name="_Toc210478040"/>
      <w:r>
        <w:rPr>
          <w:rFonts w:hint="default" w:ascii="Times New Roman" w:hAnsi="Times New Roman" w:eastAsia="宋体" w:cs="Times New Roman"/>
          <w:color w:val="000000" w:themeColor="text1"/>
          <w:sz w:val="28"/>
          <w:szCs w:val="28"/>
          <w14:textFill>
            <w14:solidFill>
              <w14:schemeClr w14:val="tx1"/>
            </w14:solidFill>
          </w14:textFill>
        </w:rPr>
        <w:t>（1）《中华人民共和国矿产资源法》（全国人大常委会第三十六号主席令，2024年11月08日）；</w:t>
      </w:r>
    </w:p>
    <w:p w14:paraId="2152000D">
      <w:pPr>
        <w:pageBreakBefore w:val="0"/>
        <w:widowControl w:val="0"/>
        <w:kinsoku/>
        <w:wordWrap/>
        <w:overflowPunct/>
        <w:topLinePunct w:val="0"/>
        <w:autoSpaceDE/>
        <w:autoSpaceDN/>
        <w:bidi w:val="0"/>
        <w:snapToGrid/>
        <w:spacing w:line="360" w:lineRule="auto"/>
        <w:ind w:firstLine="560" w:firstLineChars="200"/>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（2）</w:t>
      </w:r>
      <w:r>
        <w:rPr>
          <w:rFonts w:hint="default" w:ascii="Times New Roman" w:hAnsi="Times New Roman" w:eastAsia="宋体" w:cs="Times New Roman"/>
          <w:color w:val="000000" w:themeColor="text1"/>
          <w:sz w:val="28"/>
          <w:szCs w:val="28"/>
          <w:highlight w:val="none"/>
          <w14:textFill>
            <w14:solidFill>
              <w14:schemeClr w14:val="tx1"/>
            </w14:solidFill>
          </w14:textFill>
        </w:rPr>
        <w:t>《中华人民共和国土地管理法》</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14:textFill>
            <w14:solidFill>
              <w14:schemeClr w14:val="tx1"/>
            </w14:solidFill>
          </w14:textFill>
        </w:rPr>
        <w:t>中华人民共和国主席令第三十二号，自2020年1月1日实施</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w:t>
      </w:r>
    </w:p>
    <w:p w14:paraId="578D6BC5">
      <w:pPr>
        <w:pageBreakBefore w:val="0"/>
        <w:widowControl w:val="0"/>
        <w:kinsoku/>
        <w:wordWrap/>
        <w:overflowPunct/>
        <w:topLinePunct w:val="0"/>
        <w:autoSpaceDE/>
        <w:autoSpaceDN/>
        <w:bidi w:val="0"/>
        <w:snapToGrid/>
        <w:spacing w:line="360" w:lineRule="auto"/>
        <w:ind w:firstLine="560" w:firstLineChars="200"/>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3</w:t>
      </w:r>
      <w:r>
        <w:rPr>
          <w:rFonts w:hint="default" w:ascii="Times New Roman" w:hAnsi="Times New Roman" w:eastAsia="宋体" w:cs="Times New Roman"/>
          <w:color w:val="000000" w:themeColor="text1"/>
          <w:sz w:val="28"/>
          <w:szCs w:val="28"/>
          <w14:textFill>
            <w14:solidFill>
              <w14:schemeClr w14:val="tx1"/>
            </w14:solidFill>
          </w14:textFill>
        </w:rPr>
        <w:t>）《内蒙古自治区地质环境保护条例》（2021年7月29日修正）；</w:t>
      </w:r>
    </w:p>
    <w:p w14:paraId="14A68908">
      <w:pPr>
        <w:pageBreakBefore w:val="0"/>
        <w:widowControl w:val="0"/>
        <w:kinsoku/>
        <w:wordWrap/>
        <w:overflowPunct/>
        <w:topLinePunct w:val="0"/>
        <w:autoSpaceDE/>
        <w:autoSpaceDN/>
        <w:bidi w:val="0"/>
        <w:snapToGrid/>
        <w:spacing w:line="360" w:lineRule="auto"/>
        <w:ind w:firstLine="560" w:firstLineChars="200"/>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4</w:t>
      </w:r>
      <w:r>
        <w:rPr>
          <w:rFonts w:hint="default" w:ascii="Times New Roman" w:hAnsi="Times New Roman" w:eastAsia="宋体" w:cs="Times New Roman"/>
          <w:color w:val="000000" w:themeColor="text1"/>
          <w:sz w:val="28"/>
          <w:szCs w:val="28"/>
          <w14:textFill>
            <w14:solidFill>
              <w14:schemeClr w14:val="tx1"/>
            </w14:solidFill>
          </w14:textFill>
        </w:rPr>
        <w:t>）《土地复垦条例》（中华人民共和国第592号国务院令，2011年）；</w:t>
      </w:r>
    </w:p>
    <w:p w14:paraId="25369153">
      <w:pPr>
        <w:pageBreakBefore w:val="0"/>
        <w:widowControl w:val="0"/>
        <w:kinsoku/>
        <w:wordWrap/>
        <w:overflowPunct/>
        <w:topLinePunct w:val="0"/>
        <w:autoSpaceDE/>
        <w:autoSpaceDN/>
        <w:bidi w:val="0"/>
        <w:snapToGrid/>
        <w:spacing w:line="360" w:lineRule="auto"/>
        <w:ind w:firstLine="560" w:firstLineChars="200"/>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5</w:t>
      </w:r>
      <w:r>
        <w:rPr>
          <w:rFonts w:hint="default" w:ascii="Times New Roman" w:hAnsi="Times New Roman" w:eastAsia="宋体" w:cs="Times New Roman"/>
          <w:color w:val="000000" w:themeColor="text1"/>
          <w:sz w:val="28"/>
          <w:szCs w:val="28"/>
          <w14:textFill>
            <w14:solidFill>
              <w14:schemeClr w14:val="tx1"/>
            </w14:solidFill>
          </w14:textFill>
        </w:rPr>
        <w:t>）《中华人民共和国草原法》（2021年4月29日第三次修正）；</w:t>
      </w:r>
    </w:p>
    <w:p w14:paraId="45548290">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6</w:t>
      </w:r>
      <w:r>
        <w:rPr>
          <w:rFonts w:hint="default" w:ascii="Times New Roman" w:hAnsi="Times New Roman" w:eastAsia="宋体" w:cs="Times New Roman"/>
          <w:color w:val="000000" w:themeColor="text1"/>
          <w:sz w:val="28"/>
          <w:szCs w:val="28"/>
          <w14:textFill>
            <w14:solidFill>
              <w14:schemeClr w14:val="tx1"/>
            </w14:solidFill>
          </w14:textFill>
        </w:rPr>
        <w:t>）《中华人民共和国土地管理法实施条例》（中华人民共和国国务院令第743号，2021年7月2日第三次修正）。</w:t>
      </w:r>
    </w:p>
    <w:p w14:paraId="3DE1949D">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568" w:firstLineChars="200"/>
        <w:jc w:val="left"/>
        <w:textAlignment w:val="baseline"/>
        <w:outlineLvl w:val="9"/>
        <w:rPr>
          <w:rFonts w:hint="default" w:ascii="Times New Roman" w:hAnsi="Times New Roman" w:eastAsia="宋体" w:cs="Times New Roman"/>
          <w:b w:val="0"/>
          <w:bCs w:val="0"/>
          <w:snapToGrid w:val="0"/>
          <w:color w:val="000000" w:themeColor="text1"/>
          <w:spacing w:val="2"/>
          <w:kern w:val="0"/>
          <w:position w:val="1"/>
          <w:sz w:val="28"/>
          <w:szCs w:val="28"/>
          <w:highlight w:val="none"/>
          <w:lang w:val="en-US" w:eastAsia="zh-CN"/>
          <w14:textFill>
            <w14:solidFill>
              <w14:schemeClr w14:val="tx1"/>
            </w14:solidFill>
          </w14:textFill>
        </w:rPr>
      </w:pPr>
      <w:r>
        <w:rPr>
          <w:rFonts w:hint="eastAsia" w:eastAsia="宋体" w:cs="Times New Roman"/>
          <w:b w:val="0"/>
          <w:bCs w:val="0"/>
          <w:snapToGrid w:val="0"/>
          <w:color w:val="000000" w:themeColor="text1"/>
          <w:spacing w:val="2"/>
          <w:kern w:val="0"/>
          <w:position w:val="1"/>
          <w:sz w:val="28"/>
          <w:szCs w:val="28"/>
          <w:highlight w:val="none"/>
          <w:lang w:val="en-US" w:eastAsia="zh-CN"/>
          <w14:textFill>
            <w14:solidFill>
              <w14:schemeClr w14:val="tx1"/>
            </w14:solidFill>
          </w14:textFill>
        </w:rPr>
        <w:t>2、</w:t>
      </w:r>
      <w:r>
        <w:rPr>
          <w:rFonts w:hint="eastAsia" w:ascii="Times New Roman" w:hAnsi="Times New Roman" w:eastAsia="宋体" w:cs="Times New Roman"/>
          <w:b w:val="0"/>
          <w:bCs w:val="0"/>
          <w:snapToGrid w:val="0"/>
          <w:color w:val="000000" w:themeColor="text1"/>
          <w:spacing w:val="2"/>
          <w:kern w:val="0"/>
          <w:position w:val="1"/>
          <w:sz w:val="28"/>
          <w:szCs w:val="28"/>
          <w:highlight w:val="none"/>
          <w:lang w:val="en-US" w:eastAsia="zh-CN"/>
          <w14:textFill>
            <w14:solidFill>
              <w14:schemeClr w14:val="tx1"/>
            </w14:solidFill>
          </w14:textFill>
        </w:rPr>
        <w:t>行政</w:t>
      </w:r>
      <w:r>
        <w:rPr>
          <w:rFonts w:hint="default" w:ascii="Times New Roman" w:hAnsi="Times New Roman" w:eastAsia="宋体" w:cs="Times New Roman"/>
          <w:b w:val="0"/>
          <w:bCs w:val="0"/>
          <w:snapToGrid w:val="0"/>
          <w:color w:val="000000" w:themeColor="text1"/>
          <w:spacing w:val="2"/>
          <w:kern w:val="0"/>
          <w:position w:val="1"/>
          <w:sz w:val="28"/>
          <w:szCs w:val="28"/>
          <w:highlight w:val="none"/>
          <w:lang w:val="en-US" w:eastAsia="zh-CN"/>
          <w14:textFill>
            <w14:solidFill>
              <w14:schemeClr w14:val="tx1"/>
            </w14:solidFill>
          </w14:textFill>
        </w:rPr>
        <w:t>法规</w:t>
      </w:r>
      <w:r>
        <w:rPr>
          <w:rFonts w:hint="eastAsia" w:ascii="Times New Roman" w:hAnsi="Times New Roman" w:eastAsia="宋体" w:cs="Times New Roman"/>
          <w:b w:val="0"/>
          <w:bCs w:val="0"/>
          <w:snapToGrid w:val="0"/>
          <w:color w:val="000000" w:themeColor="text1"/>
          <w:spacing w:val="2"/>
          <w:kern w:val="0"/>
          <w:position w:val="1"/>
          <w:sz w:val="28"/>
          <w:szCs w:val="28"/>
          <w:highlight w:val="none"/>
          <w:lang w:val="en-US" w:eastAsia="zh-CN"/>
          <w14:textFill>
            <w14:solidFill>
              <w14:schemeClr w14:val="tx1"/>
            </w14:solidFill>
          </w14:textFill>
        </w:rPr>
        <w:t>、部门规章、国务院规范性文件</w:t>
      </w:r>
    </w:p>
    <w:p w14:paraId="0229AAD4">
      <w:pPr>
        <w:pStyle w:val="64"/>
        <w:pageBreakBefore w:val="0"/>
        <w:wordWrap/>
        <w:bidi w:val="0"/>
        <w:spacing w:line="360" w:lineRule="auto"/>
        <w:ind w:left="0" w:firstLine="560" w:firstLineChars="200"/>
        <w:jc w:val="left"/>
        <w:rPr>
          <w:rFonts w:hint="default" w:ascii="Times New Roman" w:hAnsi="Times New Roman" w:eastAsia="宋体" w:cs="Times New Roman"/>
          <w:color w:val="000000" w:themeColor="text1"/>
          <w:sz w:val="28"/>
          <w:szCs w:val="21"/>
          <w:highlight w:val="none"/>
          <w14:textFill>
            <w14:solidFill>
              <w14:schemeClr w14:val="tx1"/>
            </w14:solidFill>
          </w14:textFill>
        </w:rPr>
      </w:pPr>
      <w:r>
        <w:rPr>
          <w:rFonts w:hint="eastAsia" w:eastAsia="宋体" w:cs="Times New Roman"/>
          <w:color w:val="000000" w:themeColor="text1"/>
          <w:sz w:val="28"/>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8"/>
          <w:szCs w:val="21"/>
          <w:highlight w:val="none"/>
          <w14:textFill>
            <w14:solidFill>
              <w14:schemeClr w14:val="tx1"/>
            </w14:solidFill>
          </w14:textFill>
        </w:rPr>
        <w:t>《地质灾害防治条例》</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中华人民共和国国务院令第394号</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自2004年3月1日起实施</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w:t>
      </w:r>
    </w:p>
    <w:p w14:paraId="54731E7D">
      <w:pPr>
        <w:pStyle w:val="64"/>
        <w:pageBreakBefore w:val="0"/>
        <w:wordWrap/>
        <w:bidi w:val="0"/>
        <w:spacing w:line="360" w:lineRule="auto"/>
        <w:ind w:left="0" w:firstLine="560" w:firstLineChars="200"/>
        <w:jc w:val="left"/>
        <w:rPr>
          <w:rFonts w:hint="default" w:ascii="Times New Roman" w:hAnsi="Times New Roman" w:eastAsia="宋体" w:cs="Times New Roman"/>
          <w:color w:val="000000" w:themeColor="text1"/>
          <w:sz w:val="28"/>
          <w:szCs w:val="21"/>
          <w:highlight w:val="none"/>
          <w14:textFill>
            <w14:solidFill>
              <w14:schemeClr w14:val="tx1"/>
            </w14:solidFill>
          </w14:textFill>
        </w:rPr>
      </w:pPr>
      <w:r>
        <w:rPr>
          <w:rFonts w:hint="eastAsia" w:eastAsia="宋体" w:cs="Times New Roman"/>
          <w:color w:val="000000" w:themeColor="text1"/>
          <w:sz w:val="28"/>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1"/>
          <w:highlight w:val="none"/>
          <w14:textFill>
            <w14:solidFill>
              <w14:schemeClr w14:val="tx1"/>
            </w14:solidFill>
          </w14:textFill>
        </w:rPr>
        <w:t>《土地复垦条例》</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中华人民共和国国务院令第592号，自2011年3月5日起实施</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w:t>
      </w:r>
    </w:p>
    <w:p w14:paraId="006C3917">
      <w:pPr>
        <w:rPr>
          <w:rFonts w:hint="eastAsia" w:eastAsia="宋体" w:cs="Times New Roman"/>
          <w:color w:val="000000" w:themeColor="text1"/>
          <w:sz w:val="28"/>
          <w:szCs w:val="21"/>
          <w:highlight w:val="none"/>
          <w:lang w:val="en-US" w:eastAsia="zh-CN"/>
          <w14:textFill>
            <w14:solidFill>
              <w14:schemeClr w14:val="tx1"/>
            </w14:solidFill>
          </w14:textFill>
        </w:rPr>
      </w:pPr>
      <w:r>
        <w:rPr>
          <w:rFonts w:hint="eastAsia" w:eastAsia="宋体" w:cs="Times New Roman"/>
          <w:color w:val="000000" w:themeColor="text1"/>
          <w:sz w:val="28"/>
          <w:szCs w:val="21"/>
          <w:highlight w:val="none"/>
          <w:lang w:val="en-US" w:eastAsia="zh-CN"/>
          <w14:textFill>
            <w14:solidFill>
              <w14:schemeClr w14:val="tx1"/>
            </w14:solidFill>
          </w14:textFill>
        </w:rPr>
        <w:br w:type="page"/>
      </w:r>
    </w:p>
    <w:p w14:paraId="2DFDB361">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560" w:firstLineChars="200"/>
        <w:jc w:val="left"/>
        <w:textAlignment w:val="baseline"/>
        <w:outlineLvl w:val="9"/>
        <w:rPr>
          <w:rFonts w:hint="default" w:ascii="Times New Roman" w:hAnsi="Times New Roman" w:eastAsia="宋体" w:cs="Times New Roman"/>
          <w:b/>
          <w:bCs/>
          <w:snapToGrid w:val="0"/>
          <w:color w:val="000000" w:themeColor="text1"/>
          <w:spacing w:val="2"/>
          <w:kern w:val="0"/>
          <w:position w:val="1"/>
          <w:sz w:val="28"/>
          <w:szCs w:val="28"/>
          <w:highlight w:val="none"/>
          <w:lang w:val="en-US" w:eastAsia="zh-CN"/>
          <w14:textFill>
            <w14:solidFill>
              <w14:schemeClr w14:val="tx1"/>
            </w14:solidFill>
          </w14:textFill>
        </w:rPr>
      </w:pPr>
      <w:r>
        <w:rPr>
          <w:rFonts w:hint="eastAsia" w:eastAsia="宋体" w:cs="Times New Roman"/>
          <w:color w:val="000000" w:themeColor="text1"/>
          <w:sz w:val="28"/>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8"/>
          <w:szCs w:val="21"/>
          <w:highlight w:val="none"/>
          <w14:textFill>
            <w14:solidFill>
              <w14:schemeClr w14:val="tx1"/>
            </w14:solidFill>
          </w14:textFill>
        </w:rPr>
        <w:t>《中华人民共和国土地管理法实施条例》</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中华人民共和国国务院令第743号，自2021</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年</w:t>
      </w:r>
      <w:r>
        <w:rPr>
          <w:rFonts w:hint="default" w:ascii="Times New Roman" w:hAnsi="Times New Roman" w:eastAsia="宋体" w:cs="Times New Roman"/>
          <w:color w:val="000000" w:themeColor="text1"/>
          <w:sz w:val="28"/>
          <w:szCs w:val="21"/>
          <w:highlight w:val="none"/>
          <w14:textFill>
            <w14:solidFill>
              <w14:schemeClr w14:val="tx1"/>
            </w14:solidFill>
          </w14:textFill>
        </w:rPr>
        <w:t>9月1日起实施</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w:t>
      </w:r>
    </w:p>
    <w:p w14:paraId="50F36787">
      <w:pPr>
        <w:pStyle w:val="64"/>
        <w:pageBreakBefore w:val="0"/>
        <w:wordWrap/>
        <w:bidi w:val="0"/>
        <w:spacing w:line="360" w:lineRule="auto"/>
        <w:ind w:left="0" w:firstLine="560" w:firstLineChars="200"/>
        <w:jc w:val="left"/>
        <w:rPr>
          <w:rFonts w:hint="default" w:ascii="Times New Roman" w:hAnsi="Times New Roman" w:eastAsia="宋体" w:cs="Times New Roman"/>
          <w:color w:val="000000" w:themeColor="text1"/>
          <w:sz w:val="28"/>
          <w:szCs w:val="21"/>
          <w:highlight w:val="none"/>
          <w14:textFill>
            <w14:solidFill>
              <w14:schemeClr w14:val="tx1"/>
            </w14:solidFill>
          </w14:textFill>
        </w:rPr>
      </w:pPr>
      <w:r>
        <w:rPr>
          <w:rFonts w:hint="eastAsia" w:eastAsia="宋体" w:cs="Times New Roman"/>
          <w:color w:val="000000" w:themeColor="text1"/>
          <w:sz w:val="28"/>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8"/>
          <w:szCs w:val="21"/>
          <w:highlight w:val="none"/>
          <w14:textFill>
            <w14:solidFill>
              <w14:schemeClr w14:val="tx1"/>
            </w14:solidFill>
          </w14:textFill>
        </w:rPr>
        <w:t>《土地复垦条例实施办法》</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自然资源</w:t>
      </w:r>
      <w:r>
        <w:rPr>
          <w:rFonts w:hint="default" w:ascii="Times New Roman" w:hAnsi="Times New Roman" w:eastAsia="宋体" w:cs="Times New Roman"/>
          <w:color w:val="000000" w:themeColor="text1"/>
          <w:sz w:val="28"/>
          <w:szCs w:val="21"/>
          <w:highlight w:val="none"/>
          <w14:textFill>
            <w14:solidFill>
              <w14:schemeClr w14:val="tx1"/>
            </w14:solidFill>
          </w14:textFill>
        </w:rPr>
        <w:t>部，2019年修订</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w:t>
      </w:r>
    </w:p>
    <w:p w14:paraId="7D91BC23">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560" w:firstLineChars="200"/>
        <w:jc w:val="left"/>
        <w:textAlignment w:val="baseline"/>
        <w:outlineLvl w:val="9"/>
        <w:rPr>
          <w:rFonts w:hint="default" w:ascii="Times New Roman" w:hAnsi="Times New Roman" w:eastAsia="宋体" w:cs="Times New Roman"/>
          <w:b/>
          <w:bCs/>
          <w:snapToGrid w:val="0"/>
          <w:color w:val="000000" w:themeColor="text1"/>
          <w:spacing w:val="2"/>
          <w:kern w:val="0"/>
          <w:position w:val="1"/>
          <w:sz w:val="28"/>
          <w:szCs w:val="28"/>
          <w:highlight w:val="none"/>
          <w:lang w:val="en-US" w:eastAsia="zh-CN"/>
          <w14:textFill>
            <w14:solidFill>
              <w14:schemeClr w14:val="tx1"/>
            </w14:solidFill>
          </w14:textFill>
        </w:rPr>
      </w:pPr>
      <w:r>
        <w:rPr>
          <w:rFonts w:hint="eastAsia" w:eastAsia="宋体" w:cs="Times New Roman"/>
          <w:color w:val="000000" w:themeColor="text1"/>
          <w:sz w:val="28"/>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8"/>
          <w:szCs w:val="21"/>
          <w:highlight w:val="none"/>
          <w14:textFill>
            <w14:solidFill>
              <w14:schemeClr w14:val="tx1"/>
            </w14:solidFill>
          </w14:textFill>
        </w:rPr>
        <w:t>《自然资源部办公厅关于做好〈矿产资源法〉实施过渡期内矿区生态修复方案编制评审有关工作的通知》</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自然资办函〔2025〕2043号</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z w:val="28"/>
          <w:szCs w:val="21"/>
          <w:highlight w:val="none"/>
          <w:lang w:eastAsia="zh-CN"/>
          <w14:textFill>
            <w14:solidFill>
              <w14:schemeClr w14:val="tx1"/>
            </w14:solidFill>
          </w14:textFill>
        </w:rPr>
        <w:t>；</w:t>
      </w:r>
    </w:p>
    <w:p w14:paraId="67DADF2F">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560" w:firstLineChars="200"/>
        <w:jc w:val="left"/>
        <w:textAlignment w:val="baseline"/>
        <w:outlineLvl w:val="9"/>
        <w:rPr>
          <w:rFonts w:hint="default" w:ascii="Times New Roman" w:hAnsi="Times New Roman" w:eastAsia="宋体" w:cs="Times New Roman"/>
          <w:b/>
          <w:bCs/>
          <w:snapToGrid w:val="0"/>
          <w:color w:val="000000" w:themeColor="text1"/>
          <w:spacing w:val="2"/>
          <w:kern w:val="0"/>
          <w:position w:val="1"/>
          <w:sz w:val="28"/>
          <w:szCs w:val="28"/>
          <w:highlight w:val="none"/>
          <w:lang w:val="en-US" w:eastAsia="zh-CN"/>
          <w14:textFill>
            <w14:solidFill>
              <w14:schemeClr w14:val="tx1"/>
            </w14:solidFill>
          </w14:textFill>
        </w:rPr>
      </w:pPr>
      <w:r>
        <w:rPr>
          <w:rFonts w:hint="eastAsia" w:eastAsia="宋体" w:cs="Times New Roman"/>
          <w:color w:val="000000" w:themeColor="text1"/>
          <w:sz w:val="28"/>
          <w:szCs w:val="2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8"/>
          <w:szCs w:val="21"/>
          <w:highlight w:val="none"/>
          <w14:textFill>
            <w14:solidFill>
              <w14:schemeClr w14:val="tx1"/>
            </w14:solidFill>
          </w14:textFill>
        </w:rPr>
        <w:t>《国土资源部关于贯彻实施</w:t>
      </w:r>
      <w:r>
        <w:rPr>
          <w:rFonts w:hint="eastAsia"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土地复垦条例</w:t>
      </w:r>
      <w:r>
        <w:rPr>
          <w:rFonts w:hint="eastAsia" w:ascii="Times New Roman" w:hAnsi="Times New Roman" w:eastAsia="宋体" w:cs="Times New Roman"/>
          <w:color w:val="000000" w:themeColor="text1"/>
          <w:sz w:val="28"/>
          <w:szCs w:val="21"/>
          <w:highlight w:val="none"/>
          <w:lang w:eastAsia="zh-CN"/>
          <w14:textFill>
            <w14:solidFill>
              <w14:schemeClr w14:val="tx1"/>
            </w14:solidFill>
          </w14:textFill>
        </w:rPr>
        <w:t>〉的通知》</w:t>
      </w:r>
      <w:r>
        <w:rPr>
          <w:rFonts w:hint="default" w:ascii="Times New Roman" w:hAnsi="Times New Roman" w:eastAsia="宋体" w:cs="Times New Roman"/>
          <w:color w:val="000000" w:themeColor="text1"/>
          <w:sz w:val="28"/>
          <w:szCs w:val="21"/>
          <w:highlight w:val="none"/>
          <w14:textFill>
            <w14:solidFill>
              <w14:schemeClr w14:val="tx1"/>
            </w14:solidFill>
          </w14:textFill>
        </w:rPr>
        <w:t>（国土资发〔2011〕50号）</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p>
    <w:p w14:paraId="327D8B1A">
      <w:pPr>
        <w:pStyle w:val="64"/>
        <w:pageBreakBefore w:val="0"/>
        <w:wordWrap/>
        <w:bidi w:val="0"/>
        <w:spacing w:line="360" w:lineRule="auto"/>
        <w:ind w:left="0" w:firstLine="560" w:firstLineChars="200"/>
        <w:jc w:val="left"/>
        <w:rPr>
          <w:rFonts w:hint="default" w:ascii="Times New Roman" w:hAnsi="Times New Roman" w:eastAsia="宋体" w:cs="Times New Roman"/>
          <w:color w:val="000000" w:themeColor="text1"/>
          <w:sz w:val="28"/>
          <w:szCs w:val="21"/>
          <w:highlight w:val="none"/>
          <w14:textFill>
            <w14:solidFill>
              <w14:schemeClr w14:val="tx1"/>
            </w14:solidFill>
          </w14:textFill>
        </w:rPr>
      </w:pPr>
      <w:r>
        <w:rPr>
          <w:rFonts w:hint="eastAsia" w:eastAsia="宋体" w:cs="Times New Roman"/>
          <w:color w:val="000000" w:themeColor="text1"/>
          <w:sz w:val="28"/>
          <w:szCs w:val="21"/>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sz w:val="28"/>
          <w:szCs w:val="21"/>
          <w:highlight w:val="none"/>
          <w14:textFill>
            <w14:solidFill>
              <w14:schemeClr w14:val="tx1"/>
            </w14:solidFill>
          </w14:textFill>
        </w:rPr>
        <w:t>《国务院关于加强地质灾害防治工作的决定》</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国发〔2011〕20号</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w:t>
      </w:r>
    </w:p>
    <w:p w14:paraId="1AD27675">
      <w:pPr>
        <w:pStyle w:val="64"/>
        <w:pageBreakBefore w:val="0"/>
        <w:wordWrap/>
        <w:bidi w:val="0"/>
        <w:spacing w:line="360" w:lineRule="auto"/>
        <w:ind w:left="0" w:firstLine="560" w:firstLineChars="200"/>
        <w:jc w:val="left"/>
        <w:rPr>
          <w:rFonts w:hint="default" w:ascii="Times New Roman" w:hAnsi="Times New Roman" w:eastAsia="宋体" w:cs="Times New Roman"/>
          <w:color w:val="000000" w:themeColor="text1"/>
          <w:sz w:val="28"/>
          <w:szCs w:val="21"/>
          <w:highlight w:val="none"/>
          <w14:textFill>
            <w14:solidFill>
              <w14:schemeClr w14:val="tx1"/>
            </w14:solidFill>
          </w14:textFill>
        </w:rPr>
      </w:pPr>
      <w:r>
        <w:rPr>
          <w:rFonts w:hint="eastAsia" w:eastAsia="宋体" w:cs="Times New Roman"/>
          <w:color w:val="000000" w:themeColor="text1"/>
          <w:sz w:val="28"/>
          <w:szCs w:val="21"/>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sz w:val="28"/>
          <w:szCs w:val="21"/>
          <w:highlight w:val="none"/>
          <w14:textFill>
            <w14:solidFill>
              <w14:schemeClr w14:val="tx1"/>
            </w14:solidFill>
          </w14:textFill>
        </w:rPr>
        <w:t>《关于加强矿山地质环境恢复和综合治理的指导意见》</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国土资发</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2016</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63号</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w:t>
      </w:r>
    </w:p>
    <w:p w14:paraId="12BCFA5E">
      <w:pPr>
        <w:pStyle w:val="64"/>
        <w:pageBreakBefore w:val="0"/>
        <w:wordWrap/>
        <w:bidi w:val="0"/>
        <w:spacing w:line="360" w:lineRule="auto"/>
        <w:ind w:left="0" w:firstLine="560" w:firstLineChars="200"/>
        <w:jc w:val="left"/>
        <w:rPr>
          <w:rFonts w:hint="default" w:ascii="Times New Roman" w:hAnsi="Times New Roman" w:eastAsia="宋体" w:cs="Times New Roman"/>
          <w:color w:val="000000" w:themeColor="text1"/>
          <w:sz w:val="28"/>
          <w:szCs w:val="21"/>
          <w:highlight w:val="none"/>
          <w14:textFill>
            <w14:solidFill>
              <w14:schemeClr w14:val="tx1"/>
            </w14:solidFill>
          </w14:textFill>
        </w:rPr>
      </w:pPr>
      <w:r>
        <w:rPr>
          <w:rFonts w:hint="eastAsia" w:eastAsia="宋体" w:cs="Times New Roman"/>
          <w:color w:val="000000" w:themeColor="text1"/>
          <w:sz w:val="28"/>
          <w:szCs w:val="21"/>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sz w:val="28"/>
          <w:szCs w:val="21"/>
          <w:highlight w:val="none"/>
          <w14:textFill>
            <w14:solidFill>
              <w14:schemeClr w14:val="tx1"/>
            </w14:solidFill>
          </w14:textFill>
        </w:rPr>
        <w:t>《财政部国土资源部环境保护部关于取消矿山地质环境治理恢复保证金建立矿山地质环境治理恢复基金的指导意见》</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财建</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2017</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638号</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w:t>
      </w:r>
    </w:p>
    <w:p w14:paraId="177A7EDA">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eastAsia="宋体" w:cs="Times New Roman"/>
          <w:color w:val="000000" w:themeColor="text1"/>
          <w:sz w:val="28"/>
          <w:szCs w:val="21"/>
          <w:highlight w:val="none"/>
          <w:lang w:val="en-US" w:eastAsia="zh-CN"/>
          <w14:textFill>
            <w14:solidFill>
              <w14:schemeClr w14:val="tx1"/>
            </w14:solidFill>
          </w14:textFill>
        </w:rPr>
        <w:t>（</w:t>
      </w:r>
      <w:r>
        <w:rPr>
          <w:rFonts w:hint="eastAsia" w:cs="Times New Roman"/>
          <w:color w:val="000000" w:themeColor="text1"/>
          <w:sz w:val="28"/>
          <w:szCs w:val="21"/>
          <w:highlight w:val="none"/>
          <w:lang w:val="en-US" w:eastAsia="zh-CN"/>
          <w14:textFill>
            <w14:solidFill>
              <w14:schemeClr w14:val="tx1"/>
            </w14:solidFill>
          </w14:textFill>
        </w:rPr>
        <w:t>10</w:t>
      </w:r>
      <w:r>
        <w:rPr>
          <w:rFonts w:hint="eastAsia" w:eastAsia="宋体" w:cs="Times New Roman"/>
          <w:color w:val="000000" w:themeColor="text1"/>
          <w:sz w:val="28"/>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自然资源部、生态环境部、财政部、国家市场监督管理总局、国家金融监督管理总局、中国证券监督管理委员会、国家林业和草原局联合印发《关于进一步加强绿色矿山建设的通知》（自然资规〔2024〕1号）；</w:t>
      </w:r>
    </w:p>
    <w:p w14:paraId="5D74C5BE">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、政策性文件</w:t>
      </w:r>
    </w:p>
    <w:p w14:paraId="4CCC687D">
      <w:pPr>
        <w:pStyle w:val="64"/>
        <w:pageBreakBefore w:val="0"/>
        <w:wordWrap/>
        <w:bidi w:val="0"/>
        <w:spacing w:line="360" w:lineRule="auto"/>
        <w:ind w:left="0" w:firstLine="560" w:firstLineChars="200"/>
        <w:jc w:val="left"/>
        <w:rPr>
          <w:rFonts w:hint="default" w:ascii="Times New Roman" w:hAnsi="Times New Roman" w:eastAsia="宋体" w:cs="Times New Roman"/>
          <w:color w:val="000000" w:themeColor="text1"/>
          <w:sz w:val="28"/>
          <w:szCs w:val="21"/>
          <w:highlight w:val="none"/>
          <w14:textFill>
            <w14:solidFill>
              <w14:schemeClr w14:val="tx1"/>
            </w14:solidFill>
          </w14:textFill>
        </w:rPr>
      </w:pPr>
      <w:r>
        <w:rPr>
          <w:rFonts w:hint="eastAsia" w:eastAsia="宋体" w:cs="Times New Roman"/>
          <w:color w:val="000000" w:themeColor="text1"/>
          <w:sz w:val="28"/>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8"/>
          <w:szCs w:val="21"/>
          <w:highlight w:val="none"/>
          <w14:textFill>
            <w14:solidFill>
              <w14:schemeClr w14:val="tx1"/>
            </w14:solidFill>
          </w14:textFill>
        </w:rPr>
        <w:t>《内蒙古自治区地质环境保护条例》内蒙古自治区第十三届人大常委会公告第五十五号</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2021年7月29日修正</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w:t>
      </w:r>
    </w:p>
    <w:p w14:paraId="4FD10661">
      <w:pPr>
        <w:pStyle w:val="64"/>
        <w:pageBreakBefore w:val="0"/>
        <w:wordWrap/>
        <w:bidi w:val="0"/>
        <w:spacing w:line="360" w:lineRule="auto"/>
        <w:ind w:left="0" w:firstLine="560" w:firstLineChars="200"/>
        <w:jc w:val="left"/>
        <w:rPr>
          <w:rFonts w:hint="default" w:ascii="Times New Roman" w:hAnsi="Times New Roman" w:eastAsia="宋体" w:cs="Times New Roman"/>
          <w:color w:val="000000" w:themeColor="text1"/>
          <w:sz w:val="28"/>
          <w:szCs w:val="21"/>
          <w:highlight w:val="none"/>
          <w14:textFill>
            <w14:solidFill>
              <w14:schemeClr w14:val="tx1"/>
            </w14:solidFill>
          </w14:textFill>
        </w:rPr>
      </w:pPr>
      <w:r>
        <w:rPr>
          <w:rFonts w:hint="eastAsia" w:eastAsia="宋体" w:cs="Times New Roman"/>
          <w:color w:val="000000" w:themeColor="text1"/>
          <w:sz w:val="28"/>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1"/>
          <w:highlight w:val="none"/>
          <w14:textFill>
            <w14:solidFill>
              <w14:schemeClr w14:val="tx1"/>
            </w14:solidFill>
          </w14:textFill>
        </w:rPr>
        <w:t>内蒙古自治区自然资源厅内蒙古自治区财政厅内蒙古自治区生态环境厅印发了《内蒙古自治区矿山地质环境治理恢复基金管理办法（试行）》</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2019年12月</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w:t>
      </w:r>
    </w:p>
    <w:p w14:paraId="40675E9C">
      <w:pPr>
        <w:pStyle w:val="64"/>
        <w:pageBreakBefore w:val="0"/>
        <w:wordWrap/>
        <w:bidi w:val="0"/>
        <w:spacing w:line="360" w:lineRule="auto"/>
        <w:ind w:left="0" w:firstLine="560" w:firstLineChars="200"/>
        <w:jc w:val="left"/>
        <w:rPr>
          <w:rFonts w:hint="default" w:ascii="Times New Roman" w:hAnsi="Times New Roman" w:eastAsia="宋体" w:cs="Times New Roman"/>
          <w:color w:val="000000" w:themeColor="text1"/>
          <w:sz w:val="28"/>
          <w:szCs w:val="21"/>
          <w:highlight w:val="none"/>
          <w14:textFill>
            <w14:solidFill>
              <w14:schemeClr w14:val="tx1"/>
            </w14:solidFill>
          </w14:textFill>
        </w:rPr>
      </w:pPr>
      <w:r>
        <w:rPr>
          <w:rFonts w:hint="eastAsia" w:eastAsia="宋体" w:cs="Times New Roman"/>
          <w:color w:val="000000" w:themeColor="text1"/>
          <w:sz w:val="28"/>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8"/>
          <w:szCs w:val="21"/>
          <w:highlight w:val="none"/>
          <w14:textFill>
            <w14:solidFill>
              <w14:schemeClr w14:val="tx1"/>
            </w14:solidFill>
          </w14:textFill>
        </w:rPr>
        <w:t>2020年</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11</w:t>
      </w:r>
      <w:r>
        <w:rPr>
          <w:rFonts w:hint="default" w:ascii="Times New Roman" w:hAnsi="Times New Roman" w:eastAsia="宋体" w:cs="Times New Roman"/>
          <w:color w:val="000000" w:themeColor="text1"/>
          <w:sz w:val="28"/>
          <w:szCs w:val="21"/>
          <w:highlight w:val="none"/>
          <w14:textFill>
            <w14:solidFill>
              <w14:schemeClr w14:val="tx1"/>
            </w14:solidFill>
          </w14:textFill>
        </w:rPr>
        <w:t>月</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8"/>
          <w:szCs w:val="21"/>
          <w:highlight w:val="none"/>
          <w14:textFill>
            <w14:solidFill>
              <w14:schemeClr w14:val="tx1"/>
            </w14:solidFill>
          </w14:textFill>
        </w:rPr>
        <w:t>日，内蒙古自治区政府《关于印发自治区绿色矿山建设方案的通知》</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内政发〔2020〕18号</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w:t>
      </w:r>
    </w:p>
    <w:p w14:paraId="5AE73F7F">
      <w:pPr>
        <w:pStyle w:val="64"/>
        <w:pageBreakBefore w:val="0"/>
        <w:wordWrap/>
        <w:bidi w:val="0"/>
        <w:spacing w:line="360" w:lineRule="auto"/>
        <w:ind w:left="0" w:firstLine="560" w:firstLineChars="200"/>
        <w:jc w:val="left"/>
        <w:rPr>
          <w:rFonts w:hint="default" w:ascii="Times New Roman" w:hAnsi="Times New Roman" w:eastAsia="宋体" w:cs="Times New Roman"/>
          <w:color w:val="000000" w:themeColor="text1"/>
          <w:sz w:val="28"/>
          <w:szCs w:val="21"/>
          <w:highlight w:val="none"/>
          <w14:textFill>
            <w14:solidFill>
              <w14:schemeClr w14:val="tx1"/>
            </w14:solidFill>
          </w14:textFill>
        </w:rPr>
      </w:pPr>
      <w:r>
        <w:rPr>
          <w:rFonts w:hint="eastAsia" w:eastAsia="宋体" w:cs="Times New Roman"/>
          <w:color w:val="000000" w:themeColor="text1"/>
          <w:sz w:val="28"/>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《内蒙古自治区绿色矿山建设要求》（内国土资字〔2018〕191号）；</w:t>
      </w:r>
    </w:p>
    <w:p w14:paraId="0076402B">
      <w:pPr>
        <w:pStyle w:val="64"/>
        <w:keepNext w:val="0"/>
        <w:keepLines w:val="0"/>
        <w:pageBreakBefore w:val="0"/>
        <w:wordWrap/>
        <w:overflowPunct/>
        <w:topLinePunct w:val="0"/>
        <w:bidi w:val="0"/>
        <w:spacing w:line="360" w:lineRule="auto"/>
        <w:ind w:left="0" w:firstLine="560" w:firstLineChars="200"/>
        <w:jc w:val="left"/>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pPr>
      <w:r>
        <w:rPr>
          <w:rFonts w:hint="eastAsia" w:eastAsia="宋体" w:cs="Times New Roman"/>
          <w:color w:val="000000" w:themeColor="text1"/>
          <w:sz w:val="28"/>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《内蒙古自治区人民政府办公厅关于自治区矿山环境治理实施方案的通知》（内政办字〔2020〕56号）</w:t>
      </w:r>
    </w:p>
    <w:p w14:paraId="42B6D5F9">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eastAsia="宋体" w:cs="Times New Roman"/>
          <w:color w:val="000000" w:themeColor="text1"/>
          <w:sz w:val="28"/>
          <w:szCs w:val="2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《内蒙古自治区人民政府办公厅关于持续推进绿色矿山建设的通知》（内政办发〔2025〕24号。</w:t>
      </w:r>
    </w:p>
    <w:bookmarkEnd w:id="9"/>
    <w:p w14:paraId="0BF0EFA0">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4</w:t>
      </w:r>
      <w:r>
        <w:rPr>
          <w:rFonts w:hint="default" w:ascii="Times New Roman" w:hAnsi="Times New Roman" w:cs="Times New Roman"/>
          <w:color w:val="000000" w:themeColor="text1"/>
          <w:sz w:val="28"/>
          <w:szCs w:val="28"/>
          <w14:textFill>
            <w14:solidFill>
              <w14:schemeClr w14:val="tx1"/>
            </w14:solidFill>
          </w14:textFill>
        </w:rPr>
        <w:t>、规范及规程</w:t>
      </w:r>
    </w:p>
    <w:p w14:paraId="4C85EDCD">
      <w:pPr>
        <w:pStyle w:val="64"/>
        <w:keepNext w:val="0"/>
        <w:keepLines w:val="0"/>
        <w:pageBreakBefore w:val="0"/>
        <w:wordWrap/>
        <w:overflowPunct/>
        <w:topLinePunct w:val="0"/>
        <w:bidi w:val="0"/>
        <w:spacing w:line="360" w:lineRule="auto"/>
        <w:ind w:left="0" w:firstLine="560" w:firstLineChars="200"/>
        <w:jc w:val="left"/>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pPr>
      <w:bookmarkStart w:id="10" w:name="_Hlt314558713"/>
      <w:bookmarkEnd w:id="10"/>
      <w:r>
        <w:rPr>
          <w:rFonts w:hint="eastAsia" w:eastAsia="宋体" w:cs="Times New Roman"/>
          <w:b w:val="0"/>
          <w:bCs w:val="0"/>
          <w:color w:val="000000" w:themeColor="text1"/>
          <w:sz w:val="28"/>
          <w:szCs w:val="21"/>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t>《矿区生态修复方案编制指南》（临时）；</w:t>
      </w:r>
    </w:p>
    <w:p w14:paraId="0D1CB078">
      <w:pPr>
        <w:pStyle w:val="64"/>
        <w:keepNext w:val="0"/>
        <w:keepLines w:val="0"/>
        <w:pageBreakBefore w:val="0"/>
        <w:wordWrap/>
        <w:overflowPunct/>
        <w:topLinePunct w:val="0"/>
        <w:bidi w:val="0"/>
        <w:spacing w:line="360" w:lineRule="auto"/>
        <w:ind w:left="0" w:firstLine="560" w:firstLineChars="200"/>
        <w:jc w:val="left"/>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pPr>
      <w:r>
        <w:rPr>
          <w:rFonts w:hint="eastAsia" w:eastAsia="宋体" w:cs="Times New Roman"/>
          <w:b w:val="0"/>
          <w:bCs w:val="0"/>
          <w:color w:val="000000" w:themeColor="text1"/>
          <w:sz w:val="28"/>
          <w:szCs w:val="21"/>
          <w:highlight w:val="none"/>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pacing w:val="0"/>
          <w:w w:val="100"/>
          <w:position w:val="0"/>
          <w:sz w:val="28"/>
          <w:szCs w:val="28"/>
          <w:highlight w:val="none"/>
          <w14:textFill>
            <w14:solidFill>
              <w14:schemeClr w14:val="tx1"/>
            </w14:solidFill>
          </w14:textFill>
        </w:rPr>
        <w:t>《</w:t>
      </w:r>
      <w:r>
        <w:rPr>
          <w:rFonts w:hint="default" w:ascii="Times New Roman" w:hAnsi="Times New Roman" w:eastAsia="宋体" w:cs="Times New Roman"/>
          <w:b w:val="0"/>
          <w:bCs w:val="0"/>
          <w:color w:val="000000" w:themeColor="text1"/>
          <w:spacing w:val="0"/>
          <w:w w:val="100"/>
          <w:position w:val="0"/>
          <w:sz w:val="28"/>
          <w:szCs w:val="28"/>
          <w:highlight w:val="none"/>
          <w:lang w:val="en-US" w:eastAsia="zh-CN"/>
          <w14:textFill>
            <w14:solidFill>
              <w14:schemeClr w14:val="tx1"/>
            </w14:solidFill>
          </w14:textFill>
        </w:rPr>
        <w:t>矿山土地复垦与生态修复监测评价技术</w:t>
      </w:r>
      <w:r>
        <w:rPr>
          <w:rFonts w:hint="default" w:ascii="Times New Roman" w:hAnsi="Times New Roman" w:eastAsia="宋体" w:cs="Times New Roman"/>
          <w:b w:val="0"/>
          <w:bCs w:val="0"/>
          <w:color w:val="000000" w:themeColor="text1"/>
          <w:spacing w:val="0"/>
          <w:w w:val="100"/>
          <w:position w:val="0"/>
          <w:sz w:val="28"/>
          <w:szCs w:val="28"/>
          <w:highlight w:val="none"/>
          <w14:textFill>
            <w14:solidFill>
              <w14:schemeClr w14:val="tx1"/>
            </w14:solidFill>
          </w14:textFill>
        </w:rPr>
        <w:t>规范》</w:t>
      </w:r>
      <w:r>
        <w:rPr>
          <w:rFonts w:hint="default" w:ascii="Times New Roman" w:hAnsi="Times New Roman" w:eastAsia="宋体" w:cs="Times New Roman"/>
          <w:b w:val="0"/>
          <w:bCs w:val="0"/>
          <w:color w:val="000000" w:themeColor="text1"/>
          <w:spacing w:val="0"/>
          <w:w w:val="100"/>
          <w:position w:val="0"/>
          <w:sz w:val="28"/>
          <w:szCs w:val="28"/>
          <w:highlight w:val="none"/>
          <w:lang w:val="en-US" w:eastAsia="zh-CN"/>
          <w14:textFill>
            <w14:solidFill>
              <w14:schemeClr w14:val="tx1"/>
            </w14:solidFill>
          </w14:textFill>
        </w:rPr>
        <w:t>（GB</w:t>
      </w:r>
      <w:r>
        <w:rPr>
          <w:rFonts w:hint="default" w:ascii="Times New Roman" w:hAnsi="Times New Roman" w:eastAsia="宋体" w:cs="Times New Roman"/>
          <w:b w:val="0"/>
          <w:bCs w:val="0"/>
          <w:color w:val="000000" w:themeColor="text1"/>
          <w:spacing w:val="0"/>
          <w:w w:val="100"/>
          <w:position w:val="0"/>
          <w:sz w:val="28"/>
          <w:szCs w:val="28"/>
          <w:highlight w:val="none"/>
          <w14:textFill>
            <w14:solidFill>
              <w14:schemeClr w14:val="tx1"/>
            </w14:solidFill>
          </w14:textFill>
        </w:rPr>
        <w:t>/T</w:t>
      </w:r>
      <w:r>
        <w:rPr>
          <w:rFonts w:hint="default" w:ascii="Times New Roman" w:hAnsi="Times New Roman" w:eastAsia="宋体" w:cs="Times New Roman"/>
          <w:b w:val="0"/>
          <w:bCs w:val="0"/>
          <w:color w:val="000000" w:themeColor="text1"/>
          <w:spacing w:val="0"/>
          <w:w w:val="100"/>
          <w:position w:val="0"/>
          <w:sz w:val="28"/>
          <w:szCs w:val="28"/>
          <w:highlight w:val="none"/>
          <w:lang w:val="en-US" w:eastAsia="zh-CN"/>
          <w14:textFill>
            <w14:solidFill>
              <w14:schemeClr w14:val="tx1"/>
            </w14:solidFill>
          </w14:textFill>
        </w:rPr>
        <w:t>43935-</w:t>
      </w:r>
      <w:r>
        <w:rPr>
          <w:rFonts w:hint="default" w:ascii="Times New Roman" w:hAnsi="Times New Roman" w:eastAsia="宋体" w:cs="Times New Roman"/>
          <w:b w:val="0"/>
          <w:bCs w:val="0"/>
          <w:color w:val="000000" w:themeColor="text1"/>
          <w:spacing w:val="0"/>
          <w:w w:val="100"/>
          <w:position w:val="0"/>
          <w:sz w:val="28"/>
          <w:szCs w:val="28"/>
          <w:highlight w:val="none"/>
          <w14:textFill>
            <w14:solidFill>
              <w14:schemeClr w14:val="tx1"/>
            </w14:solidFill>
          </w14:textFill>
        </w:rPr>
        <w:t>20</w:t>
      </w:r>
      <w:r>
        <w:rPr>
          <w:rFonts w:hint="default" w:ascii="Times New Roman" w:hAnsi="Times New Roman" w:eastAsia="宋体" w:cs="Times New Roman"/>
          <w:b w:val="0"/>
          <w:bCs w:val="0"/>
          <w:color w:val="000000" w:themeColor="text1"/>
          <w:spacing w:val="0"/>
          <w:w w:val="100"/>
          <w:position w:val="0"/>
          <w:sz w:val="28"/>
          <w:szCs w:val="28"/>
          <w:highlight w:val="none"/>
          <w:lang w:val="en-US" w:eastAsia="zh-CN"/>
          <w14:textFill>
            <w14:solidFill>
              <w14:schemeClr w14:val="tx1"/>
            </w14:solidFill>
          </w14:textFill>
        </w:rPr>
        <w:t>24）</w:t>
      </w:r>
      <w:r>
        <w:rPr>
          <w:rFonts w:hint="eastAsia" w:ascii="Times New Roman" w:hAnsi="Times New Roman" w:eastAsia="宋体" w:cs="Times New Roman"/>
          <w:b w:val="0"/>
          <w:bCs w:val="0"/>
          <w:color w:val="000000" w:themeColor="text1"/>
          <w:spacing w:val="0"/>
          <w:w w:val="100"/>
          <w:position w:val="0"/>
          <w:sz w:val="28"/>
          <w:szCs w:val="28"/>
          <w:highlight w:val="none"/>
          <w:lang w:val="en-US" w:eastAsia="zh-CN"/>
          <w14:textFill>
            <w14:solidFill>
              <w14:schemeClr w14:val="tx1"/>
            </w14:solidFill>
          </w14:textFill>
        </w:rPr>
        <w:t>；</w:t>
      </w:r>
    </w:p>
    <w:p w14:paraId="0A99D74A">
      <w:pPr>
        <w:pStyle w:val="64"/>
        <w:keepNext w:val="0"/>
        <w:keepLines w:val="0"/>
        <w:pageBreakBefore w:val="0"/>
        <w:wordWrap/>
        <w:overflowPunct/>
        <w:topLinePunct w:val="0"/>
        <w:bidi w:val="0"/>
        <w:spacing w:line="360" w:lineRule="auto"/>
        <w:ind w:left="0" w:firstLine="560" w:firstLineChars="200"/>
        <w:jc w:val="left"/>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pPr>
      <w:r>
        <w:rPr>
          <w:rFonts w:hint="eastAsia" w:eastAsia="宋体" w:cs="Times New Roman"/>
          <w:b w:val="0"/>
          <w:bCs w:val="0"/>
          <w:color w:val="000000" w:themeColor="text1"/>
          <w:sz w:val="28"/>
          <w:szCs w:val="21"/>
          <w:highlight w:val="none"/>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t>《矿山地质环境保护与恢复治理方案编制规范》（DZ/T0223-2011）；</w:t>
      </w:r>
    </w:p>
    <w:p w14:paraId="7A32726A">
      <w:pPr>
        <w:pStyle w:val="64"/>
        <w:keepNext w:val="0"/>
        <w:keepLines w:val="0"/>
        <w:pageBreakBefore w:val="0"/>
        <w:wordWrap/>
        <w:overflowPunct/>
        <w:topLinePunct w:val="0"/>
        <w:bidi w:val="0"/>
        <w:spacing w:line="360" w:lineRule="auto"/>
        <w:ind w:left="0" w:firstLine="560" w:firstLineChars="200"/>
        <w:jc w:val="left"/>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pPr>
      <w:r>
        <w:rPr>
          <w:rFonts w:hint="eastAsia" w:eastAsia="宋体" w:cs="Times New Roman"/>
          <w:b w:val="0"/>
          <w:bCs w:val="0"/>
          <w:color w:val="000000" w:themeColor="text1"/>
          <w:sz w:val="28"/>
          <w:szCs w:val="21"/>
          <w:highlight w:val="none"/>
          <w:lang w:val="en-US" w:eastAsia="zh-CN"/>
          <w14:textFill>
            <w14:solidFill>
              <w14:schemeClr w14:val="tx1"/>
            </w14:solidFill>
          </w14:textFill>
        </w:rPr>
        <w:t>（4）</w:t>
      </w:r>
      <w:r>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t>《土地利用现状分类》（GB/T21010-2017）；</w:t>
      </w:r>
    </w:p>
    <w:p w14:paraId="23D8B5D5">
      <w:pPr>
        <w:pStyle w:val="64"/>
        <w:keepNext w:val="0"/>
        <w:keepLines w:val="0"/>
        <w:pageBreakBefore w:val="0"/>
        <w:wordWrap/>
        <w:overflowPunct/>
        <w:topLinePunct w:val="0"/>
        <w:bidi w:val="0"/>
        <w:spacing w:line="360" w:lineRule="auto"/>
        <w:ind w:left="0" w:firstLine="560" w:firstLineChars="200"/>
        <w:jc w:val="left"/>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pPr>
      <w:r>
        <w:rPr>
          <w:rFonts w:hint="eastAsia" w:eastAsia="宋体" w:cs="Times New Roman"/>
          <w:b w:val="0"/>
          <w:bCs w:val="0"/>
          <w:color w:val="000000" w:themeColor="text1"/>
          <w:sz w:val="28"/>
          <w:szCs w:val="21"/>
          <w:highlight w:val="none"/>
          <w:lang w:val="en-US" w:eastAsia="zh-CN"/>
          <w14:textFill>
            <w14:solidFill>
              <w14:schemeClr w14:val="tx1"/>
            </w14:solidFill>
          </w14:textFill>
        </w:rPr>
        <w:t>（5）</w:t>
      </w:r>
      <w:r>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t>《土地复垦方案编制规程》（TD/T1031-2019）；</w:t>
      </w:r>
    </w:p>
    <w:p w14:paraId="043F60FF">
      <w:pPr>
        <w:pStyle w:val="64"/>
        <w:keepNext w:val="0"/>
        <w:keepLines w:val="0"/>
        <w:pageBreakBefore w:val="0"/>
        <w:wordWrap/>
        <w:overflowPunct/>
        <w:topLinePunct w:val="0"/>
        <w:bidi w:val="0"/>
        <w:spacing w:line="360" w:lineRule="auto"/>
        <w:ind w:left="0" w:firstLine="560" w:firstLineChars="200"/>
        <w:jc w:val="left"/>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pPr>
      <w:r>
        <w:rPr>
          <w:rFonts w:hint="eastAsia" w:eastAsia="宋体" w:cs="Times New Roman"/>
          <w:b w:val="0"/>
          <w:bCs w:val="0"/>
          <w:color w:val="000000" w:themeColor="text1"/>
          <w:sz w:val="28"/>
          <w:szCs w:val="21"/>
          <w:highlight w:val="none"/>
          <w:lang w:val="en-US" w:eastAsia="zh-CN"/>
          <w14:textFill>
            <w14:solidFill>
              <w14:schemeClr w14:val="tx1"/>
            </w14:solidFill>
          </w14:textFill>
        </w:rPr>
        <w:t>（6）</w:t>
      </w:r>
      <w:r>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t>《土地复垦方案编制规程 第1部分：通则》（TD/T1031.1-2011）；</w:t>
      </w:r>
    </w:p>
    <w:p w14:paraId="4CE235AB">
      <w:pPr>
        <w:pStyle w:val="64"/>
        <w:keepNext w:val="0"/>
        <w:keepLines w:val="0"/>
        <w:pageBreakBefore w:val="0"/>
        <w:wordWrap/>
        <w:overflowPunct/>
        <w:topLinePunct w:val="0"/>
        <w:bidi w:val="0"/>
        <w:spacing w:line="360" w:lineRule="auto"/>
        <w:ind w:left="0" w:firstLine="560" w:firstLineChars="200"/>
        <w:jc w:val="left"/>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pPr>
      <w:r>
        <w:rPr>
          <w:rFonts w:hint="eastAsia" w:eastAsia="宋体" w:cs="Times New Roman"/>
          <w:b w:val="0"/>
          <w:bCs w:val="0"/>
          <w:color w:val="000000" w:themeColor="text1"/>
          <w:sz w:val="28"/>
          <w:szCs w:val="21"/>
          <w:highlight w:val="none"/>
          <w:lang w:val="en-US" w:eastAsia="zh-CN"/>
          <w14:textFill>
            <w14:solidFill>
              <w14:schemeClr w14:val="tx1"/>
            </w14:solidFill>
          </w14:textFill>
        </w:rPr>
        <w:t>（7）</w:t>
      </w:r>
      <w:r>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t>《土地复垦质量控制标准》（TD/T1036-2013）；</w:t>
      </w:r>
    </w:p>
    <w:p w14:paraId="4C74D6B7">
      <w:pPr>
        <w:pStyle w:val="64"/>
        <w:keepNext w:val="0"/>
        <w:keepLines w:val="0"/>
        <w:pageBreakBefore w:val="0"/>
        <w:wordWrap/>
        <w:overflowPunct/>
        <w:topLinePunct w:val="0"/>
        <w:bidi w:val="0"/>
        <w:spacing w:line="360" w:lineRule="auto"/>
        <w:ind w:left="0" w:firstLine="560" w:firstLineChars="200"/>
        <w:jc w:val="left"/>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pPr>
      <w:r>
        <w:rPr>
          <w:rFonts w:hint="eastAsia" w:eastAsia="宋体" w:cs="Times New Roman"/>
          <w:b w:val="0"/>
          <w:bCs w:val="0"/>
          <w:color w:val="000000" w:themeColor="text1"/>
          <w:sz w:val="28"/>
          <w:szCs w:val="21"/>
          <w:highlight w:val="none"/>
          <w:lang w:val="en-US" w:eastAsia="zh-CN"/>
          <w14:textFill>
            <w14:solidFill>
              <w14:schemeClr w14:val="tx1"/>
            </w14:solidFill>
          </w14:textFill>
        </w:rPr>
        <w:t>（8）</w:t>
      </w:r>
      <w:r>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t>《内蒙古自治区矿山地质环境治理工程预算定额标准</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t>试行</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t>内蒙古自治区财政厅</w:t>
      </w:r>
      <w:r>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t>与国土资源厅，2013年）；</w:t>
      </w:r>
    </w:p>
    <w:p w14:paraId="638FA68D">
      <w:pPr>
        <w:pStyle w:val="64"/>
        <w:keepNext w:val="0"/>
        <w:keepLines w:val="0"/>
        <w:pageBreakBefore w:val="0"/>
        <w:wordWrap/>
        <w:overflowPunct/>
        <w:topLinePunct w:val="0"/>
        <w:bidi w:val="0"/>
        <w:spacing w:line="360" w:lineRule="auto"/>
        <w:ind w:left="0" w:firstLine="560" w:firstLineChars="200"/>
        <w:jc w:val="left"/>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pPr>
      <w:r>
        <w:rPr>
          <w:rFonts w:hint="eastAsia" w:eastAsia="宋体" w:cs="Times New Roman"/>
          <w:b w:val="0"/>
          <w:bCs w:val="0"/>
          <w:color w:val="000000" w:themeColor="text1"/>
          <w:sz w:val="28"/>
          <w:szCs w:val="21"/>
          <w:highlight w:val="none"/>
          <w:lang w:val="en-US" w:eastAsia="zh-CN"/>
          <w14:textFill>
            <w14:solidFill>
              <w14:schemeClr w14:val="tx1"/>
            </w14:solidFill>
          </w14:textFill>
        </w:rPr>
        <w:t>（9）</w:t>
      </w:r>
      <w:r>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t>《生产项目土地复垦验收规程》（TD/T1044-2014）；</w:t>
      </w:r>
    </w:p>
    <w:p w14:paraId="590DF0D8">
      <w:pPr>
        <w:pStyle w:val="64"/>
        <w:keepNext w:val="0"/>
        <w:keepLines w:val="0"/>
        <w:pageBreakBefore w:val="0"/>
        <w:wordWrap/>
        <w:overflowPunct/>
        <w:topLinePunct w:val="0"/>
        <w:bidi w:val="0"/>
        <w:spacing w:line="360" w:lineRule="auto"/>
        <w:ind w:left="0" w:firstLine="560" w:firstLineChars="200"/>
        <w:jc w:val="left"/>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pPr>
      <w:r>
        <w:rPr>
          <w:rFonts w:hint="eastAsia" w:eastAsia="宋体" w:cs="Times New Roman"/>
          <w:b w:val="0"/>
          <w:bCs w:val="0"/>
          <w:color w:val="000000" w:themeColor="text1"/>
          <w:sz w:val="28"/>
          <w:szCs w:val="21"/>
          <w:highlight w:val="none"/>
          <w:lang w:val="en-US" w:eastAsia="zh-CN"/>
          <w14:textFill>
            <w14:solidFill>
              <w14:schemeClr w14:val="tx1"/>
            </w14:solidFill>
          </w14:textFill>
        </w:rPr>
        <w:t>（10）</w:t>
      </w:r>
      <w:r>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t>《环境影响评价技术导则土壤环境（试行）》（HJ964-2018）；</w:t>
      </w:r>
    </w:p>
    <w:p w14:paraId="58BD2A9A">
      <w:pPr>
        <w:pStyle w:val="64"/>
        <w:keepNext w:val="0"/>
        <w:keepLines w:val="0"/>
        <w:pageBreakBefore w:val="0"/>
        <w:wordWrap/>
        <w:overflowPunct/>
        <w:topLinePunct w:val="0"/>
        <w:bidi w:val="0"/>
        <w:spacing w:line="360" w:lineRule="auto"/>
        <w:ind w:left="0" w:firstLine="560" w:firstLineChars="200"/>
        <w:jc w:val="left"/>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pPr>
      <w:bookmarkStart w:id="11" w:name="_Toc8964"/>
      <w:bookmarkStart w:id="12" w:name="_Toc26251"/>
      <w:r>
        <w:rPr>
          <w:rFonts w:hint="eastAsia" w:eastAsia="宋体" w:cs="Times New Roman"/>
          <w:b w:val="0"/>
          <w:bCs w:val="0"/>
          <w:color w:val="000000" w:themeColor="text1"/>
          <w:sz w:val="28"/>
          <w:szCs w:val="21"/>
          <w:highlight w:val="none"/>
          <w:lang w:val="en-US" w:eastAsia="zh-CN"/>
          <w14:textFill>
            <w14:solidFill>
              <w14:schemeClr w14:val="tx1"/>
            </w14:solidFill>
          </w14:textFill>
        </w:rPr>
        <w:t>（11）</w:t>
      </w:r>
      <w:r>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t>《矿区水文地质工程地质勘查规范》（GB/T12719-2021）；</w:t>
      </w:r>
    </w:p>
    <w:bookmarkEnd w:id="11"/>
    <w:bookmarkEnd w:id="12"/>
    <w:p w14:paraId="4AE04404">
      <w:pPr>
        <w:pStyle w:val="64"/>
        <w:keepNext w:val="0"/>
        <w:keepLines w:val="0"/>
        <w:pageBreakBefore w:val="0"/>
        <w:wordWrap/>
        <w:overflowPunct/>
        <w:topLinePunct w:val="0"/>
        <w:bidi w:val="0"/>
        <w:spacing w:line="360" w:lineRule="auto"/>
        <w:ind w:left="0" w:firstLine="560" w:firstLineChars="200"/>
        <w:jc w:val="left"/>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pPr>
      <w:r>
        <w:rPr>
          <w:rFonts w:hint="eastAsia" w:eastAsia="宋体" w:cs="Times New Roman"/>
          <w:b w:val="0"/>
          <w:bCs w:val="0"/>
          <w:color w:val="000000" w:themeColor="text1"/>
          <w:sz w:val="28"/>
          <w:szCs w:val="21"/>
          <w:highlight w:val="none"/>
          <w:lang w:val="en-US" w:eastAsia="zh-CN"/>
          <w14:textFill>
            <w14:solidFill>
              <w14:schemeClr w14:val="tx1"/>
            </w14:solidFill>
          </w14:textFill>
        </w:rPr>
        <w:t>（12）</w:t>
      </w:r>
      <w:r>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t>《地质灾害危险性评估规范》（GB/T40112-2021）；</w:t>
      </w:r>
    </w:p>
    <w:p w14:paraId="68E19E49">
      <w:pPr>
        <w:pStyle w:val="64"/>
        <w:keepNext w:val="0"/>
        <w:keepLines w:val="0"/>
        <w:pageBreakBefore w:val="0"/>
        <w:wordWrap/>
        <w:overflowPunct/>
        <w:topLinePunct w:val="0"/>
        <w:bidi w:val="0"/>
        <w:spacing w:line="360" w:lineRule="auto"/>
        <w:ind w:left="0" w:firstLine="560" w:firstLineChars="200"/>
        <w:jc w:val="left"/>
        <w:rPr>
          <w:rFonts w:hint="default" w:ascii="Times New Roman" w:hAnsi="Times New Roman" w:eastAsia="宋体" w:cs="Times New Roman"/>
          <w:b w:val="0"/>
          <w:bCs w:val="0"/>
          <w:color w:val="000000" w:themeColor="text1"/>
          <w:sz w:val="28"/>
          <w:szCs w:val="21"/>
          <w:highlight w:val="yellow"/>
          <w:lang w:val="en-US" w:eastAsia="zh-CN"/>
          <w14:textFill>
            <w14:solidFill>
              <w14:schemeClr w14:val="tx1"/>
            </w14:solidFill>
          </w14:textFill>
        </w:rPr>
      </w:pPr>
      <w:r>
        <w:rPr>
          <w:rFonts w:hint="eastAsia" w:eastAsia="宋体" w:cs="Times New Roman"/>
          <w:b w:val="0"/>
          <w:bCs w:val="0"/>
          <w:color w:val="000000" w:themeColor="text1"/>
          <w:sz w:val="28"/>
          <w:szCs w:val="21"/>
          <w:highlight w:val="none"/>
          <w:lang w:val="en-US" w:eastAsia="zh-CN"/>
          <w14:textFill>
            <w14:solidFill>
              <w14:schemeClr w14:val="tx1"/>
            </w14:solidFill>
          </w14:textFill>
        </w:rPr>
        <w:t>（13）</w:t>
      </w:r>
      <w:r>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t>《滑坡崩塌泥石流灾害调查规范（1</w:t>
      </w:r>
      <w:r>
        <w:rPr>
          <w:rFonts w:hint="eastAsia" w:eastAsia="宋体" w:cs="Times New Roman"/>
          <w:b w:val="0"/>
          <w:bCs w:val="0"/>
          <w:color w:val="000000" w:themeColor="text1"/>
          <w:sz w:val="28"/>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t>50000）》（DZ/T0261-2014）；</w:t>
      </w:r>
    </w:p>
    <w:p w14:paraId="6F83D88B">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eastAsia="宋体" w:cs="Times New Roman"/>
          <w:b w:val="0"/>
          <w:bCs w:val="0"/>
          <w:color w:val="000000" w:themeColor="text1"/>
          <w:sz w:val="28"/>
          <w:szCs w:val="21"/>
          <w:highlight w:val="none"/>
          <w:lang w:val="en-US" w:eastAsia="zh-CN"/>
          <w14:textFill>
            <w14:solidFill>
              <w14:schemeClr w14:val="tx1"/>
            </w14:solidFill>
          </w14:textFill>
        </w:rPr>
        <w:t>（1</w:t>
      </w:r>
      <w:r>
        <w:rPr>
          <w:rFonts w:hint="eastAsia" w:cs="Times New Roman"/>
          <w:b w:val="0"/>
          <w:bCs w:val="0"/>
          <w:color w:val="000000" w:themeColor="text1"/>
          <w:sz w:val="28"/>
          <w:szCs w:val="21"/>
          <w:highlight w:val="none"/>
          <w:lang w:val="en-US" w:eastAsia="zh-CN"/>
          <w14:textFill>
            <w14:solidFill>
              <w14:schemeClr w14:val="tx1"/>
            </w14:solidFill>
          </w14:textFill>
        </w:rPr>
        <w:t>4</w:t>
      </w:r>
      <w:r>
        <w:rPr>
          <w:rFonts w:hint="eastAsia" w:eastAsia="宋体" w:cs="Times New Roman"/>
          <w:b w:val="0"/>
          <w:bCs w:val="0"/>
          <w:color w:val="000000" w:themeColor="text1"/>
          <w:sz w:val="28"/>
          <w:szCs w:val="2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t>《崩塌、滑坡、泥石流监测规范》（DZ/T0221-2021）</w:t>
      </w:r>
      <w:r>
        <w:rPr>
          <w:rFonts w:hint="default" w:ascii="Times New Roman" w:hAnsi="Times New Roman" w:eastAsia="宋体" w:cs="Times New Roman"/>
          <w:b w:val="0"/>
          <w:bCs w:val="0"/>
          <w:color w:val="000000" w:themeColor="text1"/>
          <w:spacing w:val="0"/>
          <w:w w:val="100"/>
          <w:position w:val="0"/>
          <w:sz w:val="28"/>
          <w:szCs w:val="28"/>
          <w:highlight w:val="none"/>
          <w:lang w:val="en-US" w:eastAsia="zh-CN"/>
          <w14:textFill>
            <w14:solidFill>
              <w14:schemeClr w14:val="tx1"/>
            </w14:solidFill>
          </w14:textFill>
        </w:rPr>
        <w:t>。</w:t>
      </w:r>
    </w:p>
    <w:bookmarkEnd w:id="8"/>
    <w:p w14:paraId="5445E3B4">
      <w:pPr>
        <w:pStyle w:val="12"/>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eastAsia" w:eastAsia="宋体" w:cs="Times New Roman"/>
          <w:color w:val="000000" w:themeColor="text1"/>
          <w:sz w:val="28"/>
          <w:szCs w:val="28"/>
          <w:lang w:val="en-US" w:eastAsia="zh-CN"/>
          <w14:textFill>
            <w14:solidFill>
              <w14:schemeClr w14:val="tx1"/>
            </w14:solidFill>
          </w14:textFill>
        </w:rPr>
        <w:t>5</w:t>
      </w:r>
      <w:r>
        <w:rPr>
          <w:rFonts w:hint="default" w:ascii="Times New Roman" w:hAnsi="Times New Roman" w:eastAsia="宋体" w:cs="Times New Roman"/>
          <w:color w:val="000000" w:themeColor="text1"/>
          <w:sz w:val="28"/>
          <w:szCs w:val="28"/>
          <w14:textFill>
            <w14:solidFill>
              <w14:schemeClr w14:val="tx1"/>
            </w14:solidFill>
          </w14:textFill>
        </w:rPr>
        <w:t>、</w:t>
      </w:r>
      <w:r>
        <w:rPr>
          <w:rFonts w:hint="eastAsia" w:eastAsia="宋体" w:cs="Times New Roman"/>
          <w:color w:val="000000" w:themeColor="text1"/>
          <w:sz w:val="28"/>
          <w:szCs w:val="28"/>
          <w:lang w:val="en-US" w:eastAsia="zh-CN"/>
          <w14:textFill>
            <w14:solidFill>
              <w14:schemeClr w14:val="tx1"/>
            </w14:solidFill>
          </w14:textFill>
        </w:rPr>
        <w:t>相关</w:t>
      </w:r>
      <w:r>
        <w:rPr>
          <w:rFonts w:hint="default" w:ascii="Times New Roman" w:hAnsi="Times New Roman" w:eastAsia="宋体" w:cs="Times New Roman"/>
          <w:color w:val="000000" w:themeColor="text1"/>
          <w:sz w:val="28"/>
          <w:szCs w:val="28"/>
          <w14:textFill>
            <w14:solidFill>
              <w14:schemeClr w14:val="tx1"/>
            </w14:solidFill>
          </w14:textFill>
        </w:rPr>
        <w:t>资料</w:t>
      </w:r>
    </w:p>
    <w:p w14:paraId="06027550">
      <w:pPr>
        <w:pStyle w:val="64"/>
        <w:spacing w:line="360" w:lineRule="auto"/>
        <w:ind w:firstLine="548"/>
        <w:jc w:val="left"/>
        <w:rPr>
          <w:rFonts w:hint="default" w:ascii="Times New Roman" w:hAnsi="Times New Roman" w:eastAsia="宋体" w:cs="Times New Roman"/>
          <w:color w:val="000000" w:themeColor="text1"/>
          <w:spacing w:val="-3"/>
          <w:sz w:val="28"/>
          <w:szCs w:val="28"/>
          <w:lang w:val="en-US"/>
          <w14:textFill>
            <w14:solidFill>
              <w14:schemeClr w14:val="tx1"/>
            </w14:solidFill>
          </w14:textFill>
        </w:rPr>
      </w:pPr>
      <w:r>
        <w:rPr>
          <w:rFonts w:hint="eastAsia" w:eastAsia="宋体" w:cs="Times New Roman"/>
          <w:color w:val="000000" w:themeColor="text1"/>
          <w:spacing w:val="-3"/>
          <w:sz w:val="28"/>
          <w:szCs w:val="28"/>
          <w:lang w:val="en-US" w:eastAsia="zh-CN"/>
          <w14:textFill>
            <w14:solidFill>
              <w14:schemeClr w14:val="tx1"/>
            </w14:solidFill>
          </w14:textFill>
        </w:rPr>
        <w:t>（1）</w:t>
      </w:r>
      <w:r>
        <w:rPr>
          <w:rFonts w:hint="default" w:ascii="Times New Roman" w:hAnsi="Times New Roman" w:eastAsia="宋体" w:cs="Times New Roman"/>
          <w:color w:val="000000" w:themeColor="text1"/>
          <w:sz w:val="28"/>
          <w:szCs w:val="28"/>
          <w14:textFill>
            <w14:solidFill>
              <w14:schemeClr w14:val="tx1"/>
            </w14:solidFill>
          </w14:textFill>
        </w:rPr>
        <w:t>20</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21</w:t>
      </w:r>
      <w:r>
        <w:rPr>
          <w:rFonts w:hint="default" w:ascii="Times New Roman" w:hAnsi="Times New Roman" w:eastAsia="宋体" w:cs="Times New Roman"/>
          <w:color w:val="000000" w:themeColor="text1"/>
          <w:sz w:val="28"/>
          <w:szCs w:val="28"/>
          <w14:textFill>
            <w14:solidFill>
              <w14:schemeClr w14:val="tx1"/>
            </w14:solidFill>
          </w14:textFill>
        </w:rPr>
        <w:t>年</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月，由</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赤峰带路矿业咨询有限公司联合江西核工业工程地质勘察院</w:t>
      </w:r>
      <w:r>
        <w:rPr>
          <w:rFonts w:hint="default" w:ascii="Times New Roman" w:hAnsi="Times New Roman" w:eastAsia="宋体" w:cs="Times New Roman"/>
          <w:color w:val="000000" w:themeColor="text1"/>
          <w:sz w:val="28"/>
          <w:szCs w:val="28"/>
          <w14:textFill>
            <w14:solidFill>
              <w14:schemeClr w14:val="tx1"/>
            </w14:solidFill>
          </w14:textFill>
        </w:rPr>
        <w:t>编制并提交了《内蒙古自治区赤峰市松山区德春砖厂粘土矿开发与治理综合方案》</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（以下简称</w:t>
      </w:r>
      <w:r>
        <w:rPr>
          <w:rFonts w:hint="eastAsia" w:eastAsia="宋体" w:cs="Times New Roman"/>
          <w:color w:val="000000" w:themeColor="text1"/>
          <w:spacing w:val="-3"/>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开发与治理综合方案</w:t>
      </w:r>
      <w:r>
        <w:rPr>
          <w:rFonts w:hint="eastAsia" w:eastAsia="宋体" w:cs="Times New Roman"/>
          <w:color w:val="000000" w:themeColor="text1"/>
          <w:spacing w:val="-3"/>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w:t>
      </w:r>
      <w:r>
        <w:rPr>
          <w:rFonts w:hint="default" w:ascii="Times New Roman" w:hAnsi="Times New Roman" w:eastAsia="宋体" w:cs="Times New Roman"/>
          <w:color w:val="000000" w:themeColor="text1"/>
          <w:spacing w:val="-3"/>
          <w:sz w:val="28"/>
          <w:szCs w:val="28"/>
          <w:lang w:val="en-US" w:eastAsia="zh-CN"/>
          <w14:textFill>
            <w14:solidFill>
              <w14:schemeClr w14:val="tx1"/>
            </w14:solidFill>
          </w14:textFill>
        </w:rPr>
        <w:t>赤自然资综合评字</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〔202</w:t>
      </w:r>
      <w:r>
        <w:rPr>
          <w:rFonts w:hint="eastAsia" w:eastAsia="宋体" w:cs="Times New Roman"/>
          <w:color w:val="000000" w:themeColor="text1"/>
          <w:sz w:val="28"/>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3"/>
          <w:sz w:val="28"/>
          <w:szCs w:val="28"/>
          <w:lang w:val="en-US" w:eastAsia="zh-CN"/>
          <w14:textFill>
            <w14:solidFill>
              <w14:schemeClr w14:val="tx1"/>
            </w14:solidFill>
          </w14:textFill>
        </w:rPr>
        <w:t>002号</w:t>
      </w:r>
      <w:r>
        <w:rPr>
          <w:rFonts w:hint="eastAsia" w:eastAsia="宋体" w:cs="Times New Roman"/>
          <w:color w:val="000000" w:themeColor="text1"/>
          <w:spacing w:val="-3"/>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w:t>
      </w:r>
    </w:p>
    <w:p w14:paraId="542179D2">
      <w:pP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pP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br w:type="page"/>
      </w:r>
    </w:p>
    <w:p w14:paraId="32EFF3D9">
      <w:pPr>
        <w:pStyle w:val="64"/>
        <w:spacing w:line="360" w:lineRule="auto"/>
        <w:ind w:firstLine="548"/>
        <w:jc w:val="left"/>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pP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（2）2026年1月，内蒙古兴程技术有限公司编制的《内蒙古自治区赤峰太安新型建筑材料有限公司太平地镇粘土矿资源储量2025年度变化表》</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（以下简称</w:t>
      </w:r>
      <w:r>
        <w:rPr>
          <w:rFonts w:hint="eastAsia" w:eastAsia="宋体" w:cs="Times New Roman"/>
          <w:color w:val="000000" w:themeColor="text1"/>
          <w:spacing w:val="-3"/>
          <w:sz w:val="28"/>
          <w:szCs w:val="28"/>
          <w:lang w:val="en-US" w:eastAsia="zh-CN"/>
          <w14:textFill>
            <w14:solidFill>
              <w14:schemeClr w14:val="tx1"/>
            </w14:solidFill>
          </w14:textFill>
        </w:rPr>
        <w:t>“</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2025</w:t>
      </w: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资源储量</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年度</w:t>
      </w: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变化表</w:t>
      </w:r>
      <w:r>
        <w:rPr>
          <w:rFonts w:hint="eastAsia" w:eastAsia="宋体" w:cs="Times New Roman"/>
          <w:color w:val="000000" w:themeColor="text1"/>
          <w:spacing w:val="-3"/>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w:t>
      </w: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w:t>
      </w:r>
    </w:p>
    <w:p w14:paraId="0987C515">
      <w:pPr>
        <w:pStyle w:val="64"/>
        <w:spacing w:line="360" w:lineRule="auto"/>
        <w:ind w:firstLine="548"/>
        <w:jc w:val="left"/>
        <w:rPr>
          <w:rFonts w:hint="default" w:ascii="Times New Roman" w:hAnsi="Times New Roman" w:eastAsia="宋体" w:cs="Times New Roman"/>
          <w:color w:val="000000" w:themeColor="text1"/>
          <w:spacing w:val="-3"/>
          <w:sz w:val="28"/>
          <w:szCs w:val="28"/>
          <w:lang w:val="en-US"/>
          <w14:textFill>
            <w14:solidFill>
              <w14:schemeClr w14:val="tx1"/>
            </w14:solidFill>
          </w14:textFill>
        </w:rPr>
      </w:pPr>
      <w:r>
        <w:rPr>
          <w:rFonts w:hint="eastAsia" w:eastAsia="宋体" w:cs="Times New Roman"/>
          <w:color w:val="000000" w:themeColor="text1"/>
          <w:spacing w:val="-3"/>
          <w:sz w:val="28"/>
          <w:szCs w:val="28"/>
          <w:lang w:val="en-US" w:eastAsia="zh-CN"/>
          <w14:textFill>
            <w14:solidFill>
              <w14:schemeClr w14:val="tx1"/>
            </w14:solidFill>
          </w14:textFill>
        </w:rPr>
        <w:t>（3）</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2023年</w:t>
      </w:r>
      <w:r>
        <w:rPr>
          <w:rFonts w:hint="eastAsia" w:eastAsia="宋体" w:cs="Times New Roman"/>
          <w:color w:val="000000" w:themeColor="text1"/>
          <w:spacing w:val="-3"/>
          <w:sz w:val="28"/>
          <w:szCs w:val="28"/>
          <w:lang w:val="en-US" w:eastAsia="zh-CN"/>
          <w14:textFill>
            <w14:solidFill>
              <w14:schemeClr w14:val="tx1"/>
            </w14:solidFill>
          </w14:textFill>
        </w:rPr>
        <w:t>4</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月</w:t>
      </w:r>
      <w:r>
        <w:rPr>
          <w:rFonts w:hint="eastAsia" w:eastAsia="宋体" w:cs="Times New Roman"/>
          <w:color w:val="000000" w:themeColor="text1"/>
          <w:spacing w:val="-3"/>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矿山自行编制的《赤峰市松山区德春砖厂粘土矿202</w:t>
      </w:r>
      <w:r>
        <w:rPr>
          <w:rFonts w:hint="default" w:ascii="Times New Roman" w:hAnsi="Times New Roman" w:eastAsia="宋体" w:cs="Times New Roman"/>
          <w:color w:val="000000" w:themeColor="text1"/>
          <w:spacing w:val="-3"/>
          <w:sz w:val="28"/>
          <w:szCs w:val="28"/>
          <w:lang w:val="en-US" w:eastAsia="zh-CN"/>
          <w14:textFill>
            <w14:solidFill>
              <w14:schemeClr w14:val="tx1"/>
            </w14:solidFill>
          </w14:textFill>
        </w:rPr>
        <w:t>3</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年度矿山地质环境治理计划书》；</w:t>
      </w:r>
    </w:p>
    <w:p w14:paraId="0CC6D1E4">
      <w:pPr>
        <w:pStyle w:val="64"/>
        <w:spacing w:line="360" w:lineRule="auto"/>
        <w:ind w:firstLine="548"/>
        <w:jc w:val="left"/>
        <w:rPr>
          <w:rFonts w:hint="default" w:ascii="Times New Roman" w:hAnsi="Times New Roman" w:eastAsia="宋体" w:cs="Times New Roman"/>
          <w:color w:val="000000" w:themeColor="text1"/>
          <w:spacing w:val="-3"/>
          <w:sz w:val="28"/>
          <w:szCs w:val="28"/>
          <w:lang w:val="en-US"/>
          <w14:textFill>
            <w14:solidFill>
              <w14:schemeClr w14:val="tx1"/>
            </w14:solidFill>
          </w14:textFill>
        </w:rPr>
      </w:pP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（4）</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202</w:t>
      </w: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4</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年</w:t>
      </w: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1</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月</w:t>
      </w: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矿山自行编制的《</w:t>
      </w:r>
      <w:r>
        <w:rPr>
          <w:rFonts w:hint="default" w:ascii="Times New Roman" w:hAnsi="Times New Roman" w:eastAsia="宋体" w:cs="Times New Roman"/>
          <w:color w:val="000000" w:themeColor="text1"/>
          <w:spacing w:val="-3"/>
          <w:sz w:val="28"/>
          <w:szCs w:val="28"/>
          <w:lang w:val="en-US" w:eastAsia="zh-CN"/>
          <w14:textFill>
            <w14:solidFill>
              <w14:schemeClr w14:val="tx1"/>
            </w14:solidFill>
          </w14:textFill>
        </w:rPr>
        <w:t>赤峰市松山区德春砖厂粘土矿2024年度矿山地质环境治理计划书</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w:t>
      </w:r>
    </w:p>
    <w:p w14:paraId="3687E31E">
      <w:pPr>
        <w:pStyle w:val="64"/>
        <w:spacing w:line="360" w:lineRule="auto"/>
        <w:ind w:firstLine="560"/>
        <w:jc w:val="left"/>
        <w:rPr>
          <w:rFonts w:hint="eastAsia" w:eastAsia="宋体" w:cs="Times New Roman"/>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w:t>
      </w:r>
      <w:r>
        <w:rPr>
          <w:rFonts w:hint="eastAsia" w:eastAsia="宋体" w:cs="Times New Roman"/>
          <w:color w:val="000000" w:themeColor="text1"/>
          <w:spacing w:val="-3"/>
          <w:sz w:val="28"/>
          <w:szCs w:val="28"/>
          <w:lang w:val="en-US" w:eastAsia="zh-CN"/>
          <w14:textFill>
            <w14:solidFill>
              <w14:schemeClr w14:val="tx1"/>
            </w14:solidFill>
          </w14:textFill>
        </w:rPr>
        <w:t>5</w:t>
      </w: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202</w:t>
      </w:r>
      <w:r>
        <w:rPr>
          <w:rFonts w:hint="eastAsia" w:eastAsia="宋体" w:cs="Times New Roman"/>
          <w:color w:val="000000" w:themeColor="text1"/>
          <w:spacing w:val="-3"/>
          <w:sz w:val="28"/>
          <w:szCs w:val="28"/>
          <w:lang w:val="en-US" w:eastAsia="zh-CN"/>
          <w14:textFill>
            <w14:solidFill>
              <w14:schemeClr w14:val="tx1"/>
            </w14:solidFill>
          </w14:textFill>
        </w:rPr>
        <w:t>5</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年</w:t>
      </w:r>
      <w:r>
        <w:rPr>
          <w:rFonts w:hint="eastAsia" w:eastAsia="宋体" w:cs="Times New Roman"/>
          <w:color w:val="000000" w:themeColor="text1"/>
          <w:spacing w:val="-3"/>
          <w:sz w:val="28"/>
          <w:szCs w:val="28"/>
          <w:lang w:val="en-US" w:eastAsia="zh-CN"/>
          <w14:textFill>
            <w14:solidFill>
              <w14:schemeClr w14:val="tx1"/>
            </w14:solidFill>
          </w14:textFill>
        </w:rPr>
        <w:t>2</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月</w:t>
      </w: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矿山自行编制的《</w:t>
      </w:r>
      <w:r>
        <w:rPr>
          <w:rFonts w:hint="default" w:ascii="Times New Roman" w:hAnsi="Times New Roman" w:eastAsia="宋体" w:cs="Times New Roman"/>
          <w:color w:val="000000" w:themeColor="text1"/>
          <w:spacing w:val="-3"/>
          <w:sz w:val="28"/>
          <w:szCs w:val="28"/>
          <w:lang w:val="en-US" w:eastAsia="zh-CN"/>
          <w14:textFill>
            <w14:solidFill>
              <w14:schemeClr w14:val="tx1"/>
            </w14:solidFill>
          </w14:textFill>
        </w:rPr>
        <w:t>赤峰市松山区德春砖厂粘土矿202</w:t>
      </w:r>
      <w:r>
        <w:rPr>
          <w:rFonts w:hint="eastAsia" w:eastAsia="宋体" w:cs="Times New Roman"/>
          <w:color w:val="000000" w:themeColor="text1"/>
          <w:spacing w:val="-3"/>
          <w:sz w:val="28"/>
          <w:szCs w:val="28"/>
          <w:lang w:val="en-US" w:eastAsia="zh-CN"/>
          <w14:textFill>
            <w14:solidFill>
              <w14:schemeClr w14:val="tx1"/>
            </w14:solidFill>
          </w14:textFill>
        </w:rPr>
        <w:t>5</w:t>
      </w:r>
      <w:r>
        <w:rPr>
          <w:rFonts w:hint="default" w:ascii="Times New Roman" w:hAnsi="Times New Roman" w:eastAsia="宋体" w:cs="Times New Roman"/>
          <w:color w:val="000000" w:themeColor="text1"/>
          <w:spacing w:val="-3"/>
          <w:sz w:val="28"/>
          <w:szCs w:val="28"/>
          <w:lang w:val="en-US" w:eastAsia="zh-CN"/>
          <w14:textFill>
            <w14:solidFill>
              <w14:schemeClr w14:val="tx1"/>
            </w14:solidFill>
          </w14:textFill>
        </w:rPr>
        <w:t>年度矿山地质环境治理计划书</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w:t>
      </w:r>
    </w:p>
    <w:p w14:paraId="43908325">
      <w:pPr>
        <w:pStyle w:val="64"/>
        <w:spacing w:line="360" w:lineRule="auto"/>
        <w:ind w:firstLine="560"/>
        <w:jc w:val="left"/>
        <w:rPr>
          <w:rFonts w:hint="default" w:ascii="Times New Roman" w:hAnsi="Times New Roman" w:eastAsia="宋体" w:cs="Times New Roman"/>
          <w:color w:val="000000" w:themeColor="text1"/>
          <w:spacing w:val="-3"/>
          <w:sz w:val="28"/>
          <w:szCs w:val="28"/>
          <w:lang w:val="en-US"/>
          <w14:textFill>
            <w14:solidFill>
              <w14:schemeClr w14:val="tx1"/>
            </w14:solidFill>
          </w14:textFill>
        </w:rPr>
      </w:pPr>
      <w:r>
        <w:rPr>
          <w:rFonts w:hint="eastAsia" w:eastAsia="宋体" w:cs="Times New Roman"/>
          <w:color w:val="000000" w:themeColor="text1"/>
          <w:sz w:val="28"/>
          <w:szCs w:val="28"/>
          <w:lang w:val="en-US" w:eastAsia="zh-CN"/>
          <w14:textFill>
            <w14:solidFill>
              <w14:schemeClr w14:val="tx1"/>
            </w14:solidFill>
          </w14:textFill>
        </w:rPr>
        <w:t>（6）</w:t>
      </w:r>
      <w:r>
        <w:rPr>
          <w:rFonts w:hint="default" w:ascii="Times New Roman" w:hAnsi="Times New Roman" w:eastAsia="宋体" w:cs="Times New Roman"/>
          <w:color w:val="000000" w:themeColor="text1"/>
          <w:sz w:val="28"/>
          <w:szCs w:val="28"/>
          <w14:textFill>
            <w14:solidFill>
              <w14:schemeClr w14:val="tx1"/>
            </w14:solidFill>
          </w14:textFill>
        </w:rPr>
        <w:t>全国第三次土地利用现状调查资料；</w:t>
      </w:r>
    </w:p>
    <w:p w14:paraId="64BF925D">
      <w:pPr>
        <w:pStyle w:val="64"/>
        <w:spacing w:line="360" w:lineRule="auto"/>
        <w:ind w:firstLine="560"/>
        <w:jc w:val="left"/>
        <w:rPr>
          <w:rFonts w:hint="default" w:ascii="Times New Roman" w:hAnsi="Times New Roman" w:eastAsia="宋体" w:cs="Times New Roman"/>
          <w:color w:val="000000" w:themeColor="text1"/>
          <w:sz w:val="28"/>
          <w:szCs w:val="28"/>
          <w:lang w:val="en-US"/>
          <w14:textFill>
            <w14:solidFill>
              <w14:schemeClr w14:val="tx1"/>
            </w14:solidFill>
          </w14:textFill>
        </w:rPr>
      </w:pPr>
      <w:r>
        <w:rPr>
          <w:rFonts w:hint="eastAsia" w:eastAsia="宋体" w:cs="Times New Roman"/>
          <w:color w:val="000000" w:themeColor="text1"/>
          <w:sz w:val="28"/>
          <w:szCs w:val="28"/>
          <w:lang w:val="en-US" w:eastAsia="zh-CN"/>
          <w14:textFill>
            <w14:solidFill>
              <w14:schemeClr w14:val="tx1"/>
            </w14:solidFill>
          </w14:textFill>
        </w:rPr>
        <w:t>（7）</w:t>
      </w:r>
      <w:r>
        <w:rPr>
          <w:rFonts w:hint="default" w:ascii="Times New Roman" w:hAnsi="Times New Roman" w:eastAsia="宋体" w:cs="Times New Roman"/>
          <w:color w:val="000000" w:themeColor="text1"/>
          <w:sz w:val="28"/>
          <w:szCs w:val="28"/>
          <w:lang w:val="en-US"/>
          <w14:textFill>
            <w14:solidFill>
              <w14:schemeClr w14:val="tx1"/>
            </w14:solidFill>
          </w14:textFill>
        </w:rPr>
        <w:t>赤峰市</w:t>
      </w:r>
      <w:r>
        <w:rPr>
          <w:rFonts w:hint="eastAsia" w:eastAsia="宋体" w:cs="Times New Roman"/>
          <w:color w:val="000000" w:themeColor="text1"/>
          <w:sz w:val="28"/>
          <w:szCs w:val="28"/>
          <w:lang w:val="en-US" w:eastAsia="zh-CN"/>
          <w14:textFill>
            <w14:solidFill>
              <w14:schemeClr w14:val="tx1"/>
            </w14:solidFill>
          </w14:textFill>
        </w:rPr>
        <w:t>松山区</w:t>
      </w:r>
      <w:r>
        <w:rPr>
          <w:rFonts w:hint="default" w:ascii="Times New Roman" w:hAnsi="Times New Roman" w:eastAsia="宋体" w:cs="Times New Roman"/>
          <w:color w:val="000000" w:themeColor="text1"/>
          <w:sz w:val="28"/>
          <w:szCs w:val="28"/>
          <w14:textFill>
            <w14:solidFill>
              <w14:schemeClr w14:val="tx1"/>
            </w14:solidFill>
          </w14:textFill>
        </w:rPr>
        <w:t>气象资料；</w:t>
      </w:r>
    </w:p>
    <w:p w14:paraId="541E6F02">
      <w:pPr>
        <w:spacing w:line="360" w:lineRule="auto"/>
        <w:ind w:firstLine="560" w:firstLineChars="200"/>
        <w:rPr>
          <w:rFonts w:hint="default" w:ascii="Times New Roman" w:hAnsi="Times New Roman" w:eastAsia="宋体" w:cs="Times New Roman"/>
          <w:color w:val="000000" w:themeColor="text1"/>
          <w:sz w:val="28"/>
          <w:szCs w:val="28"/>
          <w:highlight w:val="none"/>
          <w:lang w:val="en-US"/>
          <w14:textFill>
            <w14:solidFill>
              <w14:schemeClr w14:val="tx1"/>
            </w14:solidFill>
          </w14:textFill>
        </w:rPr>
      </w:pPr>
      <w:r>
        <w:rPr>
          <w:rFonts w:hint="eastAsia" w:eastAsia="宋体" w:cs="Times New Roman"/>
          <w:color w:val="000000" w:themeColor="text1"/>
          <w:sz w:val="28"/>
          <w:szCs w:val="28"/>
          <w:lang w:val="en-US"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8</w:t>
      </w:r>
      <w:r>
        <w:rPr>
          <w:rFonts w:hint="eastAsia" w:eastAsia="宋体" w:cs="Times New Roman"/>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val="en-US"/>
          <w14:textFill>
            <w14:solidFill>
              <w14:schemeClr w14:val="tx1"/>
            </w14:solidFill>
          </w14:textFill>
        </w:rPr>
        <w:t>《内蒙古自治区生态功能区划报告》；</w:t>
      </w:r>
    </w:p>
    <w:p w14:paraId="652F4A1A">
      <w:pPr>
        <w:spacing w:line="360" w:lineRule="auto"/>
        <w:ind w:firstLine="560" w:firstLineChars="200"/>
        <w:rPr>
          <w:rFonts w:hint="default" w:ascii="Times New Roman" w:hAnsi="Times New Roman" w:eastAsia="宋体" w:cs="Times New Roman"/>
          <w:color w:val="000000" w:themeColor="text1"/>
          <w:sz w:val="28"/>
          <w:szCs w:val="28"/>
          <w:highlight w:val="none"/>
          <w:lang w:val="en-US"/>
          <w14:textFill>
            <w14:solidFill>
              <w14:schemeClr w14:val="tx1"/>
            </w14:solidFill>
          </w14:textFill>
        </w:rPr>
      </w:pPr>
      <w:r>
        <w:rPr>
          <w:rFonts w:hint="eastAsia" w:eastAsia="宋体" w:cs="Times New Roman"/>
          <w:color w:val="000000" w:themeColor="text1"/>
          <w:sz w:val="28"/>
          <w:szCs w:val="28"/>
          <w:lang w:val="en-US"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9</w:t>
      </w:r>
      <w:r>
        <w:rPr>
          <w:rFonts w:hint="eastAsia" w:eastAsia="宋体" w:cs="Times New Roman"/>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val="en-US"/>
          <w14:textFill>
            <w14:solidFill>
              <w14:schemeClr w14:val="tx1"/>
            </w14:solidFill>
          </w14:textFill>
        </w:rPr>
        <w:t>《赤峰市生态环境功能区划报告》；</w:t>
      </w:r>
    </w:p>
    <w:p w14:paraId="7C8E329C">
      <w:pPr>
        <w:spacing w:line="360" w:lineRule="auto"/>
        <w:ind w:firstLine="560" w:firstLineChars="200"/>
        <w:rPr>
          <w:rFonts w:hint="default" w:ascii="Times New Roman" w:hAnsi="Times New Roman" w:eastAsia="宋体" w:cs="Times New Roman"/>
          <w:color w:val="000000" w:themeColor="text1"/>
          <w:sz w:val="28"/>
          <w:szCs w:val="28"/>
          <w:highlight w:val="none"/>
          <w:lang w:val="en-US"/>
          <w14:textFill>
            <w14:solidFill>
              <w14:schemeClr w14:val="tx1"/>
            </w14:solidFill>
          </w14:textFill>
        </w:rPr>
      </w:pPr>
      <w:r>
        <w:rPr>
          <w:rFonts w:hint="eastAsia" w:eastAsia="宋体" w:cs="Times New Roman"/>
          <w:color w:val="000000" w:themeColor="text1"/>
          <w:sz w:val="28"/>
          <w:szCs w:val="28"/>
          <w:lang w:val="en-US"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10</w:t>
      </w:r>
      <w:r>
        <w:rPr>
          <w:rFonts w:hint="eastAsia" w:eastAsia="宋体" w:cs="Times New Roman"/>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val="en-US"/>
          <w14:textFill>
            <w14:solidFill>
              <w14:schemeClr w14:val="tx1"/>
            </w14:solidFill>
          </w14:textFill>
        </w:rPr>
        <w:t>《赤峰市国土空间生态修复规划（2021-2035）》；</w:t>
      </w:r>
    </w:p>
    <w:p w14:paraId="282FE4D9">
      <w:pPr>
        <w:spacing w:line="360" w:lineRule="auto"/>
        <w:ind w:firstLine="560" w:firstLineChars="200"/>
        <w:rPr>
          <w:rFonts w:hint="default" w:ascii="Times New Roman" w:hAnsi="Times New Roman" w:eastAsia="宋体" w:cs="Times New Roman"/>
          <w:color w:val="000000" w:themeColor="text1"/>
          <w:sz w:val="28"/>
          <w:szCs w:val="28"/>
          <w:highlight w:val="none"/>
          <w:lang w:val="en-US"/>
          <w14:textFill>
            <w14:solidFill>
              <w14:schemeClr w14:val="tx1"/>
            </w14:solidFill>
          </w14:textFill>
        </w:rPr>
      </w:pPr>
      <w:r>
        <w:rPr>
          <w:rFonts w:hint="eastAsia" w:eastAsia="宋体" w:cs="Times New Roman"/>
          <w:color w:val="000000" w:themeColor="text1"/>
          <w:sz w:val="28"/>
          <w:szCs w:val="28"/>
          <w:lang w:val="en-US" w:eastAsia="zh-CN"/>
          <w14:textFill>
            <w14:solidFill>
              <w14:schemeClr w14:val="tx1"/>
            </w14:solidFill>
          </w14:textFill>
        </w:rPr>
        <w:t>（1</w:t>
      </w:r>
      <w:r>
        <w:rPr>
          <w:rFonts w:hint="eastAsia" w:cs="Times New Roman"/>
          <w:color w:val="000000" w:themeColor="text1"/>
          <w:sz w:val="28"/>
          <w:szCs w:val="28"/>
          <w:lang w:val="en-US" w:eastAsia="zh-CN"/>
          <w14:textFill>
            <w14:solidFill>
              <w14:schemeClr w14:val="tx1"/>
            </w14:solidFill>
          </w14:textFill>
        </w:rPr>
        <w:t>1</w:t>
      </w:r>
      <w:r>
        <w:rPr>
          <w:rFonts w:hint="eastAsia" w:eastAsia="宋体" w:cs="Times New Roman"/>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val="en-US"/>
          <w14:textFill>
            <w14:solidFill>
              <w14:schemeClr w14:val="tx1"/>
            </w14:solidFill>
          </w14:textFill>
        </w:rPr>
        <w:t>《</w:t>
      </w:r>
      <w:r>
        <w:rPr>
          <w:rFonts w:hint="default" w:ascii="Times New Roman" w:hAnsi="Times New Roman" w:eastAsia="宋体" w:cs="Times New Roman"/>
          <w:color w:val="000000" w:themeColor="text1"/>
          <w:sz w:val="28"/>
          <w:szCs w:val="28"/>
          <w:lang w:val="en-US"/>
          <w14:textFill>
            <w14:solidFill>
              <w14:schemeClr w14:val="tx1"/>
            </w14:solidFill>
          </w14:textFill>
        </w:rPr>
        <w:t>赤峰市</w:t>
      </w:r>
      <w:r>
        <w:rPr>
          <w:rFonts w:hint="eastAsia" w:eastAsia="宋体" w:cs="Times New Roman"/>
          <w:color w:val="000000" w:themeColor="text1"/>
          <w:sz w:val="28"/>
          <w:szCs w:val="28"/>
          <w:lang w:val="en-US" w:eastAsia="zh-CN"/>
          <w14:textFill>
            <w14:solidFill>
              <w14:schemeClr w14:val="tx1"/>
            </w14:solidFill>
          </w14:textFill>
        </w:rPr>
        <w:t>松山区</w:t>
      </w:r>
      <w:r>
        <w:rPr>
          <w:rFonts w:hint="default" w:ascii="Times New Roman" w:hAnsi="Times New Roman" w:eastAsia="宋体" w:cs="Times New Roman"/>
          <w:color w:val="000000" w:themeColor="text1"/>
          <w:sz w:val="28"/>
          <w:szCs w:val="28"/>
          <w:highlight w:val="none"/>
          <w:lang w:val="en-US"/>
          <w14:textFill>
            <w14:solidFill>
              <w14:schemeClr w14:val="tx1"/>
            </w14:solidFill>
          </w14:textFill>
        </w:rPr>
        <w:t>国土空间总体规划（2021-2035年）》；</w:t>
      </w:r>
    </w:p>
    <w:p w14:paraId="1106C65F">
      <w:pPr>
        <w:spacing w:line="360" w:lineRule="auto"/>
        <w:ind w:firstLine="560" w:firstLineChars="200"/>
        <w:rPr>
          <w:rFonts w:hint="default" w:eastAsia="宋体" w:cs="Times New Roman"/>
          <w:color w:val="000000" w:themeColor="text1"/>
          <w:sz w:val="28"/>
          <w:szCs w:val="28"/>
          <w:lang w:val="en-US" w:eastAsia="zh-CN"/>
          <w14:textFill>
            <w14:solidFill>
              <w14:schemeClr w14:val="tx1"/>
            </w14:solidFill>
          </w14:textFill>
        </w:rPr>
      </w:pPr>
      <w:r>
        <w:rPr>
          <w:rFonts w:hint="eastAsia" w:eastAsia="宋体" w:cs="Times New Roman"/>
          <w:color w:val="000000" w:themeColor="text1"/>
          <w:sz w:val="28"/>
          <w:szCs w:val="28"/>
          <w:lang w:val="en-US" w:eastAsia="zh-CN"/>
          <w14:textFill>
            <w14:solidFill>
              <w14:schemeClr w14:val="tx1"/>
            </w14:solidFill>
          </w14:textFill>
        </w:rPr>
        <w:t>（1</w:t>
      </w:r>
      <w:r>
        <w:rPr>
          <w:rFonts w:hint="eastAsia" w:cs="Times New Roman"/>
          <w:color w:val="000000" w:themeColor="text1"/>
          <w:sz w:val="28"/>
          <w:szCs w:val="28"/>
          <w:lang w:val="en-US" w:eastAsia="zh-CN"/>
          <w14:textFill>
            <w14:solidFill>
              <w14:schemeClr w14:val="tx1"/>
            </w14:solidFill>
          </w14:textFill>
        </w:rPr>
        <w:t>2</w:t>
      </w:r>
      <w:r>
        <w:rPr>
          <w:rFonts w:hint="eastAsia" w:eastAsia="宋体" w:cs="Times New Roman"/>
          <w:color w:val="000000" w:themeColor="text1"/>
          <w:sz w:val="28"/>
          <w:szCs w:val="28"/>
          <w:lang w:val="en-US" w:eastAsia="zh-CN"/>
          <w14:textFill>
            <w14:solidFill>
              <w14:schemeClr w14:val="tx1"/>
            </w14:solidFill>
          </w14:textFill>
        </w:rPr>
        <w:t>）环评报告表批复（编号：SS2018B012L）；</w:t>
      </w:r>
    </w:p>
    <w:p w14:paraId="798DF5B4">
      <w:pPr>
        <w:spacing w:line="360" w:lineRule="auto"/>
        <w:ind w:firstLine="560" w:firstLineChars="200"/>
        <w:rPr>
          <w:rFonts w:hint="eastAsia" w:ascii="宋体" w:hAnsi="宋体" w:cs="宋体"/>
          <w:b/>
          <w:bCs/>
          <w:color w:val="000000" w:themeColor="text1"/>
          <w:sz w:val="28"/>
          <w:szCs w:val="28"/>
          <w14:textFill>
            <w14:solidFill>
              <w14:schemeClr w14:val="tx1"/>
            </w14:solidFill>
          </w14:textFill>
        </w:rPr>
      </w:pPr>
      <w:r>
        <w:rPr>
          <w:rFonts w:hint="eastAsia" w:eastAsia="宋体" w:cs="Times New Roman"/>
          <w:color w:val="000000" w:themeColor="text1"/>
          <w:sz w:val="28"/>
          <w:szCs w:val="28"/>
          <w:lang w:val="en-US" w:eastAsia="zh-CN"/>
          <w14:textFill>
            <w14:solidFill>
              <w14:schemeClr w14:val="tx1"/>
            </w14:solidFill>
          </w14:textFill>
        </w:rPr>
        <w:t>（1</w:t>
      </w:r>
      <w:r>
        <w:rPr>
          <w:rFonts w:hint="eastAsia" w:cs="Times New Roman"/>
          <w:color w:val="000000" w:themeColor="text1"/>
          <w:sz w:val="28"/>
          <w:szCs w:val="28"/>
          <w:lang w:val="en-US" w:eastAsia="zh-CN"/>
          <w14:textFill>
            <w14:solidFill>
              <w14:schemeClr w14:val="tx1"/>
            </w14:solidFill>
          </w14:textFill>
        </w:rPr>
        <w:t>3</w:t>
      </w:r>
      <w:r>
        <w:rPr>
          <w:rFonts w:hint="eastAsia" w:eastAsia="宋体" w:cs="Times New Roman"/>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矿</w:t>
      </w:r>
      <w:r>
        <w:rPr>
          <w:rFonts w:hint="default" w:ascii="Times New Roman" w:hAnsi="Times New Roman" w:eastAsia="宋体" w:cs="Times New Roman"/>
          <w:color w:val="000000" w:themeColor="text1"/>
          <w:spacing w:val="-3"/>
          <w:sz w:val="28"/>
          <w:szCs w:val="28"/>
          <w14:textFill>
            <w14:solidFill>
              <w14:schemeClr w14:val="tx1"/>
            </w14:solidFill>
          </w14:textFill>
        </w:rPr>
        <w:t>山提供的其他资料。</w:t>
      </w:r>
    </w:p>
    <w:p w14:paraId="26929824">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6、</w:t>
      </w:r>
      <w:r>
        <w:rPr>
          <w:rFonts w:hint="default" w:ascii="Times New Roman" w:hAnsi="Times New Roman" w:cs="Times New Roman"/>
          <w:color w:val="000000" w:themeColor="text1"/>
          <w:sz w:val="28"/>
          <w:szCs w:val="28"/>
          <w14:textFill>
            <w14:solidFill>
              <w14:schemeClr w14:val="tx1"/>
            </w14:solidFill>
          </w14:textFill>
        </w:rPr>
        <w:t>合同依据</w:t>
      </w:r>
    </w:p>
    <w:p w14:paraId="203A933B">
      <w:pPr>
        <w:spacing w:line="360" w:lineRule="auto"/>
        <w:ind w:firstLine="560" w:firstLineChars="200"/>
        <w:rPr>
          <w:rFonts w:hint="eastAsia" w:ascii="宋体" w:hAnsi="宋体" w:eastAsia="宋体" w:cs="宋体"/>
          <w:b w:val="0"/>
          <w:bCs w:val="0"/>
          <w:color w:val="000000" w:themeColor="text1"/>
          <w:sz w:val="28"/>
          <w:szCs w:val="28"/>
          <w:lang w:val="en-US" w:eastAsia="zh-CN"/>
          <w14:textFill>
            <w14:solidFill>
              <w14:schemeClr w14:val="tx1"/>
            </w14:solidFill>
          </w14:textFill>
        </w:rPr>
      </w:pPr>
      <w:r>
        <w:rPr>
          <w:rFonts w:hint="default" w:ascii="Times New Roman" w:hAnsi="Times New Roman" w:cs="Times New Roman"/>
          <w:bCs/>
          <w:color w:val="000000" w:themeColor="text1"/>
          <w:sz w:val="28"/>
          <w:szCs w:val="28"/>
          <w14:textFill>
            <w14:solidFill>
              <w14:schemeClr w14:val="tx1"/>
            </w14:solidFill>
          </w14:textFill>
        </w:rPr>
        <w:t>《</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赤峰太安新型建筑材料有限公司太平地镇粘土矿矿区生态修复方案</w:t>
      </w:r>
      <w:r>
        <w:rPr>
          <w:rFonts w:hint="default" w:ascii="Times New Roman" w:hAnsi="Times New Roman" w:cs="Times New Roman"/>
          <w:bCs/>
          <w:color w:val="000000" w:themeColor="text1"/>
          <w:sz w:val="28"/>
          <w:szCs w:val="28"/>
          <w14:textFill>
            <w14:solidFill>
              <w14:schemeClr w14:val="tx1"/>
            </w14:solidFill>
          </w14:textFill>
        </w:rPr>
        <w:t>》编制合同书。</w:t>
      </w:r>
    </w:p>
    <w:p w14:paraId="0B931450">
      <w:pPr>
        <w:pStyle w:val="5"/>
        <w:bidi w:val="0"/>
        <w:spacing w:line="360" w:lineRule="auto"/>
        <w:ind w:firstLine="562" w:firstLineChars="200"/>
        <w:rPr>
          <w:rFonts w:hint="eastAsia" w:hAnsi="Times New Roman" w:cs="Times New Roman"/>
          <w:b/>
          <w:bCs/>
          <w:color w:val="000000" w:themeColor="text1"/>
          <w:sz w:val="28"/>
          <w:szCs w:val="24"/>
          <w14:textFill>
            <w14:solidFill>
              <w14:schemeClr w14:val="tx1"/>
            </w14:solidFill>
          </w14:textFill>
        </w:rPr>
      </w:pPr>
      <w:r>
        <w:rPr>
          <w:rFonts w:hint="eastAsia" w:hAnsi="Times New Roman" w:cs="Times New Roman"/>
          <w:b/>
          <w:bCs/>
          <w:color w:val="000000" w:themeColor="text1"/>
          <w:sz w:val="28"/>
          <w:szCs w:val="24"/>
          <w14:textFill>
            <w14:solidFill>
              <w14:schemeClr w14:val="tx1"/>
            </w14:solidFill>
          </w14:textFill>
        </w:rPr>
        <w:t>（</w:t>
      </w:r>
      <w:r>
        <w:rPr>
          <w:rFonts w:hint="eastAsia" w:hAnsi="Times New Roman" w:cs="Times New Roman"/>
          <w:b/>
          <w:bCs/>
          <w:color w:val="000000" w:themeColor="text1"/>
          <w:sz w:val="28"/>
          <w:szCs w:val="24"/>
          <w:lang w:val="en-US" w:eastAsia="zh-CN"/>
          <w14:textFill>
            <w14:solidFill>
              <w14:schemeClr w14:val="tx1"/>
            </w14:solidFill>
          </w14:textFill>
        </w:rPr>
        <w:t>五</w:t>
      </w:r>
      <w:r>
        <w:rPr>
          <w:rFonts w:hint="eastAsia" w:hAnsi="Times New Roman" w:cs="Times New Roman"/>
          <w:b/>
          <w:bCs/>
          <w:color w:val="000000" w:themeColor="text1"/>
          <w:sz w:val="28"/>
          <w:szCs w:val="24"/>
          <w14:textFill>
            <w14:solidFill>
              <w14:schemeClr w14:val="tx1"/>
            </w14:solidFill>
          </w14:textFill>
        </w:rPr>
        <w:t>）编制工作概况</w:t>
      </w:r>
    </w:p>
    <w:p w14:paraId="3BC9EE89">
      <w:pPr>
        <w:keepNext w:val="0"/>
        <w:keepLines w:val="0"/>
        <w:pageBreakBefore w:val="0"/>
        <w:kinsoku/>
        <w:wordWrap/>
        <w:overflowPunct/>
        <w:topLinePunct w:val="0"/>
        <w:autoSpaceDE/>
        <w:autoSpaceDN/>
        <w:bidi w:val="0"/>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eastAsia" w:cs="Times New Roman"/>
          <w:color w:val="000000" w:themeColor="text1"/>
          <w:kern w:val="2"/>
          <w:sz w:val="28"/>
          <w:szCs w:val="28"/>
          <w:lang w:val="en-US" w:eastAsia="zh-CN"/>
          <w14:textFill>
            <w14:solidFill>
              <w14:schemeClr w14:val="tx1"/>
            </w14:solidFill>
          </w14:textFill>
        </w:rPr>
        <w:t>1</w:t>
      </w:r>
      <w:r>
        <w:rPr>
          <w:rFonts w:hint="eastAsia" w:ascii="Times New Roman" w:hAnsi="Times New Roman" w:eastAsia="宋体" w:cs="Times New Roman"/>
          <w:color w:val="000000" w:themeColor="text1"/>
          <w:kern w:val="2"/>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kern w:val="2"/>
          <w:sz w:val="28"/>
          <w:szCs w:val="28"/>
          <w14:textFill>
            <w14:solidFill>
              <w14:schemeClr w14:val="tx1"/>
            </w14:solidFill>
          </w14:textFill>
        </w:rPr>
        <w:t>工作程序</w:t>
      </w:r>
    </w:p>
    <w:p w14:paraId="133832AB">
      <w:pPr>
        <w:keepNext w:val="0"/>
        <w:keepLines w:val="0"/>
        <w:pageBreakBefore w:val="0"/>
        <w:kinsoku/>
        <w:wordWrap/>
        <w:overflowPunct/>
        <w:topLinePunct w:val="0"/>
        <w:autoSpaceDE/>
        <w:autoSpaceDN/>
        <w:bidi w:val="0"/>
        <w:spacing w:after="0" w:line="360" w:lineRule="auto"/>
        <w:ind w:right="0" w:firstLine="560" w:firstLineChars="200"/>
        <w:jc w:val="left"/>
        <w:textAlignment w:val="auto"/>
        <w:rPr>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14:textFill>
            <w14:solidFill>
              <w14:schemeClr w14:val="tx1"/>
            </w14:solidFill>
          </w14:textFill>
        </w:rPr>
        <w:t>本次方案编制工作按照《矿区生态修复方案编制指南（临时）》规定的程序进行。我公司接受委托后，组建了项目组，项目组设项目负责人，按照分工的不同着手收集方案涉及区域的地质环境背景条件、土地利用现状、土地利用总体规划、矿山开采规划、矿山开采技术条件、市生态功能区划、旗县国土空间规划等相关资料，分析研究区域资料，进行现场踏勘，编写方案大纲，开展野外现场调查工作，之后对所收集调查的资料进行室内综合分析整理和信息数据处理，确定了矿山生态环境评估范围和复垦区，并进行了矿区生态修复适宜性评价，最终编写了本次《矿区生态修复方案》。具体工作程序详见图1。</w:t>
      </w:r>
    </w:p>
    <w:p w14:paraId="640B8700">
      <w:pPr>
        <w:pStyle w:val="38"/>
        <w:spacing w:line="240" w:lineRule="auto"/>
        <w:ind w:left="0" w:leftChars="0" w:firstLine="0" w:firstLineChars="0"/>
        <w:jc w:val="center"/>
        <w:rPr>
          <w:rFonts w:hint="eastAsia" w:ascii="黑体" w:hAnsi="黑体" w:eastAsia="黑体" w:cs="黑体"/>
          <w:b w:val="0"/>
          <w:bCs w:val="0"/>
          <w:color w:val="000000" w:themeColor="text1"/>
          <w:spacing w:val="-8"/>
          <w:sz w:val="24"/>
          <w:szCs w:val="24"/>
          <w14:textFill>
            <w14:solidFill>
              <w14:schemeClr w14:val="tx1"/>
            </w14:solidFill>
          </w14:textFill>
        </w:rPr>
      </w:pPr>
      <w:r>
        <w:rPr>
          <w:rFonts w:hint="eastAsia" w:ascii="Times New Roman" w:cs="Times New Roman"/>
          <w:color w:val="000000" w:themeColor="text1"/>
          <w:kern w:val="2"/>
          <w:sz w:val="24"/>
          <w:szCs w:val="24"/>
          <w:highlight w:val="none"/>
          <w:lang w:val="en-US" w:eastAsia="zh-CN" w:bidi="ar-SA"/>
          <w14:textFill>
            <w14:solidFill>
              <w14:schemeClr w14:val="tx1"/>
            </w14:solidFill>
          </w14:textFill>
        </w:rPr>
        <w:t xml:space="preserve">    </w:t>
      </w:r>
    </w:p>
    <w:p w14:paraId="16F275D1">
      <w:pPr>
        <w:pStyle w:val="38"/>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黑体" w:hAnsi="黑体" w:eastAsia="黑体" w:cs="黑体"/>
          <w:b w:val="0"/>
          <w:bCs w:val="0"/>
          <w:color w:val="000000" w:themeColor="text1"/>
          <w:kern w:val="2"/>
          <w:sz w:val="28"/>
          <w:szCs w:val="28"/>
          <w14:textFill>
            <w14:solidFill>
              <w14:schemeClr w14:val="tx1"/>
            </w14:solidFill>
          </w14:textFill>
        </w:rPr>
      </w:pPr>
      <w:r>
        <w:rPr>
          <w:rFonts w:hint="eastAsia" w:ascii="黑体" w:hAnsi="黑体" w:eastAsia="黑体" w:cs="黑体"/>
          <w:b w:val="0"/>
          <w:bCs w:val="0"/>
          <w:color w:val="000000" w:themeColor="text1"/>
          <w:spacing w:val="-8"/>
          <w:sz w:val="28"/>
          <w:szCs w:val="28"/>
          <w14:textFill>
            <w14:solidFill>
              <w14:schemeClr w14:val="tx1"/>
            </w14:solidFill>
          </w14:textFill>
        </w:rPr>
        <w:t>图1</w:t>
      </w:r>
      <w:r>
        <w:rPr>
          <w:rFonts w:hint="eastAsia" w:ascii="黑体" w:hAnsi="黑体" w:eastAsia="黑体" w:cs="黑体"/>
          <w:b w:val="0"/>
          <w:bCs w:val="0"/>
          <w:color w:val="000000" w:themeColor="text1"/>
          <w:spacing w:val="2"/>
          <w:sz w:val="28"/>
          <w:szCs w:val="28"/>
          <w14:textFill>
            <w14:solidFill>
              <w14:schemeClr w14:val="tx1"/>
            </w14:solidFill>
          </w14:textFill>
        </w:rPr>
        <w:t xml:space="preserve"> </w:t>
      </w:r>
      <w:r>
        <w:rPr>
          <w:rFonts w:hint="eastAsia" w:ascii="黑体" w:hAnsi="黑体" w:eastAsia="黑体" w:cs="黑体"/>
          <w:b w:val="0"/>
          <w:bCs w:val="0"/>
          <w:color w:val="000000" w:themeColor="text1"/>
          <w:spacing w:val="2"/>
          <w:sz w:val="28"/>
          <w:szCs w:val="28"/>
          <w:lang w:val="en-US" w:eastAsia="zh-CN"/>
          <w14:textFill>
            <w14:solidFill>
              <w14:schemeClr w14:val="tx1"/>
            </w14:solidFill>
          </w14:textFill>
        </w:rPr>
        <w:t xml:space="preserve"> </w:t>
      </w:r>
      <w:r>
        <w:rPr>
          <w:rFonts w:hint="eastAsia" w:ascii="黑体" w:hAnsi="黑体" w:eastAsia="黑体" w:cs="黑体"/>
          <w:b w:val="0"/>
          <w:bCs w:val="0"/>
          <w:color w:val="000000" w:themeColor="text1"/>
          <w:spacing w:val="-8"/>
          <w:sz w:val="28"/>
          <w:szCs w:val="28"/>
          <w14:textFill>
            <w14:solidFill>
              <w14:schemeClr w14:val="tx1"/>
            </w14:solidFill>
          </w14:textFill>
        </w:rPr>
        <w:t>工作程序框图</w:t>
      </w:r>
    </w:p>
    <w:p w14:paraId="0D2FC827">
      <w:pPr>
        <w:keepNext w:val="0"/>
        <w:keepLines w:val="0"/>
        <w:pageBreakBefore w:val="0"/>
        <w:kinsoku/>
        <w:wordWrap/>
        <w:overflowPunct/>
        <w:topLinePunct w:val="0"/>
        <w:autoSpaceDE/>
        <w:autoSpaceDN/>
        <w:bidi w:val="0"/>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eastAsia" w:cs="Times New Roman"/>
          <w:color w:val="000000" w:themeColor="text1"/>
          <w:kern w:val="2"/>
          <w:sz w:val="28"/>
          <w:szCs w:val="28"/>
          <w:lang w:val="en-US" w:eastAsia="zh-CN"/>
          <w14:textFill>
            <w14:solidFill>
              <w14:schemeClr w14:val="tx1"/>
            </w14:solidFill>
          </w14:textFill>
        </w:rPr>
        <w:t>2</w:t>
      </w:r>
      <w:r>
        <w:rPr>
          <w:rFonts w:hint="eastAsia" w:ascii="Times New Roman" w:hAnsi="Times New Roman" w:eastAsia="宋体" w:cs="Times New Roman"/>
          <w:color w:val="000000" w:themeColor="text1"/>
          <w:kern w:val="2"/>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kern w:val="2"/>
          <w:sz w:val="28"/>
          <w:szCs w:val="28"/>
          <w14:textFill>
            <w14:solidFill>
              <w14:schemeClr w14:val="tx1"/>
            </w14:solidFill>
          </w14:textFill>
        </w:rPr>
        <w:t>工作方法</w:t>
      </w:r>
    </w:p>
    <w:p w14:paraId="40BF1E43">
      <w:pPr>
        <w:keepNext w:val="0"/>
        <w:keepLines w:val="0"/>
        <w:pageBreakBefore w:val="0"/>
        <w:kinsoku/>
        <w:wordWrap/>
        <w:overflowPunct/>
        <w:topLinePunct w:val="0"/>
        <w:autoSpaceDE/>
        <w:autoSpaceDN/>
        <w:bidi w:val="0"/>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eastAsia" w:ascii="Times New Roman" w:hAnsi="Times New Roman" w:eastAsia="宋体" w:cs="Times New Roman"/>
          <w:color w:val="000000" w:themeColor="text1"/>
          <w:kern w:val="2"/>
          <w:sz w:val="28"/>
          <w:szCs w:val="28"/>
          <w:lang w:eastAsia="zh-CN"/>
          <w14:textFill>
            <w14:solidFill>
              <w14:schemeClr w14:val="tx1"/>
            </w14:solidFill>
          </w14:textFill>
        </w:rPr>
        <w:t>（</w:t>
      </w:r>
      <w:r>
        <w:rPr>
          <w:rFonts w:hint="eastAsia" w:ascii="Times New Roman" w:hAnsi="Times New Roman" w:eastAsia="宋体" w:cs="Times New Roman"/>
          <w:color w:val="000000" w:themeColor="text1"/>
          <w:kern w:val="2"/>
          <w:sz w:val="28"/>
          <w:szCs w:val="28"/>
          <w:lang w:val="en-US" w:eastAsia="zh-CN"/>
          <w14:textFill>
            <w14:solidFill>
              <w14:schemeClr w14:val="tx1"/>
            </w14:solidFill>
          </w14:textFill>
        </w:rPr>
        <w:t>1</w:t>
      </w:r>
      <w:r>
        <w:rPr>
          <w:rFonts w:hint="eastAsia" w:ascii="Times New Roman" w:hAnsi="Times New Roman" w:eastAsia="宋体" w:cs="Times New Roman"/>
          <w:color w:val="000000" w:themeColor="text1"/>
          <w:kern w:val="2"/>
          <w:sz w:val="28"/>
          <w:szCs w:val="28"/>
          <w:lang w:eastAsia="zh-CN"/>
          <w14:textFill>
            <w14:solidFill>
              <w14:schemeClr w14:val="tx1"/>
            </w14:solidFill>
          </w14:textFill>
        </w:rPr>
        <w:t>）</w:t>
      </w:r>
      <w:r>
        <w:rPr>
          <w:rFonts w:hint="default" w:ascii="Times New Roman" w:hAnsi="Times New Roman" w:eastAsia="宋体" w:cs="Times New Roman"/>
          <w:color w:val="000000" w:themeColor="text1"/>
          <w:kern w:val="2"/>
          <w:sz w:val="28"/>
          <w:szCs w:val="28"/>
          <w14:textFill>
            <w14:solidFill>
              <w14:schemeClr w14:val="tx1"/>
            </w14:solidFill>
          </w14:textFill>
        </w:rPr>
        <w:t>资料收集与分析</w:t>
      </w:r>
    </w:p>
    <w:p w14:paraId="07A5040E">
      <w:pPr>
        <w:keepNext w:val="0"/>
        <w:keepLines w:val="0"/>
        <w:pageBreakBefore w:val="0"/>
        <w:kinsoku/>
        <w:wordWrap/>
        <w:overflowPunct/>
        <w:topLinePunct w:val="0"/>
        <w:autoSpaceDE/>
        <w:autoSpaceDN/>
        <w:bidi w:val="0"/>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14:textFill>
            <w14:solidFill>
              <w14:schemeClr w14:val="tx1"/>
            </w14:solidFill>
          </w14:textFill>
        </w:rPr>
        <w:t>在现场调查前收集了《</w:t>
      </w:r>
      <w:r>
        <w:rPr>
          <w:rFonts w:hint="eastAsia" w:cs="Times New Roman"/>
          <w:color w:val="000000" w:themeColor="text1"/>
          <w:kern w:val="2"/>
          <w:sz w:val="28"/>
          <w:szCs w:val="28"/>
          <w:lang w:val="en-US" w:eastAsia="zh-CN"/>
          <w14:textFill>
            <w14:solidFill>
              <w14:schemeClr w14:val="tx1"/>
            </w14:solidFill>
          </w14:textFill>
        </w:rPr>
        <w:t>内蒙古自治区赤峰市松山区德春砖厂粘土矿开发与治理综合方案</w:t>
      </w:r>
      <w:r>
        <w:rPr>
          <w:rFonts w:hint="default" w:ascii="Times New Roman" w:hAnsi="Times New Roman" w:eastAsia="宋体" w:cs="Times New Roman"/>
          <w:color w:val="000000" w:themeColor="text1"/>
          <w:kern w:val="2"/>
          <w:sz w:val="28"/>
          <w:szCs w:val="28"/>
          <w14:textFill>
            <w14:solidFill>
              <w14:schemeClr w14:val="tx1"/>
            </w14:solidFill>
          </w14:textFill>
        </w:rPr>
        <w:t>》等资料，收集了与矿区相关的自然地理、地形地质、环境地质和水文地质等资料，对矿山情况进行了初步了解；收集地形地质图、土地利用现状图等图件作为评估工作的底图及野外工作用图；分析已有资料情况，确定需要补充的资料内容；初步确定现场调查方法、调查线路和主要调查内容。</w:t>
      </w:r>
    </w:p>
    <w:p w14:paraId="5B74B5DC">
      <w:pPr>
        <w:keepNext w:val="0"/>
        <w:keepLines w:val="0"/>
        <w:pageBreakBefore w:val="0"/>
        <w:kinsoku/>
        <w:wordWrap/>
        <w:overflowPunct/>
        <w:topLinePunct w:val="0"/>
        <w:autoSpaceDE/>
        <w:autoSpaceDN/>
        <w:bidi w:val="0"/>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eastAsia" w:ascii="Times New Roman" w:hAnsi="Times New Roman" w:eastAsia="宋体" w:cs="Times New Roman"/>
          <w:color w:val="000000" w:themeColor="text1"/>
          <w:kern w:val="2"/>
          <w:sz w:val="28"/>
          <w:szCs w:val="28"/>
          <w:lang w:eastAsia="zh-CN"/>
          <w14:textFill>
            <w14:solidFill>
              <w14:schemeClr w14:val="tx1"/>
            </w14:solidFill>
          </w14:textFill>
        </w:rPr>
        <w:t>（</w:t>
      </w:r>
      <w:r>
        <w:rPr>
          <w:rFonts w:hint="eastAsia" w:ascii="Times New Roman" w:hAnsi="Times New Roman" w:eastAsia="宋体" w:cs="Times New Roman"/>
          <w:color w:val="000000" w:themeColor="text1"/>
          <w:kern w:val="2"/>
          <w:sz w:val="28"/>
          <w:szCs w:val="28"/>
          <w:lang w:val="en-US" w:eastAsia="zh-CN"/>
          <w14:textFill>
            <w14:solidFill>
              <w14:schemeClr w14:val="tx1"/>
            </w14:solidFill>
          </w14:textFill>
        </w:rPr>
        <w:t>2</w:t>
      </w:r>
      <w:r>
        <w:rPr>
          <w:rFonts w:hint="eastAsia" w:ascii="Times New Roman" w:hAnsi="Times New Roman" w:eastAsia="宋体" w:cs="Times New Roman"/>
          <w:color w:val="000000" w:themeColor="text1"/>
          <w:kern w:val="2"/>
          <w:sz w:val="28"/>
          <w:szCs w:val="28"/>
          <w:lang w:eastAsia="zh-CN"/>
          <w14:textFill>
            <w14:solidFill>
              <w14:schemeClr w14:val="tx1"/>
            </w14:solidFill>
          </w14:textFill>
        </w:rPr>
        <w:t>）</w:t>
      </w:r>
      <w:r>
        <w:rPr>
          <w:rFonts w:hint="default" w:ascii="Times New Roman" w:hAnsi="Times New Roman" w:eastAsia="宋体" w:cs="Times New Roman"/>
          <w:color w:val="000000" w:themeColor="text1"/>
          <w:kern w:val="2"/>
          <w:sz w:val="28"/>
          <w:szCs w:val="28"/>
          <w14:textFill>
            <w14:solidFill>
              <w14:schemeClr w14:val="tx1"/>
            </w14:solidFill>
          </w14:textFill>
        </w:rPr>
        <w:t>野外调查</w:t>
      </w:r>
    </w:p>
    <w:p w14:paraId="2F61F78F">
      <w:pPr>
        <w:keepNext w:val="0"/>
        <w:keepLines w:val="0"/>
        <w:pageBreakBefore w:val="0"/>
        <w:kinsoku/>
        <w:wordWrap/>
        <w:overflowPunct/>
        <w:topLinePunct w:val="0"/>
        <w:autoSpaceDE/>
        <w:autoSpaceDN/>
        <w:bidi w:val="0"/>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14:textFill>
            <w14:solidFill>
              <w14:schemeClr w14:val="tx1"/>
            </w14:solidFill>
          </w14:textFill>
        </w:rPr>
        <w:t>我公司在接受委托后，于</w:t>
      </w:r>
      <w:r>
        <w:rPr>
          <w:rFonts w:hint="default" w:ascii="Times New Roman" w:hAnsi="Times New Roman" w:eastAsia="宋体" w:cs="Times New Roman"/>
          <w:color w:val="000000" w:themeColor="text1"/>
          <w:sz w:val="28"/>
          <w:szCs w:val="28"/>
          <w:highlight w:val="none"/>
          <w14:textFill>
            <w14:solidFill>
              <w14:schemeClr w14:val="tx1"/>
            </w14:solidFill>
          </w14:textFill>
        </w:rPr>
        <w:t>202</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8"/>
          <w:szCs w:val="28"/>
          <w:highlight w:val="none"/>
          <w14:textFill>
            <w14:solidFill>
              <w14:schemeClr w14:val="tx1"/>
            </w14:solidFill>
          </w14:textFill>
        </w:rPr>
        <w:t>年</w:t>
      </w:r>
      <w:r>
        <w:rPr>
          <w:rFonts w:hint="eastAsia" w:cs="Times New Roman"/>
          <w:color w:val="000000" w:themeColor="text1"/>
          <w:sz w:val="28"/>
          <w:szCs w:val="28"/>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8"/>
          <w:highlight w:val="none"/>
          <w14:textFill>
            <w14:solidFill>
              <w14:schemeClr w14:val="tx1"/>
            </w14:solidFill>
          </w14:textFill>
        </w:rPr>
        <w:t>月</w:t>
      </w:r>
      <w:r>
        <w:rPr>
          <w:rFonts w:hint="eastAsia" w:cs="Times New Roman"/>
          <w:color w:val="000000" w:themeColor="text1"/>
          <w:sz w:val="28"/>
          <w:szCs w:val="28"/>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sz w:val="28"/>
          <w:szCs w:val="28"/>
          <w:highlight w:val="none"/>
          <w14:textFill>
            <w14:solidFill>
              <w14:schemeClr w14:val="tx1"/>
            </w14:solidFill>
          </w14:textFill>
        </w:rPr>
        <w:t>日</w:t>
      </w:r>
      <w:r>
        <w:rPr>
          <w:color w:val="000000" w:themeColor="text1"/>
          <w:sz w:val="28"/>
          <w:szCs w:val="32"/>
          <w14:textFill>
            <w14:solidFill>
              <w14:schemeClr w14:val="tx1"/>
            </w14:solidFill>
          </w14:textFill>
        </w:rPr>
        <w:t>组织技术人员至矿山开展了现状调查，</w:t>
      </w:r>
      <w:r>
        <w:rPr>
          <w:rFonts w:hint="default" w:ascii="Times New Roman" w:hAnsi="Times New Roman" w:eastAsia="宋体" w:cs="Times New Roman"/>
          <w:color w:val="000000" w:themeColor="text1"/>
          <w:kern w:val="2"/>
          <w:sz w:val="28"/>
          <w:szCs w:val="28"/>
          <w14:textFill>
            <w14:solidFill>
              <w14:schemeClr w14:val="tx1"/>
            </w14:solidFill>
          </w14:textFill>
        </w:rPr>
        <w:t>调查时长共计</w:t>
      </w:r>
      <w:r>
        <w:rPr>
          <w:rFonts w:hint="eastAsia" w:cs="Times New Roman"/>
          <w:color w:val="000000" w:themeColor="text1"/>
          <w:kern w:val="2"/>
          <w:sz w:val="28"/>
          <w:szCs w:val="28"/>
          <w:lang w:val="en-US" w:eastAsia="zh-CN"/>
          <w14:textFill>
            <w14:solidFill>
              <w14:schemeClr w14:val="tx1"/>
            </w14:solidFill>
          </w14:textFill>
        </w:rPr>
        <w:t>2</w:t>
      </w:r>
      <w:r>
        <w:rPr>
          <w:rFonts w:hint="default" w:ascii="Times New Roman" w:hAnsi="Times New Roman" w:eastAsia="宋体" w:cs="Times New Roman"/>
          <w:color w:val="000000" w:themeColor="text1"/>
          <w:kern w:val="2"/>
          <w:sz w:val="28"/>
          <w:szCs w:val="28"/>
          <w14:textFill>
            <w14:solidFill>
              <w14:schemeClr w14:val="tx1"/>
            </w14:solidFill>
          </w14:textFill>
        </w:rPr>
        <w:t>天，主要调查内容包括矿区内地质环境调查与土地资源调查。野外调查采取无人机航拍、RTK测点、GPS手持机辅助、路线穿越法和地质环境追索法相结合的方法进行，调查范围在评估影响范围基础上再外扩最少为</w:t>
      </w:r>
      <w:r>
        <w:rPr>
          <w:rFonts w:hint="default" w:ascii="Times New Roman" w:hAnsi="Times New Roman" w:eastAsia="宋体" w:cs="Times New Roman"/>
          <w:color w:val="000000" w:themeColor="text1"/>
          <w:kern w:val="2"/>
          <w:sz w:val="28"/>
          <w:szCs w:val="28"/>
          <w:lang w:val="en-US" w:eastAsia="zh-CN"/>
          <w14:textFill>
            <w14:solidFill>
              <w14:schemeClr w14:val="tx1"/>
            </w14:solidFill>
          </w14:textFill>
        </w:rPr>
        <w:t>3</w:t>
      </w:r>
      <w:r>
        <w:rPr>
          <w:rFonts w:hint="default" w:ascii="Times New Roman" w:hAnsi="Times New Roman" w:eastAsia="宋体" w:cs="Times New Roman"/>
          <w:color w:val="000000" w:themeColor="text1"/>
          <w:kern w:val="2"/>
          <w:sz w:val="28"/>
          <w:szCs w:val="28"/>
          <w14:textFill>
            <w14:solidFill>
              <w14:schemeClr w14:val="tx1"/>
            </w14:solidFill>
          </w14:textFill>
        </w:rPr>
        <w:t>00m。野外调查以矿山提供的</w:t>
      </w:r>
      <w:r>
        <w:rPr>
          <w:rFonts w:hint="eastAsia" w:cs="Times New Roman"/>
          <w:color w:val="000000" w:themeColor="text1"/>
          <w:kern w:val="2"/>
          <w:sz w:val="28"/>
          <w:szCs w:val="28"/>
          <w:lang w:eastAsia="zh-CN"/>
          <w14:textFill>
            <w14:solidFill>
              <w14:schemeClr w14:val="tx1"/>
            </w14:solidFill>
          </w14:textFill>
        </w:rPr>
        <w:t>“</w:t>
      </w:r>
      <w:r>
        <w:rPr>
          <w:rFonts w:hint="default" w:ascii="Times New Roman" w:hAnsi="Times New Roman" w:eastAsia="宋体" w:cs="Times New Roman"/>
          <w:color w:val="000000" w:themeColor="text1"/>
          <w:kern w:val="2"/>
          <w:sz w:val="28"/>
          <w:szCs w:val="28"/>
          <w14:textFill>
            <w14:solidFill>
              <w14:schemeClr w14:val="tx1"/>
            </w14:solidFill>
          </w14:textFill>
        </w:rPr>
        <w:t>开发利用方案</w:t>
      </w:r>
      <w:r>
        <w:rPr>
          <w:rFonts w:hint="eastAsia" w:cs="Times New Roman"/>
          <w:color w:val="000000" w:themeColor="text1"/>
          <w:kern w:val="2"/>
          <w:sz w:val="28"/>
          <w:szCs w:val="28"/>
          <w:lang w:eastAsia="zh-CN"/>
          <w14:textFill>
            <w14:solidFill>
              <w14:schemeClr w14:val="tx1"/>
            </w14:solidFill>
          </w14:textFill>
        </w:rPr>
        <w:t>”</w:t>
      </w:r>
      <w:r>
        <w:rPr>
          <w:rFonts w:hint="default" w:ascii="Times New Roman" w:hAnsi="Times New Roman" w:eastAsia="宋体" w:cs="Times New Roman"/>
          <w:color w:val="000000" w:themeColor="text1"/>
          <w:kern w:val="2"/>
          <w:sz w:val="28"/>
          <w:szCs w:val="28"/>
          <w14:textFill>
            <w14:solidFill>
              <w14:schemeClr w14:val="tx1"/>
            </w14:solidFill>
          </w14:textFill>
        </w:rPr>
        <w:t>附图1：</w:t>
      </w:r>
      <w:r>
        <w:rPr>
          <w:rFonts w:hint="eastAsia" w:cs="Times New Roman"/>
          <w:color w:val="000000" w:themeColor="text1"/>
          <w:kern w:val="2"/>
          <w:sz w:val="28"/>
          <w:szCs w:val="28"/>
          <w:lang w:val="en-US" w:eastAsia="zh-CN"/>
          <w14:textFill>
            <w14:solidFill>
              <w14:schemeClr w14:val="tx1"/>
            </w14:solidFill>
          </w14:textFill>
        </w:rPr>
        <w:t>1</w:t>
      </w:r>
      <w:r>
        <w:rPr>
          <w:rFonts w:hint="default" w:ascii="Times New Roman" w:hAnsi="Times New Roman" w:eastAsia="宋体" w:cs="Times New Roman"/>
          <w:color w:val="000000" w:themeColor="text1"/>
          <w:kern w:val="2"/>
          <w:sz w:val="28"/>
          <w:szCs w:val="28"/>
          <w14:textFill>
            <w14:solidFill>
              <w14:schemeClr w14:val="tx1"/>
            </w14:solidFill>
          </w14:textFill>
        </w:rPr>
        <w:t>000地形地质图为底图，</w:t>
      </w:r>
      <w:r>
        <w:rPr>
          <w:color w:val="000000" w:themeColor="text1"/>
          <w:sz w:val="28"/>
          <w:szCs w:val="28"/>
          <w14:textFill>
            <w14:solidFill>
              <w14:schemeClr w14:val="tx1"/>
            </w14:solidFill>
          </w14:textFill>
        </w:rPr>
        <w:t>地质灾害点、重要地质点、采矿单元采用地质测量手段定位</w:t>
      </w:r>
      <w:r>
        <w:rPr>
          <w:rFonts w:hint="eastAsia"/>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1"/>
          <w14:textFill>
            <w14:solidFill>
              <w14:schemeClr w14:val="tx1"/>
            </w14:solidFill>
          </w14:textFill>
        </w:rPr>
        <w:t>在RTK坐标测量模式下，采用极值坐标法，定测单元位置和高程，相对于邻近图根点位误差最小为±0.05m；最大为±0.08m。高程中误差最小为±0.03m；最大为±0.09m，工程点收测的点位精度完全满足测量要求</w:t>
      </w:r>
      <w:r>
        <w:rPr>
          <w:color w:val="000000" w:themeColor="text1"/>
          <w:sz w:val="28"/>
          <w:szCs w:val="28"/>
          <w14:textFill>
            <w14:solidFill>
              <w14:schemeClr w14:val="tx1"/>
            </w14:solidFill>
          </w14:textFill>
        </w:rPr>
        <w:t>。</w:t>
      </w:r>
      <w:r>
        <w:rPr>
          <w:rFonts w:hint="eastAsia"/>
          <w:color w:val="000000" w:themeColor="text1"/>
          <w:sz w:val="28"/>
          <w:szCs w:val="28"/>
          <w:lang w:val="en-US" w:eastAsia="zh-CN"/>
          <w14:textFill>
            <w14:solidFill>
              <w14:schemeClr w14:val="tx1"/>
            </w14:solidFill>
          </w14:textFill>
        </w:rPr>
        <w:t>并</w:t>
      </w:r>
      <w:r>
        <w:rPr>
          <w:rFonts w:hint="default" w:ascii="Times New Roman" w:hAnsi="Times New Roman" w:eastAsia="宋体" w:cs="Times New Roman"/>
          <w:color w:val="000000" w:themeColor="text1"/>
          <w:kern w:val="2"/>
          <w:sz w:val="28"/>
          <w:szCs w:val="28"/>
          <w14:textFill>
            <w14:solidFill>
              <w14:schemeClr w14:val="tx1"/>
            </w14:solidFill>
          </w14:textFill>
        </w:rPr>
        <w:t>在调查过程中对各个单元进行了记录和拍照、录像。</w:t>
      </w:r>
    </w:p>
    <w:p w14:paraId="6B8CC48E">
      <w:pPr>
        <w:keepNext w:val="0"/>
        <w:keepLines w:val="0"/>
        <w:pageBreakBefore w:val="0"/>
        <w:widowControl/>
        <w:kinsoku/>
        <w:wordWrap/>
        <w:overflowPunct/>
        <w:topLinePunct w:val="0"/>
        <w:autoSpaceDE/>
        <w:autoSpaceDN/>
        <w:bidi w:val="0"/>
        <w:adjustRightInd/>
        <w:snapToGrid/>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14:textFill>
            <w14:solidFill>
              <w14:schemeClr w14:val="tx1"/>
            </w14:solidFill>
          </w14:textFill>
        </w:rPr>
        <w:t>①</w:t>
      </w:r>
      <w:r>
        <w:rPr>
          <w:rFonts w:hint="eastAsia" w:ascii="Times New Roman" w:hAnsi="Times New Roman" w:eastAsia="宋体" w:cs="Times New Roman"/>
          <w:color w:val="000000" w:themeColor="text1"/>
          <w:kern w:val="2"/>
          <w:sz w:val="28"/>
          <w:szCs w:val="28"/>
          <w:lang w:eastAsia="zh-CN"/>
          <w14:textFill>
            <w14:solidFill>
              <w14:schemeClr w14:val="tx1"/>
            </w14:solidFill>
          </w14:textFill>
        </w:rPr>
        <w:t>、</w:t>
      </w:r>
      <w:r>
        <w:rPr>
          <w:rFonts w:hint="default" w:ascii="Times New Roman" w:hAnsi="Times New Roman" w:eastAsia="宋体" w:cs="Times New Roman"/>
          <w:color w:val="000000" w:themeColor="text1"/>
          <w:kern w:val="2"/>
          <w:sz w:val="28"/>
          <w:szCs w:val="28"/>
          <w14:textFill>
            <w14:solidFill>
              <w14:schemeClr w14:val="tx1"/>
            </w14:solidFill>
          </w14:textFill>
        </w:rPr>
        <w:t>矿山地质环境调查内容</w:t>
      </w:r>
    </w:p>
    <w:p w14:paraId="3A738DDA">
      <w:pPr>
        <w:keepNext w:val="0"/>
        <w:keepLines w:val="0"/>
        <w:pageBreakBefore w:val="0"/>
        <w:widowControl/>
        <w:kinsoku/>
        <w:wordWrap/>
        <w:overflowPunct/>
        <w:topLinePunct w:val="0"/>
        <w:autoSpaceDE/>
        <w:autoSpaceDN/>
        <w:bidi w:val="0"/>
        <w:adjustRightInd/>
        <w:snapToGrid/>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eastAsia" w:ascii="Times New Roman" w:hAnsi="Times New Roman" w:eastAsia="宋体" w:cs="Times New Roman"/>
          <w:color w:val="000000" w:themeColor="text1"/>
          <w:kern w:val="2"/>
          <w:sz w:val="28"/>
          <w:szCs w:val="28"/>
          <w:lang w:val="en-US" w:eastAsia="zh-CN"/>
          <w14:textFill>
            <w14:solidFill>
              <w14:schemeClr w14:val="tx1"/>
            </w14:solidFill>
          </w14:textFill>
        </w:rPr>
        <w:t>A、</w:t>
      </w:r>
      <w:r>
        <w:rPr>
          <w:rFonts w:hint="default" w:ascii="Times New Roman" w:hAnsi="Times New Roman" w:eastAsia="宋体" w:cs="Times New Roman"/>
          <w:color w:val="000000" w:themeColor="text1"/>
          <w:kern w:val="2"/>
          <w:sz w:val="28"/>
          <w:szCs w:val="28"/>
          <w14:textFill>
            <w14:solidFill>
              <w14:schemeClr w14:val="tx1"/>
            </w14:solidFill>
          </w14:textFill>
        </w:rPr>
        <w:t>矿山概况：矿山企业名称、位置、范围、相邻矿山的分布与概况；矿山企业的性质、总投资、矿山建设规模及工程布局；矿山设计生产能力、实际生产能力、设计生产服务年限；矿产资源储量、矿床类型与赋存特征；矿山开采历史和现状；矿山开拓、采区或开采阶段布置、开采方式（方法）、开采顺序、固体废物与废水的排放与处置情况；矿区社会经济概况、基础设施分布等。</w:t>
      </w:r>
    </w:p>
    <w:p w14:paraId="2B8B9864">
      <w:pPr>
        <w:keepNext w:val="0"/>
        <w:keepLines w:val="0"/>
        <w:pageBreakBefore w:val="0"/>
        <w:widowControl/>
        <w:kinsoku/>
        <w:wordWrap/>
        <w:overflowPunct/>
        <w:topLinePunct w:val="0"/>
        <w:autoSpaceDE/>
        <w:autoSpaceDN/>
        <w:bidi w:val="0"/>
        <w:adjustRightInd/>
        <w:snapToGrid/>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eastAsia" w:ascii="Times New Roman" w:hAnsi="Times New Roman" w:eastAsia="宋体" w:cs="Times New Roman"/>
          <w:color w:val="000000" w:themeColor="text1"/>
          <w:kern w:val="2"/>
          <w:sz w:val="28"/>
          <w:szCs w:val="28"/>
          <w:lang w:val="en-US" w:eastAsia="zh-CN"/>
          <w14:textFill>
            <w14:solidFill>
              <w14:schemeClr w14:val="tx1"/>
            </w14:solidFill>
          </w14:textFill>
        </w:rPr>
        <w:t>B、</w:t>
      </w:r>
      <w:r>
        <w:rPr>
          <w:rFonts w:hint="default" w:ascii="Times New Roman" w:hAnsi="Times New Roman" w:eastAsia="宋体" w:cs="Times New Roman"/>
          <w:color w:val="000000" w:themeColor="text1"/>
          <w:kern w:val="2"/>
          <w:sz w:val="28"/>
          <w:szCs w:val="28"/>
          <w14:textFill>
            <w14:solidFill>
              <w14:schemeClr w14:val="tx1"/>
            </w14:solidFill>
          </w14:textFill>
        </w:rPr>
        <w:t>矿山自然地理：包括地形地貌、气象、水文、土地类型与植被等。</w:t>
      </w:r>
    </w:p>
    <w:p w14:paraId="682340CF">
      <w:pPr>
        <w:keepNext w:val="0"/>
        <w:keepLines w:val="0"/>
        <w:pageBreakBefore w:val="0"/>
        <w:widowControl/>
        <w:kinsoku/>
        <w:wordWrap/>
        <w:overflowPunct/>
        <w:topLinePunct w:val="0"/>
        <w:autoSpaceDE/>
        <w:autoSpaceDN/>
        <w:bidi w:val="0"/>
        <w:adjustRightInd/>
        <w:snapToGrid/>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eastAsia" w:ascii="Times New Roman" w:hAnsi="Times New Roman" w:eastAsia="宋体" w:cs="Times New Roman"/>
          <w:color w:val="000000" w:themeColor="text1"/>
          <w:kern w:val="2"/>
          <w:sz w:val="28"/>
          <w:szCs w:val="28"/>
          <w:lang w:val="en-US" w:eastAsia="zh-CN"/>
          <w14:textFill>
            <w14:solidFill>
              <w14:schemeClr w14:val="tx1"/>
            </w14:solidFill>
          </w14:textFill>
        </w:rPr>
        <w:t>C、</w:t>
      </w:r>
      <w:r>
        <w:rPr>
          <w:rFonts w:hint="default" w:ascii="Times New Roman" w:hAnsi="Times New Roman" w:eastAsia="宋体" w:cs="Times New Roman"/>
          <w:color w:val="000000" w:themeColor="text1"/>
          <w:kern w:val="2"/>
          <w:sz w:val="28"/>
          <w:szCs w:val="28"/>
          <w14:textFill>
            <w14:solidFill>
              <w14:schemeClr w14:val="tx1"/>
            </w14:solidFill>
          </w14:textFill>
        </w:rPr>
        <w:t>矿山地质环境条件：包括地层岩性、地质构造、水文地质、工程地质、矿山地质、不良地质现象、人类工程活动等。</w:t>
      </w:r>
    </w:p>
    <w:p w14:paraId="711F6948">
      <w:pPr>
        <w:keepNext w:val="0"/>
        <w:keepLines w:val="0"/>
        <w:pageBreakBefore w:val="0"/>
        <w:widowControl/>
        <w:kinsoku/>
        <w:wordWrap/>
        <w:overflowPunct/>
        <w:topLinePunct w:val="0"/>
        <w:autoSpaceDE/>
        <w:autoSpaceDN/>
        <w:bidi w:val="0"/>
        <w:adjustRightInd/>
        <w:snapToGrid/>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eastAsia" w:ascii="Times New Roman" w:hAnsi="Times New Roman" w:eastAsia="宋体" w:cs="Times New Roman"/>
          <w:color w:val="000000" w:themeColor="text1"/>
          <w:kern w:val="2"/>
          <w:sz w:val="28"/>
          <w:szCs w:val="28"/>
          <w:lang w:val="en-US" w:eastAsia="zh-CN"/>
          <w14:textFill>
            <w14:solidFill>
              <w14:schemeClr w14:val="tx1"/>
            </w14:solidFill>
          </w14:textFill>
        </w:rPr>
        <w:t>D、</w:t>
      </w:r>
      <w:r>
        <w:rPr>
          <w:rFonts w:hint="default" w:ascii="Times New Roman" w:hAnsi="Times New Roman" w:eastAsia="宋体" w:cs="Times New Roman"/>
          <w:color w:val="000000" w:themeColor="text1"/>
          <w:kern w:val="2"/>
          <w:sz w:val="28"/>
          <w:szCs w:val="28"/>
          <w14:textFill>
            <w14:solidFill>
              <w14:schemeClr w14:val="tx1"/>
            </w14:solidFill>
          </w14:textFill>
        </w:rPr>
        <w:t>采矿活动引发的</w:t>
      </w:r>
      <w:r>
        <w:rPr>
          <w:rFonts w:hint="default" w:ascii="Times New Roman" w:hAnsi="Times New Roman" w:eastAsia="宋体" w:cs="Times New Roman"/>
          <w:color w:val="000000" w:themeColor="text1"/>
          <w:kern w:val="2"/>
          <w:sz w:val="28"/>
          <w:szCs w:val="28"/>
          <w:lang w:eastAsia="zh-CN"/>
          <w14:textFill>
            <w14:solidFill>
              <w14:schemeClr w14:val="tx1"/>
            </w14:solidFill>
          </w14:textFill>
        </w:rPr>
        <w:t>崩塌</w:t>
      </w:r>
      <w:r>
        <w:rPr>
          <w:rFonts w:hint="default" w:ascii="Times New Roman" w:hAnsi="Times New Roman" w:eastAsia="宋体" w:cs="Times New Roman"/>
          <w:color w:val="000000" w:themeColor="text1"/>
          <w:kern w:val="2"/>
          <w:sz w:val="28"/>
          <w:szCs w:val="28"/>
          <w14:textFill>
            <w14:solidFill>
              <w14:schemeClr w14:val="tx1"/>
            </w14:solidFill>
          </w14:textFill>
        </w:rPr>
        <w:t>、滑坡等地质灾害及其隐患，包括地质灾害的种类、分布、规模、发生时间、发育特征、成因、危险性大小、危险程度等。</w:t>
      </w:r>
    </w:p>
    <w:p w14:paraId="54024830">
      <w:pPr>
        <w:keepNext w:val="0"/>
        <w:keepLines w:val="0"/>
        <w:pageBreakBefore w:val="0"/>
        <w:widowControl/>
        <w:kinsoku/>
        <w:wordWrap/>
        <w:overflowPunct/>
        <w:topLinePunct w:val="0"/>
        <w:autoSpaceDE/>
        <w:autoSpaceDN/>
        <w:bidi w:val="0"/>
        <w:adjustRightInd/>
        <w:snapToGrid/>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eastAsia" w:ascii="Times New Roman" w:hAnsi="Times New Roman" w:eastAsia="宋体" w:cs="Times New Roman"/>
          <w:color w:val="000000" w:themeColor="text1"/>
          <w:kern w:val="2"/>
          <w:sz w:val="28"/>
          <w:szCs w:val="28"/>
          <w:lang w:val="en-US" w:eastAsia="zh-CN"/>
          <w14:textFill>
            <w14:solidFill>
              <w14:schemeClr w14:val="tx1"/>
            </w14:solidFill>
          </w14:textFill>
        </w:rPr>
        <w:t>E、</w:t>
      </w:r>
      <w:r>
        <w:rPr>
          <w:rFonts w:hint="default" w:ascii="Times New Roman" w:hAnsi="Times New Roman" w:eastAsia="宋体" w:cs="Times New Roman"/>
          <w:color w:val="000000" w:themeColor="text1"/>
          <w:kern w:val="2"/>
          <w:sz w:val="28"/>
          <w:szCs w:val="28"/>
          <w14:textFill>
            <w14:solidFill>
              <w14:schemeClr w14:val="tx1"/>
            </w14:solidFill>
          </w14:textFill>
        </w:rPr>
        <w:t>采矿活动对地形地貌景观等的影响和破坏情况。</w:t>
      </w:r>
    </w:p>
    <w:p w14:paraId="7C24BA95">
      <w:pPr>
        <w:keepNext w:val="0"/>
        <w:keepLines w:val="0"/>
        <w:pageBreakBefore w:val="0"/>
        <w:widowControl/>
        <w:kinsoku/>
        <w:wordWrap/>
        <w:overflowPunct/>
        <w:topLinePunct w:val="0"/>
        <w:autoSpaceDE/>
        <w:autoSpaceDN/>
        <w:bidi w:val="0"/>
        <w:adjustRightInd/>
        <w:snapToGrid/>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eastAsia" w:ascii="Times New Roman" w:hAnsi="Times New Roman" w:eastAsia="宋体" w:cs="Times New Roman"/>
          <w:color w:val="000000" w:themeColor="text1"/>
          <w:kern w:val="2"/>
          <w:sz w:val="28"/>
          <w:szCs w:val="28"/>
          <w:lang w:val="en-US" w:eastAsia="zh-CN"/>
          <w14:textFill>
            <w14:solidFill>
              <w14:schemeClr w14:val="tx1"/>
            </w14:solidFill>
          </w14:textFill>
        </w:rPr>
        <w:t>F、</w:t>
      </w:r>
      <w:r>
        <w:rPr>
          <w:rFonts w:hint="default" w:ascii="Times New Roman" w:hAnsi="Times New Roman" w:eastAsia="宋体" w:cs="Times New Roman"/>
          <w:color w:val="000000" w:themeColor="text1"/>
          <w:kern w:val="2"/>
          <w:sz w:val="28"/>
          <w:szCs w:val="28"/>
          <w14:textFill>
            <w14:solidFill>
              <w14:schemeClr w14:val="tx1"/>
            </w14:solidFill>
          </w14:textFill>
        </w:rPr>
        <w:t>矿区含水层破坏，包括采矿活动引起的含水层破坏范围、规模、程度，及对生</w:t>
      </w:r>
      <w:r>
        <w:rPr>
          <w:rFonts w:hint="default" w:ascii="Times New Roman" w:hAnsi="Times New Roman" w:eastAsia="宋体" w:cs="Times New Roman"/>
          <w:color w:val="000000" w:themeColor="text1"/>
          <w:kern w:val="2"/>
          <w:sz w:val="28"/>
          <w:szCs w:val="28"/>
          <w:lang w:eastAsia="zh-CN"/>
          <w14:textFill>
            <w14:solidFill>
              <w14:schemeClr w14:val="tx1"/>
            </w14:solidFill>
          </w14:textFill>
        </w:rPr>
        <w:t>产</w:t>
      </w:r>
      <w:r>
        <w:rPr>
          <w:rFonts w:hint="default" w:ascii="Times New Roman" w:hAnsi="Times New Roman" w:eastAsia="宋体" w:cs="Times New Roman"/>
          <w:color w:val="000000" w:themeColor="text1"/>
          <w:kern w:val="2"/>
          <w:sz w:val="28"/>
          <w:szCs w:val="28"/>
          <w14:textFill>
            <w14:solidFill>
              <w14:schemeClr w14:val="tx1"/>
            </w14:solidFill>
          </w14:textFill>
        </w:rPr>
        <w:t>生活用水的影响等。</w:t>
      </w:r>
    </w:p>
    <w:p w14:paraId="38D823D7">
      <w:pPr>
        <w:keepNext w:val="0"/>
        <w:keepLines w:val="0"/>
        <w:pageBreakBefore w:val="0"/>
        <w:widowControl/>
        <w:kinsoku/>
        <w:wordWrap/>
        <w:overflowPunct/>
        <w:topLinePunct w:val="0"/>
        <w:autoSpaceDE/>
        <w:autoSpaceDN/>
        <w:bidi w:val="0"/>
        <w:adjustRightInd/>
        <w:snapToGrid/>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eastAsia" w:ascii="Times New Roman" w:hAnsi="Times New Roman" w:eastAsia="宋体" w:cs="Times New Roman"/>
          <w:color w:val="000000" w:themeColor="text1"/>
          <w:kern w:val="2"/>
          <w:sz w:val="28"/>
          <w:szCs w:val="28"/>
          <w:lang w:val="en-US" w:eastAsia="zh-CN"/>
          <w14:textFill>
            <w14:solidFill>
              <w14:schemeClr w14:val="tx1"/>
            </w14:solidFill>
          </w14:textFill>
        </w:rPr>
        <w:t>G、</w:t>
      </w:r>
      <w:r>
        <w:rPr>
          <w:rFonts w:hint="default" w:ascii="Times New Roman" w:hAnsi="Times New Roman" w:eastAsia="宋体" w:cs="Times New Roman"/>
          <w:color w:val="000000" w:themeColor="text1"/>
          <w:kern w:val="2"/>
          <w:sz w:val="28"/>
          <w:szCs w:val="28"/>
          <w14:textFill>
            <w14:solidFill>
              <w14:schemeClr w14:val="tx1"/>
            </w14:solidFill>
          </w14:textFill>
        </w:rPr>
        <w:t>采矿活动对主要交通干线、水利工程、村庄、工矿企业及其他各类建（构）筑物等的影响与破坏。</w:t>
      </w:r>
    </w:p>
    <w:p w14:paraId="7B4ED2C8">
      <w:pPr>
        <w:keepNext w:val="0"/>
        <w:keepLines w:val="0"/>
        <w:pageBreakBefore w:val="0"/>
        <w:widowControl/>
        <w:kinsoku/>
        <w:wordWrap/>
        <w:overflowPunct/>
        <w:topLinePunct w:val="0"/>
        <w:autoSpaceDE/>
        <w:autoSpaceDN/>
        <w:bidi w:val="0"/>
        <w:adjustRightInd/>
        <w:snapToGrid/>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eastAsia" w:ascii="Times New Roman" w:hAnsi="Times New Roman" w:eastAsia="宋体" w:cs="Times New Roman"/>
          <w:color w:val="000000" w:themeColor="text1"/>
          <w:kern w:val="2"/>
          <w:sz w:val="28"/>
          <w:szCs w:val="28"/>
          <w:lang w:val="en-US" w:eastAsia="zh-CN"/>
          <w14:textFill>
            <w14:solidFill>
              <w14:schemeClr w14:val="tx1"/>
            </w14:solidFill>
          </w14:textFill>
        </w:rPr>
        <w:t>H、</w:t>
      </w:r>
      <w:r>
        <w:rPr>
          <w:rFonts w:hint="default" w:ascii="Times New Roman" w:hAnsi="Times New Roman" w:eastAsia="宋体" w:cs="Times New Roman"/>
          <w:color w:val="000000" w:themeColor="text1"/>
          <w:kern w:val="2"/>
          <w:sz w:val="28"/>
          <w:szCs w:val="28"/>
          <w14:textFill>
            <w14:solidFill>
              <w14:schemeClr w14:val="tx1"/>
            </w14:solidFill>
          </w14:textFill>
        </w:rPr>
        <w:t>已采取的防治措施和治理效果。</w:t>
      </w:r>
    </w:p>
    <w:p w14:paraId="0FB67B32">
      <w:pPr>
        <w:keepNext w:val="0"/>
        <w:keepLines w:val="0"/>
        <w:pageBreakBefore w:val="0"/>
        <w:widowControl/>
        <w:kinsoku/>
        <w:wordWrap/>
        <w:overflowPunct/>
        <w:topLinePunct w:val="0"/>
        <w:autoSpaceDE/>
        <w:autoSpaceDN/>
        <w:bidi w:val="0"/>
        <w:adjustRightInd/>
        <w:snapToGrid/>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14:textFill>
            <w14:solidFill>
              <w14:schemeClr w14:val="tx1"/>
            </w14:solidFill>
          </w14:textFill>
        </w:rPr>
        <w:t>②</w:t>
      </w:r>
      <w:r>
        <w:rPr>
          <w:rFonts w:hint="eastAsia" w:ascii="Times New Roman" w:hAnsi="Times New Roman" w:eastAsia="宋体" w:cs="Times New Roman"/>
          <w:color w:val="000000" w:themeColor="text1"/>
          <w:kern w:val="2"/>
          <w:sz w:val="28"/>
          <w:szCs w:val="28"/>
          <w:lang w:eastAsia="zh-CN"/>
          <w14:textFill>
            <w14:solidFill>
              <w14:schemeClr w14:val="tx1"/>
            </w14:solidFill>
          </w14:textFill>
        </w:rPr>
        <w:t>、</w:t>
      </w:r>
      <w:r>
        <w:rPr>
          <w:rFonts w:hint="default" w:ascii="Times New Roman" w:hAnsi="Times New Roman" w:eastAsia="宋体" w:cs="Times New Roman"/>
          <w:color w:val="000000" w:themeColor="text1"/>
          <w:kern w:val="2"/>
          <w:sz w:val="28"/>
          <w:szCs w:val="28"/>
          <w14:textFill>
            <w14:solidFill>
              <w14:schemeClr w14:val="tx1"/>
            </w14:solidFill>
          </w14:textFill>
        </w:rPr>
        <w:t>土地资源调查内容</w:t>
      </w:r>
    </w:p>
    <w:p w14:paraId="56AC8FDD">
      <w:pPr>
        <w:keepNext w:val="0"/>
        <w:keepLines w:val="0"/>
        <w:pageBreakBefore w:val="0"/>
        <w:widowControl/>
        <w:kinsoku/>
        <w:wordWrap/>
        <w:overflowPunct/>
        <w:topLinePunct w:val="0"/>
        <w:autoSpaceDE/>
        <w:autoSpaceDN/>
        <w:bidi w:val="0"/>
        <w:adjustRightInd/>
        <w:snapToGrid/>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eastAsia" w:ascii="Times New Roman" w:hAnsi="Times New Roman" w:eastAsia="宋体" w:cs="Times New Roman"/>
          <w:color w:val="000000" w:themeColor="text1"/>
          <w:kern w:val="2"/>
          <w:sz w:val="28"/>
          <w:szCs w:val="28"/>
          <w:lang w:val="en-US" w:eastAsia="zh-CN"/>
          <w14:textFill>
            <w14:solidFill>
              <w14:schemeClr w14:val="tx1"/>
            </w14:solidFill>
          </w14:textFill>
        </w:rPr>
        <w:t>A、</w:t>
      </w:r>
      <w:r>
        <w:rPr>
          <w:rFonts w:hint="default" w:ascii="Times New Roman" w:hAnsi="Times New Roman" w:eastAsia="宋体" w:cs="Times New Roman"/>
          <w:color w:val="000000" w:themeColor="text1"/>
          <w:kern w:val="2"/>
          <w:sz w:val="28"/>
          <w:szCs w:val="28"/>
          <w14:textFill>
            <w14:solidFill>
              <w14:schemeClr w14:val="tx1"/>
            </w14:solidFill>
          </w14:textFill>
        </w:rPr>
        <w:t>区域土壤类型、土壤质量、用水平衡、植被类型等。</w:t>
      </w:r>
    </w:p>
    <w:p w14:paraId="2A142F3D">
      <w:pPr>
        <w:keepNext w:val="0"/>
        <w:keepLines w:val="0"/>
        <w:pageBreakBefore w:val="0"/>
        <w:widowControl/>
        <w:kinsoku/>
        <w:wordWrap/>
        <w:overflowPunct/>
        <w:topLinePunct w:val="0"/>
        <w:autoSpaceDE/>
        <w:autoSpaceDN/>
        <w:bidi w:val="0"/>
        <w:adjustRightInd/>
        <w:snapToGrid/>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eastAsia" w:ascii="Times New Roman" w:hAnsi="Times New Roman" w:eastAsia="宋体" w:cs="Times New Roman"/>
          <w:color w:val="000000" w:themeColor="text1"/>
          <w:kern w:val="2"/>
          <w:sz w:val="28"/>
          <w:szCs w:val="28"/>
          <w:lang w:val="en-US" w:eastAsia="zh-CN"/>
          <w14:textFill>
            <w14:solidFill>
              <w14:schemeClr w14:val="tx1"/>
            </w14:solidFill>
          </w14:textFill>
        </w:rPr>
        <w:t>B、</w:t>
      </w:r>
      <w:r>
        <w:rPr>
          <w:rFonts w:hint="default" w:ascii="Times New Roman" w:hAnsi="Times New Roman" w:eastAsia="宋体" w:cs="Times New Roman"/>
          <w:color w:val="000000" w:themeColor="text1"/>
          <w:kern w:val="2"/>
          <w:sz w:val="28"/>
          <w:szCs w:val="28"/>
          <w14:textFill>
            <w14:solidFill>
              <w14:schemeClr w14:val="tx1"/>
            </w14:solidFill>
          </w14:textFill>
        </w:rPr>
        <w:t>区域土地利用现状，包括土地利用类型及附属配套设施情况等。</w:t>
      </w:r>
    </w:p>
    <w:p w14:paraId="0DEF879E">
      <w:pPr>
        <w:keepNext w:val="0"/>
        <w:keepLines w:val="0"/>
        <w:pageBreakBefore w:val="0"/>
        <w:widowControl/>
        <w:kinsoku/>
        <w:wordWrap/>
        <w:overflowPunct/>
        <w:topLinePunct w:val="0"/>
        <w:autoSpaceDE/>
        <w:autoSpaceDN/>
        <w:bidi w:val="0"/>
        <w:adjustRightInd/>
        <w:snapToGrid/>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eastAsia" w:ascii="Times New Roman" w:hAnsi="Times New Roman" w:eastAsia="宋体" w:cs="Times New Roman"/>
          <w:color w:val="000000" w:themeColor="text1"/>
          <w:kern w:val="2"/>
          <w:sz w:val="28"/>
          <w:szCs w:val="28"/>
          <w:lang w:val="en-US" w:eastAsia="zh-CN"/>
          <w14:textFill>
            <w14:solidFill>
              <w14:schemeClr w14:val="tx1"/>
            </w14:solidFill>
          </w14:textFill>
        </w:rPr>
        <w:t>C、</w:t>
      </w:r>
      <w:r>
        <w:rPr>
          <w:rFonts w:hint="default" w:ascii="Times New Roman" w:hAnsi="Times New Roman" w:eastAsia="宋体" w:cs="Times New Roman"/>
          <w:color w:val="000000" w:themeColor="text1"/>
          <w:kern w:val="2"/>
          <w:sz w:val="28"/>
          <w:szCs w:val="28"/>
          <w14:textFill>
            <w14:solidFill>
              <w14:schemeClr w14:val="tx1"/>
            </w14:solidFill>
          </w14:textFill>
        </w:rPr>
        <w:t>矿区土地损毁现状：损毁的土地类型、面积、权属是否涉及基本农田等。</w:t>
      </w:r>
    </w:p>
    <w:p w14:paraId="6CB6C999">
      <w:pPr>
        <w:keepNext w:val="0"/>
        <w:keepLines w:val="0"/>
        <w:pageBreakBefore w:val="0"/>
        <w:widowControl/>
        <w:kinsoku/>
        <w:wordWrap/>
        <w:overflowPunct/>
        <w:topLinePunct w:val="0"/>
        <w:autoSpaceDE/>
        <w:autoSpaceDN/>
        <w:bidi w:val="0"/>
        <w:adjustRightInd/>
        <w:snapToGrid/>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eastAsia" w:ascii="Times New Roman" w:hAnsi="Times New Roman" w:eastAsia="宋体" w:cs="Times New Roman"/>
          <w:color w:val="000000" w:themeColor="text1"/>
          <w:kern w:val="2"/>
          <w:sz w:val="28"/>
          <w:szCs w:val="28"/>
          <w:lang w:val="en-US" w:eastAsia="zh-CN"/>
          <w14:textFill>
            <w14:solidFill>
              <w14:schemeClr w14:val="tx1"/>
            </w14:solidFill>
          </w14:textFill>
        </w:rPr>
        <w:t>D、</w:t>
      </w:r>
      <w:r>
        <w:rPr>
          <w:rFonts w:hint="default" w:ascii="Times New Roman" w:hAnsi="Times New Roman" w:eastAsia="宋体" w:cs="Times New Roman"/>
          <w:color w:val="000000" w:themeColor="text1"/>
          <w:kern w:val="2"/>
          <w:sz w:val="28"/>
          <w:szCs w:val="28"/>
          <w14:textFill>
            <w14:solidFill>
              <w14:schemeClr w14:val="tx1"/>
            </w14:solidFill>
          </w14:textFill>
        </w:rPr>
        <w:t>矿区已复垦土地面积、复垦前后地类、复垦措施和效果等。</w:t>
      </w:r>
    </w:p>
    <w:p w14:paraId="2F84FCBE">
      <w:pPr>
        <w:keepNext w:val="0"/>
        <w:keepLines w:val="0"/>
        <w:pageBreakBefore w:val="0"/>
        <w:widowControl/>
        <w:kinsoku/>
        <w:wordWrap/>
        <w:overflowPunct/>
        <w:topLinePunct w:val="0"/>
        <w:autoSpaceDE/>
        <w:autoSpaceDN/>
        <w:bidi w:val="0"/>
        <w:adjustRightInd/>
        <w:snapToGrid/>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eastAsia" w:ascii="Times New Roman" w:hAnsi="Times New Roman" w:eastAsia="宋体" w:cs="Times New Roman"/>
          <w:color w:val="000000" w:themeColor="text1"/>
          <w:kern w:val="2"/>
          <w:sz w:val="28"/>
          <w:szCs w:val="28"/>
          <w:lang w:val="en-US" w:eastAsia="zh-CN"/>
          <w14:textFill>
            <w14:solidFill>
              <w14:schemeClr w14:val="tx1"/>
            </w14:solidFill>
          </w14:textFill>
        </w:rPr>
        <w:t>E、</w:t>
      </w:r>
      <w:r>
        <w:rPr>
          <w:rFonts w:hint="default" w:ascii="Times New Roman" w:hAnsi="Times New Roman" w:eastAsia="宋体" w:cs="Times New Roman"/>
          <w:color w:val="000000" w:themeColor="text1"/>
          <w:kern w:val="2"/>
          <w:sz w:val="28"/>
          <w:szCs w:val="28"/>
          <w14:textFill>
            <w14:solidFill>
              <w14:schemeClr w14:val="tx1"/>
            </w14:solidFill>
          </w14:textFill>
        </w:rPr>
        <w:t>区域周边矿山复垦措施、复垦土地类型和效果等。</w:t>
      </w:r>
    </w:p>
    <w:p w14:paraId="7C4E65BC">
      <w:pPr>
        <w:keepNext w:val="0"/>
        <w:keepLines w:val="0"/>
        <w:pageBreakBefore w:val="0"/>
        <w:widowControl/>
        <w:kinsoku/>
        <w:wordWrap/>
        <w:overflowPunct/>
        <w:topLinePunct w:val="0"/>
        <w:autoSpaceDE/>
        <w:autoSpaceDN/>
        <w:bidi w:val="0"/>
        <w:adjustRightInd/>
        <w:snapToGrid/>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lang w:val="en-US" w:eastAsia="zh-CN"/>
          <w14:textFill>
            <w14:solidFill>
              <w14:schemeClr w14:val="tx1"/>
            </w14:solidFill>
          </w14:textFill>
        </w:rPr>
      </w:pPr>
      <w:r>
        <w:rPr>
          <w:rFonts w:hint="eastAsia" w:cs="Times New Roman"/>
          <w:color w:val="000000" w:themeColor="text1"/>
          <w:kern w:val="2"/>
          <w:sz w:val="28"/>
          <w:szCs w:val="28"/>
          <w:lang w:val="en-US" w:eastAsia="zh-CN"/>
          <w14:textFill>
            <w14:solidFill>
              <w14:schemeClr w14:val="tx1"/>
            </w14:solidFill>
          </w14:textFill>
        </w:rPr>
        <w:t>F、矿区生态损毁现状：包括植被损毁、生态服务功能退化。</w:t>
      </w:r>
    </w:p>
    <w:p w14:paraId="73E5A5E1">
      <w:pPr>
        <w:keepNext w:val="0"/>
        <w:keepLines w:val="0"/>
        <w:pageBreakBefore w:val="0"/>
        <w:widowControl/>
        <w:kinsoku/>
        <w:wordWrap/>
        <w:overflowPunct/>
        <w:topLinePunct w:val="0"/>
        <w:autoSpaceDE/>
        <w:autoSpaceDN/>
        <w:bidi w:val="0"/>
        <w:adjustRightInd/>
        <w:snapToGrid/>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14:textFill>
            <w14:solidFill>
              <w14:schemeClr w14:val="tx1"/>
            </w14:solidFill>
          </w14:textFill>
        </w:rPr>
        <w:t>③</w:t>
      </w:r>
      <w:r>
        <w:rPr>
          <w:rFonts w:hint="eastAsia" w:ascii="Times New Roman" w:hAnsi="Times New Roman" w:eastAsia="宋体" w:cs="Times New Roman"/>
          <w:color w:val="000000" w:themeColor="text1"/>
          <w:kern w:val="2"/>
          <w:sz w:val="28"/>
          <w:szCs w:val="28"/>
          <w:lang w:eastAsia="zh-CN"/>
          <w14:textFill>
            <w14:solidFill>
              <w14:schemeClr w14:val="tx1"/>
            </w14:solidFill>
          </w14:textFill>
        </w:rPr>
        <w:t>、</w:t>
      </w:r>
      <w:r>
        <w:rPr>
          <w:rFonts w:hint="default" w:ascii="Times New Roman" w:hAnsi="Times New Roman" w:eastAsia="宋体" w:cs="Times New Roman"/>
          <w:color w:val="000000" w:themeColor="text1"/>
          <w:kern w:val="2"/>
          <w:sz w:val="28"/>
          <w:szCs w:val="28"/>
          <w14:textFill>
            <w14:solidFill>
              <w14:schemeClr w14:val="tx1"/>
            </w14:solidFill>
          </w14:textFill>
        </w:rPr>
        <w:t>公众参与</w:t>
      </w:r>
    </w:p>
    <w:p w14:paraId="03640C01">
      <w:pPr>
        <w:keepNext w:val="0"/>
        <w:keepLines w:val="0"/>
        <w:pageBreakBefore w:val="0"/>
        <w:widowControl/>
        <w:kinsoku/>
        <w:wordWrap/>
        <w:overflowPunct/>
        <w:topLinePunct w:val="0"/>
        <w:autoSpaceDE/>
        <w:autoSpaceDN/>
        <w:bidi w:val="0"/>
        <w:adjustRightInd/>
        <w:snapToGrid/>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14:textFill>
            <w14:solidFill>
              <w14:schemeClr w14:val="tx1"/>
            </w14:solidFill>
          </w14:textFill>
        </w:rPr>
        <w:t>矿山实地调查完毕后，走访了当地政府、自然资源主管部门</w:t>
      </w:r>
      <w:r>
        <w:rPr>
          <w:rFonts w:hint="eastAsia" w:cs="Times New Roman"/>
          <w:color w:val="000000" w:themeColor="text1"/>
          <w:kern w:val="2"/>
          <w:sz w:val="28"/>
          <w:szCs w:val="28"/>
          <w:lang w:eastAsia="zh-CN"/>
          <w14:textFill>
            <w14:solidFill>
              <w14:schemeClr w14:val="tx1"/>
            </w14:solidFill>
          </w14:textFill>
        </w:rPr>
        <w:t>，</w:t>
      </w:r>
      <w:r>
        <w:rPr>
          <w:rFonts w:hint="default" w:ascii="Times New Roman" w:hAnsi="Times New Roman" w:eastAsia="宋体" w:cs="Times New Roman"/>
          <w:color w:val="000000" w:themeColor="text1"/>
          <w:kern w:val="2"/>
          <w:sz w:val="28"/>
          <w:szCs w:val="28"/>
          <w14:textFill>
            <w14:solidFill>
              <w14:schemeClr w14:val="tx1"/>
            </w14:solidFill>
          </w14:textFill>
        </w:rPr>
        <w:t>至附近的村庄</w:t>
      </w:r>
      <w:r>
        <w:rPr>
          <w:rFonts w:hint="eastAsia" w:cs="Times New Roman"/>
          <w:color w:val="000000" w:themeColor="text1"/>
          <w:kern w:val="2"/>
          <w:sz w:val="28"/>
          <w:szCs w:val="28"/>
          <w:lang w:val="en-US" w:eastAsia="zh-CN"/>
          <w14:textFill>
            <w14:solidFill>
              <w14:schemeClr w14:val="tx1"/>
            </w14:solidFill>
          </w14:textFill>
        </w:rPr>
        <w:t>与</w:t>
      </w:r>
      <w:r>
        <w:rPr>
          <w:rFonts w:hint="default" w:ascii="Times New Roman" w:hAnsi="Times New Roman" w:eastAsia="宋体" w:cs="Times New Roman"/>
          <w:color w:val="000000" w:themeColor="text1"/>
          <w:kern w:val="2"/>
          <w:sz w:val="28"/>
          <w:szCs w:val="28"/>
          <w14:textFill>
            <w14:solidFill>
              <w14:schemeClr w14:val="tx1"/>
            </w14:solidFill>
          </w14:textFill>
        </w:rPr>
        <w:t>土地权属者</w:t>
      </w:r>
      <w:r>
        <w:rPr>
          <w:rFonts w:hint="eastAsia" w:cs="Times New Roman"/>
          <w:color w:val="000000" w:themeColor="text1"/>
          <w:kern w:val="2"/>
          <w:sz w:val="28"/>
          <w:szCs w:val="28"/>
          <w:lang w:val="en-US" w:eastAsia="zh-CN"/>
          <w14:textFill>
            <w14:solidFill>
              <w14:schemeClr w14:val="tx1"/>
            </w14:solidFill>
          </w14:textFill>
        </w:rPr>
        <w:t>沟通</w:t>
      </w:r>
      <w:r>
        <w:rPr>
          <w:rFonts w:hint="default" w:ascii="Times New Roman" w:hAnsi="Times New Roman" w:eastAsia="宋体" w:cs="Times New Roman"/>
          <w:color w:val="000000" w:themeColor="text1"/>
          <w:kern w:val="2"/>
          <w:sz w:val="28"/>
          <w:szCs w:val="28"/>
          <w14:textFill>
            <w14:solidFill>
              <w14:schemeClr w14:val="tx1"/>
            </w14:solidFill>
          </w14:textFill>
        </w:rPr>
        <w:t>，了解了矿区周边矿山分布情况及当地自然地理概况、对于矿山地质环境治理的意见等。矿山现状调查完毕后，与矿方沟通了有关该矿具体治理工程问题。在此基础上编制了</w:t>
      </w:r>
      <w:r>
        <w:rPr>
          <w:rFonts w:hint="default" w:ascii="Times New Roman" w:hAnsi="Times New Roman" w:cs="Times New Roman"/>
          <w:bCs/>
          <w:color w:val="000000" w:themeColor="text1"/>
          <w:sz w:val="28"/>
          <w:szCs w:val="28"/>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矿区</w:t>
      </w:r>
      <w:r>
        <w:rPr>
          <w:rFonts w:hint="default" w:ascii="Times New Roman" w:hAnsi="Times New Roman" w:cs="Times New Roman"/>
          <w:color w:val="000000" w:themeColor="text1"/>
          <w:kern w:val="0"/>
          <w:sz w:val="28"/>
          <w:szCs w:val="28"/>
          <w14:textFill>
            <w14:solidFill>
              <w14:schemeClr w14:val="tx1"/>
            </w14:solidFill>
          </w14:textFill>
        </w:rPr>
        <w:t>生态修复方案</w:t>
      </w:r>
      <w:r>
        <w:rPr>
          <w:rFonts w:hint="default" w:ascii="Times New Roman" w:hAnsi="Times New Roman" w:cs="Times New Roman"/>
          <w:bCs/>
          <w:color w:val="000000" w:themeColor="text1"/>
          <w:sz w:val="28"/>
          <w:szCs w:val="28"/>
          <w14:textFill>
            <w14:solidFill>
              <w14:schemeClr w14:val="tx1"/>
            </w14:solidFill>
          </w14:textFill>
        </w:rPr>
        <w:t>》</w:t>
      </w:r>
      <w:r>
        <w:rPr>
          <w:rFonts w:hint="default" w:ascii="Times New Roman" w:hAnsi="Times New Roman" w:eastAsia="宋体" w:cs="Times New Roman"/>
          <w:color w:val="000000" w:themeColor="text1"/>
          <w:kern w:val="2"/>
          <w:sz w:val="28"/>
          <w:szCs w:val="28"/>
          <w14:textFill>
            <w14:solidFill>
              <w14:schemeClr w14:val="tx1"/>
            </w14:solidFill>
          </w14:textFill>
        </w:rPr>
        <w:t>。</w:t>
      </w:r>
    </w:p>
    <w:p w14:paraId="014AC5D6">
      <w:pPr>
        <w:keepNext w:val="0"/>
        <w:keepLines w:val="0"/>
        <w:pageBreakBefore w:val="0"/>
        <w:widowControl/>
        <w:kinsoku/>
        <w:wordWrap/>
        <w:overflowPunct/>
        <w:topLinePunct w:val="0"/>
        <w:autoSpaceDE/>
        <w:autoSpaceDN/>
        <w:bidi w:val="0"/>
        <w:adjustRightInd/>
        <w:snapToGrid/>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eastAsia" w:ascii="Times New Roman" w:hAnsi="Times New Roman" w:eastAsia="宋体" w:cs="Times New Roman"/>
          <w:color w:val="000000" w:themeColor="text1"/>
          <w:kern w:val="2"/>
          <w:sz w:val="28"/>
          <w:szCs w:val="28"/>
          <w:lang w:eastAsia="zh-CN"/>
          <w14:textFill>
            <w14:solidFill>
              <w14:schemeClr w14:val="tx1"/>
            </w14:solidFill>
          </w14:textFill>
        </w:rPr>
        <w:t>（</w:t>
      </w:r>
      <w:r>
        <w:rPr>
          <w:rFonts w:hint="eastAsia" w:ascii="Times New Roman" w:hAnsi="Times New Roman" w:eastAsia="宋体" w:cs="Times New Roman"/>
          <w:color w:val="000000" w:themeColor="text1"/>
          <w:kern w:val="2"/>
          <w:sz w:val="28"/>
          <w:szCs w:val="28"/>
          <w:lang w:val="en-US" w:eastAsia="zh-CN"/>
          <w14:textFill>
            <w14:solidFill>
              <w14:schemeClr w14:val="tx1"/>
            </w14:solidFill>
          </w14:textFill>
        </w:rPr>
        <w:t>3</w:t>
      </w:r>
      <w:r>
        <w:rPr>
          <w:rFonts w:hint="eastAsia" w:ascii="Times New Roman" w:hAnsi="Times New Roman" w:eastAsia="宋体" w:cs="Times New Roman"/>
          <w:color w:val="000000" w:themeColor="text1"/>
          <w:kern w:val="2"/>
          <w:sz w:val="28"/>
          <w:szCs w:val="28"/>
          <w:lang w:eastAsia="zh-CN"/>
          <w14:textFill>
            <w14:solidFill>
              <w14:schemeClr w14:val="tx1"/>
            </w14:solidFill>
          </w14:textFill>
        </w:rPr>
        <w:t>）</w:t>
      </w:r>
      <w:r>
        <w:rPr>
          <w:rFonts w:hint="default" w:ascii="Times New Roman" w:hAnsi="Times New Roman" w:eastAsia="宋体" w:cs="Times New Roman"/>
          <w:color w:val="000000" w:themeColor="text1"/>
          <w:kern w:val="2"/>
          <w:sz w:val="28"/>
          <w:szCs w:val="28"/>
          <w14:textFill>
            <w14:solidFill>
              <w14:schemeClr w14:val="tx1"/>
            </w14:solidFill>
          </w14:textFill>
        </w:rPr>
        <w:t>室内资料整理及综合分析</w:t>
      </w:r>
    </w:p>
    <w:p w14:paraId="1E599856">
      <w:pPr>
        <w:keepNext w:val="0"/>
        <w:keepLines w:val="0"/>
        <w:pageBreakBefore w:val="0"/>
        <w:widowControl/>
        <w:kinsoku/>
        <w:wordWrap/>
        <w:overflowPunct/>
        <w:topLinePunct w:val="0"/>
        <w:autoSpaceDE/>
        <w:autoSpaceDN/>
        <w:bidi w:val="0"/>
        <w:adjustRightInd/>
        <w:snapToGrid/>
        <w:spacing w:after="0" w:line="360" w:lineRule="auto"/>
        <w:ind w:right="0" w:firstLine="560" w:firstLineChars="200"/>
        <w:jc w:val="left"/>
        <w:textAlignment w:val="auto"/>
        <w:rPr>
          <w:rFonts w:ascii="宋体" w:hAnsi="宋体" w:eastAsia="宋体" w:cs="宋体"/>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14:textFill>
            <w14:solidFill>
              <w14:schemeClr w14:val="tx1"/>
            </w14:solidFill>
          </w14:textFill>
        </w:rPr>
        <w:t>在综合分析现有资料和实地调查结果的基础上，分析预测矿山开采的影响范围及程度、损毁的土地类型，结合损毁区及周围地质及土地利用条件，有针对性的进行土地复垦适宜性分析，进而确定土地复垦方向、生态恢复目标、地质环境恢复治理方案，根据现状评估结果和预测评估结果进行了矿山地质环境治理分区和复垦责任范围划分，编制了</w:t>
      </w:r>
      <w:r>
        <w:rPr>
          <w:rFonts w:hint="eastAsia" w:ascii="Times New Roman" w:hAnsi="Times New Roman" w:eastAsia="宋体" w:cs="Times New Roman"/>
          <w:color w:val="000000" w:themeColor="text1"/>
          <w:kern w:val="2"/>
          <w:sz w:val="28"/>
          <w:szCs w:val="28"/>
          <w:lang w:eastAsia="zh-CN"/>
          <w14:textFill>
            <w14:solidFill>
              <w14:schemeClr w14:val="tx1"/>
            </w14:solidFill>
          </w14:textFill>
        </w:rPr>
        <w:t>“</w:t>
      </w:r>
      <w:r>
        <w:rPr>
          <w:rFonts w:hint="default" w:ascii="Times New Roman" w:hAnsi="Times New Roman" w:eastAsia="宋体" w:cs="Times New Roman"/>
          <w:color w:val="000000" w:themeColor="text1"/>
          <w:kern w:val="2"/>
          <w:sz w:val="28"/>
          <w:szCs w:val="28"/>
          <w14:textFill>
            <w14:solidFill>
              <w14:schemeClr w14:val="tx1"/>
            </w14:solidFill>
          </w14:textFill>
        </w:rPr>
        <w:t>方案</w:t>
      </w:r>
      <w:r>
        <w:rPr>
          <w:rFonts w:hint="eastAsia" w:ascii="Times New Roman" w:hAnsi="Times New Roman" w:eastAsia="宋体" w:cs="Times New Roman"/>
          <w:color w:val="000000" w:themeColor="text1"/>
          <w:kern w:val="2"/>
          <w:sz w:val="28"/>
          <w:szCs w:val="28"/>
          <w:lang w:eastAsia="zh-CN"/>
          <w14:textFill>
            <w14:solidFill>
              <w14:schemeClr w14:val="tx1"/>
            </w14:solidFill>
          </w14:textFill>
        </w:rPr>
        <w:t>”</w:t>
      </w:r>
      <w:r>
        <w:rPr>
          <w:rFonts w:hint="default" w:ascii="Times New Roman" w:hAnsi="Times New Roman" w:eastAsia="宋体" w:cs="Times New Roman"/>
          <w:color w:val="000000" w:themeColor="text1"/>
          <w:kern w:val="2"/>
          <w:sz w:val="28"/>
          <w:szCs w:val="28"/>
          <w14:textFill>
            <w14:solidFill>
              <w14:schemeClr w14:val="tx1"/>
            </w14:solidFill>
          </w14:textFill>
        </w:rPr>
        <w:t>，绘制了图件，在此基础上进行了矿山地质环境治理工程设计和治理费用估算，编写</w:t>
      </w:r>
      <w:r>
        <w:rPr>
          <w:rFonts w:hint="default" w:ascii="Times New Roman" w:hAnsi="Times New Roman" w:cs="Times New Roman"/>
          <w:bCs/>
          <w:color w:val="000000" w:themeColor="text1"/>
          <w:sz w:val="28"/>
          <w:szCs w:val="28"/>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矿区</w:t>
      </w:r>
      <w:r>
        <w:rPr>
          <w:rFonts w:hint="default" w:ascii="Times New Roman" w:hAnsi="Times New Roman" w:cs="Times New Roman"/>
          <w:color w:val="000000" w:themeColor="text1"/>
          <w:kern w:val="0"/>
          <w:sz w:val="28"/>
          <w:szCs w:val="28"/>
          <w14:textFill>
            <w14:solidFill>
              <w14:schemeClr w14:val="tx1"/>
            </w14:solidFill>
          </w14:textFill>
        </w:rPr>
        <w:t>生态修复方案</w:t>
      </w:r>
      <w:r>
        <w:rPr>
          <w:rFonts w:hint="default" w:ascii="Times New Roman" w:hAnsi="Times New Roman" w:cs="Times New Roman"/>
          <w:bCs/>
          <w:color w:val="000000" w:themeColor="text1"/>
          <w:sz w:val="28"/>
          <w:szCs w:val="28"/>
          <w14:textFill>
            <w14:solidFill>
              <w14:schemeClr w14:val="tx1"/>
            </w14:solidFill>
          </w14:textFill>
        </w:rPr>
        <w:t>》</w:t>
      </w:r>
      <w:r>
        <w:rPr>
          <w:rFonts w:hint="default" w:ascii="Times New Roman" w:hAnsi="Times New Roman" w:eastAsia="宋体" w:cs="Times New Roman"/>
          <w:color w:val="000000" w:themeColor="text1"/>
          <w:kern w:val="2"/>
          <w:sz w:val="28"/>
          <w:szCs w:val="28"/>
          <w14:textFill>
            <w14:solidFill>
              <w14:schemeClr w14:val="tx1"/>
            </w14:solidFill>
          </w14:textFill>
        </w:rPr>
        <w:t>。</w:t>
      </w:r>
    </w:p>
    <w:p w14:paraId="2AA1BBE5">
      <w:pPr>
        <w:keepNext w:val="0"/>
        <w:keepLines w:val="0"/>
        <w:pageBreakBefore w:val="0"/>
        <w:widowControl/>
        <w:kinsoku/>
        <w:wordWrap/>
        <w:overflowPunct/>
        <w:topLinePunct w:val="0"/>
        <w:autoSpaceDE/>
        <w:autoSpaceDN/>
        <w:bidi w:val="0"/>
        <w:adjustRightInd/>
        <w:snapToGrid/>
        <w:spacing w:after="0" w:line="360" w:lineRule="auto"/>
        <w:ind w:left="488"/>
        <w:textAlignment w:val="auto"/>
        <w:rPr>
          <w:rFonts w:ascii="宋体" w:hAnsi="宋体" w:eastAsia="宋体" w:cs="宋体"/>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pacing w:val="-3"/>
          <w:sz w:val="28"/>
          <w:szCs w:val="28"/>
          <w:lang w:eastAsia="zh-CN"/>
          <w14:textFill>
            <w14:solidFill>
              <w14:schemeClr w14:val="tx1"/>
            </w14:solidFill>
          </w14:textFill>
        </w:rPr>
        <w:t>（</w:t>
      </w: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4</w:t>
      </w:r>
      <w:r>
        <w:rPr>
          <w:rFonts w:hint="eastAsia" w:ascii="Times New Roman" w:hAnsi="Times New Roman" w:eastAsia="宋体" w:cs="Times New Roman"/>
          <w:color w:val="000000" w:themeColor="text1"/>
          <w:spacing w:val="-3"/>
          <w:sz w:val="28"/>
          <w:szCs w:val="28"/>
          <w:lang w:eastAsia="zh-CN"/>
          <w14:textFill>
            <w14:solidFill>
              <w14:schemeClr w14:val="tx1"/>
            </w14:solidFill>
          </w14:textFill>
        </w:rPr>
        <w:t>）</w:t>
      </w:r>
      <w:r>
        <w:rPr>
          <w:rFonts w:ascii="宋体" w:hAnsi="宋体" w:eastAsia="宋体" w:cs="宋体"/>
          <w:color w:val="000000" w:themeColor="text1"/>
          <w:spacing w:val="-3"/>
          <w:sz w:val="28"/>
          <w:szCs w:val="28"/>
          <w14:textFill>
            <w14:solidFill>
              <w14:schemeClr w14:val="tx1"/>
            </w14:solidFill>
          </w14:textFill>
        </w:rPr>
        <w:t>完成工作量</w:t>
      </w:r>
    </w:p>
    <w:p w14:paraId="5464BD6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Times New Roman" w:hAnsi="Times New Roman" w:eastAsia="宋体" w:cs="Times New Roman"/>
          <w:b w:val="0"/>
          <w:bCs w:val="0"/>
          <w:color w:val="000000" w:themeColor="text1"/>
          <w:spacing w:val="-8"/>
          <w:sz w:val="21"/>
          <w:szCs w:val="21"/>
          <w:lang w:val="en-US" w:eastAsia="zh-CN" w:bidi="ar-SA"/>
          <w14:textFill>
            <w14:solidFill>
              <w14:schemeClr w14:val="tx1"/>
            </w14:solidFill>
          </w14:textFill>
        </w:rPr>
      </w:pPr>
      <w:r>
        <w:rPr>
          <w:rFonts w:hint="eastAsia" w:ascii="黑体" w:hAnsi="黑体" w:eastAsia="黑体" w:cs="黑体"/>
          <w:b w:val="0"/>
          <w:bCs w:val="0"/>
          <w:color w:val="000000" w:themeColor="text1"/>
          <w:spacing w:val="-8"/>
          <w:sz w:val="24"/>
          <w:szCs w:val="24"/>
          <w:lang w:val="en-US" w:eastAsia="zh-CN" w:bidi="ar-SA"/>
          <w14:textFill>
            <w14:solidFill>
              <w14:schemeClr w14:val="tx1"/>
            </w14:solidFill>
          </w14:textFill>
        </w:rPr>
        <w:t>表1  工作量统计一览表</w:t>
      </w:r>
    </w:p>
    <w:p w14:paraId="488FA88B">
      <w:pPr>
        <w:rPr>
          <w:rFonts w:hint="eastAsia" w:cs="Times New Roman"/>
          <w:color w:val="000000" w:themeColor="text1"/>
          <w:kern w:val="2"/>
          <w:sz w:val="28"/>
          <w:szCs w:val="28"/>
          <w:lang w:val="en-US" w:eastAsia="zh-CN"/>
          <w14:textFill>
            <w14:solidFill>
              <w14:schemeClr w14:val="tx1"/>
            </w14:solidFill>
          </w14:textFill>
        </w:rPr>
      </w:pPr>
      <w:r>
        <w:rPr>
          <w:rFonts w:hint="eastAsia" w:cs="Times New Roman"/>
          <w:color w:val="000000" w:themeColor="text1"/>
          <w:kern w:val="2"/>
          <w:sz w:val="28"/>
          <w:szCs w:val="28"/>
          <w:lang w:val="en-US" w:eastAsia="zh-CN"/>
          <w14:textFill>
            <w14:solidFill>
              <w14:schemeClr w14:val="tx1"/>
            </w14:solidFill>
          </w14:textFill>
        </w:rPr>
        <w:br w:type="page"/>
      </w:r>
    </w:p>
    <w:p w14:paraId="5BBB7424">
      <w:pPr>
        <w:keepNext w:val="0"/>
        <w:keepLines w:val="0"/>
        <w:pageBreakBefore w:val="0"/>
        <w:widowControl/>
        <w:kinsoku/>
        <w:wordWrap/>
        <w:overflowPunct/>
        <w:topLinePunct w:val="0"/>
        <w:autoSpaceDE/>
        <w:autoSpaceDN/>
        <w:bidi w:val="0"/>
        <w:adjustRightInd/>
        <w:snapToGrid/>
        <w:spacing w:before="144" w:beforeLines="50"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eastAsia" w:cs="Times New Roman"/>
          <w:color w:val="000000" w:themeColor="text1"/>
          <w:kern w:val="2"/>
          <w:sz w:val="28"/>
          <w:szCs w:val="28"/>
          <w:lang w:val="en-US" w:eastAsia="zh-CN"/>
          <w14:textFill>
            <w14:solidFill>
              <w14:schemeClr w14:val="tx1"/>
            </w14:solidFill>
          </w14:textFill>
        </w:rPr>
        <w:t>3</w:t>
      </w:r>
      <w:r>
        <w:rPr>
          <w:rFonts w:hint="eastAsia" w:ascii="Times New Roman" w:hAnsi="Times New Roman" w:eastAsia="宋体" w:cs="Times New Roman"/>
          <w:color w:val="000000" w:themeColor="text1"/>
          <w:kern w:val="2"/>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kern w:val="2"/>
          <w:sz w:val="28"/>
          <w:szCs w:val="28"/>
          <w14:textFill>
            <w14:solidFill>
              <w14:schemeClr w14:val="tx1"/>
            </w14:solidFill>
          </w14:textFill>
        </w:rPr>
        <w:t>工作质量评述</w:t>
      </w:r>
    </w:p>
    <w:p w14:paraId="786EB686">
      <w:pPr>
        <w:keepNext w:val="0"/>
        <w:keepLines w:val="0"/>
        <w:pageBreakBefore w:val="0"/>
        <w:kinsoku/>
        <w:wordWrap/>
        <w:overflowPunct/>
        <w:topLinePunct w:val="0"/>
        <w:autoSpaceDE/>
        <w:autoSpaceDN/>
        <w:bidi w:val="0"/>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14:textFill>
            <w14:solidFill>
              <w14:schemeClr w14:val="tx1"/>
            </w14:solidFill>
          </w14:textFill>
        </w:rPr>
        <w:t>本次方案编制工作严格按照</w:t>
      </w: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《矿区生态修复方案编制指南（临时）》</w:t>
      </w:r>
      <w:r>
        <w:rPr>
          <w:rFonts w:hint="default" w:ascii="Times New Roman" w:hAnsi="Times New Roman" w:eastAsia="宋体" w:cs="Times New Roman"/>
          <w:color w:val="000000" w:themeColor="text1"/>
          <w:kern w:val="2"/>
          <w:sz w:val="28"/>
          <w:szCs w:val="28"/>
          <w14:textFill>
            <w14:solidFill>
              <w14:schemeClr w14:val="tx1"/>
            </w14:solidFill>
          </w14:textFill>
        </w:rPr>
        <w:t>开展。本方案在全面收集矿区相关资料以及地质环境调查、土地利用状况调查的基础上，严格按照</w:t>
      </w:r>
      <w:r>
        <w:rPr>
          <w:rFonts w:hint="eastAsia" w:ascii="Times New Roman" w:hAnsi="Times New Roman" w:eastAsia="宋体" w:cs="Times New Roman"/>
          <w:color w:val="000000" w:themeColor="text1"/>
          <w:kern w:val="2"/>
          <w:sz w:val="28"/>
          <w:szCs w:val="28"/>
          <w:lang w:eastAsia="zh-CN"/>
          <w14:textFill>
            <w14:solidFill>
              <w14:schemeClr w14:val="tx1"/>
            </w14:solidFill>
          </w14:textFill>
        </w:rPr>
        <w:t>“</w:t>
      </w:r>
      <w:r>
        <w:rPr>
          <w:rFonts w:hint="default" w:ascii="Times New Roman" w:hAnsi="Times New Roman" w:eastAsia="宋体" w:cs="Times New Roman"/>
          <w:color w:val="000000" w:themeColor="text1"/>
          <w:kern w:val="2"/>
          <w:sz w:val="28"/>
          <w:szCs w:val="28"/>
          <w14:textFill>
            <w14:solidFill>
              <w14:schemeClr w14:val="tx1"/>
            </w14:solidFill>
          </w14:textFill>
        </w:rPr>
        <w:t>编制指南</w:t>
      </w:r>
      <w:r>
        <w:rPr>
          <w:rFonts w:hint="eastAsia" w:ascii="Times New Roman" w:hAnsi="Times New Roman" w:eastAsia="宋体" w:cs="Times New Roman"/>
          <w:color w:val="000000" w:themeColor="text1"/>
          <w:kern w:val="2"/>
          <w:sz w:val="28"/>
          <w:szCs w:val="28"/>
          <w:lang w:eastAsia="zh-CN"/>
          <w14:textFill>
            <w14:solidFill>
              <w14:schemeClr w14:val="tx1"/>
            </w14:solidFill>
          </w14:textFill>
        </w:rPr>
        <w:t>”</w:t>
      </w:r>
      <w:r>
        <w:rPr>
          <w:rFonts w:hint="default" w:ascii="Times New Roman" w:hAnsi="Times New Roman" w:eastAsia="宋体" w:cs="Times New Roman"/>
          <w:color w:val="000000" w:themeColor="text1"/>
          <w:kern w:val="2"/>
          <w:sz w:val="28"/>
          <w:szCs w:val="28"/>
          <w14:textFill>
            <w14:solidFill>
              <w14:schemeClr w14:val="tx1"/>
            </w14:solidFill>
          </w14:textFill>
        </w:rPr>
        <w:t>及其它有关规范或技术要求进行编制的，野外调查采取无人机航拍、RTK测点、GPS手持机辅助、路线穿越法和地质环境追索法相结合的方法进行，调查范围在评估影响范围基础上再外扩最少为300m。野外调查以矿山提供的《开发利用方案》附图1：</w:t>
      </w:r>
      <w:r>
        <w:rPr>
          <w:rFonts w:hint="eastAsia" w:cs="Times New Roman"/>
          <w:color w:val="000000" w:themeColor="text1"/>
          <w:kern w:val="2"/>
          <w:sz w:val="28"/>
          <w:szCs w:val="28"/>
          <w:lang w:val="en-US" w:eastAsia="zh-CN"/>
          <w14:textFill>
            <w14:solidFill>
              <w14:schemeClr w14:val="tx1"/>
            </w14:solidFill>
          </w14:textFill>
        </w:rPr>
        <w:t>1</w:t>
      </w:r>
      <w:r>
        <w:rPr>
          <w:rFonts w:hint="default" w:ascii="Times New Roman" w:hAnsi="Times New Roman" w:eastAsia="宋体" w:cs="Times New Roman"/>
          <w:color w:val="000000" w:themeColor="text1"/>
          <w:kern w:val="2"/>
          <w:sz w:val="28"/>
          <w:szCs w:val="28"/>
          <w14:textFill>
            <w14:solidFill>
              <w14:schemeClr w14:val="tx1"/>
            </w14:solidFill>
          </w14:textFill>
        </w:rPr>
        <w:t>000地形地质图为底图，精度满足调查要求。</w:t>
      </w:r>
    </w:p>
    <w:p w14:paraId="39E4BBAF">
      <w:pPr>
        <w:keepNext w:val="0"/>
        <w:keepLines w:val="0"/>
        <w:pageBreakBefore w:val="0"/>
        <w:kinsoku/>
        <w:wordWrap/>
        <w:overflowPunct/>
        <w:topLinePunct w:val="0"/>
        <w:autoSpaceDE/>
        <w:autoSpaceDN/>
        <w:bidi w:val="0"/>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14:textFill>
            <w14:solidFill>
              <w14:schemeClr w14:val="tx1"/>
            </w14:solidFill>
          </w14:textFill>
        </w:rPr>
        <w:t>在编制过程中，采用分工合作的方式开展，项目组通过广泛收集、分析研究与矿山相关的地质环境资料，以及现场踏勘，对矿山地质环境条件、矿山地面工程和土地资源损毁情况</w:t>
      </w:r>
      <w:r>
        <w:rPr>
          <w:rFonts w:hint="eastAsia" w:cs="Times New Roman"/>
          <w:color w:val="000000" w:themeColor="text1"/>
          <w:kern w:val="2"/>
          <w:sz w:val="28"/>
          <w:szCs w:val="28"/>
          <w:lang w:eastAsia="zh-CN"/>
          <w14:textFill>
            <w14:solidFill>
              <w14:schemeClr w14:val="tx1"/>
            </w14:solidFill>
          </w14:textFill>
        </w:rPr>
        <w:t>、生态损毁</w:t>
      </w:r>
      <w:r>
        <w:rPr>
          <w:rFonts w:hint="eastAsia" w:cs="Times New Roman"/>
          <w:color w:val="000000" w:themeColor="text1"/>
          <w:kern w:val="2"/>
          <w:sz w:val="28"/>
          <w:szCs w:val="28"/>
          <w:lang w:val="en-US" w:eastAsia="zh-CN"/>
          <w14:textFill>
            <w14:solidFill>
              <w14:schemeClr w14:val="tx1"/>
            </w14:solidFill>
          </w14:textFill>
        </w:rPr>
        <w:t>情况</w:t>
      </w:r>
      <w:r>
        <w:rPr>
          <w:rFonts w:hint="default" w:ascii="Times New Roman" w:hAnsi="Times New Roman" w:eastAsia="宋体" w:cs="Times New Roman"/>
          <w:color w:val="000000" w:themeColor="text1"/>
          <w:kern w:val="2"/>
          <w:sz w:val="28"/>
          <w:szCs w:val="28"/>
          <w14:textFill>
            <w14:solidFill>
              <w14:schemeClr w14:val="tx1"/>
            </w14:solidFill>
          </w14:textFill>
        </w:rPr>
        <w:t>进行调查分析，初步确定本《方案》评估范围和复垦责任范围。</w:t>
      </w:r>
    </w:p>
    <w:p w14:paraId="45431686">
      <w:pPr>
        <w:keepNext w:val="0"/>
        <w:keepLines w:val="0"/>
        <w:pageBreakBefore w:val="0"/>
        <w:kinsoku/>
        <w:wordWrap/>
        <w:overflowPunct/>
        <w:topLinePunct w:val="0"/>
        <w:autoSpaceDE/>
        <w:autoSpaceDN/>
        <w:bidi w:val="0"/>
        <w:spacing w:after="0" w:line="360" w:lineRule="auto"/>
        <w:ind w:right="0" w:firstLine="560" w:firstLineChars="200"/>
        <w:jc w:val="left"/>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14:textFill>
            <w14:solidFill>
              <w14:schemeClr w14:val="tx1"/>
            </w14:solidFill>
          </w14:textFill>
        </w:rPr>
        <w:t>在上述工作的基础上，结合矿山《</w:t>
      </w:r>
      <w:r>
        <w:rPr>
          <w:rFonts w:hint="eastAsia" w:ascii="Times New Roman" w:hAnsi="Times New Roman" w:eastAsia="宋体" w:cs="Times New Roman"/>
          <w:color w:val="000000" w:themeColor="text1"/>
          <w:kern w:val="2"/>
          <w:sz w:val="28"/>
          <w:szCs w:val="28"/>
          <w:lang w:val="en-US" w:eastAsia="zh-CN"/>
          <w14:textFill>
            <w14:solidFill>
              <w14:schemeClr w14:val="tx1"/>
            </w14:solidFill>
          </w14:textFill>
        </w:rPr>
        <w:t>内蒙古自治区赤峰市松山区德春砖厂粘土矿开发与治理综合方案</w:t>
      </w:r>
      <w:r>
        <w:rPr>
          <w:rFonts w:hint="default" w:ascii="Times New Roman" w:hAnsi="Times New Roman" w:eastAsia="宋体" w:cs="Times New Roman"/>
          <w:color w:val="000000" w:themeColor="text1"/>
          <w:kern w:val="2"/>
          <w:sz w:val="28"/>
          <w:szCs w:val="28"/>
          <w14:textFill>
            <w14:solidFill>
              <w14:schemeClr w14:val="tx1"/>
            </w14:solidFill>
          </w14:textFill>
        </w:rPr>
        <w:t>》及相关资料，对野外资料进行综合分析之后，利用mapgis软件成图，编制了本《方案》。</w:t>
      </w:r>
    </w:p>
    <w:p w14:paraId="33BCC917">
      <w:pPr>
        <w:spacing w:line="360" w:lineRule="auto"/>
        <w:ind w:firstLine="560" w:firstLineChars="200"/>
        <w:rPr>
          <w:rFonts w:hint="eastAsia" w:ascii="宋体" w:hAnsi="宋体" w:cs="宋体"/>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14:textFill>
            <w14:solidFill>
              <w14:schemeClr w14:val="tx1"/>
            </w14:solidFill>
          </w14:textFill>
        </w:rPr>
        <w:t>实物工作量资料真实，数据准确，野外调查资料自检和互检率均为100%，项目负责人检查率为100%；室内编写的图件、报告均通过我单位内部审查、矿山企业审核后由矿业权人按程序报送审查。质量满足</w:t>
      </w:r>
      <w:r>
        <w:rPr>
          <w:rFonts w:hint="eastAsia" w:ascii="Times New Roman" w:hAnsi="Times New Roman" w:eastAsia="宋体" w:cs="Times New Roman"/>
          <w:color w:val="000000" w:themeColor="text1"/>
          <w:kern w:val="2"/>
          <w:sz w:val="28"/>
          <w:szCs w:val="28"/>
          <w:lang w:eastAsia="zh-CN"/>
          <w14:textFill>
            <w14:solidFill>
              <w14:schemeClr w14:val="tx1"/>
            </w14:solidFill>
          </w14:textFill>
        </w:rPr>
        <w:t>“</w:t>
      </w:r>
      <w:r>
        <w:rPr>
          <w:rFonts w:hint="default" w:ascii="Times New Roman" w:hAnsi="Times New Roman" w:eastAsia="宋体" w:cs="Times New Roman"/>
          <w:color w:val="000000" w:themeColor="text1"/>
          <w:kern w:val="2"/>
          <w:sz w:val="28"/>
          <w:szCs w:val="28"/>
          <w14:textFill>
            <w14:solidFill>
              <w14:schemeClr w14:val="tx1"/>
            </w14:solidFill>
          </w14:textFill>
        </w:rPr>
        <w:t>编制指南</w:t>
      </w:r>
      <w:r>
        <w:rPr>
          <w:rFonts w:hint="eastAsia" w:ascii="Times New Roman" w:hAnsi="Times New Roman" w:eastAsia="宋体" w:cs="Times New Roman"/>
          <w:color w:val="000000" w:themeColor="text1"/>
          <w:kern w:val="2"/>
          <w:sz w:val="28"/>
          <w:szCs w:val="28"/>
          <w:lang w:eastAsia="zh-CN"/>
          <w14:textFill>
            <w14:solidFill>
              <w14:schemeClr w14:val="tx1"/>
            </w14:solidFill>
          </w14:textFill>
        </w:rPr>
        <w:t>”</w:t>
      </w:r>
      <w:r>
        <w:rPr>
          <w:rFonts w:hint="default" w:ascii="Times New Roman" w:hAnsi="Times New Roman" w:eastAsia="宋体" w:cs="Times New Roman"/>
          <w:color w:val="000000" w:themeColor="text1"/>
          <w:kern w:val="2"/>
          <w:sz w:val="28"/>
          <w:szCs w:val="28"/>
          <w14:textFill>
            <w14:solidFill>
              <w14:schemeClr w14:val="tx1"/>
            </w14:solidFill>
          </w14:textFill>
        </w:rPr>
        <w:t>及有关规范或技术要求，完成了预期的工作任务，达到了工作目的。</w:t>
      </w:r>
    </w:p>
    <w:p w14:paraId="4EF7D803">
      <w:pPr>
        <w:pStyle w:val="3"/>
        <w:spacing w:before="0" w:beforeLines="0"/>
        <w:ind w:firstLine="602" w:firstLineChars="200"/>
        <w:jc w:val="both"/>
        <w:rPr>
          <w:color w:val="000000" w:themeColor="text1"/>
          <w14:textFill>
            <w14:solidFill>
              <w14:schemeClr w14:val="tx1"/>
            </w14:solidFill>
          </w14:textFill>
        </w:rPr>
      </w:pPr>
      <w:bookmarkStart w:id="13" w:name="_Toc5367"/>
      <w:r>
        <w:rPr>
          <w:rFonts w:hint="eastAsia"/>
          <w:color w:val="000000" w:themeColor="text1"/>
          <w14:textFill>
            <w14:solidFill>
              <w14:schemeClr w14:val="tx1"/>
            </w14:solidFill>
          </w14:textFill>
        </w:rPr>
        <w:t>二、服务年限</w:t>
      </w:r>
      <w:bookmarkEnd w:id="13"/>
    </w:p>
    <w:p w14:paraId="1526CD53">
      <w:pPr>
        <w:pStyle w:val="5"/>
        <w:bidi w:val="0"/>
        <w:spacing w:line="360" w:lineRule="auto"/>
        <w:ind w:firstLine="562" w:firstLineChars="200"/>
        <w:rPr>
          <w:rFonts w:hint="eastAsia" w:hAnsi="Times New Roman" w:cs="Times New Roman"/>
          <w:b/>
          <w:bCs/>
          <w:color w:val="000000" w:themeColor="text1"/>
          <w:sz w:val="28"/>
          <w:szCs w:val="24"/>
          <w14:textFill>
            <w14:solidFill>
              <w14:schemeClr w14:val="tx1"/>
            </w14:solidFill>
          </w14:textFill>
        </w:rPr>
      </w:pPr>
      <w:r>
        <w:rPr>
          <w:rFonts w:hint="eastAsia" w:hAnsi="Times New Roman" w:cs="Times New Roman"/>
          <w:b/>
          <w:bCs/>
          <w:color w:val="000000" w:themeColor="text1"/>
          <w:sz w:val="28"/>
          <w:szCs w:val="24"/>
          <w14:textFill>
            <w14:solidFill>
              <w14:schemeClr w14:val="tx1"/>
            </w14:solidFill>
          </w14:textFill>
        </w:rPr>
        <w:t>（一）生产服务年限</w:t>
      </w:r>
    </w:p>
    <w:p w14:paraId="74BA8C3B">
      <w:pPr>
        <w:keepNext w:val="0"/>
        <w:keepLines w:val="0"/>
        <w:pageBreakBefore w:val="0"/>
        <w:widowControl w:val="0"/>
        <w:kinsoku/>
        <w:wordWrap/>
        <w:overflowPunct/>
        <w:topLinePunct w:val="0"/>
        <w:bidi w:val="0"/>
        <w:snapToGrid/>
        <w:spacing w:line="360" w:lineRule="auto"/>
        <w:ind w:firstLine="560" w:firstLineChars="200"/>
        <w:textAlignment w:val="auto"/>
        <w:rPr>
          <w:rFonts w:hint="default" w:ascii="Times New Roman" w:hAnsi="Times New Roman" w:cs="Times New Roman"/>
          <w:color w:val="000000" w:themeColor="text1"/>
          <w:sz w:val="28"/>
          <w:szCs w:val="28"/>
          <w:highlight w:val="none"/>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根据</w:t>
      </w:r>
      <w:r>
        <w:rPr>
          <w:rFonts w:hint="default" w:ascii="Times New Roman" w:hAnsi="Times New Roman" w:eastAsia="宋体" w:cs="Times New Roman"/>
          <w:color w:val="000000" w:themeColor="text1"/>
          <w:sz w:val="28"/>
          <w:szCs w:val="28"/>
          <w14:textFill>
            <w14:solidFill>
              <w14:schemeClr w14:val="tx1"/>
            </w14:solidFill>
          </w14:textFill>
        </w:rPr>
        <w:t>20</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21</w:t>
      </w:r>
      <w:r>
        <w:rPr>
          <w:rFonts w:hint="default" w:ascii="Times New Roman" w:hAnsi="Times New Roman" w:eastAsia="宋体" w:cs="Times New Roman"/>
          <w:color w:val="000000" w:themeColor="text1"/>
          <w:sz w:val="28"/>
          <w:szCs w:val="28"/>
          <w14:textFill>
            <w14:solidFill>
              <w14:schemeClr w14:val="tx1"/>
            </w14:solidFill>
          </w14:textFill>
        </w:rPr>
        <w:t>年</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月，由</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赤峰带路矿业咨询有限公司联合江西核工业工程地质勘察院</w:t>
      </w:r>
      <w:r>
        <w:rPr>
          <w:rFonts w:hint="default" w:ascii="Times New Roman" w:hAnsi="Times New Roman" w:eastAsia="宋体" w:cs="Times New Roman"/>
          <w:color w:val="000000" w:themeColor="text1"/>
          <w:sz w:val="28"/>
          <w:szCs w:val="28"/>
          <w14:textFill>
            <w14:solidFill>
              <w14:schemeClr w14:val="tx1"/>
            </w14:solidFill>
          </w14:textFill>
        </w:rPr>
        <w:t>编制并提交了《内蒙古自治区赤峰市松山区德春砖厂粘土矿开发与治理综合方案》</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（以下简称</w:t>
      </w:r>
      <w:r>
        <w:rPr>
          <w:rFonts w:hint="eastAsia" w:eastAsia="宋体" w:cs="Times New Roman"/>
          <w:color w:val="000000" w:themeColor="text1"/>
          <w:spacing w:val="-3"/>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开发与治理综合方案</w:t>
      </w:r>
      <w:r>
        <w:rPr>
          <w:rFonts w:hint="eastAsia" w:eastAsia="宋体" w:cs="Times New Roman"/>
          <w:color w:val="000000" w:themeColor="text1"/>
          <w:spacing w:val="-3"/>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w:t>
      </w:r>
      <w:r>
        <w:rPr>
          <w:rFonts w:hint="default" w:ascii="Times New Roman" w:hAnsi="Times New Roman" w:eastAsia="宋体" w:cs="Times New Roman"/>
          <w:color w:val="000000" w:themeColor="text1"/>
          <w:spacing w:val="-3"/>
          <w:sz w:val="28"/>
          <w:szCs w:val="28"/>
          <w:lang w:val="en-US" w:eastAsia="zh-CN"/>
          <w14:textFill>
            <w14:solidFill>
              <w14:schemeClr w14:val="tx1"/>
            </w14:solidFill>
          </w14:textFill>
        </w:rPr>
        <w:t>赤自然资综合评字</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〔202</w:t>
      </w:r>
      <w:r>
        <w:rPr>
          <w:rFonts w:hint="eastAsia" w:cs="Times New Roman"/>
          <w:color w:val="000000" w:themeColor="text1"/>
          <w:sz w:val="28"/>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3"/>
          <w:sz w:val="28"/>
          <w:szCs w:val="28"/>
          <w:lang w:val="en-US" w:eastAsia="zh-CN"/>
          <w14:textFill>
            <w14:solidFill>
              <w14:schemeClr w14:val="tx1"/>
            </w14:solidFill>
          </w14:textFill>
        </w:rPr>
        <w:t>002号</w:t>
      </w:r>
      <w:r>
        <w:rPr>
          <w:rFonts w:hint="eastAsia" w:eastAsia="宋体" w:cs="Times New Roman"/>
          <w:color w:val="000000" w:themeColor="text1"/>
          <w:spacing w:val="-3"/>
          <w:sz w:val="28"/>
          <w:szCs w:val="28"/>
          <w:lang w:val="en-US"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截止2021年4月30日，矿区保有资源量(KZ+TD)322.46×10</w:t>
      </w:r>
      <w:r>
        <w:rPr>
          <w:rFonts w:hint="default" w:ascii="Times New Roman" w:hAnsi="Times New Roman" w:cs="Times New Roman"/>
          <w:color w:val="000000" w:themeColor="text1"/>
          <w:sz w:val="28"/>
          <w:szCs w:val="28"/>
          <w:vertAlign w:val="superscript"/>
          <w:lang w:val="en-US" w:eastAsia="zh-CN"/>
          <w14:textFill>
            <w14:solidFill>
              <w14:schemeClr w14:val="tx1"/>
            </w14:solidFill>
          </w14:textFill>
        </w:rPr>
        <w:t>4</w:t>
      </w:r>
      <w:r>
        <w:rPr>
          <w:rFonts w:hint="default" w:ascii="Times New Roman" w:hAnsi="Times New Roman" w:cs="Times New Roman"/>
          <w:color w:val="000000" w:themeColor="text1"/>
          <w:sz w:val="28"/>
          <w:szCs w:val="28"/>
          <w:lang w:val="en-US" w:eastAsia="zh-CN"/>
          <w14:textFill>
            <w14:solidFill>
              <w14:schemeClr w14:val="tx1"/>
            </w14:solidFill>
          </w14:textFill>
        </w:rPr>
        <w:t>m</w:t>
      </w:r>
      <w:r>
        <w:rPr>
          <w:rFonts w:hint="default" w:ascii="Times New Roman" w:hAnsi="Times New Roman" w:cs="Times New Roman"/>
          <w:color w:val="000000" w:themeColor="text1"/>
          <w:sz w:val="28"/>
          <w:szCs w:val="28"/>
          <w:vertAlign w:val="superscript"/>
          <w:lang w:val="en-US" w:eastAsia="zh-CN"/>
          <w14:textFill>
            <w14:solidFill>
              <w14:schemeClr w14:val="tx1"/>
            </w14:solidFill>
          </w14:textFill>
        </w:rPr>
        <w:t>3</w:t>
      </w:r>
      <w:r>
        <w:rPr>
          <w:rFonts w:hint="eastAsia" w:cs="Times New Roman"/>
          <w:color w:val="000000" w:themeColor="text1"/>
          <w:sz w:val="28"/>
          <w:szCs w:val="28"/>
          <w:lang w:val="en-US" w:eastAsia="zh-CN"/>
          <w14:textFill>
            <w14:solidFill>
              <w14:schemeClr w14:val="tx1"/>
            </w14:solidFill>
          </w14:textFill>
        </w:rPr>
        <w:t>，</w:t>
      </w:r>
      <w:r>
        <w:rPr>
          <w:rFonts w:hint="default" w:ascii="Times New Roman" w:hAnsi="Times New Roman" w:cs="Times New Roman"/>
          <w:color w:val="000000" w:themeColor="text1"/>
          <w:sz w:val="28"/>
          <w:szCs w:val="28"/>
          <w:highlight w:val="none"/>
          <w:lang w:eastAsia="zh-CN"/>
          <w14:textFill>
            <w14:solidFill>
              <w14:schemeClr w14:val="tx1"/>
            </w14:solidFill>
          </w14:textFill>
        </w:rPr>
        <w:t>其中控制资源量</w:t>
      </w: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98.94</w:t>
      </w:r>
      <w:r>
        <w:rPr>
          <w:rFonts w:hint="default" w:ascii="Times New Roman" w:hAnsi="Times New Roman" w:cs="Times New Roman"/>
          <w:color w:val="000000" w:themeColor="text1"/>
          <w:sz w:val="28"/>
          <w:szCs w:val="28"/>
          <w:highlight w:val="none"/>
          <w14:textFill>
            <w14:solidFill>
              <w14:schemeClr w14:val="tx1"/>
            </w14:solidFill>
          </w14:textFill>
        </w:rPr>
        <w:t>×10</w:t>
      </w:r>
      <w:r>
        <w:rPr>
          <w:rFonts w:hint="default" w:ascii="Times New Roman" w:hAnsi="Times New Roman" w:cs="Times New Roman"/>
          <w:color w:val="000000" w:themeColor="text1"/>
          <w:sz w:val="28"/>
          <w:szCs w:val="28"/>
          <w:highlight w:val="none"/>
          <w:vertAlign w:val="superscript"/>
          <w14:textFill>
            <w14:solidFill>
              <w14:schemeClr w14:val="tx1"/>
            </w14:solidFill>
          </w14:textFill>
        </w:rPr>
        <w:t>4</w:t>
      </w:r>
      <w:r>
        <w:rPr>
          <w:rFonts w:hint="default" w:ascii="Times New Roman" w:hAnsi="Times New Roman" w:cs="Times New Roman"/>
          <w:color w:val="000000" w:themeColor="text1"/>
          <w:sz w:val="28"/>
          <w:szCs w:val="28"/>
          <w:highlight w:val="none"/>
          <w14:textFill>
            <w14:solidFill>
              <w14:schemeClr w14:val="tx1"/>
            </w14:solidFill>
          </w14:textFill>
        </w:rPr>
        <w:t>m</w:t>
      </w:r>
      <w:r>
        <w:rPr>
          <w:rFonts w:hint="default" w:ascii="Times New Roman" w:hAnsi="Times New Roman" w:cs="Times New Roman"/>
          <w:color w:val="000000" w:themeColor="text1"/>
          <w:sz w:val="28"/>
          <w:szCs w:val="28"/>
          <w:highlight w:val="none"/>
          <w:vertAlign w:val="superscript"/>
          <w14:textFill>
            <w14:solidFill>
              <w14:schemeClr w14:val="tx1"/>
            </w14:solidFill>
          </w14:textFill>
        </w:rPr>
        <w:t>3</w:t>
      </w:r>
      <w:r>
        <w:rPr>
          <w:rFonts w:hint="default" w:ascii="Times New Roman" w:hAnsi="Times New Roman" w:cs="Times New Roman"/>
          <w:color w:val="000000" w:themeColor="text1"/>
          <w:sz w:val="28"/>
          <w:szCs w:val="28"/>
          <w:highlight w:val="none"/>
          <w:lang w:eastAsia="zh-CN"/>
          <w14:textFill>
            <w14:solidFill>
              <w14:schemeClr w14:val="tx1"/>
            </w14:solidFill>
          </w14:textFill>
        </w:rPr>
        <w:t>，推断资源量</w:t>
      </w: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223.53</w:t>
      </w:r>
      <w:r>
        <w:rPr>
          <w:rFonts w:hint="default" w:ascii="Times New Roman" w:hAnsi="Times New Roman" w:cs="Times New Roman"/>
          <w:color w:val="000000" w:themeColor="text1"/>
          <w:sz w:val="28"/>
          <w:szCs w:val="28"/>
          <w:highlight w:val="none"/>
          <w14:textFill>
            <w14:solidFill>
              <w14:schemeClr w14:val="tx1"/>
            </w14:solidFill>
          </w14:textFill>
        </w:rPr>
        <w:t>×10</w:t>
      </w:r>
      <w:r>
        <w:rPr>
          <w:rFonts w:hint="default" w:ascii="Times New Roman" w:hAnsi="Times New Roman" w:cs="Times New Roman"/>
          <w:color w:val="000000" w:themeColor="text1"/>
          <w:sz w:val="28"/>
          <w:szCs w:val="28"/>
          <w:highlight w:val="none"/>
          <w:vertAlign w:val="superscript"/>
          <w14:textFill>
            <w14:solidFill>
              <w14:schemeClr w14:val="tx1"/>
            </w14:solidFill>
          </w14:textFill>
        </w:rPr>
        <w:t>4</w:t>
      </w:r>
      <w:r>
        <w:rPr>
          <w:rFonts w:hint="default" w:ascii="Times New Roman" w:hAnsi="Times New Roman" w:cs="Times New Roman"/>
          <w:color w:val="000000" w:themeColor="text1"/>
          <w:sz w:val="28"/>
          <w:szCs w:val="28"/>
          <w:highlight w:val="none"/>
          <w14:textFill>
            <w14:solidFill>
              <w14:schemeClr w14:val="tx1"/>
            </w14:solidFill>
          </w14:textFill>
        </w:rPr>
        <w:t>m</w:t>
      </w:r>
      <w:r>
        <w:rPr>
          <w:rFonts w:hint="default" w:ascii="Times New Roman" w:hAnsi="Times New Roman" w:cs="Times New Roman"/>
          <w:color w:val="000000" w:themeColor="text1"/>
          <w:sz w:val="28"/>
          <w:szCs w:val="28"/>
          <w:highlight w:val="none"/>
          <w:vertAlign w:val="superscript"/>
          <w14:textFill>
            <w14:solidFill>
              <w14:schemeClr w14:val="tx1"/>
            </w14:solidFill>
          </w14:textFill>
        </w:rPr>
        <w:t>3</w:t>
      </w:r>
      <w:r>
        <w:rPr>
          <w:rFonts w:hint="default" w:ascii="Times New Roman" w:hAnsi="Times New Roman" w:cs="Times New Roman"/>
          <w:color w:val="000000" w:themeColor="text1"/>
          <w:sz w:val="28"/>
          <w:szCs w:val="28"/>
          <w:highlight w:val="none"/>
          <w:lang w:eastAsia="zh-CN"/>
          <w14:textFill>
            <w14:solidFill>
              <w14:schemeClr w14:val="tx1"/>
            </w14:solidFill>
          </w14:textFill>
        </w:rPr>
        <w:t>。</w:t>
      </w:r>
      <w:r>
        <w:rPr>
          <w:rFonts w:hint="default" w:ascii="Times New Roman" w:hAnsi="Times New Roman" w:cs="Times New Roman"/>
          <w:color w:val="000000" w:themeColor="text1"/>
          <w:sz w:val="28"/>
          <w:szCs w:val="28"/>
          <w:highlight w:val="none"/>
          <w14:textFill>
            <w14:solidFill>
              <w14:schemeClr w14:val="tx1"/>
            </w14:solidFill>
          </w14:textFill>
        </w:rPr>
        <w:t>压覆的资源量</w:t>
      </w: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223.40</w:t>
      </w:r>
      <w:r>
        <w:rPr>
          <w:rFonts w:hint="default" w:ascii="Times New Roman" w:hAnsi="Times New Roman" w:cs="Times New Roman"/>
          <w:color w:val="000000" w:themeColor="text1"/>
          <w:sz w:val="28"/>
          <w:szCs w:val="28"/>
          <w:highlight w:val="none"/>
          <w14:textFill>
            <w14:solidFill>
              <w14:schemeClr w14:val="tx1"/>
            </w14:solidFill>
          </w14:textFill>
        </w:rPr>
        <w:t>×10</w:t>
      </w:r>
      <w:r>
        <w:rPr>
          <w:rFonts w:hint="default" w:ascii="Times New Roman" w:hAnsi="Times New Roman" w:cs="Times New Roman"/>
          <w:color w:val="000000" w:themeColor="text1"/>
          <w:sz w:val="28"/>
          <w:szCs w:val="28"/>
          <w:highlight w:val="none"/>
          <w:vertAlign w:val="superscript"/>
          <w14:textFill>
            <w14:solidFill>
              <w14:schemeClr w14:val="tx1"/>
            </w14:solidFill>
          </w14:textFill>
        </w:rPr>
        <w:t>4</w:t>
      </w:r>
      <w:r>
        <w:rPr>
          <w:rFonts w:hint="default" w:ascii="Times New Roman" w:hAnsi="Times New Roman" w:cs="Times New Roman"/>
          <w:color w:val="000000" w:themeColor="text1"/>
          <w:sz w:val="28"/>
          <w:szCs w:val="28"/>
          <w:highlight w:val="none"/>
          <w14:textFill>
            <w14:solidFill>
              <w14:schemeClr w14:val="tx1"/>
            </w14:solidFill>
          </w14:textFill>
        </w:rPr>
        <w:t>m</w:t>
      </w:r>
      <w:r>
        <w:rPr>
          <w:rFonts w:hint="default" w:ascii="Times New Roman" w:hAnsi="Times New Roman" w:cs="Times New Roman"/>
          <w:color w:val="000000" w:themeColor="text1"/>
          <w:sz w:val="28"/>
          <w:szCs w:val="28"/>
          <w:highlight w:val="none"/>
          <w:vertAlign w:val="superscript"/>
          <w14:textFill>
            <w14:solidFill>
              <w14:schemeClr w14:val="tx1"/>
            </w14:solidFill>
          </w14:textFill>
        </w:rPr>
        <w:t>3</w:t>
      </w:r>
      <w:r>
        <w:rPr>
          <w:rFonts w:hint="default" w:ascii="Times New Roman" w:hAnsi="Times New Roman" w:cs="Times New Roman"/>
          <w:color w:val="000000" w:themeColor="text1"/>
          <w:sz w:val="28"/>
          <w:szCs w:val="28"/>
          <w:highlight w:val="none"/>
          <w14:textFill>
            <w14:solidFill>
              <w14:schemeClr w14:val="tx1"/>
            </w14:solidFill>
          </w14:textFill>
        </w:rPr>
        <w:t>，</w:t>
      </w:r>
      <w:r>
        <w:rPr>
          <w:rFonts w:hint="default" w:ascii="Times New Roman" w:hAnsi="Times New Roman" w:cs="Times New Roman"/>
          <w:color w:val="000000" w:themeColor="text1"/>
          <w:sz w:val="28"/>
          <w:szCs w:val="28"/>
          <w:highlight w:val="none"/>
          <w:lang w:eastAsia="zh-CN"/>
          <w14:textFill>
            <w14:solidFill>
              <w14:schemeClr w14:val="tx1"/>
            </w14:solidFill>
          </w14:textFill>
        </w:rPr>
        <w:t>其中压覆控制资源量</w:t>
      </w: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71.80</w:t>
      </w:r>
      <w:r>
        <w:rPr>
          <w:rFonts w:hint="default" w:ascii="Times New Roman" w:hAnsi="Times New Roman" w:cs="Times New Roman"/>
          <w:color w:val="000000" w:themeColor="text1"/>
          <w:sz w:val="28"/>
          <w:szCs w:val="28"/>
          <w:highlight w:val="none"/>
          <w14:textFill>
            <w14:solidFill>
              <w14:schemeClr w14:val="tx1"/>
            </w14:solidFill>
          </w14:textFill>
        </w:rPr>
        <w:t>×10</w:t>
      </w:r>
      <w:r>
        <w:rPr>
          <w:rFonts w:hint="default" w:ascii="Times New Roman" w:hAnsi="Times New Roman" w:cs="Times New Roman"/>
          <w:color w:val="000000" w:themeColor="text1"/>
          <w:sz w:val="28"/>
          <w:szCs w:val="28"/>
          <w:highlight w:val="none"/>
          <w:vertAlign w:val="superscript"/>
          <w14:textFill>
            <w14:solidFill>
              <w14:schemeClr w14:val="tx1"/>
            </w14:solidFill>
          </w14:textFill>
        </w:rPr>
        <w:t>4</w:t>
      </w:r>
      <w:r>
        <w:rPr>
          <w:rFonts w:hint="default" w:ascii="Times New Roman" w:hAnsi="Times New Roman" w:cs="Times New Roman"/>
          <w:color w:val="000000" w:themeColor="text1"/>
          <w:sz w:val="28"/>
          <w:szCs w:val="28"/>
          <w:highlight w:val="none"/>
          <w14:textFill>
            <w14:solidFill>
              <w14:schemeClr w14:val="tx1"/>
            </w14:solidFill>
          </w14:textFill>
        </w:rPr>
        <w:t>m</w:t>
      </w:r>
      <w:r>
        <w:rPr>
          <w:rFonts w:hint="default" w:ascii="Times New Roman" w:hAnsi="Times New Roman" w:cs="Times New Roman"/>
          <w:color w:val="000000" w:themeColor="text1"/>
          <w:sz w:val="28"/>
          <w:szCs w:val="28"/>
          <w:highlight w:val="none"/>
          <w:vertAlign w:val="superscript"/>
          <w14:textFill>
            <w14:solidFill>
              <w14:schemeClr w14:val="tx1"/>
            </w14:solidFill>
          </w14:textFill>
        </w:rPr>
        <w:t>3</w:t>
      </w:r>
      <w:r>
        <w:rPr>
          <w:rFonts w:hint="default" w:ascii="Times New Roman" w:hAnsi="Times New Roman" w:cs="Times New Roman"/>
          <w:color w:val="000000" w:themeColor="text1"/>
          <w:sz w:val="28"/>
          <w:szCs w:val="28"/>
          <w:highlight w:val="none"/>
          <w:lang w:eastAsia="zh-CN"/>
          <w14:textFill>
            <w14:solidFill>
              <w14:schemeClr w14:val="tx1"/>
            </w14:solidFill>
          </w14:textFill>
        </w:rPr>
        <w:t>，压覆推断资源量</w:t>
      </w: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151.60</w:t>
      </w:r>
      <w:r>
        <w:rPr>
          <w:rFonts w:hint="default" w:ascii="Times New Roman" w:hAnsi="Times New Roman" w:cs="Times New Roman"/>
          <w:color w:val="000000" w:themeColor="text1"/>
          <w:sz w:val="28"/>
          <w:szCs w:val="28"/>
          <w:highlight w:val="none"/>
          <w14:textFill>
            <w14:solidFill>
              <w14:schemeClr w14:val="tx1"/>
            </w14:solidFill>
          </w14:textFill>
        </w:rPr>
        <w:t>×10</w:t>
      </w:r>
      <w:r>
        <w:rPr>
          <w:rFonts w:hint="default" w:ascii="Times New Roman" w:hAnsi="Times New Roman" w:cs="Times New Roman"/>
          <w:color w:val="000000" w:themeColor="text1"/>
          <w:sz w:val="28"/>
          <w:szCs w:val="28"/>
          <w:highlight w:val="none"/>
          <w:vertAlign w:val="superscript"/>
          <w14:textFill>
            <w14:solidFill>
              <w14:schemeClr w14:val="tx1"/>
            </w14:solidFill>
          </w14:textFill>
        </w:rPr>
        <w:t>4</w:t>
      </w:r>
      <w:r>
        <w:rPr>
          <w:rFonts w:hint="default" w:ascii="Times New Roman" w:hAnsi="Times New Roman" w:cs="Times New Roman"/>
          <w:color w:val="000000" w:themeColor="text1"/>
          <w:sz w:val="28"/>
          <w:szCs w:val="28"/>
          <w:highlight w:val="none"/>
          <w14:textFill>
            <w14:solidFill>
              <w14:schemeClr w14:val="tx1"/>
            </w14:solidFill>
          </w14:textFill>
        </w:rPr>
        <w:t>m</w:t>
      </w:r>
      <w:r>
        <w:rPr>
          <w:rFonts w:hint="default" w:ascii="Times New Roman" w:hAnsi="Times New Roman" w:cs="Times New Roman"/>
          <w:color w:val="000000" w:themeColor="text1"/>
          <w:sz w:val="28"/>
          <w:szCs w:val="28"/>
          <w:highlight w:val="none"/>
          <w:vertAlign w:val="superscript"/>
          <w14:textFill>
            <w14:solidFill>
              <w14:schemeClr w14:val="tx1"/>
            </w14:solidFill>
          </w14:textFill>
        </w:rPr>
        <w:t>3</w:t>
      </w:r>
      <w:r>
        <w:rPr>
          <w:rFonts w:hint="default" w:ascii="Times New Roman" w:hAnsi="Times New Roman" w:cs="Times New Roman"/>
          <w:color w:val="000000" w:themeColor="text1"/>
          <w:sz w:val="28"/>
          <w:szCs w:val="28"/>
          <w:highlight w:val="none"/>
          <w:lang w:eastAsia="zh-CN"/>
          <w14:textFill>
            <w14:solidFill>
              <w14:schemeClr w14:val="tx1"/>
            </w14:solidFill>
          </w14:textFill>
        </w:rPr>
        <w:t>。</w:t>
      </w:r>
    </w:p>
    <w:p w14:paraId="0888DE68">
      <w:pPr>
        <w:pStyle w:val="38"/>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textAlignment w:val="auto"/>
        <w:rPr>
          <w:rFonts w:hint="default" w:ascii="Times New Roman" w:hAnsi="Times New Roman" w:eastAsia="宋体" w:cs="Times New Roman"/>
          <w:color w:val="000000" w:themeColor="text1"/>
          <w:sz w:val="24"/>
          <w:szCs w:val="32"/>
          <w:highlight w:val="none"/>
          <w:lang w:eastAsia="zh-CN"/>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开发与治理综合方案</w:t>
      </w:r>
      <w:r>
        <w:rPr>
          <w:rFonts w:hint="default" w:ascii="Times New Roman" w:hAnsi="Times New Roman" w:cs="Times New Roman"/>
          <w:color w:val="000000" w:themeColor="text1"/>
          <w:sz w:val="28"/>
          <w:szCs w:val="28"/>
          <w14:textFill>
            <w14:solidFill>
              <w14:schemeClr w14:val="tx1"/>
            </w14:solidFill>
          </w14:textFill>
        </w:rPr>
        <w:t>》设计可采</w:t>
      </w:r>
      <w:r>
        <w:rPr>
          <w:rFonts w:hint="default" w:ascii="Times New Roman" w:hAnsi="Times New Roman" w:eastAsia="宋体" w:cs="Times New Roman"/>
          <w:color w:val="000000" w:themeColor="text1"/>
          <w:kern w:val="2"/>
          <w:sz w:val="28"/>
          <w:szCs w:val="28"/>
          <w:highlight w:val="none"/>
          <w:lang w:val="en-US" w:eastAsia="zh-CN" w:bidi="ar-SA"/>
          <w14:textFill>
            <w14:solidFill>
              <w14:schemeClr w14:val="tx1"/>
            </w14:solidFill>
          </w14:textFill>
        </w:rPr>
        <w:t>资源量（KZ+TD）72.45×10</w:t>
      </w:r>
      <w:r>
        <w:rPr>
          <w:rFonts w:hint="default" w:ascii="Times New Roman" w:hAnsi="Times New Roman" w:eastAsia="宋体" w:cs="Times New Roman"/>
          <w:color w:val="000000" w:themeColor="text1"/>
          <w:kern w:val="2"/>
          <w:sz w:val="28"/>
          <w:szCs w:val="28"/>
          <w:highlight w:val="none"/>
          <w:vertAlign w:val="superscript"/>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2"/>
          <w:sz w:val="28"/>
          <w:szCs w:val="28"/>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8"/>
          <w:szCs w:val="28"/>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8"/>
          <w:szCs w:val="28"/>
          <w:highlight w:val="none"/>
          <w:lang w:val="en-US" w:eastAsia="zh-CN" w:bidi="ar-SA"/>
          <w14:textFill>
            <w14:solidFill>
              <w14:schemeClr w14:val="tx1"/>
            </w14:solidFill>
          </w14:textFill>
        </w:rPr>
        <w:t>（128.2×10</w:t>
      </w:r>
      <w:r>
        <w:rPr>
          <w:rFonts w:hint="default" w:ascii="Times New Roman" w:hAnsi="Times New Roman" w:eastAsia="宋体" w:cs="Times New Roman"/>
          <w:color w:val="000000" w:themeColor="text1"/>
          <w:kern w:val="2"/>
          <w:sz w:val="28"/>
          <w:szCs w:val="28"/>
          <w:highlight w:val="none"/>
          <w:vertAlign w:val="superscript"/>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2"/>
          <w:sz w:val="28"/>
          <w:szCs w:val="28"/>
          <w:highlight w:val="none"/>
          <w:lang w:val="en-US" w:eastAsia="zh-CN" w:bidi="ar-SA"/>
          <w14:textFill>
            <w14:solidFill>
              <w14:schemeClr w14:val="tx1"/>
            </w14:solidFill>
          </w14:textFill>
        </w:rPr>
        <w:t>t）。其中控制资源量22.93×10</w:t>
      </w:r>
      <w:r>
        <w:rPr>
          <w:rFonts w:hint="default" w:ascii="Times New Roman" w:hAnsi="Times New Roman" w:eastAsia="宋体" w:cs="Times New Roman"/>
          <w:color w:val="000000" w:themeColor="text1"/>
          <w:kern w:val="2"/>
          <w:sz w:val="28"/>
          <w:szCs w:val="28"/>
          <w:highlight w:val="none"/>
          <w:vertAlign w:val="superscript"/>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2"/>
          <w:sz w:val="28"/>
          <w:szCs w:val="28"/>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8"/>
          <w:szCs w:val="28"/>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8"/>
          <w:szCs w:val="28"/>
          <w:highlight w:val="none"/>
          <w:lang w:val="en-US" w:eastAsia="zh-CN" w:bidi="ar-SA"/>
          <w14:textFill>
            <w14:solidFill>
              <w14:schemeClr w14:val="tx1"/>
            </w14:solidFill>
          </w14:textFill>
        </w:rPr>
        <w:t>（40.6×10</w:t>
      </w:r>
      <w:r>
        <w:rPr>
          <w:rFonts w:hint="default" w:ascii="Times New Roman" w:hAnsi="Times New Roman" w:eastAsia="宋体" w:cs="Times New Roman"/>
          <w:color w:val="000000" w:themeColor="text1"/>
          <w:kern w:val="2"/>
          <w:sz w:val="28"/>
          <w:szCs w:val="28"/>
          <w:highlight w:val="none"/>
          <w:vertAlign w:val="superscript"/>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2"/>
          <w:sz w:val="28"/>
          <w:szCs w:val="28"/>
          <w:highlight w:val="none"/>
          <w:lang w:val="en-US" w:eastAsia="zh-CN" w:bidi="ar-SA"/>
          <w14:textFill>
            <w14:solidFill>
              <w14:schemeClr w14:val="tx1"/>
            </w14:solidFill>
          </w14:textFill>
        </w:rPr>
        <w:t>t），推断可采资源量49.52×10</w:t>
      </w:r>
      <w:r>
        <w:rPr>
          <w:rFonts w:hint="default" w:ascii="Times New Roman" w:hAnsi="Times New Roman" w:eastAsia="宋体" w:cs="Times New Roman"/>
          <w:color w:val="000000" w:themeColor="text1"/>
          <w:kern w:val="2"/>
          <w:sz w:val="28"/>
          <w:szCs w:val="28"/>
          <w:highlight w:val="none"/>
          <w:vertAlign w:val="superscript"/>
          <w:lang w:val="en-US" w:eastAsia="zh-CN" w:bidi="ar-SA"/>
          <w14:textFill>
            <w14:solidFill>
              <w14:schemeClr w14:val="tx1"/>
            </w14:solidFill>
          </w14:textFill>
        </w:rPr>
        <w:t>4</w:t>
      </w:r>
      <w:r>
        <w:rPr>
          <w:rFonts w:hint="default" w:ascii="Times New Roman" w:hAnsi="Times New Roman" w:eastAsia="宋体" w:cs="Times New Roman"/>
          <w:color w:val="000000" w:themeColor="text1"/>
          <w:kern w:val="2"/>
          <w:sz w:val="28"/>
          <w:szCs w:val="28"/>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kern w:val="2"/>
          <w:sz w:val="28"/>
          <w:szCs w:val="28"/>
          <w:highlight w:val="none"/>
          <w:vertAlign w:val="superscript"/>
          <w:lang w:val="en-US" w:eastAsia="zh-CN" w:bidi="ar-SA"/>
          <w14:textFill>
            <w14:solidFill>
              <w14:schemeClr w14:val="tx1"/>
            </w14:solidFill>
          </w14:textFill>
        </w:rPr>
        <w:t>3</w:t>
      </w:r>
      <w:r>
        <w:rPr>
          <w:rFonts w:hint="default" w:ascii="Times New Roman" w:hAnsi="Times New Roman" w:eastAsia="宋体" w:cs="Times New Roman"/>
          <w:color w:val="000000" w:themeColor="text1"/>
          <w:kern w:val="2"/>
          <w:sz w:val="28"/>
          <w:szCs w:val="28"/>
          <w:highlight w:val="none"/>
          <w:lang w:val="en-US" w:eastAsia="zh-CN" w:bidi="ar-SA"/>
          <w14:textFill>
            <w14:solidFill>
              <w14:schemeClr w14:val="tx1"/>
            </w14:solidFill>
          </w14:textFill>
        </w:rPr>
        <w:t>。</w:t>
      </w:r>
    </w:p>
    <w:p w14:paraId="0C9FA1A7">
      <w:pPr>
        <w:spacing w:line="360" w:lineRule="auto"/>
        <w:ind w:firstLine="560" w:firstLineChars="200"/>
        <w:rPr>
          <w:rFonts w:hint="default" w:ascii="Times New Roman" w:hAnsi="Times New Roman" w:eastAsia="宋体" w:cs="Times New Roman"/>
          <w:color w:val="000000" w:themeColor="text1"/>
          <w:kern w:val="2"/>
          <w:sz w:val="28"/>
          <w:szCs w:val="28"/>
          <w:highlight w:val="none"/>
          <w:lang w:val="en-US" w:eastAsia="zh-CN" w:bidi="ar-SA"/>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设计生产规模为</w:t>
      </w:r>
      <w:r>
        <w:rPr>
          <w:rFonts w:hint="eastAsia" w:cs="Times New Roman"/>
          <w:color w:val="000000" w:themeColor="text1"/>
          <w:sz w:val="28"/>
          <w:szCs w:val="28"/>
          <w:lang w:val="en-US" w:eastAsia="zh-CN"/>
          <w14:textFill>
            <w14:solidFill>
              <w14:schemeClr w14:val="tx1"/>
            </w14:solidFill>
          </w14:textFill>
        </w:rPr>
        <w:t>6</w:t>
      </w:r>
      <w:r>
        <w:rPr>
          <w:rFonts w:hint="default" w:ascii="Times New Roman" w:hAnsi="Times New Roman" w:cs="Times New Roman"/>
          <w:color w:val="000000" w:themeColor="text1"/>
          <w:sz w:val="28"/>
          <w:szCs w:val="28"/>
          <w14:textFill>
            <w14:solidFill>
              <w14:schemeClr w14:val="tx1"/>
            </w14:solidFill>
          </w14:textFill>
        </w:rPr>
        <w:t>×10</w:t>
      </w:r>
      <w:r>
        <w:rPr>
          <w:rFonts w:hint="default" w:ascii="Times New Roman" w:hAnsi="Times New Roman" w:cs="Times New Roman"/>
          <w:color w:val="000000" w:themeColor="text1"/>
          <w:sz w:val="28"/>
          <w:szCs w:val="28"/>
          <w:vertAlign w:val="superscript"/>
          <w14:textFill>
            <w14:solidFill>
              <w14:schemeClr w14:val="tx1"/>
            </w14:solidFill>
          </w14:textFill>
        </w:rPr>
        <w:t>4</w:t>
      </w:r>
      <w:r>
        <w:rPr>
          <w:rFonts w:hint="default" w:ascii="Times New Roman" w:hAnsi="Times New Roman" w:cs="Times New Roman"/>
          <w:color w:val="000000" w:themeColor="text1"/>
          <w:sz w:val="28"/>
          <w:szCs w:val="28"/>
          <w:vertAlign w:val="baseline"/>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3</w:t>
      </w:r>
      <w:r>
        <w:rPr>
          <w:rFonts w:hint="default" w:ascii="Times New Roman" w:hAnsi="Times New Roman" w:cs="Times New Roman"/>
          <w:color w:val="000000" w:themeColor="text1"/>
          <w:sz w:val="28"/>
          <w:szCs w:val="28"/>
          <w:vertAlign w:val="baseline"/>
          <w14:textFill>
            <w14:solidFill>
              <w14:schemeClr w14:val="tx1"/>
            </w14:solidFill>
          </w14:textFill>
        </w:rPr>
        <w:t>/a</w:t>
      </w:r>
      <w:r>
        <w:rPr>
          <w:rFonts w:hint="default" w:ascii="Times New Roman" w:hAnsi="Times New Roman" w:cs="Times New Roman"/>
          <w:color w:val="000000" w:themeColor="text1"/>
          <w:sz w:val="28"/>
          <w:szCs w:val="28"/>
          <w14:textFill>
            <w14:solidFill>
              <w14:schemeClr w14:val="tx1"/>
            </w14:solidFill>
          </w14:textFill>
        </w:rPr>
        <w:t>，</w:t>
      </w:r>
      <w:r>
        <w:rPr>
          <w:rFonts w:hint="default" w:ascii="Times New Roman" w:hAnsi="Times New Roman" w:eastAsia="宋体" w:cs="Times New Roman"/>
          <w:color w:val="000000" w:themeColor="text1"/>
          <w:kern w:val="2"/>
          <w:sz w:val="28"/>
          <w:szCs w:val="28"/>
          <w:highlight w:val="none"/>
          <w:lang w:val="en-US" w:eastAsia="zh-CN" w:bidi="ar-SA"/>
          <w14:textFill>
            <w14:solidFill>
              <w14:schemeClr w14:val="tx1"/>
            </w14:solidFill>
          </w14:textFill>
        </w:rPr>
        <w:t>矿山服务年限为9.9年。</w:t>
      </w:r>
    </w:p>
    <w:p w14:paraId="73561AF5">
      <w:pPr>
        <w:pStyle w:val="5"/>
        <w:bidi w:val="0"/>
        <w:spacing w:line="360" w:lineRule="auto"/>
        <w:ind w:firstLine="562" w:firstLineChars="200"/>
        <w:rPr>
          <w:rFonts w:hint="eastAsia" w:hAnsi="Times New Roman" w:cs="Times New Roman"/>
          <w:b/>
          <w:bCs/>
          <w:color w:val="000000" w:themeColor="text1"/>
          <w:sz w:val="28"/>
          <w:szCs w:val="28"/>
          <w14:textFill>
            <w14:solidFill>
              <w14:schemeClr w14:val="tx1"/>
            </w14:solidFill>
          </w14:textFill>
        </w:rPr>
      </w:pPr>
      <w:r>
        <w:rPr>
          <w:rFonts w:hint="eastAsia" w:hAnsi="Times New Roman" w:cs="Times New Roman"/>
          <w:b/>
          <w:bCs/>
          <w:color w:val="000000" w:themeColor="text1"/>
          <w:sz w:val="28"/>
          <w:szCs w:val="28"/>
          <w14:textFill>
            <w14:solidFill>
              <w14:schemeClr w14:val="tx1"/>
            </w14:solidFill>
          </w14:textFill>
        </w:rPr>
        <w:t>（二）方案服务年限</w:t>
      </w:r>
    </w:p>
    <w:p w14:paraId="7E4F8EB6">
      <w:pPr>
        <w:spacing w:line="360" w:lineRule="auto"/>
        <w:ind w:firstLine="560" w:firstLineChars="200"/>
        <w:jc w:val="left"/>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依据</w:t>
      </w: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2026年1月，内蒙古兴程技术有限公司编制的《内蒙古自治区赤峰太安新型建筑材料有限公司太平地镇粘土矿资源储量2025年度变化表》，</w:t>
      </w:r>
      <w:r>
        <w:rPr>
          <w:rFonts w:hint="eastAsia" w:cs="Times New Roman"/>
          <w:color w:val="000000" w:themeColor="text1"/>
          <w:spacing w:val="-3"/>
          <w:sz w:val="28"/>
          <w:szCs w:val="28"/>
          <w:lang w:val="en-US" w:eastAsia="zh-CN"/>
          <w14:textFill>
            <w14:solidFill>
              <w14:schemeClr w14:val="tx1"/>
            </w14:solidFill>
          </w14:textFill>
        </w:rPr>
        <w:t>采矿权</w:t>
      </w: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剩余服务年限为9.2年。</w:t>
      </w:r>
      <w:r>
        <w:rPr>
          <w:rFonts w:hint="default" w:ascii="Times New Roman" w:hAnsi="Times New Roman" w:cs="Times New Roman"/>
          <w:color w:val="000000" w:themeColor="text1"/>
          <w:sz w:val="28"/>
          <w:szCs w:val="28"/>
          <w14:textFill>
            <w14:solidFill>
              <w14:schemeClr w14:val="tx1"/>
            </w14:solidFill>
          </w14:textFill>
        </w:rPr>
        <w:t>考虑到矿山在服务年限期满后</w:t>
      </w:r>
      <w:r>
        <w:rPr>
          <w:rFonts w:hint="default" w:ascii="Times New Roman" w:hAnsi="Times New Roman" w:eastAsia="宋体" w:cs="Times New Roman"/>
          <w:color w:val="000000" w:themeColor="text1"/>
          <w:sz w:val="28"/>
          <w:szCs w:val="28"/>
          <w:highlight w:val="none"/>
          <w14:textFill>
            <w14:solidFill>
              <w14:schemeClr w14:val="tx1"/>
            </w14:solidFill>
          </w14:textFill>
        </w:rPr>
        <w:t>矿山</w:t>
      </w:r>
      <w:r>
        <w:rPr>
          <w:rFonts w:hint="eastAsia" w:cs="Times New Roman"/>
          <w:color w:val="000000" w:themeColor="text1"/>
          <w:sz w:val="28"/>
          <w:szCs w:val="28"/>
          <w:highlight w:val="none"/>
          <w:lang w:val="en-US" w:eastAsia="zh-CN"/>
          <w14:textFill>
            <w14:solidFill>
              <w14:schemeClr w14:val="tx1"/>
            </w14:solidFill>
          </w14:textFill>
        </w:rPr>
        <w:t>生态修复</w:t>
      </w:r>
      <w:r>
        <w:rPr>
          <w:rFonts w:hint="eastAsia" w:cs="Times New Roman"/>
          <w:color w:val="000000" w:themeColor="text1"/>
          <w:sz w:val="28"/>
          <w:szCs w:val="28"/>
          <w:lang w:val="en-US" w:eastAsia="zh-CN"/>
          <w14:textFill>
            <w14:solidFill>
              <w14:schemeClr w14:val="tx1"/>
            </w14:solidFill>
          </w14:textFill>
        </w:rPr>
        <w:t>工程实施期限0.8</w:t>
      </w:r>
      <w:r>
        <w:rPr>
          <w:rFonts w:hint="default" w:ascii="Times New Roman" w:hAnsi="Times New Roman" w:cs="Times New Roman"/>
          <w:color w:val="000000" w:themeColor="text1"/>
          <w:sz w:val="28"/>
          <w:szCs w:val="28"/>
          <w14:textFill>
            <w14:solidFill>
              <w14:schemeClr w14:val="tx1"/>
            </w14:solidFill>
          </w14:textFill>
        </w:rPr>
        <w:t>年，</w:t>
      </w:r>
      <w:r>
        <w:rPr>
          <w:rFonts w:hint="eastAsia" w:cs="Times New Roman"/>
          <w:color w:val="000000" w:themeColor="text1"/>
          <w:sz w:val="28"/>
          <w:szCs w:val="28"/>
          <w:lang w:val="en-US" w:eastAsia="zh-CN"/>
          <w14:textFill>
            <w14:solidFill>
              <w14:schemeClr w14:val="tx1"/>
            </w14:solidFill>
          </w14:textFill>
        </w:rPr>
        <w:t>后期</w:t>
      </w:r>
      <w:r>
        <w:rPr>
          <w:rFonts w:hint="eastAsia" w:cs="Times New Roman"/>
          <w:color w:val="000000" w:themeColor="text1"/>
          <w:sz w:val="28"/>
          <w:szCs w:val="28"/>
          <w:highlight w:val="none"/>
          <w:lang w:val="en-US" w:eastAsia="zh-CN"/>
          <w14:textFill>
            <w14:solidFill>
              <w14:schemeClr w14:val="tx1"/>
            </w14:solidFill>
          </w14:textFill>
        </w:rPr>
        <w:t>管护期为3年，</w:t>
      </w:r>
      <w:r>
        <w:rPr>
          <w:rFonts w:hint="default" w:ascii="Times New Roman" w:hAnsi="Times New Roman" w:cs="Times New Roman"/>
          <w:color w:val="000000" w:themeColor="text1"/>
          <w:sz w:val="28"/>
          <w:szCs w:val="28"/>
          <w14:textFill>
            <w14:solidFill>
              <w14:schemeClr w14:val="tx1"/>
            </w14:solidFill>
          </w14:textFill>
        </w:rPr>
        <w:t>在矿山生产规模、资源储量不变的情况下，确定矿山</w:t>
      </w:r>
      <w:r>
        <w:rPr>
          <w:rFonts w:hint="default" w:ascii="Times New Roman" w:hAnsi="Times New Roman" w:cs="Times New Roman"/>
          <w:color w:val="000000" w:themeColor="text1"/>
          <w:sz w:val="28"/>
          <w:szCs w:val="28"/>
          <w:lang w:val="en-US" w:eastAsia="zh-CN"/>
          <w14:textFill>
            <w14:solidFill>
              <w14:schemeClr w14:val="tx1"/>
            </w14:solidFill>
          </w14:textFill>
        </w:rPr>
        <w:t>生态修复</w:t>
      </w:r>
      <w:r>
        <w:rPr>
          <w:rFonts w:hint="default" w:ascii="Times New Roman" w:hAnsi="Times New Roman" w:cs="Times New Roman"/>
          <w:color w:val="000000" w:themeColor="text1"/>
          <w:sz w:val="28"/>
          <w:szCs w:val="28"/>
          <w:lang w:eastAsia="zh-CN"/>
          <w14:textFill>
            <w14:solidFill>
              <w14:schemeClr w14:val="tx1"/>
            </w14:solidFill>
          </w14:textFill>
        </w:rPr>
        <w:t>方案</w:t>
      </w:r>
      <w:r>
        <w:rPr>
          <w:rFonts w:hint="default" w:ascii="Times New Roman" w:hAnsi="Times New Roman" w:cs="Times New Roman"/>
          <w:color w:val="000000" w:themeColor="text1"/>
          <w:sz w:val="28"/>
          <w:szCs w:val="28"/>
          <w14:textFill>
            <w14:solidFill>
              <w14:schemeClr w14:val="tx1"/>
            </w14:solidFill>
          </w14:textFill>
        </w:rPr>
        <w:t>规划年限为</w:t>
      </w:r>
      <w:r>
        <w:rPr>
          <w:rFonts w:hint="eastAsia" w:cs="Times New Roman"/>
          <w:color w:val="000000" w:themeColor="text1"/>
          <w:sz w:val="28"/>
          <w:szCs w:val="28"/>
          <w:lang w:val="en-US" w:eastAsia="zh-CN"/>
          <w14:textFill>
            <w14:solidFill>
              <w14:schemeClr w14:val="tx1"/>
            </w14:solidFill>
          </w14:textFill>
        </w:rPr>
        <w:t>13</w:t>
      </w:r>
      <w:r>
        <w:rPr>
          <w:rFonts w:hint="default" w:ascii="Times New Roman" w:hAnsi="Times New Roman" w:cs="Times New Roman"/>
          <w:color w:val="000000" w:themeColor="text1"/>
          <w:sz w:val="28"/>
          <w:szCs w:val="28"/>
          <w14:textFill>
            <w14:solidFill>
              <w14:schemeClr w14:val="tx1"/>
            </w14:solidFill>
          </w14:textFill>
        </w:rPr>
        <w:t>年，即202</w:t>
      </w:r>
      <w:r>
        <w:rPr>
          <w:rFonts w:hint="eastAsia" w:cs="Times New Roman"/>
          <w:color w:val="000000" w:themeColor="text1"/>
          <w:sz w:val="28"/>
          <w:szCs w:val="28"/>
          <w:lang w:val="en-US" w:eastAsia="zh-CN"/>
          <w14:textFill>
            <w14:solidFill>
              <w14:schemeClr w14:val="tx1"/>
            </w14:solidFill>
          </w14:textFill>
        </w:rPr>
        <w:t>6</w:t>
      </w:r>
      <w:r>
        <w:rPr>
          <w:rFonts w:hint="default" w:ascii="Times New Roman" w:hAnsi="Times New Roman" w:cs="Times New Roman"/>
          <w:color w:val="000000" w:themeColor="text1"/>
          <w:sz w:val="28"/>
          <w:szCs w:val="28"/>
          <w14:textFill>
            <w14:solidFill>
              <w14:schemeClr w14:val="tx1"/>
            </w14:solidFill>
          </w14:textFill>
        </w:rPr>
        <w:t>年1月1日～20</w:t>
      </w:r>
      <w:r>
        <w:rPr>
          <w:rFonts w:hint="eastAsia" w:cs="Times New Roman"/>
          <w:color w:val="000000" w:themeColor="text1"/>
          <w:sz w:val="28"/>
          <w:szCs w:val="28"/>
          <w:lang w:val="en-US" w:eastAsia="zh-CN"/>
          <w14:textFill>
            <w14:solidFill>
              <w14:schemeClr w14:val="tx1"/>
            </w14:solidFill>
          </w14:textFill>
        </w:rPr>
        <w:t>38</w:t>
      </w:r>
      <w:r>
        <w:rPr>
          <w:rFonts w:hint="default" w:ascii="Times New Roman" w:hAnsi="Times New Roman" w:cs="Times New Roman"/>
          <w:color w:val="000000" w:themeColor="text1"/>
          <w:sz w:val="28"/>
          <w:szCs w:val="28"/>
          <w14:textFill>
            <w14:solidFill>
              <w14:schemeClr w14:val="tx1"/>
            </w14:solidFill>
          </w14:textFill>
        </w:rPr>
        <w:t>年12月31日。</w:t>
      </w:r>
    </w:p>
    <w:p w14:paraId="0862C387">
      <w:pPr>
        <w:spacing w:line="360" w:lineRule="auto"/>
        <w:ind w:firstLine="560" w:firstLineChars="200"/>
        <w:jc w:val="left"/>
        <w:rPr>
          <w:rFonts w:hint="eastAsia"/>
          <w:color w:val="000000" w:themeColor="text1"/>
          <w:kern w:val="2"/>
          <w:sz w:val="28"/>
          <w:szCs w:val="28"/>
          <w:lang w:val="en-US" w:eastAsia="zh-CN"/>
          <w14:textFill>
            <w14:solidFill>
              <w14:schemeClr w14:val="tx1"/>
            </w14:solidFill>
          </w14:textFill>
        </w:rPr>
      </w:pPr>
      <w:r>
        <w:rPr>
          <w:rFonts w:hint="eastAsia"/>
          <w:color w:val="000000" w:themeColor="text1"/>
          <w:kern w:val="2"/>
          <w:sz w:val="28"/>
          <w:szCs w:val="28"/>
          <w:lang w:val="en-US" w:eastAsia="zh-CN"/>
          <w14:textFill>
            <w14:solidFill>
              <w14:schemeClr w14:val="tx1"/>
            </w14:solidFill>
          </w14:textFill>
        </w:rPr>
        <w:t>当矿山涉及采矿许可证延续（原方案服务到期）、开采方案重大调整的（矿区扩大或缩小开采区域、变更开采方式、变更开采主矿种与开采规模、开采布局“采区、场址、开采方向”、开采工艺等发生重大变化）应当重新编制《矿区生态修复方案》。</w:t>
      </w:r>
    </w:p>
    <w:p w14:paraId="69B43D13">
      <w:pPr>
        <w:spacing w:line="360" w:lineRule="auto"/>
        <w:ind w:firstLine="560" w:firstLineChars="200"/>
        <w:jc w:val="left"/>
        <w:rPr>
          <w:rFonts w:hint="eastAsia"/>
          <w:color w:val="000000" w:themeColor="text1"/>
          <w:kern w:val="2"/>
          <w:sz w:val="28"/>
          <w:szCs w:val="28"/>
          <w:lang w:eastAsia="zh-CN"/>
          <w14:textFill>
            <w14:solidFill>
              <w14:schemeClr w14:val="tx1"/>
            </w14:solidFill>
          </w14:textFill>
        </w:rPr>
      </w:pPr>
      <w:r>
        <w:rPr>
          <w:rFonts w:hint="eastAsia"/>
          <w:color w:val="000000" w:themeColor="text1"/>
          <w:kern w:val="2"/>
          <w:sz w:val="28"/>
          <w:szCs w:val="28"/>
          <w:lang w:val="en-US" w:eastAsia="zh-CN"/>
          <w14:textFill>
            <w14:solidFill>
              <w14:schemeClr w14:val="tx1"/>
            </w14:solidFill>
          </w14:textFill>
        </w:rPr>
        <w:t>经评审通过的方案，涉及用地（含用林用草）范围、使用期限、损毁类型等发生变化的；原方案不能与初步设计、安全设施设计、环评、水保以及用地安排等充分衔接的；矿山闭坑阶段（剩余开采年限</w:t>
      </w:r>
      <w:r>
        <w:rPr>
          <w:rFonts w:hint="default" w:ascii="Times New Roman" w:hAnsi="Times New Roman" w:cs="Times New Roman"/>
          <w:color w:val="000000" w:themeColor="text1"/>
          <w:kern w:val="2"/>
          <w:sz w:val="28"/>
          <w:szCs w:val="28"/>
          <w:lang w:val="en-US" w:eastAsia="zh-CN"/>
          <w14:textFill>
            <w14:solidFill>
              <w14:schemeClr w14:val="tx1"/>
            </w14:solidFill>
          </w14:textFill>
        </w:rPr>
        <w:t>≤</w:t>
      </w:r>
      <w:r>
        <w:rPr>
          <w:rFonts w:hint="eastAsia"/>
          <w:color w:val="000000" w:themeColor="text1"/>
          <w:kern w:val="2"/>
          <w:sz w:val="28"/>
          <w:szCs w:val="28"/>
          <w:lang w:val="en-US" w:eastAsia="zh-CN"/>
          <w14:textFill>
            <w14:solidFill>
              <w14:schemeClr w14:val="tx1"/>
            </w14:solidFill>
          </w14:textFill>
        </w:rPr>
        <w:t>3年）、原方案不能完全指导闭坑阶段生态修复的情况，应对《矿区生态修复方案》进行修编。</w:t>
      </w:r>
    </w:p>
    <w:bookmarkEnd w:id="6"/>
    <w:p w14:paraId="6A3CC15D">
      <w:pPr>
        <w:rPr>
          <w:rFonts w:hint="eastAsia" w:ascii="黑体" w:hAnsi="黑体" w:eastAsia="黑体" w:cs="黑体"/>
          <w:bCs/>
          <w:color w:val="000000" w:themeColor="text1"/>
          <w14:textFill>
            <w14:solidFill>
              <w14:schemeClr w14:val="tx1"/>
            </w14:solidFill>
          </w14:textFill>
        </w:rPr>
      </w:pPr>
      <w:r>
        <w:rPr>
          <w:rFonts w:hint="eastAsia" w:ascii="黑体" w:hAnsi="黑体" w:eastAsia="黑体" w:cs="黑体"/>
          <w:bCs/>
          <w:color w:val="000000" w:themeColor="text1"/>
          <w14:textFill>
            <w14:solidFill>
              <w14:schemeClr w14:val="tx1"/>
            </w14:solidFill>
          </w14:textFill>
        </w:rPr>
        <w:br w:type="page"/>
      </w:r>
    </w:p>
    <w:p w14:paraId="63ABE9F6">
      <w:pPr>
        <w:snapToGrid w:val="0"/>
        <w:spacing w:line="360" w:lineRule="auto"/>
        <w:ind w:firstLine="560" w:firstLineChars="200"/>
        <w:rPr>
          <w:rFonts w:hint="default" w:ascii="Times New Roman" w:hAnsi="Times New Roman" w:eastAsia="宋体" w:cs="Times New Roman"/>
          <w:color w:val="000000" w:themeColor="text1"/>
          <w:kern w:val="0"/>
          <w:sz w:val="28"/>
          <w:szCs w:val="28"/>
          <w14:textFill>
            <w14:solidFill>
              <w14:schemeClr w14:val="tx1"/>
            </w14:solidFill>
          </w14:textFill>
        </w:rPr>
        <w:sectPr>
          <w:headerReference r:id="rId17" w:type="default"/>
          <w:footerReference r:id="rId18" w:type="default"/>
          <w:pgSz w:w="11907" w:h="16840"/>
          <w:pgMar w:top="1418" w:right="1418" w:bottom="1418" w:left="1418" w:header="851" w:footer="992" w:gutter="0"/>
          <w:pgNumType w:fmt="decimal" w:start="1"/>
          <w:cols w:space="720" w:num="1"/>
          <w:docGrid w:linePitch="312" w:charSpace="0"/>
        </w:sectPr>
      </w:pPr>
    </w:p>
    <w:p w14:paraId="7753A22A">
      <w:pPr>
        <w:pStyle w:val="66"/>
        <w:spacing w:line="240" w:lineRule="auto"/>
        <w:ind w:left="0" w:leftChars="0" w:firstLine="0" w:firstLineChars="0"/>
        <w:jc w:val="center"/>
        <w:rPr>
          <w:rFonts w:hint="eastAsia" w:ascii="黑体" w:hAnsi="黑体" w:eastAsia="黑体" w:cs="黑体"/>
          <w:b w:val="0"/>
          <w:bCs w:val="0"/>
          <w:color w:val="000000" w:themeColor="text1"/>
          <w:sz w:val="24"/>
          <w:szCs w:val="24"/>
          <w:lang w:eastAsia="zh-CN"/>
          <w14:textFill>
            <w14:solidFill>
              <w14:schemeClr w14:val="tx1"/>
            </w14:solidFill>
          </w14:textFill>
        </w:rPr>
      </w:pPr>
      <w:r>
        <w:rPr>
          <w:rFonts w:hint="eastAsia" w:ascii="黑体" w:hAnsi="黑体" w:eastAsia="黑体" w:cs="黑体"/>
          <w:b w:val="0"/>
          <w:bCs w:val="0"/>
          <w:color w:val="000000" w:themeColor="text1"/>
          <w:sz w:val="24"/>
          <w:szCs w:val="24"/>
          <w:lang w:eastAsia="zh-CN"/>
          <w14:textFill>
            <w14:solidFill>
              <w14:schemeClr w14:val="tx1"/>
            </w14:solidFill>
          </w14:textFill>
        </w:rPr>
        <w:t xml:space="preserve">    </w:t>
      </w:r>
    </w:p>
    <w:p w14:paraId="675A3512">
      <w:pPr>
        <w:spacing w:line="360" w:lineRule="auto"/>
        <w:ind w:firstLine="560" w:firstLineChars="200"/>
        <w:rPr>
          <w:rFonts w:hint="default" w:ascii="宋体" w:hAnsi="宋体" w:eastAsia="宋体"/>
          <w:color w:val="000000" w:themeColor="text1"/>
          <w:sz w:val="28"/>
          <w:szCs w:val="28"/>
          <w:lang w:val="en-US" w:eastAsia="zh-CN"/>
          <w14:textFill>
            <w14:solidFill>
              <w14:schemeClr w14:val="tx1"/>
            </w14:solidFill>
          </w14:textFill>
        </w:rPr>
      </w:pPr>
      <w:r>
        <w:rPr>
          <w:rFonts w:hint="eastAsia" w:ascii="宋体" w:hAnsi="宋体"/>
          <w:color w:val="000000" w:themeColor="text1"/>
          <w:sz w:val="28"/>
          <w:szCs w:val="28"/>
          <w:lang w:eastAsia="zh-CN"/>
          <w14:textFill>
            <w14:solidFill>
              <w14:schemeClr w14:val="tx1"/>
            </w14:solidFill>
          </w14:textFill>
        </w:rPr>
        <w:t>（</w:t>
      </w:r>
      <w:r>
        <w:rPr>
          <w:rFonts w:hint="eastAsia" w:ascii="宋体" w:hAnsi="宋体"/>
          <w:color w:val="000000" w:themeColor="text1"/>
          <w:sz w:val="28"/>
          <w:szCs w:val="28"/>
          <w:lang w:val="en-US" w:eastAsia="zh-CN"/>
          <w14:textFill>
            <w14:solidFill>
              <w14:schemeClr w14:val="tx1"/>
            </w14:solidFill>
          </w14:textFill>
        </w:rPr>
        <w:t>二</w:t>
      </w:r>
      <w:r>
        <w:rPr>
          <w:rFonts w:hint="eastAsia" w:ascii="宋体" w:hAnsi="宋体"/>
          <w:color w:val="000000" w:themeColor="text1"/>
          <w:sz w:val="28"/>
          <w:szCs w:val="28"/>
          <w:lang w:eastAsia="zh-CN"/>
          <w14:textFill>
            <w14:solidFill>
              <w14:schemeClr w14:val="tx1"/>
            </w14:solidFill>
          </w14:textFill>
        </w:rPr>
        <w:t>）</w:t>
      </w:r>
      <w:r>
        <w:rPr>
          <w:rFonts w:hint="eastAsia" w:ascii="宋体" w:hAnsi="宋体"/>
          <w:color w:val="000000" w:themeColor="text1"/>
          <w:sz w:val="28"/>
          <w:szCs w:val="28"/>
          <w:lang w:val="en-US" w:eastAsia="zh-CN"/>
          <w14:textFill>
            <w14:solidFill>
              <w14:schemeClr w14:val="tx1"/>
            </w14:solidFill>
          </w14:textFill>
        </w:rPr>
        <w:t>河流</w:t>
      </w:r>
    </w:p>
    <w:p w14:paraId="133FD89E">
      <w:pPr>
        <w:keepNext w:val="0"/>
        <w:keepLines w:val="0"/>
        <w:pageBreakBefore w:val="0"/>
        <w:widowControl/>
        <w:suppressLineNumbers w:val="0"/>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cs="Times New Roman"/>
          <w:color w:val="000000" w:themeColor="text1"/>
          <w:sz w:val="28"/>
          <w:szCs w:val="28"/>
          <w:lang w:val="en-US"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矿区的排泄河流为矿区西侧2.0km处的英金河，</w:t>
      </w:r>
      <w:r>
        <w:rPr>
          <w:rFonts w:hint="default" w:ascii="Times New Roman" w:hAnsi="Times New Roman" w:cs="Times New Roman"/>
          <w:color w:val="000000" w:themeColor="text1"/>
          <w:sz w:val="28"/>
          <w:szCs w:val="28"/>
          <w:lang w:val="en-US" w:eastAsia="zh-CN"/>
          <w14:textFill>
            <w14:solidFill>
              <w14:schemeClr w14:val="tx1"/>
            </w14:solidFill>
          </w14:textFill>
        </w:rPr>
        <w:t>该</w:t>
      </w:r>
      <w:r>
        <w:rPr>
          <w:rFonts w:hint="eastAsia" w:cs="Times New Roman"/>
          <w:color w:val="000000" w:themeColor="text1"/>
          <w:sz w:val="28"/>
          <w:szCs w:val="28"/>
          <w:lang w:val="en-US" w:eastAsia="zh-CN"/>
          <w14:textFill>
            <w14:solidFill>
              <w14:schemeClr w14:val="tx1"/>
            </w14:solidFill>
          </w14:textFill>
        </w:rPr>
        <w:t>河流</w:t>
      </w:r>
      <w:r>
        <w:rPr>
          <w:rFonts w:hint="default" w:ascii="Times New Roman" w:hAnsi="Times New Roman" w:cs="Times New Roman"/>
          <w:color w:val="000000" w:themeColor="text1"/>
          <w:sz w:val="28"/>
          <w:szCs w:val="28"/>
          <w:lang w:val="en-US" w:eastAsia="zh-CN"/>
          <w14:textFill>
            <w14:solidFill>
              <w14:schemeClr w14:val="tx1"/>
            </w14:solidFill>
          </w14:textFill>
        </w:rPr>
        <w:t>属</w:t>
      </w:r>
      <w:r>
        <w:rPr>
          <w:rFonts w:hint="eastAsia" w:cs="Times New Roman"/>
          <w:color w:val="000000" w:themeColor="text1"/>
          <w:sz w:val="28"/>
          <w:szCs w:val="28"/>
          <w:lang w:val="en-US" w:eastAsia="zh-CN"/>
          <w14:textFill>
            <w14:solidFill>
              <w14:schemeClr w14:val="tx1"/>
            </w14:solidFill>
          </w14:textFill>
        </w:rPr>
        <w:t>西</w:t>
      </w:r>
      <w:r>
        <w:rPr>
          <w:rFonts w:hint="default" w:ascii="Times New Roman" w:hAnsi="Times New Roman" w:cs="Times New Roman"/>
          <w:color w:val="000000" w:themeColor="text1"/>
          <w:sz w:val="28"/>
          <w:szCs w:val="28"/>
          <w:lang w:val="en-US" w:eastAsia="zh-CN"/>
          <w14:textFill>
            <w14:solidFill>
              <w14:schemeClr w14:val="tx1"/>
            </w14:solidFill>
          </w14:textFill>
        </w:rPr>
        <w:t>辽河流域—老哈河水系。</w:t>
      </w:r>
      <w:r>
        <w:rPr>
          <w:rFonts w:hint="eastAsia" w:ascii="Times New Roman" w:hAnsi="Times New Roman" w:cs="Times New Roman"/>
          <w:color w:val="000000" w:themeColor="text1"/>
          <w:sz w:val="28"/>
          <w:szCs w:val="28"/>
          <w:lang w:val="en-US" w:eastAsia="zh-CN"/>
          <w14:textFill>
            <w14:solidFill>
              <w14:schemeClr w14:val="tx1"/>
            </w14:solidFill>
          </w14:textFill>
        </w:rPr>
        <w:t>为老哈河的左岸支流，</w:t>
      </w:r>
      <w:r>
        <w:rPr>
          <w:rFonts w:hint="default" w:ascii="Times New Roman" w:hAnsi="Times New Roman" w:cs="Times New Roman"/>
          <w:color w:val="000000" w:themeColor="text1"/>
          <w:sz w:val="28"/>
          <w:szCs w:val="28"/>
          <w:lang w:val="en-US" w:eastAsia="zh-CN"/>
          <w14:textFill>
            <w14:solidFill>
              <w14:schemeClr w14:val="tx1"/>
            </w14:solidFill>
          </w14:textFill>
        </w:rPr>
        <w:t>自西向东横贯赤峰中心城区（松山区、红山区），是当地农业灌溉、生态涵养及城市景观的核心载体。</w:t>
      </w:r>
    </w:p>
    <w:p w14:paraId="334EDB87">
      <w:pPr>
        <w:spacing w:line="360" w:lineRule="auto"/>
        <w:ind w:firstLine="560" w:firstLineChars="200"/>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英金河发源于河北省围场县七老图山脉，</w:t>
      </w:r>
      <w:r>
        <w:rPr>
          <w:rFonts w:hint="default" w:ascii="Times New Roman" w:hAnsi="Times New Roman" w:cs="Times New Roman"/>
          <w:color w:val="000000" w:themeColor="text1"/>
          <w:kern w:val="0"/>
          <w:sz w:val="28"/>
          <w:szCs w:val="28"/>
          <w:highlight w:val="none"/>
          <w:lang w:val="en-US" w:eastAsia="zh-CN" w:bidi="ar"/>
          <w14:textFill>
            <w14:solidFill>
              <w14:schemeClr w14:val="tx1"/>
            </w14:solidFill>
          </w14:textFill>
        </w:rPr>
        <w:t>流域面积</w:t>
      </w:r>
      <w:r>
        <w:rPr>
          <w:rFonts w:hint="eastAsia" w:cs="Times New Roman"/>
          <w:color w:val="000000" w:themeColor="text1"/>
          <w:kern w:val="0"/>
          <w:sz w:val="28"/>
          <w:szCs w:val="28"/>
          <w:highlight w:val="none"/>
          <w:lang w:val="en-US" w:eastAsia="zh-CN" w:bidi="ar"/>
          <w14:textFill>
            <w14:solidFill>
              <w14:schemeClr w14:val="tx1"/>
            </w14:solidFill>
          </w14:textFill>
        </w:rPr>
        <w:t>1.06万</w:t>
      </w:r>
      <w:r>
        <w:rPr>
          <w:rFonts w:hint="default" w:ascii="Times New Roman" w:hAnsi="Times New Roman" w:cs="Times New Roman"/>
          <w:color w:val="000000" w:themeColor="text1"/>
          <w:kern w:val="0"/>
          <w:sz w:val="28"/>
          <w:szCs w:val="28"/>
          <w:highlight w:val="none"/>
          <w:lang w:val="en-US" w:eastAsia="zh-CN" w:bidi="ar"/>
          <w14:textFill>
            <w14:solidFill>
              <w14:schemeClr w14:val="tx1"/>
            </w14:solidFill>
          </w14:textFill>
        </w:rPr>
        <w:t>km</w:t>
      </w:r>
      <w:r>
        <w:rPr>
          <w:rFonts w:hint="default" w:ascii="Times New Roman" w:hAnsi="Times New Roman" w:cs="Times New Roman"/>
          <w:color w:val="000000" w:themeColor="text1"/>
          <w:kern w:val="0"/>
          <w:sz w:val="28"/>
          <w:szCs w:val="28"/>
          <w:highlight w:val="none"/>
          <w:vertAlign w:val="superscript"/>
          <w:lang w:val="en-US" w:eastAsia="zh-CN" w:bidi="ar"/>
          <w14:textFill>
            <w14:solidFill>
              <w14:schemeClr w14:val="tx1"/>
            </w14:solidFill>
          </w14:textFill>
        </w:rPr>
        <w:t>2</w:t>
      </w:r>
      <w:r>
        <w:rPr>
          <w:rFonts w:hint="default" w:ascii="Times New Roman" w:hAnsi="Times New Roman" w:cs="Times New Roman"/>
          <w:color w:val="000000" w:themeColor="text1"/>
          <w:kern w:val="0"/>
          <w:sz w:val="28"/>
          <w:szCs w:val="28"/>
          <w:highlight w:val="none"/>
          <w:lang w:val="en-US" w:eastAsia="zh-CN" w:bidi="ar"/>
          <w14:textFill>
            <w14:solidFill>
              <w14:schemeClr w14:val="tx1"/>
            </w14:solidFill>
          </w14:textFill>
        </w:rPr>
        <w:t>，</w:t>
      </w:r>
      <w:r>
        <w:rPr>
          <w:rFonts w:hint="eastAsia" w:cs="Times New Roman"/>
          <w:color w:val="000000" w:themeColor="text1"/>
          <w:kern w:val="0"/>
          <w:sz w:val="28"/>
          <w:szCs w:val="28"/>
          <w:highlight w:val="none"/>
          <w:lang w:val="en-US" w:eastAsia="zh-CN" w:bidi="ar"/>
          <w14:textFill>
            <w14:solidFill>
              <w14:schemeClr w14:val="tx1"/>
            </w14:solidFill>
          </w14:textFill>
        </w:rPr>
        <w:t>总落差1253m，平均比降6.0‰，</w:t>
      </w:r>
      <w:r>
        <w:rPr>
          <w:rFonts w:hint="default" w:ascii="Times New Roman" w:hAnsi="Times New Roman" w:eastAsia="宋体" w:cs="Times New Roman"/>
          <w:color w:val="000000" w:themeColor="text1"/>
          <w:sz w:val="28"/>
          <w:szCs w:val="28"/>
          <w14:textFill>
            <w14:solidFill>
              <w14:schemeClr w14:val="tx1"/>
            </w14:solidFill>
          </w14:textFill>
        </w:rPr>
        <w:t>多年平均径流量</w:t>
      </w:r>
      <w:r>
        <w:rPr>
          <w:rFonts w:hint="eastAsia" w:cs="Times New Roman"/>
          <w:color w:val="000000" w:themeColor="text1"/>
          <w:sz w:val="28"/>
          <w:szCs w:val="28"/>
          <w:lang w:val="en-US" w:eastAsia="zh-CN"/>
          <w14:textFill>
            <w14:solidFill>
              <w14:schemeClr w14:val="tx1"/>
            </w14:solidFill>
          </w14:textFill>
        </w:rPr>
        <w:t>5.368</w:t>
      </w:r>
      <w:r>
        <w:rPr>
          <w:rFonts w:hint="default" w:ascii="Times New Roman" w:hAnsi="Times New Roman" w:eastAsia="宋体" w:cs="Times New Roman"/>
          <w:color w:val="000000" w:themeColor="text1"/>
          <w:sz w:val="28"/>
          <w:szCs w:val="28"/>
          <w14:textFill>
            <w14:solidFill>
              <w14:schemeClr w14:val="tx1"/>
            </w14:solidFill>
          </w14:textFill>
        </w:rPr>
        <w:t>×10</w:t>
      </w:r>
      <w:r>
        <w:rPr>
          <w:rFonts w:hint="eastAsia" w:ascii="Times New Roman" w:hAnsi="Times New Roman" w:eastAsia="宋体" w:cs="Times New Roman"/>
          <w:color w:val="000000" w:themeColor="text1"/>
          <w:sz w:val="28"/>
          <w:szCs w:val="28"/>
          <w:vertAlign w:val="superscript"/>
          <w:lang w:val="en-US" w:eastAsia="zh-CN"/>
          <w14:textFill>
            <w14:solidFill>
              <w14:schemeClr w14:val="tx1"/>
            </w14:solidFill>
          </w14:textFill>
        </w:rPr>
        <w:t>8</w:t>
      </w:r>
      <w:r>
        <w:rPr>
          <w:rFonts w:hint="default" w:ascii="Times New Roman" w:hAnsi="Times New Roman" w:eastAsia="宋体" w:cs="Times New Roman"/>
          <w:color w:val="000000" w:themeColor="text1"/>
          <w:sz w:val="28"/>
          <w:szCs w:val="28"/>
          <w:highlight w:val="none"/>
          <w14:textFill>
            <w14:solidFill>
              <w14:schemeClr w14:val="tx1"/>
            </w14:solidFill>
          </w14:textFill>
        </w:rPr>
        <w:t>m</w:t>
      </w:r>
      <w:r>
        <w:rPr>
          <w:rFonts w:hint="default" w:ascii="Times New Roman" w:hAnsi="Times New Roman" w:eastAsia="宋体" w:cs="Times New Roman"/>
          <w:color w:val="000000" w:themeColor="text1"/>
          <w:sz w:val="28"/>
          <w:szCs w:val="28"/>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8"/>
          <w:szCs w:val="28"/>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河水流量</w:t>
      </w:r>
      <w:r>
        <w:rPr>
          <w:rFonts w:hint="default" w:ascii="Times New Roman" w:hAnsi="Times New Roman" w:eastAsia="宋体" w:cs="Times New Roman"/>
          <w:color w:val="000000" w:themeColor="text1"/>
          <w:sz w:val="28"/>
          <w:szCs w:val="28"/>
          <w:highlight w:val="none"/>
          <w14:textFill>
            <w14:solidFill>
              <w14:schemeClr w14:val="tx1"/>
            </w14:solidFill>
          </w14:textFill>
        </w:rPr>
        <w:t>6～8月份流量较大，</w:t>
      </w:r>
      <w:r>
        <w:rPr>
          <w:rFonts w:hint="eastAsia" w:cs="Times New Roman"/>
          <w:color w:val="000000" w:themeColor="text1"/>
          <w:sz w:val="28"/>
          <w:szCs w:val="28"/>
          <w:highlight w:val="none"/>
          <w:lang w:val="en-US" w:eastAsia="zh-CN"/>
          <w14:textFill>
            <w14:solidFill>
              <w14:schemeClr w14:val="tx1"/>
            </w14:solidFill>
          </w14:textFill>
        </w:rPr>
        <w:t>多年平均含砂量35.30kg/m</w:t>
      </w:r>
      <w:r>
        <w:rPr>
          <w:rFonts w:hint="eastAsia" w:cs="Times New Roman"/>
          <w:color w:val="000000" w:themeColor="text1"/>
          <w:sz w:val="28"/>
          <w:szCs w:val="28"/>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w:t>
      </w:r>
    </w:p>
    <w:p w14:paraId="56EA095A">
      <w:pPr>
        <w:spacing w:line="360" w:lineRule="auto"/>
        <w:ind w:firstLine="560" w:firstLineChars="200"/>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三</w:t>
      </w: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相邻矿山</w:t>
      </w:r>
    </w:p>
    <w:p w14:paraId="1F5ADB74">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根据现场调查</w:t>
      </w: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及向</w:t>
      </w:r>
      <w:r>
        <w:rPr>
          <w:rFonts w:hint="default" w:ascii="Times New Roman" w:hAnsi="Times New Roman" w:cs="Times New Roman"/>
          <w:color w:val="000000" w:themeColor="text1"/>
          <w:sz w:val="28"/>
          <w:szCs w:val="28"/>
          <w14:textFill>
            <w14:solidFill>
              <w14:schemeClr w14:val="tx1"/>
            </w14:solidFill>
          </w14:textFill>
        </w:rPr>
        <w:t>赤峰市</w:t>
      </w:r>
      <w:r>
        <w:rPr>
          <w:rFonts w:hint="eastAsia" w:cs="Times New Roman"/>
          <w:color w:val="000000" w:themeColor="text1"/>
          <w:sz w:val="28"/>
          <w:szCs w:val="28"/>
          <w:lang w:val="en-US" w:eastAsia="zh-CN"/>
          <w14:textFill>
            <w14:solidFill>
              <w14:schemeClr w14:val="tx1"/>
            </w14:solidFill>
          </w14:textFill>
        </w:rPr>
        <w:t>自然资源局松山区分局走访，本矿山</w:t>
      </w:r>
      <w:r>
        <w:rPr>
          <w:rFonts w:hint="default" w:ascii="Times New Roman" w:hAnsi="Times New Roman" w:cs="Times New Roman"/>
          <w:color w:val="000000" w:themeColor="text1"/>
          <w:sz w:val="28"/>
          <w:szCs w:val="28"/>
          <w14:textFill>
            <w14:solidFill>
              <w14:schemeClr w14:val="tx1"/>
            </w14:solidFill>
          </w14:textFill>
        </w:rPr>
        <w:t>周围3km之内无其它采矿权设置，无采矿活动。</w:t>
      </w:r>
    </w:p>
    <w:p w14:paraId="2E0FDCA6">
      <w:pPr>
        <w:spacing w:line="360" w:lineRule="auto"/>
        <w:ind w:firstLine="560" w:firstLineChars="200"/>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四</w:t>
      </w: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大型基础设施</w:t>
      </w:r>
    </w:p>
    <w:p w14:paraId="7A40B35F">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highlight w:val="none"/>
          <w14:textFill>
            <w14:solidFill>
              <w14:schemeClr w14:val="tx1"/>
            </w14:solidFill>
          </w14:textFill>
        </w:rPr>
        <w:t>根据现场调查及向当地自然资源局收集资料，</w:t>
      </w:r>
      <w:r>
        <w:rPr>
          <w:rFonts w:hint="default" w:ascii="Times New Roman" w:hAnsi="Times New Roman" w:eastAsia="宋体" w:cs="Times New Roman"/>
          <w:color w:val="000000" w:themeColor="text1"/>
          <w:sz w:val="28"/>
          <w:szCs w:val="21"/>
          <w:highlight w:val="none"/>
          <w14:textFill>
            <w14:solidFill>
              <w14:schemeClr w14:val="tx1"/>
            </w14:solidFill>
          </w14:textFill>
        </w:rPr>
        <w:t>矿区周边</w:t>
      </w:r>
      <w:r>
        <w:rPr>
          <w:rFonts w:hint="eastAsia" w:eastAsia="宋体" w:cs="Times New Roman"/>
          <w:color w:val="000000" w:themeColor="text1"/>
          <w:sz w:val="28"/>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8"/>
          <w:szCs w:val="21"/>
          <w:highlight w:val="none"/>
          <w14:textFill>
            <w14:solidFill>
              <w14:schemeClr w14:val="tx1"/>
            </w14:solidFill>
          </w14:textFill>
        </w:rPr>
        <w:t>km范围内无</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大型基础设施，</w:t>
      </w:r>
      <w:r>
        <w:rPr>
          <w:rFonts w:hint="default" w:ascii="Times New Roman" w:hAnsi="Times New Roman" w:eastAsia="宋体" w:cs="Times New Roman"/>
          <w:color w:val="000000" w:themeColor="text1"/>
          <w:sz w:val="28"/>
          <w:szCs w:val="28"/>
          <w14:textFill>
            <w14:solidFill>
              <w14:schemeClr w14:val="tx1"/>
            </w14:solidFill>
          </w14:textFill>
        </w:rPr>
        <w:t>无其它重要工程设施</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p>
    <w:p w14:paraId="74B96814">
      <w:pPr>
        <w:pStyle w:val="3"/>
        <w:spacing w:before="0" w:beforeLines="0"/>
        <w:jc w:val="center"/>
        <w:rPr>
          <w:rFonts w:hint="eastAsia" w:eastAsia="宋体" w:cs="Times New Roman"/>
          <w:color w:val="000000" w:themeColor="text1"/>
          <w:lang w:val="en-US" w:eastAsia="zh-CN"/>
          <w14:textFill>
            <w14:solidFill>
              <w14:schemeClr w14:val="tx1"/>
            </w14:solidFill>
          </w14:textFill>
        </w:rPr>
      </w:pPr>
      <w:bookmarkStart w:id="14" w:name="_Toc20613"/>
      <w:r>
        <w:rPr>
          <w:rFonts w:hint="eastAsia" w:eastAsia="宋体" w:cs="Times New Roman"/>
          <w:color w:val="000000" w:themeColor="text1"/>
          <w:lang w:val="en-US" w:eastAsia="zh-CN"/>
          <w14:textFill>
            <w14:solidFill>
              <w14:schemeClr w14:val="tx1"/>
            </w14:solidFill>
          </w14:textFill>
        </w:rPr>
        <w:t>第三节  矿山开采历史及现状</w:t>
      </w:r>
      <w:bookmarkEnd w:id="14"/>
    </w:p>
    <w:p w14:paraId="07DAC8F8">
      <w:pPr>
        <w:pStyle w:val="5"/>
        <w:bidi w:val="0"/>
        <w:spacing w:line="360" w:lineRule="auto"/>
        <w:ind w:firstLine="562" w:firstLineChars="200"/>
        <w:rPr>
          <w:rFonts w:hint="eastAsia" w:hAnsi="Times New Roman" w:cs="Times New Roman"/>
          <w:b/>
          <w:bCs/>
          <w:color w:val="000000" w:themeColor="text1"/>
          <w:sz w:val="28"/>
          <w:szCs w:val="28"/>
          <w:lang w:val="en-US" w:eastAsia="zh-CN"/>
          <w14:textFill>
            <w14:solidFill>
              <w14:schemeClr w14:val="tx1"/>
            </w14:solidFill>
          </w14:textFill>
        </w:rPr>
      </w:pPr>
      <w:r>
        <w:rPr>
          <w:rFonts w:hint="eastAsia" w:hAnsi="Times New Roman" w:cs="Times New Roman"/>
          <w:b/>
          <w:bCs/>
          <w:color w:val="000000" w:themeColor="text1"/>
          <w:sz w:val="28"/>
          <w:szCs w:val="28"/>
          <w:lang w:val="en-US" w:eastAsia="zh-CN"/>
          <w14:textFill>
            <w14:solidFill>
              <w14:schemeClr w14:val="tx1"/>
            </w14:solidFill>
          </w14:textFill>
        </w:rPr>
        <w:t>一、矿山开采历史</w:t>
      </w:r>
    </w:p>
    <w:p w14:paraId="6B609A62">
      <w:pPr>
        <w:spacing w:line="360" w:lineRule="auto"/>
        <w:ind w:firstLine="560" w:firstLineChars="200"/>
        <w:rPr>
          <w:rFonts w:hint="eastAsia" w:ascii="Times New Roman" w:hAnsi="Times New Roman" w:eastAsia="宋体" w:cs="Times New Roman"/>
          <w:color w:val="000000" w:themeColor="text1"/>
          <w:sz w:val="28"/>
          <w:szCs w:val="21"/>
          <w:lang w:val="en-US" w:eastAsia="zh-CN"/>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赤峰太安新型建筑材料有限公司太平地镇粘土矿采矿权人为赤峰太安新型建筑材料有限公司，该矿于200</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9</w:t>
      </w:r>
      <w:r>
        <w:rPr>
          <w:rFonts w:hint="default" w:ascii="Times New Roman" w:hAnsi="Times New Roman" w:eastAsia="宋体" w:cs="Times New Roman"/>
          <w:color w:val="000000" w:themeColor="text1"/>
          <w:sz w:val="28"/>
          <w:szCs w:val="28"/>
          <w14:textFill>
            <w14:solidFill>
              <w14:schemeClr w14:val="tx1"/>
            </w14:solidFill>
          </w14:textFill>
        </w:rPr>
        <w:t>年</w:t>
      </w:r>
      <w:r>
        <w:rPr>
          <w:rFonts w:hint="default" w:ascii="Times New Roman" w:hAnsi="Times New Roman" w:eastAsia="宋体" w:cs="Times New Roman"/>
          <w:color w:val="000000" w:themeColor="text1"/>
          <w:sz w:val="28"/>
          <w:szCs w:val="21"/>
          <w14:textFill>
            <w14:solidFill>
              <w14:schemeClr w14:val="tx1"/>
            </w14:solidFill>
          </w14:textFill>
        </w:rPr>
        <w:t>投产，</w:t>
      </w:r>
      <w:r>
        <w:rPr>
          <w:rFonts w:hint="default" w:ascii="Times New Roman" w:hAnsi="Times New Roman" w:eastAsia="宋体" w:cs="Times New Roman"/>
          <w:color w:val="000000" w:themeColor="text1"/>
          <w:sz w:val="28"/>
          <w:szCs w:val="21"/>
          <w:lang w:val="en-US" w:eastAsia="zh-CN"/>
          <w14:textFill>
            <w14:solidFill>
              <w14:schemeClr w14:val="tx1"/>
            </w14:solidFill>
          </w14:textFill>
        </w:rPr>
        <w:t>该矿原</w:t>
      </w:r>
      <w:r>
        <w:rPr>
          <w:rFonts w:hint="eastAsia" w:ascii="Times New Roman" w:hAnsi="Times New Roman" w:eastAsia="宋体" w:cs="Times New Roman"/>
          <w:color w:val="000000" w:themeColor="text1"/>
          <w:sz w:val="28"/>
          <w:szCs w:val="21"/>
          <w:lang w:val="en-US" w:eastAsia="zh-CN"/>
          <w14:textFill>
            <w14:solidFill>
              <w14:schemeClr w14:val="tx1"/>
            </w14:solidFill>
          </w14:textFill>
        </w:rPr>
        <w:t>名</w:t>
      </w:r>
      <w:r>
        <w:rPr>
          <w:rFonts w:hint="default" w:ascii="Times New Roman" w:hAnsi="Times New Roman" w:eastAsia="宋体" w:cs="Times New Roman"/>
          <w:color w:val="000000" w:themeColor="text1"/>
          <w:sz w:val="28"/>
          <w:szCs w:val="21"/>
          <w:lang w:val="en-US" w:eastAsia="zh-CN"/>
          <w14:textFill>
            <w14:solidFill>
              <w14:schemeClr w14:val="tx1"/>
            </w14:solidFill>
          </w14:textFill>
        </w:rPr>
        <w:t>为</w:t>
      </w:r>
      <w:r>
        <w:rPr>
          <w:rFonts w:hint="eastAsia" w:ascii="Times New Roman" w:hAnsi="Times New Roman" w:eastAsia="宋体" w:cs="Times New Roman"/>
          <w:color w:val="000000" w:themeColor="text1"/>
          <w:sz w:val="28"/>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1"/>
          <w:lang w:val="en-US" w:eastAsia="zh-CN"/>
          <w14:textFill>
            <w14:solidFill>
              <w14:schemeClr w14:val="tx1"/>
            </w14:solidFill>
          </w14:textFill>
        </w:rPr>
        <w:t>赤峰市松山区德春砖厂粘土矿</w:t>
      </w:r>
      <w:r>
        <w:rPr>
          <w:rFonts w:hint="eastAsia" w:ascii="Times New Roman" w:hAnsi="Times New Roman" w:eastAsia="宋体" w:cs="Times New Roman"/>
          <w:color w:val="000000" w:themeColor="text1"/>
          <w:sz w:val="28"/>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1"/>
          <w:lang w:val="en-US" w:eastAsia="zh-CN"/>
          <w14:textFill>
            <w14:solidFill>
              <w14:schemeClr w14:val="tx1"/>
            </w14:solidFill>
          </w14:textFill>
        </w:rPr>
        <w:t>，后通过采矿权转让变更而来。</w:t>
      </w:r>
      <w:r>
        <w:rPr>
          <w:rFonts w:hint="eastAsia" w:ascii="Times New Roman" w:hAnsi="Times New Roman" w:eastAsia="宋体" w:cs="Times New Roman"/>
          <w:color w:val="000000" w:themeColor="text1"/>
          <w:sz w:val="28"/>
          <w:szCs w:val="21"/>
          <w:lang w:val="en-US" w:eastAsia="zh-CN"/>
          <w14:textFill>
            <w14:solidFill>
              <w14:schemeClr w14:val="tx1"/>
            </w14:solidFill>
          </w14:textFill>
        </w:rPr>
        <w:t>原</w:t>
      </w:r>
      <w:r>
        <w:rPr>
          <w:rFonts w:hint="default" w:ascii="Times New Roman" w:hAnsi="Times New Roman" w:eastAsia="宋体" w:cs="Times New Roman"/>
          <w:color w:val="000000" w:themeColor="text1"/>
          <w:sz w:val="28"/>
          <w:szCs w:val="21"/>
          <w:lang w:val="en-US" w:eastAsia="zh-CN"/>
          <w14:textFill>
            <w14:solidFill>
              <w14:schemeClr w14:val="tx1"/>
            </w14:solidFill>
          </w14:textFill>
        </w:rPr>
        <w:t>采矿证标高</w:t>
      </w:r>
      <w:r>
        <w:rPr>
          <w:rFonts w:hint="eastAsia" w:ascii="Times New Roman" w:hAnsi="Times New Roman" w:eastAsia="宋体" w:cs="Times New Roman"/>
          <w:color w:val="000000" w:themeColor="text1"/>
          <w:sz w:val="28"/>
          <w:szCs w:val="21"/>
          <w:lang w:val="en-US" w:eastAsia="zh-CN"/>
          <w14:textFill>
            <w14:solidFill>
              <w14:schemeClr w14:val="tx1"/>
            </w14:solidFill>
          </w14:textFill>
        </w:rPr>
        <w:t>为</w:t>
      </w:r>
      <w:r>
        <w:rPr>
          <w:rFonts w:hint="default" w:ascii="Times New Roman" w:hAnsi="Times New Roman" w:eastAsia="宋体" w:cs="Times New Roman"/>
          <w:color w:val="000000" w:themeColor="text1"/>
          <w:sz w:val="28"/>
          <w:szCs w:val="21"/>
          <w:lang w:val="en-US" w:eastAsia="zh-CN"/>
          <w14:textFill>
            <w14:solidFill>
              <w14:schemeClr w14:val="tx1"/>
            </w14:solidFill>
          </w14:textFill>
        </w:rPr>
        <w:t>680m至650m，经实地测量，实际地形最高标高为489.06m。根据</w:t>
      </w:r>
      <w:r>
        <w:rPr>
          <w:rFonts w:hint="eastAsia" w:ascii="Times New Roman" w:hAnsi="Times New Roman" w:eastAsia="宋体" w:cs="Times New Roman"/>
          <w:color w:val="000000" w:themeColor="text1"/>
          <w:sz w:val="28"/>
          <w:szCs w:val="21"/>
          <w:lang w:val="en-US" w:eastAsia="zh-CN"/>
          <w14:textFill>
            <w14:solidFill>
              <w14:schemeClr w14:val="tx1"/>
            </w14:solidFill>
          </w14:textFill>
        </w:rPr>
        <w:t>原</w:t>
      </w:r>
      <w:r>
        <w:rPr>
          <w:rFonts w:hint="default" w:ascii="Times New Roman" w:hAnsi="Times New Roman" w:eastAsia="宋体" w:cs="Times New Roman"/>
          <w:color w:val="000000" w:themeColor="text1"/>
          <w:sz w:val="28"/>
          <w:szCs w:val="21"/>
          <w:lang w:val="en-US" w:eastAsia="zh-CN"/>
          <w14:textFill>
            <w14:solidFill>
              <w14:schemeClr w14:val="tx1"/>
            </w14:solidFill>
          </w14:textFill>
        </w:rPr>
        <w:t>赤峰市自然资源局松山区分局《关于对赤峰市松山区德春砖厂粘土矿等6家企业采矿范围纠错的请示》(赤自然资松发</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〔202</w:t>
      </w:r>
      <w:r>
        <w:rPr>
          <w:rFonts w:hint="eastAsia" w:eastAsia="宋体" w:cs="Times New Roman"/>
          <w:color w:val="000000" w:themeColor="text1"/>
          <w:sz w:val="28"/>
          <w:szCs w:val="21"/>
          <w:highlight w:val="none"/>
          <w:lang w:val="en-US" w:eastAsia="zh-CN"/>
          <w14:textFill>
            <w14:solidFill>
              <w14:schemeClr w14:val="tx1"/>
            </w14:solidFill>
          </w14:textFill>
        </w:rPr>
        <w:t>0</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1"/>
          <w:lang w:val="en-US" w:eastAsia="zh-CN"/>
          <w14:textFill>
            <w14:solidFill>
              <w14:schemeClr w14:val="tx1"/>
            </w14:solidFill>
          </w14:textFill>
        </w:rPr>
        <w:t>94号)，建议赤峰市松山区德春砖厂粘土矿在采矿许可证平面范围不变的情况下，将采矿标高调整为490m至460m。2020年11月10日，经赤峰市自然资源局矿政管理工作会议研究，形成赤峰市自然资源局专题会议纪要（赤自然资纪字</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〔202</w:t>
      </w:r>
      <w:r>
        <w:rPr>
          <w:rFonts w:hint="eastAsia" w:eastAsia="宋体" w:cs="Times New Roman"/>
          <w:color w:val="000000" w:themeColor="text1"/>
          <w:sz w:val="28"/>
          <w:szCs w:val="21"/>
          <w:highlight w:val="none"/>
          <w:lang w:val="en-US" w:eastAsia="zh-CN"/>
          <w14:textFill>
            <w14:solidFill>
              <w14:schemeClr w14:val="tx1"/>
            </w14:solidFill>
          </w14:textFill>
        </w:rPr>
        <w:t>0</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1"/>
          <w:lang w:val="en-US" w:eastAsia="zh-CN"/>
          <w14:textFill>
            <w14:solidFill>
              <w14:schemeClr w14:val="tx1"/>
            </w14:solidFill>
          </w14:textFill>
        </w:rPr>
        <w:t>69号），同意将赤峰市松山区德春砖厂粘土矿开采标高调整为490m至460m，2021年11月11日，赤峰市自然资源局发布《关于对松山区牤牛营子种猪场砖厂等三家粘土矿进行纠错的公告》（赤自然资纪字</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〔202</w:t>
      </w:r>
      <w:r>
        <w:rPr>
          <w:rFonts w:hint="eastAsia" w:eastAsia="宋体" w:cs="Times New Roman"/>
          <w:color w:val="000000" w:themeColor="text1"/>
          <w:sz w:val="28"/>
          <w:szCs w:val="21"/>
          <w:highlight w:val="none"/>
          <w:lang w:val="en-US" w:eastAsia="zh-CN"/>
          <w14:textFill>
            <w14:solidFill>
              <w14:schemeClr w14:val="tx1"/>
            </w14:solidFill>
          </w14:textFill>
        </w:rPr>
        <w:t>0</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1"/>
          <w:lang w:val="en-US" w:eastAsia="zh-CN"/>
          <w14:textFill>
            <w14:solidFill>
              <w14:schemeClr w14:val="tx1"/>
            </w14:solidFill>
          </w14:textFill>
        </w:rPr>
        <w:t>69号）。2021年1月15日，赤峰日报第8版刊登此公告</w:t>
      </w:r>
      <w:r>
        <w:rPr>
          <w:rFonts w:hint="eastAsia" w:ascii="Times New Roman" w:hAnsi="Times New Roman" w:eastAsia="宋体" w:cs="Times New Roman"/>
          <w:color w:val="000000" w:themeColor="text1"/>
          <w:sz w:val="28"/>
          <w:szCs w:val="21"/>
          <w:lang w:val="en-US" w:eastAsia="zh-CN"/>
          <w14:textFill>
            <w14:solidFill>
              <w14:schemeClr w14:val="tx1"/>
            </w14:solidFill>
          </w14:textFill>
        </w:rPr>
        <w:t>。2020年12月31日，赤峰市松山区德春砖厂为了查明变更标高后矿区范围内砖瓦用粘土矿资源储量，委托赤峰带路矿业咨询有限公司和江西核工业工程地质勘察院联合承担编制了《内蒙古自治区赤峰市松山区德春砖厂粘土矿开发与治理综合方案》。</w:t>
      </w:r>
    </w:p>
    <w:p w14:paraId="50F18FE7">
      <w:pPr>
        <w:spacing w:line="360" w:lineRule="auto"/>
        <w:ind w:firstLine="560" w:firstLineChars="200"/>
        <w:rPr>
          <w:rFonts w:hint="eastAsia" w:ascii="Times New Roman" w:hAnsi="Times New Roman" w:eastAsia="宋体" w:cs="Times New Roman"/>
          <w:color w:val="000000" w:themeColor="text1"/>
          <w:sz w:val="28"/>
          <w:szCs w:val="28"/>
          <w:lang w:eastAsia="zh-CN"/>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依据赤峰市自然资源局</w:t>
      </w:r>
      <w:r>
        <w:rPr>
          <w:rFonts w:hint="eastAsia" w:cs="Times New Roman"/>
          <w:color w:val="000000" w:themeColor="text1"/>
          <w:sz w:val="28"/>
          <w:szCs w:val="28"/>
          <w:lang w:val="en-US" w:eastAsia="zh-CN"/>
          <w14:textFill>
            <w14:solidFill>
              <w14:schemeClr w14:val="tx1"/>
            </w14:solidFill>
          </w14:textFill>
        </w:rPr>
        <w:t>松山区分局</w:t>
      </w:r>
      <w:r>
        <w:rPr>
          <w:rFonts w:hint="default" w:ascii="Times New Roman" w:hAnsi="Times New Roman" w:cs="Times New Roman"/>
          <w:color w:val="000000" w:themeColor="text1"/>
          <w:sz w:val="28"/>
          <w:szCs w:val="28"/>
          <w14:textFill>
            <w14:solidFill>
              <w14:schemeClr w14:val="tx1"/>
            </w14:solidFill>
          </w14:textFill>
        </w:rPr>
        <w:t>202</w:t>
      </w:r>
      <w:r>
        <w:rPr>
          <w:rFonts w:hint="eastAsia" w:cs="Times New Roman"/>
          <w:color w:val="000000" w:themeColor="text1"/>
          <w:sz w:val="28"/>
          <w:szCs w:val="28"/>
          <w:lang w:val="en-US" w:eastAsia="zh-CN"/>
          <w14:textFill>
            <w14:solidFill>
              <w14:schemeClr w14:val="tx1"/>
            </w14:solidFill>
          </w14:textFill>
        </w:rPr>
        <w:t>5</w:t>
      </w:r>
      <w:r>
        <w:rPr>
          <w:rFonts w:hint="default" w:ascii="Times New Roman" w:hAnsi="Times New Roman" w:cs="Times New Roman"/>
          <w:color w:val="000000" w:themeColor="text1"/>
          <w:sz w:val="28"/>
          <w:szCs w:val="28"/>
          <w14:textFill>
            <w14:solidFill>
              <w14:schemeClr w14:val="tx1"/>
            </w14:solidFill>
          </w14:textFill>
        </w:rPr>
        <w:t>年</w:t>
      </w:r>
      <w:r>
        <w:rPr>
          <w:rFonts w:hint="eastAsia" w:cs="Times New Roman"/>
          <w:color w:val="000000" w:themeColor="text1"/>
          <w:sz w:val="28"/>
          <w:szCs w:val="28"/>
          <w:lang w:val="en-US" w:eastAsia="zh-CN"/>
          <w14:textFill>
            <w14:solidFill>
              <w14:schemeClr w14:val="tx1"/>
            </w14:solidFill>
          </w14:textFill>
        </w:rPr>
        <w:t>5</w:t>
      </w:r>
      <w:r>
        <w:rPr>
          <w:rFonts w:hint="default" w:ascii="Times New Roman" w:hAnsi="Times New Roman" w:cs="Times New Roman"/>
          <w:color w:val="000000" w:themeColor="text1"/>
          <w:sz w:val="28"/>
          <w:szCs w:val="28"/>
          <w14:textFill>
            <w14:solidFill>
              <w14:schemeClr w14:val="tx1"/>
            </w14:solidFill>
          </w14:textFill>
        </w:rPr>
        <w:t>月</w:t>
      </w:r>
      <w:r>
        <w:rPr>
          <w:rFonts w:hint="eastAsia" w:cs="Times New Roman"/>
          <w:color w:val="000000" w:themeColor="text1"/>
          <w:sz w:val="28"/>
          <w:szCs w:val="28"/>
          <w:lang w:val="en-US" w:eastAsia="zh-CN"/>
          <w14:textFill>
            <w14:solidFill>
              <w14:schemeClr w14:val="tx1"/>
            </w14:solidFill>
          </w14:textFill>
        </w:rPr>
        <w:t>15</w:t>
      </w:r>
      <w:r>
        <w:rPr>
          <w:rFonts w:hint="default" w:ascii="Times New Roman" w:hAnsi="Times New Roman" w:cs="Times New Roman"/>
          <w:color w:val="000000" w:themeColor="text1"/>
          <w:sz w:val="28"/>
          <w:szCs w:val="28"/>
          <w14:textFill>
            <w14:solidFill>
              <w14:schemeClr w14:val="tx1"/>
            </w14:solidFill>
          </w14:textFill>
        </w:rPr>
        <w:t>日颁发的采矿许可证，</w:t>
      </w:r>
      <w:r>
        <w:rPr>
          <w:rFonts w:hint="eastAsia" w:ascii="Times New Roman" w:hAnsi="Times New Roman" w:cs="Times New Roman"/>
          <w:color w:val="000000" w:themeColor="text1"/>
          <w:sz w:val="28"/>
          <w:szCs w:val="28"/>
          <w:lang w:val="en-US" w:eastAsia="zh-CN"/>
          <w14:textFill>
            <w14:solidFill>
              <w14:schemeClr w14:val="tx1"/>
            </w14:solidFill>
          </w14:textFill>
        </w:rPr>
        <w:t>现采矿许可证</w:t>
      </w:r>
      <w:r>
        <w:rPr>
          <w:rFonts w:hint="default" w:ascii="Times New Roman" w:hAnsi="Times New Roman" w:cs="Times New Roman"/>
          <w:color w:val="000000" w:themeColor="text1"/>
          <w:sz w:val="28"/>
          <w:szCs w:val="28"/>
          <w14:textFill>
            <w14:solidFill>
              <w14:schemeClr w14:val="tx1"/>
            </w14:solidFill>
          </w14:textFill>
        </w:rPr>
        <w:t>采矿权人：赤峰太安新型建筑材料有限公司；矿山名称：赤峰太安新型建筑材料有限公司太平地镇粘土矿；开采矿种：</w:t>
      </w:r>
      <w:r>
        <w:rPr>
          <w:rFonts w:hint="eastAsia" w:cs="Times New Roman"/>
          <w:color w:val="000000" w:themeColor="text1"/>
          <w:sz w:val="28"/>
          <w:szCs w:val="28"/>
          <w:lang w:val="en-US" w:eastAsia="zh-CN"/>
          <w14:textFill>
            <w14:solidFill>
              <w14:schemeClr w14:val="tx1"/>
            </w14:solidFill>
          </w14:textFill>
        </w:rPr>
        <w:t>砖瓦用粘土</w:t>
      </w:r>
      <w:r>
        <w:rPr>
          <w:rFonts w:hint="default" w:ascii="Times New Roman" w:hAnsi="Times New Roman" w:cs="Times New Roman"/>
          <w:color w:val="000000" w:themeColor="text1"/>
          <w:sz w:val="28"/>
          <w:szCs w:val="28"/>
          <w14:textFill>
            <w14:solidFill>
              <w14:schemeClr w14:val="tx1"/>
            </w14:solidFill>
          </w14:textFill>
        </w:rPr>
        <w:t>；开采方式：</w:t>
      </w:r>
      <w:r>
        <w:rPr>
          <w:rFonts w:hint="eastAsia" w:cs="Times New Roman"/>
          <w:color w:val="000000" w:themeColor="text1"/>
          <w:sz w:val="28"/>
          <w:szCs w:val="28"/>
          <w:lang w:val="en-US" w:eastAsia="zh-CN"/>
          <w14:textFill>
            <w14:solidFill>
              <w14:schemeClr w14:val="tx1"/>
            </w14:solidFill>
          </w14:textFill>
        </w:rPr>
        <w:t>露天</w:t>
      </w:r>
      <w:r>
        <w:rPr>
          <w:rFonts w:hint="default" w:ascii="Times New Roman" w:hAnsi="Times New Roman" w:cs="Times New Roman"/>
          <w:color w:val="000000" w:themeColor="text1"/>
          <w:sz w:val="28"/>
          <w:szCs w:val="28"/>
          <w14:textFill>
            <w14:solidFill>
              <w14:schemeClr w14:val="tx1"/>
            </w14:solidFill>
          </w14:textFill>
        </w:rPr>
        <w:t>开采；生产规模：</w:t>
      </w:r>
      <w:r>
        <w:rPr>
          <w:rFonts w:hint="eastAsia" w:cs="Times New Roman"/>
          <w:color w:val="000000" w:themeColor="text1"/>
          <w:sz w:val="28"/>
          <w:szCs w:val="28"/>
          <w:lang w:val="en-US" w:eastAsia="zh-CN"/>
          <w14:textFill>
            <w14:solidFill>
              <w14:schemeClr w14:val="tx1"/>
            </w14:solidFill>
          </w14:textFill>
        </w:rPr>
        <w:t>6</w:t>
      </w:r>
      <w:r>
        <w:rPr>
          <w:rFonts w:hint="default" w:ascii="Times New Roman" w:hAnsi="Times New Roman" w:cs="Times New Roman"/>
          <w:color w:val="000000" w:themeColor="text1"/>
          <w:sz w:val="28"/>
          <w:szCs w:val="28"/>
          <w14:textFill>
            <w14:solidFill>
              <w14:schemeClr w14:val="tx1"/>
            </w14:solidFill>
          </w14:textFill>
        </w:rPr>
        <w:t>×10</w:t>
      </w:r>
      <w:r>
        <w:rPr>
          <w:rFonts w:hint="default" w:ascii="Times New Roman" w:hAnsi="Times New Roman" w:cs="Times New Roman"/>
          <w:color w:val="000000" w:themeColor="text1"/>
          <w:sz w:val="28"/>
          <w:szCs w:val="28"/>
          <w:vertAlign w:val="superscript"/>
          <w14:textFill>
            <w14:solidFill>
              <w14:schemeClr w14:val="tx1"/>
            </w14:solidFill>
          </w14:textFill>
        </w:rPr>
        <w:t>4</w:t>
      </w:r>
      <w:r>
        <w:rPr>
          <w:rFonts w:hint="eastAsia" w:cs="Times New Roman"/>
          <w:color w:val="000000" w:themeColor="text1"/>
          <w:sz w:val="28"/>
          <w:szCs w:val="28"/>
          <w:lang w:val="en-US" w:eastAsia="zh-CN"/>
          <w14:textFill>
            <w14:solidFill>
              <w14:schemeClr w14:val="tx1"/>
            </w14:solidFill>
          </w14:textFill>
        </w:rPr>
        <w:t>m</w:t>
      </w:r>
      <w:r>
        <w:rPr>
          <w:rFonts w:hint="eastAsia" w:cs="Times New Roman"/>
          <w:color w:val="000000" w:themeColor="text1"/>
          <w:sz w:val="28"/>
          <w:szCs w:val="28"/>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/a；矿区面积：</w:t>
      </w:r>
      <w:r>
        <w:rPr>
          <w:rFonts w:hint="eastAsia" w:cs="Times New Roman"/>
          <w:color w:val="000000" w:themeColor="text1"/>
          <w:sz w:val="28"/>
          <w:szCs w:val="28"/>
          <w:lang w:val="en-US" w:eastAsia="zh-CN"/>
          <w14:textFill>
            <w14:solidFill>
              <w14:schemeClr w14:val="tx1"/>
            </w14:solidFill>
          </w14:textFill>
        </w:rPr>
        <w:t>0.1604</w:t>
      </w:r>
      <w:r>
        <w:rPr>
          <w:rFonts w:hint="default" w:ascii="Times New Roman" w:hAnsi="Times New Roman" w:cs="Times New Roman"/>
          <w:color w:val="000000" w:themeColor="text1"/>
          <w:sz w:val="28"/>
          <w:szCs w:val="28"/>
          <w14:textFill>
            <w14:solidFill>
              <w14:schemeClr w14:val="tx1"/>
            </w14:solidFill>
          </w14:textFill>
        </w:rPr>
        <w:t>km²；有效期限：202</w:t>
      </w:r>
      <w:r>
        <w:rPr>
          <w:rFonts w:hint="eastAsia" w:cs="Times New Roman"/>
          <w:color w:val="000000" w:themeColor="text1"/>
          <w:sz w:val="28"/>
          <w:szCs w:val="28"/>
          <w:lang w:val="en-US" w:eastAsia="zh-CN"/>
          <w14:textFill>
            <w14:solidFill>
              <w14:schemeClr w14:val="tx1"/>
            </w14:solidFill>
          </w14:textFill>
        </w:rPr>
        <w:t>5</w:t>
      </w:r>
      <w:r>
        <w:rPr>
          <w:rFonts w:hint="default" w:ascii="Times New Roman" w:hAnsi="Times New Roman" w:cs="Times New Roman"/>
          <w:color w:val="000000" w:themeColor="text1"/>
          <w:sz w:val="28"/>
          <w:szCs w:val="28"/>
          <w14:textFill>
            <w14:solidFill>
              <w14:schemeClr w14:val="tx1"/>
            </w14:solidFill>
          </w14:textFill>
        </w:rPr>
        <w:t>年</w:t>
      </w:r>
      <w:r>
        <w:rPr>
          <w:rFonts w:hint="eastAsia" w:cs="Times New Roman"/>
          <w:color w:val="000000" w:themeColor="text1"/>
          <w:sz w:val="28"/>
          <w:szCs w:val="28"/>
          <w:lang w:val="en-US" w:eastAsia="zh-CN"/>
          <w14:textFill>
            <w14:solidFill>
              <w14:schemeClr w14:val="tx1"/>
            </w14:solidFill>
          </w14:textFill>
        </w:rPr>
        <w:t>6</w:t>
      </w:r>
      <w:r>
        <w:rPr>
          <w:rFonts w:hint="default" w:ascii="Times New Roman" w:hAnsi="Times New Roman" w:cs="Times New Roman"/>
          <w:color w:val="000000" w:themeColor="text1"/>
          <w:sz w:val="28"/>
          <w:szCs w:val="28"/>
          <w14:textFill>
            <w14:solidFill>
              <w14:schemeClr w14:val="tx1"/>
            </w14:solidFill>
          </w14:textFill>
        </w:rPr>
        <w:t>月</w:t>
      </w:r>
      <w:r>
        <w:rPr>
          <w:rFonts w:hint="eastAsia" w:cs="Times New Roman"/>
          <w:color w:val="000000" w:themeColor="text1"/>
          <w:sz w:val="28"/>
          <w:szCs w:val="28"/>
          <w:lang w:val="en-US" w:eastAsia="zh-CN"/>
          <w14:textFill>
            <w14:solidFill>
              <w14:schemeClr w14:val="tx1"/>
            </w14:solidFill>
          </w14:textFill>
        </w:rPr>
        <w:t>16</w:t>
      </w:r>
      <w:r>
        <w:rPr>
          <w:rFonts w:hint="default" w:ascii="Times New Roman" w:hAnsi="Times New Roman" w:cs="Times New Roman"/>
          <w:color w:val="000000" w:themeColor="text1"/>
          <w:sz w:val="28"/>
          <w:szCs w:val="28"/>
          <w14:textFill>
            <w14:solidFill>
              <w14:schemeClr w14:val="tx1"/>
            </w14:solidFill>
          </w14:textFill>
        </w:rPr>
        <w:t>日至20</w:t>
      </w:r>
      <w:r>
        <w:rPr>
          <w:rFonts w:hint="eastAsia" w:cs="Times New Roman"/>
          <w:color w:val="000000" w:themeColor="text1"/>
          <w:sz w:val="28"/>
          <w:szCs w:val="28"/>
          <w:lang w:val="en-US" w:eastAsia="zh-CN"/>
          <w14:textFill>
            <w14:solidFill>
              <w14:schemeClr w14:val="tx1"/>
            </w14:solidFill>
          </w14:textFill>
        </w:rPr>
        <w:t>28</w:t>
      </w:r>
      <w:r>
        <w:rPr>
          <w:rFonts w:hint="default" w:ascii="Times New Roman" w:hAnsi="Times New Roman" w:cs="Times New Roman"/>
          <w:color w:val="000000" w:themeColor="text1"/>
          <w:sz w:val="28"/>
          <w:szCs w:val="28"/>
          <w14:textFill>
            <w14:solidFill>
              <w14:schemeClr w14:val="tx1"/>
            </w14:solidFill>
          </w14:textFill>
        </w:rPr>
        <w:t>年</w:t>
      </w:r>
      <w:r>
        <w:rPr>
          <w:rFonts w:hint="eastAsia" w:cs="Times New Roman"/>
          <w:color w:val="000000" w:themeColor="text1"/>
          <w:sz w:val="28"/>
          <w:szCs w:val="28"/>
          <w:lang w:val="en-US" w:eastAsia="zh-CN"/>
          <w14:textFill>
            <w14:solidFill>
              <w14:schemeClr w14:val="tx1"/>
            </w14:solidFill>
          </w14:textFill>
        </w:rPr>
        <w:t>6</w:t>
      </w:r>
      <w:r>
        <w:rPr>
          <w:rFonts w:hint="default" w:ascii="Times New Roman" w:hAnsi="Times New Roman" w:cs="Times New Roman"/>
          <w:color w:val="000000" w:themeColor="text1"/>
          <w:sz w:val="28"/>
          <w:szCs w:val="28"/>
          <w14:textFill>
            <w14:solidFill>
              <w14:schemeClr w14:val="tx1"/>
            </w14:solidFill>
          </w14:textFill>
        </w:rPr>
        <w:t>月</w:t>
      </w:r>
      <w:r>
        <w:rPr>
          <w:rFonts w:hint="eastAsia" w:cs="Times New Roman"/>
          <w:color w:val="000000" w:themeColor="text1"/>
          <w:sz w:val="28"/>
          <w:szCs w:val="28"/>
          <w:lang w:val="en-US" w:eastAsia="zh-CN"/>
          <w14:textFill>
            <w14:solidFill>
              <w14:schemeClr w14:val="tx1"/>
            </w14:solidFill>
          </w14:textFill>
        </w:rPr>
        <w:t>15</w:t>
      </w:r>
      <w:r>
        <w:rPr>
          <w:rFonts w:hint="default" w:ascii="Times New Roman" w:hAnsi="Times New Roman" w:cs="Times New Roman"/>
          <w:color w:val="000000" w:themeColor="text1"/>
          <w:sz w:val="28"/>
          <w:szCs w:val="28"/>
          <w14:textFill>
            <w14:solidFill>
              <w14:schemeClr w14:val="tx1"/>
            </w14:solidFill>
          </w14:textFill>
        </w:rPr>
        <w:t>日；开采深度：由</w:t>
      </w:r>
      <w:r>
        <w:rPr>
          <w:rFonts w:hint="eastAsia" w:cs="Times New Roman"/>
          <w:color w:val="000000" w:themeColor="text1"/>
          <w:sz w:val="28"/>
          <w:szCs w:val="28"/>
          <w:lang w:val="en-US" w:eastAsia="zh-CN"/>
          <w14:textFill>
            <w14:solidFill>
              <w14:schemeClr w14:val="tx1"/>
            </w14:solidFill>
          </w14:textFill>
        </w:rPr>
        <w:t>+490m至+460</w:t>
      </w:r>
      <w:r>
        <w:rPr>
          <w:rFonts w:hint="default" w:ascii="Times New Roman" w:hAnsi="Times New Roman" w:cs="Times New Roman"/>
          <w:color w:val="000000" w:themeColor="text1"/>
          <w:sz w:val="28"/>
          <w:szCs w:val="28"/>
          <w14:textFill>
            <w14:solidFill>
              <w14:schemeClr w14:val="tx1"/>
            </w14:solidFill>
          </w14:textFill>
        </w:rPr>
        <w:t>m标高</w:t>
      </w:r>
      <w:r>
        <w:rPr>
          <w:rFonts w:hint="eastAsia" w:ascii="Times New Roman" w:hAnsi="Times New Roman" w:cs="Times New Roman"/>
          <w:color w:val="000000" w:themeColor="text1"/>
          <w:sz w:val="28"/>
          <w:szCs w:val="28"/>
          <w:lang w:eastAsia="zh-CN"/>
          <w14:textFill>
            <w14:solidFill>
              <w14:schemeClr w14:val="tx1"/>
            </w14:solidFill>
          </w14:textFill>
        </w:rPr>
        <w:t>。</w:t>
      </w:r>
    </w:p>
    <w:p w14:paraId="3A166C15">
      <w:pPr>
        <w:pStyle w:val="12"/>
        <w:spacing w:line="360" w:lineRule="auto"/>
        <w:ind w:firstLine="560" w:firstLineChars="200"/>
        <w:rPr>
          <w:rFonts w:hint="default" w:ascii="Times New Roman" w:hAnsi="Times New Roman" w:eastAsia="宋体" w:cs="Times New Roman"/>
          <w:color w:val="000000" w:themeColor="text1"/>
          <w:sz w:val="28"/>
          <w:szCs w:val="21"/>
          <w:lang w:val="en-US" w:eastAsia="zh-CN"/>
          <w14:textFill>
            <w14:solidFill>
              <w14:schemeClr w14:val="tx1"/>
            </w14:solidFill>
          </w14:textFill>
        </w:rPr>
      </w:pPr>
      <w:r>
        <w:rPr>
          <w:rFonts w:hint="eastAsia" w:ascii="Times New Roman" w:hAnsi="Times New Roman" w:eastAsia="宋体" w:cs="Times New Roman"/>
          <w:color w:val="000000" w:themeColor="text1"/>
          <w:sz w:val="28"/>
          <w:szCs w:val="21"/>
          <w:lang w:val="en-US" w:eastAsia="zh-CN"/>
          <w14:textFill>
            <w14:solidFill>
              <w14:schemeClr w14:val="tx1"/>
            </w14:solidFill>
          </w14:textFill>
        </w:rPr>
        <w:t>依据2026年1月，内蒙古兴程技术有限公司编制的《内蒙古自治区赤峰太安新型建筑材料有限公司太平地镇粘土矿资源储量2025年度变化表》，截止2025年12月31日，矿山保有资源量(KZ+TD)315.89</w:t>
      </w:r>
      <w:r>
        <w:rPr>
          <w:rFonts w:hint="default" w:ascii="Times New Roman" w:hAnsi="Times New Roman" w:eastAsia="宋体" w:cs="Times New Roman"/>
          <w:color w:val="000000" w:themeColor="text1"/>
          <w:sz w:val="28"/>
          <w:szCs w:val="21"/>
          <w:lang w:val="en-US" w:eastAsia="zh-CN"/>
          <w14:textFill>
            <w14:solidFill>
              <w14:schemeClr w14:val="tx1"/>
            </w14:solidFill>
          </w14:textFill>
        </w:rPr>
        <w:t>×</w:t>
      </w:r>
      <w:r>
        <w:rPr>
          <w:rFonts w:hint="eastAsia" w:ascii="Times New Roman" w:hAnsi="Times New Roman" w:eastAsia="宋体" w:cs="Times New Roman"/>
          <w:color w:val="000000" w:themeColor="text1"/>
          <w:sz w:val="28"/>
          <w:szCs w:val="21"/>
          <w:lang w:val="en-US" w:eastAsia="zh-CN"/>
          <w14:textFill>
            <w14:solidFill>
              <w14:schemeClr w14:val="tx1"/>
            </w14:solidFill>
          </w14:textFill>
        </w:rPr>
        <w:t>10</w:t>
      </w:r>
      <w:r>
        <w:rPr>
          <w:rFonts w:hint="eastAsia" w:ascii="Times New Roman" w:hAnsi="Times New Roman" w:eastAsia="宋体" w:cs="Times New Roman"/>
          <w:color w:val="000000" w:themeColor="text1"/>
          <w:sz w:val="28"/>
          <w:szCs w:val="21"/>
          <w:vertAlign w:val="superscript"/>
          <w:lang w:val="en-US" w:eastAsia="zh-CN"/>
          <w14:textFill>
            <w14:solidFill>
              <w14:schemeClr w14:val="tx1"/>
            </w14:solidFill>
          </w14:textFill>
        </w:rPr>
        <w:t>4</w:t>
      </w:r>
      <w:r>
        <w:rPr>
          <w:rFonts w:hint="eastAsia" w:ascii="Times New Roman" w:hAnsi="Times New Roman" w:eastAsia="宋体" w:cs="Times New Roman"/>
          <w:color w:val="000000" w:themeColor="text1"/>
          <w:sz w:val="28"/>
          <w:szCs w:val="21"/>
          <w:lang w:val="en-US" w:eastAsia="zh-CN"/>
          <w14:textFill>
            <w14:solidFill>
              <w14:schemeClr w14:val="tx1"/>
            </w14:solidFill>
          </w14:textFill>
        </w:rPr>
        <w:t>m</w:t>
      </w:r>
      <w:r>
        <w:rPr>
          <w:rFonts w:hint="eastAsia" w:ascii="Times New Roman" w:hAnsi="Times New Roman" w:eastAsia="宋体" w:cs="Times New Roman"/>
          <w:color w:val="000000" w:themeColor="text1"/>
          <w:sz w:val="28"/>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8"/>
          <w:szCs w:val="21"/>
          <w:lang w:val="en-US" w:eastAsia="zh-CN"/>
          <w14:textFill>
            <w14:solidFill>
              <w14:schemeClr w14:val="tx1"/>
            </w14:solidFill>
          </w14:textFill>
        </w:rPr>
        <w:t>(其中压覆量223.4</w:t>
      </w:r>
      <w:r>
        <w:rPr>
          <w:rFonts w:hint="default" w:ascii="Times New Roman" w:hAnsi="Times New Roman" w:eastAsia="宋体" w:cs="Times New Roman"/>
          <w:color w:val="000000" w:themeColor="text1"/>
          <w:sz w:val="28"/>
          <w:szCs w:val="21"/>
          <w:lang w:val="en-US" w:eastAsia="zh-CN"/>
          <w14:textFill>
            <w14:solidFill>
              <w14:schemeClr w14:val="tx1"/>
            </w14:solidFill>
          </w14:textFill>
        </w:rPr>
        <w:t>×</w:t>
      </w:r>
      <w:r>
        <w:rPr>
          <w:rFonts w:hint="eastAsia" w:ascii="Times New Roman" w:hAnsi="Times New Roman" w:eastAsia="宋体" w:cs="Times New Roman"/>
          <w:color w:val="000000" w:themeColor="text1"/>
          <w:sz w:val="28"/>
          <w:szCs w:val="21"/>
          <w:lang w:val="en-US" w:eastAsia="zh-CN"/>
          <w14:textFill>
            <w14:solidFill>
              <w14:schemeClr w14:val="tx1"/>
            </w14:solidFill>
          </w14:textFill>
        </w:rPr>
        <w:t>10</w:t>
      </w:r>
      <w:r>
        <w:rPr>
          <w:rFonts w:hint="eastAsia" w:ascii="Times New Roman" w:hAnsi="Times New Roman" w:eastAsia="宋体" w:cs="Times New Roman"/>
          <w:color w:val="000000" w:themeColor="text1"/>
          <w:sz w:val="28"/>
          <w:szCs w:val="21"/>
          <w:vertAlign w:val="superscript"/>
          <w:lang w:val="en-US" w:eastAsia="zh-CN"/>
          <w14:textFill>
            <w14:solidFill>
              <w14:schemeClr w14:val="tx1"/>
            </w14:solidFill>
          </w14:textFill>
        </w:rPr>
        <w:t>4</w:t>
      </w:r>
      <w:r>
        <w:rPr>
          <w:rFonts w:hint="eastAsia" w:ascii="Times New Roman" w:hAnsi="Times New Roman" w:eastAsia="宋体" w:cs="Times New Roman"/>
          <w:color w:val="000000" w:themeColor="text1"/>
          <w:sz w:val="28"/>
          <w:szCs w:val="21"/>
          <w:lang w:val="en-US" w:eastAsia="zh-CN"/>
          <w14:textFill>
            <w14:solidFill>
              <w14:schemeClr w14:val="tx1"/>
            </w14:solidFill>
          </w14:textFill>
        </w:rPr>
        <w:t>m</w:t>
      </w:r>
      <w:r>
        <w:rPr>
          <w:rFonts w:hint="eastAsia" w:ascii="Times New Roman" w:hAnsi="Times New Roman" w:eastAsia="宋体" w:cs="Times New Roman"/>
          <w:color w:val="000000" w:themeColor="text1"/>
          <w:sz w:val="28"/>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8"/>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矿山</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剩余</w:t>
      </w:r>
      <w:r>
        <w:rPr>
          <w:rFonts w:hint="default" w:ascii="Times New Roman" w:hAnsi="Times New Roman" w:eastAsia="宋体" w:cs="Times New Roman"/>
          <w:color w:val="000000" w:themeColor="text1"/>
          <w:sz w:val="28"/>
          <w:szCs w:val="28"/>
          <w14:textFill>
            <w14:solidFill>
              <w14:schemeClr w14:val="tx1"/>
            </w14:solidFill>
          </w14:textFill>
        </w:rPr>
        <w:t>服务年限为</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9.2</w:t>
      </w:r>
      <w:r>
        <w:rPr>
          <w:rFonts w:hint="default" w:ascii="Times New Roman" w:hAnsi="Times New Roman" w:eastAsia="宋体" w:cs="Times New Roman"/>
          <w:color w:val="000000" w:themeColor="text1"/>
          <w:sz w:val="28"/>
          <w:szCs w:val="28"/>
          <w14:textFill>
            <w14:solidFill>
              <w14:schemeClr w14:val="tx1"/>
            </w14:solidFill>
          </w14:textFill>
        </w:rPr>
        <w:t>年</w:t>
      </w: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1"/>
          <w:lang w:val="en-US" w:eastAsia="zh-CN"/>
          <w14:textFill>
            <w14:solidFill>
              <w14:schemeClr w14:val="tx1"/>
            </w14:solidFill>
          </w14:textFill>
        </w:rPr>
        <w:t>​</w:t>
      </w:r>
    </w:p>
    <w:p w14:paraId="3FFED4EC">
      <w:pPr>
        <w:pStyle w:val="5"/>
        <w:bidi w:val="0"/>
        <w:spacing w:line="360" w:lineRule="auto"/>
        <w:ind w:firstLine="562" w:firstLineChars="200"/>
        <w:rPr>
          <w:rFonts w:hint="eastAsia" w:hAnsi="Times New Roman" w:cs="Times New Roman"/>
          <w:b/>
          <w:bCs/>
          <w:color w:val="000000" w:themeColor="text1"/>
          <w:sz w:val="28"/>
          <w:szCs w:val="28"/>
          <w:lang w:val="en-US" w:eastAsia="zh-CN"/>
          <w14:textFill>
            <w14:solidFill>
              <w14:schemeClr w14:val="tx1"/>
            </w14:solidFill>
          </w14:textFill>
        </w:rPr>
      </w:pPr>
      <w:r>
        <w:rPr>
          <w:rFonts w:hint="eastAsia" w:hAnsi="Times New Roman" w:cs="Times New Roman"/>
          <w:b/>
          <w:bCs/>
          <w:color w:val="000000" w:themeColor="text1"/>
          <w:sz w:val="28"/>
          <w:szCs w:val="28"/>
          <w:lang w:val="en-US" w:eastAsia="zh-CN"/>
          <w14:textFill>
            <w14:solidFill>
              <w14:schemeClr w14:val="tx1"/>
            </w14:solidFill>
          </w14:textFill>
        </w:rPr>
        <w:t>二、矿山开采现状</w:t>
      </w:r>
    </w:p>
    <w:p w14:paraId="7CFDFB99">
      <w:pPr>
        <w:spacing w:line="360" w:lineRule="auto"/>
        <w:ind w:firstLine="560" w:firstLineChars="200"/>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1、矿区范围</w:t>
      </w:r>
    </w:p>
    <w:p w14:paraId="56B3E588">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矿区</w:t>
      </w:r>
      <w:r>
        <w:rPr>
          <w:rFonts w:hint="default" w:ascii="Times New Roman" w:hAnsi="Times New Roman" w:cs="Times New Roman"/>
          <w:color w:val="000000" w:themeColor="text1"/>
          <w:sz w:val="28"/>
          <w:szCs w:val="28"/>
          <w14:textFill>
            <w14:solidFill>
              <w14:schemeClr w14:val="tx1"/>
            </w14:solidFill>
          </w14:textFill>
        </w:rPr>
        <w:t>范围</w:t>
      </w:r>
      <w:r>
        <w:rPr>
          <w:rFonts w:hint="eastAsia" w:cs="Times New Roman"/>
          <w:color w:val="000000" w:themeColor="text1"/>
          <w:sz w:val="28"/>
          <w:szCs w:val="28"/>
          <w:lang w:val="en-US" w:eastAsia="zh-CN"/>
          <w14:textFill>
            <w14:solidFill>
              <w14:schemeClr w14:val="tx1"/>
            </w14:solidFill>
          </w14:textFill>
        </w:rPr>
        <w:t>共</w:t>
      </w:r>
      <w:r>
        <w:rPr>
          <w:rFonts w:hint="default" w:ascii="Times New Roman" w:hAnsi="Times New Roman" w:cs="Times New Roman"/>
          <w:color w:val="000000" w:themeColor="text1"/>
          <w:sz w:val="28"/>
          <w:szCs w:val="28"/>
          <w14:textFill>
            <w14:solidFill>
              <w14:schemeClr w14:val="tx1"/>
            </w14:solidFill>
          </w14:textFill>
        </w:rPr>
        <w:t>由</w:t>
      </w:r>
      <w:r>
        <w:rPr>
          <w:rFonts w:hint="eastAsia" w:cs="Times New Roman"/>
          <w:color w:val="000000" w:themeColor="text1"/>
          <w:sz w:val="28"/>
          <w:szCs w:val="28"/>
          <w:lang w:val="en-US" w:eastAsia="zh-CN"/>
          <w14:textFill>
            <w14:solidFill>
              <w14:schemeClr w14:val="tx1"/>
            </w14:solidFill>
          </w14:textFill>
        </w:rPr>
        <w:t>6</w:t>
      </w:r>
      <w:r>
        <w:rPr>
          <w:rFonts w:hint="default" w:ascii="Times New Roman" w:hAnsi="Times New Roman" w:cs="Times New Roman"/>
          <w:color w:val="000000" w:themeColor="text1"/>
          <w:sz w:val="28"/>
          <w:szCs w:val="28"/>
          <w14:textFill>
            <w14:solidFill>
              <w14:schemeClr w14:val="tx1"/>
            </w14:solidFill>
          </w14:textFill>
        </w:rPr>
        <w:t>个拐点圈定。矿区范围拐点坐标见表1-</w:t>
      </w:r>
      <w:r>
        <w:rPr>
          <w:rFonts w:hint="eastAsia" w:cs="Times New Roman"/>
          <w:color w:val="000000" w:themeColor="text1"/>
          <w:sz w:val="28"/>
          <w:szCs w:val="28"/>
          <w:lang w:val="en-US" w:eastAsia="zh-CN"/>
          <w14:textFill>
            <w14:solidFill>
              <w14:schemeClr w14:val="tx1"/>
            </w14:solidFill>
          </w14:textFill>
        </w:rPr>
        <w:t>1</w:t>
      </w:r>
      <w:r>
        <w:rPr>
          <w:rFonts w:hint="default" w:ascii="Times New Roman" w:hAnsi="Times New Roman" w:cs="Times New Roman"/>
          <w:color w:val="000000" w:themeColor="text1"/>
          <w:sz w:val="28"/>
          <w:szCs w:val="28"/>
          <w14:textFill>
            <w14:solidFill>
              <w14:schemeClr w14:val="tx1"/>
            </w14:solidFill>
          </w14:textFill>
        </w:rPr>
        <w:t>，范围</w:t>
      </w:r>
      <w:r>
        <w:rPr>
          <w:rFonts w:hint="eastAsia" w:cs="Times New Roman"/>
          <w:color w:val="000000" w:themeColor="text1"/>
          <w:sz w:val="28"/>
          <w:szCs w:val="28"/>
          <w:lang w:val="en-US" w:eastAsia="zh-CN"/>
          <w14:textFill>
            <w14:solidFill>
              <w14:schemeClr w14:val="tx1"/>
            </w14:solidFill>
          </w14:textFill>
        </w:rPr>
        <w:t>及各采区位置关系见</w:t>
      </w:r>
      <w:r>
        <w:rPr>
          <w:rFonts w:hint="default" w:ascii="Times New Roman" w:hAnsi="Times New Roman" w:cs="Times New Roman"/>
          <w:color w:val="000000" w:themeColor="text1"/>
          <w:sz w:val="28"/>
          <w:szCs w:val="28"/>
          <w14:textFill>
            <w14:solidFill>
              <w14:schemeClr w14:val="tx1"/>
            </w14:solidFill>
          </w14:textFill>
        </w:rPr>
        <w:t>示意图1-</w:t>
      </w:r>
      <w:r>
        <w:rPr>
          <w:rFonts w:hint="eastAsia" w:cs="Times New Roman"/>
          <w:color w:val="000000" w:themeColor="text1"/>
          <w:sz w:val="28"/>
          <w:szCs w:val="28"/>
          <w:lang w:val="en-US" w:eastAsia="zh-CN"/>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w:t>
      </w:r>
    </w:p>
    <w:p w14:paraId="06D98AEF">
      <w:pPr>
        <w:pStyle w:val="66"/>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黑体" w:hAnsi="黑体" w:eastAsia="黑体" w:cs="黑体"/>
          <w:b w:val="0"/>
          <w:bCs w:val="0"/>
          <w:color w:val="000000" w:themeColor="text1"/>
          <w:sz w:val="24"/>
          <w:szCs w:val="24"/>
          <w:highlight w:val="none"/>
          <w14:textFill>
            <w14:solidFill>
              <w14:schemeClr w14:val="tx1"/>
            </w14:solidFill>
          </w14:textFill>
        </w:rPr>
      </w:pPr>
      <w:r>
        <w:rPr>
          <w:rFonts w:hint="eastAsia" w:ascii="黑体" w:hAnsi="黑体" w:eastAsia="黑体" w:cs="黑体"/>
          <w:b w:val="0"/>
          <w:bCs w:val="0"/>
          <w:color w:val="000000" w:themeColor="text1"/>
          <w:sz w:val="24"/>
          <w:szCs w:val="24"/>
          <w:highlight w:val="none"/>
          <w14:textFill>
            <w14:solidFill>
              <w14:schemeClr w14:val="tx1"/>
            </w14:solidFill>
          </w14:textFill>
        </w:rPr>
        <w:t>表1-</w:t>
      </w:r>
      <w:r>
        <w:rPr>
          <w:rFonts w:hint="eastAsia" w:ascii="黑体" w:hAnsi="黑体" w:eastAsia="黑体" w:cs="黑体"/>
          <w:b w:val="0"/>
          <w:bCs w:val="0"/>
          <w:color w:val="000000" w:themeColor="text1"/>
          <w:sz w:val="24"/>
          <w:szCs w:val="24"/>
          <w:highlight w:val="none"/>
          <w:lang w:val="en-US" w:eastAsia="zh-CN"/>
          <w14:textFill>
            <w14:solidFill>
              <w14:schemeClr w14:val="tx1"/>
            </w14:solidFill>
          </w14:textFill>
        </w:rPr>
        <w:t>1</w:t>
      </w:r>
      <w:r>
        <w:rPr>
          <w:rFonts w:hint="eastAsia" w:ascii="黑体" w:hAnsi="黑体" w:eastAsia="黑体" w:cs="黑体"/>
          <w:b w:val="0"/>
          <w:bCs w:val="0"/>
          <w:color w:val="000000" w:themeColor="text1"/>
          <w:sz w:val="24"/>
          <w:szCs w:val="24"/>
          <w:highlight w:val="none"/>
          <w14:textFill>
            <w14:solidFill>
              <w14:schemeClr w14:val="tx1"/>
            </w14:solidFill>
          </w14:textFill>
        </w:rPr>
        <w:t xml:space="preserve"> </w:t>
      </w:r>
      <w:r>
        <w:rPr>
          <w:rFonts w:hint="eastAsia" w:ascii="黑体" w:hAnsi="黑体" w:eastAsia="黑体" w:cs="黑体"/>
          <w:b w:val="0"/>
          <w:bCs w:val="0"/>
          <w:color w:val="000000" w:themeColor="text1"/>
          <w:sz w:val="24"/>
          <w:szCs w:val="24"/>
          <w:highlight w:val="none"/>
          <w:lang w:val="en-US" w:eastAsia="zh-CN"/>
          <w14:textFill>
            <w14:solidFill>
              <w14:schemeClr w14:val="tx1"/>
            </w14:solidFill>
          </w14:textFill>
        </w:rPr>
        <w:t xml:space="preserve"> </w:t>
      </w:r>
      <w:r>
        <w:rPr>
          <w:rFonts w:hint="eastAsia" w:ascii="黑体" w:hAnsi="黑体" w:eastAsia="黑体" w:cs="黑体"/>
          <w:b w:val="0"/>
          <w:bCs w:val="0"/>
          <w:color w:val="000000" w:themeColor="text1"/>
          <w:sz w:val="24"/>
          <w:szCs w:val="24"/>
          <w:highlight w:val="none"/>
          <w14:textFill>
            <w14:solidFill>
              <w14:schemeClr w14:val="tx1"/>
            </w14:solidFill>
          </w14:textFill>
        </w:rPr>
        <w:t>矿区范围拐点坐标</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1"/>
        <w:gridCol w:w="1245"/>
        <w:gridCol w:w="2085"/>
        <w:gridCol w:w="2219"/>
      </w:tblGrid>
      <w:tr w14:paraId="0B92F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391" w:type="dxa"/>
            <w:vMerge w:val="restart"/>
            <w:noWrap w:val="0"/>
            <w:vAlign w:val="center"/>
          </w:tcPr>
          <w:p w14:paraId="6BDE44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矿山名称</w:t>
            </w:r>
          </w:p>
        </w:tc>
        <w:tc>
          <w:tcPr>
            <w:tcW w:w="1245" w:type="dxa"/>
            <w:vMerge w:val="restart"/>
            <w:noWrap w:val="0"/>
            <w:vAlign w:val="center"/>
          </w:tcPr>
          <w:p w14:paraId="37384D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拐点编号</w:t>
            </w:r>
          </w:p>
        </w:tc>
        <w:tc>
          <w:tcPr>
            <w:tcW w:w="4304" w:type="dxa"/>
            <w:gridSpan w:val="2"/>
            <w:noWrap w:val="0"/>
            <w:vAlign w:val="center"/>
          </w:tcPr>
          <w:p w14:paraId="13C581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2000国家大地坐标系</w:t>
            </w:r>
            <w:r>
              <w:rPr>
                <w:rFonts w:hint="default" w:ascii="Times New Roman" w:hAnsi="Times New Roman" w:eastAsia="宋体" w:cs="Times New Roman"/>
                <w:color w:val="000000" w:themeColor="text1"/>
                <w:sz w:val="21"/>
                <w:szCs w:val="21"/>
                <w:highlight w:val="none"/>
                <w:vertAlign w:val="baseline"/>
                <w:lang w:val="zh-CN" w:eastAsia="zh-CN"/>
                <w14:textFill>
                  <w14:solidFill>
                    <w14:schemeClr w14:val="tx1"/>
                  </w14:solidFill>
                </w14:textFill>
              </w:rPr>
              <w:t>（3度带）</w:t>
            </w:r>
          </w:p>
        </w:tc>
      </w:tr>
      <w:tr w14:paraId="08E47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391" w:type="dxa"/>
            <w:vMerge w:val="continue"/>
            <w:noWrap w:val="0"/>
            <w:vAlign w:val="top"/>
          </w:tcPr>
          <w:p w14:paraId="7932EE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p>
        </w:tc>
        <w:tc>
          <w:tcPr>
            <w:tcW w:w="1245" w:type="dxa"/>
            <w:vMerge w:val="continue"/>
            <w:noWrap w:val="0"/>
            <w:vAlign w:val="top"/>
          </w:tcPr>
          <w:p w14:paraId="44C217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p>
        </w:tc>
        <w:tc>
          <w:tcPr>
            <w:tcW w:w="2085" w:type="dxa"/>
            <w:noWrap w:val="0"/>
            <w:vAlign w:val="center"/>
          </w:tcPr>
          <w:p w14:paraId="6F913B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X</w:t>
            </w:r>
          </w:p>
        </w:tc>
        <w:tc>
          <w:tcPr>
            <w:tcW w:w="2219" w:type="dxa"/>
            <w:noWrap w:val="0"/>
            <w:vAlign w:val="center"/>
          </w:tcPr>
          <w:p w14:paraId="02EA1B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Y</w:t>
            </w:r>
          </w:p>
        </w:tc>
      </w:tr>
      <w:tr w14:paraId="2216D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391" w:type="dxa"/>
            <w:vMerge w:val="restart"/>
            <w:noWrap w:val="0"/>
            <w:vAlign w:val="center"/>
          </w:tcPr>
          <w:p w14:paraId="0904C4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pacing w:val="7"/>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pacing w:val="7"/>
                <w:sz w:val="21"/>
                <w:szCs w:val="21"/>
                <w:highlight w:val="none"/>
                <w:lang w:eastAsia="zh-CN"/>
                <w14:textFill>
                  <w14:solidFill>
                    <w14:schemeClr w14:val="tx1"/>
                  </w14:solidFill>
                </w14:textFill>
              </w:rPr>
              <w:t>赤峰太安新型建筑材料有限公司</w:t>
            </w:r>
          </w:p>
          <w:p w14:paraId="6C9A32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7"/>
                <w:sz w:val="21"/>
                <w:szCs w:val="21"/>
                <w:highlight w:val="none"/>
                <w:lang w:eastAsia="zh-CN"/>
                <w14:textFill>
                  <w14:solidFill>
                    <w14:schemeClr w14:val="tx1"/>
                  </w14:solidFill>
                </w14:textFill>
              </w:rPr>
              <w:t>太平地镇粘土矿</w:t>
            </w:r>
          </w:p>
        </w:tc>
        <w:tc>
          <w:tcPr>
            <w:tcW w:w="1245" w:type="dxa"/>
            <w:noWrap w:val="0"/>
            <w:vAlign w:val="center"/>
          </w:tcPr>
          <w:p w14:paraId="4AB978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1</w:t>
            </w:r>
          </w:p>
        </w:tc>
        <w:tc>
          <w:tcPr>
            <w:tcW w:w="2085" w:type="dxa"/>
            <w:noWrap w:val="0"/>
            <w:vAlign w:val="center"/>
          </w:tcPr>
          <w:p w14:paraId="0DF268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4707254.0894</w:t>
            </w:r>
          </w:p>
        </w:tc>
        <w:tc>
          <w:tcPr>
            <w:tcW w:w="2219" w:type="dxa"/>
            <w:noWrap w:val="0"/>
            <w:vAlign w:val="center"/>
          </w:tcPr>
          <w:p w14:paraId="4C08BF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40452881.9280</w:t>
            </w:r>
          </w:p>
        </w:tc>
      </w:tr>
      <w:tr w14:paraId="52039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391" w:type="dxa"/>
            <w:vMerge w:val="continue"/>
            <w:noWrap w:val="0"/>
            <w:vAlign w:val="center"/>
          </w:tcPr>
          <w:p w14:paraId="2B53F4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p>
        </w:tc>
        <w:tc>
          <w:tcPr>
            <w:tcW w:w="1245" w:type="dxa"/>
            <w:noWrap w:val="0"/>
            <w:vAlign w:val="center"/>
          </w:tcPr>
          <w:p w14:paraId="14CF66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2</w:t>
            </w:r>
          </w:p>
        </w:tc>
        <w:tc>
          <w:tcPr>
            <w:tcW w:w="2085" w:type="dxa"/>
            <w:noWrap w:val="0"/>
            <w:vAlign w:val="center"/>
          </w:tcPr>
          <w:p w14:paraId="00090B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4707042.8688</w:t>
            </w:r>
          </w:p>
        </w:tc>
        <w:tc>
          <w:tcPr>
            <w:tcW w:w="2219" w:type="dxa"/>
            <w:noWrap w:val="0"/>
            <w:vAlign w:val="center"/>
          </w:tcPr>
          <w:p w14:paraId="0260BC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40452802.4390</w:t>
            </w:r>
          </w:p>
        </w:tc>
      </w:tr>
      <w:tr w14:paraId="42E83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391" w:type="dxa"/>
            <w:vMerge w:val="continue"/>
            <w:noWrap w:val="0"/>
            <w:vAlign w:val="center"/>
          </w:tcPr>
          <w:p w14:paraId="6130EE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p>
        </w:tc>
        <w:tc>
          <w:tcPr>
            <w:tcW w:w="1245" w:type="dxa"/>
            <w:noWrap w:val="0"/>
            <w:vAlign w:val="center"/>
          </w:tcPr>
          <w:p w14:paraId="5959A6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3</w:t>
            </w:r>
          </w:p>
        </w:tc>
        <w:tc>
          <w:tcPr>
            <w:tcW w:w="2085" w:type="dxa"/>
            <w:noWrap w:val="0"/>
            <w:vAlign w:val="center"/>
          </w:tcPr>
          <w:p w14:paraId="377BB6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4706896.9591</w:t>
            </w:r>
          </w:p>
        </w:tc>
        <w:tc>
          <w:tcPr>
            <w:tcW w:w="2219" w:type="dxa"/>
            <w:noWrap w:val="0"/>
            <w:vAlign w:val="center"/>
          </w:tcPr>
          <w:p w14:paraId="7474CB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40453025.3090</w:t>
            </w:r>
          </w:p>
        </w:tc>
      </w:tr>
      <w:tr w14:paraId="5D47F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391" w:type="dxa"/>
            <w:vMerge w:val="continue"/>
            <w:noWrap w:val="0"/>
            <w:vAlign w:val="center"/>
          </w:tcPr>
          <w:p w14:paraId="7A8A9D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p>
        </w:tc>
        <w:tc>
          <w:tcPr>
            <w:tcW w:w="1245" w:type="dxa"/>
            <w:noWrap w:val="0"/>
            <w:vAlign w:val="center"/>
          </w:tcPr>
          <w:p w14:paraId="7948EC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4</w:t>
            </w:r>
          </w:p>
        </w:tc>
        <w:tc>
          <w:tcPr>
            <w:tcW w:w="2085" w:type="dxa"/>
            <w:noWrap w:val="0"/>
            <w:vAlign w:val="center"/>
          </w:tcPr>
          <w:p w14:paraId="5307FF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4706995.3297</w:t>
            </w:r>
          </w:p>
        </w:tc>
        <w:tc>
          <w:tcPr>
            <w:tcW w:w="2219" w:type="dxa"/>
            <w:noWrap w:val="0"/>
            <w:vAlign w:val="center"/>
          </w:tcPr>
          <w:p w14:paraId="2589A4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40453184.8200</w:t>
            </w:r>
          </w:p>
        </w:tc>
      </w:tr>
      <w:tr w14:paraId="5A402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391" w:type="dxa"/>
            <w:vMerge w:val="continue"/>
            <w:noWrap w:val="0"/>
            <w:vAlign w:val="center"/>
          </w:tcPr>
          <w:p w14:paraId="4DD70A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p>
        </w:tc>
        <w:tc>
          <w:tcPr>
            <w:tcW w:w="1245" w:type="dxa"/>
            <w:noWrap w:val="0"/>
            <w:vAlign w:val="center"/>
          </w:tcPr>
          <w:p w14:paraId="2EB819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5</w:t>
            </w:r>
          </w:p>
        </w:tc>
        <w:tc>
          <w:tcPr>
            <w:tcW w:w="2085" w:type="dxa"/>
            <w:noWrap w:val="0"/>
            <w:vAlign w:val="center"/>
          </w:tcPr>
          <w:p w14:paraId="2039F7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4707026.2903</w:t>
            </w:r>
          </w:p>
        </w:tc>
        <w:tc>
          <w:tcPr>
            <w:tcW w:w="2219" w:type="dxa"/>
            <w:noWrap w:val="0"/>
            <w:vAlign w:val="center"/>
          </w:tcPr>
          <w:p w14:paraId="1A8937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40453383.9500</w:t>
            </w:r>
          </w:p>
        </w:tc>
      </w:tr>
      <w:tr w14:paraId="64B30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391" w:type="dxa"/>
            <w:vMerge w:val="continue"/>
            <w:noWrap w:val="0"/>
            <w:vAlign w:val="center"/>
          </w:tcPr>
          <w:p w14:paraId="5A3B8B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p>
        </w:tc>
        <w:tc>
          <w:tcPr>
            <w:tcW w:w="1245" w:type="dxa"/>
            <w:noWrap w:val="0"/>
            <w:vAlign w:val="center"/>
          </w:tcPr>
          <w:p w14:paraId="3EDA5E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6</w:t>
            </w:r>
          </w:p>
        </w:tc>
        <w:tc>
          <w:tcPr>
            <w:tcW w:w="2085" w:type="dxa"/>
            <w:noWrap w:val="0"/>
            <w:vAlign w:val="center"/>
          </w:tcPr>
          <w:p w14:paraId="32447E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4707329.7806</w:t>
            </w:r>
          </w:p>
        </w:tc>
        <w:tc>
          <w:tcPr>
            <w:tcW w:w="2219" w:type="dxa"/>
            <w:noWrap w:val="0"/>
            <w:vAlign w:val="center"/>
          </w:tcPr>
          <w:p w14:paraId="5773EF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cs="Times New Roman"/>
                <w:color w:val="000000" w:themeColor="text1"/>
                <w:sz w:val="21"/>
                <w:szCs w:val="21"/>
                <w:highlight w:val="none"/>
                <w:vertAlign w:val="baseline"/>
                <w:lang w:val="en-US" w:eastAsia="zh-CN"/>
                <w14:textFill>
                  <w14:solidFill>
                    <w14:schemeClr w14:val="tx1"/>
                  </w14:solidFill>
                </w14:textFill>
              </w:rPr>
              <w:t>40453286.6690</w:t>
            </w:r>
          </w:p>
        </w:tc>
      </w:tr>
      <w:tr w14:paraId="52BF6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8940" w:type="dxa"/>
            <w:gridSpan w:val="4"/>
            <w:noWrap w:val="0"/>
            <w:vAlign w:val="center"/>
          </w:tcPr>
          <w:p w14:paraId="3E7D52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标高：</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从</w:t>
            </w:r>
            <w:r>
              <w:rPr>
                <w:rFonts w:hint="eastAsia" w:cs="Times New Roman"/>
                <w:color w:val="000000" w:themeColor="text1"/>
                <w:sz w:val="21"/>
                <w:szCs w:val="21"/>
                <w:highlight w:val="none"/>
                <w:vertAlign w:val="baseline"/>
                <w:lang w:val="en-US" w:eastAsia="zh-CN"/>
                <w14:textFill>
                  <w14:solidFill>
                    <w14:schemeClr w14:val="tx1"/>
                  </w14:solidFill>
                </w14:textFill>
              </w:rPr>
              <w:t>490</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m～</w:t>
            </w:r>
            <w:r>
              <w:rPr>
                <w:rFonts w:hint="eastAsia" w:cs="Times New Roman"/>
                <w:color w:val="000000" w:themeColor="text1"/>
                <w:sz w:val="21"/>
                <w:szCs w:val="21"/>
                <w:highlight w:val="none"/>
                <w:vertAlign w:val="baseline"/>
                <w:lang w:val="en-US" w:eastAsia="zh-CN"/>
                <w14:textFill>
                  <w14:solidFill>
                    <w14:schemeClr w14:val="tx1"/>
                  </w14:solidFill>
                </w14:textFill>
              </w:rPr>
              <w:t>460</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m。</w:t>
            </w:r>
          </w:p>
        </w:tc>
      </w:tr>
    </w:tbl>
    <w:p w14:paraId="67A1A6E4">
      <w:pPr>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p>
    <w:p w14:paraId="0534D3F9">
      <w:pPr>
        <w:spacing w:line="360" w:lineRule="auto"/>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黑体" w:hAnsi="黑体" w:eastAsia="黑体" w:cs="黑体"/>
          <w:b w:val="0"/>
          <w:bCs w:val="0"/>
          <w:color w:val="000000" w:themeColor="text1"/>
          <w:sz w:val="24"/>
          <w:szCs w:val="24"/>
          <w:highlight w:val="none"/>
          <w14:textFill>
            <w14:solidFill>
              <w14:schemeClr w14:val="tx1"/>
            </w14:solidFill>
          </w14:textFill>
        </w:rPr>
        <w:t>图1-</w:t>
      </w:r>
      <w:r>
        <w:rPr>
          <w:rFonts w:hint="eastAsia" w:ascii="黑体" w:hAnsi="黑体" w:eastAsia="黑体" w:cs="黑体"/>
          <w:b w:val="0"/>
          <w:bCs w:val="0"/>
          <w:color w:val="000000" w:themeColor="text1"/>
          <w:sz w:val="24"/>
          <w:szCs w:val="24"/>
          <w:highlight w:val="none"/>
          <w:lang w:val="en-US" w:eastAsia="zh-CN"/>
          <w14:textFill>
            <w14:solidFill>
              <w14:schemeClr w14:val="tx1"/>
            </w14:solidFill>
          </w14:textFill>
        </w:rPr>
        <w:t>3</w:t>
      </w:r>
      <w:r>
        <w:rPr>
          <w:rFonts w:hint="eastAsia" w:ascii="黑体" w:hAnsi="黑体" w:eastAsia="黑体" w:cs="黑体"/>
          <w:b w:val="0"/>
          <w:bCs w:val="0"/>
          <w:color w:val="000000" w:themeColor="text1"/>
          <w:sz w:val="24"/>
          <w:szCs w:val="24"/>
          <w:highlight w:val="none"/>
          <w14:textFill>
            <w14:solidFill>
              <w14:schemeClr w14:val="tx1"/>
            </w14:solidFill>
          </w14:textFill>
        </w:rPr>
        <w:t xml:space="preserve">  矿区范围分布示意图</w:t>
      </w:r>
    </w:p>
    <w:p w14:paraId="363D19EB">
      <w:pPr>
        <w:pStyle w:val="12"/>
        <w:spacing w:line="360" w:lineRule="auto"/>
        <w:ind w:firstLine="560" w:firstLineChars="200"/>
        <w:rPr>
          <w:rFonts w:hint="default" w:ascii="Times New Roman" w:hAnsi="Times New Roman" w:cs="Times New Roman" w:eastAsiaTheme="minorEastAsia"/>
          <w:color w:val="000000" w:themeColor="text1"/>
          <w:sz w:val="28"/>
          <w:szCs w:val="28"/>
          <w:lang w:val="en-US" w:eastAsia="zh-CN"/>
          <w14:textFill>
            <w14:solidFill>
              <w14:schemeClr w14:val="tx1"/>
            </w14:solidFill>
          </w14:textFill>
        </w:rPr>
      </w:pPr>
      <w:r>
        <w:rPr>
          <w:rFonts w:hint="eastAsia" w:cs="Times New Roman" w:eastAsiaTheme="minorEastAsia"/>
          <w:color w:val="000000" w:themeColor="text1"/>
          <w:sz w:val="28"/>
          <w:szCs w:val="28"/>
          <w:lang w:val="en-US" w:eastAsia="zh-CN"/>
          <w14:textFill>
            <w14:solidFill>
              <w14:schemeClr w14:val="tx1"/>
            </w14:solidFill>
          </w14:textFill>
        </w:rPr>
        <w:t>2</w:t>
      </w:r>
      <w:r>
        <w:rPr>
          <w:rFonts w:hint="default" w:ascii="Times New Roman" w:hAnsi="Times New Roman" w:cs="Times New Roman" w:eastAsiaTheme="minorEastAsia"/>
          <w:color w:val="000000" w:themeColor="text1"/>
          <w:sz w:val="28"/>
          <w:szCs w:val="28"/>
          <w:lang w:val="en-US" w:eastAsia="zh-CN"/>
          <w14:textFill>
            <w14:solidFill>
              <w14:schemeClr w14:val="tx1"/>
            </w14:solidFill>
          </w14:textFill>
        </w:rPr>
        <w:t>、矿产资源储量及</w:t>
      </w:r>
      <w:r>
        <w:rPr>
          <w:rFonts w:hint="eastAsia" w:cs="Times New Roman" w:eastAsiaTheme="minorEastAsia"/>
          <w:color w:val="000000" w:themeColor="text1"/>
          <w:sz w:val="28"/>
          <w:szCs w:val="28"/>
          <w:lang w:val="en-US" w:eastAsia="zh-CN"/>
          <w14:textFill>
            <w14:solidFill>
              <w14:schemeClr w14:val="tx1"/>
            </w14:solidFill>
          </w14:textFill>
        </w:rPr>
        <w:t>可采储</w:t>
      </w:r>
      <w:r>
        <w:rPr>
          <w:rFonts w:hint="default" w:ascii="Times New Roman" w:hAnsi="Times New Roman" w:cs="Times New Roman" w:eastAsiaTheme="minorEastAsia"/>
          <w:color w:val="000000" w:themeColor="text1"/>
          <w:sz w:val="28"/>
          <w:szCs w:val="28"/>
          <w:lang w:val="en-US" w:eastAsia="zh-CN"/>
          <w14:textFill>
            <w14:solidFill>
              <w14:schemeClr w14:val="tx1"/>
            </w14:solidFill>
          </w14:textFill>
        </w:rPr>
        <w:t>量</w:t>
      </w:r>
    </w:p>
    <w:p w14:paraId="38DF596B">
      <w:pPr>
        <w:spacing w:line="360" w:lineRule="auto"/>
        <w:ind w:firstLine="560" w:firstLineChars="200"/>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eastAsia" w:ascii="Times New Roman" w:hAnsi="Times New Roman" w:cs="Times New Roman"/>
          <w:color w:val="000000" w:themeColor="text1"/>
          <w:sz w:val="28"/>
          <w:szCs w:val="28"/>
          <w:lang w:val="en-US" w:eastAsia="zh-CN"/>
          <w14:textFill>
            <w14:solidFill>
              <w14:schemeClr w14:val="tx1"/>
            </w14:solidFill>
          </w14:textFill>
        </w:rPr>
        <w:t>（1）</w:t>
      </w:r>
      <w:r>
        <w:rPr>
          <w:rFonts w:hint="default" w:ascii="Times New Roman" w:hAnsi="Times New Roman" w:cs="Times New Roman" w:eastAsiaTheme="minorEastAsia"/>
          <w:color w:val="000000" w:themeColor="text1"/>
          <w:sz w:val="28"/>
          <w:szCs w:val="28"/>
          <w:lang w:val="en-US" w:eastAsia="zh-CN"/>
          <w14:textFill>
            <w14:solidFill>
              <w14:schemeClr w14:val="tx1"/>
            </w14:solidFill>
          </w14:textFill>
        </w:rPr>
        <w:t>矿产资源储量</w:t>
      </w:r>
    </w:p>
    <w:p w14:paraId="3376FC57">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lang w:val="en-US" w:eastAsia="zh-CN"/>
          <w14:textFill>
            <w14:solidFill>
              <w14:schemeClr w14:val="tx1"/>
            </w14:solidFill>
          </w14:textFill>
        </w:rPr>
        <w:t>依据</w:t>
      </w:r>
      <w:r>
        <w:rPr>
          <w:rFonts w:hint="default" w:ascii="Times New Roman" w:hAnsi="Times New Roman" w:eastAsia="宋体" w:cs="Times New Roman"/>
          <w:color w:val="000000" w:themeColor="text1"/>
          <w:sz w:val="28"/>
          <w:szCs w:val="28"/>
          <w14:textFill>
            <w14:solidFill>
              <w14:schemeClr w14:val="tx1"/>
            </w14:solidFill>
          </w14:textFill>
        </w:rPr>
        <w:t>20</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21</w:t>
      </w:r>
      <w:r>
        <w:rPr>
          <w:rFonts w:hint="default" w:ascii="Times New Roman" w:hAnsi="Times New Roman" w:eastAsia="宋体" w:cs="Times New Roman"/>
          <w:color w:val="000000" w:themeColor="text1"/>
          <w:sz w:val="28"/>
          <w:szCs w:val="28"/>
          <w14:textFill>
            <w14:solidFill>
              <w14:schemeClr w14:val="tx1"/>
            </w14:solidFill>
          </w14:textFill>
        </w:rPr>
        <w:t>年</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月，由</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赤峰带路矿业咨询有限公司联合江西核工业工程地质勘察院</w:t>
      </w:r>
      <w:r>
        <w:rPr>
          <w:rFonts w:hint="default" w:ascii="Times New Roman" w:hAnsi="Times New Roman" w:eastAsia="宋体" w:cs="Times New Roman"/>
          <w:color w:val="000000" w:themeColor="text1"/>
          <w:sz w:val="28"/>
          <w:szCs w:val="28"/>
          <w14:textFill>
            <w14:solidFill>
              <w14:schemeClr w14:val="tx1"/>
            </w14:solidFill>
          </w14:textFill>
        </w:rPr>
        <w:t>编制并提交了《内蒙古自治区赤峰市松山区德春砖厂粘土矿开发与治理综合方案》</w:t>
      </w:r>
      <w:r>
        <w:rPr>
          <w:rFonts w:hint="eastAsia" w:ascii="Times New Roman" w:hAnsi="Times New Roman" w:cs="Times New Roman"/>
          <w:bCs/>
          <w:color w:val="000000" w:themeColor="text1"/>
          <w:sz w:val="28"/>
          <w:szCs w:val="28"/>
          <w:lang w:eastAsia="zh-CN"/>
          <w14:textFill>
            <w14:solidFill>
              <w14:schemeClr w14:val="tx1"/>
            </w14:solidFill>
          </w14:textFill>
        </w:rPr>
        <w:t>，</w:t>
      </w:r>
      <w:r>
        <w:rPr>
          <w:rFonts w:hint="eastAsia" w:ascii="Times New Roman" w:hAnsi="Times New Roman" w:cs="Times New Roman"/>
          <w:bCs/>
          <w:color w:val="000000" w:themeColor="text1"/>
          <w:sz w:val="28"/>
          <w:szCs w:val="28"/>
          <w:lang w:val="en-US" w:eastAsia="zh-CN"/>
          <w14:textFill>
            <w14:solidFill>
              <w14:schemeClr w14:val="tx1"/>
            </w14:solidFill>
          </w14:textFill>
        </w:rPr>
        <w:t>矿</w:t>
      </w:r>
      <w:r>
        <w:rPr>
          <w:rFonts w:hint="default" w:ascii="Times New Roman" w:hAnsi="Times New Roman" w:cs="Times New Roman"/>
          <w:bCs/>
          <w:color w:val="000000" w:themeColor="text1"/>
          <w:sz w:val="28"/>
          <w:szCs w:val="28"/>
          <w14:textFill>
            <w14:solidFill>
              <w14:schemeClr w14:val="tx1"/>
            </w14:solidFill>
          </w14:textFill>
        </w:rPr>
        <w:t>区</w:t>
      </w:r>
      <w:r>
        <w:rPr>
          <w:rFonts w:hint="default" w:ascii="Times New Roman" w:hAnsi="Times New Roman" w:cs="Times New Roman"/>
          <w:color w:val="000000" w:themeColor="text1"/>
          <w:sz w:val="28"/>
          <w:szCs w:val="28"/>
          <w14:textFill>
            <w14:solidFill>
              <w14:schemeClr w14:val="tx1"/>
            </w14:solidFill>
          </w14:textFill>
        </w:rPr>
        <w:t>保有资源量之和如下：</w:t>
      </w:r>
    </w:p>
    <w:p w14:paraId="10B6E7AB">
      <w:pPr>
        <w:pStyle w:val="1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Cs/>
          <w:color w:val="000000" w:themeColor="text1"/>
          <w:sz w:val="28"/>
          <w:szCs w:val="28"/>
          <w14:textFill>
            <w14:solidFill>
              <w14:schemeClr w14:val="tx1"/>
            </w14:solidFill>
          </w14:textFill>
        </w:rPr>
      </w:pPr>
      <w:r>
        <w:rPr>
          <w:rFonts w:hint="default" w:ascii="Times New Roman" w:hAnsi="Times New Roman" w:eastAsia="宋体" w:cs="Times New Roman"/>
          <w:bCs/>
          <w:color w:val="000000" w:themeColor="text1"/>
          <w:sz w:val="28"/>
          <w:szCs w:val="28"/>
          <w14:textFill>
            <w14:solidFill>
              <w14:schemeClr w14:val="tx1"/>
            </w14:solidFill>
          </w14:textFill>
        </w:rPr>
        <w:t>截止2021年4月30日，累计查明资源量（KZ+TD）324.42×10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m</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bCs/>
          <w:color w:val="000000" w:themeColor="text1"/>
          <w:sz w:val="28"/>
          <w:szCs w:val="28"/>
          <w14:textFill>
            <w14:solidFill>
              <w14:schemeClr w14:val="tx1"/>
            </w14:solidFill>
          </w14:textFill>
        </w:rPr>
        <w:t>（574.2×10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t）；累计动用资源量（TD）1.96×10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m</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bCs/>
          <w:color w:val="000000" w:themeColor="text1"/>
          <w:sz w:val="28"/>
          <w:szCs w:val="28"/>
          <w14:textFill>
            <w14:solidFill>
              <w14:schemeClr w14:val="tx1"/>
            </w14:solidFill>
          </w14:textFill>
        </w:rPr>
        <w:t>（3.4×10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t）；保有资源量（KZ+TD）322.46×10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m</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bCs/>
          <w:color w:val="000000" w:themeColor="text1"/>
          <w:sz w:val="28"/>
          <w:szCs w:val="28"/>
          <w14:textFill>
            <w14:solidFill>
              <w14:schemeClr w14:val="tx1"/>
            </w14:solidFill>
          </w14:textFill>
        </w:rPr>
        <w:t>（570.8×10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t）。其中控制资源量98.94×10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m</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bCs/>
          <w:color w:val="000000" w:themeColor="text1"/>
          <w:sz w:val="28"/>
          <w:szCs w:val="28"/>
          <w14:textFill>
            <w14:solidFill>
              <w14:schemeClr w14:val="tx1"/>
            </w14:solidFill>
          </w14:textFill>
        </w:rPr>
        <w:t>（175.1×10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t），推断资源量223.53×10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m</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bCs/>
          <w:color w:val="000000" w:themeColor="text1"/>
          <w:sz w:val="28"/>
          <w:szCs w:val="28"/>
          <w14:textFill>
            <w14:solidFill>
              <w14:schemeClr w14:val="tx1"/>
            </w14:solidFill>
          </w14:textFill>
        </w:rPr>
        <w:t>（395.6×10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t）。</w:t>
      </w:r>
    </w:p>
    <w:p w14:paraId="5E957A7B">
      <w:pPr>
        <w:pStyle w:val="1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Cs/>
          <w:color w:val="000000" w:themeColor="text1"/>
          <w:sz w:val="28"/>
          <w:szCs w:val="28"/>
          <w14:textFill>
            <w14:solidFill>
              <w14:schemeClr w14:val="tx1"/>
            </w14:solidFill>
          </w14:textFill>
        </w:rPr>
      </w:pPr>
      <w:r>
        <w:rPr>
          <w:rFonts w:hint="default" w:ascii="Times New Roman" w:hAnsi="Times New Roman" w:eastAsia="宋体" w:cs="Times New Roman"/>
          <w:bCs/>
          <w:color w:val="000000" w:themeColor="text1"/>
          <w:sz w:val="28"/>
          <w:szCs w:val="28"/>
          <w14:textFill>
            <w14:solidFill>
              <w14:schemeClr w14:val="tx1"/>
            </w14:solidFill>
          </w14:textFill>
        </w:rPr>
        <w:t>压覆的资源量223.40×10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m</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bCs/>
          <w:color w:val="000000" w:themeColor="text1"/>
          <w:sz w:val="28"/>
          <w:szCs w:val="28"/>
          <w14:textFill>
            <w14:solidFill>
              <w14:schemeClr w14:val="tx1"/>
            </w14:solidFill>
          </w14:textFill>
        </w:rPr>
        <w:t>（395.4×10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t），其中压覆控制资源量71.80×10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m</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bCs/>
          <w:color w:val="000000" w:themeColor="text1"/>
          <w:sz w:val="28"/>
          <w:szCs w:val="28"/>
          <w14:textFill>
            <w14:solidFill>
              <w14:schemeClr w14:val="tx1"/>
            </w14:solidFill>
          </w14:textFill>
        </w:rPr>
        <w:t>（127.0×10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t），压覆推断资源量151.60×10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m</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bCs/>
          <w:color w:val="000000" w:themeColor="text1"/>
          <w:sz w:val="28"/>
          <w:szCs w:val="28"/>
          <w14:textFill>
            <w14:solidFill>
              <w14:schemeClr w14:val="tx1"/>
            </w14:solidFill>
          </w14:textFill>
        </w:rPr>
        <w:t>（268.30×10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t）。</w:t>
      </w:r>
    </w:p>
    <w:p w14:paraId="00EAA284">
      <w:pPr>
        <w:rPr>
          <w:rFonts w:hint="default" w:ascii="Times New Roman" w:hAnsi="Times New Roman" w:eastAsia="宋体" w:cs="Times New Roman"/>
          <w:bCs/>
          <w:color w:val="000000" w:themeColor="text1"/>
          <w:sz w:val="28"/>
          <w:szCs w:val="28"/>
          <w14:textFill>
            <w14:solidFill>
              <w14:schemeClr w14:val="tx1"/>
            </w14:solidFill>
          </w14:textFill>
        </w:rPr>
      </w:pPr>
      <w:r>
        <w:rPr>
          <w:rFonts w:hint="default" w:ascii="Times New Roman" w:hAnsi="Times New Roman" w:eastAsia="宋体" w:cs="Times New Roman"/>
          <w:bCs/>
          <w:color w:val="000000" w:themeColor="text1"/>
          <w:sz w:val="28"/>
          <w:szCs w:val="28"/>
          <w14:textFill>
            <w14:solidFill>
              <w14:schemeClr w14:val="tx1"/>
            </w14:solidFill>
          </w14:textFill>
        </w:rPr>
        <w:br w:type="page"/>
      </w:r>
    </w:p>
    <w:p w14:paraId="2D156A70">
      <w:pPr>
        <w:pStyle w:val="12"/>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bCs/>
          <w:color w:val="000000" w:themeColor="text1"/>
          <w:sz w:val="28"/>
          <w:szCs w:val="28"/>
          <w14:textFill>
            <w14:solidFill>
              <w14:schemeClr w14:val="tx1"/>
            </w14:solidFill>
          </w14:textFill>
        </w:rPr>
        <w:t>压覆资源量包括基本农田压覆的资源量58.71×10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m</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bCs/>
          <w:color w:val="000000" w:themeColor="text1"/>
          <w:sz w:val="28"/>
          <w:szCs w:val="28"/>
          <w14:textFill>
            <w14:solidFill>
              <w14:schemeClr w14:val="tx1"/>
            </w14:solidFill>
          </w14:textFill>
        </w:rPr>
        <w:t>（103.9×10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t），村道压覆的资源量21.40×10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m</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bCs/>
          <w:color w:val="000000" w:themeColor="text1"/>
          <w:sz w:val="28"/>
          <w:szCs w:val="28"/>
          <w14:textFill>
            <w14:solidFill>
              <w14:schemeClr w14:val="tx1"/>
            </w14:solidFill>
          </w14:textFill>
        </w:rPr>
        <w:t>（38.0×10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t），隧道窑压覆的资源量52.23×10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m</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bCs/>
          <w:color w:val="000000" w:themeColor="text1"/>
          <w:sz w:val="28"/>
          <w:szCs w:val="28"/>
          <w14:textFill>
            <w14:solidFill>
              <w14:schemeClr w14:val="tx1"/>
            </w14:solidFill>
          </w14:textFill>
        </w:rPr>
        <w:t>（92.5×10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t），耕地压覆的资源量91.01×10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m</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bCs/>
          <w:color w:val="000000" w:themeColor="text1"/>
          <w:sz w:val="28"/>
          <w:szCs w:val="28"/>
          <w14:textFill>
            <w14:solidFill>
              <w14:schemeClr w14:val="tx1"/>
            </w14:solidFill>
          </w14:textFill>
        </w:rPr>
        <w:t>（161.1×10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t）。</w:t>
      </w:r>
    </w:p>
    <w:p w14:paraId="6B339674">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eastAsia" w:cs="Times New Roman" w:eastAsiaTheme="minorEastAsia"/>
          <w:color w:val="000000" w:themeColor="text1"/>
          <w:sz w:val="28"/>
          <w:szCs w:val="28"/>
          <w:lang w:val="en-US" w:eastAsia="zh-CN"/>
          <w14:textFill>
            <w14:solidFill>
              <w14:schemeClr w14:val="tx1"/>
            </w14:solidFill>
          </w14:textFill>
        </w:rPr>
        <w:t>（2）可采储</w:t>
      </w:r>
      <w:r>
        <w:rPr>
          <w:rFonts w:hint="default" w:ascii="Times New Roman" w:hAnsi="Times New Roman" w:cs="Times New Roman" w:eastAsiaTheme="minorEastAsia"/>
          <w:color w:val="000000" w:themeColor="text1"/>
          <w:sz w:val="28"/>
          <w:szCs w:val="28"/>
          <w:lang w:val="en-US" w:eastAsia="zh-CN"/>
          <w14:textFill>
            <w14:solidFill>
              <w14:schemeClr w14:val="tx1"/>
            </w14:solidFill>
          </w14:textFill>
        </w:rPr>
        <w:t>量</w:t>
      </w:r>
    </w:p>
    <w:p w14:paraId="45789420">
      <w:pPr>
        <w:pStyle w:val="12"/>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cs="Times New Roman" w:eastAsiaTheme="minorEastAsia"/>
          <w:color w:val="000000" w:themeColor="text1"/>
          <w:sz w:val="28"/>
          <w:szCs w:val="28"/>
          <w14:textFill>
            <w14:solidFill>
              <w14:schemeClr w14:val="tx1"/>
            </w14:solidFill>
          </w14:textFill>
        </w:rPr>
        <w:t>根据《开发与治理综合方案》</w:t>
      </w:r>
      <w:r>
        <w:rPr>
          <w:rFonts w:hint="default" w:ascii="Times New Roman" w:hAnsi="Times New Roman" w:eastAsia="宋体" w:cs="Times New Roman"/>
          <w:bCs/>
          <w:color w:val="000000" w:themeColor="text1"/>
          <w:sz w:val="28"/>
          <w:szCs w:val="28"/>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可采资源量（KZ+TD）72.45</w:t>
      </w:r>
      <w:r>
        <w:rPr>
          <w:rFonts w:hint="default" w:ascii="Times New Roman" w:hAnsi="Times New Roman" w:eastAsia="宋体" w:cs="Times New Roman"/>
          <w:bCs/>
          <w:color w:val="000000" w:themeColor="text1"/>
          <w:sz w:val="28"/>
          <w:szCs w:val="28"/>
          <w14:textFill>
            <w14:solidFill>
              <w14:schemeClr w14:val="tx1"/>
            </w14:solidFill>
          </w14:textFill>
        </w:rPr>
        <w:t>×10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m</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color w:val="000000" w:themeColor="text1"/>
          <w:sz w:val="28"/>
          <w:szCs w:val="28"/>
          <w14:textFill>
            <w14:solidFill>
              <w14:schemeClr w14:val="tx1"/>
            </w14:solidFill>
          </w14:textFill>
        </w:rPr>
        <w:t>（128.2</w:t>
      </w:r>
      <w:r>
        <w:rPr>
          <w:rFonts w:hint="default" w:ascii="Times New Roman" w:hAnsi="Times New Roman" w:eastAsia="宋体" w:cs="Times New Roman"/>
          <w:bCs/>
          <w:color w:val="000000" w:themeColor="text1"/>
          <w:sz w:val="28"/>
          <w:szCs w:val="28"/>
          <w14:textFill>
            <w14:solidFill>
              <w14:schemeClr w14:val="tx1"/>
            </w14:solidFill>
          </w14:textFill>
        </w:rPr>
        <w:t>×10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t</w:t>
      </w:r>
      <w:r>
        <w:rPr>
          <w:rFonts w:hint="default" w:ascii="Times New Roman" w:hAnsi="Times New Roman" w:eastAsia="宋体" w:cs="Times New Roman"/>
          <w:color w:val="000000" w:themeColor="text1"/>
          <w:sz w:val="28"/>
          <w:szCs w:val="28"/>
          <w14:textFill>
            <w14:solidFill>
              <w14:schemeClr w14:val="tx1"/>
            </w14:solidFill>
          </w14:textFill>
        </w:rPr>
        <w:t>）。其中控制可采资源量22.93</w:t>
      </w:r>
      <w:r>
        <w:rPr>
          <w:rFonts w:hint="default" w:ascii="Times New Roman" w:hAnsi="Times New Roman" w:eastAsia="宋体" w:cs="Times New Roman"/>
          <w:bCs/>
          <w:color w:val="000000" w:themeColor="text1"/>
          <w:sz w:val="28"/>
          <w:szCs w:val="28"/>
          <w14:textFill>
            <w14:solidFill>
              <w14:schemeClr w14:val="tx1"/>
            </w14:solidFill>
          </w14:textFill>
        </w:rPr>
        <w:t>×10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m</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color w:val="000000" w:themeColor="text1"/>
          <w:sz w:val="28"/>
          <w:szCs w:val="28"/>
          <w14:textFill>
            <w14:solidFill>
              <w14:schemeClr w14:val="tx1"/>
            </w14:solidFill>
          </w14:textFill>
        </w:rPr>
        <w:t>（40.6</w:t>
      </w:r>
      <w:r>
        <w:rPr>
          <w:rFonts w:hint="default" w:ascii="Times New Roman" w:hAnsi="Times New Roman" w:eastAsia="宋体" w:cs="Times New Roman"/>
          <w:bCs/>
          <w:color w:val="000000" w:themeColor="text1"/>
          <w:sz w:val="28"/>
          <w:szCs w:val="28"/>
          <w14:textFill>
            <w14:solidFill>
              <w14:schemeClr w14:val="tx1"/>
            </w14:solidFill>
          </w14:textFill>
        </w:rPr>
        <w:t>×10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t</w:t>
      </w:r>
      <w:r>
        <w:rPr>
          <w:rFonts w:hint="eastAsia" w:ascii="Times New Roman" w:hAnsi="Times New Roman" w:eastAsia="宋体" w:cs="Times New Roman"/>
          <w:bCs/>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，推断可采资源量49.52</w:t>
      </w:r>
      <w:r>
        <w:rPr>
          <w:rFonts w:hint="default" w:ascii="Times New Roman" w:hAnsi="Times New Roman" w:eastAsia="宋体" w:cs="Times New Roman"/>
          <w:bCs/>
          <w:color w:val="000000" w:themeColor="text1"/>
          <w:sz w:val="28"/>
          <w:szCs w:val="28"/>
          <w14:textFill>
            <w14:solidFill>
              <w14:schemeClr w14:val="tx1"/>
            </w14:solidFill>
          </w14:textFill>
        </w:rPr>
        <w:t>×10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m</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color w:val="000000" w:themeColor="text1"/>
          <w:sz w:val="28"/>
          <w:szCs w:val="28"/>
          <w14:textFill>
            <w14:solidFill>
              <w14:schemeClr w14:val="tx1"/>
            </w14:solidFill>
          </w14:textFill>
        </w:rPr>
        <w:t>（87.6</w:t>
      </w:r>
      <w:r>
        <w:rPr>
          <w:rFonts w:hint="default" w:ascii="Times New Roman" w:hAnsi="Times New Roman" w:eastAsia="宋体" w:cs="Times New Roman"/>
          <w:bCs/>
          <w:color w:val="000000" w:themeColor="text1"/>
          <w:sz w:val="28"/>
          <w:szCs w:val="28"/>
          <w14:textFill>
            <w14:solidFill>
              <w14:schemeClr w14:val="tx1"/>
            </w14:solidFill>
          </w14:textFill>
        </w:rPr>
        <w:t>×10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t</w:t>
      </w:r>
      <w:r>
        <w:rPr>
          <w:rFonts w:hint="default" w:ascii="Times New Roman" w:hAnsi="Times New Roman" w:eastAsia="宋体" w:cs="Times New Roman"/>
          <w:color w:val="000000" w:themeColor="text1"/>
          <w:sz w:val="28"/>
          <w:szCs w:val="28"/>
          <w14:textFill>
            <w14:solidFill>
              <w14:schemeClr w14:val="tx1"/>
            </w14:solidFill>
          </w14:textFill>
        </w:rPr>
        <w:t>）。</w:t>
      </w:r>
    </w:p>
    <w:p w14:paraId="00199716">
      <w:pPr>
        <w:pStyle w:val="12"/>
        <w:spacing w:line="360" w:lineRule="auto"/>
        <w:ind w:firstLine="560" w:firstLineChars="200"/>
        <w:rPr>
          <w:rFonts w:hint="eastAsia" w:cs="Times New Roman" w:eastAsiaTheme="minorEastAsia"/>
          <w:color w:val="000000" w:themeColor="text1"/>
          <w:sz w:val="28"/>
          <w:szCs w:val="28"/>
          <w:lang w:val="en-US" w:eastAsia="zh-CN"/>
          <w14:textFill>
            <w14:solidFill>
              <w14:schemeClr w14:val="tx1"/>
            </w14:solidFill>
          </w14:textFill>
        </w:rPr>
      </w:pPr>
      <w:r>
        <w:rPr>
          <w:rFonts w:hint="eastAsia" w:cs="Times New Roman" w:eastAsiaTheme="minorEastAsia"/>
          <w:color w:val="000000" w:themeColor="text1"/>
          <w:sz w:val="28"/>
          <w:szCs w:val="28"/>
          <w:lang w:val="en-US" w:eastAsia="zh-CN"/>
          <w14:textFill>
            <w14:solidFill>
              <w14:schemeClr w14:val="tx1"/>
            </w14:solidFill>
          </w14:textFill>
        </w:rPr>
        <w:t>对于控制的资源量矿石量全部采用，推断资源量矿石量采用80%。经计算，开发利用方案采用的粘土矿推断资源量矿石量为：62.55</w:t>
      </w:r>
      <w:r>
        <w:rPr>
          <w:rFonts w:hint="default" w:ascii="Times New Roman" w:hAnsi="Times New Roman" w:eastAsia="宋体" w:cs="Times New Roman"/>
          <w:bCs/>
          <w:color w:val="000000" w:themeColor="text1"/>
          <w:sz w:val="28"/>
          <w:szCs w:val="28"/>
          <w14:textFill>
            <w14:solidFill>
              <w14:schemeClr w14:val="tx1"/>
            </w14:solidFill>
          </w14:textFill>
        </w:rPr>
        <w:t>×10</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4</w:t>
      </w:r>
      <w:r>
        <w:rPr>
          <w:rFonts w:hint="default" w:ascii="Times New Roman" w:hAnsi="Times New Roman" w:eastAsia="宋体" w:cs="Times New Roman"/>
          <w:bCs/>
          <w:color w:val="000000" w:themeColor="text1"/>
          <w:sz w:val="28"/>
          <w:szCs w:val="28"/>
          <w14:textFill>
            <w14:solidFill>
              <w14:schemeClr w14:val="tx1"/>
            </w14:solidFill>
          </w14:textFill>
        </w:rPr>
        <w:t>m</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3</w:t>
      </w:r>
      <w:r>
        <w:rPr>
          <w:rFonts w:hint="eastAsia" w:cs="Times New Roman" w:eastAsiaTheme="minorEastAsia"/>
          <w:color w:val="000000" w:themeColor="text1"/>
          <w:sz w:val="28"/>
          <w:szCs w:val="28"/>
          <w:lang w:val="en-US" w:eastAsia="zh-CN"/>
          <w14:textFill>
            <w14:solidFill>
              <w14:schemeClr w14:val="tx1"/>
            </w14:solidFill>
          </w14:textFill>
        </w:rPr>
        <w:t>。</w:t>
      </w:r>
    </w:p>
    <w:p w14:paraId="1D51C539">
      <w:pPr>
        <w:pStyle w:val="12"/>
        <w:spacing w:line="360" w:lineRule="auto"/>
        <w:ind w:firstLine="560" w:firstLineChars="200"/>
        <w:rPr>
          <w:rFonts w:hint="default" w:ascii="Times New Roman" w:hAnsi="Times New Roman" w:cs="Times New Roman" w:eastAsiaTheme="minorEastAsia"/>
          <w:color w:val="000000" w:themeColor="text1"/>
          <w:sz w:val="28"/>
          <w:szCs w:val="28"/>
          <w14:textFill>
            <w14:solidFill>
              <w14:schemeClr w14:val="tx1"/>
            </w14:solidFill>
          </w14:textFill>
        </w:rPr>
      </w:pPr>
      <w:r>
        <w:rPr>
          <w:rFonts w:hint="eastAsia" w:cs="Times New Roman" w:eastAsiaTheme="minorEastAsia"/>
          <w:color w:val="000000" w:themeColor="text1"/>
          <w:sz w:val="28"/>
          <w:szCs w:val="28"/>
          <w:lang w:val="en-US" w:eastAsia="zh-CN"/>
          <w14:textFill>
            <w14:solidFill>
              <w14:schemeClr w14:val="tx1"/>
            </w14:solidFill>
          </w14:textFill>
        </w:rPr>
        <w:t>3</w:t>
      </w:r>
      <w:r>
        <w:rPr>
          <w:rFonts w:hint="default" w:ascii="Times New Roman" w:hAnsi="Times New Roman" w:cs="Times New Roman" w:eastAsiaTheme="minorEastAsia"/>
          <w:color w:val="000000" w:themeColor="text1"/>
          <w:sz w:val="28"/>
          <w:szCs w:val="28"/>
          <w14:textFill>
            <w14:solidFill>
              <w14:schemeClr w14:val="tx1"/>
            </w14:solidFill>
          </w14:textFill>
        </w:rPr>
        <w:t>、建设规模、服务年限及产品方案</w:t>
      </w:r>
    </w:p>
    <w:p w14:paraId="1E15F84E">
      <w:pPr>
        <w:pStyle w:val="12"/>
        <w:spacing w:line="360" w:lineRule="auto"/>
        <w:ind w:firstLine="560" w:firstLineChars="200"/>
        <w:rPr>
          <w:rFonts w:hint="default" w:ascii="Times New Roman" w:hAnsi="Times New Roman" w:cs="Times New Roman" w:eastAsiaTheme="minorEastAsia"/>
          <w:color w:val="000000" w:themeColor="text1"/>
          <w:sz w:val="28"/>
          <w:szCs w:val="28"/>
          <w14:textFill>
            <w14:solidFill>
              <w14:schemeClr w14:val="tx1"/>
            </w14:solidFill>
          </w14:textFill>
        </w:rPr>
      </w:pPr>
      <w:r>
        <w:rPr>
          <w:rFonts w:hint="default" w:ascii="Times New Roman" w:hAnsi="Times New Roman" w:cs="Times New Roman" w:eastAsiaTheme="minorEastAsia"/>
          <w:color w:val="000000" w:themeColor="text1"/>
          <w:sz w:val="28"/>
          <w:szCs w:val="28"/>
          <w14:textFill>
            <w14:solidFill>
              <w14:schemeClr w14:val="tx1"/>
            </w14:solidFill>
          </w14:textFill>
        </w:rPr>
        <w:t>根据《开发与治理综合方案》，矿山建设规模为年采矿量</w:t>
      </w:r>
      <w:r>
        <w:rPr>
          <w:rFonts w:hint="eastAsia" w:cs="Times New Roman" w:eastAsiaTheme="minorEastAsia"/>
          <w:color w:val="000000" w:themeColor="text1"/>
          <w:sz w:val="28"/>
          <w:szCs w:val="28"/>
          <w:lang w:val="en-US" w:eastAsia="zh-CN"/>
          <w14:textFill>
            <w14:solidFill>
              <w14:schemeClr w14:val="tx1"/>
            </w14:solidFill>
          </w14:textFill>
        </w:rPr>
        <w:t>6</w:t>
      </w:r>
      <w:r>
        <w:rPr>
          <w:rFonts w:hint="default" w:ascii="Times New Roman" w:hAnsi="Times New Roman" w:cs="Times New Roman" w:eastAsiaTheme="minorEastAsia"/>
          <w:color w:val="000000" w:themeColor="text1"/>
          <w:sz w:val="28"/>
          <w:szCs w:val="28"/>
          <w14:textFill>
            <w14:solidFill>
              <w14:schemeClr w14:val="tx1"/>
            </w14:solidFill>
          </w14:textFill>
        </w:rPr>
        <w:t>万</w:t>
      </w:r>
      <w:r>
        <w:rPr>
          <w:rFonts w:hint="eastAsia" w:cs="Times New Roman" w:eastAsiaTheme="minorEastAsia"/>
          <w:color w:val="000000" w:themeColor="text1"/>
          <w:sz w:val="28"/>
          <w:szCs w:val="28"/>
          <w:lang w:val="en-US" w:eastAsia="zh-CN"/>
          <w14:textFill>
            <w14:solidFill>
              <w14:schemeClr w14:val="tx1"/>
            </w14:solidFill>
          </w14:textFill>
        </w:rPr>
        <w:t>立方米</w:t>
      </w:r>
      <w:r>
        <w:rPr>
          <w:rFonts w:hint="default" w:ascii="Times New Roman" w:hAnsi="Times New Roman" w:cs="Times New Roman" w:eastAsiaTheme="minorEastAsia"/>
          <w:color w:val="000000" w:themeColor="text1"/>
          <w:sz w:val="28"/>
          <w:szCs w:val="28"/>
          <w14:textFill>
            <w14:solidFill>
              <w14:schemeClr w14:val="tx1"/>
            </w14:solidFill>
          </w14:textFill>
        </w:rPr>
        <w:t>/年。产品方案为砖瓦用粘土矿。矿山服务年限为</w:t>
      </w:r>
      <w:r>
        <w:rPr>
          <w:rFonts w:hint="eastAsia" w:cs="Times New Roman" w:eastAsiaTheme="minorEastAsia"/>
          <w:color w:val="000000" w:themeColor="text1"/>
          <w:sz w:val="28"/>
          <w:szCs w:val="28"/>
          <w:lang w:val="en-US" w:eastAsia="zh-CN"/>
          <w14:textFill>
            <w14:solidFill>
              <w14:schemeClr w14:val="tx1"/>
            </w14:solidFill>
          </w14:textFill>
        </w:rPr>
        <w:t>9.9</w:t>
      </w:r>
      <w:r>
        <w:rPr>
          <w:rFonts w:hint="default" w:ascii="Times New Roman" w:hAnsi="Times New Roman" w:cs="Times New Roman" w:eastAsiaTheme="minorEastAsia"/>
          <w:color w:val="000000" w:themeColor="text1"/>
          <w:sz w:val="28"/>
          <w:szCs w:val="28"/>
          <w14:textFill>
            <w14:solidFill>
              <w14:schemeClr w14:val="tx1"/>
            </w14:solidFill>
          </w14:textFill>
        </w:rPr>
        <w:t>年，推荐年工作日200天，每天1班，每班8小时。</w:t>
      </w:r>
    </w:p>
    <w:p w14:paraId="0D4993C3">
      <w:pPr>
        <w:pStyle w:val="12"/>
        <w:spacing w:line="360" w:lineRule="auto"/>
        <w:ind w:firstLine="560" w:firstLineChars="200"/>
        <w:rPr>
          <w:rFonts w:hint="default" w:ascii="Times New Roman" w:hAnsi="Times New Roman" w:cs="Times New Roman" w:eastAsiaTheme="minorEastAsia"/>
          <w:color w:val="000000" w:themeColor="text1"/>
          <w:sz w:val="28"/>
          <w:szCs w:val="28"/>
          <w14:textFill>
            <w14:solidFill>
              <w14:schemeClr w14:val="tx1"/>
            </w14:solidFill>
          </w14:textFill>
        </w:rPr>
      </w:pPr>
      <w:r>
        <w:rPr>
          <w:rFonts w:hint="eastAsia" w:cs="Times New Roman" w:eastAsiaTheme="minorEastAsia"/>
          <w:color w:val="000000" w:themeColor="text1"/>
          <w:sz w:val="28"/>
          <w:szCs w:val="28"/>
          <w:lang w:val="en-US" w:eastAsia="zh-CN"/>
          <w14:textFill>
            <w14:solidFill>
              <w14:schemeClr w14:val="tx1"/>
            </w14:solidFill>
          </w14:textFill>
        </w:rPr>
        <w:t>4</w:t>
      </w:r>
      <w:r>
        <w:rPr>
          <w:rFonts w:hint="default" w:ascii="Times New Roman" w:hAnsi="Times New Roman" w:cs="Times New Roman" w:eastAsiaTheme="minorEastAsia"/>
          <w:color w:val="000000" w:themeColor="text1"/>
          <w:sz w:val="28"/>
          <w:szCs w:val="28"/>
          <w14:textFill>
            <w14:solidFill>
              <w14:schemeClr w14:val="tx1"/>
            </w14:solidFill>
          </w14:textFill>
        </w:rPr>
        <w:t>、矿区开发总体规划</w:t>
      </w:r>
    </w:p>
    <w:p w14:paraId="34A7C324">
      <w:pPr>
        <w:pStyle w:val="12"/>
        <w:spacing w:line="360" w:lineRule="auto"/>
        <w:ind w:firstLine="560" w:firstLineChars="200"/>
        <w:rPr>
          <w:rFonts w:hint="default" w:ascii="Times New Roman" w:hAnsi="Times New Roman" w:cs="Times New Roman" w:eastAsiaTheme="minorEastAsia"/>
          <w:color w:val="000000" w:themeColor="text1"/>
          <w:sz w:val="28"/>
          <w:szCs w:val="28"/>
          <w14:textFill>
            <w14:solidFill>
              <w14:schemeClr w14:val="tx1"/>
            </w14:solidFill>
          </w14:textFill>
        </w:rPr>
      </w:pPr>
      <w:r>
        <w:rPr>
          <w:rFonts w:hint="default" w:ascii="Times New Roman" w:hAnsi="Times New Roman" w:cs="Times New Roman" w:eastAsiaTheme="minorEastAsia"/>
          <w:color w:val="000000" w:themeColor="text1"/>
          <w:sz w:val="28"/>
          <w:szCs w:val="28"/>
          <w14:textFill>
            <w14:solidFill>
              <w14:schemeClr w14:val="tx1"/>
            </w14:solidFill>
          </w14:textFill>
        </w:rPr>
        <w:t>经前期地质勘查，资源储量估算范围内以第四系更新统乌尔吉组</w:t>
      </w:r>
      <w:r>
        <w:rPr>
          <w:rFonts w:hint="eastAsia" w:cs="Times New Roman" w:eastAsiaTheme="minorEastAsia"/>
          <w:color w:val="000000" w:themeColor="text1"/>
          <w:sz w:val="28"/>
          <w:szCs w:val="28"/>
          <w:lang w:eastAsia="zh-CN"/>
          <w14:textFill>
            <w14:solidFill>
              <w14:schemeClr w14:val="tx1"/>
            </w14:solidFill>
          </w14:textFill>
        </w:rPr>
        <w:t>（</w:t>
      </w:r>
      <w:r>
        <w:rPr>
          <w:rFonts w:hint="default" w:ascii="Times New Roman" w:hAnsi="Times New Roman" w:cs="Times New Roman" w:eastAsiaTheme="minorEastAsia"/>
          <w:color w:val="000000" w:themeColor="text1"/>
          <w:sz w:val="28"/>
          <w:szCs w:val="28"/>
          <w14:textFill>
            <w14:solidFill>
              <w14:schemeClr w14:val="tx1"/>
            </w14:solidFill>
          </w14:textFill>
        </w:rPr>
        <w:t>Qp</w:t>
      </w:r>
      <w:r>
        <w:rPr>
          <w:rFonts w:hint="default" w:ascii="Times New Roman" w:hAnsi="Times New Roman" w:cs="Times New Roman" w:eastAsiaTheme="minorEastAsia"/>
          <w:color w:val="000000" w:themeColor="text1"/>
          <w:sz w:val="28"/>
          <w:szCs w:val="28"/>
          <w:vertAlign w:val="subscript"/>
          <w14:textFill>
            <w14:solidFill>
              <w14:schemeClr w14:val="tx1"/>
            </w14:solidFill>
          </w14:textFill>
        </w:rPr>
        <w:t>3</w:t>
      </w:r>
      <w:r>
        <w:rPr>
          <w:rFonts w:hint="default" w:ascii="Times New Roman" w:hAnsi="Times New Roman" w:cs="Times New Roman" w:eastAsiaTheme="minorEastAsia"/>
          <w:i/>
          <w:iCs/>
          <w:color w:val="000000" w:themeColor="text1"/>
          <w:sz w:val="28"/>
          <w:szCs w:val="28"/>
          <w14:textFill>
            <w14:solidFill>
              <w14:schemeClr w14:val="tx1"/>
            </w14:solidFill>
          </w14:textFill>
        </w:rPr>
        <w:t>w</w:t>
      </w:r>
      <w:r>
        <w:rPr>
          <w:rFonts w:hint="eastAsia" w:cs="Times New Roman" w:eastAsiaTheme="minorEastAsia"/>
          <w:color w:val="000000" w:themeColor="text1"/>
          <w:sz w:val="28"/>
          <w:szCs w:val="28"/>
          <w:lang w:eastAsia="zh-CN"/>
          <w14:textFill>
            <w14:solidFill>
              <w14:schemeClr w14:val="tx1"/>
            </w14:solidFill>
          </w14:textFill>
        </w:rPr>
        <w:t>）</w:t>
      </w:r>
      <w:r>
        <w:rPr>
          <w:rFonts w:hint="default" w:ascii="Times New Roman" w:hAnsi="Times New Roman" w:cs="Times New Roman" w:eastAsiaTheme="minorEastAsia"/>
          <w:color w:val="000000" w:themeColor="text1"/>
          <w:sz w:val="28"/>
          <w:szCs w:val="28"/>
          <w14:textFill>
            <w14:solidFill>
              <w14:schemeClr w14:val="tx1"/>
            </w14:solidFill>
          </w14:textFill>
        </w:rPr>
        <w:t>砖瓦用粘土为主。由于采矿许可证内存在4处压覆区，压覆区位置：耕地压覆区位于采矿证中部靠西侧，基本农田压覆区位于矿区最东侧，村道压覆区位于矿区中部，隧道窑压覆区位于矿区西侧。证内矿体由于村道压覆区被分割在2个采区。因此，推荐资源储量估算范围内设2个采区，分别集中开采。</w:t>
      </w:r>
    </w:p>
    <w:p w14:paraId="66CB6180">
      <w:pPr>
        <w:pStyle w:val="12"/>
        <w:spacing w:line="360" w:lineRule="auto"/>
        <w:ind w:firstLine="560" w:firstLineChars="200"/>
        <w:rPr>
          <w:rFonts w:hint="default" w:ascii="Times New Roman" w:hAnsi="Times New Roman" w:cs="Times New Roman" w:eastAsiaTheme="minorEastAsia"/>
          <w:color w:val="000000" w:themeColor="text1"/>
          <w:sz w:val="28"/>
          <w:szCs w:val="28"/>
          <w14:textFill>
            <w14:solidFill>
              <w14:schemeClr w14:val="tx1"/>
            </w14:solidFill>
          </w14:textFill>
        </w:rPr>
      </w:pPr>
      <w:r>
        <w:rPr>
          <w:rFonts w:hint="eastAsia" w:cs="Times New Roman" w:eastAsiaTheme="minorEastAsia"/>
          <w:color w:val="000000" w:themeColor="text1"/>
          <w:sz w:val="28"/>
          <w:szCs w:val="28"/>
          <w:lang w:val="en-US" w:eastAsia="zh-CN"/>
          <w14:textFill>
            <w14:solidFill>
              <w14:schemeClr w14:val="tx1"/>
            </w14:solidFill>
          </w14:textFill>
        </w:rPr>
        <w:t>5</w:t>
      </w:r>
      <w:r>
        <w:rPr>
          <w:rFonts w:hint="default" w:ascii="Times New Roman" w:hAnsi="Times New Roman" w:cs="Times New Roman" w:eastAsiaTheme="minorEastAsia"/>
          <w:color w:val="000000" w:themeColor="text1"/>
          <w:sz w:val="28"/>
          <w:szCs w:val="28"/>
          <w14:textFill>
            <w14:solidFill>
              <w14:schemeClr w14:val="tx1"/>
            </w14:solidFill>
          </w14:textFill>
        </w:rPr>
        <w:t>、采矿方法与开拓方案</w:t>
      </w:r>
    </w:p>
    <w:p w14:paraId="37145E6F">
      <w:pPr>
        <w:pStyle w:val="12"/>
        <w:spacing w:line="360" w:lineRule="auto"/>
        <w:ind w:firstLine="560" w:firstLineChars="200"/>
        <w:rPr>
          <w:rFonts w:hint="eastAsia" w:cs="Times New Roman" w:eastAsiaTheme="minorEastAsia"/>
          <w:color w:val="000000" w:themeColor="text1"/>
          <w:sz w:val="28"/>
          <w:szCs w:val="28"/>
          <w:lang w:eastAsia="zh-CN"/>
          <w14:textFill>
            <w14:solidFill>
              <w14:schemeClr w14:val="tx1"/>
            </w14:solidFill>
          </w14:textFill>
        </w:rPr>
      </w:pPr>
      <w:r>
        <w:rPr>
          <w:rFonts w:hint="eastAsia" w:ascii="Times New Roman" w:hAnsi="Times New Roman" w:cs="Times New Roman" w:eastAsiaTheme="minorEastAsia"/>
          <w:color w:val="000000" w:themeColor="text1"/>
          <w:sz w:val="28"/>
          <w:szCs w:val="28"/>
          <w:lang w:val="en-US" w:eastAsia="zh-CN"/>
          <w14:textFill>
            <w14:solidFill>
              <w14:schemeClr w14:val="tx1"/>
            </w14:solidFill>
          </w14:textFill>
        </w:rPr>
        <w:t>资料来源于</w:t>
      </w:r>
      <w:r>
        <w:rPr>
          <w:rFonts w:hint="default" w:ascii="Times New Roman" w:hAnsi="Times New Roman" w:eastAsia="宋体" w:cs="Times New Roman"/>
          <w:color w:val="000000" w:themeColor="text1"/>
          <w:sz w:val="28"/>
          <w:szCs w:val="28"/>
          <w14:textFill>
            <w14:solidFill>
              <w14:schemeClr w14:val="tx1"/>
            </w14:solidFill>
          </w14:textFill>
        </w:rPr>
        <w:t>《内蒙古自治区赤峰市松山区德春砖厂粘土矿开发与治理综合方案》</w:t>
      </w:r>
      <w:r>
        <w:rPr>
          <w:rFonts w:hint="default" w:ascii="Times New Roman" w:hAnsi="Times New Roman" w:eastAsia="宋体" w:cs="Times New Roman"/>
          <w:color w:val="000000" w:themeColor="text1"/>
          <w:sz w:val="28"/>
          <w:szCs w:val="28"/>
          <w:lang w:eastAsia="zh-CN"/>
          <w14:textFill>
            <w14:solidFill>
              <w14:schemeClr w14:val="tx1"/>
            </w14:solidFill>
          </w14:textFill>
        </w:rPr>
        <w:t>。</w:t>
      </w:r>
    </w:p>
    <w:p w14:paraId="27E71FB2">
      <w:pPr>
        <w:pStyle w:val="12"/>
        <w:spacing w:line="360" w:lineRule="auto"/>
        <w:ind w:firstLine="560" w:firstLineChars="200"/>
        <w:rPr>
          <w:rFonts w:hint="eastAsia" w:cs="Times New Roman" w:eastAsiaTheme="minorEastAsia"/>
          <w:color w:val="000000" w:themeColor="text1"/>
          <w:sz w:val="28"/>
          <w:szCs w:val="28"/>
          <w:lang w:eastAsia="zh-CN"/>
          <w14:textFill>
            <w14:solidFill>
              <w14:schemeClr w14:val="tx1"/>
            </w14:solidFill>
          </w14:textFill>
        </w:rPr>
      </w:pPr>
      <w:r>
        <w:rPr>
          <w:rFonts w:hint="eastAsia" w:cs="Times New Roman" w:eastAsiaTheme="minorEastAsia"/>
          <w:color w:val="000000" w:themeColor="text1"/>
          <w:sz w:val="28"/>
          <w:szCs w:val="28"/>
          <w:lang w:eastAsia="zh-CN"/>
          <w14:textFill>
            <w14:solidFill>
              <w14:schemeClr w14:val="tx1"/>
            </w14:solidFill>
          </w14:textFill>
        </w:rPr>
        <w:t>（</w:t>
      </w:r>
      <w:r>
        <w:rPr>
          <w:rFonts w:hint="eastAsia" w:cs="Times New Roman" w:eastAsiaTheme="minorEastAsia"/>
          <w:color w:val="000000" w:themeColor="text1"/>
          <w:sz w:val="28"/>
          <w:szCs w:val="28"/>
          <w:lang w:val="en-US" w:eastAsia="zh-CN"/>
          <w14:textFill>
            <w14:solidFill>
              <w14:schemeClr w14:val="tx1"/>
            </w14:solidFill>
          </w14:textFill>
        </w:rPr>
        <w:t>1</w:t>
      </w:r>
      <w:r>
        <w:rPr>
          <w:rFonts w:hint="eastAsia" w:cs="Times New Roman" w:eastAsiaTheme="minorEastAsia"/>
          <w:color w:val="000000" w:themeColor="text1"/>
          <w:sz w:val="28"/>
          <w:szCs w:val="28"/>
          <w:lang w:eastAsia="zh-CN"/>
          <w14:textFill>
            <w14:solidFill>
              <w14:schemeClr w14:val="tx1"/>
            </w14:solidFill>
          </w14:textFill>
        </w:rPr>
        <w:t>）开采方式</w:t>
      </w:r>
    </w:p>
    <w:p w14:paraId="2D75BF36">
      <w:pPr>
        <w:pStyle w:val="12"/>
        <w:spacing w:line="360" w:lineRule="auto"/>
        <w:ind w:firstLine="560" w:firstLineChars="200"/>
        <w:rPr>
          <w:rFonts w:hint="eastAsia" w:cs="Times New Roman" w:eastAsiaTheme="minorEastAsia"/>
          <w:color w:val="000000" w:themeColor="text1"/>
          <w:sz w:val="28"/>
          <w:szCs w:val="28"/>
          <w:lang w:eastAsia="zh-CN"/>
          <w14:textFill>
            <w14:solidFill>
              <w14:schemeClr w14:val="tx1"/>
            </w14:solidFill>
          </w14:textFill>
        </w:rPr>
      </w:pPr>
      <w:r>
        <w:rPr>
          <w:rFonts w:hint="eastAsia" w:cs="Times New Roman" w:eastAsiaTheme="minorEastAsia"/>
          <w:color w:val="000000" w:themeColor="text1"/>
          <w:sz w:val="28"/>
          <w:szCs w:val="28"/>
          <w:lang w:eastAsia="zh-CN"/>
          <w14:textFill>
            <w14:solidFill>
              <w14:schemeClr w14:val="tx1"/>
            </w14:solidFill>
          </w14:textFill>
        </w:rPr>
        <w:t>露天开采方式。</w:t>
      </w:r>
    </w:p>
    <w:p w14:paraId="5FCE65FA">
      <w:pPr>
        <w:rPr>
          <w:rFonts w:hint="eastAsia" w:cs="Times New Roman" w:eastAsiaTheme="minorEastAsia"/>
          <w:color w:val="000000" w:themeColor="text1"/>
          <w:sz w:val="28"/>
          <w:szCs w:val="28"/>
          <w:lang w:eastAsia="zh-CN"/>
          <w14:textFill>
            <w14:solidFill>
              <w14:schemeClr w14:val="tx1"/>
            </w14:solidFill>
          </w14:textFill>
        </w:rPr>
      </w:pPr>
      <w:r>
        <w:rPr>
          <w:rFonts w:hint="eastAsia" w:cs="Times New Roman" w:eastAsiaTheme="minorEastAsia"/>
          <w:color w:val="000000" w:themeColor="text1"/>
          <w:sz w:val="28"/>
          <w:szCs w:val="28"/>
          <w:lang w:eastAsia="zh-CN"/>
          <w14:textFill>
            <w14:solidFill>
              <w14:schemeClr w14:val="tx1"/>
            </w14:solidFill>
          </w14:textFill>
        </w:rPr>
        <w:br w:type="page"/>
      </w:r>
    </w:p>
    <w:p w14:paraId="423D172F">
      <w:pPr>
        <w:pStyle w:val="12"/>
        <w:spacing w:line="360" w:lineRule="auto"/>
        <w:ind w:firstLine="560" w:firstLineChars="200"/>
        <w:rPr>
          <w:rFonts w:hint="eastAsia" w:cs="Times New Roman" w:eastAsiaTheme="minorEastAsia"/>
          <w:color w:val="000000" w:themeColor="text1"/>
          <w:sz w:val="28"/>
          <w:szCs w:val="28"/>
          <w:lang w:eastAsia="zh-CN"/>
          <w14:textFill>
            <w14:solidFill>
              <w14:schemeClr w14:val="tx1"/>
            </w14:solidFill>
          </w14:textFill>
        </w:rPr>
      </w:pPr>
      <w:r>
        <w:rPr>
          <w:rFonts w:hint="eastAsia" w:cs="Times New Roman" w:eastAsiaTheme="minorEastAsia"/>
          <w:color w:val="000000" w:themeColor="text1"/>
          <w:sz w:val="28"/>
          <w:szCs w:val="28"/>
          <w:lang w:eastAsia="zh-CN"/>
          <w14:textFill>
            <w14:solidFill>
              <w14:schemeClr w14:val="tx1"/>
            </w14:solidFill>
          </w14:textFill>
        </w:rPr>
        <w:t>（</w:t>
      </w:r>
      <w:r>
        <w:rPr>
          <w:rFonts w:hint="eastAsia" w:cs="Times New Roman" w:eastAsiaTheme="minorEastAsia"/>
          <w:color w:val="000000" w:themeColor="text1"/>
          <w:sz w:val="28"/>
          <w:szCs w:val="28"/>
          <w:lang w:val="en-US" w:eastAsia="zh-CN"/>
          <w14:textFill>
            <w14:solidFill>
              <w14:schemeClr w14:val="tx1"/>
            </w14:solidFill>
          </w14:textFill>
        </w:rPr>
        <w:t>2</w:t>
      </w:r>
      <w:r>
        <w:rPr>
          <w:rFonts w:hint="eastAsia" w:cs="Times New Roman" w:eastAsiaTheme="minorEastAsia"/>
          <w:color w:val="000000" w:themeColor="text1"/>
          <w:sz w:val="28"/>
          <w:szCs w:val="28"/>
          <w:lang w:eastAsia="zh-CN"/>
          <w14:textFill>
            <w14:solidFill>
              <w14:schemeClr w14:val="tx1"/>
            </w14:solidFill>
          </w14:textFill>
        </w:rPr>
        <w:t>）采矿方法</w:t>
      </w:r>
    </w:p>
    <w:p w14:paraId="5338E87D">
      <w:pPr>
        <w:pStyle w:val="12"/>
        <w:spacing w:line="360" w:lineRule="auto"/>
        <w:ind w:firstLine="560" w:firstLineChars="200"/>
        <w:rPr>
          <w:rFonts w:hint="eastAsia" w:cs="Times New Roman" w:eastAsiaTheme="minorEastAsia"/>
          <w:color w:val="000000" w:themeColor="text1"/>
          <w:sz w:val="28"/>
          <w:szCs w:val="28"/>
          <w:lang w:eastAsia="zh-CN"/>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《开发与治理综合方案》</w:t>
      </w:r>
      <w:r>
        <w:rPr>
          <w:rFonts w:hint="eastAsia" w:cs="Times New Roman" w:eastAsiaTheme="minorEastAsia"/>
          <w:color w:val="000000" w:themeColor="text1"/>
          <w:sz w:val="28"/>
          <w:szCs w:val="28"/>
          <w:lang w:eastAsia="zh-CN"/>
          <w14:textFill>
            <w14:solidFill>
              <w14:schemeClr w14:val="tx1"/>
            </w14:solidFill>
          </w14:textFill>
        </w:rPr>
        <w:t>推荐矿山采用水平台阶分层采矿法。</w:t>
      </w:r>
    </w:p>
    <w:p w14:paraId="5D5DFDDC">
      <w:pPr>
        <w:pStyle w:val="12"/>
        <w:spacing w:line="360" w:lineRule="auto"/>
        <w:ind w:firstLine="560" w:firstLineChars="200"/>
        <w:rPr>
          <w:rFonts w:hint="eastAsia" w:cs="Times New Roman" w:eastAsiaTheme="minorEastAsia"/>
          <w:color w:val="000000" w:themeColor="text1"/>
          <w:sz w:val="28"/>
          <w:szCs w:val="28"/>
          <w:lang w:eastAsia="zh-CN"/>
          <w14:textFill>
            <w14:solidFill>
              <w14:schemeClr w14:val="tx1"/>
            </w14:solidFill>
          </w14:textFill>
        </w:rPr>
      </w:pPr>
      <w:r>
        <w:rPr>
          <w:rFonts w:hint="eastAsia" w:cs="Times New Roman" w:eastAsiaTheme="minorEastAsia"/>
          <w:color w:val="000000" w:themeColor="text1"/>
          <w:sz w:val="28"/>
          <w:szCs w:val="28"/>
          <w:lang w:eastAsia="zh-CN"/>
          <w14:textFill>
            <w14:solidFill>
              <w14:schemeClr w14:val="tx1"/>
            </w14:solidFill>
          </w14:textFill>
        </w:rPr>
        <w:t>（</w:t>
      </w:r>
      <w:r>
        <w:rPr>
          <w:rFonts w:hint="eastAsia" w:cs="Times New Roman" w:eastAsiaTheme="minorEastAsia"/>
          <w:color w:val="000000" w:themeColor="text1"/>
          <w:sz w:val="28"/>
          <w:szCs w:val="28"/>
          <w:lang w:val="en-US" w:eastAsia="zh-CN"/>
          <w14:textFill>
            <w14:solidFill>
              <w14:schemeClr w14:val="tx1"/>
            </w14:solidFill>
          </w14:textFill>
        </w:rPr>
        <w:t>3</w:t>
      </w:r>
      <w:r>
        <w:rPr>
          <w:rFonts w:hint="eastAsia" w:cs="Times New Roman" w:eastAsiaTheme="minorEastAsia"/>
          <w:color w:val="000000" w:themeColor="text1"/>
          <w:sz w:val="28"/>
          <w:szCs w:val="28"/>
          <w:lang w:eastAsia="zh-CN"/>
          <w14:textFill>
            <w14:solidFill>
              <w14:schemeClr w14:val="tx1"/>
            </w14:solidFill>
          </w14:textFill>
        </w:rPr>
        <w:t>）露天开采境界的确定</w:t>
      </w:r>
    </w:p>
    <w:p w14:paraId="361604E8">
      <w:pPr>
        <w:pStyle w:val="12"/>
        <w:spacing w:line="360" w:lineRule="auto"/>
        <w:ind w:firstLine="560" w:firstLineChars="200"/>
        <w:rPr>
          <w:rFonts w:hint="eastAsia" w:cs="Times New Roman" w:eastAsiaTheme="minorEastAsia"/>
          <w:color w:val="000000" w:themeColor="text1"/>
          <w:sz w:val="28"/>
          <w:szCs w:val="28"/>
          <w:lang w:eastAsia="zh-CN"/>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采用当前国内露天矿常规采剥工艺和设备，矿体划分为水平阶段由上向下逐层开采，阶段高度5m，推荐工作平台最小宽度20m，工作线长度为水平台阶可采矿体走向长度，开段沟底宽20m～30m，</w:t>
      </w:r>
      <w:r>
        <w:rPr>
          <w:rFonts w:hint="default" w:ascii="Times New Roman" w:hAnsi="Times New Roman" w:eastAsia="宋体" w:cs="Times New Roman"/>
          <w:color w:val="000000" w:themeColor="text1"/>
          <w:sz w:val="28"/>
          <w:szCs w:val="28"/>
          <w:lang w:eastAsia="zh-CN"/>
          <w14:textFill>
            <w14:solidFill>
              <w14:schemeClr w14:val="tx1"/>
            </w14:solidFill>
          </w14:textFill>
        </w:rPr>
        <w:t>最终开采境界主要特征见表1-</w:t>
      </w:r>
      <w:r>
        <w:rPr>
          <w:rFonts w:hint="eastAsia" w:eastAsia="宋体" w:cs="Times New Roman"/>
          <w:color w:val="000000" w:themeColor="text1"/>
          <w:sz w:val="28"/>
          <w:szCs w:val="28"/>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8"/>
          <w:lang w:eastAsia="zh-CN"/>
          <w14:textFill>
            <w14:solidFill>
              <w14:schemeClr w14:val="tx1"/>
            </w14:solidFill>
          </w14:textFill>
        </w:rPr>
        <w:t>。</w:t>
      </w:r>
    </w:p>
    <w:p w14:paraId="299BEC14">
      <w:pPr>
        <w:spacing w:line="360" w:lineRule="auto"/>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14:textFill>
            <w14:solidFill>
              <w14:schemeClr w14:val="tx1"/>
            </w14:solidFill>
          </w14:textFill>
        </w:rPr>
        <w:t>表1-</w:t>
      </w:r>
      <w:r>
        <w:rPr>
          <w:rFonts w:hint="eastAsia" w:ascii="黑体" w:hAnsi="黑体" w:eastAsia="黑体" w:cs="黑体"/>
          <w:b w:val="0"/>
          <w:bCs/>
          <w:color w:val="000000" w:themeColor="text1"/>
          <w:sz w:val="24"/>
          <w:szCs w:val="24"/>
          <w:lang w:val="en-US" w:eastAsia="zh-CN"/>
          <w14:textFill>
            <w14:solidFill>
              <w14:schemeClr w14:val="tx1"/>
            </w14:solidFill>
          </w14:textFill>
        </w:rPr>
        <w:t>2</w:t>
      </w:r>
      <w:r>
        <w:rPr>
          <w:rFonts w:hint="eastAsia" w:ascii="黑体" w:hAnsi="黑体" w:eastAsia="黑体" w:cs="黑体"/>
          <w:b w:val="0"/>
          <w:bCs/>
          <w:color w:val="000000" w:themeColor="text1"/>
          <w:sz w:val="24"/>
          <w:szCs w:val="24"/>
          <w14:textFill>
            <w14:solidFill>
              <w14:schemeClr w14:val="tx1"/>
            </w14:solidFill>
          </w14:textFill>
        </w:rPr>
        <w:t xml:space="preserve">  最终开采境界主要特征表</w:t>
      </w:r>
    </w:p>
    <w:p w14:paraId="693F6C02">
      <w:pPr>
        <w:pStyle w:val="12"/>
        <w:keepNext w:val="0"/>
        <w:keepLines w:val="0"/>
        <w:pageBreakBefore w:val="0"/>
        <w:widowControl w:val="0"/>
        <w:kinsoku/>
        <w:wordWrap/>
        <w:overflowPunct/>
        <w:topLinePunct w:val="0"/>
        <w:autoSpaceDE/>
        <w:autoSpaceDN/>
        <w:bidi w:val="0"/>
        <w:adjustRightInd/>
        <w:snapToGrid/>
        <w:spacing w:before="157" w:beforeLines="50" w:line="360" w:lineRule="auto"/>
        <w:ind w:firstLine="560" w:firstLineChars="200"/>
        <w:textAlignment w:val="auto"/>
        <w:rPr>
          <w:rFonts w:hint="eastAsia" w:ascii="Times New Roman" w:hAnsi="Times New Roman" w:cs="Times New Roman" w:eastAsiaTheme="minorEastAsia"/>
          <w:color w:val="000000" w:themeColor="text1"/>
          <w:sz w:val="28"/>
          <w:szCs w:val="28"/>
          <w:lang w:eastAsia="zh-CN"/>
          <w14:textFill>
            <w14:solidFill>
              <w14:schemeClr w14:val="tx1"/>
            </w14:solidFill>
          </w14:textFill>
        </w:rPr>
      </w:pPr>
      <w:r>
        <w:rPr>
          <w:rFonts w:hint="eastAsia" w:cs="Times New Roman" w:eastAsiaTheme="minorEastAsia"/>
          <w:color w:val="000000" w:themeColor="text1"/>
          <w:sz w:val="28"/>
          <w:szCs w:val="28"/>
          <w:lang w:eastAsia="zh-CN"/>
          <w14:textFill>
            <w14:solidFill>
              <w14:schemeClr w14:val="tx1"/>
            </w14:solidFill>
          </w14:textFill>
        </w:rPr>
        <w:t>（</w:t>
      </w:r>
      <w:r>
        <w:rPr>
          <w:rFonts w:hint="eastAsia" w:cs="Times New Roman" w:eastAsiaTheme="minorEastAsia"/>
          <w:color w:val="000000" w:themeColor="text1"/>
          <w:sz w:val="28"/>
          <w:szCs w:val="28"/>
          <w:lang w:val="en-US" w:eastAsia="zh-CN"/>
          <w14:textFill>
            <w14:solidFill>
              <w14:schemeClr w14:val="tx1"/>
            </w14:solidFill>
          </w14:textFill>
        </w:rPr>
        <w:t>4</w:t>
      </w:r>
      <w:r>
        <w:rPr>
          <w:rFonts w:hint="eastAsia" w:cs="Times New Roman" w:eastAsiaTheme="minorEastAsia"/>
          <w:color w:val="000000" w:themeColor="text1"/>
          <w:sz w:val="28"/>
          <w:szCs w:val="28"/>
          <w:lang w:eastAsia="zh-CN"/>
          <w14:textFill>
            <w14:solidFill>
              <w14:schemeClr w14:val="tx1"/>
            </w14:solidFill>
          </w14:textFill>
        </w:rPr>
        <w:t>）</w:t>
      </w:r>
      <w:r>
        <w:rPr>
          <w:rFonts w:hint="default" w:ascii="Times New Roman" w:hAnsi="Times New Roman" w:cs="Times New Roman" w:eastAsiaTheme="minorEastAsia"/>
          <w:color w:val="000000" w:themeColor="text1"/>
          <w:sz w:val="28"/>
          <w:szCs w:val="28"/>
          <w14:textFill>
            <w14:solidFill>
              <w14:schemeClr w14:val="tx1"/>
            </w14:solidFill>
          </w14:textFill>
        </w:rPr>
        <w:t>开拓运输方案</w:t>
      </w:r>
    </w:p>
    <w:p w14:paraId="0E4A560A">
      <w:pPr>
        <w:pStyle w:val="12"/>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根据矿体特征及赋存条件、结合地表地形条件、现有采坑位置及道路布置情况，该矿山采用深凹露天开采方式，推荐采用公路开拓、汽车运输方案。</w:t>
      </w:r>
    </w:p>
    <w:p w14:paraId="3D120D49">
      <w:pPr>
        <w:pStyle w:val="12"/>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推荐开采台阶高度为5m，共分为5个剥采水平，分别为480m、475m、470m、465m、460m水平，开采时由矿体西侧向东侧推进。推荐台阶坡面角45°，安全平台宽为3m，清扫平台宽为6m。矿山道路按三级公路标准，路面宽度为5m，路面采用碎石铺筑，最大纵坡为8%。</w:t>
      </w:r>
    </w:p>
    <w:p w14:paraId="21A02DE7">
      <w:pPr>
        <w:pStyle w:val="12"/>
        <w:spacing w:line="360" w:lineRule="auto"/>
        <w:ind w:firstLine="560" w:firstLineChars="200"/>
        <w:rPr>
          <w:rFonts w:hint="default" w:ascii="Times New Roman" w:hAnsi="Times New Roman" w:cs="Times New Roman" w:eastAsiaTheme="minorEastAsia"/>
          <w:color w:val="000000" w:themeColor="text1"/>
          <w:sz w:val="28"/>
          <w:szCs w:val="28"/>
          <w14:textFill>
            <w14:solidFill>
              <w14:schemeClr w14:val="tx1"/>
            </w14:solidFill>
          </w14:textFill>
        </w:rPr>
      </w:pPr>
      <w:r>
        <w:rPr>
          <w:rFonts w:hint="eastAsia" w:cs="Times New Roman" w:eastAsiaTheme="minorEastAsia"/>
          <w:color w:val="000000" w:themeColor="text1"/>
          <w:sz w:val="28"/>
          <w:szCs w:val="28"/>
          <w:lang w:eastAsia="zh-CN"/>
          <w14:textFill>
            <w14:solidFill>
              <w14:schemeClr w14:val="tx1"/>
            </w14:solidFill>
          </w14:textFill>
        </w:rPr>
        <w:t>（</w:t>
      </w:r>
      <w:r>
        <w:rPr>
          <w:rFonts w:hint="eastAsia" w:cs="Times New Roman" w:eastAsiaTheme="minorEastAsia"/>
          <w:color w:val="000000" w:themeColor="text1"/>
          <w:sz w:val="28"/>
          <w:szCs w:val="28"/>
          <w:lang w:val="en-US" w:eastAsia="zh-CN"/>
          <w14:textFill>
            <w14:solidFill>
              <w14:schemeClr w14:val="tx1"/>
            </w14:solidFill>
          </w14:textFill>
        </w:rPr>
        <w:t>5</w:t>
      </w:r>
      <w:r>
        <w:rPr>
          <w:rFonts w:hint="eastAsia" w:cs="Times New Roman" w:eastAsiaTheme="minorEastAsia"/>
          <w:color w:val="000000" w:themeColor="text1"/>
          <w:sz w:val="28"/>
          <w:szCs w:val="28"/>
          <w:lang w:eastAsia="zh-CN"/>
          <w14:textFill>
            <w14:solidFill>
              <w14:schemeClr w14:val="tx1"/>
            </w14:solidFill>
          </w14:textFill>
        </w:rPr>
        <w:t>）</w:t>
      </w:r>
      <w:r>
        <w:rPr>
          <w:rFonts w:hint="default" w:ascii="Times New Roman" w:hAnsi="Times New Roman" w:cs="Times New Roman" w:eastAsiaTheme="minorEastAsia"/>
          <w:color w:val="000000" w:themeColor="text1"/>
          <w:sz w:val="28"/>
          <w:szCs w:val="28"/>
          <w14:textFill>
            <w14:solidFill>
              <w14:schemeClr w14:val="tx1"/>
            </w14:solidFill>
          </w14:textFill>
        </w:rPr>
        <w:t>开采回采率</w:t>
      </w:r>
    </w:p>
    <w:p w14:paraId="37B1AC41">
      <w:pPr>
        <w:pStyle w:val="12"/>
        <w:spacing w:line="360" w:lineRule="auto"/>
        <w:ind w:firstLine="560" w:firstLineChars="200"/>
        <w:rPr>
          <w:rFonts w:hint="default" w:ascii="Times New Roman" w:hAnsi="Times New Roman" w:cs="Times New Roman" w:eastAsiaTheme="minorEastAsia"/>
          <w:color w:val="000000" w:themeColor="text1"/>
          <w:sz w:val="28"/>
          <w:szCs w:val="28"/>
          <w14:textFill>
            <w14:solidFill>
              <w14:schemeClr w14:val="tx1"/>
            </w14:solidFill>
          </w14:textFill>
        </w:rPr>
      </w:pPr>
      <w:r>
        <w:rPr>
          <w:rFonts w:hint="default" w:ascii="Times New Roman" w:hAnsi="Times New Roman" w:cs="Times New Roman" w:eastAsiaTheme="minorEastAsia"/>
          <w:color w:val="000000" w:themeColor="text1"/>
          <w:sz w:val="28"/>
          <w:szCs w:val="28"/>
          <w14:textFill>
            <w14:solidFill>
              <w14:schemeClr w14:val="tx1"/>
            </w14:solidFill>
          </w14:textFill>
        </w:rPr>
        <w:t>设计开采回采率为95%，矿石贫化率0%。</w:t>
      </w:r>
    </w:p>
    <w:p w14:paraId="423F13C8">
      <w:pPr>
        <w:pStyle w:val="12"/>
        <w:spacing w:line="360" w:lineRule="auto"/>
        <w:ind w:firstLine="560" w:firstLineChars="200"/>
        <w:rPr>
          <w:rFonts w:hint="eastAsia" w:ascii="Times New Roman" w:hAnsi="Times New Roman" w:cs="Times New Roman" w:eastAsiaTheme="minorEastAsia"/>
          <w:color w:val="000000" w:themeColor="text1"/>
          <w:sz w:val="28"/>
          <w:szCs w:val="28"/>
          <w:lang w:val="en-US" w:eastAsia="zh-CN"/>
          <w14:textFill>
            <w14:solidFill>
              <w14:schemeClr w14:val="tx1"/>
            </w14:solidFill>
          </w14:textFill>
        </w:rPr>
      </w:pPr>
      <w:r>
        <w:rPr>
          <w:rFonts w:hint="eastAsia" w:cs="Times New Roman" w:eastAsiaTheme="minorEastAsia"/>
          <w:color w:val="000000" w:themeColor="text1"/>
          <w:sz w:val="28"/>
          <w:szCs w:val="28"/>
          <w:lang w:val="en-US" w:eastAsia="zh-CN"/>
          <w14:textFill>
            <w14:solidFill>
              <w14:schemeClr w14:val="tx1"/>
            </w14:solidFill>
          </w14:textFill>
        </w:rPr>
        <w:t>6、防治水方案</w:t>
      </w:r>
    </w:p>
    <w:p w14:paraId="45369F78">
      <w:pPr>
        <w:pStyle w:val="12"/>
        <w:spacing w:line="360" w:lineRule="auto"/>
        <w:ind w:firstLine="560" w:firstLineChars="200"/>
        <w:rPr>
          <w:rFonts w:hint="default" w:ascii="Times New Roman" w:hAnsi="Times New Roman" w:cs="Times New Roman" w:eastAsiaTheme="minorEastAsia"/>
          <w:color w:val="000000" w:themeColor="text1"/>
          <w:sz w:val="28"/>
          <w:szCs w:val="28"/>
          <w14:textFill>
            <w14:solidFill>
              <w14:schemeClr w14:val="tx1"/>
            </w14:solidFill>
          </w14:textFill>
        </w:rPr>
      </w:pPr>
      <w:r>
        <w:rPr>
          <w:rFonts w:hint="eastAsia" w:cs="Times New Roman" w:eastAsiaTheme="minorEastAsia"/>
          <w:color w:val="000000" w:themeColor="text1"/>
          <w:sz w:val="28"/>
          <w:szCs w:val="28"/>
          <w:lang w:eastAsia="zh-CN"/>
          <w14:textFill>
            <w14:solidFill>
              <w14:schemeClr w14:val="tx1"/>
            </w14:solidFill>
          </w14:textFill>
        </w:rPr>
        <w:t>（</w:t>
      </w:r>
      <w:r>
        <w:rPr>
          <w:rFonts w:hint="eastAsia" w:cs="Times New Roman" w:eastAsiaTheme="minorEastAsia"/>
          <w:color w:val="000000" w:themeColor="text1"/>
          <w:sz w:val="28"/>
          <w:szCs w:val="28"/>
          <w:lang w:val="en-US" w:eastAsia="zh-CN"/>
          <w14:textFill>
            <w14:solidFill>
              <w14:schemeClr w14:val="tx1"/>
            </w14:solidFill>
          </w14:textFill>
        </w:rPr>
        <w:t>1</w:t>
      </w:r>
      <w:r>
        <w:rPr>
          <w:rFonts w:hint="eastAsia" w:cs="Times New Roman" w:eastAsiaTheme="minorEastAsia"/>
          <w:color w:val="000000" w:themeColor="text1"/>
          <w:sz w:val="28"/>
          <w:szCs w:val="28"/>
          <w:lang w:eastAsia="zh-CN"/>
          <w14:textFill>
            <w14:solidFill>
              <w14:schemeClr w14:val="tx1"/>
            </w14:solidFill>
          </w14:textFill>
        </w:rPr>
        <w:t>）</w:t>
      </w:r>
      <w:r>
        <w:rPr>
          <w:rFonts w:hint="default" w:ascii="Times New Roman" w:hAnsi="Times New Roman" w:cs="Times New Roman" w:eastAsiaTheme="minorEastAsia"/>
          <w:color w:val="000000" w:themeColor="text1"/>
          <w:sz w:val="28"/>
          <w:szCs w:val="28"/>
          <w14:textFill>
            <w14:solidFill>
              <w14:schemeClr w14:val="tx1"/>
            </w14:solidFill>
          </w14:textFill>
        </w:rPr>
        <w:t>地表防治水</w:t>
      </w:r>
    </w:p>
    <w:p w14:paraId="78A83114">
      <w:pPr>
        <w:pStyle w:val="12"/>
        <w:spacing w:line="360" w:lineRule="auto"/>
        <w:ind w:firstLine="560" w:firstLineChars="200"/>
        <w:rPr>
          <w:rFonts w:hint="default" w:ascii="Times New Roman" w:hAnsi="Times New Roman" w:cs="Times New Roman" w:eastAsiaTheme="minorEastAsia"/>
          <w:color w:val="000000" w:themeColor="text1"/>
          <w:sz w:val="28"/>
          <w:szCs w:val="28"/>
          <w14:textFill>
            <w14:solidFill>
              <w14:schemeClr w14:val="tx1"/>
            </w14:solidFill>
          </w14:textFill>
        </w:rPr>
      </w:pPr>
      <w:r>
        <w:rPr>
          <w:rFonts w:hint="eastAsia" w:cs="Times New Roman" w:eastAsiaTheme="minorEastAsia"/>
          <w:color w:val="000000" w:themeColor="text1"/>
          <w:sz w:val="28"/>
          <w:szCs w:val="28"/>
          <w:lang w:val="en-US" w:eastAsia="zh-CN"/>
          <w14:textFill>
            <w14:solidFill>
              <w14:schemeClr w14:val="tx1"/>
            </w14:solidFill>
          </w14:textFill>
        </w:rPr>
        <w:t>矿区</w:t>
      </w:r>
      <w:r>
        <w:rPr>
          <w:rFonts w:hint="default" w:ascii="Times New Roman" w:hAnsi="Times New Roman" w:cs="Times New Roman" w:eastAsiaTheme="minorEastAsia"/>
          <w:color w:val="000000" w:themeColor="text1"/>
          <w:sz w:val="28"/>
          <w:szCs w:val="28"/>
          <w14:textFill>
            <w14:solidFill>
              <w14:schemeClr w14:val="tx1"/>
            </w14:solidFill>
          </w14:textFill>
        </w:rPr>
        <w:t>属丘陵区，</w:t>
      </w:r>
      <w:r>
        <w:rPr>
          <w:rFonts w:hint="eastAsia" w:cs="Times New Roman" w:eastAsiaTheme="minorEastAsia"/>
          <w:color w:val="000000" w:themeColor="text1"/>
          <w:sz w:val="28"/>
          <w:szCs w:val="28"/>
          <w:lang w:val="en-US" w:eastAsia="zh-CN"/>
          <w14:textFill>
            <w14:solidFill>
              <w14:schemeClr w14:val="tx1"/>
            </w14:solidFill>
          </w14:textFill>
        </w:rPr>
        <w:t>矿区</w:t>
      </w:r>
      <w:r>
        <w:rPr>
          <w:rFonts w:hint="default" w:ascii="Times New Roman" w:hAnsi="Times New Roman" w:cs="Times New Roman" w:eastAsiaTheme="minorEastAsia"/>
          <w:color w:val="000000" w:themeColor="text1"/>
          <w:sz w:val="28"/>
          <w:szCs w:val="28"/>
          <w14:textFill>
            <w14:solidFill>
              <w14:schemeClr w14:val="tx1"/>
            </w14:solidFill>
          </w14:textFill>
        </w:rPr>
        <w:t>内最高海拔标高489.06m，最低海拔标高478m，相对高差11.06m。总体地势西高东低。地形呈缓坡，植被不发育，水系不发育、无常年地表水体，地表水排泄较好。矿区汇水面积较大，仅在丰雨季节有短暂的地表径流。为减少采场外汇聚雨水对采场影响，方案设计在露天采场西侧、南侧、东侧上游设置截水沟，把采场外汇水截排至采场外侧，设计截水沟长约1000m，方案设计水沟断面尺寸为B×H=</w:t>
      </w:r>
      <w:r>
        <w:rPr>
          <w:rFonts w:hint="eastAsia" w:cs="Times New Roman" w:eastAsiaTheme="minorEastAsia"/>
          <w:color w:val="000000" w:themeColor="text1"/>
          <w:sz w:val="28"/>
          <w:szCs w:val="28"/>
          <w:lang w:eastAsia="zh-CN"/>
          <w14:textFill>
            <w14:solidFill>
              <w14:schemeClr w14:val="tx1"/>
            </w14:solidFill>
          </w14:textFill>
        </w:rPr>
        <w:t>（</w:t>
      </w:r>
      <w:r>
        <w:rPr>
          <w:rFonts w:hint="default" w:ascii="Times New Roman" w:hAnsi="Times New Roman" w:cs="Times New Roman" w:eastAsiaTheme="minorEastAsia"/>
          <w:color w:val="000000" w:themeColor="text1"/>
          <w:sz w:val="28"/>
          <w:szCs w:val="28"/>
          <w14:textFill>
            <w14:solidFill>
              <w14:schemeClr w14:val="tx1"/>
            </w14:solidFill>
          </w14:textFill>
        </w:rPr>
        <w:t>上口0.8m，下底0.4m</w:t>
      </w:r>
      <w:r>
        <w:rPr>
          <w:rFonts w:hint="eastAsia" w:cs="Times New Roman" w:eastAsiaTheme="minorEastAsia"/>
          <w:color w:val="000000" w:themeColor="text1"/>
          <w:sz w:val="28"/>
          <w:szCs w:val="28"/>
          <w:lang w:eastAsia="zh-CN"/>
          <w14:textFill>
            <w14:solidFill>
              <w14:schemeClr w14:val="tx1"/>
            </w14:solidFill>
          </w14:textFill>
        </w:rPr>
        <w:t>）</w:t>
      </w:r>
      <w:r>
        <w:rPr>
          <w:rFonts w:hint="default" w:ascii="Times New Roman" w:hAnsi="Times New Roman" w:cs="Times New Roman" w:eastAsiaTheme="minorEastAsia"/>
          <w:color w:val="000000" w:themeColor="text1"/>
          <w:sz w:val="28"/>
          <w:szCs w:val="28"/>
          <w14:textFill>
            <w14:solidFill>
              <w14:schemeClr w14:val="tx1"/>
            </w14:solidFill>
          </w14:textFill>
        </w:rPr>
        <w:t>×0.5m，最小坡度i=0.3%。</w:t>
      </w:r>
    </w:p>
    <w:p w14:paraId="2C8B131B">
      <w:pPr>
        <w:pStyle w:val="12"/>
        <w:spacing w:line="360" w:lineRule="auto"/>
        <w:ind w:firstLine="560" w:firstLineChars="200"/>
        <w:rPr>
          <w:rFonts w:hint="default" w:ascii="Times New Roman" w:hAnsi="Times New Roman" w:cs="Times New Roman" w:eastAsiaTheme="minorEastAsia"/>
          <w:color w:val="000000" w:themeColor="text1"/>
          <w:sz w:val="28"/>
          <w:szCs w:val="28"/>
          <w14:textFill>
            <w14:solidFill>
              <w14:schemeClr w14:val="tx1"/>
            </w14:solidFill>
          </w14:textFill>
        </w:rPr>
      </w:pPr>
      <w:r>
        <w:rPr>
          <w:rFonts w:hint="eastAsia" w:cs="Times New Roman" w:eastAsiaTheme="minorEastAsia"/>
          <w:color w:val="000000" w:themeColor="text1"/>
          <w:sz w:val="28"/>
          <w:szCs w:val="28"/>
          <w:lang w:eastAsia="zh-CN"/>
          <w14:textFill>
            <w14:solidFill>
              <w14:schemeClr w14:val="tx1"/>
            </w14:solidFill>
          </w14:textFill>
        </w:rPr>
        <w:t>（</w:t>
      </w:r>
      <w:r>
        <w:rPr>
          <w:rFonts w:hint="eastAsia" w:cs="Times New Roman" w:eastAsiaTheme="minorEastAsia"/>
          <w:color w:val="000000" w:themeColor="text1"/>
          <w:sz w:val="28"/>
          <w:szCs w:val="28"/>
          <w:lang w:val="en-US" w:eastAsia="zh-CN"/>
          <w14:textFill>
            <w14:solidFill>
              <w14:schemeClr w14:val="tx1"/>
            </w14:solidFill>
          </w14:textFill>
        </w:rPr>
        <w:t>2</w:t>
      </w:r>
      <w:r>
        <w:rPr>
          <w:rFonts w:hint="eastAsia" w:cs="Times New Roman" w:eastAsiaTheme="minorEastAsia"/>
          <w:color w:val="000000" w:themeColor="text1"/>
          <w:sz w:val="28"/>
          <w:szCs w:val="28"/>
          <w:lang w:eastAsia="zh-CN"/>
          <w14:textFill>
            <w14:solidFill>
              <w14:schemeClr w14:val="tx1"/>
            </w14:solidFill>
          </w14:textFill>
        </w:rPr>
        <w:t>）</w:t>
      </w:r>
      <w:r>
        <w:rPr>
          <w:rFonts w:hint="default" w:ascii="Times New Roman" w:hAnsi="Times New Roman" w:cs="Times New Roman" w:eastAsiaTheme="minorEastAsia"/>
          <w:color w:val="000000" w:themeColor="text1"/>
          <w:sz w:val="28"/>
          <w:szCs w:val="28"/>
          <w14:textFill>
            <w14:solidFill>
              <w14:schemeClr w14:val="tx1"/>
            </w14:solidFill>
          </w14:textFill>
        </w:rPr>
        <w:t>坑内防治水</w:t>
      </w:r>
    </w:p>
    <w:p w14:paraId="700616BB">
      <w:pPr>
        <w:pStyle w:val="12"/>
        <w:spacing w:line="360" w:lineRule="auto"/>
        <w:ind w:firstLine="560" w:firstLineChars="200"/>
        <w:rPr>
          <w:rFonts w:hint="default" w:ascii="Times New Roman" w:hAnsi="Times New Roman" w:cs="Times New Roman" w:eastAsiaTheme="minorEastAsia"/>
          <w:color w:val="000000" w:themeColor="text1"/>
          <w:sz w:val="28"/>
          <w:szCs w:val="28"/>
          <w14:textFill>
            <w14:solidFill>
              <w14:schemeClr w14:val="tx1"/>
            </w14:solidFill>
          </w14:textFill>
        </w:rPr>
      </w:pPr>
      <w:r>
        <w:rPr>
          <w:rFonts w:hint="default" w:ascii="Times New Roman" w:hAnsi="Times New Roman" w:cs="Times New Roman" w:eastAsiaTheme="minorEastAsia"/>
          <w:color w:val="000000" w:themeColor="text1"/>
          <w:sz w:val="28"/>
          <w:szCs w:val="28"/>
          <w14:textFill>
            <w14:solidFill>
              <w14:schemeClr w14:val="tx1"/>
            </w14:solidFill>
          </w14:textFill>
        </w:rPr>
        <w:t>设计采场为深凹露天开采，采场内各水平均为深凹露天开采，雨季采场内积水通过设置储水池及固定泵站，由水泵将积水排至储水池，沉淀后用于矿山采矿用水和厂区平时的绿化和防尘。储水池设计长×宽×深=15m×10m×2m，坡角45</w:t>
      </w:r>
      <w:r>
        <w:rPr>
          <w:rFonts w:hint="eastAsia" w:cs="Times New Roman" w:eastAsiaTheme="minorEastAsia"/>
          <w:color w:val="000000" w:themeColor="text1"/>
          <w:sz w:val="28"/>
          <w:szCs w:val="28"/>
          <w:lang w:val="en-US" w:eastAsia="zh-CN"/>
          <w14:textFill>
            <w14:solidFill>
              <w14:schemeClr w14:val="tx1"/>
            </w14:solidFill>
          </w14:textFill>
        </w:rPr>
        <w:t>°</w:t>
      </w:r>
      <w:r>
        <w:rPr>
          <w:rFonts w:hint="default" w:ascii="Times New Roman" w:hAnsi="Times New Roman" w:cs="Times New Roman" w:eastAsiaTheme="minorEastAsia"/>
          <w:color w:val="000000" w:themeColor="text1"/>
          <w:sz w:val="28"/>
          <w:szCs w:val="28"/>
          <w14:textFill>
            <w14:solidFill>
              <w14:schemeClr w14:val="tx1"/>
            </w14:solidFill>
          </w14:textFill>
        </w:rPr>
        <w:t>容量约240m</w:t>
      </w:r>
      <w:r>
        <w:rPr>
          <w:rFonts w:hint="default" w:ascii="Times New Roman" w:hAnsi="Times New Roman" w:cs="Times New Roman" w:eastAsiaTheme="minorEastAsia"/>
          <w:color w:val="000000" w:themeColor="text1"/>
          <w:sz w:val="28"/>
          <w:szCs w:val="28"/>
          <w:vertAlign w:val="superscript"/>
          <w14:textFill>
            <w14:solidFill>
              <w14:schemeClr w14:val="tx1"/>
            </w14:solidFill>
          </w14:textFill>
        </w:rPr>
        <w:t>3</w:t>
      </w:r>
      <w:r>
        <w:rPr>
          <w:rFonts w:hint="default" w:ascii="Times New Roman" w:hAnsi="Times New Roman" w:cs="Times New Roman" w:eastAsiaTheme="minorEastAsia"/>
          <w:color w:val="000000" w:themeColor="text1"/>
          <w:sz w:val="28"/>
          <w:szCs w:val="28"/>
          <w14:textFill>
            <w14:solidFill>
              <w14:schemeClr w14:val="tx1"/>
            </w14:solidFill>
          </w14:textFill>
        </w:rPr>
        <w:t>。</w:t>
      </w:r>
    </w:p>
    <w:p w14:paraId="32295506">
      <w:pPr>
        <w:pStyle w:val="12"/>
        <w:spacing w:line="360" w:lineRule="auto"/>
        <w:ind w:firstLine="560" w:firstLineChars="200"/>
        <w:rPr>
          <w:rFonts w:hint="default" w:ascii="Times New Roman" w:hAnsi="Times New Roman" w:cs="Times New Roman" w:eastAsiaTheme="minorEastAsia"/>
          <w:color w:val="000000" w:themeColor="text1"/>
          <w:sz w:val="28"/>
          <w:szCs w:val="28"/>
          <w14:textFill>
            <w14:solidFill>
              <w14:schemeClr w14:val="tx1"/>
            </w14:solidFill>
          </w14:textFill>
        </w:rPr>
      </w:pPr>
      <w:r>
        <w:rPr>
          <w:rFonts w:hint="default" w:ascii="Times New Roman" w:hAnsi="Times New Roman" w:cs="Times New Roman" w:eastAsiaTheme="minorEastAsia"/>
          <w:color w:val="000000" w:themeColor="text1"/>
          <w:sz w:val="28"/>
          <w:szCs w:val="28"/>
          <w14:textFill>
            <w14:solidFill>
              <w14:schemeClr w14:val="tx1"/>
            </w14:solidFill>
          </w14:textFill>
        </w:rPr>
        <w:t>另外，要求矿山制定严密可行的防治水预案，确保在任何情况下生产安全。</w:t>
      </w:r>
    </w:p>
    <w:p w14:paraId="04A00582">
      <w:pPr>
        <w:pStyle w:val="12"/>
        <w:spacing w:line="360" w:lineRule="auto"/>
        <w:ind w:firstLine="560" w:firstLineChars="200"/>
        <w:rPr>
          <w:rFonts w:hint="eastAsia" w:ascii="Times New Roman" w:hAnsi="Times New Roman" w:cs="Times New Roman" w:eastAsiaTheme="minorEastAsia"/>
          <w:color w:val="000000" w:themeColor="text1"/>
          <w:sz w:val="28"/>
          <w:szCs w:val="28"/>
          <w:lang w:val="en-US" w:eastAsia="zh-CN"/>
          <w14:textFill>
            <w14:solidFill>
              <w14:schemeClr w14:val="tx1"/>
            </w14:solidFill>
          </w14:textFill>
        </w:rPr>
      </w:pPr>
      <w:r>
        <w:rPr>
          <w:rFonts w:hint="eastAsia" w:cs="Times New Roman" w:eastAsiaTheme="minorEastAsia"/>
          <w:color w:val="000000" w:themeColor="text1"/>
          <w:sz w:val="28"/>
          <w:szCs w:val="28"/>
          <w:lang w:val="en-US" w:eastAsia="zh-CN"/>
          <w14:textFill>
            <w14:solidFill>
              <w14:schemeClr w14:val="tx1"/>
            </w14:solidFill>
          </w14:textFill>
        </w:rPr>
        <w:t>7、矿山固体废弃物和废水的排放量及处置情况</w:t>
      </w:r>
    </w:p>
    <w:p w14:paraId="2B6391DC">
      <w:pPr>
        <w:pStyle w:val="12"/>
        <w:spacing w:line="360" w:lineRule="auto"/>
        <w:ind w:firstLine="560" w:firstLineChars="200"/>
        <w:rPr>
          <w:rFonts w:hint="default" w:ascii="Times New Roman" w:hAnsi="Times New Roman" w:cs="Times New Roman" w:eastAsiaTheme="minorEastAsia"/>
          <w:color w:val="000000" w:themeColor="text1"/>
          <w:sz w:val="28"/>
          <w:szCs w:val="28"/>
          <w14:textFill>
            <w14:solidFill>
              <w14:schemeClr w14:val="tx1"/>
            </w14:solidFill>
          </w14:textFill>
        </w:rPr>
      </w:pPr>
      <w:r>
        <w:rPr>
          <w:rFonts w:hint="eastAsia" w:cs="Times New Roman" w:eastAsiaTheme="minorEastAsia"/>
          <w:color w:val="000000" w:themeColor="text1"/>
          <w:sz w:val="28"/>
          <w:szCs w:val="28"/>
          <w:lang w:eastAsia="zh-CN"/>
          <w14:textFill>
            <w14:solidFill>
              <w14:schemeClr w14:val="tx1"/>
            </w14:solidFill>
          </w14:textFill>
        </w:rPr>
        <w:t>（</w:t>
      </w:r>
      <w:r>
        <w:rPr>
          <w:rFonts w:hint="eastAsia" w:cs="Times New Roman" w:eastAsiaTheme="minorEastAsia"/>
          <w:color w:val="000000" w:themeColor="text1"/>
          <w:sz w:val="28"/>
          <w:szCs w:val="28"/>
          <w:lang w:val="en-US" w:eastAsia="zh-CN"/>
          <w14:textFill>
            <w14:solidFill>
              <w14:schemeClr w14:val="tx1"/>
            </w14:solidFill>
          </w14:textFill>
        </w:rPr>
        <w:t>1</w:t>
      </w:r>
      <w:r>
        <w:rPr>
          <w:rFonts w:hint="eastAsia" w:cs="Times New Roman" w:eastAsiaTheme="minorEastAsia"/>
          <w:color w:val="000000" w:themeColor="text1"/>
          <w:sz w:val="28"/>
          <w:szCs w:val="28"/>
          <w:lang w:eastAsia="zh-CN"/>
          <w14:textFill>
            <w14:solidFill>
              <w14:schemeClr w14:val="tx1"/>
            </w14:solidFill>
          </w14:textFill>
        </w:rPr>
        <w:t>）</w:t>
      </w:r>
      <w:r>
        <w:rPr>
          <w:rFonts w:hint="default" w:ascii="Times New Roman" w:hAnsi="Times New Roman" w:cs="Times New Roman" w:eastAsiaTheme="minorEastAsia"/>
          <w:color w:val="000000" w:themeColor="text1"/>
          <w:sz w:val="28"/>
          <w:szCs w:val="28"/>
          <w14:textFill>
            <w14:solidFill>
              <w14:schemeClr w14:val="tx1"/>
            </w14:solidFill>
          </w14:textFill>
        </w:rPr>
        <w:t>固体废弃物</w:t>
      </w:r>
      <w:r>
        <w:rPr>
          <w:rFonts w:hint="eastAsia" w:cs="Times New Roman" w:eastAsiaTheme="minorEastAsia"/>
          <w:color w:val="000000" w:themeColor="text1"/>
          <w:sz w:val="28"/>
          <w:szCs w:val="28"/>
          <w:lang w:val="en-US" w:eastAsia="zh-CN"/>
          <w14:textFill>
            <w14:solidFill>
              <w14:schemeClr w14:val="tx1"/>
            </w14:solidFill>
          </w14:textFill>
        </w:rPr>
        <w:t>排放量及处置情况</w:t>
      </w:r>
    </w:p>
    <w:p w14:paraId="1F72052B">
      <w:pPr>
        <w:pStyle w:val="12"/>
        <w:spacing w:line="360" w:lineRule="auto"/>
        <w:ind w:firstLine="560" w:firstLineChars="200"/>
        <w:rPr>
          <w:rFonts w:hint="default" w:ascii="Times New Roman" w:hAnsi="Times New Roman" w:cs="Times New Roman" w:eastAsiaTheme="minorEastAsia"/>
          <w:color w:val="000000" w:themeColor="text1"/>
          <w:sz w:val="28"/>
          <w:szCs w:val="28"/>
          <w14:textFill>
            <w14:solidFill>
              <w14:schemeClr w14:val="tx1"/>
            </w14:solidFill>
          </w14:textFill>
        </w:rPr>
      </w:pPr>
      <w:r>
        <w:rPr>
          <w:rFonts w:hint="eastAsia" w:cs="Times New Roman" w:eastAsiaTheme="minorEastAsia"/>
          <w:color w:val="000000" w:themeColor="text1"/>
          <w:sz w:val="28"/>
          <w:szCs w:val="28"/>
          <w:lang w:val="en-US" w:eastAsia="zh-CN"/>
          <w14:textFill>
            <w14:solidFill>
              <w14:schemeClr w14:val="tx1"/>
            </w14:solidFill>
          </w14:textFill>
        </w:rPr>
        <w:t>矿山主要</w:t>
      </w:r>
      <w:r>
        <w:rPr>
          <w:rFonts w:hint="default" w:ascii="Times New Roman" w:hAnsi="Times New Roman" w:cs="Times New Roman" w:eastAsiaTheme="minorEastAsia"/>
          <w:color w:val="000000" w:themeColor="text1"/>
          <w:sz w:val="28"/>
          <w:szCs w:val="28"/>
          <w14:textFill>
            <w14:solidFill>
              <w14:schemeClr w14:val="tx1"/>
            </w14:solidFill>
          </w14:textFill>
        </w:rPr>
        <w:t>固体废弃物</w:t>
      </w:r>
      <w:r>
        <w:rPr>
          <w:rFonts w:hint="eastAsia" w:cs="Times New Roman" w:eastAsiaTheme="minorEastAsia"/>
          <w:color w:val="000000" w:themeColor="text1"/>
          <w:sz w:val="28"/>
          <w:szCs w:val="28"/>
          <w:lang w:val="en-US" w:eastAsia="zh-CN"/>
          <w14:textFill>
            <w14:solidFill>
              <w14:schemeClr w14:val="tx1"/>
            </w14:solidFill>
          </w14:textFill>
        </w:rPr>
        <w:t>为矿山露天开采剥离的表土层，《</w:t>
      </w:r>
      <w:r>
        <w:rPr>
          <w:rFonts w:hint="default" w:ascii="Times New Roman" w:hAnsi="Times New Roman" w:eastAsia="宋体" w:cs="Times New Roman"/>
          <w:color w:val="000000" w:themeColor="text1"/>
          <w:sz w:val="28"/>
          <w:szCs w:val="28"/>
          <w14:textFill>
            <w14:solidFill>
              <w14:schemeClr w14:val="tx1"/>
            </w14:solidFill>
          </w14:textFill>
        </w:rPr>
        <w:t>开发与治理综合方案</w:t>
      </w:r>
      <w:r>
        <w:rPr>
          <w:rFonts w:hint="eastAsia" w:cs="Times New Roman" w:eastAsiaTheme="minorEastAsia"/>
          <w:color w:val="000000" w:themeColor="text1"/>
          <w:sz w:val="28"/>
          <w:szCs w:val="28"/>
          <w:lang w:val="en-US" w:eastAsia="zh-CN"/>
          <w14:textFill>
            <w14:solidFill>
              <w14:schemeClr w14:val="tx1"/>
            </w14:solidFill>
          </w14:textFill>
        </w:rPr>
        <w:t>》设计</w:t>
      </w:r>
      <w:r>
        <w:rPr>
          <w:rFonts w:hint="default" w:ascii="Times New Roman" w:hAnsi="Times New Roman" w:eastAsia="宋体" w:cs="Times New Roman"/>
          <w:color w:val="000000" w:themeColor="text1"/>
          <w:sz w:val="28"/>
          <w:szCs w:val="28"/>
          <w14:textFill>
            <w14:solidFill>
              <w14:schemeClr w14:val="tx1"/>
            </w14:solidFill>
          </w14:textFill>
        </w:rPr>
        <w:t>剥离</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表土</w:t>
      </w:r>
      <w:r>
        <w:rPr>
          <w:rFonts w:hint="default" w:ascii="Times New Roman" w:hAnsi="Times New Roman" w:eastAsia="宋体" w:cs="Times New Roman"/>
          <w:color w:val="000000" w:themeColor="text1"/>
          <w:sz w:val="28"/>
          <w:szCs w:val="28"/>
          <w14:textFill>
            <w14:solidFill>
              <w14:schemeClr w14:val="tx1"/>
            </w14:solidFill>
          </w14:textFill>
        </w:rPr>
        <w:t>总面积4.6127hm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，剥离厚度1m，剥离工程量46127m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color w:val="000000" w:themeColor="text1"/>
          <w:sz w:val="28"/>
          <w:szCs w:val="28"/>
          <w14:textFill>
            <w14:solidFill>
              <w14:schemeClr w14:val="tx1"/>
            </w14:solidFill>
          </w14:textFill>
        </w:rPr>
        <w:t>。</w:t>
      </w:r>
      <w:r>
        <w:rPr>
          <w:rFonts w:hint="eastAsia" w:cs="Times New Roman" w:eastAsiaTheme="minorEastAsia"/>
          <w:color w:val="000000" w:themeColor="text1"/>
          <w:sz w:val="28"/>
          <w:szCs w:val="28"/>
          <w:lang w:val="en-US" w:eastAsia="zh-CN"/>
          <w14:textFill>
            <w14:solidFill>
              <w14:schemeClr w14:val="tx1"/>
            </w14:solidFill>
          </w14:textFill>
        </w:rPr>
        <w:t>剥离的表土集中堆存至表土存放场内，</w:t>
      </w:r>
      <w:r>
        <w:rPr>
          <w:rFonts w:hint="default" w:ascii="Times New Roman" w:hAnsi="Times New Roman" w:cs="Times New Roman" w:eastAsiaTheme="minorEastAsia"/>
          <w:color w:val="000000" w:themeColor="text1"/>
          <w:sz w:val="28"/>
          <w:szCs w:val="28"/>
          <w14:textFill>
            <w14:solidFill>
              <w14:schemeClr w14:val="tx1"/>
            </w14:solidFill>
          </w14:textFill>
        </w:rPr>
        <w:t>用于矿</w:t>
      </w:r>
      <w:r>
        <w:rPr>
          <w:rFonts w:hint="eastAsia" w:cs="Times New Roman" w:eastAsiaTheme="minorEastAsia"/>
          <w:color w:val="000000" w:themeColor="text1"/>
          <w:sz w:val="28"/>
          <w:szCs w:val="28"/>
          <w:lang w:val="en-US" w:eastAsia="zh-CN"/>
          <w14:textFill>
            <w14:solidFill>
              <w14:schemeClr w14:val="tx1"/>
            </w14:solidFill>
          </w14:textFill>
        </w:rPr>
        <w:t>区生态修复</w:t>
      </w:r>
      <w:r>
        <w:rPr>
          <w:rFonts w:hint="default" w:ascii="Times New Roman" w:hAnsi="Times New Roman" w:cs="Times New Roman" w:eastAsiaTheme="minorEastAsia"/>
          <w:color w:val="000000" w:themeColor="text1"/>
          <w:sz w:val="28"/>
          <w:szCs w:val="28"/>
          <w14:textFill>
            <w14:solidFill>
              <w14:schemeClr w14:val="tx1"/>
            </w14:solidFill>
          </w14:textFill>
        </w:rPr>
        <w:t>过程中的回填、垫坡工程。</w:t>
      </w:r>
    </w:p>
    <w:p w14:paraId="27186068">
      <w:pPr>
        <w:pStyle w:val="12"/>
        <w:spacing w:line="360" w:lineRule="auto"/>
        <w:ind w:firstLine="560" w:firstLineChars="200"/>
        <w:rPr>
          <w:rFonts w:hint="default" w:ascii="Times New Roman" w:hAnsi="Times New Roman" w:cs="Times New Roman" w:eastAsiaTheme="minorEastAsia"/>
          <w:color w:val="000000" w:themeColor="text1"/>
          <w:sz w:val="28"/>
          <w:szCs w:val="28"/>
          <w14:textFill>
            <w14:solidFill>
              <w14:schemeClr w14:val="tx1"/>
            </w14:solidFill>
          </w14:textFill>
        </w:rPr>
      </w:pPr>
      <w:r>
        <w:rPr>
          <w:rFonts w:hint="default" w:ascii="Times New Roman" w:hAnsi="Times New Roman" w:cs="Times New Roman" w:eastAsiaTheme="minorEastAsia"/>
          <w:color w:val="000000" w:themeColor="text1"/>
          <w:sz w:val="28"/>
          <w:szCs w:val="28"/>
          <w14:textFill>
            <w14:solidFill>
              <w14:schemeClr w14:val="tx1"/>
            </w14:solidFill>
          </w14:textFill>
        </w:rPr>
        <w:t>（</w:t>
      </w:r>
      <w:r>
        <w:rPr>
          <w:rFonts w:hint="eastAsia" w:cs="Times New Roman" w:eastAsiaTheme="minorEastAsia"/>
          <w:color w:val="000000" w:themeColor="text1"/>
          <w:sz w:val="28"/>
          <w:szCs w:val="28"/>
          <w:lang w:val="en-US" w:eastAsia="zh-CN"/>
          <w14:textFill>
            <w14:solidFill>
              <w14:schemeClr w14:val="tx1"/>
            </w14:solidFill>
          </w14:textFill>
        </w:rPr>
        <w:t>2</w:t>
      </w:r>
      <w:r>
        <w:rPr>
          <w:rFonts w:hint="default" w:ascii="Times New Roman" w:hAnsi="Times New Roman" w:cs="Times New Roman" w:eastAsiaTheme="minorEastAsia"/>
          <w:color w:val="000000" w:themeColor="text1"/>
          <w:sz w:val="28"/>
          <w:szCs w:val="28"/>
          <w14:textFill>
            <w14:solidFill>
              <w14:schemeClr w14:val="tx1"/>
            </w14:solidFill>
          </w14:textFill>
        </w:rPr>
        <w:t>）</w:t>
      </w:r>
      <w:r>
        <w:rPr>
          <w:rFonts w:hint="eastAsia" w:cs="Times New Roman" w:eastAsiaTheme="minorEastAsia"/>
          <w:color w:val="000000" w:themeColor="text1"/>
          <w:sz w:val="28"/>
          <w:szCs w:val="28"/>
          <w:lang w:val="en-US" w:eastAsia="zh-CN"/>
          <w14:textFill>
            <w14:solidFill>
              <w14:schemeClr w14:val="tx1"/>
            </w14:solidFill>
          </w14:textFill>
        </w:rPr>
        <w:t>废水的排放及处置情况</w:t>
      </w:r>
    </w:p>
    <w:p w14:paraId="5AA6433D">
      <w:pPr>
        <w:pStyle w:val="12"/>
        <w:spacing w:line="360" w:lineRule="auto"/>
        <w:ind w:firstLine="560" w:firstLineChars="200"/>
        <w:rPr>
          <w:rFonts w:hint="default" w:ascii="Times New Roman" w:hAnsi="Times New Roman" w:cs="Times New Roman" w:eastAsiaTheme="minorEastAsia"/>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矿山废水主要为生活废水。生活污水主要为洗漱废水及排泄物所组成。生活污水排放量较小，成分简单，用于生产绿化。</w:t>
      </w:r>
    </w:p>
    <w:p w14:paraId="7BF0E52F">
      <w:pPr>
        <w:pStyle w:val="12"/>
        <w:spacing w:line="360" w:lineRule="auto"/>
        <w:ind w:firstLine="560" w:firstLineChars="200"/>
        <w:rPr>
          <w:rFonts w:hint="eastAsia" w:ascii="Times New Roman" w:hAnsi="Times New Roman" w:cs="Times New Roman" w:eastAsiaTheme="minorEastAsia"/>
          <w:color w:val="000000" w:themeColor="text1"/>
          <w:sz w:val="28"/>
          <w:szCs w:val="28"/>
          <w:lang w:val="en-US" w:eastAsia="zh-CN"/>
          <w14:textFill>
            <w14:solidFill>
              <w14:schemeClr w14:val="tx1"/>
            </w14:solidFill>
          </w14:textFill>
        </w:rPr>
      </w:pPr>
      <w:r>
        <w:rPr>
          <w:rFonts w:hint="eastAsia" w:cs="Times New Roman" w:eastAsiaTheme="minorEastAsia"/>
          <w:color w:val="000000" w:themeColor="text1"/>
          <w:sz w:val="28"/>
          <w:szCs w:val="28"/>
          <w:lang w:val="en-US" w:eastAsia="zh-CN"/>
          <w14:textFill>
            <w14:solidFill>
              <w14:schemeClr w14:val="tx1"/>
            </w14:solidFill>
          </w14:textFill>
        </w:rPr>
        <w:t>8、工程布局</w:t>
      </w:r>
    </w:p>
    <w:p w14:paraId="1DDD7708">
      <w:pPr>
        <w:pStyle w:val="12"/>
        <w:spacing w:line="360" w:lineRule="auto"/>
        <w:ind w:firstLine="560" w:firstLineChars="200"/>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1</w:t>
      </w:r>
      <w:r>
        <w:rPr>
          <w:rFonts w:hint="default" w:ascii="Times New Roman" w:hAnsi="Times New Roman"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规划的工程布局</w:t>
      </w:r>
    </w:p>
    <w:p w14:paraId="072BD2C6">
      <w:pPr>
        <w:pStyle w:val="12"/>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矿山目前已形成较为完善的地面工业场地及露天生产系统。包括原有料堆、原成品砖堆放场、原</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露天采场</w:t>
      </w:r>
      <w:r>
        <w:rPr>
          <w:rFonts w:hint="default" w:ascii="Times New Roman" w:hAnsi="Times New Roman" w:eastAsia="宋体" w:cs="Times New Roman"/>
          <w:color w:val="000000" w:themeColor="text1"/>
          <w:sz w:val="28"/>
          <w:szCs w:val="28"/>
          <w14:textFill>
            <w14:solidFill>
              <w14:schemeClr w14:val="tx1"/>
            </w14:solidFill>
          </w14:textFill>
        </w:rPr>
        <w:t>、隧道窑。</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开发与治理综合方案</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对原有隧道窑仍继续利用。本次</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拟</w:t>
      </w:r>
      <w:r>
        <w:rPr>
          <w:rFonts w:hint="default" w:ascii="Times New Roman" w:hAnsi="Times New Roman" w:eastAsia="宋体" w:cs="Times New Roman"/>
          <w:color w:val="000000" w:themeColor="text1"/>
          <w:sz w:val="28"/>
          <w:szCs w:val="28"/>
          <w14:textFill>
            <w14:solidFill>
              <w14:schemeClr w14:val="tx1"/>
            </w14:solidFill>
          </w14:textFill>
        </w:rPr>
        <w:t>新增单元为</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拟建露天采场</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1</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、拟建露天采场</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拟建成品砖堆放场、拟建表土存放场、拟建料堆、拟建矿区道路、拟建储水池。</w:t>
      </w:r>
    </w:p>
    <w:p w14:paraId="04881E9A">
      <w:pPr>
        <w:pStyle w:val="12"/>
        <w:spacing w:line="360" w:lineRule="auto"/>
        <w:ind w:firstLine="562" w:firstLineChars="200"/>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需要说明的是：矿山现状表土存放场和成品砖堆放场已建成且与设计基本一致，本方案不再新建，后期直接沿用。料堆和矿区道路已存在，经与矿业权人沟通确认，现状料堆和矿区道路已经满足生产需要，后期继续利用，不再扩建。综上所述，矿山生产最终需新建的单元为：拟建露天采场1、拟建露天采场2及拟建储水池。</w:t>
      </w:r>
    </w:p>
    <w:p w14:paraId="3D3ABD2B">
      <w:pPr>
        <w:pStyle w:val="12"/>
        <w:spacing w:line="360" w:lineRule="auto"/>
        <w:ind w:firstLine="562" w:firstLineChars="200"/>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sectPr>
          <w:pgSz w:w="11907" w:h="16840"/>
          <w:pgMar w:top="1418" w:right="1418" w:bottom="1418" w:left="1418" w:header="851" w:footer="992" w:gutter="0"/>
          <w:pgNumType w:fmt="decimal"/>
          <w:cols w:space="720" w:num="1"/>
          <w:docGrid w:linePitch="312" w:charSpace="0"/>
        </w:sectPr>
      </w:pPr>
    </w:p>
    <w:p w14:paraId="2B405922">
      <w:pPr>
        <w:pStyle w:val="12"/>
        <w:spacing w:line="360" w:lineRule="auto"/>
        <w:jc w:val="center"/>
        <w:rPr>
          <w:rFonts w:hint="eastAsia" w:cs="Times New Roman" w:eastAsiaTheme="minorEastAsia"/>
          <w:color w:val="000000" w:themeColor="text1"/>
          <w:sz w:val="24"/>
          <w:szCs w:val="24"/>
          <w:lang w:eastAsia="zh-CN"/>
          <w14:textFill>
            <w14:solidFill>
              <w14:schemeClr w14:val="tx1"/>
            </w14:solidFill>
          </w14:textFill>
        </w:rPr>
      </w:pPr>
      <w:r>
        <w:rPr>
          <w:rFonts w:hint="eastAsia" w:cs="Times New Roman" w:eastAsiaTheme="minorEastAsia"/>
          <w:color w:val="000000" w:themeColor="text1"/>
          <w:sz w:val="24"/>
          <w:szCs w:val="24"/>
          <w:lang w:eastAsia="zh-CN"/>
          <w14:textFill>
            <w14:solidFill>
              <w14:schemeClr w14:val="tx1"/>
            </w14:solidFill>
          </w14:textFill>
        </w:rPr>
        <w:t xml:space="preserve">    </w:t>
      </w:r>
    </w:p>
    <w:p w14:paraId="329AF54D">
      <w:pPr>
        <w:pStyle w:val="12"/>
        <w:spacing w:line="360" w:lineRule="auto"/>
        <w:ind w:firstLine="560" w:firstLineChars="200"/>
        <w:rPr>
          <w:rFonts w:hint="default" w:ascii="Times New Roman" w:hAnsi="Times New Roman" w:cs="Times New Roman" w:eastAsiaTheme="minorEastAsia"/>
          <w:color w:val="000000" w:themeColor="text1"/>
          <w:sz w:val="28"/>
          <w:szCs w:val="28"/>
          <w:lang w:val="en-US" w:eastAsia="zh-CN"/>
          <w14:textFill>
            <w14:solidFill>
              <w14:schemeClr w14:val="tx1"/>
            </w14:solidFill>
          </w14:textFill>
        </w:rPr>
      </w:pPr>
      <w:r>
        <w:rPr>
          <w:rFonts w:hint="eastAsia" w:cs="Times New Roman" w:eastAsiaTheme="minorEastAsia"/>
          <w:color w:val="000000" w:themeColor="text1"/>
          <w:sz w:val="28"/>
          <w:szCs w:val="28"/>
          <w:lang w:eastAsia="zh-CN"/>
          <w14:textFill>
            <w14:solidFill>
              <w14:schemeClr w14:val="tx1"/>
            </w14:solidFill>
          </w14:textFill>
        </w:rPr>
        <w:t>（</w:t>
      </w:r>
      <w:r>
        <w:rPr>
          <w:rFonts w:hint="eastAsia" w:cs="Times New Roman" w:eastAsiaTheme="minorEastAsia"/>
          <w:color w:val="000000" w:themeColor="text1"/>
          <w:sz w:val="28"/>
          <w:szCs w:val="28"/>
          <w:lang w:val="en-US" w:eastAsia="zh-CN"/>
          <w14:textFill>
            <w14:solidFill>
              <w14:schemeClr w14:val="tx1"/>
            </w14:solidFill>
          </w14:textFill>
        </w:rPr>
        <w:t>2</w:t>
      </w:r>
      <w:r>
        <w:rPr>
          <w:rFonts w:hint="eastAsia" w:cs="Times New Roman" w:eastAsiaTheme="minorEastAsia"/>
          <w:color w:val="000000" w:themeColor="text1"/>
          <w:sz w:val="28"/>
          <w:szCs w:val="28"/>
          <w:lang w:eastAsia="zh-CN"/>
          <w14:textFill>
            <w14:solidFill>
              <w14:schemeClr w14:val="tx1"/>
            </w14:solidFill>
          </w14:textFill>
        </w:rPr>
        <w:t>）</w:t>
      </w:r>
      <w:r>
        <w:rPr>
          <w:rFonts w:hint="eastAsia" w:cs="Times New Roman" w:eastAsiaTheme="minorEastAsia"/>
          <w:color w:val="000000" w:themeColor="text1"/>
          <w:sz w:val="28"/>
          <w:szCs w:val="28"/>
          <w:lang w:val="en-US" w:eastAsia="zh-CN"/>
          <w14:textFill>
            <w14:solidFill>
              <w14:schemeClr w14:val="tx1"/>
            </w14:solidFill>
          </w14:textFill>
        </w:rPr>
        <w:t>矿山现状建设单元</w:t>
      </w:r>
    </w:p>
    <w:p w14:paraId="2C66E583">
      <w:pPr>
        <w:pStyle w:val="12"/>
        <w:spacing w:line="360" w:lineRule="auto"/>
        <w:ind w:firstLine="560" w:firstLineChars="200"/>
        <w:rPr>
          <w:rFonts w:hint="default" w:ascii="Times New Roman" w:hAnsi="Times New Roman" w:cs="Times New Roman" w:eastAsiaTheme="minorEastAsia"/>
          <w:color w:val="000000" w:themeColor="text1"/>
          <w:sz w:val="28"/>
          <w:szCs w:val="28"/>
          <w14:textFill>
            <w14:solidFill>
              <w14:schemeClr w14:val="tx1"/>
            </w14:solidFill>
          </w14:textFill>
        </w:rPr>
      </w:pPr>
      <w:r>
        <w:rPr>
          <w:rFonts w:hint="default" w:ascii="Times New Roman" w:hAnsi="Times New Roman" w:cs="Times New Roman" w:eastAsiaTheme="minorEastAsia"/>
          <w:color w:val="000000" w:themeColor="text1"/>
          <w:sz w:val="28"/>
          <w:szCs w:val="28"/>
          <w14:textFill>
            <w14:solidFill>
              <w14:schemeClr w14:val="tx1"/>
            </w14:solidFill>
          </w14:textFill>
        </w:rPr>
        <w:t>该矿山为已建矿山，经本次实地调查，现状矿山</w:t>
      </w:r>
      <w:r>
        <w:rPr>
          <w:rFonts w:hint="eastAsia" w:cs="Times New Roman" w:eastAsiaTheme="minorEastAsia"/>
          <w:color w:val="000000" w:themeColor="text1"/>
          <w:sz w:val="28"/>
          <w:szCs w:val="28"/>
          <w:lang w:val="en-US" w:eastAsia="zh-CN"/>
          <w14:textFill>
            <w14:solidFill>
              <w14:schemeClr w14:val="tx1"/>
            </w14:solidFill>
          </w14:textFill>
        </w:rPr>
        <w:t>已</w:t>
      </w:r>
      <w:r>
        <w:rPr>
          <w:rFonts w:hint="default" w:ascii="Times New Roman" w:hAnsi="Times New Roman" w:cs="Times New Roman" w:eastAsiaTheme="minorEastAsia"/>
          <w:color w:val="000000" w:themeColor="text1"/>
          <w:sz w:val="28"/>
          <w:szCs w:val="28"/>
          <w14:textFill>
            <w14:solidFill>
              <w14:schemeClr w14:val="tx1"/>
            </w14:solidFill>
          </w14:textFill>
        </w:rPr>
        <w:t>形成了露天采场1、露天采场2、工业场地、成品砖堆放场、料堆、表土存放场、办公生活区及矿区道路等</w:t>
      </w:r>
      <w:r>
        <w:rPr>
          <w:rFonts w:hint="eastAsia" w:cs="Times New Roman" w:eastAsiaTheme="minorEastAsia"/>
          <w:color w:val="000000" w:themeColor="text1"/>
          <w:sz w:val="28"/>
          <w:szCs w:val="28"/>
          <w:lang w:val="en-US" w:eastAsia="zh-CN"/>
          <w14:textFill>
            <w14:solidFill>
              <w14:schemeClr w14:val="tx1"/>
            </w14:solidFill>
          </w14:textFill>
        </w:rPr>
        <w:t>场地</w:t>
      </w:r>
      <w:r>
        <w:rPr>
          <w:rFonts w:hint="default" w:ascii="Times New Roman" w:hAnsi="Times New Roman" w:cs="Times New Roman" w:eastAsiaTheme="minorEastAsia"/>
          <w:color w:val="000000" w:themeColor="text1"/>
          <w:sz w:val="28"/>
          <w:szCs w:val="28"/>
          <w14:textFill>
            <w14:solidFill>
              <w14:schemeClr w14:val="tx1"/>
            </w14:solidFill>
          </w14:textFill>
        </w:rPr>
        <w:t>。矿山现状工程场地布局见图1-</w:t>
      </w:r>
      <w:r>
        <w:rPr>
          <w:rFonts w:hint="eastAsia" w:cs="Times New Roman" w:eastAsiaTheme="minorEastAsia"/>
          <w:color w:val="000000" w:themeColor="text1"/>
          <w:sz w:val="28"/>
          <w:szCs w:val="28"/>
          <w:lang w:val="en-US" w:eastAsia="zh-CN"/>
          <w14:textFill>
            <w14:solidFill>
              <w14:schemeClr w14:val="tx1"/>
            </w14:solidFill>
          </w14:textFill>
        </w:rPr>
        <w:t>6</w:t>
      </w:r>
      <w:r>
        <w:rPr>
          <w:rFonts w:hint="default" w:ascii="Times New Roman" w:hAnsi="Times New Roman" w:cs="Times New Roman" w:eastAsiaTheme="minorEastAsia"/>
          <w:color w:val="000000" w:themeColor="text1"/>
          <w:sz w:val="28"/>
          <w:szCs w:val="28"/>
          <w14:textFill>
            <w14:solidFill>
              <w14:schemeClr w14:val="tx1"/>
            </w14:solidFill>
          </w14:textFill>
        </w:rPr>
        <w:t>。</w:t>
      </w:r>
    </w:p>
    <w:p w14:paraId="51079E14">
      <w:pPr>
        <w:tabs>
          <w:tab w:val="left" w:pos="1300"/>
        </w:tabs>
        <w:spacing w:line="360" w:lineRule="auto"/>
        <w:ind w:firstLine="560" w:firstLineChars="200"/>
        <w:rPr>
          <w:rFonts w:hint="eastAsia"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cs="Times New Roman"/>
          <w:b w:val="0"/>
          <w:bCs w:val="0"/>
          <w:color w:val="000000" w:themeColor="text1"/>
          <w:sz w:val="28"/>
          <w:szCs w:val="28"/>
          <w14:textFill>
            <w14:solidFill>
              <w14:schemeClr w14:val="tx1"/>
            </w14:solidFill>
          </w14:textFill>
        </w:rPr>
        <w:t>①</w:t>
      </w:r>
      <w:r>
        <w:rPr>
          <w:rFonts w:hint="eastAsia" w:ascii="Times New Roman" w:hAnsi="Times New Roman" w:cs="Times New Roman"/>
          <w:b w:val="0"/>
          <w:bCs w:val="0"/>
          <w:color w:val="000000" w:themeColor="text1"/>
          <w:sz w:val="28"/>
          <w:szCs w:val="28"/>
          <w:lang w:eastAsia="zh-CN"/>
          <w14:textFill>
            <w14:solidFill>
              <w14:schemeClr w14:val="tx1"/>
            </w14:solidFill>
          </w14:textFill>
        </w:rPr>
        <w:t>、</w:t>
      </w:r>
      <w:r>
        <w:rPr>
          <w:rFonts w:hint="eastAsia" w:cs="Times New Roman"/>
          <w:b w:val="0"/>
          <w:bCs w:val="0"/>
          <w:color w:val="000000" w:themeColor="text1"/>
          <w:sz w:val="28"/>
          <w:szCs w:val="28"/>
          <w:lang w:val="en-US" w:eastAsia="zh-CN"/>
          <w14:textFill>
            <w14:solidFill>
              <w14:schemeClr w14:val="tx1"/>
            </w14:solidFill>
          </w14:textFill>
        </w:rPr>
        <w:t>露天采场1</w:t>
      </w:r>
    </w:p>
    <w:p w14:paraId="4E095A5F">
      <w:pPr>
        <w:tabs>
          <w:tab w:val="left" w:pos="1300"/>
        </w:tabs>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矿山前期开采已形成露天采场1，占地面积1.6606hm</w:t>
      </w:r>
      <w:r>
        <w:rPr>
          <w:rFonts w:hint="eastAsia" w:cs="Times New Roman"/>
          <w:color w:val="000000" w:themeColor="text1"/>
          <w:sz w:val="28"/>
          <w:szCs w:val="28"/>
          <w:vertAlign w:val="superscript"/>
          <w:lang w:val="en-US" w:eastAsia="zh-CN"/>
          <w14:textFill>
            <w14:solidFill>
              <w14:schemeClr w14:val="tx1"/>
            </w14:solidFill>
          </w14:textFill>
        </w:rPr>
        <w:t>2</w:t>
      </w:r>
      <w:r>
        <w:rPr>
          <w:rFonts w:hint="eastAsia" w:cs="Times New Roman"/>
          <w:color w:val="000000" w:themeColor="text1"/>
          <w:sz w:val="28"/>
          <w:szCs w:val="28"/>
          <w:lang w:val="en-US" w:eastAsia="zh-CN"/>
          <w14:textFill>
            <w14:solidFill>
              <w14:schemeClr w14:val="tx1"/>
            </w14:solidFill>
          </w14:textFill>
        </w:rPr>
        <w:t>。采场呈不规则状，采场长170m，宽28-144m，边坡高度约1～10m，采场边坡角为30°～70°，开采标高为约471.95～485.28m。</w:t>
      </w:r>
    </w:p>
    <w:p w14:paraId="3F82E3D7">
      <w:pPr>
        <w:keepNext w:val="0"/>
        <w:keepLines w:val="0"/>
        <w:pageBreakBefore w:val="0"/>
        <w:widowControl/>
        <w:kinsoku/>
        <w:wordWrap/>
        <w:overflowPunct/>
        <w:topLinePunct w:val="0"/>
        <w:autoSpaceDE/>
        <w:autoSpaceDN/>
        <w:bidi w:val="0"/>
        <w:adjustRightInd w:val="0"/>
        <w:snapToGrid w:val="0"/>
        <w:spacing w:after="0" w:line="360" w:lineRule="auto"/>
        <w:ind w:left="0" w:firstLine="560" w:firstLineChars="200"/>
        <w:textAlignment w:val="auto"/>
        <w:outlineLvl w:val="9"/>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eastAsia" w:ascii="宋体" w:hAnsi="宋体" w:cs="宋体"/>
          <w:b w:val="0"/>
          <w:bCs w:val="0"/>
          <w:color w:val="000000" w:themeColor="text1"/>
          <w:sz w:val="28"/>
          <w:szCs w:val="28"/>
          <w14:textFill>
            <w14:solidFill>
              <w14:schemeClr w14:val="tx1"/>
            </w14:solidFill>
          </w14:textFill>
        </w:rPr>
        <w:t>②</w:t>
      </w:r>
      <w:r>
        <w:rPr>
          <w:rFonts w:hint="default" w:ascii="Times New Roman" w:hAnsi="Times New Roman" w:cs="Times New Roman"/>
          <w:b w:val="0"/>
          <w:bCs w:val="0"/>
          <w:color w:val="000000" w:themeColor="text1"/>
          <w:sz w:val="28"/>
          <w:szCs w:val="28"/>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露天采场2</w:t>
      </w:r>
    </w:p>
    <w:p w14:paraId="4750A551">
      <w:pPr>
        <w:spacing w:line="360" w:lineRule="auto"/>
        <w:ind w:firstLine="560" w:firstLineChars="200"/>
        <w:contextualSpacing/>
        <w:rPr>
          <w:rFonts w:hint="default" w:ascii="Times New Roman" w:hAnsi="Times New Roman" w:cs="Times New Roman"/>
          <w:b w:val="0"/>
          <w:bCs w:val="0"/>
          <w:color w:val="000000" w:themeColor="text1"/>
          <w:sz w:val="28"/>
          <w:szCs w:val="28"/>
          <w14:textFill>
            <w14:solidFill>
              <w14:schemeClr w14:val="tx1"/>
            </w14:solidFill>
          </w14:textFill>
        </w:rPr>
      </w:pPr>
      <w:r>
        <w:rPr>
          <w:rFonts w:hint="default" w:ascii="Times New Roman" w:hAnsi="Times New Roman" w:eastAsia="宋体" w:cs="Times New Roman"/>
          <w:b w:val="0"/>
          <w:bCs w:val="0"/>
          <w:color w:val="000000" w:themeColor="text1"/>
          <w:sz w:val="28"/>
          <w:szCs w:val="28"/>
          <w14:textFill>
            <w14:solidFill>
              <w14:schemeClr w14:val="tx1"/>
            </w14:solidFill>
          </w14:textFill>
        </w:rPr>
        <w:t>矿山前期开采已形成露天采场2，占地面积1.5431hm</w:t>
      </w:r>
      <w:r>
        <w:rPr>
          <w:rFonts w:hint="default" w:ascii="Times New Roman" w:hAnsi="Times New Roman" w:eastAsia="宋体" w:cs="Times New Roman"/>
          <w:b w:val="0"/>
          <w:bCs w:val="0"/>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b w:val="0"/>
          <w:bCs w:val="0"/>
          <w:color w:val="000000" w:themeColor="text1"/>
          <w:sz w:val="28"/>
          <w:szCs w:val="28"/>
          <w14:textFill>
            <w14:solidFill>
              <w14:schemeClr w14:val="tx1"/>
            </w14:solidFill>
          </w14:textFill>
        </w:rPr>
        <w:t>。采场呈不规则状，采场长171m，宽64-126m，边坡高度约1～6m，采场边坡角为20°～65°，开采标高为约480.22～488.87m。</w:t>
      </w:r>
    </w:p>
    <w:p w14:paraId="5C2FBD51">
      <w:pPr>
        <w:spacing w:line="360" w:lineRule="auto"/>
        <w:ind w:firstLine="560" w:firstLineChars="200"/>
        <w:contextualSpacing/>
        <w:rPr>
          <w:rFonts w:hint="default" w:ascii="Times New Roman" w:hAnsi="Times New Roman" w:cs="Times New Roman"/>
          <w:b w:val="0"/>
          <w:bCs w:val="0"/>
          <w:color w:val="000000" w:themeColor="text1"/>
          <w:sz w:val="28"/>
          <w:szCs w:val="28"/>
          <w14:textFill>
            <w14:solidFill>
              <w14:schemeClr w14:val="tx1"/>
            </w14:solidFill>
          </w14:textFill>
        </w:rPr>
      </w:pPr>
      <w:r>
        <w:rPr>
          <w:rFonts w:hint="default" w:ascii="Times New Roman" w:hAnsi="Times New Roman" w:cs="Times New Roman"/>
          <w:b w:val="0"/>
          <w:bCs w:val="0"/>
          <w:color w:val="000000" w:themeColor="text1"/>
          <w:sz w:val="28"/>
          <w:szCs w:val="28"/>
          <w14:textFill>
            <w14:solidFill>
              <w14:schemeClr w14:val="tx1"/>
            </w14:solidFill>
          </w14:textFill>
        </w:rPr>
        <w:t>③、工业场地</w:t>
      </w:r>
    </w:p>
    <w:p w14:paraId="06C176DE">
      <w:pPr>
        <w:spacing w:line="360" w:lineRule="auto"/>
        <w:ind w:firstLine="560" w:firstLineChars="200"/>
        <w:contextualSpacing/>
        <w:rPr>
          <w:rFonts w:hint="default" w:ascii="Times New Roman" w:hAnsi="Times New Roman" w:cs="Times New Roman"/>
          <w:b w:val="0"/>
          <w:bCs w:val="0"/>
          <w:color w:val="000000" w:themeColor="text1"/>
          <w:sz w:val="28"/>
          <w:szCs w:val="28"/>
          <w14:textFill>
            <w14:solidFill>
              <w14:schemeClr w14:val="tx1"/>
            </w14:solidFill>
          </w14:textFill>
        </w:rPr>
      </w:pPr>
      <w:r>
        <w:rPr>
          <w:rFonts w:hint="default" w:ascii="Times New Roman" w:hAnsi="Times New Roman" w:cs="Times New Roman"/>
          <w:b w:val="0"/>
          <w:bCs w:val="0"/>
          <w:color w:val="000000" w:themeColor="text1"/>
          <w:sz w:val="28"/>
          <w:szCs w:val="28"/>
          <w14:textFill>
            <w14:solidFill>
              <w14:schemeClr w14:val="tx1"/>
            </w14:solidFill>
          </w14:textFill>
        </w:rPr>
        <w:t>工业场地位于矿区西侧，占地面积2.8341hm</w:t>
      </w:r>
      <w:r>
        <w:rPr>
          <w:rFonts w:hint="default" w:ascii="Times New Roman" w:hAnsi="Times New Roman" w:cs="Times New Roman"/>
          <w:b w:val="0"/>
          <w:bCs w:val="0"/>
          <w:color w:val="000000" w:themeColor="text1"/>
          <w:sz w:val="28"/>
          <w:szCs w:val="28"/>
          <w:vertAlign w:val="superscript"/>
          <w14:textFill>
            <w14:solidFill>
              <w14:schemeClr w14:val="tx1"/>
            </w14:solidFill>
          </w14:textFill>
        </w:rPr>
        <w:t>2</w:t>
      </w:r>
      <w:r>
        <w:rPr>
          <w:rFonts w:hint="default" w:ascii="Times New Roman" w:hAnsi="Times New Roman" w:cs="Times New Roman"/>
          <w:b w:val="0"/>
          <w:bCs w:val="0"/>
          <w:color w:val="000000" w:themeColor="text1"/>
          <w:sz w:val="28"/>
          <w:szCs w:val="28"/>
          <w14:textFill>
            <w14:solidFill>
              <w14:schemeClr w14:val="tx1"/>
            </w14:solidFill>
          </w14:textFill>
        </w:rPr>
        <w:t>。场地内含、加工场地、隧道窑、成品砖中转站、仓库等，均为彩钢结构。长212m，宽58m，平均高度5m，建筑占地面积1.2926hm</w:t>
      </w:r>
      <w:r>
        <w:rPr>
          <w:rFonts w:hint="default" w:ascii="Times New Roman" w:hAnsi="Times New Roman" w:cs="Times New Roman"/>
          <w:b w:val="0"/>
          <w:bCs w:val="0"/>
          <w:color w:val="000000" w:themeColor="text1"/>
          <w:sz w:val="28"/>
          <w:szCs w:val="28"/>
          <w:vertAlign w:val="superscript"/>
          <w14:textFill>
            <w14:solidFill>
              <w14:schemeClr w14:val="tx1"/>
            </w14:solidFill>
          </w14:textFill>
        </w:rPr>
        <w:t>2</w:t>
      </w:r>
      <w:r>
        <w:rPr>
          <w:rFonts w:hint="default" w:ascii="Times New Roman" w:hAnsi="Times New Roman" w:cs="Times New Roman"/>
          <w:b w:val="0"/>
          <w:bCs w:val="0"/>
          <w:color w:val="000000" w:themeColor="text1"/>
          <w:sz w:val="28"/>
          <w:szCs w:val="28"/>
          <w14:textFill>
            <w14:solidFill>
              <w14:schemeClr w14:val="tx1"/>
            </w14:solidFill>
          </w14:textFill>
        </w:rPr>
        <w:t>。</w:t>
      </w:r>
    </w:p>
    <w:p w14:paraId="044AF4C0">
      <w:pPr>
        <w:pStyle w:val="69"/>
        <w:ind w:firstLine="560"/>
        <w:rPr>
          <w:rFonts w:hint="default" w:ascii="Times New Roman" w:hAnsi="Times New Roman" w:cs="Times New Roman"/>
          <w:b w:val="0"/>
          <w:bCs w:val="0"/>
          <w:color w:val="000000" w:themeColor="text1"/>
          <w:sz w:val="28"/>
          <w:szCs w:val="28"/>
          <w14:textFill>
            <w14:solidFill>
              <w14:schemeClr w14:val="tx1"/>
            </w14:solidFill>
          </w14:textFill>
        </w:rPr>
      </w:pPr>
      <w:r>
        <w:rPr>
          <w:rFonts w:hint="default" w:ascii="Times New Roman" w:hAnsi="Times New Roman" w:cs="Times New Roman"/>
          <w:b w:val="0"/>
          <w:bCs w:val="0"/>
          <w:color w:val="000000" w:themeColor="text1"/>
          <w:sz w:val="28"/>
          <w:szCs w:val="28"/>
          <w14:textFill>
            <w14:solidFill>
              <w14:schemeClr w14:val="tx1"/>
            </w14:solidFill>
          </w14:textFill>
        </w:rPr>
        <w:t>④、成品砖堆放场</w:t>
      </w:r>
    </w:p>
    <w:p w14:paraId="3205CEC7">
      <w:pPr>
        <w:pStyle w:val="69"/>
        <w:ind w:firstLine="560"/>
        <w:rPr>
          <w:rFonts w:hint="default" w:ascii="Times New Roman" w:hAnsi="Times New Roman" w:cs="Times New Roman"/>
          <w:b w:val="0"/>
          <w:bCs w:val="0"/>
          <w:color w:val="000000" w:themeColor="text1"/>
          <w:sz w:val="28"/>
          <w:szCs w:val="28"/>
          <w14:textFill>
            <w14:solidFill>
              <w14:schemeClr w14:val="tx1"/>
            </w14:solidFill>
          </w14:textFill>
        </w:rPr>
      </w:pPr>
      <w:r>
        <w:rPr>
          <w:rFonts w:hint="default" w:ascii="Times New Roman" w:hAnsi="Times New Roman" w:cs="Times New Roman"/>
          <w:b w:val="0"/>
          <w:bCs w:val="0"/>
          <w:color w:val="000000" w:themeColor="text1"/>
          <w:sz w:val="28"/>
          <w:szCs w:val="28"/>
          <w14:textFill>
            <w14:solidFill>
              <w14:schemeClr w14:val="tx1"/>
            </w14:solidFill>
          </w14:textFill>
        </w:rPr>
        <w:t>成品砖堆放场位于工业场地北西侧，占地面积1.0550hm</w:t>
      </w:r>
      <w:r>
        <w:rPr>
          <w:rFonts w:hint="default" w:ascii="Times New Roman" w:hAnsi="Times New Roman" w:cs="Times New Roman"/>
          <w:b w:val="0"/>
          <w:bCs w:val="0"/>
          <w:color w:val="000000" w:themeColor="text1"/>
          <w:sz w:val="28"/>
          <w:szCs w:val="28"/>
          <w:vertAlign w:val="superscript"/>
          <w14:textFill>
            <w14:solidFill>
              <w14:schemeClr w14:val="tx1"/>
            </w14:solidFill>
          </w14:textFill>
        </w:rPr>
        <w:t>2</w:t>
      </w:r>
      <w:r>
        <w:rPr>
          <w:rFonts w:hint="default" w:ascii="Times New Roman" w:hAnsi="Times New Roman" w:cs="Times New Roman"/>
          <w:b w:val="0"/>
          <w:bCs w:val="0"/>
          <w:color w:val="000000" w:themeColor="text1"/>
          <w:sz w:val="28"/>
          <w:szCs w:val="28"/>
          <w14:textFill>
            <w14:solidFill>
              <w14:schemeClr w14:val="tx1"/>
            </w14:solidFill>
          </w14:textFill>
        </w:rPr>
        <w:t>。</w:t>
      </w:r>
    </w:p>
    <w:p w14:paraId="32BF9EF9">
      <w:pPr>
        <w:pStyle w:val="12"/>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b w:val="0"/>
          <w:bCs w:val="0"/>
          <w:color w:val="000000" w:themeColor="text1"/>
          <w:sz w:val="28"/>
          <w:szCs w:val="28"/>
          <w14:textFill>
            <w14:solidFill>
              <w14:schemeClr w14:val="tx1"/>
            </w14:solidFill>
          </w14:textFill>
        </w:rPr>
      </w:pPr>
      <w:r>
        <w:rPr>
          <w:rFonts w:hint="default" w:ascii="Times New Roman" w:hAnsi="Times New Roman" w:cs="Times New Roman"/>
          <w:b w:val="0"/>
          <w:bCs w:val="0"/>
          <w:color w:val="000000" w:themeColor="text1"/>
          <w:sz w:val="28"/>
          <w:szCs w:val="28"/>
          <w14:textFill>
            <w14:solidFill>
              <w14:schemeClr w14:val="tx1"/>
            </w14:solidFill>
          </w14:textFill>
        </w:rPr>
        <w:t>⑤、</w:t>
      </w:r>
      <w:r>
        <w:rPr>
          <w:rFonts w:hint="default" w:ascii="Times New Roman" w:hAnsi="Times New Roman" w:eastAsia="宋体" w:cs="Times New Roman"/>
          <w:b w:val="0"/>
          <w:bCs w:val="0"/>
          <w:color w:val="000000" w:themeColor="text1"/>
          <w:sz w:val="28"/>
          <w:szCs w:val="28"/>
          <w14:textFill>
            <w14:solidFill>
              <w14:schemeClr w14:val="tx1"/>
            </w14:solidFill>
          </w14:textFill>
        </w:rPr>
        <w:t>料堆</w:t>
      </w:r>
    </w:p>
    <w:p w14:paraId="28875A5E">
      <w:pPr>
        <w:pStyle w:val="12"/>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8"/>
          <w:szCs w:val="28"/>
          <w14:textFill>
            <w14:solidFill>
              <w14:schemeClr w14:val="tx1"/>
            </w14:solidFill>
          </w14:textFill>
        </w:rPr>
        <w:t>料堆位于工业场地南侧，占地面积0.7930hm</w:t>
      </w:r>
      <w:r>
        <w:rPr>
          <w:rFonts w:hint="default" w:ascii="Times New Roman" w:hAnsi="Times New Roman" w:eastAsia="宋体" w:cs="Times New Roman"/>
          <w:b w:val="0"/>
          <w:bCs w:val="0"/>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b w:val="0"/>
          <w:bCs w:val="0"/>
          <w:color w:val="000000" w:themeColor="text1"/>
          <w:sz w:val="28"/>
          <w:szCs w:val="28"/>
          <w14:textFill>
            <w14:solidFill>
              <w14:schemeClr w14:val="tx1"/>
            </w14:solidFill>
          </w14:textFill>
        </w:rPr>
        <w:t>，用于堆放生产所需粘土，堆积高2～6m，边坡角20°～45°。</w:t>
      </w:r>
    </w:p>
    <w:p w14:paraId="68F3DB5F">
      <w:pPr>
        <w:spacing w:line="360" w:lineRule="auto"/>
        <w:ind w:firstLine="560" w:firstLineChars="200"/>
        <w:contextualSpacing/>
        <w:rPr>
          <w:rFonts w:hint="default" w:ascii="Times New Roman" w:hAnsi="Times New Roman"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cs="Times New Roman"/>
          <w:b w:val="0"/>
          <w:bCs w:val="0"/>
          <w:color w:val="000000" w:themeColor="text1"/>
          <w:sz w:val="28"/>
          <w:szCs w:val="28"/>
          <w14:textFill>
            <w14:solidFill>
              <w14:schemeClr w14:val="tx1"/>
            </w14:solidFill>
          </w14:textFill>
        </w:rPr>
        <w:t>⑥</w:t>
      </w:r>
      <w:r>
        <w:rPr>
          <w:rFonts w:hint="eastAsia" w:cs="Times New Roman"/>
          <w:b w:val="0"/>
          <w:bCs w:val="0"/>
          <w:color w:val="000000" w:themeColor="text1"/>
          <w:sz w:val="28"/>
          <w:szCs w:val="28"/>
          <w:lang w:val="en-US" w:eastAsia="zh-CN"/>
          <w14:textFill>
            <w14:solidFill>
              <w14:schemeClr w14:val="tx1"/>
            </w14:solidFill>
          </w14:textFill>
        </w:rPr>
        <w:t>、</w:t>
      </w: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表土存放场</w:t>
      </w:r>
    </w:p>
    <w:p w14:paraId="70839E8E">
      <w:pPr>
        <w:pStyle w:val="69"/>
        <w:keepNext w:val="0"/>
        <w:keepLines w:val="0"/>
        <w:pageBreakBefore w:val="0"/>
        <w:kinsoku/>
        <w:wordWrap/>
        <w:overflowPunct/>
        <w:topLinePunct w:val="0"/>
        <w:autoSpaceDE/>
        <w:autoSpaceDN/>
        <w:bidi w:val="0"/>
        <w:adjustRightInd w:val="0"/>
        <w:snapToGrid w:val="0"/>
        <w:spacing w:line="360" w:lineRule="auto"/>
        <w:ind w:firstLine="560"/>
        <w:textAlignment w:val="auto"/>
        <w:rPr>
          <w:rFonts w:hint="default" w:ascii="Times New Roman" w:hAnsi="Times New Roman" w:cs="Times New Roman"/>
          <w:b w:val="0"/>
          <w:bCs w:val="0"/>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lang w:val="en-US" w:eastAsia="zh-CN"/>
          <w14:textFill>
            <w14:solidFill>
              <w14:schemeClr w14:val="tx1"/>
            </w14:solidFill>
          </w14:textFill>
        </w:rPr>
        <w:t>表土存放场</w:t>
      </w:r>
      <w:r>
        <w:rPr>
          <w:rFonts w:hint="default" w:ascii="Times New Roman" w:hAnsi="Times New Roman" w:eastAsia="宋体" w:cs="Times New Roman"/>
          <w:color w:val="000000" w:themeColor="text1"/>
          <w:sz w:val="28"/>
          <w:szCs w:val="28"/>
          <w14:textFill>
            <w14:solidFill>
              <w14:schemeClr w14:val="tx1"/>
            </w14:solidFill>
          </w14:textFill>
        </w:rPr>
        <w:t>位于</w:t>
      </w:r>
      <w:r>
        <w:rPr>
          <w:rFonts w:hint="default" w:ascii="Times New Roman" w:hAnsi="Times New Roman" w:cs="Times New Roman"/>
          <w:color w:val="000000" w:themeColor="text1"/>
          <w:sz w:val="28"/>
          <w:szCs w:val="28"/>
          <w:lang w:val="en-US" w:eastAsia="zh-CN"/>
          <w14:textFill>
            <w14:solidFill>
              <w14:schemeClr w14:val="tx1"/>
            </w14:solidFill>
          </w14:textFill>
        </w:rPr>
        <w:t>露天采场1</w:t>
      </w:r>
      <w:r>
        <w:rPr>
          <w:rFonts w:hint="eastAsia" w:ascii="Times New Roman" w:hAnsi="Times New Roman" w:cs="Times New Roman"/>
          <w:color w:val="000000" w:themeColor="text1"/>
          <w:sz w:val="28"/>
          <w:szCs w:val="28"/>
          <w:lang w:val="en-US" w:eastAsia="zh-CN"/>
          <w14:textFill>
            <w14:solidFill>
              <w14:schemeClr w14:val="tx1"/>
            </w14:solidFill>
          </w14:textFill>
        </w:rPr>
        <w:t>东</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侧</w:t>
      </w:r>
      <w:r>
        <w:rPr>
          <w:rFonts w:hint="default" w:ascii="Times New Roman" w:hAnsi="Times New Roman" w:eastAsia="宋体" w:cs="Times New Roman"/>
          <w:color w:val="000000" w:themeColor="text1"/>
          <w:sz w:val="28"/>
          <w:szCs w:val="28"/>
          <w14:textFill>
            <w14:solidFill>
              <w14:schemeClr w14:val="tx1"/>
            </w14:solidFill>
          </w14:textFill>
        </w:rPr>
        <w:t>，</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占地面积</w:t>
      </w:r>
      <w:r>
        <w:rPr>
          <w:rFonts w:hint="default" w:ascii="Times New Roman" w:hAnsi="Times New Roman" w:cs="Times New Roman"/>
          <w:color w:val="000000" w:themeColor="text1"/>
          <w:sz w:val="28"/>
          <w:szCs w:val="28"/>
          <w:lang w:val="en-US" w:eastAsia="zh-CN"/>
          <w14:textFill>
            <w14:solidFill>
              <w14:schemeClr w14:val="tx1"/>
            </w14:solidFill>
          </w14:textFill>
        </w:rPr>
        <w:t>1.8212h</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该场地用于存放临时的表土，表土堆积高度</w:t>
      </w:r>
      <w:r>
        <w:rPr>
          <w:rFonts w:hint="eastAsia" w:ascii="Times New Roman" w:hAnsi="Times New Roman" w:cs="Times New Roman"/>
          <w:color w:val="000000" w:themeColor="text1"/>
          <w:sz w:val="28"/>
          <w:szCs w:val="28"/>
          <w:lang w:val="en-US" w:eastAsia="zh-CN"/>
          <w14:textFill>
            <w14:solidFill>
              <w14:schemeClr w14:val="tx1"/>
            </w14:solidFill>
          </w14:textFill>
        </w:rPr>
        <w:t>0.2</w:t>
      </w:r>
      <w:r>
        <w:rPr>
          <w:rFonts w:hint="default" w:ascii="Times New Roman" w:hAnsi="Times New Roman" w:cs="Times New Roman"/>
          <w:color w:val="000000" w:themeColor="text1"/>
          <w:sz w:val="28"/>
          <w:szCs w:val="28"/>
          <w:lang w:val="en-US" w:eastAsia="zh-CN"/>
          <w14:textFill>
            <w14:solidFill>
              <w14:schemeClr w14:val="tx1"/>
            </w14:solidFill>
          </w14:textFill>
        </w:rPr>
        <w:t>-3m，坡度10-25°，</w:t>
      </w:r>
      <w:r>
        <w:rPr>
          <w:rFonts w:hint="eastAsia" w:ascii="Times New Roman" w:hAnsi="Times New Roman" w:cs="Times New Roman"/>
          <w:color w:val="000000" w:themeColor="text1"/>
          <w:sz w:val="28"/>
          <w:szCs w:val="28"/>
          <w:lang w:val="en-US" w:eastAsia="zh-CN"/>
          <w14:textFill>
            <w14:solidFill>
              <w14:schemeClr w14:val="tx1"/>
            </w14:solidFill>
          </w14:textFill>
        </w:rPr>
        <w:t>现状表土堆积方量约5866m</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3</w:t>
      </w:r>
      <w:r>
        <w:rPr>
          <w:rFonts w:hint="eastAsia" w:ascii="Times New Roman" w:hAnsi="Times New Roman" w:cs="Times New Roman"/>
          <w:color w:val="000000" w:themeColor="text1"/>
          <w:sz w:val="28"/>
          <w:szCs w:val="28"/>
          <w:lang w:val="en-US" w:eastAsia="zh-CN"/>
          <w14:textFill>
            <w14:solidFill>
              <w14:schemeClr w14:val="tx1"/>
            </w14:solidFill>
          </w14:textFill>
        </w:rPr>
        <w:t>。</w:t>
      </w:r>
    </w:p>
    <w:p w14:paraId="38D74B2D">
      <w:pPr>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br w:type="page"/>
      </w:r>
    </w:p>
    <w:p w14:paraId="42370AF1">
      <w:pPr>
        <w:keepNext w:val="0"/>
        <w:keepLines w:val="0"/>
        <w:pageBreakBefore w:val="0"/>
        <w:widowControl w:val="0"/>
        <w:kinsoku/>
        <w:wordWrap/>
        <w:overflowPunct/>
        <w:topLinePunct w:val="0"/>
        <w:autoSpaceDE/>
        <w:autoSpaceDN/>
        <w:bidi w:val="0"/>
        <w:adjustRightInd/>
        <w:snapToGrid/>
        <w:spacing w:before="157" w:beforeLines="50" w:line="360" w:lineRule="auto"/>
        <w:ind w:firstLine="560" w:firstLineChars="200"/>
        <w:contextualSpacing/>
        <w:textAlignment w:val="auto"/>
        <w:rPr>
          <w:rFonts w:hint="default" w:ascii="Times New Roman" w:hAnsi="Times New Roman"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cs="Times New Roman"/>
          <w:b w:val="0"/>
          <w:bCs w:val="0"/>
          <w:color w:val="000000" w:themeColor="text1"/>
          <w:sz w:val="28"/>
          <w:szCs w:val="28"/>
          <w14:textFill>
            <w14:solidFill>
              <w14:schemeClr w14:val="tx1"/>
            </w14:solidFill>
          </w14:textFill>
        </w:rPr>
        <w:t>⑦</w:t>
      </w:r>
      <w:r>
        <w:rPr>
          <w:rFonts w:hint="eastAsia" w:ascii="Times New Roman" w:hAnsi="Times New Roman" w:cs="Times New Roman"/>
          <w:b w:val="0"/>
          <w:bCs w:val="0"/>
          <w:color w:val="000000" w:themeColor="text1"/>
          <w:sz w:val="28"/>
          <w:szCs w:val="28"/>
          <w:lang w:eastAsia="zh-CN"/>
          <w14:textFill>
            <w14:solidFill>
              <w14:schemeClr w14:val="tx1"/>
            </w14:solidFill>
          </w14:textFill>
        </w:rPr>
        <w:t>、</w:t>
      </w: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办公生活区</w:t>
      </w:r>
    </w:p>
    <w:p w14:paraId="02DD860A">
      <w:pPr>
        <w:pStyle w:val="69"/>
        <w:ind w:firstLine="56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办公生活区位于矿区西侧，占地面积0.2217hm</w:t>
      </w:r>
      <w:r>
        <w:rPr>
          <w:rFonts w:hint="default" w:ascii="Times New Roman" w:hAnsi="Times New Roman" w:cs="Times New Roman"/>
          <w:b w:val="0"/>
          <w:bCs w:val="0"/>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b w:val="0"/>
          <w:bCs w:val="0"/>
          <w:color w:val="000000" w:themeColor="text1"/>
          <w:sz w:val="28"/>
          <w:szCs w:val="28"/>
          <w:vertAlign w:val="baseline"/>
          <w:lang w:val="en-US" w:eastAsia="zh-CN"/>
          <w14:textFill>
            <w14:solidFill>
              <w14:schemeClr w14:val="tx1"/>
            </w14:solidFill>
          </w14:textFill>
        </w:rPr>
        <w:t>，</w:t>
      </w: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供矿山</w:t>
      </w:r>
      <w:r>
        <w:rPr>
          <w:rFonts w:hint="default" w:ascii="Times New Roman" w:hAnsi="Times New Roman" w:cs="Times New Roman"/>
          <w:b w:val="0"/>
          <w:bCs w:val="0"/>
          <w:color w:val="000000" w:themeColor="text1"/>
          <w:sz w:val="28"/>
          <w:szCs w:val="28"/>
          <w:lang w:eastAsia="zh-CN"/>
          <w14:textFill>
            <w14:solidFill>
              <w14:schemeClr w14:val="tx1"/>
            </w14:solidFill>
          </w14:textFill>
        </w:rPr>
        <w:t>工作人员生活居住</w:t>
      </w: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及办公</w:t>
      </w:r>
      <w:r>
        <w:rPr>
          <w:rFonts w:hint="default" w:ascii="Times New Roman" w:hAnsi="Times New Roman" w:cs="Times New Roman"/>
          <w:b w:val="0"/>
          <w:bCs w:val="0"/>
          <w:color w:val="000000" w:themeColor="text1"/>
          <w:sz w:val="28"/>
          <w:szCs w:val="28"/>
          <w:lang w:eastAsia="zh-CN"/>
          <w14:textFill>
            <w14:solidFill>
              <w14:schemeClr w14:val="tx1"/>
            </w14:solidFill>
          </w14:textFill>
        </w:rPr>
        <w:t>，</w:t>
      </w: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建筑占地面积0.0346hm</w:t>
      </w:r>
      <w:r>
        <w:rPr>
          <w:rFonts w:hint="default" w:ascii="Times New Roman" w:hAnsi="Times New Roman" w:cs="Times New Roman"/>
          <w:b w:val="0"/>
          <w:bCs w:val="0"/>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b w:val="0"/>
          <w:bCs w:val="0"/>
          <w:color w:val="000000" w:themeColor="text1"/>
          <w:sz w:val="28"/>
          <w:szCs w:val="28"/>
          <w:vertAlign w:val="baseline"/>
          <w:lang w:val="en-US" w:eastAsia="zh-CN"/>
          <w14:textFill>
            <w14:solidFill>
              <w14:schemeClr w14:val="tx1"/>
            </w14:solidFill>
          </w14:textFill>
        </w:rPr>
        <w:t>，</w:t>
      </w: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建筑为</w:t>
      </w:r>
      <w:r>
        <w:rPr>
          <w:rFonts w:hint="default" w:ascii="Times New Roman" w:hAnsi="Times New Roman" w:cs="Times New Roman"/>
          <w:b w:val="0"/>
          <w:bCs w:val="0"/>
          <w:color w:val="000000" w:themeColor="text1"/>
          <w:sz w:val="28"/>
          <w:szCs w:val="28"/>
          <w:lang w:eastAsia="zh-CN"/>
          <w14:textFill>
            <w14:solidFill>
              <w14:schemeClr w14:val="tx1"/>
            </w14:solidFill>
          </w14:textFill>
        </w:rPr>
        <w:t>砖混结构平房，</w:t>
      </w: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平均高度4m</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w:t>
      </w:r>
    </w:p>
    <w:p w14:paraId="315F6F70">
      <w:pPr>
        <w:keepNext w:val="0"/>
        <w:keepLines w:val="0"/>
        <w:pageBreakBefore w:val="0"/>
        <w:widowControl w:val="0"/>
        <w:kinsoku/>
        <w:wordWrap/>
        <w:overflowPunct/>
        <w:topLinePunct w:val="0"/>
        <w:autoSpaceDE/>
        <w:autoSpaceDN/>
        <w:bidi w:val="0"/>
        <w:adjustRightInd/>
        <w:snapToGrid/>
        <w:spacing w:line="360" w:lineRule="auto"/>
        <w:ind w:firstLine="560" w:firstLineChars="200"/>
        <w:contextualSpacing/>
        <w:textAlignment w:val="auto"/>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8"/>
          <w:szCs w:val="21"/>
          <w:lang w:val="en-US" w:eastAsia="zh-CN"/>
          <w14:textFill>
            <w14:solidFill>
              <w14:schemeClr w14:val="tx1"/>
            </w14:solidFill>
          </w14:textFill>
        </w:rPr>
        <w:t>⑧</w:t>
      </w:r>
      <w:r>
        <w:rPr>
          <w:rFonts w:hint="eastAsia" w:ascii="Times New Roman" w:hAnsi="Times New Roman" w:eastAsia="宋体" w:cs="Times New Roman"/>
          <w:b w:val="0"/>
          <w:bCs w:val="0"/>
          <w:color w:val="000000" w:themeColor="text1"/>
          <w:sz w:val="28"/>
          <w:szCs w:val="21"/>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矿区道路</w:t>
      </w:r>
    </w:p>
    <w:p w14:paraId="49C62A51">
      <w:pPr>
        <w:pStyle w:val="66"/>
        <w:spacing w:line="360" w:lineRule="auto"/>
        <w:ind w:firstLine="560" w:firstLineChars="200"/>
        <w:jc w:val="left"/>
        <w:rPr>
          <w:rFonts w:hint="default" w:ascii="Times New Roman" w:hAnsi="Times New Roman" w:eastAsia="宋体" w:cs="Times New Roman"/>
          <w:b w:val="0"/>
          <w:bCs w:val="0"/>
          <w:color w:val="000000" w:themeColor="text1"/>
          <w:sz w:val="28"/>
          <w:szCs w:val="28"/>
          <w14:textFill>
            <w14:solidFill>
              <w14:schemeClr w14:val="tx1"/>
            </w14:solidFill>
          </w14:textFill>
        </w:rPr>
      </w:pPr>
      <w:r>
        <w:rPr>
          <w:rFonts w:hint="default" w:ascii="Times New Roman" w:hAnsi="Times New Roman" w:eastAsia="宋体" w:cs="Times New Roman"/>
          <w:b w:val="0"/>
          <w:bCs w:val="0"/>
          <w:color w:val="000000" w:themeColor="text1"/>
          <w:sz w:val="28"/>
          <w:szCs w:val="28"/>
          <w14:textFill>
            <w14:solidFill>
              <w14:schemeClr w14:val="tx1"/>
            </w14:solidFill>
          </w14:textFill>
        </w:rPr>
        <w:t>现状</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矿山已开拓</w:t>
      </w:r>
      <w:r>
        <w:rPr>
          <w:rFonts w:hint="default" w:ascii="Times New Roman" w:hAnsi="Times New Roman" w:eastAsia="宋体" w:cs="Times New Roman"/>
          <w:b w:val="0"/>
          <w:bCs w:val="0"/>
          <w:color w:val="000000" w:themeColor="text1"/>
          <w:sz w:val="28"/>
          <w:szCs w:val="28"/>
          <w14:textFill>
            <w14:solidFill>
              <w14:schemeClr w14:val="tx1"/>
            </w14:solidFill>
          </w14:textFill>
        </w:rPr>
        <w:t>矿区道路长</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447</w:t>
      </w:r>
      <w:r>
        <w:rPr>
          <w:rFonts w:hint="default" w:ascii="Times New Roman" w:hAnsi="Times New Roman" w:eastAsia="宋体" w:cs="Times New Roman"/>
          <w:b w:val="0"/>
          <w:bCs w:val="0"/>
          <w:color w:val="000000" w:themeColor="text1"/>
          <w:sz w:val="28"/>
          <w:szCs w:val="28"/>
          <w14:textFill>
            <w14:solidFill>
              <w14:schemeClr w14:val="tx1"/>
            </w14:solidFill>
          </w14:textFill>
        </w:rPr>
        <w:t>m，平均宽</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6</w:t>
      </w:r>
      <w:r>
        <w:rPr>
          <w:rFonts w:hint="default" w:ascii="Times New Roman" w:hAnsi="Times New Roman" w:eastAsia="宋体" w:cs="Times New Roman"/>
          <w:b w:val="0"/>
          <w:bCs w:val="0"/>
          <w:color w:val="000000" w:themeColor="text1"/>
          <w:sz w:val="28"/>
          <w:szCs w:val="28"/>
          <w14:textFill>
            <w14:solidFill>
              <w14:schemeClr w14:val="tx1"/>
            </w14:solidFill>
          </w14:textFill>
        </w:rPr>
        <w:t>m，</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占地</w:t>
      </w:r>
      <w:r>
        <w:rPr>
          <w:rFonts w:hint="default" w:ascii="Times New Roman" w:hAnsi="Times New Roman" w:eastAsia="宋体" w:cs="Times New Roman"/>
          <w:b w:val="0"/>
          <w:bCs w:val="0"/>
          <w:color w:val="000000" w:themeColor="text1"/>
          <w:sz w:val="28"/>
          <w:szCs w:val="28"/>
          <w14:textFill>
            <w14:solidFill>
              <w14:schemeClr w14:val="tx1"/>
            </w14:solidFill>
          </w14:textFill>
        </w:rPr>
        <w:t>面积</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0.2682h</w:t>
      </w:r>
      <w:r>
        <w:rPr>
          <w:rFonts w:hint="default" w:ascii="Times New Roman" w:hAnsi="Times New Roman" w:eastAsia="宋体" w:cs="Times New Roman"/>
          <w:b w:val="0"/>
          <w:bCs w:val="0"/>
          <w:color w:val="000000" w:themeColor="text1"/>
          <w:sz w:val="28"/>
          <w:szCs w:val="28"/>
          <w14:textFill>
            <w14:solidFill>
              <w14:schemeClr w14:val="tx1"/>
            </w14:solidFill>
          </w14:textFill>
        </w:rPr>
        <w:t>m</w:t>
      </w:r>
      <w:r>
        <w:rPr>
          <w:rFonts w:hint="default" w:ascii="Times New Roman" w:hAnsi="Times New Roman" w:eastAsia="宋体" w:cs="Times New Roman"/>
          <w:b w:val="0"/>
          <w:bCs w:val="0"/>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b w:val="0"/>
          <w:bCs w:val="0"/>
          <w:color w:val="000000" w:themeColor="text1"/>
          <w:sz w:val="28"/>
          <w:szCs w:val="28"/>
          <w14:textFill>
            <w14:solidFill>
              <w14:schemeClr w14:val="tx1"/>
            </w14:solidFill>
          </w14:textFill>
        </w:rPr>
        <w:t>，连接矿山各个功能单元所用，</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道路平整无切坡</w:t>
      </w:r>
      <w:r>
        <w:rPr>
          <w:rFonts w:hint="default" w:ascii="Times New Roman" w:hAnsi="Times New Roman" w:eastAsia="宋体" w:cs="Times New Roman"/>
          <w:b w:val="0"/>
          <w:bCs w:val="0"/>
          <w:color w:val="000000" w:themeColor="text1"/>
          <w:sz w:val="28"/>
          <w:szCs w:val="28"/>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val="en-US" w:eastAsia="zh-CN" w:bidi="ar-SA"/>
          <w14:textFill>
            <w14:solidFill>
              <w14:schemeClr w14:val="tx1"/>
            </w14:solidFill>
          </w14:textFill>
        </w:rPr>
        <w:t>矿区道路为土石路</w:t>
      </w:r>
      <w:r>
        <w:rPr>
          <w:rFonts w:hint="default" w:ascii="Times New Roman" w:hAnsi="Times New Roman" w:eastAsia="宋体" w:cs="Times New Roman"/>
          <w:b w:val="0"/>
          <w:bCs w:val="0"/>
          <w:color w:val="000000" w:themeColor="text1"/>
          <w:sz w:val="28"/>
          <w:szCs w:val="21"/>
          <w:lang w:val="en-US" w:eastAsia="zh-CN"/>
          <w14:textFill>
            <w14:solidFill>
              <w14:schemeClr w14:val="tx1"/>
            </w14:solidFill>
          </w14:textFill>
        </w:rPr>
        <w:t>。</w:t>
      </w:r>
    </w:p>
    <w:p w14:paraId="7E939740">
      <w:pPr>
        <w:pStyle w:val="12"/>
        <w:spacing w:line="360" w:lineRule="auto"/>
        <w:ind w:firstLine="480" w:firstLineChars="200"/>
        <w:rPr>
          <w:rFonts w:hint="default" w:ascii="Times New Roman" w:hAnsi="Times New Roman" w:cs="Times New Roman"/>
          <w:color w:val="000000" w:themeColor="text1"/>
          <w:sz w:val="24"/>
          <w:szCs w:val="24"/>
          <w14:textFill>
            <w14:solidFill>
              <w14:schemeClr w14:val="tx1"/>
            </w14:solidFill>
          </w14:textFill>
        </w:rPr>
      </w:pPr>
    </w:p>
    <w:p w14:paraId="7F1E6A5B">
      <w:pPr>
        <w:pStyle w:val="38"/>
        <w:rPr>
          <w:rFonts w:hAnsi="宋体"/>
          <w:color w:val="000000" w:themeColor="text1"/>
          <w:sz w:val="28"/>
          <w:szCs w:val="28"/>
          <w14:textFill>
            <w14:solidFill>
              <w14:schemeClr w14:val="tx1"/>
            </w14:solidFill>
          </w14:textFill>
        </w:rPr>
        <w:sectPr>
          <w:pgSz w:w="11907" w:h="16840"/>
          <w:pgMar w:top="1418" w:right="1418" w:bottom="1418" w:left="1418" w:header="851" w:footer="992" w:gutter="0"/>
          <w:pgNumType w:fmt="decimal"/>
          <w:cols w:space="720" w:num="1"/>
          <w:docGrid w:linePitch="312" w:charSpace="0"/>
        </w:sectPr>
      </w:pPr>
    </w:p>
    <w:p w14:paraId="4CE32BDB">
      <w:pPr>
        <w:pStyle w:val="38"/>
        <w:spacing w:line="240" w:lineRule="auto"/>
        <w:jc w:val="center"/>
        <w:rPr>
          <w:rFonts w:hint="eastAsia" w:hAnsi="宋体" w:eastAsia="宋体"/>
          <w:color w:val="000000" w:themeColor="text1"/>
          <w:lang w:eastAsia="zh-CN"/>
          <w14:textFill>
            <w14:solidFill>
              <w14:schemeClr w14:val="tx1"/>
            </w14:solidFill>
          </w14:textFill>
        </w:rPr>
      </w:pPr>
      <w:r>
        <w:rPr>
          <w:rFonts w:hint="eastAsia" w:hAnsi="宋体"/>
          <w:color w:val="000000" w:themeColor="text1"/>
          <w:lang w:eastAsia="zh-CN"/>
          <w14:textFill>
            <w14:solidFill>
              <w14:schemeClr w14:val="tx1"/>
            </w14:solidFill>
          </w14:textFill>
        </w:rPr>
        <w:t xml:space="preserve">    </w:t>
      </w:r>
    </w:p>
    <w:p w14:paraId="159AEDD0">
      <w:pPr>
        <w:pStyle w:val="2"/>
        <w:spacing w:line="360" w:lineRule="auto"/>
        <w:jc w:val="center"/>
        <w:rPr>
          <w:rFonts w:ascii="黑体" w:hAnsi="黑体" w:eastAsia="黑体" w:cs="黑体"/>
          <w:bCs/>
          <w:color w:val="000000" w:themeColor="text1"/>
          <w14:textFill>
            <w14:solidFill>
              <w14:schemeClr w14:val="tx1"/>
            </w14:solidFill>
          </w14:textFill>
        </w:rPr>
      </w:pPr>
      <w:bookmarkStart w:id="15" w:name="_Toc455049494"/>
      <w:bookmarkStart w:id="16" w:name="_Toc287947645"/>
      <w:bookmarkStart w:id="17" w:name="_Toc329452627"/>
      <w:bookmarkStart w:id="18" w:name="_Toc17399"/>
      <w:bookmarkStart w:id="19" w:name="_Toc203884015"/>
      <w:bookmarkStart w:id="20" w:name="_Toc210478049"/>
      <w:r>
        <w:rPr>
          <w:rFonts w:hint="eastAsia" w:ascii="黑体" w:hAnsi="黑体" w:eastAsia="黑体" w:cs="黑体"/>
          <w:bCs/>
          <w:color w:val="000000" w:themeColor="text1"/>
          <w14:textFill>
            <w14:solidFill>
              <w14:schemeClr w14:val="tx1"/>
            </w14:solidFill>
          </w14:textFill>
        </w:rPr>
        <w:t>第二章</w:t>
      </w:r>
      <w:bookmarkEnd w:id="15"/>
      <w:bookmarkEnd w:id="16"/>
      <w:bookmarkEnd w:id="17"/>
      <w:r>
        <w:rPr>
          <w:rFonts w:hint="eastAsia" w:ascii="黑体" w:hAnsi="黑体" w:eastAsia="黑体" w:cs="黑体"/>
          <w:bCs/>
          <w:color w:val="000000" w:themeColor="text1"/>
          <w14:textFill>
            <w14:solidFill>
              <w14:schemeClr w14:val="tx1"/>
            </w14:solidFill>
          </w14:textFill>
        </w:rPr>
        <w:t xml:space="preserve">  矿区基础信息</w:t>
      </w:r>
      <w:bookmarkEnd w:id="18"/>
    </w:p>
    <w:bookmarkEnd w:id="19"/>
    <w:bookmarkEnd w:id="20"/>
    <w:p w14:paraId="73A1FCC2">
      <w:pPr>
        <w:pStyle w:val="3"/>
        <w:spacing w:before="0" w:beforeLines="0"/>
        <w:jc w:val="center"/>
        <w:rPr>
          <w:rFonts w:hint="eastAsia" w:eastAsia="宋体"/>
          <w:color w:val="000000" w:themeColor="text1"/>
          <w:lang w:eastAsia="zh-CN"/>
          <w14:textFill>
            <w14:solidFill>
              <w14:schemeClr w14:val="tx1"/>
            </w14:solidFill>
          </w14:textFill>
        </w:rPr>
      </w:pPr>
      <w:bookmarkStart w:id="21" w:name="_Toc10960"/>
      <w:r>
        <w:rPr>
          <w:rFonts w:hint="eastAsia"/>
          <w:color w:val="000000" w:themeColor="text1"/>
          <w:lang w:val="en-US" w:eastAsia="zh-CN"/>
          <w14:textFill>
            <w14:solidFill>
              <w14:schemeClr w14:val="tx1"/>
            </w14:solidFill>
          </w14:textFill>
        </w:rPr>
        <w:t xml:space="preserve">第一节  </w:t>
      </w:r>
      <w:r>
        <w:rPr>
          <w:rFonts w:hint="eastAsia"/>
          <w:color w:val="000000" w:themeColor="text1"/>
          <w14:textFill>
            <w14:solidFill>
              <w14:schemeClr w14:val="tx1"/>
            </w14:solidFill>
          </w14:textFill>
        </w:rPr>
        <w:t>矿区自然</w:t>
      </w:r>
      <w:r>
        <w:rPr>
          <w:rFonts w:hint="eastAsia"/>
          <w:color w:val="000000" w:themeColor="text1"/>
          <w:lang w:val="en-US" w:eastAsia="zh-CN"/>
          <w14:textFill>
            <w14:solidFill>
              <w14:schemeClr w14:val="tx1"/>
            </w14:solidFill>
          </w14:textFill>
        </w:rPr>
        <w:t>条件</w:t>
      </w:r>
      <w:bookmarkEnd w:id="21"/>
    </w:p>
    <w:p w14:paraId="0D4E6366">
      <w:pPr>
        <w:pStyle w:val="5"/>
        <w:bidi w:val="0"/>
        <w:spacing w:line="360" w:lineRule="auto"/>
        <w:ind w:firstLine="562" w:firstLineChars="200"/>
        <w:rPr>
          <w:rFonts w:hint="default" w:hAnsi="Times New Roman" w:cs="Times New Roman"/>
          <w:b/>
          <w:bCs/>
          <w:color w:val="000000" w:themeColor="text1"/>
          <w:sz w:val="28"/>
          <w:szCs w:val="28"/>
          <w:lang w:val="en-US" w:eastAsia="zh-CN"/>
          <w14:textFill>
            <w14:solidFill>
              <w14:schemeClr w14:val="tx1"/>
            </w14:solidFill>
          </w14:textFill>
        </w:rPr>
      </w:pPr>
      <w:r>
        <w:rPr>
          <w:rFonts w:hint="eastAsia" w:hAnsi="Times New Roman" w:cs="Times New Roman"/>
          <w:b/>
          <w:bCs/>
          <w:color w:val="000000" w:themeColor="text1"/>
          <w:sz w:val="28"/>
          <w:szCs w:val="28"/>
          <w:lang w:val="en-US" w:eastAsia="zh-CN"/>
          <w14:textFill>
            <w14:solidFill>
              <w14:schemeClr w14:val="tx1"/>
            </w14:solidFill>
          </w14:textFill>
        </w:rPr>
        <w:t>一、地形地貌</w:t>
      </w:r>
    </w:p>
    <w:p w14:paraId="51E24AF4">
      <w:pPr>
        <w:spacing w:line="360" w:lineRule="auto"/>
        <w:ind w:firstLine="560" w:firstLineChars="200"/>
        <w:contextualSpacing/>
        <w:jc w:val="left"/>
        <w:rPr>
          <w:rFonts w:hint="default"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1、地形</w:t>
      </w:r>
    </w:p>
    <w:p w14:paraId="4117500E">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1"/>
          <w14:textFill>
            <w14:solidFill>
              <w14:schemeClr w14:val="tx1"/>
            </w14:solidFill>
          </w14:textFill>
        </w:rPr>
        <w:t>矿区位于丘陵区，矿区内最高海拔标高489.06m，最低海拔标高478m，相对高差11.06m。地势相对平坦，坡角一般</w:t>
      </w:r>
      <w:r>
        <w:rPr>
          <w:rFonts w:hint="eastAsia" w:cs="Times New Roman"/>
          <w:color w:val="000000" w:themeColor="text1"/>
          <w:sz w:val="28"/>
          <w:szCs w:val="21"/>
          <w:lang w:val="en-US" w:eastAsia="zh-CN"/>
          <w14:textFill>
            <w14:solidFill>
              <w14:schemeClr w14:val="tx1"/>
            </w14:solidFill>
          </w14:textFill>
        </w:rPr>
        <w:t>＜5°</w:t>
      </w:r>
      <w:r>
        <w:rPr>
          <w:rFonts w:hint="default" w:ascii="Times New Roman" w:hAnsi="Times New Roman" w:eastAsia="宋体" w:cs="Times New Roman"/>
          <w:color w:val="000000" w:themeColor="text1"/>
          <w:sz w:val="28"/>
          <w:szCs w:val="28"/>
          <w14:textFill>
            <w14:solidFill>
              <w14:schemeClr w14:val="tx1"/>
            </w14:solidFill>
          </w14:textFill>
        </w:rPr>
        <w:t>。</w:t>
      </w:r>
    </w:p>
    <w:p w14:paraId="1F1E847E">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2、地貌</w:t>
      </w:r>
    </w:p>
    <w:p w14:paraId="4EC7E123">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根据矿区地貌形态特征，将矿区地貌形态类型划分为丘陵地貌。</w:t>
      </w:r>
    </w:p>
    <w:p w14:paraId="18B566D3">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丘陵区：矿区属丘陵区，地势平缓，起伏较小，地形坡度</w:t>
      </w:r>
      <w:r>
        <w:rPr>
          <w:rFonts w:hint="eastAsia" w:cs="Times New Roman"/>
          <w:color w:val="000000" w:themeColor="text1"/>
          <w:sz w:val="28"/>
          <w:szCs w:val="28"/>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5</w:t>
      </w:r>
      <w:r>
        <w:rPr>
          <w:rFonts w:hint="default" w:ascii="Times New Roman" w:hAnsi="Times New Roman" w:cs="Times New Roman"/>
          <w:color w:val="000000" w:themeColor="text1"/>
          <w:sz w:val="28"/>
          <w:szCs w:val="28"/>
          <w14:textFill>
            <w14:solidFill>
              <w14:schemeClr w14:val="tx1"/>
            </w14:solidFill>
          </w14:textFill>
        </w:rPr>
        <w:t>°，植被发育一般。矿区所在低山地貌见照片2-1。</w:t>
      </w:r>
    </w:p>
    <w:p w14:paraId="5DAD876B">
      <w:pPr>
        <w:pStyle w:val="38"/>
        <w:spacing w:line="240" w:lineRule="auto"/>
        <w:ind w:left="0" w:leftChars="0" w:firstLine="0" w:firstLineChars="0"/>
        <w:jc w:val="center"/>
        <w:rPr>
          <w:rFonts w:hint="eastAsia" w:ascii="Times New Roman" w:eastAsia="宋体" w:cs="Times New Roman"/>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w:t>
      </w:r>
    </w:p>
    <w:p w14:paraId="33FD3608">
      <w:pPr>
        <w:spacing w:line="360" w:lineRule="auto"/>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14:textFill>
            <w14:solidFill>
              <w14:schemeClr w14:val="tx1"/>
            </w14:solidFill>
          </w14:textFill>
        </w:rPr>
        <w:t>照片2-1  低山</w:t>
      </w:r>
      <w:r>
        <w:rPr>
          <w:rFonts w:hint="eastAsia" w:ascii="黑体" w:hAnsi="黑体" w:eastAsia="黑体" w:cs="黑体"/>
          <w:b w:val="0"/>
          <w:bCs/>
          <w:color w:val="000000" w:themeColor="text1"/>
          <w:sz w:val="24"/>
          <w:szCs w:val="24"/>
          <w:lang w:val="en-US" w:eastAsia="zh-CN"/>
          <w14:textFill>
            <w14:solidFill>
              <w14:schemeClr w14:val="tx1"/>
            </w14:solidFill>
          </w14:textFill>
        </w:rPr>
        <w:t>丘陵</w:t>
      </w:r>
      <w:r>
        <w:rPr>
          <w:rFonts w:hint="eastAsia" w:ascii="黑体" w:hAnsi="黑体" w:eastAsia="黑体" w:cs="黑体"/>
          <w:b w:val="0"/>
          <w:bCs/>
          <w:color w:val="000000" w:themeColor="text1"/>
          <w:sz w:val="24"/>
          <w:szCs w:val="24"/>
          <w14:textFill>
            <w14:solidFill>
              <w14:schemeClr w14:val="tx1"/>
            </w14:solidFill>
          </w14:textFill>
        </w:rPr>
        <w:t>地貌</w:t>
      </w:r>
    </w:p>
    <w:p w14:paraId="286A8129">
      <w:pPr>
        <w:pStyle w:val="5"/>
        <w:bidi w:val="0"/>
        <w:spacing w:line="360" w:lineRule="auto"/>
        <w:ind w:firstLine="562" w:firstLineChars="200"/>
        <w:rPr>
          <w:rFonts w:hint="eastAsia" w:hAnsi="Times New Roman" w:cs="Times New Roman"/>
          <w:b/>
          <w:bCs/>
          <w:color w:val="000000" w:themeColor="text1"/>
          <w:sz w:val="28"/>
          <w:szCs w:val="28"/>
          <w:lang w:val="en-US" w:eastAsia="zh-CN"/>
          <w14:textFill>
            <w14:solidFill>
              <w14:schemeClr w14:val="tx1"/>
            </w14:solidFill>
          </w14:textFill>
        </w:rPr>
      </w:pPr>
      <w:r>
        <w:rPr>
          <w:rFonts w:hint="eastAsia" w:hAnsi="Times New Roman" w:cs="Times New Roman"/>
          <w:b/>
          <w:bCs/>
          <w:color w:val="000000" w:themeColor="text1"/>
          <w:sz w:val="28"/>
          <w:szCs w:val="28"/>
          <w:lang w:val="en-US" w:eastAsia="zh-CN"/>
          <w14:textFill>
            <w14:solidFill>
              <w14:schemeClr w14:val="tx1"/>
            </w14:solidFill>
          </w14:textFill>
        </w:rPr>
        <w:t>二、气象</w:t>
      </w:r>
    </w:p>
    <w:p w14:paraId="1CA29F39">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bookmarkStart w:id="22" w:name="_Toc144082148"/>
      <w:bookmarkStart w:id="23" w:name="_Toc167507414"/>
      <w:bookmarkStart w:id="24" w:name="_Toc142294646"/>
      <w:bookmarkStart w:id="25" w:name="_Toc183166144"/>
      <w:r>
        <w:rPr>
          <w:rFonts w:hint="default" w:ascii="Times New Roman" w:hAnsi="Times New Roman" w:eastAsia="宋体" w:cs="Times New Roman"/>
          <w:color w:val="000000" w:themeColor="text1"/>
          <w:sz w:val="28"/>
          <w:szCs w:val="28"/>
          <w:lang w:val="en-US" w:eastAsia="zh-CN"/>
          <w14:textFill>
            <w14:solidFill>
              <w14:schemeClr w14:val="tx1"/>
            </w14:solidFill>
          </w14:textFill>
        </w:rPr>
        <w:t>矿区</w:t>
      </w:r>
      <w:r>
        <w:rPr>
          <w:rFonts w:hint="default" w:ascii="Times New Roman" w:hAnsi="Times New Roman" w:eastAsia="宋体" w:cs="Times New Roman"/>
          <w:color w:val="000000" w:themeColor="text1"/>
          <w:sz w:val="28"/>
          <w:szCs w:val="28"/>
          <w14:textFill>
            <w14:solidFill>
              <w14:schemeClr w14:val="tx1"/>
            </w14:solidFill>
          </w14:textFill>
        </w:rPr>
        <w:t>属北温带半干旱大陆性季风气候区，</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具有</w:t>
      </w:r>
      <w:r>
        <w:rPr>
          <w:rFonts w:hint="default" w:ascii="Times New Roman" w:hAnsi="Times New Roman" w:eastAsia="宋体" w:cs="Times New Roman"/>
          <w:color w:val="000000" w:themeColor="text1"/>
          <w:sz w:val="28"/>
          <w:szCs w:val="28"/>
          <w14:textFill>
            <w14:solidFill>
              <w14:schemeClr w14:val="tx1"/>
            </w14:solidFill>
          </w14:textFill>
        </w:rPr>
        <w:t>冬季漫长寒冷、降雪稀少；春季干旱多大风天气；夏季短促炎热、雨量集中；秋季气温下降快、霜冻来临早的气候特征。</w:t>
      </w:r>
    </w:p>
    <w:p w14:paraId="2732F35F">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根据赤峰市气象局近20年</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气象</w:t>
      </w:r>
      <w:r>
        <w:rPr>
          <w:rFonts w:hint="default" w:ascii="Times New Roman" w:hAnsi="Times New Roman" w:eastAsia="宋体" w:cs="Times New Roman"/>
          <w:color w:val="000000" w:themeColor="text1"/>
          <w:kern w:val="2"/>
          <w:sz w:val="28"/>
          <w:szCs w:val="28"/>
          <w:lang w:val="en-US" w:eastAsia="zh-CN" w:bidi="ar-SA"/>
          <w14:textFill>
            <w14:solidFill>
              <w14:schemeClr w14:val="tx1"/>
            </w14:solidFill>
          </w14:textFill>
        </w:rPr>
        <w:t>资料</w:t>
      </w:r>
      <w:r>
        <w:rPr>
          <w:rFonts w:hint="default" w:ascii="Times New Roman" w:hAnsi="Times New Roman" w:eastAsia="宋体" w:cs="Times New Roman"/>
          <w:color w:val="000000" w:themeColor="text1"/>
          <w:sz w:val="28"/>
          <w:szCs w:val="28"/>
          <w14:textFill>
            <w14:solidFill>
              <w14:schemeClr w14:val="tx1"/>
            </w14:solidFill>
          </w14:textFill>
        </w:rPr>
        <w:t>统计，全区年平均气温多6.0～8.0℃，极端最高气温39℃，极端最低气温</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40.5℃；最大冻土深度2.</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0</w:t>
      </w:r>
      <w:r>
        <w:rPr>
          <w:rFonts w:hint="default" w:ascii="Times New Roman" w:hAnsi="Times New Roman" w:eastAsia="宋体" w:cs="Times New Roman"/>
          <w:color w:val="000000" w:themeColor="text1"/>
          <w:sz w:val="28"/>
          <w:szCs w:val="28"/>
          <w14:textFill>
            <w14:solidFill>
              <w14:schemeClr w14:val="tx1"/>
            </w14:solidFill>
          </w14:textFill>
        </w:rPr>
        <w:t>m，风速3.2～4.2m</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s。多年平均气温7.8℃，最高气温在7月份，最低气温在1月份，最高气温23.7℃，最低气温</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10.4℃，无霜期为141天。多年平均降水量为</w:t>
      </w:r>
      <w:r>
        <w:rPr>
          <w:rFonts w:hint="default" w:ascii="Times New Roman" w:hAnsi="Times New Roman" w:eastAsia="宋体" w:cs="Times New Roman"/>
          <w:color w:val="000000" w:themeColor="text1"/>
          <w:kern w:val="2"/>
          <w:sz w:val="28"/>
          <w:szCs w:val="28"/>
          <w:highlight w:val="none"/>
          <w:lang w:val="en-US" w:eastAsia="zh-CN" w:bidi="ar-SA"/>
          <w14:textFill>
            <w14:solidFill>
              <w14:schemeClr w14:val="tx1"/>
            </w14:solidFill>
          </w14:textFill>
        </w:rPr>
        <w:t>401.9</w:t>
      </w:r>
      <w:r>
        <w:rPr>
          <w:rFonts w:hint="default" w:ascii="Times New Roman" w:hAnsi="Times New Roman" w:eastAsia="宋体" w:cs="Times New Roman"/>
          <w:color w:val="000000" w:themeColor="text1"/>
          <w:sz w:val="28"/>
          <w:szCs w:val="28"/>
          <w14:textFill>
            <w14:solidFill>
              <w14:schemeClr w14:val="tx1"/>
            </w14:solidFill>
          </w14:textFill>
        </w:rPr>
        <w:t>mm，最大年降水量为558.4mm，最小年降水量233.6mm，日最大降水量为72.5，降水多集中在6～8月份，占全年降水量的66%。由于气候干燥，年蒸发量较大，多年平均蒸发量为1687.54mm，年最大蒸发量为2325.8mm，年最小蒸发量为1131.4mm。本区常年刮西北风，冬春风力大，湿度较小，多年平均湿度为49%。</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矿区</w:t>
      </w:r>
      <w:r>
        <w:rPr>
          <w:rFonts w:hint="default" w:ascii="Times New Roman" w:hAnsi="Times New Roman" w:eastAsia="宋体" w:cs="Times New Roman"/>
          <w:color w:val="000000" w:themeColor="text1"/>
          <w:sz w:val="28"/>
          <w:szCs w:val="28"/>
          <w14:textFill>
            <w14:solidFill>
              <w14:schemeClr w14:val="tx1"/>
            </w14:solidFill>
          </w14:textFill>
        </w:rPr>
        <w:t>近</w:t>
      </w:r>
      <w:r>
        <w:rPr>
          <w:rFonts w:hint="eastAsia" w:cs="Times New Roman"/>
          <w:color w:val="000000" w:themeColor="text1"/>
          <w:sz w:val="28"/>
          <w:szCs w:val="28"/>
          <w:lang w:val="en-US" w:eastAsia="zh-CN"/>
          <w14:textFill>
            <w14:solidFill>
              <w14:schemeClr w14:val="tx1"/>
            </w14:solidFill>
          </w14:textFill>
        </w:rPr>
        <w:t>1</w:t>
      </w:r>
      <w:r>
        <w:rPr>
          <w:rFonts w:hint="default" w:ascii="Times New Roman" w:hAnsi="Times New Roman" w:eastAsia="宋体" w:cs="Times New Roman"/>
          <w:color w:val="000000" w:themeColor="text1"/>
          <w:sz w:val="28"/>
          <w:szCs w:val="28"/>
          <w14:textFill>
            <w14:solidFill>
              <w14:schemeClr w14:val="tx1"/>
            </w14:solidFill>
          </w14:textFill>
        </w:rPr>
        <w:t>0年</w:t>
      </w:r>
      <w:r>
        <w:rPr>
          <w:rFonts w:hint="eastAsia" w:cs="Times New Roman"/>
          <w:color w:val="000000" w:themeColor="text1"/>
          <w:sz w:val="28"/>
          <w:szCs w:val="28"/>
          <w:lang w:eastAsia="zh-CN"/>
          <w14:textFill>
            <w14:solidFill>
              <w14:schemeClr w14:val="tx1"/>
            </w14:solidFill>
          </w14:textFill>
        </w:rPr>
        <w:t>（</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20</w:t>
      </w:r>
      <w:r>
        <w:rPr>
          <w:rFonts w:hint="eastAsia" w:cs="Times New Roman"/>
          <w:color w:val="000000" w:themeColor="text1"/>
          <w:sz w:val="28"/>
          <w:szCs w:val="28"/>
          <w:lang w:val="en-US" w:eastAsia="zh-CN"/>
          <w14:textFill>
            <w14:solidFill>
              <w14:schemeClr w14:val="tx1"/>
            </w14:solidFill>
          </w14:textFill>
        </w:rPr>
        <w:t>16</w:t>
      </w:r>
      <w:r>
        <w:rPr>
          <w:rFonts w:hint="default" w:ascii="Times New Roman" w:hAnsi="Times New Roman" w:eastAsia="宋体" w:cs="Times New Roman"/>
          <w:color w:val="000000" w:themeColor="text1"/>
          <w:sz w:val="28"/>
          <w:szCs w:val="28"/>
          <w14:textFill>
            <w14:solidFill>
              <w14:schemeClr w14:val="tx1"/>
            </w14:solidFill>
          </w14:textFill>
        </w:rPr>
        <w:t>～20</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2</w:t>
      </w:r>
      <w:r>
        <w:rPr>
          <w:rFonts w:hint="eastAsia" w:cs="Times New Roman"/>
          <w:color w:val="000000" w:themeColor="text1"/>
          <w:sz w:val="28"/>
          <w:szCs w:val="28"/>
          <w:lang w:val="en-US" w:eastAsia="zh-CN"/>
          <w14:textFill>
            <w14:solidFill>
              <w14:schemeClr w14:val="tx1"/>
            </w14:solidFill>
          </w14:textFill>
        </w:rPr>
        <w:t>5</w:t>
      </w:r>
      <w:r>
        <w:rPr>
          <w:rFonts w:hint="default" w:ascii="Times New Roman" w:hAnsi="Times New Roman" w:eastAsia="宋体" w:cs="Times New Roman"/>
          <w:color w:val="000000" w:themeColor="text1"/>
          <w:sz w:val="28"/>
          <w:szCs w:val="28"/>
          <w14:textFill>
            <w14:solidFill>
              <w14:schemeClr w14:val="tx1"/>
            </w14:solidFill>
          </w14:textFill>
        </w:rPr>
        <w:t>年</w:t>
      </w: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月平均</w:t>
      </w:r>
      <w:r>
        <w:rPr>
          <w:rFonts w:hint="default" w:ascii="Times New Roman" w:hAnsi="Times New Roman" w:eastAsia="宋体" w:cs="Times New Roman"/>
          <w:color w:val="000000" w:themeColor="text1"/>
          <w:sz w:val="28"/>
          <w:szCs w:val="28"/>
          <w14:textFill>
            <w14:solidFill>
              <w14:schemeClr w14:val="tx1"/>
            </w14:solidFill>
          </w14:textFill>
        </w:rPr>
        <w:t>降水量、蒸发量、平均气温、相对湿度见</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表2-1至表2-3、图2-1</w:t>
      </w:r>
      <w:r>
        <w:rPr>
          <w:rFonts w:hint="default" w:ascii="Times New Roman" w:hAnsi="Times New Roman" w:cs="Times New Roman"/>
          <w:color w:val="000000" w:themeColor="text1"/>
          <w:sz w:val="28"/>
          <w:szCs w:val="28"/>
          <w14:textFill>
            <w14:solidFill>
              <w14:schemeClr w14:val="tx1"/>
            </w14:solidFill>
          </w14:textFill>
        </w:rPr>
        <w:t>。</w:t>
      </w:r>
    </w:p>
    <w:p w14:paraId="43C9D9ED">
      <w:pPr>
        <w:spacing w:line="360" w:lineRule="auto"/>
        <w:jc w:val="center"/>
        <w:rPr>
          <w:rFonts w:hint="eastAsia" w:ascii="黑体" w:hAnsi="黑体" w:eastAsia="黑体" w:cs="黑体"/>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表2-</w:t>
      </w:r>
      <w:r>
        <w:rPr>
          <w:rFonts w:hint="eastAsia" w:ascii="黑体" w:hAnsi="黑体" w:eastAsia="黑体" w:cs="黑体"/>
          <w:b w:val="0"/>
          <w:bCs w:val="0"/>
          <w:color w:val="000000" w:themeColor="text1"/>
          <w:sz w:val="24"/>
          <w:szCs w:val="24"/>
          <w:lang w:val="en-US" w:eastAsia="zh-CN"/>
          <w14:textFill>
            <w14:solidFill>
              <w14:schemeClr w14:val="tx1"/>
            </w14:solidFill>
          </w14:textFill>
        </w:rPr>
        <w:t xml:space="preserve">1 </w:t>
      </w:r>
      <w:r>
        <w:rPr>
          <w:rFonts w:hint="eastAsia" w:ascii="黑体" w:hAnsi="黑体" w:eastAsia="黑体" w:cs="黑体"/>
          <w:b w:val="0"/>
          <w:bCs w:val="0"/>
          <w:color w:val="000000" w:themeColor="text1"/>
          <w:sz w:val="24"/>
          <w:szCs w:val="24"/>
          <w14:textFill>
            <w14:solidFill>
              <w14:schemeClr w14:val="tx1"/>
            </w14:solidFill>
          </w14:textFill>
        </w:rPr>
        <w:t xml:space="preserve"> </w:t>
      </w:r>
      <w:r>
        <w:rPr>
          <w:rFonts w:hint="eastAsia" w:ascii="黑体" w:hAnsi="黑体" w:eastAsia="黑体" w:cs="黑体"/>
          <w:b w:val="0"/>
          <w:bCs w:val="0"/>
          <w:color w:val="000000" w:themeColor="text1"/>
          <w:sz w:val="24"/>
          <w:szCs w:val="24"/>
          <w:lang w:val="en-US" w:eastAsia="zh-CN"/>
          <w14:textFill>
            <w14:solidFill>
              <w14:schemeClr w14:val="tx1"/>
            </w14:solidFill>
          </w14:textFill>
        </w:rPr>
        <w:t>矿区</w:t>
      </w:r>
      <w:r>
        <w:rPr>
          <w:rFonts w:hint="eastAsia" w:ascii="黑体" w:hAnsi="黑体" w:eastAsia="黑体" w:cs="黑体"/>
          <w:b w:val="0"/>
          <w:bCs w:val="0"/>
          <w:color w:val="000000" w:themeColor="text1"/>
          <w:sz w:val="24"/>
          <w:szCs w:val="24"/>
          <w14:textFill>
            <w14:solidFill>
              <w14:schemeClr w14:val="tx1"/>
            </w14:solidFill>
          </w14:textFill>
        </w:rPr>
        <w:t>多年逐月平均降水量</w:t>
      </w:r>
      <w:r>
        <w:rPr>
          <w:rFonts w:hint="eastAsia" w:ascii="黑体" w:hAnsi="黑体" w:eastAsia="黑体" w:cs="黑体"/>
          <w:b w:val="0"/>
          <w:bCs w:val="0"/>
          <w:color w:val="000000" w:themeColor="text1"/>
          <w:sz w:val="24"/>
          <w:szCs w:val="24"/>
          <w:lang w:eastAsia="zh-CN"/>
          <w14:textFill>
            <w14:solidFill>
              <w14:schemeClr w14:val="tx1"/>
            </w14:solidFill>
          </w14:textFill>
        </w:rPr>
        <w:t>、</w:t>
      </w:r>
      <w:r>
        <w:rPr>
          <w:rFonts w:hint="eastAsia" w:ascii="黑体" w:hAnsi="黑体" w:eastAsia="黑体" w:cs="黑体"/>
          <w:b w:val="0"/>
          <w:bCs w:val="0"/>
          <w:color w:val="000000" w:themeColor="text1"/>
          <w:sz w:val="24"/>
          <w:szCs w:val="24"/>
          <w14:textFill>
            <w14:solidFill>
              <w14:schemeClr w14:val="tx1"/>
            </w14:solidFill>
          </w14:textFill>
        </w:rPr>
        <w:t>蒸发量统计表</w:t>
      </w:r>
    </w:p>
    <w:tbl>
      <w:tblPr>
        <w:tblStyle w:val="30"/>
        <w:tblW w:w="4893" w:type="pct"/>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615"/>
        <w:gridCol w:w="675"/>
        <w:gridCol w:w="705"/>
        <w:gridCol w:w="720"/>
        <w:gridCol w:w="735"/>
        <w:gridCol w:w="585"/>
        <w:gridCol w:w="735"/>
        <w:gridCol w:w="630"/>
        <w:gridCol w:w="720"/>
        <w:gridCol w:w="738"/>
        <w:gridCol w:w="597"/>
        <w:gridCol w:w="750"/>
      </w:tblGrid>
      <w:tr w14:paraId="6B0F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486" w:type="pct"/>
            <w:vAlign w:val="center"/>
          </w:tcPr>
          <w:p w14:paraId="0CE15FC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月份</w:t>
            </w:r>
          </w:p>
        </w:tc>
        <w:tc>
          <w:tcPr>
            <w:tcW w:w="338" w:type="pct"/>
            <w:vAlign w:val="center"/>
          </w:tcPr>
          <w:p w14:paraId="3D23400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1月</w:t>
            </w:r>
          </w:p>
        </w:tc>
        <w:tc>
          <w:tcPr>
            <w:tcW w:w="371" w:type="pct"/>
            <w:vAlign w:val="center"/>
          </w:tcPr>
          <w:p w14:paraId="0C5C79B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2月</w:t>
            </w:r>
          </w:p>
        </w:tc>
        <w:tc>
          <w:tcPr>
            <w:tcW w:w="387" w:type="pct"/>
            <w:vAlign w:val="center"/>
          </w:tcPr>
          <w:p w14:paraId="52B5BF7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3月</w:t>
            </w:r>
          </w:p>
        </w:tc>
        <w:tc>
          <w:tcPr>
            <w:tcW w:w="396" w:type="pct"/>
            <w:vAlign w:val="center"/>
          </w:tcPr>
          <w:p w14:paraId="217F003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4月</w:t>
            </w:r>
          </w:p>
        </w:tc>
        <w:tc>
          <w:tcPr>
            <w:tcW w:w="404" w:type="pct"/>
            <w:vAlign w:val="center"/>
          </w:tcPr>
          <w:p w14:paraId="2038EC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5月</w:t>
            </w:r>
          </w:p>
        </w:tc>
        <w:tc>
          <w:tcPr>
            <w:tcW w:w="321" w:type="pct"/>
            <w:vAlign w:val="center"/>
          </w:tcPr>
          <w:p w14:paraId="42E8950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6月</w:t>
            </w:r>
          </w:p>
        </w:tc>
        <w:tc>
          <w:tcPr>
            <w:tcW w:w="404" w:type="pct"/>
            <w:vAlign w:val="center"/>
          </w:tcPr>
          <w:p w14:paraId="1F9778B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7</w:t>
            </w:r>
            <w:r>
              <w:rPr>
                <w:rFonts w:hint="default" w:ascii="Times New Roman" w:hAnsi="Times New Roman" w:eastAsia="宋体" w:cs="Times New Roman"/>
                <w:color w:val="000000" w:themeColor="text1"/>
                <w:sz w:val="18"/>
                <w:szCs w:val="18"/>
                <w14:textFill>
                  <w14:solidFill>
                    <w14:schemeClr w14:val="tx1"/>
                  </w14:solidFill>
                </w14:textFill>
              </w:rPr>
              <w:t>月</w:t>
            </w:r>
          </w:p>
        </w:tc>
        <w:tc>
          <w:tcPr>
            <w:tcW w:w="346" w:type="pct"/>
            <w:vAlign w:val="center"/>
          </w:tcPr>
          <w:p w14:paraId="3B2EE17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8</w:t>
            </w:r>
            <w:r>
              <w:rPr>
                <w:rFonts w:hint="default" w:ascii="Times New Roman" w:hAnsi="Times New Roman" w:eastAsia="宋体" w:cs="Times New Roman"/>
                <w:color w:val="000000" w:themeColor="text1"/>
                <w:sz w:val="18"/>
                <w:szCs w:val="18"/>
                <w14:textFill>
                  <w14:solidFill>
                    <w14:schemeClr w14:val="tx1"/>
                  </w14:solidFill>
                </w14:textFill>
              </w:rPr>
              <w:t>月</w:t>
            </w:r>
          </w:p>
        </w:tc>
        <w:tc>
          <w:tcPr>
            <w:tcW w:w="396" w:type="pct"/>
            <w:vAlign w:val="center"/>
          </w:tcPr>
          <w:p w14:paraId="1F504E1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9</w:t>
            </w:r>
            <w:r>
              <w:rPr>
                <w:rFonts w:hint="default" w:ascii="Times New Roman" w:hAnsi="Times New Roman" w:eastAsia="宋体" w:cs="Times New Roman"/>
                <w:color w:val="000000" w:themeColor="text1"/>
                <w:sz w:val="18"/>
                <w:szCs w:val="18"/>
                <w14:textFill>
                  <w14:solidFill>
                    <w14:schemeClr w14:val="tx1"/>
                  </w14:solidFill>
                </w14:textFill>
              </w:rPr>
              <w:t>月</w:t>
            </w:r>
          </w:p>
        </w:tc>
        <w:tc>
          <w:tcPr>
            <w:tcW w:w="405" w:type="pct"/>
            <w:vAlign w:val="center"/>
          </w:tcPr>
          <w:p w14:paraId="435314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10</w:t>
            </w:r>
            <w:r>
              <w:rPr>
                <w:rFonts w:hint="default" w:ascii="Times New Roman" w:hAnsi="Times New Roman" w:eastAsia="宋体" w:cs="Times New Roman"/>
                <w:color w:val="000000" w:themeColor="text1"/>
                <w:sz w:val="18"/>
                <w:szCs w:val="18"/>
                <w14:textFill>
                  <w14:solidFill>
                    <w14:schemeClr w14:val="tx1"/>
                  </w14:solidFill>
                </w14:textFill>
              </w:rPr>
              <w:t>月</w:t>
            </w:r>
          </w:p>
        </w:tc>
        <w:tc>
          <w:tcPr>
            <w:tcW w:w="328" w:type="pct"/>
            <w:vAlign w:val="center"/>
          </w:tcPr>
          <w:p w14:paraId="4C7732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11</w:t>
            </w:r>
            <w:r>
              <w:rPr>
                <w:rFonts w:hint="default" w:ascii="Times New Roman" w:hAnsi="Times New Roman" w:eastAsia="宋体" w:cs="Times New Roman"/>
                <w:color w:val="000000" w:themeColor="text1"/>
                <w:sz w:val="18"/>
                <w:szCs w:val="18"/>
                <w14:textFill>
                  <w14:solidFill>
                    <w14:schemeClr w14:val="tx1"/>
                  </w14:solidFill>
                </w14:textFill>
              </w:rPr>
              <w:t>月</w:t>
            </w:r>
          </w:p>
        </w:tc>
        <w:tc>
          <w:tcPr>
            <w:tcW w:w="412" w:type="pct"/>
            <w:vAlign w:val="center"/>
          </w:tcPr>
          <w:p w14:paraId="541F7CA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lang w:val="en-US" w:eastAsia="zh-CN"/>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12</w:t>
            </w:r>
            <w:r>
              <w:rPr>
                <w:rFonts w:hint="default" w:ascii="Times New Roman" w:hAnsi="Times New Roman" w:eastAsia="宋体" w:cs="Times New Roman"/>
                <w:color w:val="000000" w:themeColor="text1"/>
                <w:sz w:val="18"/>
                <w:szCs w:val="18"/>
                <w14:textFill>
                  <w14:solidFill>
                    <w14:schemeClr w14:val="tx1"/>
                  </w14:solidFill>
                </w14:textFill>
              </w:rPr>
              <w:t>月</w:t>
            </w:r>
          </w:p>
        </w:tc>
      </w:tr>
      <w:tr w14:paraId="27E6F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486" w:type="pct"/>
            <w:vAlign w:val="center"/>
          </w:tcPr>
          <w:p w14:paraId="3C6EB40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lang w:val="en-US" w:eastAsia="zh-CN"/>
                <w14:textFill>
                  <w14:solidFill>
                    <w14:schemeClr w14:val="tx1"/>
                  </w14:solidFill>
                </w14:textFill>
              </w:rPr>
              <w:t>降水量</w:t>
            </w:r>
            <w:r>
              <w:rPr>
                <w:rFonts w:hint="default" w:ascii="Times New Roman" w:hAnsi="Times New Roman" w:eastAsia="宋体" w:cs="Times New Roman"/>
                <w:color w:val="000000" w:themeColor="text1"/>
                <w:sz w:val="18"/>
                <w:szCs w:val="18"/>
                <w14:textFill>
                  <w14:solidFill>
                    <w14:schemeClr w14:val="tx1"/>
                  </w14:solidFill>
                </w14:textFill>
              </w:rPr>
              <w:t>（mm）</w:t>
            </w:r>
          </w:p>
        </w:tc>
        <w:tc>
          <w:tcPr>
            <w:tcW w:w="338" w:type="pct"/>
            <w:vAlign w:val="center"/>
          </w:tcPr>
          <w:p w14:paraId="7DFCA7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0.5</w:t>
            </w:r>
          </w:p>
        </w:tc>
        <w:tc>
          <w:tcPr>
            <w:tcW w:w="371" w:type="pct"/>
            <w:vAlign w:val="center"/>
          </w:tcPr>
          <w:p w14:paraId="60A6BCF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2.9</w:t>
            </w:r>
          </w:p>
        </w:tc>
        <w:tc>
          <w:tcPr>
            <w:tcW w:w="387" w:type="pct"/>
            <w:vAlign w:val="center"/>
          </w:tcPr>
          <w:p w14:paraId="77AB67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7.7</w:t>
            </w:r>
          </w:p>
        </w:tc>
        <w:tc>
          <w:tcPr>
            <w:tcW w:w="396" w:type="pct"/>
            <w:vAlign w:val="center"/>
          </w:tcPr>
          <w:p w14:paraId="05BFE5E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17.8</w:t>
            </w:r>
          </w:p>
        </w:tc>
        <w:tc>
          <w:tcPr>
            <w:tcW w:w="404" w:type="pct"/>
            <w:vAlign w:val="center"/>
          </w:tcPr>
          <w:p w14:paraId="2DE3252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44.8</w:t>
            </w:r>
          </w:p>
        </w:tc>
        <w:tc>
          <w:tcPr>
            <w:tcW w:w="321" w:type="pct"/>
            <w:vAlign w:val="center"/>
          </w:tcPr>
          <w:p w14:paraId="7E164F3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82.4</w:t>
            </w:r>
          </w:p>
        </w:tc>
        <w:tc>
          <w:tcPr>
            <w:tcW w:w="404" w:type="pct"/>
            <w:vAlign w:val="center"/>
          </w:tcPr>
          <w:p w14:paraId="1DC1E9D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109.6</w:t>
            </w:r>
          </w:p>
        </w:tc>
        <w:tc>
          <w:tcPr>
            <w:tcW w:w="346" w:type="pct"/>
            <w:vAlign w:val="center"/>
          </w:tcPr>
          <w:p w14:paraId="1E876E1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63.1</w:t>
            </w:r>
          </w:p>
        </w:tc>
        <w:tc>
          <w:tcPr>
            <w:tcW w:w="396" w:type="pct"/>
            <w:vAlign w:val="center"/>
          </w:tcPr>
          <w:p w14:paraId="75DE96A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44.5</w:t>
            </w:r>
          </w:p>
        </w:tc>
        <w:tc>
          <w:tcPr>
            <w:tcW w:w="405" w:type="pct"/>
            <w:vAlign w:val="center"/>
          </w:tcPr>
          <w:p w14:paraId="2749437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26.8</w:t>
            </w:r>
          </w:p>
        </w:tc>
        <w:tc>
          <w:tcPr>
            <w:tcW w:w="328" w:type="pct"/>
            <w:vAlign w:val="center"/>
          </w:tcPr>
          <w:p w14:paraId="1B3BF86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13.6</w:t>
            </w:r>
          </w:p>
        </w:tc>
        <w:tc>
          <w:tcPr>
            <w:tcW w:w="412" w:type="pct"/>
            <w:vAlign w:val="center"/>
          </w:tcPr>
          <w:p w14:paraId="2CCFAF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0.9</w:t>
            </w:r>
          </w:p>
        </w:tc>
      </w:tr>
      <w:tr w14:paraId="5AC76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486" w:type="pct"/>
            <w:vAlign w:val="center"/>
          </w:tcPr>
          <w:p w14:paraId="4C45D99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蒸发量（mm）</w:t>
            </w:r>
          </w:p>
        </w:tc>
        <w:tc>
          <w:tcPr>
            <w:tcW w:w="338" w:type="pct"/>
            <w:vAlign w:val="center"/>
          </w:tcPr>
          <w:p w14:paraId="3E7851F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33.2</w:t>
            </w:r>
          </w:p>
        </w:tc>
        <w:tc>
          <w:tcPr>
            <w:tcW w:w="371" w:type="pct"/>
            <w:vAlign w:val="center"/>
          </w:tcPr>
          <w:p w14:paraId="4329ABF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53.67</w:t>
            </w:r>
          </w:p>
        </w:tc>
        <w:tc>
          <w:tcPr>
            <w:tcW w:w="387" w:type="pct"/>
            <w:vAlign w:val="center"/>
          </w:tcPr>
          <w:p w14:paraId="3FE3004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118.37</w:t>
            </w:r>
          </w:p>
        </w:tc>
        <w:tc>
          <w:tcPr>
            <w:tcW w:w="396" w:type="pct"/>
            <w:vAlign w:val="center"/>
          </w:tcPr>
          <w:p w14:paraId="482CF59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200.49</w:t>
            </w:r>
          </w:p>
        </w:tc>
        <w:tc>
          <w:tcPr>
            <w:tcW w:w="404" w:type="pct"/>
            <w:vAlign w:val="center"/>
          </w:tcPr>
          <w:p w14:paraId="273B102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270.44</w:t>
            </w:r>
          </w:p>
        </w:tc>
        <w:tc>
          <w:tcPr>
            <w:tcW w:w="321" w:type="pct"/>
            <w:vAlign w:val="center"/>
          </w:tcPr>
          <w:p w14:paraId="46C603B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33.2</w:t>
            </w:r>
          </w:p>
        </w:tc>
        <w:tc>
          <w:tcPr>
            <w:tcW w:w="404" w:type="pct"/>
            <w:vAlign w:val="center"/>
          </w:tcPr>
          <w:p w14:paraId="0B5A114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205</w:t>
            </w:r>
            <w:r>
              <w:rPr>
                <w:rFonts w:hint="eastAsia" w:ascii="Times New Roman" w:hAnsi="Times New Roman" w:cs="Times New Roman"/>
                <w:color w:val="000000" w:themeColor="text1"/>
                <w:sz w:val="18"/>
                <w:szCs w:val="18"/>
                <w:lang w:val="en-US" w:eastAsia="zh-CN"/>
                <w14:textFill>
                  <w14:solidFill>
                    <w14:schemeClr w14:val="tx1"/>
                  </w14:solidFill>
                </w14:textFill>
              </w:rPr>
              <w:t>.</w:t>
            </w:r>
            <w:r>
              <w:rPr>
                <w:rFonts w:hint="default" w:ascii="Times New Roman" w:hAnsi="Times New Roman" w:eastAsia="宋体" w:cs="Times New Roman"/>
                <w:color w:val="000000" w:themeColor="text1"/>
                <w:sz w:val="18"/>
                <w:szCs w:val="18"/>
                <w14:textFill>
                  <w14:solidFill>
                    <w14:schemeClr w14:val="tx1"/>
                  </w14:solidFill>
                </w14:textFill>
              </w:rPr>
              <w:t>31</w:t>
            </w:r>
          </w:p>
        </w:tc>
        <w:tc>
          <w:tcPr>
            <w:tcW w:w="346" w:type="pct"/>
            <w:vAlign w:val="center"/>
          </w:tcPr>
          <w:p w14:paraId="195512D3">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195.6</w:t>
            </w:r>
          </w:p>
        </w:tc>
        <w:tc>
          <w:tcPr>
            <w:tcW w:w="396" w:type="pct"/>
            <w:vAlign w:val="center"/>
          </w:tcPr>
          <w:p w14:paraId="57B16B4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159.35</w:t>
            </w:r>
          </w:p>
        </w:tc>
        <w:tc>
          <w:tcPr>
            <w:tcW w:w="405" w:type="pct"/>
            <w:vAlign w:val="center"/>
          </w:tcPr>
          <w:p w14:paraId="11E85FA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117.43</w:t>
            </w:r>
          </w:p>
        </w:tc>
        <w:tc>
          <w:tcPr>
            <w:tcW w:w="328" w:type="pct"/>
            <w:vAlign w:val="center"/>
          </w:tcPr>
          <w:p w14:paraId="6C4F89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60.2</w:t>
            </w:r>
          </w:p>
        </w:tc>
        <w:tc>
          <w:tcPr>
            <w:tcW w:w="412" w:type="pct"/>
            <w:vAlign w:val="center"/>
          </w:tcPr>
          <w:p w14:paraId="1C8E1081">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themeColor="text1"/>
                <w:sz w:val="18"/>
                <w:szCs w:val="18"/>
                <w14:textFill>
                  <w14:solidFill>
                    <w14:schemeClr w14:val="tx1"/>
                  </w14:solidFill>
                </w14:textFill>
              </w:rPr>
            </w:pPr>
            <w:r>
              <w:rPr>
                <w:rFonts w:hint="default" w:ascii="Times New Roman" w:hAnsi="Times New Roman" w:eastAsia="宋体" w:cs="Times New Roman"/>
                <w:color w:val="000000" w:themeColor="text1"/>
                <w:sz w:val="18"/>
                <w:szCs w:val="18"/>
                <w14:textFill>
                  <w14:solidFill>
                    <w14:schemeClr w14:val="tx1"/>
                  </w14:solidFill>
                </w14:textFill>
              </w:rPr>
              <w:t>205</w:t>
            </w:r>
            <w:r>
              <w:rPr>
                <w:rFonts w:hint="default" w:ascii="Times New Roman" w:hAnsi="Times New Roman" w:cs="Times New Roman"/>
                <w:color w:val="000000" w:themeColor="text1"/>
                <w:sz w:val="18"/>
                <w:szCs w:val="18"/>
                <w:lang w:val="en-US" w:eastAsia="zh-CN"/>
                <w14:textFill>
                  <w14:solidFill>
                    <w14:schemeClr w14:val="tx1"/>
                  </w14:solidFill>
                </w14:textFill>
              </w:rPr>
              <w:t>.</w:t>
            </w:r>
            <w:r>
              <w:rPr>
                <w:rFonts w:hint="default" w:ascii="Times New Roman" w:hAnsi="Times New Roman" w:eastAsia="宋体" w:cs="Times New Roman"/>
                <w:color w:val="000000" w:themeColor="text1"/>
                <w:sz w:val="18"/>
                <w:szCs w:val="18"/>
                <w14:textFill>
                  <w14:solidFill>
                    <w14:schemeClr w14:val="tx1"/>
                  </w14:solidFill>
                </w14:textFill>
              </w:rPr>
              <w:t>31</w:t>
            </w:r>
          </w:p>
        </w:tc>
      </w:tr>
    </w:tbl>
    <w:p w14:paraId="406458FF">
      <w:pPr>
        <w:keepNext w:val="0"/>
        <w:keepLines w:val="0"/>
        <w:pageBreakBefore w:val="0"/>
        <w:widowControl w:val="0"/>
        <w:kinsoku/>
        <w:wordWrap/>
        <w:overflowPunct/>
        <w:topLinePunct w:val="0"/>
        <w:autoSpaceDE/>
        <w:autoSpaceDN/>
        <w:bidi w:val="0"/>
        <w:adjustRightInd/>
        <w:snapToGrid/>
        <w:spacing w:before="144" w:beforeLines="50" w:line="360" w:lineRule="auto"/>
        <w:jc w:val="center"/>
        <w:textAlignment w:val="auto"/>
        <w:rPr>
          <w:rFonts w:hint="eastAsia" w:ascii="黑体" w:hAnsi="黑体" w:eastAsia="黑体" w:cs="黑体"/>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表2-</w:t>
      </w:r>
      <w:r>
        <w:rPr>
          <w:rFonts w:hint="eastAsia" w:ascii="黑体" w:hAnsi="黑体" w:eastAsia="黑体" w:cs="黑体"/>
          <w:b w:val="0"/>
          <w:bCs w:val="0"/>
          <w:color w:val="000000" w:themeColor="text1"/>
          <w:sz w:val="24"/>
          <w:szCs w:val="24"/>
          <w:lang w:val="en-US" w:eastAsia="zh-CN"/>
          <w14:textFill>
            <w14:solidFill>
              <w14:schemeClr w14:val="tx1"/>
            </w14:solidFill>
          </w14:textFill>
        </w:rPr>
        <w:t>2</w:t>
      </w:r>
      <w:r>
        <w:rPr>
          <w:rFonts w:hint="eastAsia" w:ascii="黑体" w:hAnsi="黑体" w:eastAsia="黑体" w:cs="黑体"/>
          <w:b w:val="0"/>
          <w:bCs w:val="0"/>
          <w:color w:val="000000" w:themeColor="text1"/>
          <w:sz w:val="24"/>
          <w:szCs w:val="24"/>
          <w14:textFill>
            <w14:solidFill>
              <w14:schemeClr w14:val="tx1"/>
            </w14:solidFill>
          </w14:textFill>
        </w:rPr>
        <w:t xml:space="preserve"> </w:t>
      </w:r>
      <w:r>
        <w:rPr>
          <w:rFonts w:hint="eastAsia" w:ascii="黑体" w:hAnsi="黑体" w:eastAsia="黑体" w:cs="黑体"/>
          <w:b w:val="0"/>
          <w:bCs w:val="0"/>
          <w:color w:val="000000" w:themeColor="text1"/>
          <w:sz w:val="24"/>
          <w:szCs w:val="24"/>
          <w:lang w:val="en-US" w:eastAsia="zh-CN"/>
          <w14:textFill>
            <w14:solidFill>
              <w14:schemeClr w14:val="tx1"/>
            </w14:solidFill>
          </w14:textFill>
        </w:rPr>
        <w:t xml:space="preserve"> 矿区</w:t>
      </w:r>
      <w:r>
        <w:rPr>
          <w:rFonts w:hint="eastAsia" w:ascii="黑体" w:hAnsi="黑体" w:eastAsia="黑体" w:cs="黑体"/>
          <w:b w:val="0"/>
          <w:bCs w:val="0"/>
          <w:color w:val="000000" w:themeColor="text1"/>
          <w:sz w:val="24"/>
          <w:szCs w:val="24"/>
          <w14:textFill>
            <w14:solidFill>
              <w14:schemeClr w14:val="tx1"/>
            </w14:solidFill>
          </w14:textFill>
        </w:rPr>
        <w:t>多年月平均气温统计表</w:t>
      </w:r>
    </w:p>
    <w:tbl>
      <w:tblPr>
        <w:tblStyle w:val="30"/>
        <w:tblW w:w="4945" w:type="pct"/>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0"/>
        <w:gridCol w:w="652"/>
        <w:gridCol w:w="652"/>
        <w:gridCol w:w="652"/>
        <w:gridCol w:w="652"/>
        <w:gridCol w:w="652"/>
        <w:gridCol w:w="652"/>
        <w:gridCol w:w="652"/>
        <w:gridCol w:w="652"/>
        <w:gridCol w:w="652"/>
        <w:gridCol w:w="652"/>
        <w:gridCol w:w="652"/>
        <w:gridCol w:w="663"/>
      </w:tblGrid>
      <w:tr w14:paraId="0B030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734" w:type="pct"/>
            <w:vAlign w:val="center"/>
          </w:tcPr>
          <w:p w14:paraId="278645C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月份</w:t>
            </w:r>
          </w:p>
        </w:tc>
        <w:tc>
          <w:tcPr>
            <w:tcW w:w="354" w:type="pct"/>
            <w:vAlign w:val="center"/>
          </w:tcPr>
          <w:p w14:paraId="652EB3C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1</w:t>
            </w:r>
          </w:p>
        </w:tc>
        <w:tc>
          <w:tcPr>
            <w:tcW w:w="354" w:type="pct"/>
            <w:vAlign w:val="center"/>
          </w:tcPr>
          <w:p w14:paraId="4BB4FCF7">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2</w:t>
            </w:r>
          </w:p>
        </w:tc>
        <w:tc>
          <w:tcPr>
            <w:tcW w:w="354" w:type="pct"/>
            <w:vAlign w:val="center"/>
          </w:tcPr>
          <w:p w14:paraId="795977B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3</w:t>
            </w:r>
          </w:p>
        </w:tc>
        <w:tc>
          <w:tcPr>
            <w:tcW w:w="354" w:type="pct"/>
            <w:vAlign w:val="center"/>
          </w:tcPr>
          <w:p w14:paraId="78531F4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4</w:t>
            </w:r>
          </w:p>
        </w:tc>
        <w:tc>
          <w:tcPr>
            <w:tcW w:w="354" w:type="pct"/>
            <w:vAlign w:val="center"/>
          </w:tcPr>
          <w:p w14:paraId="27E367E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5</w:t>
            </w:r>
          </w:p>
        </w:tc>
        <w:tc>
          <w:tcPr>
            <w:tcW w:w="354" w:type="pct"/>
            <w:vAlign w:val="center"/>
          </w:tcPr>
          <w:p w14:paraId="5A1671B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6</w:t>
            </w:r>
          </w:p>
        </w:tc>
        <w:tc>
          <w:tcPr>
            <w:tcW w:w="354" w:type="pct"/>
            <w:vAlign w:val="center"/>
          </w:tcPr>
          <w:p w14:paraId="3462C78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7</w:t>
            </w:r>
          </w:p>
        </w:tc>
        <w:tc>
          <w:tcPr>
            <w:tcW w:w="354" w:type="pct"/>
            <w:vAlign w:val="center"/>
          </w:tcPr>
          <w:p w14:paraId="569B71E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8</w:t>
            </w:r>
          </w:p>
        </w:tc>
        <w:tc>
          <w:tcPr>
            <w:tcW w:w="354" w:type="pct"/>
            <w:vAlign w:val="center"/>
          </w:tcPr>
          <w:p w14:paraId="776D2A7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9</w:t>
            </w:r>
          </w:p>
        </w:tc>
        <w:tc>
          <w:tcPr>
            <w:tcW w:w="354" w:type="pct"/>
            <w:vAlign w:val="center"/>
          </w:tcPr>
          <w:p w14:paraId="77D452A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10</w:t>
            </w:r>
          </w:p>
        </w:tc>
        <w:tc>
          <w:tcPr>
            <w:tcW w:w="354" w:type="pct"/>
            <w:vAlign w:val="center"/>
          </w:tcPr>
          <w:p w14:paraId="709B8F8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11</w:t>
            </w:r>
          </w:p>
        </w:tc>
        <w:tc>
          <w:tcPr>
            <w:tcW w:w="360" w:type="pct"/>
            <w:vAlign w:val="center"/>
          </w:tcPr>
          <w:p w14:paraId="7B6CD75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12</w:t>
            </w:r>
          </w:p>
        </w:tc>
      </w:tr>
      <w:tr w14:paraId="5A155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734" w:type="pct"/>
            <w:vAlign w:val="center"/>
          </w:tcPr>
          <w:p w14:paraId="446DFC4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平均气温（℃）</w:t>
            </w:r>
          </w:p>
        </w:tc>
        <w:tc>
          <w:tcPr>
            <w:tcW w:w="354" w:type="pct"/>
            <w:vAlign w:val="center"/>
          </w:tcPr>
          <w:p w14:paraId="4A73A92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-10.4</w:t>
            </w:r>
          </w:p>
        </w:tc>
        <w:tc>
          <w:tcPr>
            <w:tcW w:w="354" w:type="pct"/>
            <w:vAlign w:val="center"/>
          </w:tcPr>
          <w:p w14:paraId="522C041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-6.6</w:t>
            </w:r>
          </w:p>
        </w:tc>
        <w:tc>
          <w:tcPr>
            <w:tcW w:w="354" w:type="pct"/>
            <w:vAlign w:val="center"/>
          </w:tcPr>
          <w:p w14:paraId="7DA5F3E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0.4</w:t>
            </w:r>
          </w:p>
        </w:tc>
        <w:tc>
          <w:tcPr>
            <w:tcW w:w="354" w:type="pct"/>
            <w:vAlign w:val="center"/>
          </w:tcPr>
          <w:p w14:paraId="628A769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10</w:t>
            </w:r>
          </w:p>
        </w:tc>
        <w:tc>
          <w:tcPr>
            <w:tcW w:w="354" w:type="pct"/>
            <w:vAlign w:val="center"/>
          </w:tcPr>
          <w:p w14:paraId="74F4C6B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17</w:t>
            </w:r>
          </w:p>
        </w:tc>
        <w:tc>
          <w:tcPr>
            <w:tcW w:w="354" w:type="pct"/>
            <w:vAlign w:val="center"/>
          </w:tcPr>
          <w:p w14:paraId="6D77387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21.6</w:t>
            </w:r>
          </w:p>
        </w:tc>
        <w:tc>
          <w:tcPr>
            <w:tcW w:w="354" w:type="pct"/>
            <w:vAlign w:val="center"/>
          </w:tcPr>
          <w:p w14:paraId="43180B5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23.7</w:t>
            </w:r>
          </w:p>
        </w:tc>
        <w:tc>
          <w:tcPr>
            <w:tcW w:w="354" w:type="pct"/>
            <w:vAlign w:val="center"/>
          </w:tcPr>
          <w:p w14:paraId="63B5B76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22.1</w:t>
            </w:r>
          </w:p>
        </w:tc>
        <w:tc>
          <w:tcPr>
            <w:tcW w:w="354" w:type="pct"/>
            <w:vAlign w:val="center"/>
          </w:tcPr>
          <w:p w14:paraId="0660E2B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16.4</w:t>
            </w:r>
          </w:p>
        </w:tc>
        <w:tc>
          <w:tcPr>
            <w:tcW w:w="354" w:type="pct"/>
            <w:vAlign w:val="center"/>
          </w:tcPr>
          <w:p w14:paraId="4A680BE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8.6</w:t>
            </w:r>
          </w:p>
        </w:tc>
        <w:tc>
          <w:tcPr>
            <w:tcW w:w="354" w:type="pct"/>
            <w:vAlign w:val="center"/>
          </w:tcPr>
          <w:p w14:paraId="5A6F8A3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-1.2</w:t>
            </w:r>
          </w:p>
        </w:tc>
        <w:tc>
          <w:tcPr>
            <w:tcW w:w="360" w:type="pct"/>
            <w:vAlign w:val="center"/>
          </w:tcPr>
          <w:p w14:paraId="140785F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-7.9</w:t>
            </w:r>
          </w:p>
        </w:tc>
      </w:tr>
    </w:tbl>
    <w:p w14:paraId="1CE6CDC6">
      <w:pPr>
        <w:keepNext w:val="0"/>
        <w:keepLines w:val="0"/>
        <w:pageBreakBefore w:val="0"/>
        <w:widowControl w:val="0"/>
        <w:kinsoku/>
        <w:wordWrap/>
        <w:overflowPunct/>
        <w:topLinePunct w:val="0"/>
        <w:autoSpaceDE/>
        <w:autoSpaceDN/>
        <w:bidi w:val="0"/>
        <w:adjustRightInd/>
        <w:snapToGrid/>
        <w:spacing w:before="157" w:beforeLines="50" w:line="360" w:lineRule="auto"/>
        <w:jc w:val="center"/>
        <w:textAlignment w:val="auto"/>
        <w:rPr>
          <w:rFonts w:hint="eastAsia" w:ascii="黑体" w:hAnsi="黑体" w:eastAsia="黑体" w:cs="黑体"/>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表2-</w:t>
      </w:r>
      <w:r>
        <w:rPr>
          <w:rFonts w:hint="eastAsia" w:ascii="黑体" w:hAnsi="黑体" w:eastAsia="黑体" w:cs="黑体"/>
          <w:b w:val="0"/>
          <w:bCs w:val="0"/>
          <w:color w:val="000000" w:themeColor="text1"/>
          <w:sz w:val="24"/>
          <w:szCs w:val="24"/>
          <w:lang w:val="en-US" w:eastAsia="zh-CN"/>
          <w14:textFill>
            <w14:solidFill>
              <w14:schemeClr w14:val="tx1"/>
            </w14:solidFill>
          </w14:textFill>
        </w:rPr>
        <w:t>3</w:t>
      </w:r>
      <w:r>
        <w:rPr>
          <w:rFonts w:hint="eastAsia" w:ascii="黑体" w:hAnsi="黑体" w:eastAsia="黑体" w:cs="黑体"/>
          <w:b w:val="0"/>
          <w:bCs w:val="0"/>
          <w:color w:val="000000" w:themeColor="text1"/>
          <w:sz w:val="24"/>
          <w:szCs w:val="24"/>
          <w14:textFill>
            <w14:solidFill>
              <w14:schemeClr w14:val="tx1"/>
            </w14:solidFill>
          </w14:textFill>
        </w:rPr>
        <w:t xml:space="preserve"> </w:t>
      </w:r>
      <w:r>
        <w:rPr>
          <w:rFonts w:hint="eastAsia" w:ascii="黑体" w:hAnsi="黑体" w:eastAsia="黑体" w:cs="黑体"/>
          <w:b w:val="0"/>
          <w:bCs w:val="0"/>
          <w:color w:val="000000" w:themeColor="text1"/>
          <w:sz w:val="24"/>
          <w:szCs w:val="24"/>
          <w:lang w:val="en-US" w:eastAsia="zh-CN"/>
          <w14:textFill>
            <w14:solidFill>
              <w14:schemeClr w14:val="tx1"/>
            </w14:solidFill>
          </w14:textFill>
        </w:rPr>
        <w:t xml:space="preserve"> 矿区</w:t>
      </w:r>
      <w:r>
        <w:rPr>
          <w:rFonts w:hint="eastAsia" w:ascii="黑体" w:hAnsi="黑体" w:eastAsia="黑体" w:cs="黑体"/>
          <w:b w:val="0"/>
          <w:bCs w:val="0"/>
          <w:color w:val="000000" w:themeColor="text1"/>
          <w:sz w:val="24"/>
          <w:szCs w:val="24"/>
          <w14:textFill>
            <w14:solidFill>
              <w14:schemeClr w14:val="tx1"/>
            </w14:solidFill>
          </w14:textFill>
        </w:rPr>
        <w:t>多年月相对湿度统计表</w:t>
      </w:r>
    </w:p>
    <w:tbl>
      <w:tblPr>
        <w:tblStyle w:val="30"/>
        <w:tblW w:w="4898" w:type="pct"/>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3"/>
        <w:gridCol w:w="646"/>
        <w:gridCol w:w="647"/>
        <w:gridCol w:w="647"/>
        <w:gridCol w:w="647"/>
        <w:gridCol w:w="647"/>
        <w:gridCol w:w="647"/>
        <w:gridCol w:w="647"/>
        <w:gridCol w:w="647"/>
        <w:gridCol w:w="647"/>
        <w:gridCol w:w="647"/>
        <w:gridCol w:w="647"/>
        <w:gridCol w:w="649"/>
      </w:tblGrid>
      <w:tr w14:paraId="635C1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32" w:type="pct"/>
            <w:vAlign w:val="center"/>
          </w:tcPr>
          <w:p w14:paraId="0D2403D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月份</w:t>
            </w:r>
          </w:p>
        </w:tc>
        <w:tc>
          <w:tcPr>
            <w:tcW w:w="355" w:type="pct"/>
            <w:vAlign w:val="center"/>
          </w:tcPr>
          <w:p w14:paraId="2B085D3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1</w:t>
            </w:r>
          </w:p>
        </w:tc>
        <w:tc>
          <w:tcPr>
            <w:tcW w:w="355" w:type="pct"/>
            <w:vAlign w:val="center"/>
          </w:tcPr>
          <w:p w14:paraId="743CAC4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2</w:t>
            </w:r>
          </w:p>
        </w:tc>
        <w:tc>
          <w:tcPr>
            <w:tcW w:w="355" w:type="pct"/>
            <w:vAlign w:val="center"/>
          </w:tcPr>
          <w:p w14:paraId="7E2E1DE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3</w:t>
            </w:r>
          </w:p>
        </w:tc>
        <w:tc>
          <w:tcPr>
            <w:tcW w:w="355" w:type="pct"/>
            <w:vAlign w:val="center"/>
          </w:tcPr>
          <w:p w14:paraId="1518C9D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4</w:t>
            </w:r>
          </w:p>
        </w:tc>
        <w:tc>
          <w:tcPr>
            <w:tcW w:w="355" w:type="pct"/>
            <w:vAlign w:val="center"/>
          </w:tcPr>
          <w:p w14:paraId="6A8D317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5</w:t>
            </w:r>
          </w:p>
        </w:tc>
        <w:tc>
          <w:tcPr>
            <w:tcW w:w="355" w:type="pct"/>
            <w:vAlign w:val="center"/>
          </w:tcPr>
          <w:p w14:paraId="59FD473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6</w:t>
            </w:r>
          </w:p>
        </w:tc>
        <w:tc>
          <w:tcPr>
            <w:tcW w:w="355" w:type="pct"/>
            <w:vAlign w:val="center"/>
          </w:tcPr>
          <w:p w14:paraId="08FC17A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7</w:t>
            </w:r>
          </w:p>
        </w:tc>
        <w:tc>
          <w:tcPr>
            <w:tcW w:w="355" w:type="pct"/>
            <w:vAlign w:val="center"/>
          </w:tcPr>
          <w:p w14:paraId="320826C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8</w:t>
            </w:r>
          </w:p>
        </w:tc>
        <w:tc>
          <w:tcPr>
            <w:tcW w:w="355" w:type="pct"/>
            <w:vAlign w:val="center"/>
          </w:tcPr>
          <w:p w14:paraId="743061A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9</w:t>
            </w:r>
          </w:p>
        </w:tc>
        <w:tc>
          <w:tcPr>
            <w:tcW w:w="355" w:type="pct"/>
            <w:vAlign w:val="center"/>
          </w:tcPr>
          <w:p w14:paraId="5F59FDE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10</w:t>
            </w:r>
          </w:p>
        </w:tc>
        <w:tc>
          <w:tcPr>
            <w:tcW w:w="355" w:type="pct"/>
            <w:vAlign w:val="center"/>
          </w:tcPr>
          <w:p w14:paraId="3F6A938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11</w:t>
            </w:r>
          </w:p>
        </w:tc>
        <w:tc>
          <w:tcPr>
            <w:tcW w:w="356" w:type="pct"/>
            <w:vAlign w:val="center"/>
          </w:tcPr>
          <w:p w14:paraId="4D92D4E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12</w:t>
            </w:r>
          </w:p>
        </w:tc>
      </w:tr>
      <w:tr w14:paraId="1C13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732" w:type="pct"/>
            <w:vAlign w:val="center"/>
          </w:tcPr>
          <w:p w14:paraId="73583158">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相对湿度（％）</w:t>
            </w:r>
          </w:p>
        </w:tc>
        <w:tc>
          <w:tcPr>
            <w:tcW w:w="355" w:type="pct"/>
            <w:vAlign w:val="center"/>
          </w:tcPr>
          <w:p w14:paraId="4D4136F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44</w:t>
            </w:r>
          </w:p>
        </w:tc>
        <w:tc>
          <w:tcPr>
            <w:tcW w:w="355" w:type="pct"/>
            <w:vAlign w:val="center"/>
          </w:tcPr>
          <w:p w14:paraId="4CC8F46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40</w:t>
            </w:r>
          </w:p>
        </w:tc>
        <w:tc>
          <w:tcPr>
            <w:tcW w:w="355" w:type="pct"/>
            <w:vAlign w:val="center"/>
          </w:tcPr>
          <w:p w14:paraId="27E102B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38</w:t>
            </w:r>
          </w:p>
        </w:tc>
        <w:tc>
          <w:tcPr>
            <w:tcW w:w="355" w:type="pct"/>
            <w:vAlign w:val="center"/>
          </w:tcPr>
          <w:p w14:paraId="741F2694">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37</w:t>
            </w:r>
          </w:p>
        </w:tc>
        <w:tc>
          <w:tcPr>
            <w:tcW w:w="355" w:type="pct"/>
            <w:vAlign w:val="center"/>
          </w:tcPr>
          <w:p w14:paraId="6884D8C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41</w:t>
            </w:r>
          </w:p>
        </w:tc>
        <w:tc>
          <w:tcPr>
            <w:tcW w:w="355" w:type="pct"/>
            <w:vAlign w:val="center"/>
          </w:tcPr>
          <w:p w14:paraId="7A6D18D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54</w:t>
            </w:r>
          </w:p>
        </w:tc>
        <w:tc>
          <w:tcPr>
            <w:tcW w:w="355" w:type="pct"/>
            <w:vAlign w:val="center"/>
          </w:tcPr>
          <w:p w14:paraId="199931C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66</w:t>
            </w:r>
          </w:p>
        </w:tc>
        <w:tc>
          <w:tcPr>
            <w:tcW w:w="355" w:type="pct"/>
            <w:vAlign w:val="center"/>
          </w:tcPr>
          <w:p w14:paraId="4DAA8F6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66</w:t>
            </w:r>
          </w:p>
        </w:tc>
        <w:tc>
          <w:tcPr>
            <w:tcW w:w="355" w:type="pct"/>
            <w:vAlign w:val="center"/>
          </w:tcPr>
          <w:p w14:paraId="6C4AD823">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57</w:t>
            </w:r>
          </w:p>
        </w:tc>
        <w:tc>
          <w:tcPr>
            <w:tcW w:w="355" w:type="pct"/>
            <w:vAlign w:val="center"/>
          </w:tcPr>
          <w:p w14:paraId="1A3E5D2D">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49</w:t>
            </w:r>
          </w:p>
        </w:tc>
        <w:tc>
          <w:tcPr>
            <w:tcW w:w="355" w:type="pct"/>
            <w:vAlign w:val="center"/>
          </w:tcPr>
          <w:p w14:paraId="4C9911F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47</w:t>
            </w:r>
          </w:p>
        </w:tc>
        <w:tc>
          <w:tcPr>
            <w:tcW w:w="356" w:type="pct"/>
            <w:vAlign w:val="center"/>
          </w:tcPr>
          <w:p w14:paraId="4A91833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themeColor="text1"/>
                <w:sz w:val="18"/>
                <w:szCs w:val="18"/>
                <w14:textFill>
                  <w14:solidFill>
                    <w14:schemeClr w14:val="tx1"/>
                  </w14:solidFill>
                </w14:textFill>
              </w:rPr>
            </w:pPr>
            <w:r>
              <w:rPr>
                <w:rFonts w:hint="eastAsia" w:ascii="Times New Roman" w:hAnsi="Times New Roman" w:eastAsia="宋体" w:cs="Times New Roman"/>
                <w:color w:val="000000" w:themeColor="text1"/>
                <w:sz w:val="18"/>
                <w:szCs w:val="18"/>
                <w14:textFill>
                  <w14:solidFill>
                    <w14:schemeClr w14:val="tx1"/>
                  </w14:solidFill>
                </w14:textFill>
              </w:rPr>
              <w:t>45</w:t>
            </w:r>
          </w:p>
        </w:tc>
      </w:tr>
    </w:tbl>
    <w:p w14:paraId="1649B00A">
      <w:pPr>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eastAsia" w:ascii="宋体" w:hAnsi="宋体" w:eastAsia="宋体" w:cs="宋体"/>
          <w:b/>
          <w:color w:val="000000" w:themeColor="text1"/>
          <w:sz w:val="28"/>
          <w:szCs w:val="28"/>
          <w:lang w:eastAsia="zh-CN"/>
          <w14:textFill>
            <w14:solidFill>
              <w14:schemeClr w14:val="tx1"/>
            </w14:solidFill>
          </w14:textFill>
        </w:rPr>
      </w:pPr>
      <w:r>
        <w:rPr>
          <w:color w:val="000000" w:themeColor="text1"/>
          <w:sz w:val="28"/>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676910</wp:posOffset>
                </wp:positionH>
                <wp:positionV relativeFrom="paragraph">
                  <wp:posOffset>2422525</wp:posOffset>
                </wp:positionV>
                <wp:extent cx="1356995" cy="254000"/>
                <wp:effectExtent l="4445" t="4445" r="10160" b="8255"/>
                <wp:wrapNone/>
                <wp:docPr id="89" name="文本框 89"/>
                <wp:cNvGraphicFramePr/>
                <a:graphic xmlns:a="http://schemas.openxmlformats.org/drawingml/2006/main">
                  <a:graphicData uri="http://schemas.microsoft.com/office/word/2010/wordprocessingShape">
                    <wps:wsp>
                      <wps:cNvSpPr txBox="1"/>
                      <wps:spPr>
                        <a:xfrm>
                          <a:off x="1712595" y="3046730"/>
                          <a:ext cx="1356995" cy="2540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AF07CD5">
                            <w:pPr>
                              <w:pBdr>
                                <w:top w:val="none" w:color="auto" w:sz="0" w:space="0"/>
                                <w:left w:val="none" w:color="auto" w:sz="0" w:space="0"/>
                                <w:bottom w:val="none" w:color="auto" w:sz="0" w:space="0"/>
                                <w:right w:val="none" w:color="auto" w:sz="0" w:space="0"/>
                                <w:between w:val="none" w:color="auto" w:sz="0" w:space="0"/>
                              </w:pBdr>
                              <w:rPr>
                                <w:rFonts w:hint="default" w:eastAsia="宋体"/>
                                <w:sz w:val="18"/>
                                <w:szCs w:val="18"/>
                                <w:lang w:val="en-US" w:eastAsia="zh-CN"/>
                              </w:rPr>
                            </w:pPr>
                            <w:r>
                              <w:rPr>
                                <w:rFonts w:hint="eastAsia"/>
                                <w:sz w:val="18"/>
                                <w:szCs w:val="18"/>
                                <w:lang w:val="en-US" w:eastAsia="zh-CN"/>
                              </w:rPr>
                              <w:t>降水量/蒸发量单位:mm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3.3pt;margin-top:190.75pt;height:20pt;width:106.85pt;z-index:251661312;mso-width-relative:page;mso-height-relative:page;" fillcolor="#FFFFFF [3201]" filled="t" stroked="t" coordsize="21600,21600" o:gfxdata="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QfXBS1gAAAAsBAAAPAAAAAAAAAAEAIAAAACIAAABkcnMvZG93bnJldi54bWxQSwECFAAU&#10;AAAACACHTuJArS9NXmUCAADFBAAADgAAAAAAAAABACAAAAAlAQAAZHJzL2Uyb0RvYy54bWxQSwUG&#10;AAAAAAYABgBZAQAA/AUAAAAA&#10;">
                <v:fill on="t" focussize="0,0"/>
                <v:stroke weight="0.5pt" color="#000000 [3204]" joinstyle="round"/>
                <v:imagedata o:title=""/>
                <o:lock v:ext="edit" aspectratio="f"/>
                <v:textbox>
                  <w:txbxContent>
                    <w:p w14:paraId="4AF07CD5">
                      <w:pPr>
                        <w:pBdr>
                          <w:top w:val="none" w:color="auto" w:sz="0" w:space="0"/>
                          <w:left w:val="none" w:color="auto" w:sz="0" w:space="0"/>
                          <w:bottom w:val="none" w:color="auto" w:sz="0" w:space="0"/>
                          <w:right w:val="none" w:color="auto" w:sz="0" w:space="0"/>
                          <w:between w:val="none" w:color="auto" w:sz="0" w:space="0"/>
                        </w:pBdr>
                        <w:rPr>
                          <w:rFonts w:hint="default" w:eastAsia="宋体"/>
                          <w:sz w:val="18"/>
                          <w:szCs w:val="18"/>
                          <w:lang w:val="en-US" w:eastAsia="zh-CN"/>
                        </w:rPr>
                      </w:pPr>
                      <w:r>
                        <w:rPr>
                          <w:rFonts w:hint="eastAsia"/>
                          <w:sz w:val="18"/>
                          <w:szCs w:val="18"/>
                          <w:lang w:val="en-US" w:eastAsia="zh-CN"/>
                        </w:rPr>
                        <w:t>降水量/蒸发量单位:mm</w:t>
                      </w:r>
                    </w:p>
                  </w:txbxContent>
                </v:textbox>
              </v:shape>
            </w:pict>
          </mc:Fallback>
        </mc:AlternateContent>
      </w:r>
      <w:r>
        <w:rPr>
          <w:color w:val="000000" w:themeColor="text1"/>
          <w:sz w:val="28"/>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4144010</wp:posOffset>
                </wp:positionH>
                <wp:positionV relativeFrom="paragraph">
                  <wp:posOffset>2435225</wp:posOffset>
                </wp:positionV>
                <wp:extent cx="889000" cy="234950"/>
                <wp:effectExtent l="4445" t="4445" r="20955" b="8255"/>
                <wp:wrapNone/>
                <wp:docPr id="168" name="文本框 168"/>
                <wp:cNvGraphicFramePr/>
                <a:graphic xmlns:a="http://schemas.openxmlformats.org/drawingml/2006/main">
                  <a:graphicData uri="http://schemas.microsoft.com/office/word/2010/wordprocessingShape">
                    <wps:wsp>
                      <wps:cNvSpPr txBox="1"/>
                      <wps:spPr>
                        <a:xfrm>
                          <a:off x="5217795" y="3103880"/>
                          <a:ext cx="889000" cy="2349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695E924">
                            <w:pPr>
                              <w:rPr>
                                <w:rFonts w:hint="default" w:eastAsia="宋体"/>
                                <w:sz w:val="18"/>
                                <w:szCs w:val="18"/>
                                <w:lang w:val="en-US" w:eastAsia="zh-CN"/>
                              </w:rPr>
                            </w:pPr>
                            <w:r>
                              <w:rPr>
                                <w:rFonts w:hint="eastAsia"/>
                                <w:sz w:val="18"/>
                                <w:szCs w:val="18"/>
                                <w:lang w:val="en-US" w:eastAsia="zh-CN"/>
                              </w:rPr>
                              <w:t>气温单位:℃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6.3pt;margin-top:191.75pt;height:18.5pt;width:70pt;z-index:251662336;mso-width-relative:page;mso-height-relative:page;" fillcolor="#FFFFFF [3201]" filled="t" stroked="t" coordsize="21600,21600" o:gfxdata="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G0t297XAAAACwEAAA8AAAAAAAAAAQAgAAAAIgAAAGRycy9kb3ducmV2LnhtbFBLAQIU&#10;ABQAAAAIAIdO4kD4xHz4ZgIAAMYEAAAOAAAAAAAAAAEAIAAAACYBAABkcnMvZTJvRG9jLnhtbFBL&#10;BQYAAAAABgAGAFkBAAD+BQAAAAA=&#10;">
                <v:fill on="t" focussize="0,0"/>
                <v:stroke weight="0.5pt" color="#000000 [3204]" joinstyle="round"/>
                <v:imagedata o:title=""/>
                <o:lock v:ext="edit" aspectratio="f"/>
                <v:textbox>
                  <w:txbxContent>
                    <w:p w14:paraId="0695E924">
                      <w:pPr>
                        <w:rPr>
                          <w:rFonts w:hint="default" w:eastAsia="宋体"/>
                          <w:sz w:val="18"/>
                          <w:szCs w:val="18"/>
                          <w:lang w:val="en-US" w:eastAsia="zh-CN"/>
                        </w:rPr>
                      </w:pPr>
                      <w:r>
                        <w:rPr>
                          <w:rFonts w:hint="eastAsia"/>
                          <w:sz w:val="18"/>
                          <w:szCs w:val="18"/>
                          <w:lang w:val="en-US" w:eastAsia="zh-CN"/>
                        </w:rPr>
                        <w:t>气温单位:℃</w:t>
                      </w:r>
                    </w:p>
                  </w:txbxContent>
                </v:textbox>
              </v:shape>
            </w:pict>
          </mc:Fallback>
        </mc:AlternateContent>
      </w:r>
      <w:r>
        <w:rPr>
          <w:rFonts w:hint="eastAsia" w:ascii="宋体" w:hAnsi="宋体" w:cs="宋体"/>
          <w:b/>
          <w:color w:val="000000" w:themeColor="text1"/>
          <w:sz w:val="28"/>
          <w:szCs w:val="28"/>
          <w:lang w:eastAsia="zh-CN"/>
          <w14:textFill>
            <w14:solidFill>
              <w14:schemeClr w14:val="tx1"/>
            </w14:solidFill>
          </w14:textFill>
        </w:rPr>
        <w:t xml:space="preserve">    </w:t>
      </w:r>
    </w:p>
    <w:p w14:paraId="5911F815">
      <w:pPr>
        <w:spacing w:line="360" w:lineRule="auto"/>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 xml:space="preserve">图2-1  </w:t>
      </w:r>
      <w:r>
        <w:rPr>
          <w:rFonts w:hint="eastAsia" w:ascii="黑体" w:hAnsi="黑体" w:eastAsia="黑体" w:cs="黑体"/>
          <w:b w:val="0"/>
          <w:bCs w:val="0"/>
          <w:color w:val="000000" w:themeColor="text1"/>
          <w:sz w:val="24"/>
          <w:szCs w:val="24"/>
          <w:lang w:val="en-US" w:eastAsia="zh-CN"/>
          <w14:textFill>
            <w14:solidFill>
              <w14:schemeClr w14:val="tx1"/>
            </w14:solidFill>
          </w14:textFill>
        </w:rPr>
        <w:t>矿区多年月平均</w:t>
      </w:r>
      <w:r>
        <w:rPr>
          <w:rFonts w:hint="eastAsia" w:ascii="黑体" w:hAnsi="黑体" w:eastAsia="黑体" w:cs="黑体"/>
          <w:b w:val="0"/>
          <w:bCs w:val="0"/>
          <w:color w:val="000000" w:themeColor="text1"/>
          <w:sz w:val="24"/>
          <w:szCs w:val="24"/>
          <w14:textFill>
            <w14:solidFill>
              <w14:schemeClr w14:val="tx1"/>
            </w14:solidFill>
          </w14:textFill>
        </w:rPr>
        <w:t>降水量</w:t>
      </w:r>
      <w:r>
        <w:rPr>
          <w:rFonts w:hint="eastAsia" w:ascii="黑体" w:hAnsi="黑体" w:eastAsia="黑体" w:cs="黑体"/>
          <w:b w:val="0"/>
          <w:bCs w:val="0"/>
          <w:color w:val="000000" w:themeColor="text1"/>
          <w:sz w:val="24"/>
          <w:szCs w:val="24"/>
          <w:lang w:eastAsia="zh-CN"/>
          <w14:textFill>
            <w14:solidFill>
              <w14:schemeClr w14:val="tx1"/>
            </w14:solidFill>
          </w14:textFill>
        </w:rPr>
        <w:t>、</w:t>
      </w:r>
      <w:r>
        <w:rPr>
          <w:rFonts w:hint="eastAsia" w:ascii="黑体" w:hAnsi="黑体" w:eastAsia="黑体" w:cs="黑体"/>
          <w:b w:val="0"/>
          <w:bCs w:val="0"/>
          <w:color w:val="000000" w:themeColor="text1"/>
          <w:sz w:val="24"/>
          <w:szCs w:val="24"/>
          <w14:textFill>
            <w14:solidFill>
              <w14:schemeClr w14:val="tx1"/>
            </w14:solidFill>
          </w14:textFill>
        </w:rPr>
        <w:t>蒸发量</w:t>
      </w:r>
      <w:r>
        <w:rPr>
          <w:rFonts w:hint="eastAsia" w:ascii="黑体" w:hAnsi="黑体" w:eastAsia="黑体" w:cs="黑体"/>
          <w:b w:val="0"/>
          <w:bCs w:val="0"/>
          <w:color w:val="000000" w:themeColor="text1"/>
          <w:sz w:val="24"/>
          <w:szCs w:val="24"/>
          <w:lang w:eastAsia="zh-CN"/>
          <w14:textFill>
            <w14:solidFill>
              <w14:schemeClr w14:val="tx1"/>
            </w14:solidFill>
          </w14:textFill>
        </w:rPr>
        <w:t>、</w:t>
      </w:r>
      <w:r>
        <w:rPr>
          <w:rFonts w:hint="eastAsia" w:ascii="黑体" w:hAnsi="黑体" w:eastAsia="黑体" w:cs="黑体"/>
          <w:b w:val="0"/>
          <w:bCs w:val="0"/>
          <w:color w:val="000000" w:themeColor="text1"/>
          <w:sz w:val="24"/>
          <w:szCs w:val="24"/>
          <w14:textFill>
            <w14:solidFill>
              <w14:schemeClr w14:val="tx1"/>
            </w14:solidFill>
          </w14:textFill>
        </w:rPr>
        <w:t>气温统计图</w:t>
      </w:r>
    </w:p>
    <w:p w14:paraId="2749316E">
      <w:pPr>
        <w:rPr>
          <w:rFonts w:hint="eastAsia" w:hAnsi="Times New Roman" w:cs="Times New Roman"/>
          <w:b/>
          <w:bCs/>
          <w:color w:val="000000" w:themeColor="text1"/>
          <w:sz w:val="28"/>
          <w:szCs w:val="28"/>
          <w:lang w:val="en-US" w:eastAsia="zh-CN"/>
          <w14:textFill>
            <w14:solidFill>
              <w14:schemeClr w14:val="tx1"/>
            </w14:solidFill>
          </w14:textFill>
        </w:rPr>
      </w:pPr>
      <w:r>
        <w:rPr>
          <w:rFonts w:hint="eastAsia" w:hAnsi="Times New Roman" w:cs="Times New Roman"/>
          <w:b/>
          <w:bCs/>
          <w:color w:val="000000" w:themeColor="text1"/>
          <w:sz w:val="28"/>
          <w:szCs w:val="28"/>
          <w:lang w:val="en-US" w:eastAsia="zh-CN"/>
          <w14:textFill>
            <w14:solidFill>
              <w14:schemeClr w14:val="tx1"/>
            </w14:solidFill>
          </w14:textFill>
        </w:rPr>
        <w:br w:type="page"/>
      </w:r>
    </w:p>
    <w:p w14:paraId="1BB3E542">
      <w:pPr>
        <w:pStyle w:val="5"/>
        <w:bidi w:val="0"/>
        <w:spacing w:line="360" w:lineRule="auto"/>
        <w:ind w:firstLine="562" w:firstLineChars="200"/>
        <w:rPr>
          <w:rFonts w:hint="eastAsia" w:hAnsi="Times New Roman" w:cs="Times New Roman"/>
          <w:b/>
          <w:bCs/>
          <w:color w:val="000000" w:themeColor="text1"/>
          <w:sz w:val="28"/>
          <w:szCs w:val="28"/>
          <w:lang w:val="en-US" w:eastAsia="zh-CN"/>
          <w14:textFill>
            <w14:solidFill>
              <w14:schemeClr w14:val="tx1"/>
            </w14:solidFill>
          </w14:textFill>
        </w:rPr>
      </w:pPr>
      <w:r>
        <w:rPr>
          <w:rFonts w:hint="eastAsia" w:hAnsi="Times New Roman" w:cs="Times New Roman"/>
          <w:b/>
          <w:bCs/>
          <w:color w:val="000000" w:themeColor="text1"/>
          <w:sz w:val="28"/>
          <w:szCs w:val="28"/>
          <w:lang w:val="en-US" w:eastAsia="zh-CN"/>
          <w14:textFill>
            <w14:solidFill>
              <w14:schemeClr w14:val="tx1"/>
            </w14:solidFill>
          </w14:textFill>
        </w:rPr>
        <w:t>三、水文</w:t>
      </w:r>
    </w:p>
    <w:p w14:paraId="6FC391CA">
      <w:pPr>
        <w:keepNext w:val="0"/>
        <w:keepLines w:val="0"/>
        <w:pageBreakBefore w:val="0"/>
        <w:widowControl/>
        <w:suppressLineNumbers w:val="0"/>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cs="Times New Roman"/>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bCs/>
          <w:color w:val="000000" w:themeColor="text1"/>
          <w:sz w:val="28"/>
          <w:szCs w:val="22"/>
          <w14:textFill>
            <w14:solidFill>
              <w14:schemeClr w14:val="tx1"/>
            </w14:solidFill>
          </w14:textFill>
        </w:rPr>
        <w:t>矿区位于</w:t>
      </w:r>
      <w:r>
        <w:rPr>
          <w:rFonts w:hint="eastAsia" w:cs="Times New Roman"/>
          <w:bCs/>
          <w:color w:val="000000" w:themeColor="text1"/>
          <w:sz w:val="28"/>
          <w:szCs w:val="22"/>
          <w:lang w:val="en-US" w:eastAsia="zh-CN"/>
          <w14:textFill>
            <w14:solidFill>
              <w14:schemeClr w14:val="tx1"/>
            </w14:solidFill>
          </w14:textFill>
        </w:rPr>
        <w:t>赤峰市松山区</w:t>
      </w:r>
      <w:r>
        <w:rPr>
          <w:rFonts w:hint="default" w:ascii="Times New Roman" w:hAnsi="Times New Roman" w:eastAsia="宋体" w:cs="Times New Roman"/>
          <w:bCs/>
          <w:color w:val="000000" w:themeColor="text1"/>
          <w:sz w:val="28"/>
          <w:szCs w:val="22"/>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矿区的排泄河流为矿区西侧2.0km处的英金河，</w:t>
      </w:r>
      <w:r>
        <w:rPr>
          <w:rFonts w:hint="default" w:ascii="Times New Roman" w:hAnsi="Times New Roman" w:cs="Times New Roman"/>
          <w:color w:val="000000" w:themeColor="text1"/>
          <w:sz w:val="28"/>
          <w:szCs w:val="28"/>
          <w:lang w:val="en-US" w:eastAsia="zh-CN"/>
          <w14:textFill>
            <w14:solidFill>
              <w14:schemeClr w14:val="tx1"/>
            </w14:solidFill>
          </w14:textFill>
        </w:rPr>
        <w:t>该</w:t>
      </w:r>
      <w:r>
        <w:rPr>
          <w:rFonts w:hint="eastAsia" w:cs="Times New Roman"/>
          <w:color w:val="000000" w:themeColor="text1"/>
          <w:sz w:val="28"/>
          <w:szCs w:val="28"/>
          <w:lang w:val="en-US" w:eastAsia="zh-CN"/>
          <w14:textFill>
            <w14:solidFill>
              <w14:schemeClr w14:val="tx1"/>
            </w14:solidFill>
          </w14:textFill>
        </w:rPr>
        <w:t>河流</w:t>
      </w:r>
      <w:r>
        <w:rPr>
          <w:rFonts w:hint="default" w:ascii="Times New Roman" w:hAnsi="Times New Roman" w:cs="Times New Roman"/>
          <w:color w:val="000000" w:themeColor="text1"/>
          <w:sz w:val="28"/>
          <w:szCs w:val="28"/>
          <w:lang w:val="en-US" w:eastAsia="zh-CN"/>
          <w14:textFill>
            <w14:solidFill>
              <w14:schemeClr w14:val="tx1"/>
            </w14:solidFill>
          </w14:textFill>
        </w:rPr>
        <w:t>属</w:t>
      </w:r>
      <w:r>
        <w:rPr>
          <w:rFonts w:hint="eastAsia" w:cs="Times New Roman"/>
          <w:color w:val="000000" w:themeColor="text1"/>
          <w:sz w:val="28"/>
          <w:szCs w:val="28"/>
          <w:lang w:val="en-US" w:eastAsia="zh-CN"/>
          <w14:textFill>
            <w14:solidFill>
              <w14:schemeClr w14:val="tx1"/>
            </w14:solidFill>
          </w14:textFill>
        </w:rPr>
        <w:t>西</w:t>
      </w:r>
      <w:r>
        <w:rPr>
          <w:rFonts w:hint="default" w:ascii="Times New Roman" w:hAnsi="Times New Roman" w:cs="Times New Roman"/>
          <w:color w:val="000000" w:themeColor="text1"/>
          <w:sz w:val="28"/>
          <w:szCs w:val="28"/>
          <w:lang w:val="en-US" w:eastAsia="zh-CN"/>
          <w14:textFill>
            <w14:solidFill>
              <w14:schemeClr w14:val="tx1"/>
            </w14:solidFill>
          </w14:textFill>
        </w:rPr>
        <w:t>辽河流域—老哈河水系。</w:t>
      </w:r>
      <w:r>
        <w:rPr>
          <w:rFonts w:hint="eastAsia" w:ascii="Times New Roman" w:hAnsi="Times New Roman" w:cs="Times New Roman"/>
          <w:color w:val="000000" w:themeColor="text1"/>
          <w:sz w:val="28"/>
          <w:szCs w:val="28"/>
          <w:lang w:val="en-US" w:eastAsia="zh-CN"/>
          <w14:textFill>
            <w14:solidFill>
              <w14:schemeClr w14:val="tx1"/>
            </w14:solidFill>
          </w14:textFill>
        </w:rPr>
        <w:t>为老哈河的左岸支流，</w:t>
      </w:r>
      <w:r>
        <w:rPr>
          <w:rFonts w:hint="default" w:ascii="Times New Roman" w:hAnsi="Times New Roman" w:cs="Times New Roman"/>
          <w:color w:val="000000" w:themeColor="text1"/>
          <w:sz w:val="28"/>
          <w:szCs w:val="28"/>
          <w:lang w:val="en-US" w:eastAsia="zh-CN"/>
          <w14:textFill>
            <w14:solidFill>
              <w14:schemeClr w14:val="tx1"/>
            </w14:solidFill>
          </w14:textFill>
        </w:rPr>
        <w:t>自西向东横贯赤峰中心城区（松山区、红山区），是当地农业灌溉、生态涵养及城市景观的核心载体。</w:t>
      </w:r>
    </w:p>
    <w:p w14:paraId="0BB3E9F5">
      <w:pPr>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英金河发源于河北省围场县七老图山脉，</w:t>
      </w:r>
      <w:r>
        <w:rPr>
          <w:rFonts w:hint="default" w:ascii="Times New Roman" w:hAnsi="Times New Roman" w:cs="Times New Roman"/>
          <w:color w:val="000000" w:themeColor="text1"/>
          <w:kern w:val="0"/>
          <w:sz w:val="28"/>
          <w:szCs w:val="28"/>
          <w:highlight w:val="none"/>
          <w:lang w:val="en-US" w:eastAsia="zh-CN" w:bidi="ar"/>
          <w14:textFill>
            <w14:solidFill>
              <w14:schemeClr w14:val="tx1"/>
            </w14:solidFill>
          </w14:textFill>
        </w:rPr>
        <w:t>流域面积</w:t>
      </w:r>
      <w:r>
        <w:rPr>
          <w:rFonts w:hint="eastAsia" w:cs="Times New Roman"/>
          <w:color w:val="000000" w:themeColor="text1"/>
          <w:kern w:val="0"/>
          <w:sz w:val="28"/>
          <w:szCs w:val="28"/>
          <w:highlight w:val="none"/>
          <w:lang w:val="en-US" w:eastAsia="zh-CN" w:bidi="ar"/>
          <w14:textFill>
            <w14:solidFill>
              <w14:schemeClr w14:val="tx1"/>
            </w14:solidFill>
          </w14:textFill>
        </w:rPr>
        <w:t>1.06万</w:t>
      </w:r>
      <w:r>
        <w:rPr>
          <w:rFonts w:hint="default" w:ascii="Times New Roman" w:hAnsi="Times New Roman" w:cs="Times New Roman"/>
          <w:color w:val="000000" w:themeColor="text1"/>
          <w:kern w:val="0"/>
          <w:sz w:val="28"/>
          <w:szCs w:val="28"/>
          <w:highlight w:val="none"/>
          <w:lang w:val="en-US" w:eastAsia="zh-CN" w:bidi="ar"/>
          <w14:textFill>
            <w14:solidFill>
              <w14:schemeClr w14:val="tx1"/>
            </w14:solidFill>
          </w14:textFill>
        </w:rPr>
        <w:t>km</w:t>
      </w:r>
      <w:r>
        <w:rPr>
          <w:rFonts w:hint="default" w:ascii="Times New Roman" w:hAnsi="Times New Roman" w:cs="Times New Roman"/>
          <w:color w:val="000000" w:themeColor="text1"/>
          <w:kern w:val="0"/>
          <w:sz w:val="28"/>
          <w:szCs w:val="28"/>
          <w:highlight w:val="none"/>
          <w:vertAlign w:val="superscript"/>
          <w:lang w:val="en-US" w:eastAsia="zh-CN" w:bidi="ar"/>
          <w14:textFill>
            <w14:solidFill>
              <w14:schemeClr w14:val="tx1"/>
            </w14:solidFill>
          </w14:textFill>
        </w:rPr>
        <w:t>2</w:t>
      </w:r>
      <w:r>
        <w:rPr>
          <w:rFonts w:hint="default" w:ascii="Times New Roman" w:hAnsi="Times New Roman" w:cs="Times New Roman"/>
          <w:color w:val="000000" w:themeColor="text1"/>
          <w:kern w:val="0"/>
          <w:sz w:val="28"/>
          <w:szCs w:val="28"/>
          <w:highlight w:val="none"/>
          <w:lang w:val="en-US" w:eastAsia="zh-CN" w:bidi="ar"/>
          <w14:textFill>
            <w14:solidFill>
              <w14:schemeClr w14:val="tx1"/>
            </w14:solidFill>
          </w14:textFill>
        </w:rPr>
        <w:t>，</w:t>
      </w:r>
      <w:r>
        <w:rPr>
          <w:rFonts w:hint="eastAsia" w:cs="Times New Roman"/>
          <w:color w:val="000000" w:themeColor="text1"/>
          <w:kern w:val="0"/>
          <w:sz w:val="28"/>
          <w:szCs w:val="28"/>
          <w:highlight w:val="none"/>
          <w:lang w:val="en-US" w:eastAsia="zh-CN" w:bidi="ar"/>
          <w14:textFill>
            <w14:solidFill>
              <w14:schemeClr w14:val="tx1"/>
            </w14:solidFill>
          </w14:textFill>
        </w:rPr>
        <w:t>总落差1253m，平均比降6.0‰，</w:t>
      </w:r>
      <w:r>
        <w:rPr>
          <w:rFonts w:hint="default" w:ascii="Times New Roman" w:hAnsi="Times New Roman" w:eastAsia="宋体" w:cs="Times New Roman"/>
          <w:color w:val="000000" w:themeColor="text1"/>
          <w:sz w:val="28"/>
          <w:szCs w:val="28"/>
          <w14:textFill>
            <w14:solidFill>
              <w14:schemeClr w14:val="tx1"/>
            </w14:solidFill>
          </w14:textFill>
        </w:rPr>
        <w:t>多年平均径流量</w:t>
      </w:r>
      <w:r>
        <w:rPr>
          <w:rFonts w:hint="eastAsia" w:cs="Times New Roman"/>
          <w:color w:val="000000" w:themeColor="text1"/>
          <w:sz w:val="28"/>
          <w:szCs w:val="28"/>
          <w:lang w:val="en-US" w:eastAsia="zh-CN"/>
          <w14:textFill>
            <w14:solidFill>
              <w14:schemeClr w14:val="tx1"/>
            </w14:solidFill>
          </w14:textFill>
        </w:rPr>
        <w:t>5.368</w:t>
      </w:r>
      <w:r>
        <w:rPr>
          <w:rFonts w:hint="default" w:ascii="Times New Roman" w:hAnsi="Times New Roman" w:eastAsia="宋体" w:cs="Times New Roman"/>
          <w:color w:val="000000" w:themeColor="text1"/>
          <w:sz w:val="28"/>
          <w:szCs w:val="28"/>
          <w14:textFill>
            <w14:solidFill>
              <w14:schemeClr w14:val="tx1"/>
            </w14:solidFill>
          </w14:textFill>
        </w:rPr>
        <w:t>×10</w:t>
      </w:r>
      <w:r>
        <w:rPr>
          <w:rFonts w:hint="eastAsia" w:ascii="Times New Roman" w:hAnsi="Times New Roman" w:eastAsia="宋体" w:cs="Times New Roman"/>
          <w:color w:val="000000" w:themeColor="text1"/>
          <w:sz w:val="28"/>
          <w:szCs w:val="28"/>
          <w:vertAlign w:val="superscript"/>
          <w:lang w:val="en-US" w:eastAsia="zh-CN"/>
          <w14:textFill>
            <w14:solidFill>
              <w14:schemeClr w14:val="tx1"/>
            </w14:solidFill>
          </w14:textFill>
        </w:rPr>
        <w:t>8</w:t>
      </w:r>
      <w:r>
        <w:rPr>
          <w:rFonts w:hint="default" w:ascii="Times New Roman" w:hAnsi="Times New Roman" w:eastAsia="宋体" w:cs="Times New Roman"/>
          <w:color w:val="000000" w:themeColor="text1"/>
          <w:sz w:val="28"/>
          <w:szCs w:val="28"/>
          <w:highlight w:val="none"/>
          <w14:textFill>
            <w14:solidFill>
              <w14:schemeClr w14:val="tx1"/>
            </w14:solidFill>
          </w14:textFill>
        </w:rPr>
        <w:t>m</w:t>
      </w:r>
      <w:r>
        <w:rPr>
          <w:rFonts w:hint="default" w:ascii="Times New Roman" w:hAnsi="Times New Roman" w:eastAsia="宋体" w:cs="Times New Roman"/>
          <w:color w:val="000000" w:themeColor="text1"/>
          <w:sz w:val="28"/>
          <w:szCs w:val="28"/>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z w:val="28"/>
          <w:szCs w:val="28"/>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河水流量</w:t>
      </w:r>
      <w:r>
        <w:rPr>
          <w:rFonts w:hint="default" w:ascii="Times New Roman" w:hAnsi="Times New Roman" w:eastAsia="宋体" w:cs="Times New Roman"/>
          <w:color w:val="000000" w:themeColor="text1"/>
          <w:sz w:val="28"/>
          <w:szCs w:val="28"/>
          <w:highlight w:val="none"/>
          <w14:textFill>
            <w14:solidFill>
              <w14:schemeClr w14:val="tx1"/>
            </w14:solidFill>
          </w14:textFill>
        </w:rPr>
        <w:t>6～8月份流量较大，</w:t>
      </w:r>
      <w:r>
        <w:rPr>
          <w:rFonts w:hint="eastAsia" w:cs="Times New Roman"/>
          <w:color w:val="000000" w:themeColor="text1"/>
          <w:sz w:val="28"/>
          <w:szCs w:val="28"/>
          <w:highlight w:val="none"/>
          <w:lang w:val="en-US" w:eastAsia="zh-CN"/>
          <w14:textFill>
            <w14:solidFill>
              <w14:schemeClr w14:val="tx1"/>
            </w14:solidFill>
          </w14:textFill>
        </w:rPr>
        <w:t>多年平均含砂量35.30kg/m</w:t>
      </w:r>
      <w:r>
        <w:rPr>
          <w:rFonts w:hint="eastAsia" w:cs="Times New Roman"/>
          <w:color w:val="000000" w:themeColor="text1"/>
          <w:sz w:val="28"/>
          <w:szCs w:val="28"/>
          <w:highlight w:val="none"/>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。矿区内地表无常年性水体存在，</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地表水系不发育，</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仅季节性降水</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大</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部分补给地下水，</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小</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部分将通过地表汇集径流方式流出矿区。</w:t>
      </w:r>
    </w:p>
    <w:p w14:paraId="7C1220A6">
      <w:pPr>
        <w:pStyle w:val="5"/>
        <w:bidi w:val="0"/>
        <w:spacing w:line="360" w:lineRule="auto"/>
        <w:ind w:firstLine="562" w:firstLineChars="200"/>
        <w:rPr>
          <w:rFonts w:hint="default" w:hAnsi="Times New Roman" w:cs="Times New Roman"/>
          <w:b/>
          <w:bCs/>
          <w:color w:val="000000" w:themeColor="text1"/>
          <w:sz w:val="28"/>
          <w:szCs w:val="28"/>
          <w:lang w:val="en-US" w:eastAsia="zh-CN"/>
          <w14:textFill>
            <w14:solidFill>
              <w14:schemeClr w14:val="tx1"/>
            </w14:solidFill>
          </w14:textFill>
        </w:rPr>
      </w:pPr>
      <w:bookmarkStart w:id="26" w:name="_Toc195060759"/>
      <w:bookmarkStart w:id="27" w:name="_Toc201382306"/>
      <w:r>
        <w:rPr>
          <w:rFonts w:hint="eastAsia" w:hAnsi="Times New Roman" w:cs="Times New Roman"/>
          <w:b/>
          <w:bCs/>
          <w:color w:val="000000" w:themeColor="text1"/>
          <w:sz w:val="28"/>
          <w:szCs w:val="28"/>
          <w:lang w:val="en-US" w:eastAsia="zh-CN"/>
          <w14:textFill>
            <w14:solidFill>
              <w14:schemeClr w14:val="tx1"/>
            </w14:solidFill>
          </w14:textFill>
        </w:rPr>
        <w:t>四、</w:t>
      </w:r>
      <w:r>
        <w:rPr>
          <w:rFonts w:hint="default" w:hAnsi="Times New Roman" w:cs="Times New Roman"/>
          <w:b/>
          <w:bCs/>
          <w:color w:val="000000" w:themeColor="text1"/>
          <w:sz w:val="28"/>
          <w:szCs w:val="28"/>
          <w:lang w:val="en-US" w:eastAsia="zh-CN"/>
          <w14:textFill>
            <w14:solidFill>
              <w14:schemeClr w14:val="tx1"/>
            </w14:solidFill>
          </w14:textFill>
        </w:rPr>
        <w:t>植被</w:t>
      </w:r>
    </w:p>
    <w:p w14:paraId="5E7B87A0">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1"/>
          <w14:textFill>
            <w14:solidFill>
              <w14:schemeClr w14:val="tx1"/>
            </w14:solidFill>
          </w14:textFill>
        </w:rPr>
        <w:t>矿区植被类型以林地和草地为主，乔木主要以杨树、松树为主，且长势较好，矿区植被以草本植物为主，主要有羊草、针茅、沙蒿等，高度5</w:t>
      </w:r>
      <w:r>
        <w:rPr>
          <w:rFonts w:hint="eastAsia" w:cs="Times New Roman"/>
          <w:color w:val="000000" w:themeColor="text1"/>
          <w:sz w:val="28"/>
          <w:szCs w:val="21"/>
          <w:lang w:val="en-US" w:eastAsia="zh-CN"/>
          <w14:textFill>
            <w14:solidFill>
              <w14:schemeClr w14:val="tx1"/>
            </w14:solidFill>
          </w14:textFill>
        </w:rPr>
        <w:t>-</w:t>
      </w:r>
      <w:r>
        <w:rPr>
          <w:rFonts w:hint="default" w:ascii="Times New Roman" w:hAnsi="Times New Roman" w:cs="Times New Roman"/>
          <w:color w:val="000000" w:themeColor="text1"/>
          <w:sz w:val="28"/>
          <w:szCs w:val="21"/>
          <w14:textFill>
            <w14:solidFill>
              <w14:schemeClr w14:val="tx1"/>
            </w14:solidFill>
          </w14:textFill>
        </w:rPr>
        <w:t>30cm，植被覆盖率约</w:t>
      </w:r>
      <w:r>
        <w:rPr>
          <w:rFonts w:hint="eastAsia" w:cs="Times New Roman"/>
          <w:color w:val="000000" w:themeColor="text1"/>
          <w:sz w:val="28"/>
          <w:szCs w:val="21"/>
          <w:lang w:val="en-US" w:eastAsia="zh-CN"/>
          <w14:textFill>
            <w14:solidFill>
              <w14:schemeClr w14:val="tx1"/>
            </w14:solidFill>
          </w14:textFill>
        </w:rPr>
        <w:t>4</w:t>
      </w:r>
      <w:r>
        <w:rPr>
          <w:rFonts w:hint="default" w:ascii="Times New Roman" w:hAnsi="Times New Roman" w:cs="Times New Roman"/>
          <w:color w:val="000000" w:themeColor="text1"/>
          <w:sz w:val="28"/>
          <w:szCs w:val="21"/>
          <w14:textFill>
            <w14:solidFill>
              <w14:schemeClr w14:val="tx1"/>
            </w14:solidFill>
          </w14:textFill>
        </w:rPr>
        <w:t>0</w:t>
      </w:r>
      <w:r>
        <w:rPr>
          <w:rFonts w:hint="eastAsia" w:cs="Times New Roman"/>
          <w:color w:val="000000" w:themeColor="text1"/>
          <w:sz w:val="28"/>
          <w:szCs w:val="21"/>
          <w:lang w:val="en-US"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（见照片2-</w:t>
      </w:r>
      <w:r>
        <w:rPr>
          <w:rFonts w:hint="eastAsia" w:cs="Times New Roman"/>
          <w:color w:val="000000" w:themeColor="text1"/>
          <w:sz w:val="28"/>
          <w:szCs w:val="28"/>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p>
    <w:bookmarkEnd w:id="22"/>
    <w:bookmarkEnd w:id="23"/>
    <w:bookmarkEnd w:id="24"/>
    <w:bookmarkEnd w:id="25"/>
    <w:bookmarkEnd w:id="26"/>
    <w:bookmarkEnd w:id="27"/>
    <w:p w14:paraId="75BFA34B">
      <w:pPr>
        <w:spacing w:line="240" w:lineRule="auto"/>
        <w:jc w:val="center"/>
        <w:rPr>
          <w:rFonts w:hint="eastAsia" w:ascii="黑体" w:hAnsi="黑体" w:eastAsia="黑体" w:cs="黑体"/>
          <w:b w:val="0"/>
          <w:bCs/>
          <w:color w:val="000000" w:themeColor="text1"/>
          <w:sz w:val="24"/>
          <w:szCs w:val="24"/>
          <w:lang w:eastAsia="zh-CN"/>
          <w14:textFill>
            <w14:solidFill>
              <w14:schemeClr w14:val="tx1"/>
            </w14:solidFill>
          </w14:textFill>
        </w:rPr>
      </w:pPr>
      <w:r>
        <w:rPr>
          <w:rFonts w:hint="eastAsia" w:eastAsia="黑体"/>
          <w:color w:val="000000" w:themeColor="text1"/>
          <w:lang w:eastAsia="zh-CN"/>
          <w14:textFill>
            <w14:solidFill>
              <w14:schemeClr w14:val="tx1"/>
            </w14:solidFill>
          </w14:textFill>
        </w:rPr>
        <w:t xml:space="preserve">    </w:t>
      </w:r>
    </w:p>
    <w:p w14:paraId="09D1784D">
      <w:pPr>
        <w:spacing w:line="360" w:lineRule="auto"/>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14:textFill>
            <w14:solidFill>
              <w14:schemeClr w14:val="tx1"/>
            </w14:solidFill>
          </w14:textFill>
        </w:rPr>
        <w:t>照片2-</w:t>
      </w:r>
      <w:r>
        <w:rPr>
          <w:rFonts w:hint="eastAsia" w:ascii="黑体" w:hAnsi="黑体" w:eastAsia="黑体" w:cs="黑体"/>
          <w:b w:val="0"/>
          <w:bCs/>
          <w:color w:val="000000" w:themeColor="text1"/>
          <w:sz w:val="24"/>
          <w:szCs w:val="24"/>
          <w:lang w:val="en-US" w:eastAsia="zh-CN"/>
          <w14:textFill>
            <w14:solidFill>
              <w14:schemeClr w14:val="tx1"/>
            </w14:solidFill>
          </w14:textFill>
        </w:rPr>
        <w:t>2</w:t>
      </w:r>
      <w:r>
        <w:rPr>
          <w:rFonts w:hint="eastAsia" w:ascii="黑体" w:hAnsi="黑体" w:eastAsia="黑体" w:cs="黑体"/>
          <w:b w:val="0"/>
          <w:bCs/>
          <w:color w:val="000000" w:themeColor="text1"/>
          <w:sz w:val="24"/>
          <w:szCs w:val="24"/>
          <w14:textFill>
            <w14:solidFill>
              <w14:schemeClr w14:val="tx1"/>
            </w14:solidFill>
          </w14:textFill>
        </w:rPr>
        <w:t xml:space="preserve">  矿区植被</w:t>
      </w:r>
    </w:p>
    <w:p w14:paraId="00DD352D">
      <w:pPr>
        <w:rPr>
          <w:rFonts w:hint="eastAsia" w:hAnsi="Times New Roman" w:cs="Times New Roman"/>
          <w:b/>
          <w:bCs/>
          <w:color w:val="000000" w:themeColor="text1"/>
          <w:sz w:val="28"/>
          <w:szCs w:val="28"/>
          <w:lang w:val="en-US" w:eastAsia="zh-CN"/>
          <w14:textFill>
            <w14:solidFill>
              <w14:schemeClr w14:val="tx1"/>
            </w14:solidFill>
          </w14:textFill>
        </w:rPr>
      </w:pPr>
      <w:r>
        <w:rPr>
          <w:rFonts w:hint="eastAsia" w:hAnsi="Times New Roman" w:cs="Times New Roman"/>
          <w:b/>
          <w:bCs/>
          <w:color w:val="000000" w:themeColor="text1"/>
          <w:sz w:val="28"/>
          <w:szCs w:val="28"/>
          <w:lang w:val="en-US" w:eastAsia="zh-CN"/>
          <w14:textFill>
            <w14:solidFill>
              <w14:schemeClr w14:val="tx1"/>
            </w14:solidFill>
          </w14:textFill>
        </w:rPr>
        <w:br w:type="page"/>
      </w:r>
    </w:p>
    <w:p w14:paraId="1AB761F2">
      <w:pPr>
        <w:pStyle w:val="5"/>
        <w:bidi w:val="0"/>
        <w:spacing w:line="360" w:lineRule="auto"/>
        <w:ind w:firstLine="562" w:firstLineChars="200"/>
        <w:rPr>
          <w:rFonts w:hint="eastAsia" w:hAnsi="Times New Roman" w:cs="Times New Roman"/>
          <w:b/>
          <w:bCs/>
          <w:color w:val="000000" w:themeColor="text1"/>
          <w:sz w:val="28"/>
          <w:szCs w:val="28"/>
          <w:lang w:val="en-US" w:eastAsia="zh-CN"/>
          <w14:textFill>
            <w14:solidFill>
              <w14:schemeClr w14:val="tx1"/>
            </w14:solidFill>
          </w14:textFill>
        </w:rPr>
      </w:pPr>
      <w:r>
        <w:rPr>
          <w:rFonts w:hint="eastAsia" w:hAnsi="Times New Roman" w:cs="Times New Roman"/>
          <w:b/>
          <w:bCs/>
          <w:color w:val="000000" w:themeColor="text1"/>
          <w:sz w:val="28"/>
          <w:szCs w:val="28"/>
          <w:lang w:val="en-US" w:eastAsia="zh-CN"/>
          <w14:textFill>
            <w14:solidFill>
              <w14:schemeClr w14:val="tx1"/>
            </w14:solidFill>
          </w14:textFill>
        </w:rPr>
        <w:t>五、土壤</w:t>
      </w:r>
    </w:p>
    <w:p w14:paraId="6ECC8A48">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矿区土壤主要为粘土和腐殖土，表层为腐殖土，土层厚</w:t>
      </w:r>
      <w:r>
        <w:rPr>
          <w:rFonts w:hint="eastAsia" w:cs="Times New Roman"/>
          <w:color w:val="000000" w:themeColor="text1"/>
          <w:sz w:val="28"/>
          <w:szCs w:val="28"/>
          <w:lang w:val="en-US" w:eastAsia="zh-CN"/>
          <w14:textFill>
            <w14:solidFill>
              <w14:schemeClr w14:val="tx1"/>
            </w14:solidFill>
          </w14:textFill>
        </w:rPr>
        <w:t>度一般大于5</w:t>
      </w:r>
      <w:r>
        <w:rPr>
          <w:rFonts w:hint="default" w:ascii="Times New Roman" w:hAnsi="Times New Roman" w:cs="Times New Roman"/>
          <w:color w:val="000000" w:themeColor="text1"/>
          <w:sz w:val="28"/>
          <w:szCs w:val="28"/>
          <w14:textFill>
            <w14:solidFill>
              <w14:schemeClr w14:val="tx1"/>
            </w14:solidFill>
          </w14:textFill>
        </w:rPr>
        <w:t>m，土壤质地为轻壤，土质较为疏松，土壤结构以团聚体形式存在，团聚化程度不高，呈颗粒状或块状，结构性差。土壤容重在1.35g/m</w:t>
      </w:r>
      <w:r>
        <w:rPr>
          <w:rFonts w:hint="default" w:ascii="Times New Roman" w:hAnsi="Times New Roman" w:cs="Times New Roman"/>
          <w:color w:val="000000" w:themeColor="text1"/>
          <w:sz w:val="28"/>
          <w:szCs w:val="28"/>
          <w:vertAlign w:val="superscript"/>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左右，有机质含量</w:t>
      </w:r>
      <w:r>
        <w:rPr>
          <w:rFonts w:hint="eastAsia" w:cs="Times New Roman"/>
          <w:color w:val="000000" w:themeColor="text1"/>
          <w:sz w:val="28"/>
          <w:szCs w:val="28"/>
          <w:lang w:val="en-US" w:eastAsia="zh-CN"/>
          <w14:textFill>
            <w14:solidFill>
              <w14:schemeClr w14:val="tx1"/>
            </w14:solidFill>
          </w14:textFill>
        </w:rPr>
        <w:t>3-5</w:t>
      </w:r>
      <w:r>
        <w:rPr>
          <w:rFonts w:hint="eastAsia" w:ascii="Times New Roman" w:hAnsi="Times New Roman" w:cs="Times New Roman"/>
          <w:color w:val="000000" w:themeColor="text1"/>
          <w:sz w:val="28"/>
          <w:szCs w:val="28"/>
          <w:lang w:val="en-US"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，PH在6.8左右，</w:t>
      </w:r>
      <w:r>
        <w:rPr>
          <w:rFonts w:hint="eastAsia" w:cs="Times New Roman"/>
          <w:color w:val="000000" w:themeColor="text1"/>
          <w:sz w:val="28"/>
          <w:szCs w:val="28"/>
          <w:lang w:val="en-US" w:eastAsia="zh-CN"/>
          <w14:textFill>
            <w14:solidFill>
              <w14:schemeClr w14:val="tx1"/>
            </w14:solidFill>
          </w14:textFill>
        </w:rPr>
        <w:t>下部为粘土，</w:t>
      </w:r>
      <w:r>
        <w:rPr>
          <w:rFonts w:hint="default" w:ascii="Times New Roman" w:hAnsi="Times New Roman" w:cs="Times New Roman"/>
          <w:color w:val="000000" w:themeColor="text1"/>
          <w:sz w:val="28"/>
          <w:szCs w:val="28"/>
          <w14:textFill>
            <w14:solidFill>
              <w14:schemeClr w14:val="tx1"/>
            </w14:solidFill>
          </w14:textFill>
        </w:rPr>
        <w:t>土层厚</w:t>
      </w:r>
      <w:r>
        <w:rPr>
          <w:rFonts w:hint="eastAsia" w:cs="Times New Roman"/>
          <w:color w:val="000000" w:themeColor="text1"/>
          <w:sz w:val="28"/>
          <w:szCs w:val="28"/>
          <w:lang w:val="en-US" w:eastAsia="zh-CN"/>
          <w14:textFill>
            <w14:solidFill>
              <w14:schemeClr w14:val="tx1"/>
            </w14:solidFill>
          </w14:textFill>
        </w:rPr>
        <w:t>度一般大于6</w:t>
      </w:r>
      <w:r>
        <w:rPr>
          <w:rFonts w:hint="default" w:ascii="Times New Roman" w:hAnsi="Times New Roman" w:cs="Times New Roman"/>
          <w:color w:val="000000" w:themeColor="text1"/>
          <w:sz w:val="28"/>
          <w:szCs w:val="28"/>
          <w14:textFill>
            <w14:solidFill>
              <w14:schemeClr w14:val="tx1"/>
            </w14:solidFill>
          </w14:textFill>
        </w:rPr>
        <w:t>m，粘土颜色为浅黄色、褐</w:t>
      </w:r>
      <w:r>
        <w:rPr>
          <w:rFonts w:hint="eastAsia" w:cs="Times New Roman"/>
          <w:color w:val="000000" w:themeColor="text1"/>
          <w:sz w:val="28"/>
          <w:szCs w:val="28"/>
          <w:lang w:val="en-US" w:eastAsia="zh-CN"/>
          <w14:textFill>
            <w14:solidFill>
              <w14:schemeClr w14:val="tx1"/>
            </w14:solidFill>
          </w14:textFill>
        </w:rPr>
        <w:t>红</w:t>
      </w:r>
      <w:r>
        <w:rPr>
          <w:rFonts w:hint="default" w:ascii="Times New Roman" w:hAnsi="Times New Roman" w:cs="Times New Roman"/>
          <w:color w:val="000000" w:themeColor="text1"/>
          <w:sz w:val="28"/>
          <w:szCs w:val="28"/>
          <w14:textFill>
            <w14:solidFill>
              <w14:schemeClr w14:val="tx1"/>
            </w14:solidFill>
          </w14:textFill>
        </w:rPr>
        <w:t>色，土质均匀</w:t>
      </w:r>
      <w:r>
        <w:rPr>
          <w:rFonts w:hint="eastAsia" w:cs="Times New Roman"/>
          <w:color w:val="000000" w:themeColor="text1"/>
          <w:sz w:val="28"/>
          <w:szCs w:val="28"/>
          <w:lang w:eastAsia="zh-CN"/>
          <w14:textFill>
            <w14:solidFill>
              <w14:schemeClr w14:val="tx1"/>
            </w14:solidFill>
          </w14:textFill>
        </w:rPr>
        <w:t>。层理不明显，结构紧密，粒度较均一。脱水干燥后成细小碎块，手搓具滑感。与水拌合后具有粘性，干燥后能保持原来的形状，焙烧后具坚硬性。</w:t>
      </w:r>
    </w:p>
    <w:p w14:paraId="3FDFEFD8">
      <w:pPr>
        <w:adjustRightInd w:val="0"/>
        <w:snapToGrid w:val="0"/>
        <w:spacing w:line="240" w:lineRule="auto"/>
        <w:jc w:val="center"/>
        <w:rPr>
          <w:rFonts w:hint="eastAsia" w:ascii="Times New Roman" w:hAnsi="Times New Roman" w:eastAsia="宋体" w:cs="Times New Roman"/>
          <w:color w:val="000000" w:themeColor="text1"/>
          <w:sz w:val="24"/>
          <w:szCs w:val="24"/>
          <w:lang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w:t>
      </w:r>
    </w:p>
    <w:p w14:paraId="6DDCDE0F">
      <w:pPr>
        <w:spacing w:line="360" w:lineRule="auto"/>
        <w:jc w:val="center"/>
        <w:rPr>
          <w:rFonts w:hint="default" w:ascii="黑体" w:hAnsi="黑体" w:eastAsia="黑体" w:cs="黑体"/>
          <w:b w:val="0"/>
          <w:bCs/>
          <w:color w:val="000000" w:themeColor="text1"/>
          <w:sz w:val="24"/>
          <w:szCs w:val="24"/>
          <w:lang w:val="en-US" w:eastAsia="zh-CN"/>
          <w14:textFill>
            <w14:solidFill>
              <w14:schemeClr w14:val="tx1"/>
            </w14:solidFill>
          </w14:textFill>
        </w:rPr>
      </w:pPr>
      <w:r>
        <w:rPr>
          <w:rFonts w:hint="default" w:ascii="黑体" w:hAnsi="黑体" w:eastAsia="黑体" w:cs="黑体"/>
          <w:b w:val="0"/>
          <w:bCs/>
          <w:color w:val="000000" w:themeColor="text1"/>
          <w:sz w:val="24"/>
          <w:szCs w:val="24"/>
          <w:lang w:eastAsia="zh-CN"/>
          <w14:textFill>
            <w14:solidFill>
              <w14:schemeClr w14:val="tx1"/>
            </w14:solidFill>
          </w14:textFill>
        </w:rPr>
        <w:t>照片2-</w:t>
      </w:r>
      <w:r>
        <w:rPr>
          <w:rFonts w:hint="eastAsia" w:ascii="黑体" w:hAnsi="黑体" w:eastAsia="黑体" w:cs="黑体"/>
          <w:b w:val="0"/>
          <w:bCs/>
          <w:color w:val="000000" w:themeColor="text1"/>
          <w:sz w:val="24"/>
          <w:szCs w:val="24"/>
          <w:lang w:val="en-US" w:eastAsia="zh-CN"/>
          <w14:textFill>
            <w14:solidFill>
              <w14:schemeClr w14:val="tx1"/>
            </w14:solidFill>
          </w14:textFill>
        </w:rPr>
        <w:t>3</w:t>
      </w:r>
      <w:r>
        <w:rPr>
          <w:rFonts w:hint="default" w:ascii="黑体" w:hAnsi="黑体" w:eastAsia="黑体" w:cs="黑体"/>
          <w:b w:val="0"/>
          <w:bCs/>
          <w:color w:val="000000" w:themeColor="text1"/>
          <w:sz w:val="24"/>
          <w:szCs w:val="24"/>
          <w:lang w:eastAsia="zh-CN"/>
          <w14:textFill>
            <w14:solidFill>
              <w14:schemeClr w14:val="tx1"/>
            </w14:solidFill>
          </w14:textFill>
        </w:rPr>
        <w:t xml:space="preserve">  矿区土壤</w:t>
      </w:r>
      <w:r>
        <w:rPr>
          <w:rFonts w:hint="eastAsia" w:ascii="黑体" w:hAnsi="黑体" w:eastAsia="黑体" w:cs="黑体"/>
          <w:b w:val="0"/>
          <w:bCs/>
          <w:color w:val="000000" w:themeColor="text1"/>
          <w:sz w:val="24"/>
          <w:szCs w:val="24"/>
          <w:lang w:val="en-US" w:eastAsia="zh-CN"/>
          <w14:textFill>
            <w14:solidFill>
              <w14:schemeClr w14:val="tx1"/>
            </w14:solidFill>
          </w14:textFill>
        </w:rPr>
        <w:t>照片</w:t>
      </w:r>
    </w:p>
    <w:p w14:paraId="58FE4119">
      <w:pPr>
        <w:pStyle w:val="3"/>
        <w:spacing w:before="0" w:beforeLines="0"/>
        <w:jc w:val="center"/>
        <w:rPr>
          <w:color w:val="000000" w:themeColor="text1"/>
          <w14:textFill>
            <w14:solidFill>
              <w14:schemeClr w14:val="tx1"/>
            </w14:solidFill>
          </w14:textFill>
        </w:rPr>
      </w:pPr>
      <w:bookmarkStart w:id="28" w:name="_Toc15332"/>
      <w:r>
        <w:rPr>
          <w:rFonts w:hint="eastAsia"/>
          <w:color w:val="000000" w:themeColor="text1"/>
          <w:lang w:val="en-US" w:eastAsia="zh-CN"/>
          <w14:textFill>
            <w14:solidFill>
              <w14:schemeClr w14:val="tx1"/>
            </w14:solidFill>
          </w14:textFill>
        </w:rPr>
        <w:t xml:space="preserve">第二节  </w:t>
      </w:r>
      <w:r>
        <w:rPr>
          <w:rFonts w:hint="eastAsia"/>
          <w:color w:val="000000" w:themeColor="text1"/>
          <w14:textFill>
            <w14:solidFill>
              <w14:schemeClr w14:val="tx1"/>
            </w14:solidFill>
          </w14:textFill>
        </w:rPr>
        <w:t>社会经济概况</w:t>
      </w:r>
      <w:bookmarkEnd w:id="28"/>
    </w:p>
    <w:p w14:paraId="2D143553">
      <w:pPr>
        <w:pStyle w:val="5"/>
        <w:bidi w:val="0"/>
        <w:spacing w:line="360" w:lineRule="auto"/>
        <w:ind w:firstLine="562" w:firstLineChars="200"/>
        <w:rPr>
          <w:rFonts w:hint="eastAsia" w:hAnsi="Times New Roman" w:cs="Times New Roman"/>
          <w:b/>
          <w:bCs/>
          <w:color w:val="000000" w:themeColor="text1"/>
          <w:sz w:val="28"/>
          <w:szCs w:val="28"/>
          <w:lang w:val="en-US" w:eastAsia="zh-CN"/>
          <w14:textFill>
            <w14:solidFill>
              <w14:schemeClr w14:val="tx1"/>
            </w14:solidFill>
          </w14:textFill>
        </w:rPr>
      </w:pPr>
      <w:r>
        <w:rPr>
          <w:rFonts w:hint="eastAsia" w:hAnsi="Times New Roman" w:cs="Times New Roman"/>
          <w:b/>
          <w:bCs/>
          <w:color w:val="000000" w:themeColor="text1"/>
          <w:sz w:val="28"/>
          <w:szCs w:val="28"/>
          <w:lang w:val="en-US" w:eastAsia="zh-CN"/>
          <w14:textFill>
            <w14:solidFill>
              <w14:schemeClr w14:val="tx1"/>
            </w14:solidFill>
          </w14:textFill>
        </w:rPr>
        <w:t>一、区域社会经济</w:t>
      </w:r>
    </w:p>
    <w:p w14:paraId="3D62C0FC">
      <w:pPr>
        <w:spacing w:line="360" w:lineRule="auto"/>
        <w:ind w:firstLine="544" w:firstLineChars="200"/>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color w:val="000000" w:themeColor="text1"/>
          <w:spacing w:val="-4"/>
          <w:kern w:val="2"/>
          <w:sz w:val="28"/>
          <w:szCs w:val="28"/>
          <w:lang w:val="en-US" w:eastAsia="zh-CN" w:bidi="ar-SA"/>
          <w14:textFill>
            <w14:solidFill>
              <w14:schemeClr w14:val="tx1"/>
            </w14:solidFill>
          </w14:textFill>
        </w:rPr>
        <w:t>赤峰市</w:t>
      </w:r>
      <w:r>
        <w:rPr>
          <w:rFonts w:hint="default" w:ascii="Times New Roman" w:hAnsi="Times New Roman" w:cs="Times New Roman"/>
          <w:color w:val="000000" w:themeColor="text1"/>
          <w:sz w:val="28"/>
          <w:szCs w:val="21"/>
          <w:highlight w:val="none"/>
          <w14:textFill>
            <w14:solidFill>
              <w14:schemeClr w14:val="tx1"/>
            </w14:solidFill>
          </w14:textFill>
        </w:rPr>
        <w:t>松山区</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地处内蒙古东部，西辽河上游。东接敖汉旗，西邻河北围场，南连喀喇沁旗、红山区、元宝山区，北靠翁牛特旗。辖8个街道、9个镇、5个乡。区政府驻地：穆家营子镇。总面积5629平方公里。常住人口71.84万，城镇化率63.3%。</w:t>
      </w:r>
    </w:p>
    <w:p w14:paraId="1A1F668D">
      <w:pPr>
        <w:pStyle w:val="25"/>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firstLine="560" w:firstLineChars="200"/>
        <w:textAlignment w:val="auto"/>
        <w:rPr>
          <w:rFonts w:hint="default" w:ascii="Times New Roman" w:hAnsi="Times New Roman" w:eastAsia="宋体" w:cs="Times New Roman"/>
          <w:color w:val="000000" w:themeColor="text1"/>
          <w:spacing w:val="-4"/>
          <w:kern w:val="2"/>
          <w:sz w:val="28"/>
          <w:szCs w:val="28"/>
          <w:lang w:val="en-US" w:eastAsia="zh-CN" w:bidi="ar-SA"/>
          <w14:textFill>
            <w14:solidFill>
              <w14:schemeClr w14:val="tx1"/>
            </w14:solidFill>
          </w14:textFill>
        </w:rPr>
      </w:pPr>
      <w:r>
        <w:rPr>
          <w:rFonts w:hint="default" w:ascii="Times New Roman" w:hAnsi="Times New Roman" w:eastAsia="宋体" w:cs="Times New Roman"/>
          <w:color w:val="000000" w:themeColor="text1"/>
          <w:sz w:val="28"/>
          <w:szCs w:val="28"/>
          <w:lang w:val="en-US" w:eastAsia="zh-CN"/>
          <w14:textFill>
            <w14:solidFill>
              <w14:schemeClr w14:val="tx1"/>
            </w14:solidFill>
          </w14:textFill>
        </w:rPr>
        <w:t>矿区位于</w:t>
      </w:r>
      <w:r>
        <w:rPr>
          <w:rFonts w:hint="default" w:ascii="Times New Roman" w:hAnsi="Times New Roman" w:cs="Times New Roman"/>
          <w:color w:val="000000" w:themeColor="text1"/>
          <w:sz w:val="28"/>
          <w:szCs w:val="21"/>
          <w14:textFill>
            <w14:solidFill>
              <w14:schemeClr w14:val="tx1"/>
            </w14:solidFill>
          </w14:textFill>
        </w:rPr>
        <w:t>赤峰市</w:t>
      </w:r>
      <w:r>
        <w:rPr>
          <w:rFonts w:hint="default" w:ascii="Times New Roman" w:hAnsi="Times New Roman" w:cs="Times New Roman"/>
          <w:color w:val="000000" w:themeColor="text1"/>
          <w:sz w:val="28"/>
          <w:szCs w:val="21"/>
          <w:highlight w:val="none"/>
          <w14:textFill>
            <w14:solidFill>
              <w14:schemeClr w14:val="tx1"/>
            </w14:solidFill>
          </w14:textFill>
        </w:rPr>
        <w:t>松山区</w:t>
      </w:r>
      <w:r>
        <w:rPr>
          <w:rFonts w:hint="default" w:ascii="Times New Roman" w:hAnsi="Times New Roman" w:cs="Times New Roman"/>
          <w:color w:val="000000" w:themeColor="text1"/>
          <w:sz w:val="28"/>
          <w:szCs w:val="21"/>
          <w:highlight w:val="none"/>
          <w:lang w:val="zh-CN"/>
          <w14:textFill>
            <w14:solidFill>
              <w14:schemeClr w14:val="tx1"/>
            </w14:solidFill>
          </w14:textFill>
        </w:rPr>
        <w:t>太平地镇五十家子村</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，行政区划隶属</w:t>
      </w:r>
      <w:r>
        <w:rPr>
          <w:rFonts w:hint="default" w:ascii="Times New Roman" w:hAnsi="Times New Roman" w:cs="Times New Roman"/>
          <w:color w:val="000000" w:themeColor="text1"/>
          <w:sz w:val="28"/>
          <w:szCs w:val="21"/>
          <w:highlight w:val="none"/>
          <w14:textFill>
            <w14:solidFill>
              <w14:schemeClr w14:val="tx1"/>
            </w14:solidFill>
          </w14:textFill>
        </w:rPr>
        <w:t>松山区</w:t>
      </w:r>
      <w:r>
        <w:rPr>
          <w:rFonts w:hint="default" w:ascii="Times New Roman" w:hAnsi="Times New Roman" w:cs="Times New Roman"/>
          <w:color w:val="000000" w:themeColor="text1"/>
          <w:sz w:val="28"/>
          <w:szCs w:val="21"/>
          <w:highlight w:val="none"/>
          <w:lang w:val="zh-CN"/>
          <w14:textFill>
            <w14:solidFill>
              <w14:schemeClr w14:val="tx1"/>
            </w14:solidFill>
          </w14:textFill>
        </w:rPr>
        <w:t>太平地镇</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管辖。太平地镇</w:t>
      </w:r>
      <w:r>
        <w:rPr>
          <w:rFonts w:hint="eastAsia" w:cs="Times New Roman"/>
          <w:color w:val="000000" w:themeColor="text1"/>
          <w:sz w:val="28"/>
          <w:szCs w:val="28"/>
          <w:lang w:val="en-US" w:eastAsia="zh-CN"/>
          <w14:textFill>
            <w14:solidFill>
              <w14:schemeClr w14:val="tx1"/>
            </w14:solidFill>
          </w14:textFill>
        </w:rPr>
        <w:t>位于松山区东部，距赤峰市区约50公里，老哈河北岸。东接哈拉道口镇，南邻元宝山区，西连安庆镇，北靠翁牛特旗。</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是赤峰市松山区东部的农业重镇，以国家级玉米制种基地、全国最大北虫草产区闻名。辖21个行政村、1个社区（北场子社区）</w:t>
      </w:r>
      <w:r>
        <w:rPr>
          <w:rFonts w:hint="eastAsia" w:cs="Times New Roman"/>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总面积约316平方公里，户籍人口约4.7万人，常住人口2.65万人。</w:t>
      </w:r>
    </w:p>
    <w:p w14:paraId="6BE8A057">
      <w:pPr>
        <w:pStyle w:val="5"/>
        <w:bidi w:val="0"/>
        <w:spacing w:line="360" w:lineRule="auto"/>
        <w:ind w:firstLine="562" w:firstLineChars="200"/>
        <w:rPr>
          <w:rFonts w:hint="default" w:hAnsi="Times New Roman" w:cs="Times New Roman"/>
          <w:b/>
          <w:bCs/>
          <w:color w:val="000000" w:themeColor="text1"/>
          <w:sz w:val="28"/>
          <w:szCs w:val="28"/>
          <w:lang w:val="en-US" w:eastAsia="zh-CN"/>
          <w14:textFill>
            <w14:solidFill>
              <w14:schemeClr w14:val="tx1"/>
            </w14:solidFill>
          </w14:textFill>
        </w:rPr>
      </w:pPr>
      <w:r>
        <w:rPr>
          <w:rFonts w:hint="eastAsia" w:hAnsi="Times New Roman" w:cs="Times New Roman"/>
          <w:b/>
          <w:bCs/>
          <w:color w:val="000000" w:themeColor="text1"/>
          <w:sz w:val="28"/>
          <w:szCs w:val="28"/>
          <w:lang w:val="en-US" w:eastAsia="zh-CN"/>
          <w14:textFill>
            <w14:solidFill>
              <w14:schemeClr w14:val="tx1"/>
            </w14:solidFill>
          </w14:textFill>
        </w:rPr>
        <w:t>二、</w:t>
      </w:r>
      <w:r>
        <w:rPr>
          <w:rFonts w:hint="default" w:hAnsi="Times New Roman" w:cs="Times New Roman"/>
          <w:b/>
          <w:bCs/>
          <w:color w:val="000000" w:themeColor="text1"/>
          <w:sz w:val="28"/>
          <w:szCs w:val="28"/>
          <w:lang w:val="en-US" w:eastAsia="zh-CN"/>
          <w14:textFill>
            <w14:solidFill>
              <w14:schemeClr w14:val="tx1"/>
            </w14:solidFill>
          </w14:textFill>
        </w:rPr>
        <w:t>矿区社会经济概况</w:t>
      </w:r>
    </w:p>
    <w:p w14:paraId="1BB00A11">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矿区位于</w:t>
      </w:r>
      <w:r>
        <w:rPr>
          <w:rFonts w:hint="default" w:ascii="Times New Roman" w:hAnsi="Times New Roman" w:cs="Times New Roman"/>
          <w:color w:val="000000" w:themeColor="text1"/>
          <w:sz w:val="28"/>
          <w:szCs w:val="21"/>
          <w:highlight w:val="none"/>
          <w:lang w:val="zh-CN"/>
          <w14:textFill>
            <w14:solidFill>
              <w14:schemeClr w14:val="tx1"/>
            </w14:solidFill>
          </w14:textFill>
        </w:rPr>
        <w:t>五十家子村</w:t>
      </w:r>
      <w:r>
        <w:rPr>
          <w:rFonts w:hint="eastAsia" w:cs="Times New Roman"/>
          <w:color w:val="000000" w:themeColor="text1"/>
          <w:sz w:val="28"/>
          <w:szCs w:val="28"/>
          <w:lang w:val="en-US" w:eastAsia="zh-CN"/>
          <w14:textFill>
            <w14:solidFill>
              <w14:schemeClr w14:val="tx1"/>
            </w14:solidFill>
          </w14:textFill>
        </w:rPr>
        <w:t>，</w:t>
      </w:r>
      <w:r>
        <w:rPr>
          <w:rFonts w:hint="default" w:ascii="Times New Roman" w:hAnsi="Times New Roman" w:cs="Times New Roman"/>
          <w:color w:val="000000" w:themeColor="text1"/>
          <w:sz w:val="28"/>
          <w:szCs w:val="21"/>
          <w:highlight w:val="none"/>
          <w:lang w:val="zh-CN"/>
          <w14:textFill>
            <w14:solidFill>
              <w14:schemeClr w14:val="tx1"/>
            </w14:solidFill>
          </w14:textFill>
        </w:rPr>
        <w:t>五十家子村</w:t>
      </w:r>
      <w:r>
        <w:rPr>
          <w:rFonts w:hint="eastAsia" w:cs="Times New Roman"/>
          <w:color w:val="000000" w:themeColor="text1"/>
          <w:sz w:val="28"/>
          <w:szCs w:val="28"/>
          <w:lang w:val="en-US" w:eastAsia="zh-CN"/>
          <w14:textFill>
            <w14:solidFill>
              <w14:schemeClr w14:val="tx1"/>
            </w14:solidFill>
          </w14:textFill>
        </w:rPr>
        <w:t>是太平地镇下辖的21个行政村之一，地处镇域中东部，紧邻G45大广高速，以传统农业为主。相邻四分地村、六分地村、酱坊地村，人口约1500–2000。主导农业，包含玉米、谷子、高粱、大豆等；其次为</w:t>
      </w:r>
      <w:r>
        <w:rPr>
          <w:rFonts w:hint="default" w:ascii="Times New Roman" w:hAnsi="Times New Roman" w:eastAsia="宋体" w:cs="Times New Roman"/>
          <w:color w:val="000000" w:themeColor="text1"/>
          <w:sz w:val="28"/>
          <w:szCs w:val="21"/>
          <w:lang w:val="en-US" w:eastAsia="zh-CN"/>
          <w14:textFill>
            <w14:solidFill>
              <w14:schemeClr w14:val="tx1"/>
            </w14:solidFill>
          </w14:textFill>
        </w:rPr>
        <w:t>畜牧业：饲养生猪、羊、牛、家禽等</w:t>
      </w:r>
      <w:r>
        <w:rPr>
          <w:rFonts w:hint="eastAsia" w:ascii="Times New Roman" w:hAnsi="Times New Roman" w:cs="Times New Roman"/>
          <w:color w:val="000000" w:themeColor="text1"/>
          <w:sz w:val="28"/>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矿区附近</w:t>
      </w:r>
      <w:r>
        <w:rPr>
          <w:rFonts w:hint="default" w:ascii="Times New Roman" w:hAnsi="Times New Roman" w:eastAsia="宋体" w:cs="Times New Roman"/>
          <w:color w:val="000000" w:themeColor="text1"/>
          <w:sz w:val="28"/>
          <w:szCs w:val="28"/>
          <w14:textFill>
            <w14:solidFill>
              <w14:schemeClr w14:val="tx1"/>
            </w14:solidFill>
          </w14:textFill>
        </w:rPr>
        <w:t>村民居住较集中，主要从事</w:t>
      </w:r>
      <w:r>
        <w:rPr>
          <w:rFonts w:hint="default" w:ascii="Times New Roman" w:hAnsi="Times New Roman" w:eastAsia="宋体" w:cs="Times New Roman"/>
          <w:color w:val="000000" w:themeColor="text1"/>
          <w:sz w:val="28"/>
          <w:szCs w:val="28"/>
          <w:lang w:eastAsia="zh-CN"/>
          <w14:textFill>
            <w14:solidFill>
              <w14:schemeClr w14:val="tx1"/>
            </w14:solidFill>
          </w14:textFill>
        </w:rPr>
        <w:t>农业、</w:t>
      </w:r>
      <w:r>
        <w:rPr>
          <w:rFonts w:hint="default" w:ascii="Times New Roman" w:hAnsi="Times New Roman" w:eastAsia="宋体" w:cs="Times New Roman"/>
          <w:color w:val="000000" w:themeColor="text1"/>
          <w:sz w:val="28"/>
          <w:szCs w:val="28"/>
          <w14:textFill>
            <w14:solidFill>
              <w14:schemeClr w14:val="tx1"/>
            </w14:solidFill>
          </w14:textFill>
        </w:rPr>
        <w:t>畜牧业为生。</w:t>
      </w:r>
    </w:p>
    <w:p w14:paraId="4212B7A0">
      <w:pPr>
        <w:pStyle w:val="3"/>
        <w:spacing w:before="0" w:beforeLines="0"/>
        <w:jc w:val="center"/>
        <w:rPr>
          <w:color w:val="000000" w:themeColor="text1"/>
          <w14:textFill>
            <w14:solidFill>
              <w14:schemeClr w14:val="tx1"/>
            </w14:solidFill>
          </w14:textFill>
        </w:rPr>
      </w:pPr>
      <w:bookmarkStart w:id="29" w:name="_Toc21285"/>
      <w:r>
        <w:rPr>
          <w:rFonts w:hint="eastAsia"/>
          <w:color w:val="000000" w:themeColor="text1"/>
          <w:lang w:val="en-US" w:eastAsia="zh-CN"/>
          <w14:textFill>
            <w14:solidFill>
              <w14:schemeClr w14:val="tx1"/>
            </w14:solidFill>
          </w14:textFill>
        </w:rPr>
        <w:t xml:space="preserve">第四节  </w:t>
      </w:r>
      <w:r>
        <w:rPr>
          <w:rFonts w:hint="eastAsia"/>
          <w:color w:val="000000" w:themeColor="text1"/>
          <w14:textFill>
            <w14:solidFill>
              <w14:schemeClr w14:val="tx1"/>
            </w14:solidFill>
          </w14:textFill>
        </w:rPr>
        <w:t>矿区土地利用现状及采矿用地审批情况</w:t>
      </w:r>
      <w:bookmarkEnd w:id="29"/>
    </w:p>
    <w:p w14:paraId="631B4D04">
      <w:pPr>
        <w:pStyle w:val="5"/>
        <w:bidi w:val="0"/>
        <w:spacing w:line="360" w:lineRule="auto"/>
        <w:ind w:firstLine="562" w:firstLineChars="200"/>
        <w:rPr>
          <w:rFonts w:hint="eastAsia" w:hAnsi="Times New Roman" w:cs="Times New Roman"/>
          <w:b/>
          <w:bCs/>
          <w:color w:val="000000" w:themeColor="text1"/>
          <w:sz w:val="28"/>
          <w:szCs w:val="28"/>
          <w:lang w:val="en-US" w:eastAsia="zh-CN"/>
          <w14:textFill>
            <w14:solidFill>
              <w14:schemeClr w14:val="tx1"/>
            </w14:solidFill>
          </w14:textFill>
        </w:rPr>
      </w:pPr>
      <w:r>
        <w:rPr>
          <w:rFonts w:hint="eastAsia" w:hAnsi="Times New Roman" w:cs="Times New Roman"/>
          <w:b/>
          <w:bCs/>
          <w:color w:val="000000" w:themeColor="text1"/>
          <w:sz w:val="28"/>
          <w:szCs w:val="28"/>
          <w:lang w:val="en-US" w:eastAsia="zh-CN"/>
          <w14:textFill>
            <w14:solidFill>
              <w14:schemeClr w14:val="tx1"/>
            </w14:solidFill>
          </w14:textFill>
        </w:rPr>
        <w:t>一、矿区土地利用现状</w:t>
      </w:r>
    </w:p>
    <w:p w14:paraId="5A7285A1">
      <w:pPr>
        <w:pStyle w:val="12"/>
        <w:spacing w:line="360" w:lineRule="auto"/>
        <w:ind w:firstLine="560" w:firstLineChars="200"/>
        <w:outlineLvl w:val="3"/>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eastAsia" w:eastAsia="宋体" w:cs="Times New Roman"/>
          <w:b w:val="0"/>
          <w:bCs w:val="0"/>
          <w:color w:val="000000" w:themeColor="text1"/>
          <w:sz w:val="28"/>
          <w:szCs w:val="28"/>
          <w:lang w:eastAsia="zh-CN"/>
          <w14:textFill>
            <w14:solidFill>
              <w14:schemeClr w14:val="tx1"/>
            </w14:solidFill>
          </w14:textFill>
        </w:rPr>
        <w:t>（</w:t>
      </w:r>
      <w:r>
        <w:rPr>
          <w:rFonts w:hint="eastAsia" w:eastAsia="宋体" w:cs="Times New Roman"/>
          <w:b w:val="0"/>
          <w:bCs w:val="0"/>
          <w:color w:val="000000" w:themeColor="text1"/>
          <w:sz w:val="28"/>
          <w:szCs w:val="28"/>
          <w:lang w:val="en-US" w:eastAsia="zh-CN"/>
          <w14:textFill>
            <w14:solidFill>
              <w14:schemeClr w14:val="tx1"/>
            </w14:solidFill>
          </w14:textFill>
        </w:rPr>
        <w:t>一</w:t>
      </w:r>
      <w:r>
        <w:rPr>
          <w:rFonts w:hint="eastAsia" w:eastAsia="宋体" w:cs="Times New Roman"/>
          <w:b w:val="0"/>
          <w:bCs w:val="0"/>
          <w:color w:val="000000" w:themeColor="text1"/>
          <w:sz w:val="28"/>
          <w:szCs w:val="28"/>
          <w:lang w:eastAsia="zh-CN"/>
          <w14:textFill>
            <w14:solidFill>
              <w14:schemeClr w14:val="tx1"/>
            </w14:solidFill>
          </w14:textFill>
        </w:rPr>
        <w:t>）</w:t>
      </w:r>
      <w:r>
        <w:rPr>
          <w:rFonts w:hint="eastAsia" w:eastAsia="宋体" w:cs="Times New Roman"/>
          <w:b w:val="0"/>
          <w:bCs w:val="0"/>
          <w:color w:val="000000" w:themeColor="text1"/>
          <w:sz w:val="28"/>
          <w:szCs w:val="28"/>
          <w:lang w:val="en-US" w:eastAsia="zh-CN"/>
          <w14:textFill>
            <w14:solidFill>
              <w14:schemeClr w14:val="tx1"/>
            </w14:solidFill>
          </w14:textFill>
        </w:rPr>
        <w:t>矿区土地利用现状及矿区范围外采矿影响范围土地利用现状</w:t>
      </w:r>
    </w:p>
    <w:p w14:paraId="0EBBBF5B">
      <w:pPr>
        <w:pStyle w:val="12"/>
        <w:spacing w:line="360" w:lineRule="auto"/>
        <w:ind w:firstLine="560" w:firstLineChars="200"/>
        <w:rPr>
          <w:rFonts w:hint="eastAsia" w:ascii="Times New Roman" w:hAnsi="Times New Roman" w:eastAsia="宋体" w:cs="Times New Roman"/>
          <w:b w:val="0"/>
          <w:bCs w:val="0"/>
          <w:color w:val="000000" w:themeColor="text1"/>
          <w:sz w:val="28"/>
          <w:szCs w:val="28"/>
          <w:lang w:eastAsia="zh-CN"/>
          <w14:textFill>
            <w14:solidFill>
              <w14:schemeClr w14:val="tx1"/>
            </w14:solidFill>
          </w14:textFill>
        </w:rPr>
      </w:pPr>
      <w:r>
        <w:rPr>
          <w:rFonts w:hint="default" w:ascii="Times New Roman" w:hAnsi="Times New Roman" w:eastAsia="宋体" w:cs="Times New Roman"/>
          <w:b w:val="0"/>
          <w:bCs w:val="0"/>
          <w:color w:val="000000" w:themeColor="text1"/>
          <w:sz w:val="28"/>
          <w:szCs w:val="28"/>
          <w14:textFill>
            <w14:solidFill>
              <w14:schemeClr w14:val="tx1"/>
            </w14:solidFill>
          </w14:textFill>
        </w:rPr>
        <w:t>1、矿区土地利用</w:t>
      </w:r>
      <w:r>
        <w:rPr>
          <w:rFonts w:hint="eastAsia" w:eastAsia="宋体" w:cs="Times New Roman"/>
          <w:b w:val="0"/>
          <w:bCs w:val="0"/>
          <w:color w:val="000000" w:themeColor="text1"/>
          <w:sz w:val="28"/>
          <w:szCs w:val="28"/>
          <w:lang w:val="en-US" w:eastAsia="zh-CN"/>
          <w14:textFill>
            <w14:solidFill>
              <w14:schemeClr w14:val="tx1"/>
            </w14:solidFill>
          </w14:textFill>
        </w:rPr>
        <w:t>现状</w:t>
      </w:r>
    </w:p>
    <w:p w14:paraId="17BB292D">
      <w:pPr>
        <w:pStyle w:val="12"/>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根据</w:t>
      </w:r>
      <w:r>
        <w:rPr>
          <w:rFonts w:hint="eastAsia" w:eastAsia="宋体" w:cs="Times New Roman"/>
          <w:color w:val="000000" w:themeColor="text1"/>
          <w:sz w:val="28"/>
          <w:szCs w:val="28"/>
          <w:lang w:val="en-US" w:eastAsia="zh-CN"/>
          <w14:textFill>
            <w14:solidFill>
              <w14:schemeClr w14:val="tx1"/>
            </w14:solidFill>
          </w14:textFill>
        </w:rPr>
        <w:t>赤峰市</w:t>
      </w:r>
      <w:r>
        <w:rPr>
          <w:rFonts w:hint="default" w:ascii="Times New Roman" w:hAnsi="Times New Roman" w:eastAsia="宋体" w:cs="Times New Roman"/>
          <w:color w:val="000000" w:themeColor="text1"/>
          <w:sz w:val="28"/>
          <w:szCs w:val="28"/>
          <w14:textFill>
            <w14:solidFill>
              <w14:schemeClr w14:val="tx1"/>
            </w14:solidFill>
          </w14:textFill>
        </w:rPr>
        <w:t>自然资源局</w:t>
      </w:r>
      <w:r>
        <w:rPr>
          <w:rFonts w:hint="eastAsia" w:eastAsia="宋体" w:cs="Times New Roman"/>
          <w:color w:val="000000" w:themeColor="text1"/>
          <w:sz w:val="28"/>
          <w:szCs w:val="28"/>
          <w:lang w:val="en-US" w:eastAsia="zh-CN"/>
          <w14:textFill>
            <w14:solidFill>
              <w14:schemeClr w14:val="tx1"/>
            </w14:solidFill>
          </w14:textFill>
        </w:rPr>
        <w:t>松山区分局</w:t>
      </w:r>
      <w:r>
        <w:rPr>
          <w:rFonts w:hint="default" w:ascii="Times New Roman" w:hAnsi="Times New Roman" w:eastAsia="宋体" w:cs="Times New Roman"/>
          <w:color w:val="000000" w:themeColor="text1"/>
          <w:sz w:val="28"/>
          <w:szCs w:val="28"/>
          <w14:textFill>
            <w14:solidFill>
              <w14:schemeClr w14:val="tx1"/>
            </w14:solidFill>
          </w14:textFill>
        </w:rPr>
        <w:t>提供的全国第三次土地利用现状202</w:t>
      </w:r>
      <w:r>
        <w:rPr>
          <w:rFonts w:hint="eastAsia" w:eastAsia="宋体" w:cs="Times New Roman"/>
          <w:color w:val="000000" w:themeColor="text1"/>
          <w:sz w:val="28"/>
          <w:szCs w:val="28"/>
          <w:lang w:val="en-US" w:eastAsia="zh-CN"/>
          <w14:textFill>
            <w14:solidFill>
              <w14:schemeClr w14:val="tx1"/>
            </w14:solidFill>
          </w14:textFill>
        </w:rPr>
        <w:t>5</w:t>
      </w:r>
      <w:r>
        <w:rPr>
          <w:rFonts w:hint="default" w:ascii="Times New Roman" w:hAnsi="Times New Roman" w:eastAsia="宋体" w:cs="Times New Roman"/>
          <w:color w:val="000000" w:themeColor="text1"/>
          <w:sz w:val="28"/>
          <w:szCs w:val="28"/>
          <w14:textFill>
            <w14:solidFill>
              <w14:schemeClr w14:val="tx1"/>
            </w14:solidFill>
          </w14:textFill>
        </w:rPr>
        <w:t>年国土调查变更数据，利用mapgis软件对矿区涉及地类面积进行统计。</w:t>
      </w:r>
    </w:p>
    <w:p w14:paraId="6BF73AB2">
      <w:pPr>
        <w:pStyle w:val="12"/>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矿区</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面积</w:t>
      </w:r>
      <w:r>
        <w:rPr>
          <w:rFonts w:hint="default" w:ascii="Times New Roman" w:hAnsi="Times New Roman" w:eastAsia="宋体" w:cs="Times New Roman"/>
          <w:color w:val="000000" w:themeColor="text1"/>
          <w:sz w:val="28"/>
          <w:szCs w:val="28"/>
          <w14:textFill>
            <w14:solidFill>
              <w14:schemeClr w14:val="tx1"/>
            </w14:solidFill>
          </w14:textFill>
        </w:rPr>
        <w:t>为</w:t>
      </w:r>
      <w:r>
        <w:rPr>
          <w:rFonts w:hint="eastAsia" w:eastAsia="宋体" w:cs="Times New Roman"/>
          <w:color w:val="000000" w:themeColor="text1"/>
          <w:sz w:val="28"/>
          <w:szCs w:val="28"/>
          <w:lang w:val="en-US" w:eastAsia="zh-CN"/>
          <w14:textFill>
            <w14:solidFill>
              <w14:schemeClr w14:val="tx1"/>
            </w14:solidFill>
          </w14:textFill>
        </w:rPr>
        <w:t>0.1604</w:t>
      </w:r>
      <w:r>
        <w:rPr>
          <w:rFonts w:hint="default" w:ascii="Times New Roman" w:hAnsi="Times New Roman" w:eastAsia="宋体" w:cs="Times New Roman"/>
          <w:color w:val="000000" w:themeColor="text1"/>
          <w:sz w:val="28"/>
          <w:szCs w:val="28"/>
          <w14:textFill>
            <w14:solidFill>
              <w14:schemeClr w14:val="tx1"/>
            </w14:solidFill>
          </w14:textFill>
        </w:rPr>
        <w:t>km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，根据全国第三次土地利用现状调查资料，赤峰太安新型建筑材料有限公司太平地镇粘土矿</w:t>
      </w:r>
      <w:r>
        <w:rPr>
          <w:rFonts w:hint="eastAsia" w:ascii="Times New Roman" w:hAnsi="Times New Roman" w:eastAsia="宋体" w:cs="Times New Roman"/>
          <w:color w:val="000000" w:themeColor="text1"/>
          <w:sz w:val="28"/>
          <w:szCs w:val="28"/>
          <w14:textFill>
            <w14:solidFill>
              <w14:schemeClr w14:val="tx1"/>
            </w14:solidFill>
          </w14:textFill>
        </w:rPr>
        <w:t>矿区内主要地类为</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：水浇地、</w:t>
      </w:r>
      <w:r>
        <w:rPr>
          <w:rFonts w:hint="default" w:ascii="Times New Roman" w:hAnsi="Times New Roman" w:eastAsia="宋体" w:cs="Times New Roman"/>
          <w:color w:val="000000" w:themeColor="text1"/>
          <w:sz w:val="28"/>
          <w:szCs w:val="28"/>
          <w:lang w:eastAsia="zh-CN"/>
          <w14:textFill>
            <w14:solidFill>
              <w14:schemeClr w14:val="tx1"/>
            </w14:solidFill>
          </w14:textFill>
        </w:rPr>
        <w:t>乔木林地</w:t>
      </w: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lang w:eastAsia="zh-CN"/>
          <w14:textFill>
            <w14:solidFill>
              <w14:schemeClr w14:val="tx1"/>
            </w14:solidFill>
          </w14:textFill>
        </w:rPr>
        <w:t>采矿用地</w:t>
      </w: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农村道路</w:t>
      </w: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矿业活动</w:t>
      </w:r>
      <w:r>
        <w:rPr>
          <w:rFonts w:hint="eastAsia" w:eastAsia="宋体" w:cs="Times New Roman"/>
          <w:color w:val="000000" w:themeColor="text1"/>
          <w:sz w:val="28"/>
          <w:szCs w:val="28"/>
          <w:lang w:val="en-US" w:eastAsia="zh-CN"/>
          <w14:textFill>
            <w14:solidFill>
              <w14:schemeClr w14:val="tx1"/>
            </w14:solidFill>
          </w14:textFill>
        </w:rPr>
        <w:t>已</w:t>
      </w:r>
      <w:r>
        <w:rPr>
          <w:rFonts w:hint="default" w:ascii="Times New Roman" w:hAnsi="Times New Roman" w:eastAsia="宋体" w:cs="Times New Roman"/>
          <w:color w:val="000000" w:themeColor="text1"/>
          <w:sz w:val="28"/>
          <w:szCs w:val="28"/>
          <w14:textFill>
            <w14:solidFill>
              <w14:schemeClr w14:val="tx1"/>
            </w14:solidFill>
          </w14:textFill>
        </w:rPr>
        <w:t>占用耕地</w:t>
      </w: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eastAsia" w:eastAsia="宋体" w:cs="Times New Roman"/>
          <w:color w:val="000000" w:themeColor="text1"/>
          <w:sz w:val="28"/>
          <w:szCs w:val="28"/>
          <w:lang w:val="en-US" w:eastAsia="zh-CN"/>
          <w14:textFill>
            <w14:solidFill>
              <w14:schemeClr w14:val="tx1"/>
            </w14:solidFill>
          </w14:textFill>
        </w:rPr>
        <w:t>并</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涉及</w:t>
      </w:r>
      <w:r>
        <w:rPr>
          <w:rFonts w:hint="eastAsia" w:eastAsia="宋体" w:cs="Times New Roman"/>
          <w:color w:val="000000" w:themeColor="text1"/>
          <w:sz w:val="28"/>
          <w:szCs w:val="28"/>
          <w:lang w:val="en-US" w:eastAsia="zh-CN"/>
          <w14:textFill>
            <w14:solidFill>
              <w14:schemeClr w14:val="tx1"/>
            </w14:solidFill>
          </w14:textFill>
        </w:rPr>
        <w:t>永久</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基本农田</w:t>
      </w:r>
      <w:r>
        <w:rPr>
          <w:rFonts w:hint="default" w:ascii="Times New Roman" w:hAnsi="Times New Roman" w:eastAsia="宋体" w:cs="Times New Roman"/>
          <w:color w:val="000000" w:themeColor="text1"/>
          <w:sz w:val="28"/>
          <w:szCs w:val="28"/>
          <w14:textFill>
            <w14:solidFill>
              <w14:schemeClr w14:val="tx1"/>
            </w14:solidFill>
          </w14:textFill>
        </w:rPr>
        <w:t>。矿区内土地利用现状见表2-</w:t>
      </w:r>
      <w:r>
        <w:rPr>
          <w:rFonts w:hint="eastAsia" w:eastAsia="宋体" w:cs="Times New Roman"/>
          <w:color w:val="000000" w:themeColor="text1"/>
          <w:sz w:val="28"/>
          <w:szCs w:val="28"/>
          <w:lang w:val="en-US" w:eastAsia="zh-CN"/>
          <w14:textFill>
            <w14:solidFill>
              <w14:schemeClr w14:val="tx1"/>
            </w14:solidFill>
          </w14:textFill>
        </w:rPr>
        <w:t>7</w:t>
      </w:r>
      <w:r>
        <w:rPr>
          <w:rFonts w:hint="default" w:ascii="Times New Roman" w:hAnsi="Times New Roman" w:eastAsia="宋体" w:cs="Times New Roman"/>
          <w:color w:val="000000" w:themeColor="text1"/>
          <w:sz w:val="28"/>
          <w:szCs w:val="28"/>
          <w14:textFill>
            <w14:solidFill>
              <w14:schemeClr w14:val="tx1"/>
            </w14:solidFill>
          </w14:textFill>
        </w:rPr>
        <w:t>。</w:t>
      </w:r>
    </w:p>
    <w:p w14:paraId="67F57BD3">
      <w:pPr>
        <w:rPr>
          <w:rFonts w:hint="eastAsia" w:ascii="黑体" w:hAnsi="黑体" w:eastAsia="黑体" w:cs="黑体"/>
          <w:b w:val="0"/>
          <w:bCs/>
          <w:color w:val="000000" w:themeColor="text1"/>
          <w:kern w:val="2"/>
          <w:sz w:val="24"/>
          <w:szCs w:val="24"/>
          <w:highlight w:val="none"/>
          <w:lang w:val="en-US" w:eastAsia="zh-CN" w:bidi="ar-SA"/>
          <w14:textFill>
            <w14:solidFill>
              <w14:schemeClr w14:val="tx1"/>
            </w14:solidFill>
          </w14:textFill>
        </w:rPr>
      </w:pPr>
      <w:r>
        <w:rPr>
          <w:rFonts w:hint="eastAsia" w:ascii="黑体" w:hAnsi="黑体" w:eastAsia="黑体" w:cs="黑体"/>
          <w:b w:val="0"/>
          <w:bCs/>
          <w:color w:val="000000" w:themeColor="text1"/>
          <w:kern w:val="2"/>
          <w:sz w:val="24"/>
          <w:szCs w:val="24"/>
          <w:highlight w:val="none"/>
          <w:lang w:val="en-US" w:eastAsia="zh-CN" w:bidi="ar-SA"/>
          <w14:textFill>
            <w14:solidFill>
              <w14:schemeClr w14:val="tx1"/>
            </w14:solidFill>
          </w14:textFill>
        </w:rPr>
        <w:br w:type="page"/>
      </w:r>
    </w:p>
    <w:p w14:paraId="575934AA">
      <w:pPr>
        <w:keepNext w:val="0"/>
        <w:keepLines w:val="0"/>
        <w:pageBreakBefore w:val="0"/>
        <w:widowControl w:val="0"/>
        <w:kinsoku/>
        <w:wordWrap/>
        <w:overflowPunct/>
        <w:topLinePunct w:val="0"/>
        <w:autoSpaceDE/>
        <w:autoSpaceDN/>
        <w:bidi w:val="0"/>
        <w:adjustRightInd w:val="0"/>
        <w:snapToGrid/>
        <w:spacing w:after="0" w:line="360" w:lineRule="auto"/>
        <w:jc w:val="center"/>
        <w:textAlignment w:val="auto"/>
        <w:rPr>
          <w:rFonts w:hint="eastAsia" w:ascii="黑体" w:hAnsi="黑体" w:eastAsia="黑体" w:cs="黑体"/>
          <w:b w:val="0"/>
          <w:bCs/>
          <w:color w:val="000000" w:themeColor="text1"/>
          <w:kern w:val="2"/>
          <w:sz w:val="24"/>
          <w:szCs w:val="24"/>
          <w:highlight w:val="none"/>
          <w:lang w:val="en-US" w:eastAsia="zh-CN" w:bidi="ar-SA"/>
          <w14:textFill>
            <w14:solidFill>
              <w14:schemeClr w14:val="tx1"/>
            </w14:solidFill>
          </w14:textFill>
        </w:rPr>
      </w:pPr>
      <w:r>
        <w:rPr>
          <w:rFonts w:hint="eastAsia" w:ascii="黑体" w:hAnsi="黑体" w:eastAsia="黑体" w:cs="黑体"/>
          <w:b w:val="0"/>
          <w:bCs/>
          <w:color w:val="000000" w:themeColor="text1"/>
          <w:kern w:val="2"/>
          <w:sz w:val="24"/>
          <w:szCs w:val="24"/>
          <w:highlight w:val="none"/>
          <w:lang w:val="en-US" w:eastAsia="zh-CN" w:bidi="ar-SA"/>
          <w14:textFill>
            <w14:solidFill>
              <w14:schemeClr w14:val="tx1"/>
            </w14:solidFill>
          </w14:textFill>
        </w:rPr>
        <w:t>表2-7  矿区范围内土地利用现状表</w:t>
      </w:r>
    </w:p>
    <w:p w14:paraId="67278BA1">
      <w:pPr>
        <w:pStyle w:val="12"/>
        <w:keepNext w:val="0"/>
        <w:keepLines w:val="0"/>
        <w:pageBreakBefore w:val="0"/>
        <w:widowControl w:val="0"/>
        <w:kinsoku/>
        <w:wordWrap/>
        <w:overflowPunct/>
        <w:topLinePunct w:val="0"/>
        <w:autoSpaceDE/>
        <w:autoSpaceDN/>
        <w:bidi w:val="0"/>
        <w:adjustRightInd/>
        <w:snapToGrid/>
        <w:spacing w:before="157" w:beforeLines="50" w:line="360" w:lineRule="auto"/>
        <w:ind w:firstLine="560" w:firstLineChars="200"/>
        <w:textAlignment w:val="auto"/>
        <w:rPr>
          <w:rFonts w:hint="default" w:ascii="Times New Roman" w:hAnsi="Times New Roman" w:eastAsia="宋体" w:cs="Times New Roman"/>
          <w:b w:val="0"/>
          <w:bCs w:val="0"/>
          <w:color w:val="000000" w:themeColor="text1"/>
          <w:sz w:val="28"/>
          <w:szCs w:val="28"/>
          <w:lang w:eastAsia="zh-CN"/>
          <w14:textFill>
            <w14:solidFill>
              <w14:schemeClr w14:val="tx1"/>
            </w14:solidFill>
          </w14:textFill>
        </w:rPr>
      </w:pP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2、</w:t>
      </w:r>
      <w:r>
        <w:rPr>
          <w:rFonts w:hint="eastAsia" w:eastAsia="宋体" w:cs="Times New Roman"/>
          <w:b w:val="0"/>
          <w:bCs w:val="0"/>
          <w:color w:val="000000" w:themeColor="text1"/>
          <w:sz w:val="28"/>
          <w:szCs w:val="28"/>
          <w:lang w:val="en-US" w:eastAsia="zh-CN"/>
          <w14:textFill>
            <w14:solidFill>
              <w14:schemeClr w14:val="tx1"/>
            </w14:solidFill>
          </w14:textFill>
        </w:rPr>
        <w:t>矿区范围外</w:t>
      </w:r>
      <w:r>
        <w:rPr>
          <w:rFonts w:hint="eastAsia" w:ascii="Times New Roman" w:hAnsi="Times New Roman" w:eastAsia="宋体" w:cs="Times New Roman"/>
          <w:b w:val="0"/>
          <w:bCs w:val="0"/>
          <w:color w:val="000000" w:themeColor="text1"/>
          <w:sz w:val="28"/>
          <w:szCs w:val="28"/>
          <w:lang w:val="en-US" w:eastAsia="zh-CN"/>
          <w14:textFill>
            <w14:solidFill>
              <w14:schemeClr w14:val="tx1"/>
            </w14:solidFill>
          </w14:textFill>
        </w:rPr>
        <w:t>采矿影响范围</w:t>
      </w:r>
      <w:r>
        <w:rPr>
          <w:rFonts w:hint="default" w:ascii="Times New Roman" w:hAnsi="Times New Roman" w:eastAsia="宋体" w:cs="Times New Roman"/>
          <w:b w:val="0"/>
          <w:bCs w:val="0"/>
          <w:color w:val="000000" w:themeColor="text1"/>
          <w:sz w:val="28"/>
          <w:szCs w:val="28"/>
          <w14:textFill>
            <w14:solidFill>
              <w14:schemeClr w14:val="tx1"/>
            </w14:solidFill>
          </w14:textFill>
        </w:rPr>
        <w:t>土地利用</w:t>
      </w:r>
      <w:r>
        <w:rPr>
          <w:rFonts w:hint="eastAsia" w:eastAsia="宋体" w:cs="Times New Roman"/>
          <w:b w:val="0"/>
          <w:bCs w:val="0"/>
          <w:color w:val="000000" w:themeColor="text1"/>
          <w:sz w:val="28"/>
          <w:szCs w:val="28"/>
          <w:lang w:val="en-US" w:eastAsia="zh-CN"/>
          <w14:textFill>
            <w14:solidFill>
              <w14:schemeClr w14:val="tx1"/>
            </w14:solidFill>
          </w14:textFill>
        </w:rPr>
        <w:t>现状</w:t>
      </w:r>
    </w:p>
    <w:p w14:paraId="7AD691D1">
      <w:pPr>
        <w:keepNext w:val="0"/>
        <w:keepLines w:val="0"/>
        <w:pageBreakBefore w:val="0"/>
        <w:widowControl/>
        <w:kinsoku/>
        <w:wordWrap/>
        <w:overflowPunct/>
        <w:topLinePunct w:val="0"/>
        <w:autoSpaceDE/>
        <w:autoSpaceDN/>
        <w:bidi w:val="0"/>
        <w:adjustRightInd/>
        <w:snapToGrid/>
        <w:spacing w:after="0" w:line="336" w:lineRule="auto"/>
        <w:ind w:firstLine="560" w:firstLineChars="200"/>
        <w:jc w:val="left"/>
        <w:textAlignment w:val="auto"/>
        <w:rPr>
          <w:rFonts w:hint="default" w:ascii="Times New Roman" w:hAnsi="Times New Roman" w:eastAsia="宋体" w:cs="Times New Roman"/>
          <w:color w:val="000000" w:themeColor="text1"/>
          <w:kern w:val="0"/>
          <w:sz w:val="28"/>
          <w:szCs w:val="24"/>
          <w:highlight w:val="none"/>
          <w14:textFill>
            <w14:solidFill>
              <w14:schemeClr w14:val="tx1"/>
            </w14:solidFill>
          </w14:textFill>
        </w:rPr>
      </w:pPr>
      <w:r>
        <w:rPr>
          <w:rFonts w:hint="eastAsia" w:cs="Times New Roman"/>
          <w:color w:val="000000" w:themeColor="text1"/>
          <w:kern w:val="0"/>
          <w:sz w:val="28"/>
          <w:szCs w:val="24"/>
          <w:highlight w:val="none"/>
          <w:lang w:val="en-US" w:eastAsia="zh-CN"/>
          <w14:textFill>
            <w14:solidFill>
              <w14:schemeClr w14:val="tx1"/>
            </w14:solidFill>
          </w14:textFill>
        </w:rPr>
        <w:t>现状</w:t>
      </w:r>
      <w:r>
        <w:rPr>
          <w:rFonts w:hint="eastAsia" w:eastAsia="宋体" w:cs="Times New Roman"/>
          <w:b w:val="0"/>
          <w:bCs w:val="0"/>
          <w:color w:val="000000" w:themeColor="text1"/>
          <w:sz w:val="28"/>
          <w:szCs w:val="28"/>
          <w:lang w:val="en-US" w:eastAsia="zh-CN"/>
          <w14:textFill>
            <w14:solidFill>
              <w14:schemeClr w14:val="tx1"/>
            </w14:solidFill>
          </w14:textFill>
        </w:rPr>
        <w:t>矿区范围外</w:t>
      </w:r>
      <w:r>
        <w:rPr>
          <w:rFonts w:hint="eastAsia" w:cs="Times New Roman"/>
          <w:color w:val="000000" w:themeColor="text1"/>
          <w:kern w:val="0"/>
          <w:sz w:val="28"/>
          <w:szCs w:val="24"/>
          <w:highlight w:val="none"/>
          <w:lang w:val="en-US" w:eastAsia="zh-CN"/>
          <w14:textFill>
            <w14:solidFill>
              <w14:schemeClr w14:val="tx1"/>
            </w14:solidFill>
          </w14:textFill>
        </w:rPr>
        <w:t>采矿活动</w:t>
      </w:r>
      <w:r>
        <w:rPr>
          <w:rFonts w:hint="eastAsia" w:ascii="Times New Roman" w:hAnsi="Times New Roman" w:eastAsia="宋体" w:cs="Times New Roman"/>
          <w:b w:val="0"/>
          <w:bCs w:val="0"/>
          <w:color w:val="000000" w:themeColor="text1"/>
          <w:sz w:val="28"/>
          <w:szCs w:val="28"/>
          <w:lang w:val="en-US" w:eastAsia="zh-CN"/>
          <w14:textFill>
            <w14:solidFill>
              <w14:schemeClr w14:val="tx1"/>
            </w14:solidFill>
          </w14:textFill>
        </w:rPr>
        <w:t>影响范围</w:t>
      </w:r>
      <w:r>
        <w:rPr>
          <w:rFonts w:hint="eastAsia" w:cs="Times New Roman"/>
          <w:color w:val="000000" w:themeColor="text1"/>
          <w:kern w:val="0"/>
          <w:sz w:val="28"/>
          <w:szCs w:val="24"/>
          <w:highlight w:val="none"/>
          <w:lang w:val="en-US" w:eastAsia="zh-CN"/>
          <w14:textFill>
            <w14:solidFill>
              <w14:schemeClr w14:val="tx1"/>
            </w14:solidFill>
          </w14:textFill>
        </w:rPr>
        <w:t>已</w:t>
      </w:r>
      <w:r>
        <w:rPr>
          <w:rFonts w:hint="default" w:ascii="Times New Roman" w:hAnsi="Times New Roman" w:eastAsia="宋体" w:cs="Times New Roman"/>
          <w:color w:val="000000" w:themeColor="text1"/>
          <w:kern w:val="0"/>
          <w:sz w:val="28"/>
          <w:szCs w:val="24"/>
          <w:highlight w:val="none"/>
          <w14:textFill>
            <w14:solidFill>
              <w14:schemeClr w14:val="tx1"/>
            </w14:solidFill>
          </w14:textFill>
        </w:rPr>
        <w:t>损毁土地</w:t>
      </w:r>
      <w:r>
        <w:rPr>
          <w:rFonts w:hint="default" w:ascii="Times New Roman" w:hAnsi="Times New Roman" w:eastAsia="宋体" w:cs="Times New Roman"/>
          <w:color w:val="000000" w:themeColor="text1"/>
          <w:kern w:val="0"/>
          <w:sz w:val="28"/>
          <w:szCs w:val="28"/>
          <w:highlight w:val="none"/>
          <w:lang w:eastAsia="zh-CN"/>
          <w14:textFill>
            <w14:solidFill>
              <w14:schemeClr w14:val="tx1"/>
            </w14:solidFill>
          </w14:textFill>
        </w:rPr>
        <w:t>总</w:t>
      </w:r>
      <w:r>
        <w:rPr>
          <w:rFonts w:hint="default" w:ascii="Times New Roman" w:hAnsi="Times New Roman" w:eastAsia="宋体" w:cs="Times New Roman"/>
          <w:color w:val="000000" w:themeColor="text1"/>
          <w:kern w:val="0"/>
          <w:sz w:val="28"/>
          <w:szCs w:val="24"/>
          <w:highlight w:val="none"/>
          <w14:textFill>
            <w14:solidFill>
              <w14:schemeClr w14:val="tx1"/>
            </w14:solidFill>
          </w14:textFill>
        </w:rPr>
        <w:t>面积</w:t>
      </w:r>
      <w:r>
        <w:rPr>
          <w:rFonts w:hint="eastAsia"/>
          <w:color w:val="000000" w:themeColor="text1"/>
          <w:sz w:val="28"/>
          <w:szCs w:val="28"/>
          <w:lang w:val="en-US" w:eastAsia="zh-CN"/>
          <w14:textFill>
            <w14:solidFill>
              <w14:schemeClr w14:val="tx1"/>
            </w14:solidFill>
          </w14:textFill>
        </w:rPr>
        <w:t>3.1389hm</w:t>
      </w:r>
      <w:r>
        <w:rPr>
          <w:rFonts w:hint="eastAsia"/>
          <w:color w:val="000000" w:themeColor="text1"/>
          <w:sz w:val="28"/>
          <w:szCs w:val="28"/>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kern w:val="0"/>
          <w:sz w:val="28"/>
          <w:szCs w:val="24"/>
          <w:highlight w:val="none"/>
          <w14:textFill>
            <w14:solidFill>
              <w14:schemeClr w14:val="tx1"/>
            </w14:solidFill>
          </w14:textFill>
        </w:rPr>
        <w:t>。已损毁土地利用类型二级地类包括</w:t>
      </w:r>
      <w:r>
        <w:rPr>
          <w:rFonts w:hint="eastAsia" w:cs="Times New Roman"/>
          <w:color w:val="000000" w:themeColor="text1"/>
          <w:kern w:val="0"/>
          <w:sz w:val="28"/>
          <w:szCs w:val="24"/>
          <w:highlight w:val="none"/>
          <w:lang w:eastAsia="zh-CN"/>
          <w14:textFill>
            <w14:solidFill>
              <w14:schemeClr w14:val="tx1"/>
            </w14:solidFill>
          </w14:textFill>
        </w:rPr>
        <w:t>：</w:t>
      </w:r>
      <w:r>
        <w:rPr>
          <w:rFonts w:hint="eastAsia" w:cs="Times New Roman"/>
          <w:color w:val="000000" w:themeColor="text1"/>
          <w:kern w:val="0"/>
          <w:sz w:val="28"/>
          <w:szCs w:val="24"/>
          <w:highlight w:val="none"/>
          <w:lang w:val="en-US" w:eastAsia="zh-CN"/>
          <w14:textFill>
            <w14:solidFill>
              <w14:schemeClr w14:val="tx1"/>
            </w14:solidFill>
          </w14:textFill>
        </w:rPr>
        <w:t>水浇地</w:t>
      </w:r>
      <w:r>
        <w:rPr>
          <w:rFonts w:hint="default" w:ascii="Times New Roman" w:hAnsi="Times New Roman" w:eastAsia="宋体" w:cs="Times New Roman"/>
          <w:color w:val="000000" w:themeColor="text1"/>
          <w:kern w:val="0"/>
          <w:sz w:val="28"/>
          <w:szCs w:val="24"/>
          <w:highlight w:val="none"/>
          <w:lang w:eastAsia="zh-CN"/>
          <w14:textFill>
            <w14:solidFill>
              <w14:schemeClr w14:val="tx1"/>
            </w14:solidFill>
          </w14:textFill>
        </w:rPr>
        <w:t>（</w:t>
      </w:r>
      <w:r>
        <w:rPr>
          <w:rFonts w:hint="eastAsia" w:cs="Times New Roman"/>
          <w:color w:val="000000" w:themeColor="text1"/>
          <w:kern w:val="0"/>
          <w:sz w:val="28"/>
          <w:szCs w:val="24"/>
          <w:highlight w:val="none"/>
          <w:lang w:val="en-US" w:eastAsia="zh-CN"/>
          <w14:textFill>
            <w14:solidFill>
              <w14:schemeClr w14:val="tx1"/>
            </w14:solidFill>
          </w14:textFill>
        </w:rPr>
        <w:t>0.0926h</w:t>
      </w:r>
      <w:r>
        <w:rPr>
          <w:rFonts w:hint="eastAsia" w:ascii="Times New Roman" w:hAnsi="Times New Roman" w:eastAsia="宋体" w:cs="Times New Roman"/>
          <w:color w:val="000000" w:themeColor="text1"/>
          <w:kern w:val="0"/>
          <w:sz w:val="28"/>
          <w:szCs w:val="24"/>
          <w:highlight w:val="none"/>
          <w:lang w:eastAsia="zh-CN"/>
          <w14:textFill>
            <w14:solidFill>
              <w14:schemeClr w14:val="tx1"/>
            </w14:solidFill>
          </w14:textFill>
        </w:rPr>
        <w:t>m</w:t>
      </w:r>
      <w:r>
        <w:rPr>
          <w:rFonts w:hint="eastAsia" w:ascii="Times New Roman" w:hAnsi="Times New Roman" w:eastAsia="宋体" w:cs="Times New Roman"/>
          <w:color w:val="000000" w:themeColor="text1"/>
          <w:kern w:val="0"/>
          <w:sz w:val="28"/>
          <w:szCs w:val="24"/>
          <w:highlight w:val="none"/>
          <w:vertAlign w:val="superscript"/>
          <w:lang w:eastAsia="zh-CN"/>
          <w14:textFill>
            <w14:solidFill>
              <w14:schemeClr w14:val="tx1"/>
            </w14:solidFill>
          </w14:textFill>
        </w:rPr>
        <w:t>2</w:t>
      </w:r>
      <w:r>
        <w:rPr>
          <w:rFonts w:hint="default" w:ascii="Times New Roman" w:hAnsi="Times New Roman" w:eastAsia="宋体" w:cs="Times New Roman"/>
          <w:color w:val="000000" w:themeColor="text1"/>
          <w:kern w:val="0"/>
          <w:sz w:val="28"/>
          <w:szCs w:val="24"/>
          <w:highlight w:val="none"/>
          <w:lang w:eastAsia="zh-CN"/>
          <w14:textFill>
            <w14:solidFill>
              <w14:schemeClr w14:val="tx1"/>
            </w14:solidFill>
          </w14:textFill>
        </w:rPr>
        <w:t>）</w:t>
      </w:r>
      <w:r>
        <w:rPr>
          <w:rFonts w:hint="eastAsia" w:cs="Times New Roman"/>
          <w:color w:val="000000" w:themeColor="text1"/>
          <w:kern w:val="0"/>
          <w:sz w:val="28"/>
          <w:szCs w:val="24"/>
          <w:highlight w:val="none"/>
          <w:lang w:val="en-US" w:eastAsia="zh-CN"/>
          <w14:textFill>
            <w14:solidFill>
              <w14:schemeClr w14:val="tx1"/>
            </w14:solidFill>
          </w14:textFill>
        </w:rPr>
        <w:t>、乔木林地</w:t>
      </w:r>
      <w:r>
        <w:rPr>
          <w:rFonts w:hint="default" w:ascii="Times New Roman" w:hAnsi="Times New Roman" w:eastAsia="宋体" w:cs="Times New Roman"/>
          <w:color w:val="000000" w:themeColor="text1"/>
          <w:kern w:val="0"/>
          <w:sz w:val="28"/>
          <w:szCs w:val="24"/>
          <w:highlight w:val="none"/>
          <w:lang w:eastAsia="zh-CN"/>
          <w14:textFill>
            <w14:solidFill>
              <w14:schemeClr w14:val="tx1"/>
            </w14:solidFill>
          </w14:textFill>
        </w:rPr>
        <w:t>（</w:t>
      </w:r>
      <w:r>
        <w:rPr>
          <w:rFonts w:hint="eastAsia" w:cs="Times New Roman"/>
          <w:color w:val="000000" w:themeColor="text1"/>
          <w:kern w:val="0"/>
          <w:sz w:val="28"/>
          <w:szCs w:val="24"/>
          <w:highlight w:val="none"/>
          <w:lang w:val="en-US" w:eastAsia="zh-CN"/>
          <w14:textFill>
            <w14:solidFill>
              <w14:schemeClr w14:val="tx1"/>
            </w14:solidFill>
          </w14:textFill>
        </w:rPr>
        <w:t>0.0534h</w:t>
      </w:r>
      <w:r>
        <w:rPr>
          <w:rFonts w:hint="eastAsia" w:ascii="Times New Roman" w:hAnsi="Times New Roman" w:eastAsia="宋体" w:cs="Times New Roman"/>
          <w:color w:val="000000" w:themeColor="text1"/>
          <w:kern w:val="0"/>
          <w:sz w:val="28"/>
          <w:szCs w:val="24"/>
          <w:highlight w:val="none"/>
          <w:lang w:eastAsia="zh-CN"/>
          <w14:textFill>
            <w14:solidFill>
              <w14:schemeClr w14:val="tx1"/>
            </w14:solidFill>
          </w14:textFill>
        </w:rPr>
        <w:t>m</w:t>
      </w:r>
      <w:r>
        <w:rPr>
          <w:rFonts w:hint="eastAsia" w:ascii="Times New Roman" w:hAnsi="Times New Roman" w:eastAsia="宋体" w:cs="Times New Roman"/>
          <w:color w:val="000000" w:themeColor="text1"/>
          <w:kern w:val="0"/>
          <w:sz w:val="28"/>
          <w:szCs w:val="24"/>
          <w:highlight w:val="none"/>
          <w:vertAlign w:val="superscript"/>
          <w:lang w:eastAsia="zh-CN"/>
          <w14:textFill>
            <w14:solidFill>
              <w14:schemeClr w14:val="tx1"/>
            </w14:solidFill>
          </w14:textFill>
        </w:rPr>
        <w:t>2</w:t>
      </w:r>
      <w:r>
        <w:rPr>
          <w:rFonts w:hint="default" w:ascii="Times New Roman" w:hAnsi="Times New Roman" w:eastAsia="宋体" w:cs="Times New Roman"/>
          <w:color w:val="000000" w:themeColor="text1"/>
          <w:kern w:val="0"/>
          <w:sz w:val="28"/>
          <w:szCs w:val="24"/>
          <w:highlight w:val="none"/>
          <w:lang w:eastAsia="zh-CN"/>
          <w14:textFill>
            <w14:solidFill>
              <w14:schemeClr w14:val="tx1"/>
            </w14:solidFill>
          </w14:textFill>
        </w:rPr>
        <w:t>）</w:t>
      </w:r>
      <w:r>
        <w:rPr>
          <w:rFonts w:hint="eastAsia" w:cs="Times New Roman"/>
          <w:color w:val="000000" w:themeColor="text1"/>
          <w:kern w:val="0"/>
          <w:sz w:val="28"/>
          <w:szCs w:val="24"/>
          <w:highlight w:val="none"/>
          <w:lang w:val="en-US" w:eastAsia="zh-CN"/>
          <w14:textFill>
            <w14:solidFill>
              <w14:schemeClr w14:val="tx1"/>
            </w14:solidFill>
          </w14:textFill>
        </w:rPr>
        <w:t>、采矿用地</w:t>
      </w:r>
      <w:r>
        <w:rPr>
          <w:rFonts w:hint="default" w:ascii="Times New Roman" w:hAnsi="Times New Roman" w:eastAsia="宋体" w:cs="Times New Roman"/>
          <w:color w:val="000000" w:themeColor="text1"/>
          <w:kern w:val="0"/>
          <w:sz w:val="28"/>
          <w:szCs w:val="24"/>
          <w:highlight w:val="none"/>
          <w:lang w:eastAsia="zh-CN"/>
          <w14:textFill>
            <w14:solidFill>
              <w14:schemeClr w14:val="tx1"/>
            </w14:solidFill>
          </w14:textFill>
        </w:rPr>
        <w:t>（</w:t>
      </w:r>
      <w:r>
        <w:rPr>
          <w:rFonts w:hint="eastAsia" w:cs="Times New Roman"/>
          <w:color w:val="000000" w:themeColor="text1"/>
          <w:kern w:val="0"/>
          <w:sz w:val="28"/>
          <w:szCs w:val="24"/>
          <w:highlight w:val="none"/>
          <w:lang w:val="en-US" w:eastAsia="zh-CN"/>
          <w14:textFill>
            <w14:solidFill>
              <w14:schemeClr w14:val="tx1"/>
            </w14:solidFill>
          </w14:textFill>
        </w:rPr>
        <w:t>2.9929h</w:t>
      </w:r>
      <w:r>
        <w:rPr>
          <w:rFonts w:hint="eastAsia" w:ascii="Times New Roman" w:hAnsi="Times New Roman" w:eastAsia="宋体" w:cs="Times New Roman"/>
          <w:color w:val="000000" w:themeColor="text1"/>
          <w:kern w:val="0"/>
          <w:sz w:val="28"/>
          <w:szCs w:val="24"/>
          <w:highlight w:val="none"/>
          <w:lang w:eastAsia="zh-CN"/>
          <w14:textFill>
            <w14:solidFill>
              <w14:schemeClr w14:val="tx1"/>
            </w14:solidFill>
          </w14:textFill>
        </w:rPr>
        <w:t>m</w:t>
      </w:r>
      <w:r>
        <w:rPr>
          <w:rFonts w:hint="eastAsia" w:ascii="Times New Roman" w:hAnsi="Times New Roman" w:eastAsia="宋体" w:cs="Times New Roman"/>
          <w:color w:val="000000" w:themeColor="text1"/>
          <w:kern w:val="0"/>
          <w:sz w:val="28"/>
          <w:szCs w:val="24"/>
          <w:highlight w:val="none"/>
          <w:vertAlign w:val="superscript"/>
          <w:lang w:eastAsia="zh-CN"/>
          <w14:textFill>
            <w14:solidFill>
              <w14:schemeClr w14:val="tx1"/>
            </w14:solidFill>
          </w14:textFill>
        </w:rPr>
        <w:t>2</w:t>
      </w:r>
      <w:r>
        <w:rPr>
          <w:rFonts w:hint="default" w:ascii="Times New Roman" w:hAnsi="Times New Roman" w:eastAsia="宋体" w:cs="Times New Roman"/>
          <w:color w:val="000000" w:themeColor="text1"/>
          <w:kern w:val="0"/>
          <w:sz w:val="28"/>
          <w:szCs w:val="24"/>
          <w:highlight w:val="none"/>
          <w:lang w:eastAsia="zh-CN"/>
          <w14:textFill>
            <w14:solidFill>
              <w14:schemeClr w14:val="tx1"/>
            </w14:solidFill>
          </w14:textFill>
        </w:rPr>
        <w:t>）</w:t>
      </w:r>
      <w:r>
        <w:rPr>
          <w:rFonts w:hint="eastAsia" w:cs="Times New Roman"/>
          <w:color w:val="000000" w:themeColor="text1"/>
          <w:kern w:val="0"/>
          <w:sz w:val="28"/>
          <w:szCs w:val="24"/>
          <w:highlight w:val="none"/>
          <w:lang w:val="en-US" w:eastAsia="zh-CN"/>
          <w14:textFill>
            <w14:solidFill>
              <w14:schemeClr w14:val="tx1"/>
            </w14:solidFill>
          </w14:textFill>
        </w:rPr>
        <w:t>，</w:t>
      </w:r>
      <w:r>
        <w:rPr>
          <w:rFonts w:hint="eastAsia"/>
          <w:color w:val="000000" w:themeColor="text1"/>
          <w:sz w:val="28"/>
          <w:szCs w:val="28"/>
          <w:lang w:val="en-US" w:eastAsia="zh-CN"/>
          <w14:textFill>
            <w14:solidFill>
              <w14:schemeClr w14:val="tx1"/>
            </w14:solidFill>
          </w14:textFill>
        </w:rPr>
        <w:t>合计面积3.1389hm</w:t>
      </w:r>
      <w:r>
        <w:rPr>
          <w:rFonts w:hint="eastAsia"/>
          <w:color w:val="000000" w:themeColor="text1"/>
          <w:sz w:val="28"/>
          <w:szCs w:val="28"/>
          <w:vertAlign w:val="superscript"/>
          <w:lang w:val="en-US" w:eastAsia="zh-CN"/>
          <w14:textFill>
            <w14:solidFill>
              <w14:schemeClr w14:val="tx1"/>
            </w14:solidFill>
          </w14:textFill>
        </w:rPr>
        <w:t>2</w:t>
      </w:r>
      <w:r>
        <w:rPr>
          <w:rFonts w:hint="eastAsia"/>
          <w:color w:val="000000" w:themeColor="text1"/>
          <w:sz w:val="28"/>
          <w:szCs w:val="28"/>
          <w:lang w:val="en-US" w:eastAsia="zh-CN"/>
          <w14:textFill>
            <w14:solidFill>
              <w14:schemeClr w14:val="tx1"/>
            </w14:solidFill>
          </w14:textFill>
        </w:rPr>
        <w:t>。</w:t>
      </w:r>
    </w:p>
    <w:p w14:paraId="78BD0A22">
      <w:pPr>
        <w:pStyle w:val="66"/>
        <w:numPr>
          <w:ilvl w:val="0"/>
          <w:numId w:val="0"/>
        </w:numPr>
        <w:spacing w:line="240" w:lineRule="auto"/>
        <w:ind w:leftChars="0"/>
        <w:rPr>
          <w:rFonts w:hint="eastAsia" w:ascii="Times New Roman" w:hAnsi="Times New Roman" w:eastAsia="仿宋_GB2312" w:cs="Times New Roman"/>
          <w:color w:val="000000" w:themeColor="text1"/>
          <w:lang w:eastAsia="zh-CN"/>
          <w14:textFill>
            <w14:solidFill>
              <w14:schemeClr w14:val="tx1"/>
            </w14:solidFill>
          </w14:textFill>
        </w:rPr>
      </w:pPr>
      <w:r>
        <w:rPr>
          <w:rFonts w:hint="eastAsia" w:ascii="Times New Roman" w:hAnsi="Times New Roman" w:cs="Times New Roman"/>
          <w:color w:val="000000" w:themeColor="text1"/>
          <w:lang w:eastAsia="zh-CN"/>
          <w14:textFill>
            <w14:solidFill>
              <w14:schemeClr w14:val="tx1"/>
            </w14:solidFill>
          </w14:textFill>
        </w:rPr>
        <w:t xml:space="preserve">    </w:t>
      </w:r>
    </w:p>
    <w:p w14:paraId="009CF37F">
      <w:pPr>
        <w:pStyle w:val="12"/>
        <w:spacing w:line="360" w:lineRule="auto"/>
        <w:ind w:firstLine="560" w:firstLineChars="200"/>
        <w:outlineLvl w:val="3"/>
        <w:rPr>
          <w:rFonts w:hint="default" w:ascii="Times New Roman" w:hAnsi="Times New Roman" w:eastAsia="宋体" w:cs="Times New Roman"/>
          <w:b w:val="0"/>
          <w:bCs w:val="0"/>
          <w:color w:val="000000" w:themeColor="text1"/>
          <w:sz w:val="28"/>
          <w:szCs w:val="28"/>
          <w:lang w:eastAsia="zh-CN"/>
          <w14:textFill>
            <w14:solidFill>
              <w14:schemeClr w14:val="tx1"/>
            </w14:solidFill>
          </w14:textFill>
        </w:rPr>
      </w:pPr>
      <w:r>
        <w:rPr>
          <w:rFonts w:hint="eastAsia" w:ascii="Times New Roman" w:hAnsi="Times New Roman" w:eastAsia="宋体" w:cs="Times New Roman"/>
          <w:b w:val="0"/>
          <w:bCs w:val="0"/>
          <w:color w:val="000000" w:themeColor="text1"/>
          <w:sz w:val="28"/>
          <w:szCs w:val="28"/>
          <w:lang w:eastAsia="zh-CN"/>
          <w14:textFill>
            <w14:solidFill>
              <w14:schemeClr w14:val="tx1"/>
            </w14:solidFill>
          </w14:textFill>
        </w:rPr>
        <w:t>（</w:t>
      </w:r>
      <w:r>
        <w:rPr>
          <w:rFonts w:hint="eastAsia" w:ascii="Times New Roman" w:hAnsi="Times New Roman" w:eastAsia="宋体" w:cs="Times New Roman"/>
          <w:b w:val="0"/>
          <w:bCs w:val="0"/>
          <w:color w:val="000000" w:themeColor="text1"/>
          <w:sz w:val="28"/>
          <w:szCs w:val="28"/>
          <w:lang w:val="en-US" w:eastAsia="zh-CN"/>
          <w14:textFill>
            <w14:solidFill>
              <w14:schemeClr w14:val="tx1"/>
            </w14:solidFill>
          </w14:textFill>
        </w:rPr>
        <w:t>二</w:t>
      </w:r>
      <w:r>
        <w:rPr>
          <w:rFonts w:hint="eastAsia" w:ascii="Times New Roman" w:hAnsi="Times New Roman" w:eastAsia="宋体" w:cs="Times New Roman"/>
          <w:b w:val="0"/>
          <w:bCs w:val="0"/>
          <w:color w:val="000000" w:themeColor="text1"/>
          <w:sz w:val="28"/>
          <w:szCs w:val="28"/>
          <w:lang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eastAsia="zh-CN"/>
          <w14:textFill>
            <w14:solidFill>
              <w14:schemeClr w14:val="tx1"/>
            </w14:solidFill>
          </w14:textFill>
        </w:rPr>
        <w:t>矿区土地利用权属</w:t>
      </w:r>
    </w:p>
    <w:p w14:paraId="2BF92D41">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根据</w:t>
      </w:r>
      <w:r>
        <w:rPr>
          <w:rFonts w:hint="eastAsia" w:cs="Times New Roman"/>
          <w:color w:val="000000" w:themeColor="text1"/>
          <w:sz w:val="28"/>
          <w:szCs w:val="28"/>
          <w:lang w:val="en-US" w:eastAsia="zh-CN"/>
          <w14:textFill>
            <w14:solidFill>
              <w14:schemeClr w14:val="tx1"/>
            </w14:solidFill>
          </w14:textFill>
        </w:rPr>
        <w:t>赤峰市</w:t>
      </w:r>
      <w:r>
        <w:rPr>
          <w:rFonts w:hint="default" w:ascii="Times New Roman" w:hAnsi="Times New Roman" w:cs="Times New Roman"/>
          <w:color w:val="000000" w:themeColor="text1"/>
          <w:sz w:val="28"/>
          <w:szCs w:val="28"/>
          <w14:textFill>
            <w14:solidFill>
              <w14:schemeClr w14:val="tx1"/>
            </w14:solidFill>
          </w14:textFill>
        </w:rPr>
        <w:t>自然资源局</w:t>
      </w:r>
      <w:r>
        <w:rPr>
          <w:rFonts w:hint="eastAsia" w:cs="Times New Roman"/>
          <w:color w:val="000000" w:themeColor="text1"/>
          <w:sz w:val="28"/>
          <w:szCs w:val="28"/>
          <w:lang w:val="en-US" w:eastAsia="zh-CN"/>
          <w14:textFill>
            <w14:solidFill>
              <w14:schemeClr w14:val="tx1"/>
            </w14:solidFill>
          </w14:textFill>
        </w:rPr>
        <w:t>松山区分局</w:t>
      </w:r>
      <w:r>
        <w:rPr>
          <w:rFonts w:hint="default" w:ascii="Times New Roman" w:hAnsi="Times New Roman" w:cs="Times New Roman"/>
          <w:color w:val="000000" w:themeColor="text1"/>
          <w:sz w:val="28"/>
          <w:szCs w:val="28"/>
          <w14:textFill>
            <w14:solidFill>
              <w14:schemeClr w14:val="tx1"/>
            </w14:solidFill>
          </w14:textFill>
        </w:rPr>
        <w:t>提供的</w:t>
      </w:r>
      <w:r>
        <w:rPr>
          <w:rFonts w:hint="default" w:ascii="Times New Roman" w:hAnsi="Times New Roman" w:eastAsia="宋体" w:cs="Times New Roman"/>
          <w:color w:val="000000" w:themeColor="text1"/>
          <w:sz w:val="28"/>
          <w:szCs w:val="28"/>
          <w14:textFill>
            <w14:solidFill>
              <w14:schemeClr w14:val="tx1"/>
            </w14:solidFill>
          </w14:textFill>
        </w:rPr>
        <w:t>全国第三次土地利用现状202</w:t>
      </w:r>
      <w:r>
        <w:rPr>
          <w:rFonts w:hint="eastAsia" w:cs="Times New Roman"/>
          <w:color w:val="000000" w:themeColor="text1"/>
          <w:sz w:val="28"/>
          <w:szCs w:val="28"/>
          <w:lang w:val="en-US" w:eastAsia="zh-CN"/>
          <w14:textFill>
            <w14:solidFill>
              <w14:schemeClr w14:val="tx1"/>
            </w14:solidFill>
          </w14:textFill>
        </w:rPr>
        <w:t>5</w:t>
      </w:r>
      <w:r>
        <w:rPr>
          <w:rFonts w:hint="default" w:ascii="Times New Roman" w:hAnsi="Times New Roman" w:eastAsia="宋体" w:cs="Times New Roman"/>
          <w:color w:val="000000" w:themeColor="text1"/>
          <w:sz w:val="28"/>
          <w:szCs w:val="28"/>
          <w14:textFill>
            <w14:solidFill>
              <w14:schemeClr w14:val="tx1"/>
            </w14:solidFill>
          </w14:textFill>
        </w:rPr>
        <w:t>年国土调查变更数据</w:t>
      </w:r>
      <w:r>
        <w:rPr>
          <w:rFonts w:hint="default" w:ascii="Times New Roman" w:hAnsi="Times New Roman" w:cs="Times New Roman"/>
          <w:color w:val="000000" w:themeColor="text1"/>
          <w:sz w:val="28"/>
          <w:szCs w:val="28"/>
          <w14:textFill>
            <w14:solidFill>
              <w14:schemeClr w14:val="tx1"/>
            </w14:solidFill>
          </w14:textFill>
        </w:rPr>
        <w:t>及调查走访，</w:t>
      </w:r>
      <w:r>
        <w:rPr>
          <w:rFonts w:hint="default" w:ascii="Times New Roman" w:hAnsi="Times New Roman" w:cs="Times New Roman"/>
          <w:color w:val="000000" w:themeColor="text1"/>
          <w:sz w:val="28"/>
          <w:szCs w:val="28"/>
          <w:lang w:val="en-US" w:eastAsia="zh-CN"/>
          <w14:textFill>
            <w14:solidFill>
              <w14:schemeClr w14:val="tx1"/>
            </w14:solidFill>
          </w14:textFill>
        </w:rPr>
        <w:t>矿区内</w:t>
      </w:r>
      <w:r>
        <w:rPr>
          <w:rFonts w:hint="default" w:ascii="Times New Roman" w:hAnsi="Times New Roman" w:cs="Times New Roman"/>
          <w:color w:val="000000" w:themeColor="text1"/>
          <w:sz w:val="28"/>
          <w:szCs w:val="28"/>
          <w14:textFill>
            <w14:solidFill>
              <w14:schemeClr w14:val="tx1"/>
            </w14:solidFill>
          </w14:textFill>
        </w:rPr>
        <w:t>土地权属为内蒙古自治区赤峰市</w:t>
      </w:r>
      <w:r>
        <w:rPr>
          <w:rFonts w:hint="eastAsia" w:cs="Times New Roman"/>
          <w:color w:val="000000" w:themeColor="text1"/>
          <w:sz w:val="28"/>
          <w:szCs w:val="28"/>
          <w:lang w:val="en-US" w:eastAsia="zh-CN"/>
          <w14:textFill>
            <w14:solidFill>
              <w14:schemeClr w14:val="tx1"/>
            </w14:solidFill>
          </w14:textFill>
        </w:rPr>
        <w:t>松山区</w:t>
      </w:r>
      <w:r>
        <w:rPr>
          <w:rFonts w:hint="default" w:ascii="Times New Roman" w:hAnsi="Times New Roman" w:cs="Times New Roman"/>
          <w:color w:val="000000" w:themeColor="text1"/>
          <w:sz w:val="28"/>
          <w:szCs w:val="28"/>
          <w:lang w:val="en-US" w:eastAsia="zh-CN"/>
          <w14:textFill>
            <w14:solidFill>
              <w14:schemeClr w14:val="tx1"/>
            </w14:solidFill>
          </w14:textFill>
        </w:rPr>
        <w:t>太平地镇五十家子村</w:t>
      </w:r>
      <w:r>
        <w:rPr>
          <w:rFonts w:hint="default" w:ascii="Times New Roman" w:hAnsi="Times New Roman" w:cs="Times New Roman"/>
          <w:color w:val="000000" w:themeColor="text1"/>
          <w:sz w:val="28"/>
          <w:szCs w:val="28"/>
          <w14:textFill>
            <w14:solidFill>
              <w14:schemeClr w14:val="tx1"/>
            </w14:solidFill>
          </w14:textFill>
        </w:rPr>
        <w:t>所有。权属明确，界线明显，不存在争议。矿区土地利用权属见表2-</w:t>
      </w:r>
      <w:r>
        <w:rPr>
          <w:rFonts w:hint="eastAsia" w:cs="Times New Roman"/>
          <w:color w:val="000000" w:themeColor="text1"/>
          <w:sz w:val="28"/>
          <w:szCs w:val="28"/>
          <w:lang w:val="en-US" w:eastAsia="zh-CN"/>
          <w14:textFill>
            <w14:solidFill>
              <w14:schemeClr w14:val="tx1"/>
            </w14:solidFill>
          </w14:textFill>
        </w:rPr>
        <w:t>9</w:t>
      </w:r>
      <w:r>
        <w:rPr>
          <w:rFonts w:hint="default" w:ascii="Times New Roman" w:hAnsi="Times New Roman" w:cs="Times New Roman"/>
          <w:color w:val="000000" w:themeColor="text1"/>
          <w:sz w:val="28"/>
          <w:szCs w:val="28"/>
          <w14:textFill>
            <w14:solidFill>
              <w14:schemeClr w14:val="tx1"/>
            </w14:solidFill>
          </w14:textFill>
        </w:rPr>
        <w:t>。</w:t>
      </w:r>
    </w:p>
    <w:p w14:paraId="67DCFDC4">
      <w:pPr>
        <w:keepNext w:val="0"/>
        <w:keepLines w:val="0"/>
        <w:pageBreakBefore w:val="0"/>
        <w:widowControl w:val="0"/>
        <w:kinsoku/>
        <w:wordWrap/>
        <w:overflowPunct/>
        <w:topLinePunct w:val="0"/>
        <w:autoSpaceDE/>
        <w:autoSpaceDN/>
        <w:bidi w:val="0"/>
        <w:adjustRightInd w:val="0"/>
        <w:snapToGrid/>
        <w:spacing w:after="0" w:line="360" w:lineRule="auto"/>
        <w:jc w:val="center"/>
        <w:textAlignment w:val="auto"/>
        <w:rPr>
          <w:rFonts w:hint="eastAsia" w:ascii="黑体" w:hAnsi="黑体" w:eastAsia="黑体" w:cs="黑体"/>
          <w:b w:val="0"/>
          <w:bCs/>
          <w:color w:val="000000" w:themeColor="text1"/>
          <w:kern w:val="2"/>
          <w:sz w:val="24"/>
          <w:szCs w:val="24"/>
          <w:highlight w:val="none"/>
          <w:lang w:val="en-US" w:eastAsia="zh-CN" w:bidi="ar-SA"/>
          <w14:textFill>
            <w14:solidFill>
              <w14:schemeClr w14:val="tx1"/>
            </w14:solidFill>
          </w14:textFill>
        </w:rPr>
      </w:pPr>
      <w:r>
        <w:rPr>
          <w:rFonts w:hint="eastAsia" w:ascii="黑体" w:hAnsi="黑体" w:eastAsia="黑体" w:cs="黑体"/>
          <w:b w:val="0"/>
          <w:bCs/>
          <w:color w:val="000000" w:themeColor="text1"/>
          <w:kern w:val="2"/>
          <w:sz w:val="24"/>
          <w:szCs w:val="24"/>
          <w:highlight w:val="none"/>
          <w:lang w:val="en-US" w:eastAsia="zh-CN" w:bidi="ar-SA"/>
          <w14:textFill>
            <w14:solidFill>
              <w14:schemeClr w14:val="tx1"/>
            </w14:solidFill>
          </w14:textFill>
        </w:rPr>
        <w:t>表2-9  矿区土地利用权属表</w:t>
      </w:r>
    </w:p>
    <w:p w14:paraId="65AE51E3">
      <w:pPr>
        <w:pStyle w:val="12"/>
        <w:keepNext w:val="0"/>
        <w:keepLines w:val="0"/>
        <w:pageBreakBefore w:val="0"/>
        <w:widowControl w:val="0"/>
        <w:kinsoku/>
        <w:wordWrap/>
        <w:overflowPunct/>
        <w:topLinePunct w:val="0"/>
        <w:autoSpaceDE/>
        <w:autoSpaceDN/>
        <w:bidi w:val="0"/>
        <w:adjustRightInd/>
        <w:snapToGrid/>
        <w:spacing w:before="157" w:beforeLines="50" w:line="360" w:lineRule="auto"/>
        <w:ind w:firstLine="560" w:firstLineChars="200"/>
        <w:textAlignment w:val="auto"/>
        <w:outlineLvl w:val="3"/>
        <w:rPr>
          <w:rFonts w:hint="eastAsia" w:ascii="Times New Roman" w:hAnsi="Times New Roman" w:eastAsia="宋体" w:cs="Times New Roman"/>
          <w:b w:val="0"/>
          <w:bCs w:val="0"/>
          <w:color w:val="000000" w:themeColor="text1"/>
          <w:sz w:val="28"/>
          <w:szCs w:val="28"/>
          <w:lang w:eastAsia="zh-CN"/>
          <w14:textFill>
            <w14:solidFill>
              <w14:schemeClr w14:val="tx1"/>
            </w14:solidFill>
          </w14:textFill>
        </w:rPr>
      </w:pPr>
      <w:r>
        <w:rPr>
          <w:rFonts w:hint="eastAsia" w:ascii="Times New Roman" w:hAnsi="Times New Roman" w:eastAsia="宋体" w:cs="Times New Roman"/>
          <w:b w:val="0"/>
          <w:bCs w:val="0"/>
          <w:color w:val="000000" w:themeColor="text1"/>
          <w:sz w:val="28"/>
          <w:szCs w:val="28"/>
          <w:lang w:eastAsia="zh-CN"/>
          <w14:textFill>
            <w14:solidFill>
              <w14:schemeClr w14:val="tx1"/>
            </w14:solidFill>
          </w14:textFill>
        </w:rPr>
        <w:t>（</w:t>
      </w:r>
      <w:r>
        <w:rPr>
          <w:rFonts w:hint="eastAsia" w:ascii="Times New Roman" w:hAnsi="Times New Roman" w:eastAsia="宋体" w:cs="Times New Roman"/>
          <w:b w:val="0"/>
          <w:bCs w:val="0"/>
          <w:color w:val="000000" w:themeColor="text1"/>
          <w:sz w:val="28"/>
          <w:szCs w:val="28"/>
          <w:lang w:val="en-US" w:eastAsia="zh-CN"/>
          <w14:textFill>
            <w14:solidFill>
              <w14:schemeClr w14:val="tx1"/>
            </w14:solidFill>
          </w14:textFill>
        </w:rPr>
        <w:t>三</w:t>
      </w:r>
      <w:r>
        <w:rPr>
          <w:rFonts w:hint="eastAsia" w:ascii="Times New Roman" w:hAnsi="Times New Roman" w:eastAsia="宋体" w:cs="Times New Roman"/>
          <w:b w:val="0"/>
          <w:bCs w:val="0"/>
          <w:color w:val="000000" w:themeColor="text1"/>
          <w:sz w:val="28"/>
          <w:szCs w:val="28"/>
          <w:lang w:eastAsia="zh-CN"/>
          <w14:textFill>
            <w14:solidFill>
              <w14:schemeClr w14:val="tx1"/>
            </w14:solidFill>
          </w14:textFill>
        </w:rPr>
        <w:t>）矿区</w:t>
      </w:r>
      <w:r>
        <w:rPr>
          <w:rFonts w:hint="eastAsia" w:ascii="Times New Roman" w:hAnsi="Times New Roman" w:eastAsia="宋体" w:cs="Times New Roman"/>
          <w:b w:val="0"/>
          <w:bCs w:val="0"/>
          <w:color w:val="000000" w:themeColor="text1"/>
          <w:sz w:val="28"/>
          <w:szCs w:val="28"/>
          <w:lang w:val="en-US" w:eastAsia="zh-CN"/>
          <w14:textFill>
            <w14:solidFill>
              <w14:schemeClr w14:val="tx1"/>
            </w14:solidFill>
          </w14:textFill>
        </w:rPr>
        <w:t>耕地与</w:t>
      </w:r>
      <w:r>
        <w:rPr>
          <w:rFonts w:hint="eastAsia" w:ascii="Times New Roman" w:hAnsi="Times New Roman" w:eastAsia="宋体" w:cs="Times New Roman"/>
          <w:b w:val="0"/>
          <w:bCs w:val="0"/>
          <w:color w:val="000000" w:themeColor="text1"/>
          <w:sz w:val="28"/>
          <w:szCs w:val="28"/>
          <w:lang w:eastAsia="zh-CN"/>
          <w14:textFill>
            <w14:solidFill>
              <w14:schemeClr w14:val="tx1"/>
            </w14:solidFill>
          </w14:textFill>
        </w:rPr>
        <w:t>永久基本农田分布情况</w:t>
      </w:r>
    </w:p>
    <w:p w14:paraId="4FDF41D9">
      <w:pPr>
        <w:spacing w:line="360" w:lineRule="auto"/>
        <w:ind w:firstLine="560" w:firstLineChars="200"/>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cs="Times New Roman"/>
          <w:b w:val="0"/>
          <w:bCs w:val="0"/>
          <w:color w:val="000000" w:themeColor="text1"/>
          <w:sz w:val="28"/>
          <w:szCs w:val="28"/>
          <w14:textFill>
            <w14:solidFill>
              <w14:schemeClr w14:val="tx1"/>
            </w14:solidFill>
          </w14:textFill>
        </w:rPr>
        <w:t>根据赤峰市</w:t>
      </w: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自然资源局松山区分局出具的文件</w:t>
      </w:r>
      <w:r>
        <w:rPr>
          <w:rFonts w:hint="eastAsia" w:ascii="Times New Roman" w:hAnsi="Times New Roman" w:cs="Times New Roman"/>
          <w:b w:val="0"/>
          <w:bCs w:val="0"/>
          <w:color w:val="000000" w:themeColor="text1"/>
          <w:sz w:val="28"/>
          <w:szCs w:val="28"/>
          <w:lang w:val="en-US" w:eastAsia="zh-CN"/>
          <w14:textFill>
            <w14:solidFill>
              <w14:schemeClr w14:val="tx1"/>
            </w14:solidFill>
          </w14:textFill>
        </w:rPr>
        <w:t>“</w:t>
      </w: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矿区与永久基本农田套合图</w:t>
      </w:r>
      <w:r>
        <w:rPr>
          <w:rFonts w:hint="eastAsia" w:ascii="Times New Roman" w:hAnsi="Times New Roman" w:cs="Times New Roman"/>
          <w:b w:val="0"/>
          <w:bCs w:val="0"/>
          <w:color w:val="000000" w:themeColor="text1"/>
          <w:sz w:val="28"/>
          <w:szCs w:val="28"/>
          <w:lang w:val="en-US" w:eastAsia="zh-CN"/>
          <w14:textFill>
            <w14:solidFill>
              <w14:schemeClr w14:val="tx1"/>
            </w14:solidFill>
          </w14:textFill>
        </w:rPr>
        <w:t>”</w:t>
      </w: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。矿区范围内</w:t>
      </w:r>
      <w:r>
        <w:rPr>
          <w:rFonts w:hint="eastAsia" w:ascii="Times New Roman" w:hAnsi="Times New Roman" w:cs="Times New Roman"/>
          <w:b w:val="0"/>
          <w:bCs w:val="0"/>
          <w:color w:val="000000" w:themeColor="text1"/>
          <w:sz w:val="28"/>
          <w:szCs w:val="28"/>
          <w:lang w:val="en-US" w:eastAsia="zh-CN"/>
          <w14:textFill>
            <w14:solidFill>
              <w14:schemeClr w14:val="tx1"/>
            </w14:solidFill>
          </w14:textFill>
        </w:rPr>
        <w:t>不存在</w:t>
      </w: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占用永久基本农田</w:t>
      </w:r>
      <w:r>
        <w:rPr>
          <w:rFonts w:hint="default" w:ascii="Times New Roman" w:hAnsi="Times New Roman" w:cs="Times New Roman"/>
          <w:b w:val="0"/>
          <w:bCs w:val="0"/>
          <w:color w:val="000000" w:themeColor="text1"/>
          <w:sz w:val="28"/>
          <w:szCs w:val="28"/>
          <w14:textFill>
            <w14:solidFill>
              <w14:schemeClr w14:val="tx1"/>
            </w14:solidFill>
          </w14:textFill>
        </w:rPr>
        <w:t>。</w:t>
      </w: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详见图2-</w:t>
      </w:r>
      <w:r>
        <w:rPr>
          <w:rFonts w:hint="eastAsia" w:ascii="Times New Roman" w:hAnsi="Times New Roman" w:cs="Times New Roman"/>
          <w:b w:val="0"/>
          <w:bCs w:val="0"/>
          <w:color w:val="000000" w:themeColor="text1"/>
          <w:sz w:val="28"/>
          <w:szCs w:val="28"/>
          <w:lang w:val="en-US" w:eastAsia="zh-CN"/>
          <w14:textFill>
            <w14:solidFill>
              <w14:schemeClr w14:val="tx1"/>
            </w14:solidFill>
          </w14:textFill>
        </w:rPr>
        <w:t>3</w:t>
      </w: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w:t>
      </w:r>
    </w:p>
    <w:p w14:paraId="6FC2C3D6">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hAnsi="Times New Roman" w:cs="Times New Roman"/>
          <w:b/>
          <w:bCs/>
          <w:color w:val="000000" w:themeColor="text1"/>
          <w:sz w:val="28"/>
          <w:szCs w:val="28"/>
          <w:lang w:val="en-US" w:eastAsia="zh-CN"/>
          <w14:textFill>
            <w14:solidFill>
              <w14:schemeClr w14:val="tx1"/>
            </w14:solidFill>
          </w14:textFill>
        </w:rPr>
      </w:pPr>
      <w:r>
        <w:rPr>
          <w:rFonts w:hint="eastAsia" w:cs="Times New Roman"/>
          <w:b/>
          <w:bCs/>
          <w:color w:val="000000" w:themeColor="text1"/>
          <w:sz w:val="28"/>
          <w:szCs w:val="28"/>
          <w:lang w:val="en-US" w:eastAsia="zh-CN"/>
          <w14:textFill>
            <w14:solidFill>
              <w14:schemeClr w14:val="tx1"/>
            </w14:solidFill>
          </w14:textFill>
        </w:rPr>
        <w:t xml:space="preserve">    </w:t>
      </w:r>
    </w:p>
    <w:p w14:paraId="46A87DA8">
      <w:pPr>
        <w:keepNext w:val="0"/>
        <w:keepLines w:val="0"/>
        <w:pageBreakBefore w:val="0"/>
        <w:widowControl w:val="0"/>
        <w:kinsoku/>
        <w:wordWrap/>
        <w:overflowPunct/>
        <w:topLinePunct w:val="0"/>
        <w:autoSpaceDE/>
        <w:autoSpaceDN/>
        <w:bidi w:val="0"/>
        <w:adjustRightInd w:val="0"/>
        <w:snapToGrid/>
        <w:spacing w:after="0" w:line="360" w:lineRule="auto"/>
        <w:jc w:val="center"/>
        <w:textAlignment w:val="auto"/>
        <w:rPr>
          <w:rFonts w:hint="default" w:ascii="黑体" w:hAnsi="黑体" w:eastAsia="黑体" w:cs="黑体"/>
          <w:b w:val="0"/>
          <w:bCs/>
          <w:color w:val="000000" w:themeColor="text1"/>
          <w:kern w:val="2"/>
          <w:sz w:val="24"/>
          <w:szCs w:val="24"/>
          <w:highlight w:val="none"/>
          <w:lang w:val="en-US" w:eastAsia="zh-CN" w:bidi="ar-SA"/>
          <w14:textFill>
            <w14:solidFill>
              <w14:schemeClr w14:val="tx1"/>
            </w14:solidFill>
          </w14:textFill>
        </w:rPr>
      </w:pPr>
      <w:r>
        <w:rPr>
          <w:rFonts w:hint="eastAsia" w:ascii="黑体" w:hAnsi="黑体" w:eastAsia="黑体" w:cs="黑体"/>
          <w:b w:val="0"/>
          <w:bCs/>
          <w:color w:val="000000" w:themeColor="text1"/>
          <w:kern w:val="2"/>
          <w:sz w:val="24"/>
          <w:szCs w:val="24"/>
          <w:highlight w:val="none"/>
          <w:lang w:val="en-US" w:eastAsia="zh-CN" w:bidi="ar-SA"/>
          <w14:textFill>
            <w14:solidFill>
              <w14:schemeClr w14:val="tx1"/>
            </w14:solidFill>
          </w14:textFill>
        </w:rPr>
        <w:t>图2-3  永久基本农田及耕地分布范围图</w:t>
      </w:r>
    </w:p>
    <w:p w14:paraId="1A9E11AB">
      <w:pPr>
        <w:pStyle w:val="5"/>
        <w:bidi w:val="0"/>
        <w:spacing w:line="360" w:lineRule="auto"/>
        <w:ind w:firstLine="562" w:firstLineChars="200"/>
        <w:rPr>
          <w:rFonts w:hint="eastAsia" w:hAnsi="Times New Roman" w:cs="Times New Roman"/>
          <w:b/>
          <w:bCs/>
          <w:color w:val="000000" w:themeColor="text1"/>
          <w:sz w:val="28"/>
          <w:szCs w:val="28"/>
          <w:lang w:val="en-US" w:eastAsia="zh-CN"/>
          <w14:textFill>
            <w14:solidFill>
              <w14:schemeClr w14:val="tx1"/>
            </w14:solidFill>
          </w14:textFill>
        </w:rPr>
      </w:pPr>
      <w:r>
        <w:rPr>
          <w:rFonts w:hint="eastAsia" w:hAnsi="Times New Roman" w:cs="Times New Roman"/>
          <w:b/>
          <w:bCs/>
          <w:color w:val="000000" w:themeColor="text1"/>
          <w:sz w:val="28"/>
          <w:szCs w:val="28"/>
          <w:lang w:val="en-US" w:eastAsia="zh-CN"/>
          <w14:textFill>
            <w14:solidFill>
              <w14:schemeClr w14:val="tx1"/>
            </w14:solidFill>
          </w14:textFill>
        </w:rPr>
        <w:t>二、采矿用地申请批准情况</w:t>
      </w:r>
    </w:p>
    <w:p w14:paraId="7CB4C695">
      <w:pPr>
        <w:spacing w:line="360" w:lineRule="auto"/>
        <w:ind w:firstLine="560" w:firstLineChars="200"/>
        <w:rPr>
          <w:rFonts w:hint="eastAsia" w:cs="Times New Roman"/>
          <w:color w:val="000000" w:themeColor="text1"/>
          <w:sz w:val="28"/>
          <w:szCs w:val="28"/>
          <w:highlight w:val="none"/>
          <w:lang w:val="en-US" w:eastAsia="zh-CN"/>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矿区</w:t>
      </w:r>
      <w:r>
        <w:rPr>
          <w:rFonts w:hint="eastAsia" w:ascii="Times New Roman" w:hAnsi="Times New Roman" w:cs="Times New Roman"/>
          <w:color w:val="000000" w:themeColor="text1"/>
          <w:sz w:val="28"/>
          <w:szCs w:val="28"/>
          <w:lang w:val="en-US" w:eastAsia="zh-CN"/>
          <w14:textFill>
            <w14:solidFill>
              <w14:schemeClr w14:val="tx1"/>
            </w14:solidFill>
          </w14:textFill>
        </w:rPr>
        <w:t>现建设场地</w:t>
      </w:r>
      <w:r>
        <w:rPr>
          <w:rFonts w:hint="eastAsia" w:cs="Times New Roman"/>
          <w:color w:val="000000" w:themeColor="text1"/>
          <w:sz w:val="28"/>
          <w:szCs w:val="28"/>
          <w:lang w:val="en-US" w:eastAsia="zh-CN"/>
          <w14:textFill>
            <w14:solidFill>
              <w14:schemeClr w14:val="tx1"/>
            </w14:solidFill>
          </w14:textFill>
        </w:rPr>
        <w:t>已与当地村民签订征地补偿协议，但未办理</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采矿用地审批</w:t>
      </w:r>
      <w:r>
        <w:rPr>
          <w:rFonts w:hint="eastAsia" w:cs="Times New Roman"/>
          <w:color w:val="000000" w:themeColor="text1"/>
          <w:sz w:val="28"/>
          <w:szCs w:val="28"/>
          <w:highlight w:val="none"/>
          <w:lang w:val="en-US" w:eastAsia="zh-CN"/>
          <w14:textFill>
            <w14:solidFill>
              <w14:schemeClr w14:val="tx1"/>
            </w14:solidFill>
          </w14:textFill>
        </w:rPr>
        <w:t>手续，矿山将尽快办理用地手续。全周期预计耗时6至9个月，务必预留足够时间应对土地审批与征地公告的法定等待期，整体计划应倒排工期，将环评、水保与用地报批并联操作，并严控“不碰生态红线、按期完成复垦”两大底线，以确保项目合法合规如期开工。</w:t>
      </w:r>
    </w:p>
    <w:p w14:paraId="656D337D">
      <w:pPr>
        <w:pStyle w:val="3"/>
        <w:spacing w:before="0" w:beforeLines="0"/>
        <w:jc w:val="center"/>
        <w:rPr>
          <w:color w:val="000000" w:themeColor="text1"/>
          <w14:textFill>
            <w14:solidFill>
              <w14:schemeClr w14:val="tx1"/>
            </w14:solidFill>
          </w14:textFill>
        </w:rPr>
      </w:pPr>
      <w:bookmarkStart w:id="30" w:name="_Toc11913"/>
      <w:r>
        <w:rPr>
          <w:rFonts w:hint="eastAsia"/>
          <w:color w:val="000000" w:themeColor="text1"/>
          <w:lang w:val="en-US" w:eastAsia="zh-CN"/>
          <w14:textFill>
            <w14:solidFill>
              <w14:schemeClr w14:val="tx1"/>
            </w14:solidFill>
          </w14:textFill>
        </w:rPr>
        <w:t xml:space="preserve">第五节  </w:t>
      </w:r>
      <w:r>
        <w:rPr>
          <w:rFonts w:hint="eastAsia"/>
          <w:color w:val="000000" w:themeColor="text1"/>
          <w14:textFill>
            <w14:solidFill>
              <w14:schemeClr w14:val="tx1"/>
            </w14:solidFill>
          </w14:textFill>
        </w:rPr>
        <w:t>矿区生态状况</w:t>
      </w:r>
      <w:bookmarkEnd w:id="30"/>
    </w:p>
    <w:p w14:paraId="295D337B">
      <w:pPr>
        <w:pStyle w:val="5"/>
        <w:bidi w:val="0"/>
        <w:spacing w:line="360" w:lineRule="auto"/>
        <w:ind w:firstLine="562" w:firstLineChars="200"/>
        <w:rPr>
          <w:rFonts w:hint="default" w:hAnsi="Times New Roman" w:cs="Times New Roman"/>
          <w:b/>
          <w:bCs/>
          <w:color w:val="000000" w:themeColor="text1"/>
          <w:sz w:val="28"/>
          <w:szCs w:val="28"/>
          <w:lang w:val="en-US" w:eastAsia="zh-CN"/>
          <w14:textFill>
            <w14:solidFill>
              <w14:schemeClr w14:val="tx1"/>
            </w14:solidFill>
          </w14:textFill>
        </w:rPr>
      </w:pPr>
      <w:r>
        <w:rPr>
          <w:rFonts w:hint="eastAsia" w:hAnsi="Times New Roman" w:cs="Times New Roman"/>
          <w:b/>
          <w:bCs/>
          <w:color w:val="000000" w:themeColor="text1"/>
          <w:sz w:val="28"/>
          <w:szCs w:val="28"/>
          <w:lang w:val="en-US" w:eastAsia="zh-CN"/>
          <w14:textFill>
            <w14:solidFill>
              <w14:schemeClr w14:val="tx1"/>
            </w14:solidFill>
          </w14:textFill>
        </w:rPr>
        <w:t>一、</w:t>
      </w:r>
      <w:r>
        <w:rPr>
          <w:rFonts w:hint="default" w:hAnsi="Times New Roman" w:cs="Times New Roman"/>
          <w:b/>
          <w:bCs/>
          <w:color w:val="000000" w:themeColor="text1"/>
          <w:sz w:val="28"/>
          <w:szCs w:val="28"/>
          <w:lang w:val="en-US" w:eastAsia="zh-CN"/>
          <w14:textFill>
            <w14:solidFill>
              <w14:schemeClr w14:val="tx1"/>
            </w14:solidFill>
          </w14:textFill>
        </w:rPr>
        <w:t>生态功能定位</w:t>
      </w:r>
    </w:p>
    <w:p w14:paraId="2ACDD84B">
      <w:pPr>
        <w:adjustRightInd w:val="0"/>
        <w:snapToGrid w:val="0"/>
        <w:spacing w:line="360" w:lineRule="auto"/>
        <w:ind w:firstLine="560" w:firstLineChars="200"/>
        <w:outlineLvl w:val="2"/>
        <w:rPr>
          <w:rFonts w:hint="default"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一</w:t>
      </w: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矿区在全国生态功能区划中的定位</w:t>
      </w:r>
    </w:p>
    <w:p w14:paraId="5720B494">
      <w:pPr>
        <w:adjustRightInd w:val="0"/>
        <w:snapToGrid w:val="0"/>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根据2015年11月环境保护部和中国科学院共同编制完成的《全国生态功能区划》（修编版），矿区位于全国生态功能区划中的</w:t>
      </w: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Ⅰ-01-05</w:t>
      </w: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辽河源水源涵养功能区。</w:t>
      </w:r>
    </w:p>
    <w:p w14:paraId="72C39BFE">
      <w:pPr>
        <w:adjustRightInd w:val="0"/>
        <w:snapToGrid w:val="0"/>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该功能区位于辽河上游的老哈河和西拉木伦河上游，包含1个功能区：辽河源水源涵养功能区，行政区主要涉及内蒙古自治区的赤峰、辽宁省的朝阳、葫芦岛以及河北省的承德市，面积为51525km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该区植被类型主要为暖温带落叶阔叶林，以蒙古栎和油松为代表，多以白桦、山杨、油松和栎的不同组合形成的呈片状形式分布，具有重要的涵养水源功能；其次在保持土壤和保护生物多样性方面也有重要作用。</w:t>
      </w:r>
    </w:p>
    <w:p w14:paraId="1291B7DC">
      <w:pPr>
        <w:adjustRightInd w:val="0"/>
        <w:snapToGrid w:val="0"/>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主要生态问题：森林生态系统退化严重，大部分为砍伐后形成的次生林和灌丛；水源涵养能力低，水土流失较严重。</w:t>
      </w:r>
    </w:p>
    <w:p w14:paraId="47D4B144">
      <w:pPr>
        <w:adjustRightInd w:val="0"/>
        <w:snapToGrid w:val="0"/>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生态保护主要措施：加强天然林保护和退化生态系统恢复重建的力度；严格草地管理，实施禁牧或限牧；严格控制新建水利工程项目；加强矿产资源开发监管力度。</w:t>
      </w:r>
    </w:p>
    <w:p w14:paraId="305D351B">
      <w:pPr>
        <w:adjustRightInd w:val="0"/>
        <w:snapToGrid w:val="0"/>
        <w:spacing w:line="360" w:lineRule="auto"/>
        <w:ind w:firstLine="560" w:firstLineChars="200"/>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color w:val="000000" w:themeColor="text1"/>
          <w:sz w:val="28"/>
          <w:szCs w:val="28"/>
          <w:lang w:val="en-US" w:eastAsia="zh-CN"/>
          <w14:textFill>
            <w14:solidFill>
              <w14:schemeClr w14:val="tx1"/>
            </w14:solidFill>
          </w14:textFill>
        </w:rPr>
        <w:t>详见图2-</w:t>
      </w:r>
      <w:r>
        <w:rPr>
          <w:rFonts w:hint="eastAsia" w:cs="Times New Roman"/>
          <w:color w:val="000000" w:themeColor="text1"/>
          <w:sz w:val="28"/>
          <w:szCs w:val="28"/>
          <w:lang w:val="en-US" w:eastAsia="zh-CN"/>
          <w14:textFill>
            <w14:solidFill>
              <w14:schemeClr w14:val="tx1"/>
            </w14:solidFill>
          </w14:textFill>
        </w:rPr>
        <w:t>4</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全国全国生态功能区划分布图。</w:t>
      </w:r>
    </w:p>
    <w:p w14:paraId="6AB91B5D">
      <w:pPr>
        <w:keepNext w:val="0"/>
        <w:keepLines w:val="0"/>
        <w:pageBreakBefore w:val="0"/>
        <w:widowControl w:val="0"/>
        <w:kinsoku/>
        <w:wordWrap/>
        <w:overflowPunct/>
        <w:topLinePunct w:val="0"/>
        <w:autoSpaceDE/>
        <w:autoSpaceDN/>
        <w:bidi w:val="0"/>
        <w:adjustRightInd w:val="0"/>
        <w:snapToGrid/>
        <w:spacing w:line="360" w:lineRule="auto"/>
        <w:jc w:val="center"/>
        <w:textAlignment w:val="auto"/>
        <w:rPr>
          <w:rFonts w:hint="eastAsia" w:ascii="Times New Roman" w:hAnsi="Times New Roman" w:eastAsia="宋体" w:cs="Times New Roman"/>
          <w:color w:val="000000" w:themeColor="text1"/>
          <w:sz w:val="24"/>
          <w:szCs w:val="24"/>
          <w:lang w:eastAsia="zh-CN"/>
          <w14:textFill>
            <w14:solidFill>
              <w14:schemeClr w14:val="tx1"/>
            </w14:solidFill>
          </w14:textFill>
        </w:rPr>
      </w:pPr>
      <w:r>
        <w:rPr>
          <w:rFonts w:hint="eastAsia" w:cs="Times New Roman"/>
          <w:color w:val="000000" w:themeColor="text1"/>
          <w:szCs w:val="20"/>
          <w:lang w:eastAsia="zh-CN"/>
          <w14:textFill>
            <w14:solidFill>
              <w14:schemeClr w14:val="tx1"/>
            </w14:solidFill>
          </w14:textFill>
        </w:rPr>
        <w:t xml:space="preserve">    </w:t>
      </w:r>
    </w:p>
    <w:p w14:paraId="73608AAD">
      <w:pPr>
        <w:keepNext w:val="0"/>
        <w:keepLines w:val="0"/>
        <w:pageBreakBefore w:val="0"/>
        <w:widowControl w:val="0"/>
        <w:kinsoku/>
        <w:wordWrap/>
        <w:overflowPunct/>
        <w:topLinePunct w:val="0"/>
        <w:autoSpaceDE/>
        <w:autoSpaceDN/>
        <w:bidi w:val="0"/>
        <w:adjustRightInd w:val="0"/>
        <w:snapToGrid/>
        <w:spacing w:after="0" w:line="360" w:lineRule="auto"/>
        <w:jc w:val="center"/>
        <w:textAlignment w:val="auto"/>
        <w:rPr>
          <w:rFonts w:hint="default" w:ascii="黑体" w:hAnsi="黑体" w:eastAsia="黑体" w:cs="黑体"/>
          <w:b w:val="0"/>
          <w:bCs/>
          <w:color w:val="000000" w:themeColor="text1"/>
          <w:kern w:val="2"/>
          <w:sz w:val="24"/>
          <w:szCs w:val="24"/>
          <w:highlight w:val="none"/>
          <w:lang w:val="en-US" w:eastAsia="zh-CN" w:bidi="ar-SA"/>
          <w14:textFill>
            <w14:solidFill>
              <w14:schemeClr w14:val="tx1"/>
            </w14:solidFill>
          </w14:textFill>
        </w:rPr>
      </w:pPr>
      <w:r>
        <w:rPr>
          <w:rFonts w:hint="eastAsia" w:ascii="黑体" w:hAnsi="黑体" w:eastAsia="黑体" w:cs="黑体"/>
          <w:b w:val="0"/>
          <w:bCs/>
          <w:color w:val="000000" w:themeColor="text1"/>
          <w:kern w:val="2"/>
          <w:sz w:val="24"/>
          <w:szCs w:val="24"/>
          <w:highlight w:val="none"/>
          <w:lang w:val="en-US" w:eastAsia="zh-CN" w:bidi="ar-SA"/>
          <w14:textFill>
            <w14:solidFill>
              <w14:schemeClr w14:val="tx1"/>
            </w14:solidFill>
          </w14:textFill>
        </w:rPr>
        <w:t>图2-4  全国生态功能区划分布图</w:t>
      </w:r>
    </w:p>
    <w:p w14:paraId="067949BB">
      <w:pPr>
        <w:adjustRightInd w:val="0"/>
        <w:snapToGrid w:val="0"/>
        <w:spacing w:line="360" w:lineRule="auto"/>
        <w:ind w:firstLine="560" w:firstLineChars="200"/>
        <w:outlineLvl w:val="2"/>
        <w:rPr>
          <w:rFonts w:hint="default" w:ascii="Times New Roman" w:hAnsi="Times New Roman" w:eastAsia="宋体" w:cs="Times New Roman"/>
          <w:color w:val="000000" w:themeColor="text1"/>
          <w:sz w:val="28"/>
          <w:szCs w:val="28"/>
          <w:lang w:eastAsia="zh-CN"/>
          <w14:textFill>
            <w14:solidFill>
              <w14:schemeClr w14:val="tx1"/>
            </w14:solidFill>
          </w14:textFill>
        </w:rPr>
      </w:pP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二</w:t>
      </w: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lang w:eastAsia="zh-CN"/>
          <w14:textFill>
            <w14:solidFill>
              <w14:schemeClr w14:val="tx1"/>
            </w14:solidFill>
          </w14:textFill>
        </w:rPr>
        <w:t>矿区在内蒙古自治区生态功能区划中的定位</w:t>
      </w:r>
    </w:p>
    <w:p w14:paraId="73F69EFC">
      <w:pPr>
        <w:adjustRightInd w:val="0"/>
        <w:snapToGrid w:val="0"/>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根据《内蒙古自治区生态功能区划报告》，矿区位于</w:t>
      </w: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Ⅰ-06-03-06</w:t>
      </w: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西辽河南北黄土丘陵农田、草原水土保持功能区</w:t>
      </w:r>
      <w:r>
        <w:rPr>
          <w:rFonts w:hint="default" w:ascii="Times New Roman" w:hAnsi="Times New Roman" w:eastAsia="宋体" w:cs="Times New Roman"/>
          <w:color w:val="000000" w:themeColor="text1"/>
          <w:sz w:val="28"/>
          <w:szCs w:val="28"/>
          <w14:textFill>
            <w14:solidFill>
              <w14:schemeClr w14:val="tx1"/>
            </w14:solidFill>
          </w14:textFill>
        </w:rPr>
        <w:t>。</w:t>
      </w:r>
    </w:p>
    <w:p w14:paraId="4AC22348">
      <w:pPr>
        <w:adjustRightInd w:val="0"/>
        <w:snapToGrid w:val="0"/>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lang w:val="en-US" w:eastAsia="zh-CN"/>
          <w14:textFill>
            <w14:solidFill>
              <w14:schemeClr w14:val="tx1"/>
            </w14:solidFill>
          </w14:textFill>
        </w:rPr>
        <w:t>该区域的核心生态功能是水土保持和生物多样性维持。由于地处黄土丘陵区，土壤侵蚀较为敏感，因此防止水土流失、保护现有植被是首要任务</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w:t>
      </w:r>
    </w:p>
    <w:p w14:paraId="06D7A294">
      <w:pPr>
        <w:adjustRightInd w:val="0"/>
        <w:snapToGrid w:val="0"/>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生态保护主要措施：实施退耕还林还草，加强农田基础设施建设，合理安排农牧林比例，以维护生态系统平衡</w:t>
      </w: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加强天然林保护和退化生态系统恢复重建的力度；严格草地管理，实施禁牧或限牧；加强矿产资源开发监管力度。</w:t>
      </w:r>
    </w:p>
    <w:p w14:paraId="0F11E1B9">
      <w:pPr>
        <w:adjustRightInd w:val="0"/>
        <w:snapToGrid w:val="0"/>
        <w:spacing w:line="360" w:lineRule="auto"/>
        <w:ind w:firstLine="560" w:firstLineChars="200"/>
        <w:outlineLvl w:val="2"/>
        <w:rPr>
          <w:rFonts w:hint="default" w:ascii="Times New Roman" w:hAnsi="Times New Roman" w:eastAsia="宋体" w:cs="Times New Roman"/>
          <w:color w:val="000000" w:themeColor="text1"/>
          <w:sz w:val="28"/>
          <w:szCs w:val="28"/>
          <w:lang w:eastAsia="zh-CN"/>
          <w14:textFill>
            <w14:solidFill>
              <w14:schemeClr w14:val="tx1"/>
            </w14:solidFill>
          </w14:textFill>
        </w:rPr>
      </w:pP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三</w:t>
      </w: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lang w:eastAsia="zh-CN"/>
          <w14:textFill>
            <w14:solidFill>
              <w14:schemeClr w14:val="tx1"/>
            </w14:solidFill>
          </w14:textFill>
        </w:rPr>
        <w:t>矿区在赤峰市国土空间生态修</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复</w:t>
      </w:r>
      <w:r>
        <w:rPr>
          <w:rFonts w:hint="default" w:ascii="Times New Roman" w:hAnsi="Times New Roman" w:eastAsia="宋体" w:cs="Times New Roman"/>
          <w:color w:val="000000" w:themeColor="text1"/>
          <w:sz w:val="28"/>
          <w:szCs w:val="28"/>
          <w:lang w:eastAsia="zh-CN"/>
          <w14:textFill>
            <w14:solidFill>
              <w14:schemeClr w14:val="tx1"/>
            </w14:solidFill>
          </w14:textFill>
        </w:rPr>
        <w:t>规划中的</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定位</w:t>
      </w:r>
    </w:p>
    <w:p w14:paraId="453ED2B7">
      <w:pPr>
        <w:adjustRightInd w:val="0"/>
        <w:snapToGrid w:val="0"/>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根据</w:t>
      </w:r>
      <w:r>
        <w:rPr>
          <w:rFonts w:ascii="Times New Roman" w:hAnsi="Times New Roman" w:eastAsia="宋体" w:cs="Times New Roman"/>
          <w:color w:val="000000" w:themeColor="text1"/>
          <w:spacing w:val="-3"/>
          <w:sz w:val="28"/>
          <w:szCs w:val="28"/>
          <w14:textFill>
            <w14:solidFill>
              <w14:schemeClr w14:val="tx1"/>
            </w14:solidFill>
          </w14:textFill>
        </w:rPr>
        <w:t>《</w:t>
      </w: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内蒙古</w:t>
      </w:r>
      <w:r>
        <w:rPr>
          <w:rFonts w:ascii="Times New Roman" w:hAnsi="Times New Roman" w:eastAsia="宋体" w:cs="Times New Roman"/>
          <w:color w:val="000000" w:themeColor="text1"/>
          <w:spacing w:val="-4"/>
          <w:sz w:val="28"/>
          <w:szCs w:val="28"/>
          <w14:textFill>
            <w14:solidFill>
              <w14:schemeClr w14:val="tx1"/>
            </w14:solidFill>
          </w14:textFill>
        </w:rPr>
        <w:t>赤峰市生</w:t>
      </w:r>
      <w:r>
        <w:rPr>
          <w:rFonts w:ascii="Times New Roman" w:hAnsi="Times New Roman" w:eastAsia="宋体" w:cs="Times New Roman"/>
          <w:color w:val="000000" w:themeColor="text1"/>
          <w:spacing w:val="-3"/>
          <w:sz w:val="28"/>
          <w:szCs w:val="28"/>
          <w14:textFill>
            <w14:solidFill>
              <w14:schemeClr w14:val="tx1"/>
            </w14:solidFill>
          </w14:textFill>
        </w:rPr>
        <w:t>态环境功能区划报告》</w:t>
      </w:r>
      <w:r>
        <w:rPr>
          <w:rFonts w:hint="eastAsia" w:eastAsia="宋体" w:cs="Times New Roman"/>
          <w:color w:val="000000" w:themeColor="text1"/>
          <w:spacing w:val="-3"/>
          <w:sz w:val="28"/>
          <w:szCs w:val="28"/>
          <w:lang w:eastAsia="zh-CN"/>
          <w14:textFill>
            <w14:solidFill>
              <w14:schemeClr w14:val="tx1"/>
            </w14:solidFill>
          </w14:textFill>
        </w:rPr>
        <w:t>（</w:t>
      </w:r>
      <w:r>
        <w:rPr>
          <w:rFonts w:ascii="Times New Roman" w:hAnsi="Times New Roman" w:eastAsia="宋体" w:cs="Times New Roman"/>
          <w:color w:val="000000" w:themeColor="text1"/>
          <w:spacing w:val="-3"/>
          <w:sz w:val="28"/>
          <w:szCs w:val="28"/>
          <w14:textFill>
            <w14:solidFill>
              <w14:schemeClr w14:val="tx1"/>
            </w14:solidFill>
          </w14:textFill>
        </w:rPr>
        <w:t>赤政字</w:t>
      </w:r>
      <w:r>
        <w:rPr>
          <w:rFonts w:hint="eastAsia" w:ascii="Times New Roman" w:hAnsi="Times New Roman" w:eastAsia="Times New Roman" w:cs="Times New Roman"/>
          <w:color w:val="000000" w:themeColor="text1"/>
          <w:spacing w:val="-3"/>
          <w:sz w:val="28"/>
          <w:szCs w:val="28"/>
          <w14:textFill>
            <w14:solidFill>
              <w14:schemeClr w14:val="tx1"/>
            </w14:solidFill>
          </w14:textFill>
        </w:rPr>
        <w:t>〔</w:t>
      </w:r>
      <w:r>
        <w:rPr>
          <w:rFonts w:ascii="Times New Roman" w:hAnsi="Times New Roman" w:eastAsia="Times New Roman" w:cs="Times New Roman"/>
          <w:color w:val="000000" w:themeColor="text1"/>
          <w:spacing w:val="-3"/>
          <w:sz w:val="28"/>
          <w:szCs w:val="28"/>
          <w14:textFill>
            <w14:solidFill>
              <w14:schemeClr w14:val="tx1"/>
            </w14:solidFill>
          </w14:textFill>
        </w:rPr>
        <w:t>2003</w:t>
      </w:r>
      <w:r>
        <w:rPr>
          <w:rFonts w:hint="eastAsia" w:ascii="Times New Roman" w:hAnsi="Times New Roman" w:eastAsia="Times New Roman" w:cs="Times New Roman"/>
          <w:color w:val="000000" w:themeColor="text1"/>
          <w:spacing w:val="-3"/>
          <w:sz w:val="28"/>
          <w:szCs w:val="28"/>
          <w14:textFill>
            <w14:solidFill>
              <w14:schemeClr w14:val="tx1"/>
            </w14:solidFill>
          </w14:textFill>
        </w:rPr>
        <w:t>〕</w:t>
      </w:r>
      <w:r>
        <w:rPr>
          <w:rFonts w:ascii="Times New Roman" w:hAnsi="Times New Roman" w:eastAsia="Times New Roman" w:cs="Times New Roman"/>
          <w:color w:val="000000" w:themeColor="text1"/>
          <w:spacing w:val="-3"/>
          <w:sz w:val="28"/>
          <w:szCs w:val="28"/>
          <w14:textFill>
            <w14:solidFill>
              <w14:schemeClr w14:val="tx1"/>
            </w14:solidFill>
          </w14:textFill>
        </w:rPr>
        <w:t>112</w:t>
      </w:r>
      <w:r>
        <w:rPr>
          <w:rFonts w:ascii="Times New Roman" w:hAnsi="Times New Roman" w:eastAsia="宋体" w:cs="Times New Roman"/>
          <w:color w:val="000000" w:themeColor="text1"/>
          <w:spacing w:val="-3"/>
          <w:sz w:val="28"/>
          <w:szCs w:val="28"/>
          <w14:textFill>
            <w14:solidFill>
              <w14:schemeClr w14:val="tx1"/>
            </w14:solidFill>
          </w14:textFill>
        </w:rPr>
        <w:t>号</w:t>
      </w:r>
      <w:r>
        <w:rPr>
          <w:rFonts w:hint="eastAsia" w:eastAsia="宋体" w:cs="Times New Roman"/>
          <w:color w:val="000000" w:themeColor="text1"/>
          <w:spacing w:val="-3"/>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，矿区所在区域的定位为：黄土丘陵水土保持与生态农业功能区</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—西辽河南部黄土丘陵亚区</w:t>
      </w:r>
      <w:r>
        <w:rPr>
          <w:rFonts w:hint="default" w:ascii="Times New Roman" w:hAnsi="Times New Roman" w:eastAsia="宋体" w:cs="Times New Roman"/>
          <w:color w:val="000000" w:themeColor="text1"/>
          <w:sz w:val="28"/>
          <w:szCs w:val="28"/>
          <w14:textFill>
            <w14:solidFill>
              <w14:schemeClr w14:val="tx1"/>
            </w14:solidFill>
          </w14:textFill>
        </w:rPr>
        <w:t>。</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该分区的核心功能是水土保持和水源涵养。</w:t>
      </w:r>
    </w:p>
    <w:p w14:paraId="2E327E4B">
      <w:pPr>
        <w:adjustRightInd w:val="0"/>
        <w:snapToGrid w:val="0"/>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发展方向要求：重点问题是水土流失、植被退化以及历史遗留的矿山地质环境破坏。</w:t>
      </w:r>
    </w:p>
    <w:p w14:paraId="221E6FD7">
      <w:pPr>
        <w:adjustRightInd w:val="0"/>
        <w:snapToGrid w:val="0"/>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主要修复方向包括：实施退耕还林还草、小流域综合治理、矿山生态修复、土地综合整治等。</w:t>
      </w:r>
    </w:p>
    <w:p w14:paraId="14591DB0">
      <w:pPr>
        <w:spacing w:line="240" w:lineRule="auto"/>
        <w:jc w:val="center"/>
        <w:outlineLvl w:val="9"/>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cs="Times New Roman"/>
          <w:b/>
          <w:bCs/>
          <w:color w:val="000000" w:themeColor="text1"/>
          <w:sz w:val="24"/>
          <w:szCs w:val="24"/>
          <w:lang w:val="en-US" w:eastAsia="zh-CN"/>
          <w14:textFill>
            <w14:solidFill>
              <w14:schemeClr w14:val="tx1"/>
            </w14:solidFill>
          </w14:textFill>
        </w:rPr>
        <w:t xml:space="preserve">    </w:t>
      </w:r>
    </w:p>
    <w:p w14:paraId="569BB688">
      <w:pPr>
        <w:keepNext w:val="0"/>
        <w:keepLines w:val="0"/>
        <w:pageBreakBefore w:val="0"/>
        <w:widowControl w:val="0"/>
        <w:kinsoku/>
        <w:wordWrap/>
        <w:overflowPunct/>
        <w:topLinePunct w:val="0"/>
        <w:autoSpaceDE/>
        <w:autoSpaceDN/>
        <w:bidi w:val="0"/>
        <w:adjustRightInd w:val="0"/>
        <w:snapToGrid/>
        <w:spacing w:after="0" w:line="360" w:lineRule="auto"/>
        <w:jc w:val="center"/>
        <w:textAlignment w:val="auto"/>
        <w:rPr>
          <w:rFonts w:hint="default" w:ascii="黑体" w:hAnsi="黑体" w:eastAsia="黑体" w:cs="黑体"/>
          <w:b w:val="0"/>
          <w:bCs/>
          <w:color w:val="000000" w:themeColor="text1"/>
          <w:kern w:val="2"/>
          <w:sz w:val="24"/>
          <w:szCs w:val="24"/>
          <w:highlight w:val="none"/>
          <w:lang w:val="en-US" w:eastAsia="zh-CN" w:bidi="ar-SA"/>
          <w14:textFill>
            <w14:solidFill>
              <w14:schemeClr w14:val="tx1"/>
            </w14:solidFill>
          </w14:textFill>
        </w:rPr>
      </w:pPr>
      <w:r>
        <w:rPr>
          <w:rFonts w:hint="eastAsia" w:ascii="黑体" w:hAnsi="黑体" w:eastAsia="黑体" w:cs="黑体"/>
          <w:b w:val="0"/>
          <w:bCs/>
          <w:color w:val="000000" w:themeColor="text1"/>
          <w:kern w:val="2"/>
          <w:sz w:val="24"/>
          <w:szCs w:val="24"/>
          <w:highlight w:val="none"/>
          <w:lang w:val="en-US" w:eastAsia="zh-CN" w:bidi="ar-SA"/>
          <w14:textFill>
            <w14:solidFill>
              <w14:schemeClr w14:val="tx1"/>
            </w14:solidFill>
          </w14:textFill>
        </w:rPr>
        <w:t>图2-5  赤峰市生态功能亚区分布图</w:t>
      </w:r>
    </w:p>
    <w:p w14:paraId="034FAF90">
      <w:pPr>
        <w:adjustRightInd w:val="0"/>
        <w:snapToGrid w:val="0"/>
        <w:spacing w:line="360" w:lineRule="auto"/>
        <w:ind w:firstLine="560" w:firstLineChars="200"/>
        <w:outlineLvl w:val="2"/>
        <w:rPr>
          <w:rFonts w:hint="default" w:ascii="Times New Roman" w:hAnsi="Times New Roman" w:eastAsia="宋体" w:cs="Times New Roman"/>
          <w:color w:val="000000" w:themeColor="text1"/>
          <w:sz w:val="28"/>
          <w:szCs w:val="28"/>
          <w:lang w:eastAsia="zh-CN"/>
          <w14:textFill>
            <w14:solidFill>
              <w14:schemeClr w14:val="tx1"/>
            </w14:solidFill>
          </w14:textFill>
        </w:rPr>
      </w:pP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四</w:t>
      </w: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lang w:eastAsia="zh-CN"/>
          <w14:textFill>
            <w14:solidFill>
              <w14:schemeClr w14:val="tx1"/>
            </w14:solidFill>
          </w14:textFill>
        </w:rPr>
        <w:t>矿区在</w:t>
      </w:r>
      <w:r>
        <w:rPr>
          <w:rFonts w:hint="eastAsia" w:cs="Times New Roman"/>
          <w:color w:val="000000" w:themeColor="text1"/>
          <w:sz w:val="28"/>
          <w:szCs w:val="28"/>
          <w:lang w:val="en-US" w:eastAsia="zh-CN"/>
          <w14:textFill>
            <w14:solidFill>
              <w14:schemeClr w14:val="tx1"/>
            </w14:solidFill>
          </w14:textFill>
        </w:rPr>
        <w:t>赤峰市松山区</w:t>
      </w:r>
      <w:r>
        <w:rPr>
          <w:rFonts w:hint="default" w:ascii="Times New Roman" w:hAnsi="Times New Roman" w:eastAsia="宋体" w:cs="Times New Roman"/>
          <w:color w:val="000000" w:themeColor="text1"/>
          <w:sz w:val="28"/>
          <w:szCs w:val="28"/>
          <w:lang w:eastAsia="zh-CN"/>
          <w14:textFill>
            <w14:solidFill>
              <w14:schemeClr w14:val="tx1"/>
            </w14:solidFill>
          </w14:textFill>
        </w:rPr>
        <w:t>国土空间生态修</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复</w:t>
      </w:r>
      <w:r>
        <w:rPr>
          <w:rFonts w:hint="default" w:ascii="Times New Roman" w:hAnsi="Times New Roman" w:eastAsia="宋体" w:cs="Times New Roman"/>
          <w:color w:val="000000" w:themeColor="text1"/>
          <w:sz w:val="28"/>
          <w:szCs w:val="28"/>
          <w:lang w:eastAsia="zh-CN"/>
          <w14:textFill>
            <w14:solidFill>
              <w14:schemeClr w14:val="tx1"/>
            </w14:solidFill>
          </w14:textFill>
        </w:rPr>
        <w:t>规划中的</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定位</w:t>
      </w:r>
    </w:p>
    <w:p w14:paraId="38D15CCD">
      <w:pPr>
        <w:adjustRightInd w:val="0"/>
        <w:snapToGrid w:val="0"/>
        <w:spacing w:line="360" w:lineRule="auto"/>
        <w:ind w:firstLine="548" w:firstLineChars="200"/>
        <w:outlineLvl w:val="9"/>
        <w:rPr>
          <w:rFonts w:hint="eastAsia" w:ascii="Times New Roman" w:hAnsi="Times New Roman" w:eastAsia="宋体" w:cs="Times New Roman"/>
          <w:color w:val="000000" w:themeColor="text1"/>
          <w:sz w:val="28"/>
          <w:szCs w:val="28"/>
          <w:lang w:val="en-US" w:eastAsia="zh-CN"/>
          <w14:textFill>
            <w14:solidFill>
              <w14:schemeClr w14:val="tx1"/>
            </w14:solidFill>
          </w14:textFill>
        </w:rPr>
      </w:pPr>
      <w:r>
        <w:rPr>
          <w:rFonts w:ascii="Times New Roman" w:hAnsi="Times New Roman" w:eastAsia="宋体" w:cs="Times New Roman"/>
          <w:color w:val="000000" w:themeColor="text1"/>
          <w:spacing w:val="-3"/>
          <w:sz w:val="28"/>
          <w:szCs w:val="28"/>
          <w14:textFill>
            <w14:solidFill>
              <w14:schemeClr w14:val="tx1"/>
            </w14:solidFill>
          </w14:textFill>
        </w:rPr>
        <w:t>依据《松山区国土空间生态修复规划（2021-2035 年）》</w:t>
      </w:r>
      <w:r>
        <w:rPr>
          <w:rFonts w:hint="default" w:ascii="Times New Roman" w:hAnsi="Times New Roman" w:eastAsia="宋体" w:cs="Times New Roman"/>
          <w:color w:val="000000" w:themeColor="text1"/>
          <w:sz w:val="28"/>
          <w:szCs w:val="28"/>
          <w14:textFill>
            <w14:solidFill>
              <w14:schemeClr w14:val="tx1"/>
            </w14:solidFill>
          </w14:textFill>
        </w:rPr>
        <w:t>，矿区所在的</w:t>
      </w:r>
      <w:r>
        <w:rPr>
          <w:rFonts w:hint="eastAsia" w:cs="Times New Roman"/>
          <w:color w:val="000000" w:themeColor="text1"/>
          <w:sz w:val="28"/>
          <w:szCs w:val="28"/>
          <w:lang w:val="en-US" w:eastAsia="zh-CN"/>
          <w14:textFill>
            <w14:solidFill>
              <w14:schemeClr w14:val="tx1"/>
            </w14:solidFill>
          </w14:textFill>
        </w:rPr>
        <w:t>太平地镇五十家子村</w:t>
      </w:r>
      <w:r>
        <w:rPr>
          <w:rFonts w:hint="default" w:ascii="Times New Roman" w:hAnsi="Times New Roman" w:eastAsia="宋体" w:cs="Times New Roman"/>
          <w:color w:val="000000" w:themeColor="text1"/>
          <w:sz w:val="28"/>
          <w:szCs w:val="28"/>
          <w14:textFill>
            <w14:solidFill>
              <w14:schemeClr w14:val="tx1"/>
            </w14:solidFill>
          </w14:textFill>
        </w:rPr>
        <w:t>定位为：东部农田整治生态修复区 (Ⅴ)</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w:t>
      </w:r>
    </w:p>
    <w:p w14:paraId="55238DA1">
      <w:pPr>
        <w:spacing w:before="1" w:line="359" w:lineRule="auto"/>
        <w:ind w:left="21" w:right="76" w:firstLine="606"/>
        <w:jc w:val="both"/>
        <w:rPr>
          <w:rFonts w:ascii="宋体" w:hAnsi="宋体" w:eastAsia="宋体" w:cs="宋体"/>
          <w:color w:val="000000" w:themeColor="text1"/>
          <w:sz w:val="28"/>
          <w:szCs w:val="28"/>
          <w14:textFill>
            <w14:solidFill>
              <w14:schemeClr w14:val="tx1"/>
            </w14:solidFill>
          </w14:textFill>
        </w:rPr>
      </w:pPr>
      <w:r>
        <w:rPr>
          <w:rFonts w:ascii="宋体" w:hAnsi="宋体" w:eastAsia="宋体" w:cs="宋体"/>
          <w:color w:val="000000" w:themeColor="text1"/>
          <w:spacing w:val="-1"/>
          <w:sz w:val="28"/>
          <w:szCs w:val="28"/>
          <w14:textFill>
            <w14:solidFill>
              <w14:schemeClr w14:val="tx1"/>
            </w14:solidFill>
          </w14:textFill>
        </w:rPr>
        <w:t>自然生态状况</w:t>
      </w:r>
      <w:r>
        <w:rPr>
          <w:rFonts w:hint="eastAsia" w:ascii="宋体" w:hAnsi="宋体" w:eastAsia="宋体" w:cs="宋体"/>
          <w:color w:val="000000" w:themeColor="text1"/>
          <w:spacing w:val="-1"/>
          <w:sz w:val="28"/>
          <w:szCs w:val="28"/>
          <w:lang w:val="en-US" w:eastAsia="zh-CN"/>
          <w14:textFill>
            <w14:solidFill>
              <w14:schemeClr w14:val="tx1"/>
            </w14:solidFill>
          </w14:textFill>
        </w:rPr>
        <w:t>：</w:t>
      </w:r>
      <w:r>
        <w:rPr>
          <w:rFonts w:ascii="宋体" w:hAnsi="宋体" w:eastAsia="宋体" w:cs="宋体"/>
          <w:color w:val="000000" w:themeColor="text1"/>
          <w:spacing w:val="-1"/>
          <w:sz w:val="28"/>
          <w:szCs w:val="28"/>
          <w14:textFill>
            <w14:solidFill>
              <w14:schemeClr w14:val="tx1"/>
            </w14:solidFill>
          </w14:textFill>
        </w:rPr>
        <w:t>本区地面高程主要在</w:t>
      </w:r>
      <w:r>
        <w:rPr>
          <w:rFonts w:ascii="宋体" w:hAnsi="宋体" w:eastAsia="宋体" w:cs="宋体"/>
          <w:color w:val="000000" w:themeColor="text1"/>
          <w:spacing w:val="-66"/>
          <w:sz w:val="28"/>
          <w:szCs w:val="28"/>
          <w14:textFill>
            <w14:solidFill>
              <w14:schemeClr w14:val="tx1"/>
            </w14:solidFill>
          </w14:textFill>
        </w:rPr>
        <w:t xml:space="preserve"> </w:t>
      </w:r>
      <w:r>
        <w:rPr>
          <w:rFonts w:ascii="Times New Roman" w:hAnsi="Times New Roman" w:eastAsia="Times New Roman" w:cs="Times New Roman"/>
          <w:color w:val="000000" w:themeColor="text1"/>
          <w:spacing w:val="-1"/>
          <w:sz w:val="28"/>
          <w:szCs w:val="28"/>
          <w14:textFill>
            <w14:solidFill>
              <w14:schemeClr w14:val="tx1"/>
            </w14:solidFill>
          </w14:textFill>
        </w:rPr>
        <w:t>400-700</w:t>
      </w:r>
      <w:r>
        <w:rPr>
          <w:rFonts w:ascii="Times New Roman" w:hAnsi="Times New Roman" w:eastAsia="Times New Roman" w:cs="Times New Roman"/>
          <w:color w:val="000000" w:themeColor="text1"/>
          <w:spacing w:val="-2"/>
          <w:sz w:val="28"/>
          <w:szCs w:val="28"/>
          <w14:textFill>
            <w14:solidFill>
              <w14:schemeClr w14:val="tx1"/>
            </w14:solidFill>
          </w14:textFill>
        </w:rPr>
        <w:t>m</w:t>
      </w:r>
      <w:r>
        <w:rPr>
          <w:rFonts w:ascii="宋体" w:hAnsi="宋体" w:eastAsia="宋体" w:cs="宋体"/>
          <w:color w:val="000000" w:themeColor="text1"/>
          <w:spacing w:val="-2"/>
          <w:sz w:val="28"/>
          <w:szCs w:val="28"/>
          <w14:textFill>
            <w14:solidFill>
              <w14:schemeClr w14:val="tx1"/>
            </w14:solidFill>
          </w14:textFill>
        </w:rPr>
        <w:t>，地貌以低</w:t>
      </w:r>
      <w:r>
        <w:rPr>
          <w:rFonts w:ascii="宋体" w:hAnsi="宋体" w:eastAsia="宋体" w:cs="宋体"/>
          <w:color w:val="000000" w:themeColor="text1"/>
          <w:spacing w:val="-3"/>
          <w:sz w:val="28"/>
          <w:szCs w:val="28"/>
          <w14:textFill>
            <w14:solidFill>
              <w14:schemeClr w14:val="tx1"/>
            </w14:solidFill>
          </w14:textFill>
        </w:rPr>
        <w:t>山、丘陵为主；该区域主要属老哈河流域，主要涉</w:t>
      </w:r>
      <w:r>
        <w:rPr>
          <w:rFonts w:ascii="宋体" w:hAnsi="宋体" w:eastAsia="宋体" w:cs="宋体"/>
          <w:color w:val="000000" w:themeColor="text1"/>
          <w:spacing w:val="-4"/>
          <w:sz w:val="28"/>
          <w:szCs w:val="28"/>
          <w14:textFill>
            <w14:solidFill>
              <w14:schemeClr w14:val="tx1"/>
            </w14:solidFill>
          </w14:textFill>
        </w:rPr>
        <w:t>及羊肠子河和英金</w:t>
      </w:r>
      <w:r>
        <w:rPr>
          <w:rFonts w:ascii="宋体" w:hAnsi="宋体" w:eastAsia="宋体" w:cs="宋体"/>
          <w:color w:val="000000" w:themeColor="text1"/>
          <w:spacing w:val="-3"/>
          <w:sz w:val="28"/>
          <w:szCs w:val="28"/>
          <w14:textFill>
            <w14:solidFill>
              <w14:schemeClr w14:val="tx1"/>
            </w14:solidFill>
          </w14:textFill>
        </w:rPr>
        <w:t>河等小流域；该区地势平坦，大部分地区为农田，</w:t>
      </w:r>
      <w:r>
        <w:rPr>
          <w:rFonts w:ascii="宋体" w:hAnsi="宋体" w:eastAsia="宋体" w:cs="宋体"/>
          <w:color w:val="000000" w:themeColor="text1"/>
          <w:spacing w:val="-4"/>
          <w:sz w:val="28"/>
          <w:szCs w:val="28"/>
          <w14:textFill>
            <w14:solidFill>
              <w14:schemeClr w14:val="tx1"/>
            </w14:solidFill>
          </w14:textFill>
        </w:rPr>
        <w:t>以玉米和小麦种植</w:t>
      </w:r>
      <w:r>
        <w:rPr>
          <w:rFonts w:ascii="宋体" w:hAnsi="宋体" w:eastAsia="宋体" w:cs="宋体"/>
          <w:color w:val="000000" w:themeColor="text1"/>
          <w:spacing w:val="-3"/>
          <w:sz w:val="28"/>
          <w:szCs w:val="28"/>
          <w14:textFill>
            <w14:solidFill>
              <w14:schemeClr w14:val="tx1"/>
            </w14:solidFill>
          </w14:textFill>
        </w:rPr>
        <w:t>为主。</w:t>
      </w:r>
    </w:p>
    <w:p w14:paraId="21011F43">
      <w:pPr>
        <w:spacing w:before="57" w:line="360" w:lineRule="auto"/>
        <w:ind w:left="22" w:right="21" w:firstLine="561"/>
        <w:jc w:val="both"/>
        <w:rPr>
          <w:rFonts w:ascii="宋体" w:hAnsi="宋体" w:eastAsia="宋体" w:cs="宋体"/>
          <w:color w:val="000000" w:themeColor="text1"/>
          <w:spacing w:val="-2"/>
          <w:sz w:val="28"/>
          <w:szCs w:val="28"/>
          <w14:textFill>
            <w14:solidFill>
              <w14:schemeClr w14:val="tx1"/>
            </w14:solidFill>
          </w14:textFill>
        </w:rPr>
      </w:pPr>
      <w:r>
        <w:rPr>
          <w:rFonts w:ascii="宋体" w:hAnsi="宋体" w:eastAsia="宋体" w:cs="宋体"/>
          <w:color w:val="000000" w:themeColor="text1"/>
          <w:spacing w:val="-4"/>
          <w:sz w:val="28"/>
          <w:szCs w:val="28"/>
          <w14:textFill>
            <w14:solidFill>
              <w14:schemeClr w14:val="tx1"/>
            </w14:solidFill>
          </w14:textFill>
        </w:rPr>
        <w:t>主要生态问题</w:t>
      </w:r>
      <w:r>
        <w:rPr>
          <w:rFonts w:hint="eastAsia" w:ascii="宋体" w:hAnsi="宋体" w:eastAsia="宋体" w:cs="宋体"/>
          <w:color w:val="000000" w:themeColor="text1"/>
          <w:spacing w:val="-4"/>
          <w:sz w:val="28"/>
          <w:szCs w:val="28"/>
          <w:lang w:eastAsia="zh-CN"/>
          <w14:textFill>
            <w14:solidFill>
              <w14:schemeClr w14:val="tx1"/>
            </w14:solidFill>
          </w14:textFill>
        </w:rPr>
        <w:t>：</w:t>
      </w:r>
      <w:r>
        <w:rPr>
          <w:rFonts w:ascii="宋体" w:hAnsi="宋体" w:eastAsia="宋体" w:cs="宋体"/>
          <w:color w:val="000000" w:themeColor="text1"/>
          <w:spacing w:val="-4"/>
          <w:sz w:val="28"/>
          <w:szCs w:val="28"/>
          <w14:textFill>
            <w14:solidFill>
              <w14:schemeClr w14:val="tx1"/>
            </w14:solidFill>
          </w14:textFill>
        </w:rPr>
        <w:t>本区域耕地面积大，农业生产耗水量高，水资源利用效率偏低，水土流失问题亟待解决；农药化肥过度使用，土壤肥力下降，耕地质量下降；老哈河、英金河存在水污染等情况，水生态</w:t>
      </w:r>
      <w:r>
        <w:rPr>
          <w:rFonts w:ascii="宋体" w:hAnsi="宋体" w:eastAsia="宋体" w:cs="宋体"/>
          <w:color w:val="000000" w:themeColor="text1"/>
          <w:spacing w:val="-2"/>
          <w:sz w:val="28"/>
          <w:szCs w:val="28"/>
          <w14:textFill>
            <w14:solidFill>
              <w14:schemeClr w14:val="tx1"/>
            </w14:solidFill>
          </w14:textFill>
        </w:rPr>
        <w:t>问题较严重。</w:t>
      </w:r>
    </w:p>
    <w:p w14:paraId="76F7E00F">
      <w:pPr>
        <w:spacing w:before="57" w:line="360" w:lineRule="auto"/>
        <w:ind w:left="22" w:right="21" w:firstLine="561"/>
        <w:jc w:val="both"/>
        <w:rPr>
          <w:rFonts w:ascii="宋体" w:hAnsi="宋体" w:eastAsia="宋体" w:cs="宋体"/>
          <w:color w:val="000000" w:themeColor="text1"/>
          <w:spacing w:val="-1"/>
          <w:sz w:val="28"/>
          <w:szCs w:val="28"/>
          <w14:textFill>
            <w14:solidFill>
              <w14:schemeClr w14:val="tx1"/>
            </w14:solidFill>
          </w14:textFill>
        </w:rPr>
      </w:pPr>
      <w:r>
        <w:rPr>
          <w:rFonts w:ascii="宋体" w:hAnsi="宋体" w:eastAsia="宋体" w:cs="宋体"/>
          <w:color w:val="000000" w:themeColor="text1"/>
          <w:spacing w:val="-11"/>
          <w:sz w:val="28"/>
          <w:szCs w:val="28"/>
          <w14:textFill>
            <w14:solidFill>
              <w14:schemeClr w14:val="tx1"/>
            </w14:solidFill>
          </w14:textFill>
        </w:rPr>
        <w:t>主攻方向</w:t>
      </w:r>
      <w:r>
        <w:rPr>
          <w:rFonts w:hint="eastAsia" w:ascii="宋体" w:hAnsi="宋体" w:eastAsia="宋体" w:cs="宋体"/>
          <w:color w:val="000000" w:themeColor="text1"/>
          <w:spacing w:val="-11"/>
          <w:sz w:val="28"/>
          <w:szCs w:val="28"/>
          <w:lang w:eastAsia="zh-CN"/>
          <w14:textFill>
            <w14:solidFill>
              <w14:schemeClr w14:val="tx1"/>
            </w14:solidFill>
          </w14:textFill>
        </w:rPr>
        <w:t>：</w:t>
      </w:r>
      <w:r>
        <w:rPr>
          <w:rFonts w:ascii="宋体" w:hAnsi="宋体" w:eastAsia="宋体" w:cs="宋体"/>
          <w:color w:val="000000" w:themeColor="text1"/>
          <w:spacing w:val="-11"/>
          <w:sz w:val="28"/>
          <w:szCs w:val="28"/>
          <w14:textFill>
            <w14:solidFill>
              <w14:schemeClr w14:val="tx1"/>
            </w14:solidFill>
          </w14:textFill>
        </w:rPr>
        <w:t>加大对农业基础设施的建设，加强农业面源污染防治，</w:t>
      </w:r>
      <w:r>
        <w:rPr>
          <w:rFonts w:ascii="宋体" w:hAnsi="宋体" w:eastAsia="宋体" w:cs="宋体"/>
          <w:color w:val="000000" w:themeColor="text1"/>
          <w:spacing w:val="-3"/>
          <w:sz w:val="28"/>
          <w:szCs w:val="28"/>
          <w14:textFill>
            <w14:solidFill>
              <w14:schemeClr w14:val="tx1"/>
            </w14:solidFill>
          </w14:textFill>
        </w:rPr>
        <w:t>推进高标准农田的建设，以提高农田生态质</w:t>
      </w:r>
      <w:r>
        <w:rPr>
          <w:rFonts w:ascii="宋体" w:hAnsi="宋体" w:eastAsia="宋体" w:cs="宋体"/>
          <w:color w:val="000000" w:themeColor="text1"/>
          <w:spacing w:val="-4"/>
          <w:sz w:val="28"/>
          <w:szCs w:val="28"/>
          <w14:textFill>
            <w14:solidFill>
              <w14:schemeClr w14:val="tx1"/>
            </w14:solidFill>
          </w14:textFill>
        </w:rPr>
        <w:t>量；开展水土流失治理工</w:t>
      </w:r>
      <w:r>
        <w:rPr>
          <w:rFonts w:ascii="宋体" w:hAnsi="宋体" w:eastAsia="宋体" w:cs="宋体"/>
          <w:color w:val="000000" w:themeColor="text1"/>
          <w:spacing w:val="-3"/>
          <w:sz w:val="28"/>
          <w:szCs w:val="28"/>
          <w14:textFill>
            <w14:solidFill>
              <w14:schemeClr w14:val="tx1"/>
            </w14:solidFill>
          </w14:textFill>
        </w:rPr>
        <w:t>作，提升区域水源涵养功能和生物多样性保护；</w:t>
      </w:r>
      <w:r>
        <w:rPr>
          <w:rFonts w:ascii="宋体" w:hAnsi="宋体" w:eastAsia="宋体" w:cs="宋体"/>
          <w:color w:val="000000" w:themeColor="text1"/>
          <w:spacing w:val="-4"/>
          <w:sz w:val="28"/>
          <w:szCs w:val="28"/>
          <w14:textFill>
            <w14:solidFill>
              <w14:schemeClr w14:val="tx1"/>
            </w14:solidFill>
          </w14:textFill>
        </w:rPr>
        <w:t>逐步提升河湖、湿地</w:t>
      </w:r>
      <w:r>
        <w:rPr>
          <w:rFonts w:ascii="宋体" w:hAnsi="宋体" w:eastAsia="宋体" w:cs="宋体"/>
          <w:color w:val="000000" w:themeColor="text1"/>
          <w:spacing w:val="-1"/>
          <w:sz w:val="28"/>
          <w:szCs w:val="28"/>
          <w14:textFill>
            <w14:solidFill>
              <w14:schemeClr w14:val="tx1"/>
            </w14:solidFill>
          </w14:textFill>
        </w:rPr>
        <w:t>生态系统稳定性和生态服务功能，加快打造河湖水系生态廊道。</w:t>
      </w:r>
    </w:p>
    <w:p w14:paraId="152AB144">
      <w:pPr>
        <w:spacing w:before="57" w:line="360" w:lineRule="auto"/>
        <w:ind w:left="22" w:right="21" w:firstLine="561"/>
        <w:jc w:val="both"/>
        <w:rPr>
          <w:rFonts w:ascii="宋体" w:hAnsi="宋体" w:eastAsia="宋体" w:cs="宋体"/>
          <w:color w:val="000000" w:themeColor="text1"/>
          <w:spacing w:val="-1"/>
          <w:sz w:val="28"/>
          <w:szCs w:val="28"/>
          <w14:textFill>
            <w14:solidFill>
              <w14:schemeClr w14:val="tx1"/>
            </w14:solidFill>
          </w14:textFill>
        </w:rPr>
        <w:sectPr>
          <w:headerReference r:id="rId19" w:type="default"/>
          <w:footerReference r:id="rId20" w:type="default"/>
          <w:pgSz w:w="11907" w:h="16840"/>
          <w:pgMar w:top="1418" w:right="1418" w:bottom="1418" w:left="1418" w:header="851" w:footer="992" w:gutter="0"/>
          <w:pgNumType w:fmt="decimal"/>
          <w:cols w:space="720" w:num="1"/>
          <w:docGrid w:linePitch="312" w:charSpace="0"/>
        </w:sectPr>
      </w:pPr>
    </w:p>
    <w:p w14:paraId="42BE5BA6">
      <w:pPr>
        <w:pStyle w:val="3"/>
        <w:spacing w:before="0" w:beforeLines="0"/>
        <w:jc w:val="center"/>
        <w:rPr>
          <w:color w:val="000000" w:themeColor="text1"/>
          <w14:textFill>
            <w14:solidFill>
              <w14:schemeClr w14:val="tx1"/>
            </w14:solidFill>
          </w14:textFill>
        </w:rPr>
      </w:pPr>
      <w:bookmarkStart w:id="31" w:name="_Toc4878"/>
      <w:r>
        <w:rPr>
          <w:rFonts w:hint="eastAsia"/>
          <w:color w:val="000000" w:themeColor="text1"/>
          <w:lang w:val="en-US" w:eastAsia="zh-CN"/>
          <w14:textFill>
            <w14:solidFill>
              <w14:schemeClr w14:val="tx1"/>
            </w14:solidFill>
          </w14:textFill>
        </w:rPr>
        <w:t xml:space="preserve">第七节  </w:t>
      </w:r>
      <w:r>
        <w:rPr>
          <w:rFonts w:hint="eastAsia"/>
          <w:color w:val="000000" w:themeColor="text1"/>
          <w14:textFill>
            <w14:solidFill>
              <w14:schemeClr w14:val="tx1"/>
            </w14:solidFill>
          </w14:textFill>
        </w:rPr>
        <w:t>矿区生态修复工作情况</w:t>
      </w:r>
      <w:bookmarkEnd w:id="31"/>
    </w:p>
    <w:p w14:paraId="1BCEC613">
      <w:pPr>
        <w:pStyle w:val="5"/>
        <w:bidi w:val="0"/>
        <w:spacing w:line="360" w:lineRule="auto"/>
        <w:ind w:firstLine="562" w:firstLineChars="200"/>
        <w:rPr>
          <w:rFonts w:hint="eastAsia" w:hAnsi="Times New Roman" w:cs="Times New Roman"/>
          <w:b/>
          <w:bCs/>
          <w:color w:val="000000" w:themeColor="text1"/>
          <w:sz w:val="28"/>
          <w:szCs w:val="28"/>
          <w:lang w:val="en-US" w:eastAsia="zh-CN"/>
          <w14:textFill>
            <w14:solidFill>
              <w14:schemeClr w14:val="tx1"/>
            </w14:solidFill>
          </w14:textFill>
        </w:rPr>
      </w:pPr>
      <w:r>
        <w:rPr>
          <w:rFonts w:hint="eastAsia" w:hAnsi="Times New Roman" w:cs="Times New Roman"/>
          <w:b/>
          <w:bCs/>
          <w:color w:val="000000" w:themeColor="text1"/>
          <w:sz w:val="28"/>
          <w:szCs w:val="28"/>
          <w:lang w:val="en-US" w:eastAsia="zh-CN"/>
          <w14:textFill>
            <w14:solidFill>
              <w14:schemeClr w14:val="tx1"/>
            </w14:solidFill>
          </w14:textFill>
        </w:rPr>
        <w:t>一、矿山以往生态修复方案编制概况</w:t>
      </w:r>
    </w:p>
    <w:p w14:paraId="4EC6DDD0">
      <w:pPr>
        <w:pStyle w:val="64"/>
        <w:spacing w:line="360" w:lineRule="auto"/>
        <w:ind w:firstLine="548"/>
        <w:jc w:val="left"/>
        <w:rPr>
          <w:rFonts w:hint="default" w:ascii="Times New Roman" w:hAnsi="Times New Roman" w:eastAsia="宋体" w:cs="Times New Roman"/>
          <w:color w:val="000000" w:themeColor="text1"/>
          <w:spacing w:val="-3"/>
          <w:sz w:val="28"/>
          <w:szCs w:val="28"/>
          <w:lang w:val="en-US"/>
          <w14:textFill>
            <w14:solidFill>
              <w14:schemeClr w14:val="tx1"/>
            </w14:solidFill>
          </w14:textFill>
        </w:rPr>
      </w:pPr>
      <w:r>
        <w:rPr>
          <w:rFonts w:hint="eastAsia" w:eastAsia="宋体" w:cs="Times New Roman"/>
          <w:color w:val="000000" w:themeColor="text1"/>
          <w:spacing w:val="-3"/>
          <w:sz w:val="28"/>
          <w:szCs w:val="28"/>
          <w:lang w:val="en-US" w:eastAsia="zh-CN"/>
          <w14:textFill>
            <w14:solidFill>
              <w14:schemeClr w14:val="tx1"/>
            </w14:solidFill>
          </w14:textFill>
        </w:rPr>
        <w:t>（1）</w:t>
      </w:r>
      <w:r>
        <w:rPr>
          <w:rFonts w:hint="default" w:ascii="Times New Roman" w:hAnsi="Times New Roman" w:eastAsia="宋体" w:cs="Times New Roman"/>
          <w:color w:val="000000" w:themeColor="text1"/>
          <w:sz w:val="28"/>
          <w:szCs w:val="28"/>
          <w14:textFill>
            <w14:solidFill>
              <w14:schemeClr w14:val="tx1"/>
            </w14:solidFill>
          </w14:textFill>
        </w:rPr>
        <w:t>20</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21</w:t>
      </w:r>
      <w:r>
        <w:rPr>
          <w:rFonts w:hint="default" w:ascii="Times New Roman" w:hAnsi="Times New Roman" w:eastAsia="宋体" w:cs="Times New Roman"/>
          <w:color w:val="000000" w:themeColor="text1"/>
          <w:sz w:val="28"/>
          <w:szCs w:val="28"/>
          <w14:textFill>
            <w14:solidFill>
              <w14:schemeClr w14:val="tx1"/>
            </w14:solidFill>
          </w14:textFill>
        </w:rPr>
        <w:t>年</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月，由</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赤峰带路矿业咨询有限公司联合江西核工业工程地质勘察院</w:t>
      </w:r>
      <w:r>
        <w:rPr>
          <w:rFonts w:hint="default" w:ascii="Times New Roman" w:hAnsi="Times New Roman" w:eastAsia="宋体" w:cs="Times New Roman"/>
          <w:color w:val="000000" w:themeColor="text1"/>
          <w:sz w:val="28"/>
          <w:szCs w:val="28"/>
          <w14:textFill>
            <w14:solidFill>
              <w14:schemeClr w14:val="tx1"/>
            </w14:solidFill>
          </w14:textFill>
        </w:rPr>
        <w:t>编制并提交了《内蒙古自治区赤峰市松山区德春砖厂粘土矿开发与治理综合方案》</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（以下简称</w:t>
      </w:r>
      <w:r>
        <w:rPr>
          <w:rFonts w:hint="eastAsia" w:eastAsia="宋体" w:cs="Times New Roman"/>
          <w:color w:val="000000" w:themeColor="text1"/>
          <w:spacing w:val="-3"/>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开发与治理综合方案</w:t>
      </w:r>
      <w:r>
        <w:rPr>
          <w:rFonts w:hint="eastAsia" w:eastAsia="宋体" w:cs="Times New Roman"/>
          <w:color w:val="000000" w:themeColor="text1"/>
          <w:spacing w:val="-3"/>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w:t>
      </w:r>
      <w:r>
        <w:rPr>
          <w:rFonts w:hint="default" w:ascii="Times New Roman" w:hAnsi="Times New Roman" w:eastAsia="宋体" w:cs="Times New Roman"/>
          <w:color w:val="000000" w:themeColor="text1"/>
          <w:spacing w:val="-3"/>
          <w:sz w:val="28"/>
          <w:szCs w:val="28"/>
          <w:lang w:val="en-US" w:eastAsia="zh-CN"/>
          <w14:textFill>
            <w14:solidFill>
              <w14:schemeClr w14:val="tx1"/>
            </w14:solidFill>
          </w14:textFill>
        </w:rPr>
        <w:t>赤自然资综合评字[2021]002号</w:t>
      </w:r>
      <w:r>
        <w:rPr>
          <w:rFonts w:hint="eastAsia" w:eastAsia="宋体" w:cs="Times New Roman"/>
          <w:color w:val="000000" w:themeColor="text1"/>
          <w:spacing w:val="-3"/>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w:t>
      </w:r>
    </w:p>
    <w:p w14:paraId="46B72C4B">
      <w:pPr>
        <w:bidi w:val="0"/>
        <w:spacing w:line="360" w:lineRule="auto"/>
        <w:ind w:firstLine="548" w:firstLineChars="200"/>
        <w:outlineLvl w:val="9"/>
        <w:rPr>
          <w:rFonts w:hint="default" w:ascii="Times New Roman" w:hAnsi="Times New Roman" w:eastAsia="宋体" w:cs="Times New Roman"/>
          <w:color w:val="000000" w:themeColor="text1"/>
          <w:spacing w:val="-3"/>
          <w:sz w:val="28"/>
          <w:szCs w:val="28"/>
          <w:lang w:val="en-US"/>
          <w14:textFill>
            <w14:solidFill>
              <w14:schemeClr w14:val="tx1"/>
            </w14:solidFill>
          </w14:textFill>
        </w:rPr>
      </w:pP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（2）</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202</w:t>
      </w: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2</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年</w:t>
      </w: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3</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月</w:t>
      </w: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矿山自行编制的《</w:t>
      </w:r>
      <w:r>
        <w:rPr>
          <w:rFonts w:hint="default" w:ascii="Times New Roman" w:hAnsi="Times New Roman" w:eastAsia="宋体" w:cs="Times New Roman"/>
          <w:color w:val="000000" w:themeColor="text1"/>
          <w:spacing w:val="-3"/>
          <w:sz w:val="28"/>
          <w:szCs w:val="28"/>
          <w:lang w:val="en-US" w:eastAsia="zh-CN"/>
          <w14:textFill>
            <w14:solidFill>
              <w14:schemeClr w14:val="tx1"/>
            </w14:solidFill>
          </w14:textFill>
        </w:rPr>
        <w:t>赤峰市松山区德春砖厂粘土矿202</w:t>
      </w: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2</w:t>
      </w:r>
      <w:r>
        <w:rPr>
          <w:rFonts w:hint="default" w:ascii="Times New Roman" w:hAnsi="Times New Roman" w:eastAsia="宋体" w:cs="Times New Roman"/>
          <w:color w:val="000000" w:themeColor="text1"/>
          <w:spacing w:val="-3"/>
          <w:sz w:val="28"/>
          <w:szCs w:val="28"/>
          <w:lang w:val="en-US" w:eastAsia="zh-CN"/>
          <w14:textFill>
            <w14:solidFill>
              <w14:schemeClr w14:val="tx1"/>
            </w14:solidFill>
          </w14:textFill>
        </w:rPr>
        <w:t>年度矿山地质环境治理计划书</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w:t>
      </w:r>
    </w:p>
    <w:p w14:paraId="09C7BA22">
      <w:pPr>
        <w:pStyle w:val="64"/>
        <w:spacing w:line="360" w:lineRule="auto"/>
        <w:ind w:firstLine="548"/>
        <w:jc w:val="left"/>
        <w:outlineLvl w:val="9"/>
        <w:rPr>
          <w:rFonts w:hint="default" w:ascii="Times New Roman" w:hAnsi="Times New Roman" w:eastAsia="宋体" w:cs="Times New Roman"/>
          <w:color w:val="000000" w:themeColor="text1"/>
          <w:spacing w:val="-3"/>
          <w:sz w:val="28"/>
          <w:szCs w:val="28"/>
          <w:lang w:val="en-US"/>
          <w14:textFill>
            <w14:solidFill>
              <w14:schemeClr w14:val="tx1"/>
            </w14:solidFill>
          </w14:textFill>
        </w:rPr>
      </w:pPr>
      <w:r>
        <w:rPr>
          <w:rFonts w:hint="eastAsia" w:eastAsia="宋体" w:cs="Times New Roman"/>
          <w:color w:val="000000" w:themeColor="text1"/>
          <w:spacing w:val="-3"/>
          <w:sz w:val="28"/>
          <w:szCs w:val="28"/>
          <w:lang w:val="en-US" w:eastAsia="zh-CN"/>
          <w14:textFill>
            <w14:solidFill>
              <w14:schemeClr w14:val="tx1"/>
            </w14:solidFill>
          </w14:textFill>
        </w:rPr>
        <w:t>（3）</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2023年</w:t>
      </w:r>
      <w:r>
        <w:rPr>
          <w:rFonts w:hint="eastAsia" w:eastAsia="宋体" w:cs="Times New Roman"/>
          <w:color w:val="000000" w:themeColor="text1"/>
          <w:spacing w:val="-3"/>
          <w:sz w:val="28"/>
          <w:szCs w:val="28"/>
          <w:lang w:val="en-US" w:eastAsia="zh-CN"/>
          <w14:textFill>
            <w14:solidFill>
              <w14:schemeClr w14:val="tx1"/>
            </w14:solidFill>
          </w14:textFill>
        </w:rPr>
        <w:t>4</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月</w:t>
      </w:r>
      <w:r>
        <w:rPr>
          <w:rFonts w:hint="eastAsia" w:eastAsia="宋体" w:cs="Times New Roman"/>
          <w:color w:val="000000" w:themeColor="text1"/>
          <w:spacing w:val="-3"/>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矿山自行编制的《赤峰市松山区德春砖厂粘土矿202</w:t>
      </w:r>
      <w:r>
        <w:rPr>
          <w:rFonts w:hint="default" w:ascii="Times New Roman" w:hAnsi="Times New Roman" w:eastAsia="宋体" w:cs="Times New Roman"/>
          <w:color w:val="000000" w:themeColor="text1"/>
          <w:spacing w:val="-3"/>
          <w:sz w:val="28"/>
          <w:szCs w:val="28"/>
          <w:lang w:val="en-US" w:eastAsia="zh-CN"/>
          <w14:textFill>
            <w14:solidFill>
              <w14:schemeClr w14:val="tx1"/>
            </w14:solidFill>
          </w14:textFill>
        </w:rPr>
        <w:t>3</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年度矿山地质环境治理计划书》；</w:t>
      </w:r>
    </w:p>
    <w:p w14:paraId="696CC5EA">
      <w:pPr>
        <w:bidi w:val="0"/>
        <w:spacing w:line="360" w:lineRule="auto"/>
        <w:ind w:firstLine="548" w:firstLineChars="200"/>
        <w:outlineLvl w:val="9"/>
        <w:rPr>
          <w:rFonts w:hint="default" w:ascii="Times New Roman" w:hAnsi="Times New Roman" w:eastAsia="宋体" w:cs="Times New Roman"/>
          <w:color w:val="000000" w:themeColor="text1"/>
          <w:spacing w:val="-3"/>
          <w:sz w:val="28"/>
          <w:szCs w:val="28"/>
          <w:lang w:val="en-US"/>
          <w14:textFill>
            <w14:solidFill>
              <w14:schemeClr w14:val="tx1"/>
            </w14:solidFill>
          </w14:textFill>
        </w:rPr>
      </w:pP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（4）</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202</w:t>
      </w: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4</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年</w:t>
      </w: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1</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月</w:t>
      </w: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矿山自行编制的《</w:t>
      </w:r>
      <w:r>
        <w:rPr>
          <w:rFonts w:hint="default" w:ascii="Times New Roman" w:hAnsi="Times New Roman" w:eastAsia="宋体" w:cs="Times New Roman"/>
          <w:color w:val="000000" w:themeColor="text1"/>
          <w:spacing w:val="-3"/>
          <w:sz w:val="28"/>
          <w:szCs w:val="28"/>
          <w:lang w:val="en-US" w:eastAsia="zh-CN"/>
          <w14:textFill>
            <w14:solidFill>
              <w14:schemeClr w14:val="tx1"/>
            </w14:solidFill>
          </w14:textFill>
        </w:rPr>
        <w:t>赤峰市松山区德春砖厂粘土矿2024年度矿山地质环境治理计划书</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w:t>
      </w:r>
    </w:p>
    <w:p w14:paraId="780B068E">
      <w:pPr>
        <w:bidi w:val="0"/>
        <w:spacing w:line="360" w:lineRule="auto"/>
        <w:ind w:firstLine="548" w:firstLineChars="200"/>
        <w:outlineLvl w:val="9"/>
        <w:rPr>
          <w:rFonts w:hint="default" w:ascii="Times New Roman" w:hAnsi="Times New Roman" w:eastAsia="宋体" w:cs="Times New Roman"/>
          <w:color w:val="000000" w:themeColor="text1"/>
          <w:spacing w:val="-3"/>
          <w:sz w:val="28"/>
          <w:szCs w:val="28"/>
          <w:lang w:val="en-US"/>
          <w14:textFill>
            <w14:solidFill>
              <w14:schemeClr w14:val="tx1"/>
            </w14:solidFill>
          </w14:textFill>
        </w:rPr>
      </w:pP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（5）</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202</w:t>
      </w: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5</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年</w:t>
      </w: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2</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月</w:t>
      </w: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矿山自行编制的《</w:t>
      </w:r>
      <w:r>
        <w:rPr>
          <w:rFonts w:hint="default" w:ascii="Times New Roman" w:hAnsi="Times New Roman" w:eastAsia="宋体" w:cs="Times New Roman"/>
          <w:color w:val="000000" w:themeColor="text1"/>
          <w:spacing w:val="-3"/>
          <w:sz w:val="28"/>
          <w:szCs w:val="28"/>
          <w:lang w:val="en-US" w:eastAsia="zh-CN"/>
          <w14:textFill>
            <w14:solidFill>
              <w14:schemeClr w14:val="tx1"/>
            </w14:solidFill>
          </w14:textFill>
        </w:rPr>
        <w:t>赤峰市松山区德春砖厂粘土矿202</w:t>
      </w:r>
      <w:r>
        <w:rPr>
          <w:rFonts w:hint="eastAsia" w:cs="Times New Roman"/>
          <w:color w:val="000000" w:themeColor="text1"/>
          <w:spacing w:val="-3"/>
          <w:sz w:val="28"/>
          <w:szCs w:val="28"/>
          <w:lang w:val="en-US" w:eastAsia="zh-CN"/>
          <w14:textFill>
            <w14:solidFill>
              <w14:schemeClr w14:val="tx1"/>
            </w14:solidFill>
          </w14:textFill>
        </w:rPr>
        <w:t>5</w:t>
      </w:r>
      <w:r>
        <w:rPr>
          <w:rFonts w:hint="default" w:ascii="Times New Roman" w:hAnsi="Times New Roman" w:eastAsia="宋体" w:cs="Times New Roman"/>
          <w:color w:val="000000" w:themeColor="text1"/>
          <w:spacing w:val="-3"/>
          <w:sz w:val="28"/>
          <w:szCs w:val="28"/>
          <w:lang w:val="en-US" w:eastAsia="zh-CN"/>
          <w14:textFill>
            <w14:solidFill>
              <w14:schemeClr w14:val="tx1"/>
            </w14:solidFill>
          </w14:textFill>
        </w:rPr>
        <w:t>年度矿山地质环境治理计划书</w:t>
      </w:r>
      <w:r>
        <w:rPr>
          <w:rFonts w:hint="default" w:ascii="Times New Roman" w:hAnsi="Times New Roman" w:eastAsia="宋体" w:cs="Times New Roman"/>
          <w:color w:val="000000" w:themeColor="text1"/>
          <w:spacing w:val="-3"/>
          <w:sz w:val="28"/>
          <w:szCs w:val="28"/>
          <w:lang w:val="en-US"/>
          <w14:textFill>
            <w14:solidFill>
              <w14:schemeClr w14:val="tx1"/>
            </w14:solidFill>
          </w14:textFill>
        </w:rPr>
        <w:t>》；</w:t>
      </w:r>
    </w:p>
    <w:p w14:paraId="137630C0">
      <w:pPr>
        <w:pStyle w:val="5"/>
        <w:bidi w:val="0"/>
        <w:spacing w:line="360" w:lineRule="auto"/>
        <w:ind w:firstLine="562" w:firstLineChars="200"/>
        <w:rPr>
          <w:rFonts w:hint="eastAsia" w:hAnsi="Times New Roman" w:cs="Times New Roman"/>
          <w:b/>
          <w:bCs/>
          <w:color w:val="000000" w:themeColor="text1"/>
          <w:sz w:val="28"/>
          <w:szCs w:val="28"/>
          <w:lang w:val="en-US" w:eastAsia="zh-CN"/>
          <w14:textFill>
            <w14:solidFill>
              <w14:schemeClr w14:val="tx1"/>
            </w14:solidFill>
          </w14:textFill>
        </w:rPr>
      </w:pPr>
      <w:r>
        <w:rPr>
          <w:rFonts w:hint="eastAsia" w:hAnsi="Times New Roman" w:cs="Times New Roman"/>
          <w:b/>
          <w:bCs/>
          <w:color w:val="000000" w:themeColor="text1"/>
          <w:sz w:val="28"/>
          <w:szCs w:val="28"/>
          <w:lang w:val="en-US" w:eastAsia="zh-CN"/>
          <w14:textFill>
            <w14:solidFill>
              <w14:schemeClr w14:val="tx1"/>
            </w14:solidFill>
          </w14:textFill>
        </w:rPr>
        <w:t>二、矿山以往方案生态修复工作情况概述</w:t>
      </w:r>
    </w:p>
    <w:p w14:paraId="2BC5AC83">
      <w:pPr>
        <w:pStyle w:val="12"/>
        <w:spacing w:line="360" w:lineRule="auto"/>
        <w:ind w:firstLine="562" w:firstLineChars="200"/>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（一）“</w:t>
      </w:r>
      <w:r>
        <w:rPr>
          <w:rFonts w:hint="default" w:ascii="Times New Roman" w:hAnsi="Times New Roman" w:eastAsia="宋体" w:cs="Times New Roman"/>
          <w:b/>
          <w:bCs/>
          <w:color w:val="000000" w:themeColor="text1"/>
          <w:sz w:val="28"/>
          <w:szCs w:val="28"/>
          <w14:textFill>
            <w14:solidFill>
              <w14:schemeClr w14:val="tx1"/>
            </w14:solidFill>
          </w14:textFill>
        </w:rPr>
        <w:t>开发与治理综合方案</w:t>
      </w:r>
      <w:r>
        <w:rPr>
          <w:rFonts w:hint="eastAsia" w:ascii="宋体" w:hAnsi="宋体" w:eastAsia="宋体" w:cs="宋体"/>
          <w:b/>
          <w:bCs/>
          <w:color w:val="000000" w:themeColor="text1"/>
          <w:sz w:val="28"/>
          <w:szCs w:val="28"/>
          <w14:textFill>
            <w14:solidFill>
              <w14:schemeClr w14:val="tx1"/>
            </w14:solidFill>
          </w14:textFill>
        </w:rPr>
        <w:t>”生态修复工作情况概述</w:t>
      </w:r>
    </w:p>
    <w:p w14:paraId="17D3AF89">
      <w:pPr>
        <w:pStyle w:val="12"/>
        <w:spacing w:line="360" w:lineRule="auto"/>
        <w:ind w:firstLine="560" w:firstLineChars="200"/>
        <w:rPr>
          <w:rFonts w:hint="eastAsia" w:eastAsia="宋体" w:cs="Times New Roman"/>
          <w:b w:val="0"/>
          <w:bCs w:val="0"/>
          <w:color w:val="000000" w:themeColor="text1"/>
          <w:sz w:val="28"/>
          <w:szCs w:val="28"/>
          <w:lang w:val="en-US" w:eastAsia="zh-CN"/>
          <w14:textFill>
            <w14:solidFill>
              <w14:schemeClr w14:val="tx1"/>
            </w14:solidFill>
          </w14:textFill>
        </w:rPr>
      </w:pPr>
      <w:r>
        <w:rPr>
          <w:rFonts w:hint="eastAsia" w:eastAsia="宋体" w:cs="Times New Roman"/>
          <w:b w:val="0"/>
          <w:bCs w:val="0"/>
          <w:color w:val="000000" w:themeColor="text1"/>
          <w:sz w:val="28"/>
          <w:szCs w:val="28"/>
          <w:lang w:val="en-US" w:eastAsia="zh-CN"/>
          <w14:textFill>
            <w14:solidFill>
              <w14:schemeClr w14:val="tx1"/>
            </w14:solidFill>
          </w14:textFill>
        </w:rPr>
        <w:t>1、“矿山地质环境保护与土地复垦方案”设计近期治理内容</w:t>
      </w:r>
    </w:p>
    <w:p w14:paraId="2C5BFBC6">
      <w:pPr>
        <w:keepNext w:val="0"/>
        <w:keepLines w:val="0"/>
        <w:pageBreakBefore w:val="0"/>
        <w:widowControl w:val="0"/>
        <w:kinsoku/>
        <w:wordWrap/>
        <w:overflowPunct/>
        <w:topLinePunct w:val="0"/>
        <w:bidi w:val="0"/>
        <w:snapToGrid/>
        <w:spacing w:line="360" w:lineRule="auto"/>
        <w:ind w:firstLine="560" w:firstLineChars="200"/>
        <w:textAlignment w:val="auto"/>
        <w:rPr>
          <w:rFonts w:hint="default"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t>（1）</w:t>
      </w:r>
      <w:r>
        <w:rPr>
          <w:rFonts w:hint="default"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t>露天采场：对场地进行回填、整平、翻耕、恢复耕地；</w:t>
      </w:r>
    </w:p>
    <w:p w14:paraId="15A2BB25">
      <w:pPr>
        <w:keepNext w:val="0"/>
        <w:keepLines w:val="0"/>
        <w:pageBreakBefore w:val="0"/>
        <w:widowControl w:val="0"/>
        <w:kinsoku/>
        <w:wordWrap/>
        <w:overflowPunct/>
        <w:topLinePunct w:val="0"/>
        <w:bidi w:val="0"/>
        <w:snapToGrid/>
        <w:spacing w:line="360" w:lineRule="auto"/>
        <w:ind w:firstLine="560" w:firstLineChars="200"/>
        <w:textAlignment w:val="auto"/>
        <w:rPr>
          <w:rFonts w:hint="default"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t>（2）</w:t>
      </w:r>
      <w:r>
        <w:rPr>
          <w:rFonts w:hint="default"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t>拟建露天采场1：设置警示牌、网围栏；表土剥离；对采场边坡危岩体进行清理；对边坡稳定性进行监测；</w:t>
      </w:r>
    </w:p>
    <w:p w14:paraId="3811650F">
      <w:pPr>
        <w:keepNext w:val="0"/>
        <w:keepLines w:val="0"/>
        <w:pageBreakBefore w:val="0"/>
        <w:widowControl w:val="0"/>
        <w:kinsoku/>
        <w:wordWrap/>
        <w:overflowPunct/>
        <w:topLinePunct w:val="0"/>
        <w:bidi w:val="0"/>
        <w:snapToGrid/>
        <w:spacing w:line="360" w:lineRule="auto"/>
        <w:ind w:firstLine="560" w:firstLineChars="200"/>
        <w:textAlignment w:val="auto"/>
        <w:rPr>
          <w:rFonts w:hint="default"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t>（3）</w:t>
      </w:r>
      <w:r>
        <w:rPr>
          <w:rFonts w:hint="default"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t>拟建露天采场2：设置警示牌、网围栏；表土剥离；对采场边坡危岩体进行清理；对边坡稳定性进行监测；</w:t>
      </w:r>
    </w:p>
    <w:p w14:paraId="78AE45F0">
      <w:pPr>
        <w:keepNext w:val="0"/>
        <w:keepLines w:val="0"/>
        <w:pageBreakBefore w:val="0"/>
        <w:widowControl w:val="0"/>
        <w:kinsoku/>
        <w:wordWrap/>
        <w:overflowPunct/>
        <w:topLinePunct w:val="0"/>
        <w:bidi w:val="0"/>
        <w:snapToGrid/>
        <w:spacing w:line="360" w:lineRule="auto"/>
        <w:ind w:firstLine="560" w:firstLineChars="200"/>
        <w:textAlignment w:val="auto"/>
        <w:rPr>
          <w:rFonts w:hint="default"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t>（4）</w:t>
      </w:r>
      <w:r>
        <w:rPr>
          <w:rFonts w:hint="default"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t>成品砖堆放场：将成品砖堆放场内砖坯清运至拟建成品砖堆放场，对清运后的场地进行整平、翻耕和栽植松树；</w:t>
      </w:r>
    </w:p>
    <w:p w14:paraId="12DDF31E">
      <w:pPr>
        <w:keepNext w:val="0"/>
        <w:keepLines w:val="0"/>
        <w:pageBreakBefore w:val="0"/>
        <w:widowControl w:val="0"/>
        <w:kinsoku/>
        <w:wordWrap/>
        <w:overflowPunct/>
        <w:topLinePunct w:val="0"/>
        <w:bidi w:val="0"/>
        <w:snapToGrid/>
        <w:spacing w:line="360" w:lineRule="auto"/>
        <w:ind w:firstLine="560" w:firstLineChars="200"/>
        <w:textAlignment w:val="auto"/>
        <w:rPr>
          <w:rFonts w:hint="default"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t>（5）</w:t>
      </w:r>
      <w:r>
        <w:rPr>
          <w:rFonts w:hint="default"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t>1号料堆：将1号料堆清运至拟建料堆集中堆放，对1号料堆进行整平、翻耕和恢复耕地；</w:t>
      </w:r>
    </w:p>
    <w:p w14:paraId="5C01072B">
      <w:pPr>
        <w:keepNext w:val="0"/>
        <w:keepLines w:val="0"/>
        <w:pageBreakBefore w:val="0"/>
        <w:widowControl w:val="0"/>
        <w:kinsoku/>
        <w:wordWrap/>
        <w:overflowPunct/>
        <w:topLinePunct w:val="0"/>
        <w:bidi w:val="0"/>
        <w:snapToGrid/>
        <w:spacing w:line="360" w:lineRule="auto"/>
        <w:ind w:firstLine="560" w:firstLineChars="200"/>
        <w:textAlignment w:val="auto"/>
        <w:rPr>
          <w:rFonts w:hint="default"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t>（6）</w:t>
      </w:r>
      <w:r>
        <w:rPr>
          <w:rFonts w:hint="default"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t>2号料堆：将2号料堆清运至拟建料堆集中堆放，对2号料堆进行整平、翻耕和恢复耕地；</w:t>
      </w:r>
    </w:p>
    <w:p w14:paraId="4C8088E9">
      <w:pPr>
        <w:keepNext w:val="0"/>
        <w:keepLines w:val="0"/>
        <w:pageBreakBefore w:val="0"/>
        <w:widowControl w:val="0"/>
        <w:kinsoku/>
        <w:wordWrap/>
        <w:overflowPunct/>
        <w:topLinePunct w:val="0"/>
        <w:bidi w:val="0"/>
        <w:snapToGrid/>
        <w:spacing w:line="360" w:lineRule="auto"/>
        <w:ind w:firstLine="560" w:firstLineChars="200"/>
        <w:contextualSpacing/>
        <w:textAlignment w:val="auto"/>
        <w:rPr>
          <w:rFonts w:hint="default"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t>（7）</w:t>
      </w:r>
      <w:r>
        <w:rPr>
          <w:rFonts w:hint="default"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t>对拟建储水池进行表土剥离；</w:t>
      </w:r>
    </w:p>
    <w:p w14:paraId="40263C2F">
      <w:pPr>
        <w:keepNext w:val="0"/>
        <w:keepLines w:val="0"/>
        <w:pageBreakBefore w:val="0"/>
        <w:widowControl w:val="0"/>
        <w:kinsoku/>
        <w:wordWrap/>
        <w:overflowPunct/>
        <w:topLinePunct w:val="0"/>
        <w:bidi w:val="0"/>
        <w:snapToGrid/>
        <w:spacing w:line="360" w:lineRule="auto"/>
        <w:ind w:firstLine="560" w:firstLineChars="200"/>
        <w:contextualSpacing/>
        <w:textAlignment w:val="auto"/>
        <w:rPr>
          <w:rFonts w:hint="default"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t>（8）</w:t>
      </w:r>
      <w:r>
        <w:rPr>
          <w:rFonts w:hint="default"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t>对拟建成品砖堆放场进行表土剥离；</w:t>
      </w:r>
    </w:p>
    <w:p w14:paraId="697B572A">
      <w:pPr>
        <w:pStyle w:val="12"/>
        <w:spacing w:line="360" w:lineRule="auto"/>
        <w:ind w:firstLine="560" w:firstLineChars="200"/>
        <w:rPr>
          <w:rFonts w:hint="default"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t>（9）</w:t>
      </w:r>
      <w:r>
        <w:rPr>
          <w:rFonts w:hint="default" w:ascii="Times New Roman" w:hAnsi="Times New Roman" w:eastAsia="宋体" w:cs="Times New Roman"/>
          <w:b w:val="0"/>
          <w:bCs w:val="0"/>
          <w:color w:val="000000" w:themeColor="text1"/>
          <w:kern w:val="2"/>
          <w:sz w:val="28"/>
          <w:szCs w:val="28"/>
          <w:lang w:val="en-US" w:eastAsia="zh-CN" w:bidi="ar-SA"/>
          <w14:textFill>
            <w14:solidFill>
              <w14:schemeClr w14:val="tx1"/>
            </w14:solidFill>
          </w14:textFill>
        </w:rPr>
        <w:t>对扩建的矿区道路进行表土剥离。</w:t>
      </w:r>
    </w:p>
    <w:p w14:paraId="2C3C4B6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color w:val="000000" w:themeColor="text1"/>
          <w:sz w:val="24"/>
          <w:szCs w:val="24"/>
          <w14:textFill>
            <w14:solidFill>
              <w14:schemeClr w14:val="tx1"/>
            </w14:solidFill>
          </w14:textFill>
        </w:rPr>
      </w:pPr>
      <w:r>
        <w:rPr>
          <w:rFonts w:hint="eastAsia" w:ascii="黑体" w:hAnsi="黑体" w:eastAsia="黑体" w:cs="黑体"/>
          <w:color w:val="000000" w:themeColor="text1"/>
          <w:spacing w:val="-2"/>
          <w:sz w:val="24"/>
          <w:szCs w:val="24"/>
          <w14:textFill>
            <w14:solidFill>
              <w14:schemeClr w14:val="tx1"/>
            </w14:solidFill>
          </w14:textFill>
        </w:rPr>
        <w:t>表</w:t>
      </w:r>
      <w:r>
        <w:rPr>
          <w:rFonts w:hint="eastAsia" w:ascii="黑体" w:hAnsi="黑体" w:eastAsia="黑体" w:cs="黑体"/>
          <w:color w:val="000000" w:themeColor="text1"/>
          <w:spacing w:val="-2"/>
          <w:sz w:val="24"/>
          <w:szCs w:val="24"/>
          <w:lang w:val="en-US" w:eastAsia="zh-CN"/>
          <w14:textFill>
            <w14:solidFill>
              <w14:schemeClr w14:val="tx1"/>
            </w14:solidFill>
          </w14:textFill>
        </w:rPr>
        <w:t>2-11  “</w:t>
      </w:r>
      <w:r>
        <w:rPr>
          <w:rFonts w:hint="default" w:ascii="黑体" w:hAnsi="黑体" w:eastAsia="黑体" w:cs="黑体"/>
          <w:color w:val="000000" w:themeColor="text1"/>
          <w:spacing w:val="-2"/>
          <w:sz w:val="24"/>
          <w:szCs w:val="24"/>
          <w14:textFill>
            <w14:solidFill>
              <w14:schemeClr w14:val="tx1"/>
            </w14:solidFill>
          </w14:textFill>
        </w:rPr>
        <w:t>开发与治理综合方案</w:t>
      </w:r>
      <w:r>
        <w:rPr>
          <w:rFonts w:hint="eastAsia" w:ascii="黑体" w:hAnsi="黑体" w:eastAsia="黑体" w:cs="黑体"/>
          <w:color w:val="000000" w:themeColor="text1"/>
          <w:spacing w:val="-2"/>
          <w:sz w:val="24"/>
          <w:szCs w:val="24"/>
          <w:lang w:val="en-US" w:eastAsia="zh-CN"/>
          <w14:textFill>
            <w14:solidFill>
              <w14:schemeClr w14:val="tx1"/>
            </w14:solidFill>
          </w14:textFill>
        </w:rPr>
        <w:t>”</w:t>
      </w:r>
      <w:r>
        <w:rPr>
          <w:rFonts w:hint="eastAsia" w:ascii="黑体" w:hAnsi="黑体" w:eastAsia="黑体" w:cs="黑体"/>
          <w:color w:val="000000" w:themeColor="text1"/>
          <w:spacing w:val="-2"/>
          <w:sz w:val="24"/>
          <w:szCs w:val="24"/>
          <w14:textFill>
            <w14:solidFill>
              <w14:schemeClr w14:val="tx1"/>
            </w14:solidFill>
          </w14:textFill>
        </w:rPr>
        <w:t>完成情况一览表</w:t>
      </w:r>
    </w:p>
    <w:p w14:paraId="2D7D6E21">
      <w:pPr>
        <w:pStyle w:val="12"/>
        <w:keepNext w:val="0"/>
        <w:keepLines w:val="0"/>
        <w:pageBreakBefore w:val="0"/>
        <w:widowControl w:val="0"/>
        <w:kinsoku/>
        <w:wordWrap/>
        <w:overflowPunct/>
        <w:topLinePunct w:val="0"/>
        <w:autoSpaceDE/>
        <w:autoSpaceDN/>
        <w:bidi w:val="0"/>
        <w:adjustRightInd/>
        <w:snapToGrid/>
        <w:spacing w:before="157" w:beforeLines="50" w:line="360" w:lineRule="auto"/>
        <w:ind w:firstLine="562" w:firstLineChars="200"/>
        <w:textAlignment w:val="auto"/>
        <w:rPr>
          <w:rFonts w:hint="default" w:ascii="Times New Roman" w:hAnsi="Times New Roman" w:eastAsia="宋体" w:cs="Times New Roman"/>
          <w:b/>
          <w:bCs/>
          <w:color w:val="000000" w:themeColor="text1"/>
          <w:sz w:val="28"/>
          <w:szCs w:val="28"/>
          <w:lang w:eastAsia="zh-CN"/>
          <w14:textFill>
            <w14:solidFill>
              <w14:schemeClr w14:val="tx1"/>
            </w14:solidFill>
          </w14:textFill>
        </w:rPr>
      </w:pPr>
      <w:r>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t>（二）</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t>2022-2025年年度治理计划书</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t>生态修复工作情况概述</w:t>
      </w:r>
    </w:p>
    <w:p w14:paraId="04D1BAB3">
      <w:pPr>
        <w:keepNext w:val="0"/>
        <w:keepLines w:val="0"/>
        <w:pageBreakBefore w:val="0"/>
        <w:widowControl w:val="0"/>
        <w:kinsoku/>
        <w:wordWrap/>
        <w:overflowPunct/>
        <w:topLinePunct w:val="0"/>
        <w:autoSpaceDE/>
        <w:autoSpaceDN/>
        <w:bidi w:val="0"/>
        <w:adjustRightInd/>
        <w:snapToGrid/>
        <w:spacing w:line="360" w:lineRule="auto"/>
        <w:ind w:left="0" w:right="0" w:firstLine="560" w:firstLineChars="200"/>
        <w:textAlignment w:val="auto"/>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1、</w:t>
      </w:r>
      <w:r>
        <w:rPr>
          <w:rFonts w:hint="eastAsia" w:ascii="Times New Roman" w:hAnsi="Times New Roman" w:cs="Times New Roman"/>
          <w:b w:val="0"/>
          <w:bCs w:val="0"/>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2022-2025年年度治理计划书</w:t>
      </w:r>
      <w:r>
        <w:rPr>
          <w:rFonts w:hint="eastAsia" w:ascii="Times New Roman" w:hAnsi="Times New Roman" w:cs="Times New Roman"/>
          <w:b w:val="0"/>
          <w:bCs w:val="0"/>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设计治理内容</w:t>
      </w:r>
    </w:p>
    <w:p w14:paraId="69675507">
      <w:pPr>
        <w:keepNext w:val="0"/>
        <w:keepLines w:val="0"/>
        <w:pageBreakBefore w:val="0"/>
        <w:widowControl w:val="0"/>
        <w:kinsoku/>
        <w:wordWrap/>
        <w:overflowPunct/>
        <w:topLinePunct w:val="0"/>
        <w:autoSpaceDE/>
        <w:autoSpaceDN/>
        <w:bidi w:val="0"/>
        <w:adjustRightInd/>
        <w:snapToGrid/>
        <w:spacing w:line="360" w:lineRule="auto"/>
        <w:ind w:left="0" w:right="0" w:firstLine="560" w:firstLineChars="200"/>
        <w:textAlignment w:val="auto"/>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eastAsia" w:ascii="Times New Roman" w:hAnsi="Times New Roman" w:cs="Times New Roman"/>
          <w:b w:val="0"/>
          <w:bCs w:val="0"/>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2022-2025年年度治理计划书</w:t>
      </w:r>
      <w:r>
        <w:rPr>
          <w:rFonts w:hint="eastAsia" w:ascii="Times New Roman" w:hAnsi="Times New Roman" w:cs="Times New Roman"/>
          <w:b w:val="0"/>
          <w:bCs w:val="0"/>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设计治理内容为</w:t>
      </w:r>
      <w:r>
        <w:rPr>
          <w:rFonts w:hint="eastAsia" w:ascii="Times New Roman" w:hAnsi="Times New Roman" w:cs="Times New Roman"/>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矿山地质环境保护与土地复垦方</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案</w:t>
      </w:r>
      <w:r>
        <w:rPr>
          <w:rFonts w:hint="eastAsia" w:ascii="Times New Roman" w:hAnsi="Times New Roman" w:cs="Times New Roman"/>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部署的近期工作内容，详见表2-14。</w:t>
      </w:r>
    </w:p>
    <w:p w14:paraId="365CD6E2">
      <w:pPr>
        <w:keepNext w:val="0"/>
        <w:keepLines w:val="0"/>
        <w:pageBreakBefore w:val="0"/>
        <w:widowControl w:val="0"/>
        <w:kinsoku/>
        <w:wordWrap/>
        <w:overflowPunct/>
        <w:topLinePunct w:val="0"/>
        <w:autoSpaceDE/>
        <w:autoSpaceDN/>
        <w:bidi w:val="0"/>
        <w:adjustRightInd/>
        <w:snapToGrid/>
        <w:spacing w:line="360" w:lineRule="auto"/>
        <w:ind w:left="0" w:right="0" w:firstLine="560" w:firstLineChars="200"/>
        <w:textAlignment w:val="auto"/>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2、</w:t>
      </w:r>
      <w:r>
        <w:rPr>
          <w:rFonts w:hint="eastAsia" w:ascii="Times New Roman" w:hAnsi="Times New Roman" w:cs="Times New Roman"/>
          <w:b w:val="0"/>
          <w:bCs w:val="0"/>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2022-2025年年度治理计划书</w:t>
      </w:r>
      <w:r>
        <w:rPr>
          <w:rFonts w:hint="eastAsia" w:ascii="Times New Roman" w:hAnsi="Times New Roman" w:cs="Times New Roman"/>
          <w:b w:val="0"/>
          <w:bCs w:val="0"/>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实施、验收情况</w:t>
      </w:r>
    </w:p>
    <w:p w14:paraId="70F0FA41">
      <w:pPr>
        <w:keepNext w:val="0"/>
        <w:keepLines w:val="0"/>
        <w:pageBreakBefore w:val="0"/>
        <w:widowControl w:val="0"/>
        <w:kinsoku/>
        <w:wordWrap/>
        <w:overflowPunct/>
        <w:topLinePunct w:val="0"/>
        <w:autoSpaceDE/>
        <w:autoSpaceDN/>
        <w:bidi w:val="0"/>
        <w:adjustRightInd/>
        <w:snapToGrid/>
        <w:spacing w:line="360" w:lineRule="auto"/>
        <w:ind w:left="0" w:right="0" w:firstLine="560" w:firstLineChars="200"/>
        <w:textAlignment w:val="auto"/>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（1）实施情况</w:t>
      </w:r>
    </w:p>
    <w:p w14:paraId="0A9BBD07">
      <w:pPr>
        <w:keepNext w:val="0"/>
        <w:keepLines w:val="0"/>
        <w:pageBreakBefore w:val="0"/>
        <w:widowControl/>
        <w:kinsoku/>
        <w:wordWrap/>
        <w:overflowPunct/>
        <w:topLinePunct w:val="0"/>
        <w:autoSpaceDE w:val="0"/>
        <w:autoSpaceDN w:val="0"/>
        <w:bidi w:val="0"/>
        <w:adjustRightInd w:val="0"/>
        <w:snapToGrid w:val="0"/>
        <w:spacing w:line="360" w:lineRule="auto"/>
        <w:ind w:firstLine="560" w:firstLineChars="200"/>
        <w:jc w:val="left"/>
        <w:textAlignment w:val="auto"/>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矿山2022年已完成</w:t>
      </w:r>
      <w:r>
        <w:rPr>
          <w:rFonts w:hint="default" w:ascii="Times New Roman" w:hAnsi="Times New Roman" w:cs="Times New Roman"/>
          <w:color w:val="000000" w:themeColor="text1"/>
          <w:sz w:val="28"/>
          <w:szCs w:val="28"/>
          <w:lang w:val="en-US" w:eastAsia="zh-CN"/>
          <w14:textFill>
            <w14:solidFill>
              <w14:schemeClr w14:val="tx1"/>
            </w14:solidFill>
          </w14:textFill>
        </w:rPr>
        <w:t>对前期治理区进行完成治理、管护，对土地资源及地形地貌景观进行监测。2023年完成对2号料堆进行清运、整平、翻耕；</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对矿区地形地貌景观及土地资源进行监测</w:t>
      </w:r>
      <w:r>
        <w:rPr>
          <w:rFonts w:hint="default" w:ascii="Times New Roman" w:hAnsi="Times New Roman" w:cs="Times New Roman"/>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202</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4</w:t>
      </w:r>
      <w:r>
        <w:rPr>
          <w:rFonts w:hint="default" w:ascii="Times New Roman" w:hAnsi="Times New Roman" w:eastAsia="宋体" w:cs="Times New Roman"/>
          <w:color w:val="000000" w:themeColor="text1"/>
          <w:sz w:val="28"/>
          <w:szCs w:val="28"/>
          <w14:textFill>
            <w14:solidFill>
              <w14:schemeClr w14:val="tx1"/>
            </w14:solidFill>
          </w14:textFill>
        </w:rPr>
        <w:t>年度</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完成对矿区地形地貌景观及土地资源进行监测；</w:t>
      </w:r>
      <w:r>
        <w:rPr>
          <w:rFonts w:hint="default" w:ascii="Times New Roman" w:hAnsi="Times New Roman" w:eastAsia="宋体" w:cs="Times New Roman"/>
          <w:color w:val="000000" w:themeColor="text1"/>
          <w:sz w:val="28"/>
          <w:szCs w:val="28"/>
          <w14:textFill>
            <w14:solidFill>
              <w14:schemeClr w14:val="tx1"/>
            </w14:solidFill>
          </w14:textFill>
        </w:rPr>
        <w:t>202</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5完成对矿区地形地貌景观及土地资源进行监测</w:t>
      </w: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w:t>
      </w:r>
    </w:p>
    <w:p w14:paraId="6B663131">
      <w:pPr>
        <w:keepNext w:val="0"/>
        <w:keepLines w:val="0"/>
        <w:pageBreakBefore w:val="0"/>
        <w:widowControl w:val="0"/>
        <w:kinsoku/>
        <w:wordWrap/>
        <w:overflowPunct/>
        <w:topLinePunct w:val="0"/>
        <w:autoSpaceDE/>
        <w:autoSpaceDN/>
        <w:bidi w:val="0"/>
        <w:adjustRightInd/>
        <w:snapToGrid/>
        <w:spacing w:line="360" w:lineRule="auto"/>
        <w:ind w:left="0" w:right="0" w:firstLine="560" w:firstLineChars="200"/>
        <w:textAlignment w:val="auto"/>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eastAsia" w:cs="Times New Roman"/>
          <w:b w:val="0"/>
          <w:bCs w:val="0"/>
          <w:color w:val="000000" w:themeColor="text1"/>
          <w:sz w:val="28"/>
          <w:szCs w:val="28"/>
          <w:lang w:val="en-US" w:eastAsia="zh-CN"/>
          <w14:textFill>
            <w14:solidFill>
              <w14:schemeClr w14:val="tx1"/>
            </w14:solidFill>
          </w14:textFill>
        </w:rPr>
        <w:t>（2）验收情况</w:t>
      </w:r>
    </w:p>
    <w:p w14:paraId="681656F1">
      <w:pPr>
        <w:bidi w:val="0"/>
        <w:spacing w:line="360" w:lineRule="auto"/>
        <w:ind w:firstLine="560" w:firstLineChars="200"/>
        <w:outlineLvl w:val="9"/>
        <w:rPr>
          <w:rFonts w:hint="eastAsia" w:hAnsi="Times New Roman" w:cs="Times New Roman"/>
          <w:b/>
          <w:bCs/>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8"/>
          <w:szCs w:val="28"/>
          <w:lang w:val="en-US" w:eastAsia="zh-CN"/>
          <w14:textFill>
            <w14:solidFill>
              <w14:schemeClr w14:val="tx1"/>
            </w14:solidFill>
          </w14:textFill>
        </w:rPr>
        <w:t>经查阅资料及现场核查，赤峰市自然资源局松山区分局组织专家分别对2022、2023、2024、2025年度实施矿山治理工程进行了实地核查并出具了现场核查意见书，专家组认为，矿山企业基本完成了设计治理工程内容，治理工程效果基本符合设计要求。</w:t>
      </w:r>
    </w:p>
    <w:p w14:paraId="58A3CE5C">
      <w:pPr>
        <w:bidi w:val="0"/>
        <w:spacing w:line="240" w:lineRule="auto"/>
        <w:outlineLvl w:val="9"/>
        <w:rPr>
          <w:rFonts w:hint="eastAsia" w:eastAsia="宋体" w:cs="Times New Roman"/>
          <w:b/>
          <w:bCs/>
          <w:color w:val="000000" w:themeColor="text1"/>
          <w:sz w:val="28"/>
          <w:szCs w:val="28"/>
          <w:lang w:val="en-US"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w:t>
      </w:r>
    </w:p>
    <w:p w14:paraId="282B7798">
      <w:pPr>
        <w:bidi w:val="0"/>
        <w:spacing w:line="360" w:lineRule="auto"/>
        <w:jc w:val="center"/>
        <w:outlineLvl w:val="9"/>
        <w:rPr>
          <w:rFonts w:hint="eastAsia" w:ascii="黑体" w:hAnsi="黑体" w:eastAsia="黑体" w:cs="黑体"/>
          <w:b w:val="0"/>
          <w:bCs w:val="0"/>
          <w:color w:val="000000" w:themeColor="text1"/>
          <w:sz w:val="24"/>
          <w:szCs w:val="24"/>
          <w:lang w:val="en-US" w:eastAsia="zh-CN"/>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照片2-4  已治理边坡效果</w:t>
      </w:r>
    </w:p>
    <w:p w14:paraId="08916D9F">
      <w:pPr>
        <w:pStyle w:val="5"/>
        <w:bidi w:val="0"/>
        <w:spacing w:line="360" w:lineRule="auto"/>
        <w:ind w:firstLine="562" w:firstLineChars="200"/>
        <w:rPr>
          <w:rFonts w:hint="default" w:hAnsi="Times New Roman" w:cs="Times New Roman"/>
          <w:b/>
          <w:bCs/>
          <w:color w:val="000000" w:themeColor="text1"/>
          <w:sz w:val="28"/>
          <w:szCs w:val="28"/>
          <w:lang w:val="en-US" w:eastAsia="zh-CN"/>
          <w14:textFill>
            <w14:solidFill>
              <w14:schemeClr w14:val="tx1"/>
            </w14:solidFill>
          </w14:textFill>
        </w:rPr>
      </w:pPr>
      <w:r>
        <w:rPr>
          <w:rFonts w:hint="eastAsia" w:cs="Times New Roman"/>
          <w:b/>
          <w:bCs/>
          <w:color w:val="000000" w:themeColor="text1"/>
          <w:sz w:val="28"/>
          <w:szCs w:val="28"/>
          <w:lang w:val="en-US" w:eastAsia="zh-CN"/>
          <w14:textFill>
            <w14:solidFill>
              <w14:schemeClr w14:val="tx1"/>
            </w14:solidFill>
          </w14:textFill>
        </w:rPr>
        <w:t>三</w:t>
      </w:r>
      <w:r>
        <w:rPr>
          <w:rFonts w:hint="eastAsia" w:hAnsi="Times New Roman" w:cs="Times New Roman"/>
          <w:b/>
          <w:bCs/>
          <w:color w:val="000000" w:themeColor="text1"/>
          <w:sz w:val="28"/>
          <w:szCs w:val="28"/>
          <w:lang w:val="en-US" w:eastAsia="zh-CN"/>
          <w14:textFill>
            <w14:solidFill>
              <w14:schemeClr w14:val="tx1"/>
            </w14:solidFill>
          </w14:textFill>
        </w:rPr>
        <w:t>、存在问题</w:t>
      </w:r>
    </w:p>
    <w:p w14:paraId="37C79E33">
      <w:pPr>
        <w:pStyle w:val="12"/>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各期治理方案侧重于具体的工程措施，但监测、管护与评估工作未能形成闭环体系，尤其是</w:t>
      </w:r>
      <w:r>
        <w:rPr>
          <w:rFonts w:hint="eastAsia"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土地复垦监测</w:t>
      </w:r>
      <w:r>
        <w:rPr>
          <w:rFonts w:hint="eastAsia"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w:t>
      </w:r>
      <w:r>
        <w:rPr>
          <w:rFonts w:hint="eastAsia"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植被管护</w:t>
      </w:r>
      <w:r>
        <w:rPr>
          <w:rFonts w:hint="eastAsia"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与</w:t>
      </w:r>
      <w:r>
        <w:rPr>
          <w:rFonts w:hint="eastAsia"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地形地貌景观监测</w:t>
      </w:r>
      <w:r>
        <w:rPr>
          <w:rFonts w:hint="eastAsia"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等长期性工作缺乏持续的资金保障、明确的责任主体和可考核的绩效指标，可能导致前期治理成果无法得到有效维护。</w:t>
      </w:r>
    </w:p>
    <w:p w14:paraId="7129B16F">
      <w:pPr>
        <w:pStyle w:val="3"/>
        <w:spacing w:before="0" w:beforeLines="0"/>
        <w:jc w:val="center"/>
        <w:rPr>
          <w:color w:val="000000" w:themeColor="text1"/>
          <w14:textFill>
            <w14:solidFill>
              <w14:schemeClr w14:val="tx1"/>
            </w14:solidFill>
          </w14:textFill>
        </w:rPr>
      </w:pPr>
      <w:bookmarkStart w:id="32" w:name="_Toc8348"/>
      <w:r>
        <w:rPr>
          <w:rFonts w:hint="eastAsia"/>
          <w:color w:val="000000" w:themeColor="text1"/>
          <w:lang w:val="en-US" w:eastAsia="zh-CN"/>
          <w14:textFill>
            <w14:solidFill>
              <w14:schemeClr w14:val="tx1"/>
            </w14:solidFill>
          </w14:textFill>
        </w:rPr>
        <w:t xml:space="preserve">第八节  </w:t>
      </w:r>
      <w:r>
        <w:rPr>
          <w:rFonts w:hint="eastAsia"/>
          <w:color w:val="000000" w:themeColor="text1"/>
          <w14:textFill>
            <w14:solidFill>
              <w14:schemeClr w14:val="tx1"/>
            </w14:solidFill>
          </w14:textFill>
        </w:rPr>
        <w:t>矿区基本情况调查监测指标</w:t>
      </w:r>
      <w:bookmarkEnd w:id="32"/>
    </w:p>
    <w:p w14:paraId="6788DB12">
      <w:pPr>
        <w:pStyle w:val="5"/>
        <w:bidi w:val="0"/>
        <w:spacing w:line="360" w:lineRule="auto"/>
        <w:ind w:firstLine="562" w:firstLineChars="200"/>
        <w:rPr>
          <w:rFonts w:hint="eastAsia" w:hAnsi="Times New Roman" w:cs="Times New Roman"/>
          <w:b/>
          <w:bCs/>
          <w:color w:val="000000" w:themeColor="text1"/>
          <w:sz w:val="28"/>
          <w:szCs w:val="28"/>
          <w:lang w:val="en-US" w:eastAsia="zh-CN"/>
          <w14:textFill>
            <w14:solidFill>
              <w14:schemeClr w14:val="tx1"/>
            </w14:solidFill>
          </w14:textFill>
        </w:rPr>
      </w:pPr>
      <w:r>
        <w:rPr>
          <w:rFonts w:hint="eastAsia" w:hAnsi="Times New Roman" w:cs="Times New Roman"/>
          <w:b/>
          <w:bCs/>
          <w:color w:val="000000" w:themeColor="text1"/>
          <w:sz w:val="28"/>
          <w:szCs w:val="28"/>
          <w:lang w:val="en-US" w:eastAsia="zh-CN"/>
          <w14:textFill>
            <w14:solidFill>
              <w14:schemeClr w14:val="tx1"/>
            </w14:solidFill>
          </w14:textFill>
        </w:rPr>
        <w:t>一、矿山复垦修复调查及监测目标</w:t>
      </w:r>
    </w:p>
    <w:p w14:paraId="4262FF16">
      <w:pPr>
        <w:widowControl/>
        <w:spacing w:line="360" w:lineRule="auto"/>
        <w:ind w:firstLine="560" w:firstLineChars="200"/>
        <w:rPr>
          <w:rFonts w:hint="eastAsia"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对矿产资源开采造成的地质环境破坏、土地损毁和生态系统破坏(退化)等问题，依靠人工支持引导和自然恢复力，采取预防和修复措施，使矿山地质环境达到安全稳定、损毁土地得到复垦利用、生态系统功能得到恢复</w:t>
      </w:r>
    </w:p>
    <w:p w14:paraId="0849232D">
      <w:pPr>
        <w:widowControl/>
        <w:spacing w:line="360" w:lineRule="auto"/>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或改善的活动。</w:t>
      </w:r>
    </w:p>
    <w:p w14:paraId="78D71C75">
      <w:pPr>
        <w:widowControl/>
        <w:spacing w:line="360" w:lineRule="auto"/>
        <w:ind w:firstLine="560" w:firstLineChars="200"/>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在矿产资源开采过程中，对地质环境破坏与恢复治理、土地损毁与复层利用、生态系统破坏(退化)与恢复等开展监测评价，为矿山土地复垦与生态修复的过程监管、适应性管理和验收提供科学依据。</w:t>
      </w:r>
    </w:p>
    <w:p w14:paraId="6F6BADA9">
      <w:pPr>
        <w:pStyle w:val="5"/>
        <w:bidi w:val="0"/>
        <w:spacing w:line="360" w:lineRule="auto"/>
        <w:ind w:firstLine="562" w:firstLineChars="200"/>
        <w:rPr>
          <w:rFonts w:hint="eastAsia" w:hAnsi="Times New Roman" w:cs="Times New Roman"/>
          <w:b/>
          <w:bCs/>
          <w:color w:val="000000" w:themeColor="text1"/>
          <w:sz w:val="28"/>
          <w:szCs w:val="28"/>
          <w:lang w:val="en-US" w:eastAsia="zh-CN"/>
          <w14:textFill>
            <w14:solidFill>
              <w14:schemeClr w14:val="tx1"/>
            </w14:solidFill>
          </w14:textFill>
        </w:rPr>
      </w:pPr>
      <w:r>
        <w:rPr>
          <w:rFonts w:hint="eastAsia" w:hAnsi="Times New Roman" w:cs="Times New Roman"/>
          <w:b/>
          <w:bCs/>
          <w:color w:val="000000" w:themeColor="text1"/>
          <w:sz w:val="28"/>
          <w:szCs w:val="28"/>
          <w:lang w:val="en-US" w:eastAsia="zh-CN"/>
          <w14:textFill>
            <w14:solidFill>
              <w14:schemeClr w14:val="tx1"/>
            </w14:solidFill>
          </w14:textFill>
        </w:rPr>
        <w:t>二、调查及监测总体要求</w:t>
      </w:r>
    </w:p>
    <w:p w14:paraId="10F221A9">
      <w:pPr>
        <w:widowControl/>
        <w:spacing w:line="360" w:lineRule="auto"/>
        <w:ind w:firstLine="560" w:firstLineChars="200"/>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重点围绕监测范围内地质环境破坏与恢复治理、土地损毁与复垦利用、生态系统破坏(退化)与恢复等，结合开采矿种、建设规模、开采方式、开采工艺、时序安排等，开采前对地质环境背景、土地资源现状和生态系统本底进行调查并监测，开采中对保护预防控制、损毁现状与拟损毁、复垦修复成效进行调查与监测，开采后对管理维护进行调查与监测。</w:t>
      </w:r>
    </w:p>
    <w:p w14:paraId="34020E36">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1、收集矿区及采矿影响范围地形、地貌、气象、水文、生物等自然环境和社会经济资料，地层岩性、地质构造、水文地质、工程地质、矿体地质特征等地质环境背景资料，土地利用现状、土壤调查、国土空间规划等土地资源及规划资料，植被状况、生物多样性、生态系统类型等生态相关资料；</w:t>
      </w:r>
    </w:p>
    <w:p w14:paraId="4DE801D6">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2、收集矿山生产建设情况、矿山范围拐点坐标、开</w:t>
      </w:r>
      <w:r>
        <w:rPr>
          <w:rFonts w:hint="eastAsia" w:cs="Times New Roman"/>
          <w:color w:val="000000" w:themeColor="text1"/>
          <w:sz w:val="28"/>
          <w:szCs w:val="28"/>
          <w:lang w:val="en-US" w:eastAsia="zh-CN"/>
          <w14:textFill>
            <w14:solidFill>
              <w14:schemeClr w14:val="tx1"/>
            </w14:solidFill>
          </w14:textFill>
        </w:rPr>
        <w:t>采</w:t>
      </w:r>
      <w:r>
        <w:rPr>
          <w:rFonts w:hint="default" w:ascii="Times New Roman" w:hAnsi="Times New Roman" w:cs="Times New Roman"/>
          <w:color w:val="000000" w:themeColor="text1"/>
          <w:sz w:val="28"/>
          <w:szCs w:val="28"/>
          <w14:textFill>
            <w14:solidFill>
              <w14:schemeClr w14:val="tx1"/>
            </w14:solidFill>
          </w14:textFill>
        </w:rPr>
        <w:t>方案、环境影响评价报告、矿山地质环境保护与恢复治理方案、水土保持方案、征地文件以及遥感影像等资料；</w:t>
      </w:r>
    </w:p>
    <w:p w14:paraId="589B4EE0">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3、结合收集资料，分析矿山地质环境恢复治理、土地复垦利用、生态系统恢复的规划与设定的复垦修复标准，整理矿山地质环境背景、土地资源现状和生态系统本底已有数据，结合监测评价目的，明确矿山地质环境、土地资源和生态系统监测评价需要补充调查的数据；</w:t>
      </w:r>
    </w:p>
    <w:p w14:paraId="592DC2F0">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4、了解监测范围内交通、通信、供电和大地测量基准点等基础条件，掌握自然资源、林草、水利、农业农村、生态环境等行政部门、科研机构开展的监测工作，包括监测内容、监测网点布设及监测方法等；</w:t>
      </w:r>
    </w:p>
    <w:p w14:paraId="4B9C49AD">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5、土壤与土地利用指标：土壤类型、土层厚度、有机质含量、pH值、重金属及污染物浓度；损毁土地类型及面积、土壤侵蚀强度、占用土地合规性。</w:t>
      </w:r>
    </w:p>
    <w:p w14:paraId="45C35F8B">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6、动态监测指标：地形稳定性、土壤质量改善幅度、植被覆盖年际变化、地下水水位/水质动态；基金使用与治理工程的对应关系（如土壤改良支出与土壤质量提升成效）、工程进度与计划符合度。</w:t>
      </w:r>
    </w:p>
    <w:p w14:paraId="73352E56">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7、结合资料分析、矿山生态问题识别与初步诊断，制定监测评价方案，明确监测对象与范围、监测内容和指标、监测布点及频率、监测和评价方法、数据记录和存储、时间安排、经费预算、组织实施、质量控制及主要成果等。</w:t>
      </w:r>
    </w:p>
    <w:p w14:paraId="38BD1307">
      <w:pPr>
        <w:pStyle w:val="2"/>
        <w:spacing w:line="360" w:lineRule="auto"/>
        <w:jc w:val="center"/>
        <w:rPr>
          <w:rFonts w:ascii="黑体" w:hAnsi="黑体" w:eastAsia="黑体" w:cs="黑体"/>
          <w:bCs/>
          <w:color w:val="000000" w:themeColor="text1"/>
          <w14:textFill>
            <w14:solidFill>
              <w14:schemeClr w14:val="tx1"/>
            </w14:solidFill>
          </w14:textFill>
        </w:rPr>
      </w:pPr>
      <w:bookmarkStart w:id="33" w:name="_Toc210478051"/>
      <w:bookmarkStart w:id="34" w:name="_Toc19620"/>
      <w:r>
        <w:rPr>
          <w:rFonts w:hint="eastAsia" w:ascii="黑体" w:hAnsi="黑体" w:eastAsia="黑体" w:cs="黑体"/>
          <w:bCs/>
          <w:color w:val="000000" w:themeColor="text1"/>
          <w14:textFill>
            <w14:solidFill>
              <w14:schemeClr w14:val="tx1"/>
            </w14:solidFill>
          </w14:textFill>
        </w:rPr>
        <w:t xml:space="preserve">第三章  </w:t>
      </w:r>
      <w:bookmarkEnd w:id="33"/>
      <w:r>
        <w:rPr>
          <w:rFonts w:hint="eastAsia" w:ascii="黑体" w:hAnsi="黑体" w:eastAsia="黑体" w:cs="黑体"/>
          <w:bCs/>
          <w:color w:val="000000" w:themeColor="text1"/>
          <w14:textFill>
            <w14:solidFill>
              <w14:schemeClr w14:val="tx1"/>
            </w14:solidFill>
          </w14:textFill>
        </w:rPr>
        <w:t>问题识别诊断及修复可行性分析</w:t>
      </w:r>
      <w:bookmarkEnd w:id="34"/>
    </w:p>
    <w:p w14:paraId="488FBC13">
      <w:pPr>
        <w:pStyle w:val="3"/>
        <w:spacing w:before="0" w:beforeLines="0"/>
        <w:jc w:val="center"/>
        <w:rPr>
          <w:color w:val="000000" w:themeColor="text1"/>
          <w14:textFill>
            <w14:solidFill>
              <w14:schemeClr w14:val="tx1"/>
            </w14:solidFill>
          </w14:textFill>
        </w:rPr>
      </w:pPr>
      <w:bookmarkStart w:id="35" w:name="_Toc16800"/>
      <w:r>
        <w:rPr>
          <w:rFonts w:hint="eastAsia"/>
          <w:color w:val="000000" w:themeColor="text1"/>
          <w:lang w:val="en-US" w:eastAsia="zh-CN"/>
          <w14:textFill>
            <w14:solidFill>
              <w14:schemeClr w14:val="tx1"/>
            </w14:solidFill>
          </w14:textFill>
        </w:rPr>
        <w:t xml:space="preserve">第一节  </w:t>
      </w:r>
      <w:r>
        <w:rPr>
          <w:rFonts w:hint="eastAsia"/>
          <w:color w:val="000000" w:themeColor="text1"/>
          <w14:textFill>
            <w14:solidFill>
              <w14:schemeClr w14:val="tx1"/>
            </w14:solidFill>
          </w14:textFill>
        </w:rPr>
        <w:t>问题识别与受损预测</w:t>
      </w:r>
      <w:bookmarkEnd w:id="35"/>
    </w:p>
    <w:p w14:paraId="6397377A">
      <w:pPr>
        <w:pStyle w:val="5"/>
        <w:bidi w:val="0"/>
        <w:spacing w:line="360" w:lineRule="auto"/>
        <w:ind w:firstLine="562" w:firstLineChars="200"/>
        <w:rPr>
          <w:rFonts w:hint="eastAsia" w:hAnsi="Times New Roman" w:cs="Times New Roman"/>
          <w:b/>
          <w:bCs/>
          <w:color w:val="000000" w:themeColor="text1"/>
          <w:sz w:val="28"/>
          <w:szCs w:val="28"/>
          <w:lang w:val="en-US" w:eastAsia="zh-CN"/>
          <w14:textFill>
            <w14:solidFill>
              <w14:schemeClr w14:val="tx1"/>
            </w14:solidFill>
          </w14:textFill>
        </w:rPr>
      </w:pPr>
      <w:r>
        <w:rPr>
          <w:rFonts w:hint="eastAsia" w:hAnsi="Times New Roman" w:cs="Times New Roman"/>
          <w:b/>
          <w:bCs/>
          <w:color w:val="000000" w:themeColor="text1"/>
          <w:sz w:val="28"/>
          <w:szCs w:val="28"/>
          <w:lang w:val="en-US" w:eastAsia="zh-CN"/>
          <w14:textFill>
            <w14:solidFill>
              <w14:schemeClr w14:val="tx1"/>
            </w14:solidFill>
          </w14:textFill>
        </w:rPr>
        <w:t>一、矿山生态修复区范围</w:t>
      </w:r>
    </w:p>
    <w:p w14:paraId="0C1EF699">
      <w:pPr>
        <w:adjustRightInd w:val="0"/>
        <w:snapToGrid w:val="0"/>
        <w:spacing w:line="360" w:lineRule="auto"/>
        <w:ind w:firstLine="560" w:firstLineChars="200"/>
        <w:rPr>
          <w:rFonts w:hint="default" w:ascii="Times New Roman" w:hAnsi="Times New Roman" w:cs="Times New Roman"/>
          <w:snapToGrid w:val="0"/>
          <w:color w:val="000000" w:themeColor="text1"/>
          <w:sz w:val="28"/>
          <w:szCs w:val="28"/>
          <w14:textFill>
            <w14:solidFill>
              <w14:schemeClr w14:val="tx1"/>
            </w14:solidFill>
          </w14:textFill>
        </w:rPr>
      </w:pPr>
      <w:r>
        <w:rPr>
          <w:rFonts w:hint="default" w:ascii="Times New Roman" w:hAnsi="Times New Roman" w:cs="Times New Roman"/>
          <w:snapToGrid w:val="0"/>
          <w:color w:val="000000" w:themeColor="text1"/>
          <w:sz w:val="28"/>
          <w:szCs w:val="28"/>
          <w14:textFill>
            <w14:solidFill>
              <w14:schemeClr w14:val="tx1"/>
            </w14:solidFill>
          </w14:textFill>
        </w:rPr>
        <w:t>依据《矿区生态修复方案编制指南（临时）》矿山生态修复区范围包括：采矿权范围及采矿活动的影响范围。</w:t>
      </w:r>
    </w:p>
    <w:p w14:paraId="53431B30">
      <w:pPr>
        <w:adjustRightInd w:val="0"/>
        <w:snapToGrid w:val="0"/>
        <w:spacing w:line="360" w:lineRule="auto"/>
        <w:ind w:firstLine="560" w:firstLineChars="200"/>
        <w:rPr>
          <w:rFonts w:hint="default" w:ascii="Times New Roman" w:hAnsi="Times New Roman" w:cs="Times New Roman"/>
          <w:snapToGrid w:val="0"/>
          <w:color w:val="000000" w:themeColor="text1"/>
          <w:sz w:val="28"/>
          <w:szCs w:val="28"/>
          <w14:textFill>
            <w14:solidFill>
              <w14:schemeClr w14:val="tx1"/>
            </w14:solidFill>
          </w14:textFill>
        </w:rPr>
      </w:pPr>
      <w:r>
        <w:rPr>
          <w:rFonts w:hint="eastAsia" w:cs="Times New Roman"/>
          <w:snapToGrid w:val="0"/>
          <w:color w:val="000000" w:themeColor="text1"/>
          <w:sz w:val="28"/>
          <w:szCs w:val="28"/>
          <w:lang w:val="en-US" w:eastAsia="zh-CN"/>
          <w14:textFill>
            <w14:solidFill>
              <w14:schemeClr w14:val="tx1"/>
            </w14:solidFill>
          </w14:textFill>
        </w:rPr>
        <w:t>1、</w:t>
      </w:r>
      <w:r>
        <w:rPr>
          <w:rFonts w:hint="default" w:ascii="Times New Roman" w:hAnsi="Times New Roman" w:cs="Times New Roman"/>
          <w:snapToGrid w:val="0"/>
          <w:color w:val="000000" w:themeColor="text1"/>
          <w:sz w:val="28"/>
          <w:szCs w:val="28"/>
          <w14:textFill>
            <w14:solidFill>
              <w14:schemeClr w14:val="tx1"/>
            </w14:solidFill>
          </w14:textFill>
        </w:rPr>
        <w:t>矿区范围</w:t>
      </w:r>
    </w:p>
    <w:p w14:paraId="0FF8EE90">
      <w:pPr>
        <w:adjustRightInd w:val="0"/>
        <w:snapToGrid w:val="0"/>
        <w:spacing w:line="360" w:lineRule="auto"/>
        <w:ind w:firstLine="560" w:firstLineChars="200"/>
        <w:rPr>
          <w:rFonts w:hint="default" w:ascii="Times New Roman" w:hAnsi="Times New Roman" w:cs="Times New Roman"/>
          <w:snapToGrid w:val="0"/>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赤峰太安新型建筑材料有限公司太平地镇粘土矿</w:t>
      </w:r>
      <w:r>
        <w:rPr>
          <w:rFonts w:hint="default" w:ascii="Times New Roman" w:hAnsi="Times New Roman" w:cs="Times New Roman"/>
          <w:snapToGrid w:val="0"/>
          <w:color w:val="000000" w:themeColor="text1"/>
          <w:sz w:val="28"/>
          <w:szCs w:val="28"/>
          <w14:textFill>
            <w14:solidFill>
              <w14:schemeClr w14:val="tx1"/>
            </w14:solidFill>
          </w14:textFill>
        </w:rPr>
        <w:t>矿区面积</w:t>
      </w:r>
      <w:r>
        <w:rPr>
          <w:rFonts w:hint="eastAsia" w:cs="Times New Roman"/>
          <w:snapToGrid w:val="0"/>
          <w:color w:val="000000" w:themeColor="text1"/>
          <w:sz w:val="28"/>
          <w:szCs w:val="28"/>
          <w:lang w:val="en-US" w:eastAsia="zh-CN"/>
          <w14:textFill>
            <w14:solidFill>
              <w14:schemeClr w14:val="tx1"/>
            </w14:solidFill>
          </w14:textFill>
        </w:rPr>
        <w:t>0.1604</w:t>
      </w:r>
      <w:r>
        <w:rPr>
          <w:rFonts w:hint="default" w:ascii="Times New Roman" w:hAnsi="Times New Roman" w:cs="Times New Roman"/>
          <w:snapToGrid w:val="0"/>
          <w:color w:val="000000" w:themeColor="text1"/>
          <w:sz w:val="28"/>
          <w:szCs w:val="28"/>
          <w14:textFill>
            <w14:solidFill>
              <w14:schemeClr w14:val="tx1"/>
            </w14:solidFill>
          </w14:textFill>
        </w:rPr>
        <w:t>km</w:t>
      </w:r>
      <w:r>
        <w:rPr>
          <w:rFonts w:hint="default" w:ascii="Times New Roman" w:hAnsi="Times New Roman" w:cs="Times New Roman"/>
          <w:snapToGrid w:val="0"/>
          <w:color w:val="000000" w:themeColor="text1"/>
          <w:sz w:val="28"/>
          <w:szCs w:val="28"/>
          <w:vertAlign w:val="superscript"/>
          <w14:textFill>
            <w14:solidFill>
              <w14:schemeClr w14:val="tx1"/>
            </w14:solidFill>
          </w14:textFill>
        </w:rPr>
        <w:t>2</w:t>
      </w: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w:t>
      </w:r>
      <w:r>
        <w:rPr>
          <w:rFonts w:hint="eastAsia" w:cs="Times New Roman"/>
          <w:b w:val="0"/>
          <w:bCs w:val="0"/>
          <w:color w:val="000000" w:themeColor="text1"/>
          <w:sz w:val="28"/>
          <w:szCs w:val="28"/>
          <w:lang w:val="en-US" w:eastAsia="zh-CN"/>
          <w14:textFill>
            <w14:solidFill>
              <w14:schemeClr w14:val="tx1"/>
            </w14:solidFill>
          </w14:textFill>
        </w:rPr>
        <w:t>16.04h</w:t>
      </w: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m</w:t>
      </w:r>
      <w:r>
        <w:rPr>
          <w:rFonts w:hint="default" w:ascii="Times New Roman" w:hAnsi="Times New Roman" w:cs="Times New Roman"/>
          <w:b w:val="0"/>
          <w:bCs w:val="0"/>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w:t>
      </w:r>
      <w:r>
        <w:rPr>
          <w:rFonts w:hint="default" w:ascii="Times New Roman" w:hAnsi="Times New Roman" w:cs="Times New Roman"/>
          <w:snapToGrid w:val="0"/>
          <w:color w:val="000000" w:themeColor="text1"/>
          <w:sz w:val="28"/>
          <w:szCs w:val="28"/>
          <w14:textFill>
            <w14:solidFill>
              <w14:schemeClr w14:val="tx1"/>
            </w14:solidFill>
          </w14:textFill>
        </w:rPr>
        <w:t>。</w:t>
      </w:r>
    </w:p>
    <w:p w14:paraId="5BE4BCBD">
      <w:pPr>
        <w:adjustRightInd w:val="0"/>
        <w:snapToGrid w:val="0"/>
        <w:spacing w:line="360" w:lineRule="auto"/>
        <w:ind w:firstLine="560" w:firstLineChars="200"/>
        <w:rPr>
          <w:rFonts w:hint="default" w:ascii="Times New Roman" w:hAnsi="Times New Roman" w:cs="Times New Roman"/>
          <w:snapToGrid w:val="0"/>
          <w:color w:val="000000" w:themeColor="text1"/>
          <w:sz w:val="28"/>
          <w:szCs w:val="28"/>
          <w14:textFill>
            <w14:solidFill>
              <w14:schemeClr w14:val="tx1"/>
            </w14:solidFill>
          </w14:textFill>
        </w:rPr>
      </w:pPr>
      <w:r>
        <w:rPr>
          <w:rFonts w:hint="eastAsia" w:cs="Times New Roman"/>
          <w:snapToGrid w:val="0"/>
          <w:color w:val="000000" w:themeColor="text1"/>
          <w:sz w:val="28"/>
          <w:szCs w:val="28"/>
          <w:lang w:val="en-US" w:eastAsia="zh-CN"/>
          <w14:textFill>
            <w14:solidFill>
              <w14:schemeClr w14:val="tx1"/>
            </w14:solidFill>
          </w14:textFill>
        </w:rPr>
        <w:t>2、</w:t>
      </w:r>
      <w:r>
        <w:rPr>
          <w:rFonts w:hint="eastAsia" w:cs="Times New Roman"/>
          <w:snapToGrid w:val="0"/>
          <w:color w:val="000000" w:themeColor="text1"/>
          <w:sz w:val="28"/>
          <w:szCs w:val="28"/>
          <w:lang w:eastAsia="zh-CN"/>
          <w14:textFill>
            <w14:solidFill>
              <w14:schemeClr w14:val="tx1"/>
            </w14:solidFill>
          </w14:textFill>
        </w:rPr>
        <w:t>矿业活动影响范围</w:t>
      </w:r>
    </w:p>
    <w:p w14:paraId="4D589026">
      <w:pPr>
        <w:adjustRightInd w:val="0"/>
        <w:snapToGrid w:val="0"/>
        <w:spacing w:line="360" w:lineRule="auto"/>
        <w:ind w:firstLine="560" w:firstLineChars="200"/>
        <w:rPr>
          <w:rFonts w:hint="eastAsia"/>
          <w:color w:val="000000" w:themeColor="text1"/>
          <w:sz w:val="28"/>
          <w:szCs w:val="28"/>
          <w:lang w:eastAsia="zh-CN"/>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矿业活动影响范围</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包括</w:t>
      </w:r>
      <w:r>
        <w:rPr>
          <w:color w:val="000000" w:themeColor="text1"/>
          <w:sz w:val="28"/>
          <w:szCs w:val="28"/>
          <w14:textFill>
            <w14:solidFill>
              <w14:schemeClr w14:val="tx1"/>
            </w14:solidFill>
          </w14:textFill>
        </w:rPr>
        <w:t>现状矿业活动</w:t>
      </w:r>
      <w:r>
        <w:rPr>
          <w:rFonts w:hint="eastAsia"/>
          <w:color w:val="000000" w:themeColor="text1"/>
          <w:sz w:val="28"/>
          <w:szCs w:val="28"/>
          <w:lang w:val="en-US" w:eastAsia="zh-CN"/>
          <w14:textFill>
            <w14:solidFill>
              <w14:schemeClr w14:val="tx1"/>
            </w14:solidFill>
          </w14:textFill>
        </w:rPr>
        <w:t>影响范围</w:t>
      </w:r>
      <w:r>
        <w:rPr>
          <w:rFonts w:hint="eastAsia"/>
          <w:color w:val="000000" w:themeColor="text1"/>
          <w:sz w:val="28"/>
          <w:szCs w:val="28"/>
          <w:lang w:eastAsia="zh-CN"/>
          <w14:textFill>
            <w14:solidFill>
              <w14:schemeClr w14:val="tx1"/>
            </w14:solidFill>
          </w14:textFill>
        </w:rPr>
        <w:t>、</w:t>
      </w:r>
      <w:r>
        <w:rPr>
          <w:rFonts w:hint="eastAsia"/>
          <w:color w:val="000000" w:themeColor="text1"/>
          <w:sz w:val="28"/>
          <w:szCs w:val="28"/>
          <w14:textFill>
            <w14:solidFill>
              <w14:schemeClr w14:val="tx1"/>
            </w14:solidFill>
          </w14:textFill>
        </w:rPr>
        <w:t>《开发与治理综合方案》设计的</w:t>
      </w:r>
      <w:r>
        <w:rPr>
          <w:rFonts w:hint="eastAsia"/>
          <w:color w:val="000000" w:themeColor="text1"/>
          <w:sz w:val="28"/>
          <w:szCs w:val="28"/>
          <w:lang w:val="en-US" w:eastAsia="zh-CN"/>
          <w14:textFill>
            <w14:solidFill>
              <w14:schemeClr w14:val="tx1"/>
            </w14:solidFill>
          </w14:textFill>
        </w:rPr>
        <w:t>拟建设</w:t>
      </w:r>
      <w:r>
        <w:rPr>
          <w:rFonts w:hint="eastAsia"/>
          <w:color w:val="000000" w:themeColor="text1"/>
          <w:sz w:val="28"/>
          <w:szCs w:val="28"/>
          <w14:textFill>
            <w14:solidFill>
              <w14:schemeClr w14:val="tx1"/>
            </w14:solidFill>
          </w14:textFill>
        </w:rPr>
        <w:t>场地范围</w:t>
      </w:r>
      <w:r>
        <w:rPr>
          <w:rFonts w:hint="eastAsia"/>
          <w:color w:val="000000" w:themeColor="text1"/>
          <w:sz w:val="28"/>
          <w:szCs w:val="28"/>
          <w:lang w:eastAsia="zh-CN"/>
          <w14:textFill>
            <w14:solidFill>
              <w14:schemeClr w14:val="tx1"/>
            </w14:solidFill>
          </w14:textFill>
        </w:rPr>
        <w:t>。</w:t>
      </w:r>
    </w:p>
    <w:p w14:paraId="24DA717C">
      <w:pPr>
        <w:adjustRightInd w:val="0"/>
        <w:snapToGrid w:val="0"/>
        <w:spacing w:line="360" w:lineRule="auto"/>
        <w:ind w:firstLine="560" w:firstLineChars="200"/>
        <w:rPr>
          <w:rFonts w:hint="eastAsia"/>
          <w:color w:val="000000" w:themeColor="text1"/>
          <w:sz w:val="28"/>
          <w:szCs w:val="28"/>
          <w:lang w:val="en-US" w:eastAsia="zh-CN"/>
          <w14:textFill>
            <w14:solidFill>
              <w14:schemeClr w14:val="tx1"/>
            </w14:solidFill>
          </w14:textFill>
        </w:rPr>
      </w:pPr>
      <w:r>
        <w:rPr>
          <w:rFonts w:hint="eastAsia"/>
          <w:color w:val="000000" w:themeColor="text1"/>
          <w:sz w:val="28"/>
          <w:szCs w:val="28"/>
          <w:lang w:val="en-US" w:eastAsia="zh-CN"/>
          <w14:textFill>
            <w14:solidFill>
              <w14:schemeClr w14:val="tx1"/>
            </w14:solidFill>
          </w14:textFill>
        </w:rPr>
        <w:t>现状工程场地部分位于矿区范围外，其中</w:t>
      </w:r>
      <w:r>
        <w:rPr>
          <w:rFonts w:hint="eastAsia" w:cs="Times New Roman"/>
          <w:color w:val="000000" w:themeColor="text1"/>
          <w:sz w:val="28"/>
          <w:szCs w:val="28"/>
          <w:lang w:val="en-US" w:eastAsia="zh-CN"/>
          <w14:textFill>
            <w14:solidFill>
              <w14:schemeClr w14:val="tx1"/>
            </w14:solidFill>
          </w14:textFill>
        </w:rPr>
        <w:t>露天采场2</w:t>
      </w:r>
      <w:r>
        <w:rPr>
          <w:rFonts w:hint="default" w:ascii="Times New Roman" w:hAnsi="Times New Roman" w:cs="Times New Roman"/>
          <w:color w:val="000000" w:themeColor="text1"/>
          <w:sz w:val="28"/>
          <w:szCs w:val="28"/>
          <w:lang w:val="en-US" w:eastAsia="zh-CN"/>
          <w14:textFill>
            <w14:solidFill>
              <w14:schemeClr w14:val="tx1"/>
            </w14:solidFill>
          </w14:textFill>
        </w:rPr>
        <w:t>（</w:t>
      </w:r>
      <w:r>
        <w:rPr>
          <w:rFonts w:hint="eastAsia" w:ascii="Times New Roman" w:hAnsi="Times New Roman" w:cs="Times New Roman"/>
          <w:color w:val="000000" w:themeColor="text1"/>
          <w:sz w:val="28"/>
          <w:szCs w:val="28"/>
          <w:lang w:val="en-US" w:eastAsia="zh-CN"/>
          <w14:textFill>
            <w14:solidFill>
              <w14:schemeClr w14:val="tx1"/>
            </w14:solidFill>
          </w14:textFill>
        </w:rPr>
        <w:t>0.0756h</w:t>
      </w:r>
      <w:r>
        <w:rPr>
          <w:rFonts w:hint="default" w:ascii="Times New Roman" w:hAnsi="Times New Roman" w:eastAsia="宋体" w:cs="Times New Roman"/>
          <w:color w:val="000000" w:themeColor="text1"/>
          <w:sz w:val="28"/>
          <w:szCs w:val="21"/>
          <w14:textFill>
            <w14:solidFill>
              <w14:schemeClr w14:val="tx1"/>
            </w14:solidFill>
          </w14:textFill>
        </w:rPr>
        <w:t>m</w:t>
      </w:r>
      <w:r>
        <w:rPr>
          <w:rFonts w:hint="default" w:ascii="Times New Roman" w:hAnsi="Times New Roman" w:eastAsia="宋体" w:cs="Times New Roman"/>
          <w:color w:val="000000" w:themeColor="text1"/>
          <w:sz w:val="28"/>
          <w:szCs w:val="21"/>
          <w:vertAlign w:val="superscript"/>
          <w14:textFill>
            <w14:solidFill>
              <w14:schemeClr w14:val="tx1"/>
            </w14:solidFill>
          </w14:textFill>
        </w:rPr>
        <w:t>2</w:t>
      </w:r>
      <w:r>
        <w:rPr>
          <w:rFonts w:hint="default" w:ascii="Times New Roman" w:hAnsi="Times New Roman" w:cs="Times New Roman"/>
          <w:color w:val="000000" w:themeColor="text1"/>
          <w:sz w:val="28"/>
          <w:szCs w:val="28"/>
          <w:lang w:val="en-US"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工业场地</w:t>
      </w:r>
      <w:r>
        <w:rPr>
          <w:rFonts w:hint="default" w:ascii="Times New Roman" w:hAnsi="Times New Roman" w:cs="Times New Roman"/>
          <w:color w:val="000000" w:themeColor="text1"/>
          <w:sz w:val="28"/>
          <w:szCs w:val="28"/>
          <w:lang w:val="en-US" w:eastAsia="zh-CN"/>
          <w14:textFill>
            <w14:solidFill>
              <w14:schemeClr w14:val="tx1"/>
            </w14:solidFill>
          </w14:textFill>
        </w:rPr>
        <w:t>（</w:t>
      </w:r>
      <w:r>
        <w:rPr>
          <w:rFonts w:hint="eastAsia" w:ascii="Times New Roman" w:hAnsi="Times New Roman" w:cs="Times New Roman"/>
          <w:color w:val="000000" w:themeColor="text1"/>
          <w:sz w:val="28"/>
          <w:szCs w:val="28"/>
          <w:lang w:val="en-US" w:eastAsia="zh-CN"/>
          <w14:textFill>
            <w14:solidFill>
              <w14:schemeClr w14:val="tx1"/>
            </w14:solidFill>
          </w14:textFill>
        </w:rPr>
        <w:t>0.0665h</w:t>
      </w:r>
      <w:r>
        <w:rPr>
          <w:rFonts w:hint="default" w:ascii="Times New Roman" w:hAnsi="Times New Roman" w:eastAsia="宋体" w:cs="Times New Roman"/>
          <w:color w:val="000000" w:themeColor="text1"/>
          <w:sz w:val="28"/>
          <w:szCs w:val="21"/>
          <w14:textFill>
            <w14:solidFill>
              <w14:schemeClr w14:val="tx1"/>
            </w14:solidFill>
          </w14:textFill>
        </w:rPr>
        <w:t>m</w:t>
      </w:r>
      <w:r>
        <w:rPr>
          <w:rFonts w:hint="default" w:ascii="Times New Roman" w:hAnsi="Times New Roman" w:eastAsia="宋体" w:cs="Times New Roman"/>
          <w:color w:val="000000" w:themeColor="text1"/>
          <w:sz w:val="28"/>
          <w:szCs w:val="21"/>
          <w:vertAlign w:val="superscript"/>
          <w14:textFill>
            <w14:solidFill>
              <w14:schemeClr w14:val="tx1"/>
            </w14:solidFill>
          </w14:textFill>
        </w:rPr>
        <w:t>2</w:t>
      </w:r>
      <w:r>
        <w:rPr>
          <w:rFonts w:hint="default" w:ascii="Times New Roman" w:hAnsi="Times New Roman" w:cs="Times New Roman"/>
          <w:color w:val="000000" w:themeColor="text1"/>
          <w:sz w:val="28"/>
          <w:szCs w:val="28"/>
          <w:lang w:val="en-US" w:eastAsia="zh-CN"/>
          <w14:textFill>
            <w14:solidFill>
              <w14:schemeClr w14:val="tx1"/>
            </w14:solidFill>
          </w14:textFill>
        </w:rPr>
        <w:t>）、成品砖堆放场（</w:t>
      </w:r>
      <w:r>
        <w:rPr>
          <w:rFonts w:hint="eastAsia" w:cs="Times New Roman"/>
          <w:color w:val="000000" w:themeColor="text1"/>
          <w:sz w:val="28"/>
          <w:szCs w:val="28"/>
          <w:lang w:val="en-US" w:eastAsia="zh-CN"/>
          <w14:textFill>
            <w14:solidFill>
              <w14:schemeClr w14:val="tx1"/>
            </w14:solidFill>
          </w14:textFill>
        </w:rPr>
        <w:t>1.0050h</w:t>
      </w:r>
      <w:r>
        <w:rPr>
          <w:rFonts w:hint="default" w:ascii="Times New Roman" w:hAnsi="Times New Roman" w:eastAsia="宋体" w:cs="Times New Roman"/>
          <w:color w:val="000000" w:themeColor="text1"/>
          <w:sz w:val="28"/>
          <w:szCs w:val="21"/>
          <w14:textFill>
            <w14:solidFill>
              <w14:schemeClr w14:val="tx1"/>
            </w14:solidFill>
          </w14:textFill>
        </w:rPr>
        <w:t>m</w:t>
      </w:r>
      <w:r>
        <w:rPr>
          <w:rFonts w:hint="default" w:ascii="Times New Roman" w:hAnsi="Times New Roman" w:eastAsia="宋体" w:cs="Times New Roman"/>
          <w:color w:val="000000" w:themeColor="text1"/>
          <w:sz w:val="28"/>
          <w:szCs w:val="21"/>
          <w:vertAlign w:val="superscript"/>
          <w14:textFill>
            <w14:solidFill>
              <w14:schemeClr w14:val="tx1"/>
            </w14:solidFill>
          </w14:textFill>
        </w:rPr>
        <w:t>2</w:t>
      </w:r>
      <w:r>
        <w:rPr>
          <w:rFonts w:hint="default" w:ascii="Times New Roman" w:hAnsi="Times New Roman" w:cs="Times New Roman"/>
          <w:color w:val="000000" w:themeColor="text1"/>
          <w:sz w:val="28"/>
          <w:szCs w:val="28"/>
          <w:lang w:val="en-US" w:eastAsia="zh-CN"/>
          <w14:textFill>
            <w14:solidFill>
              <w14:schemeClr w14:val="tx1"/>
            </w14:solidFill>
          </w14:textFill>
        </w:rPr>
        <w:t>）</w:t>
      </w:r>
      <w:r>
        <w:rPr>
          <w:rFonts w:hint="eastAsia" w:ascii="宋体" w:hAnsi="宋体" w:cs="宋体"/>
          <w:color w:val="000000" w:themeColor="text1"/>
          <w:sz w:val="28"/>
          <w:szCs w:val="28"/>
          <w:lang w:val="en-US" w:eastAsia="zh-CN"/>
          <w14:textFill>
            <w14:solidFill>
              <w14:schemeClr w14:val="tx1"/>
            </w14:solidFill>
          </w14:textFill>
        </w:rPr>
        <w:t>、料堆</w:t>
      </w:r>
      <w:r>
        <w:rPr>
          <w:rFonts w:hint="default" w:ascii="Times New Roman" w:hAnsi="Times New Roman" w:cs="Times New Roman"/>
          <w:color w:val="000000" w:themeColor="text1"/>
          <w:sz w:val="28"/>
          <w:szCs w:val="28"/>
          <w:lang w:val="en-US"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0.4207h</w:t>
      </w:r>
      <w:r>
        <w:rPr>
          <w:rFonts w:hint="default" w:ascii="Times New Roman" w:hAnsi="Times New Roman" w:eastAsia="宋体" w:cs="Times New Roman"/>
          <w:color w:val="000000" w:themeColor="text1"/>
          <w:sz w:val="28"/>
          <w:szCs w:val="21"/>
          <w14:textFill>
            <w14:solidFill>
              <w14:schemeClr w14:val="tx1"/>
            </w14:solidFill>
          </w14:textFill>
        </w:rPr>
        <w:t>m</w:t>
      </w:r>
      <w:r>
        <w:rPr>
          <w:rFonts w:hint="default" w:ascii="Times New Roman" w:hAnsi="Times New Roman" w:eastAsia="宋体" w:cs="Times New Roman"/>
          <w:color w:val="000000" w:themeColor="text1"/>
          <w:sz w:val="28"/>
          <w:szCs w:val="21"/>
          <w:vertAlign w:val="superscript"/>
          <w14:textFill>
            <w14:solidFill>
              <w14:schemeClr w14:val="tx1"/>
            </w14:solidFill>
          </w14:textFill>
        </w:rPr>
        <w:t>2</w:t>
      </w:r>
      <w:r>
        <w:rPr>
          <w:rFonts w:hint="default" w:ascii="Times New Roman" w:hAnsi="Times New Roman" w:cs="Times New Roman"/>
          <w:color w:val="000000" w:themeColor="text1"/>
          <w:sz w:val="28"/>
          <w:szCs w:val="28"/>
          <w:lang w:val="en-US" w:eastAsia="zh-CN"/>
          <w14:textFill>
            <w14:solidFill>
              <w14:schemeClr w14:val="tx1"/>
            </w14:solidFill>
          </w14:textFill>
        </w:rPr>
        <w:t>）</w:t>
      </w:r>
      <w:r>
        <w:rPr>
          <w:rFonts w:hint="eastAsia" w:ascii="宋体" w:hAnsi="宋体" w:cs="宋体"/>
          <w:color w:val="000000" w:themeColor="text1"/>
          <w:sz w:val="28"/>
          <w:szCs w:val="28"/>
          <w:lang w:val="en-US" w:eastAsia="zh-CN"/>
          <w14:textFill>
            <w14:solidFill>
              <w14:schemeClr w14:val="tx1"/>
            </w14:solidFill>
          </w14:textFill>
        </w:rPr>
        <w:t>、</w:t>
      </w:r>
      <w:r>
        <w:rPr>
          <w:rFonts w:hint="eastAsia" w:ascii="Times New Roman" w:hAnsi="Times New Roman" w:cs="Times New Roman"/>
          <w:color w:val="000000" w:themeColor="text1"/>
          <w:sz w:val="28"/>
          <w:szCs w:val="28"/>
          <w:lang w:val="en-US" w:eastAsia="zh-CN"/>
          <w14:textFill>
            <w14:solidFill>
              <w14:schemeClr w14:val="tx1"/>
            </w14:solidFill>
          </w14:textFill>
        </w:rPr>
        <w:t>表土存放场</w:t>
      </w:r>
      <w:r>
        <w:rPr>
          <w:rFonts w:hint="default" w:ascii="Times New Roman" w:hAnsi="Times New Roman" w:cs="Times New Roman"/>
          <w:color w:val="000000" w:themeColor="text1"/>
          <w:sz w:val="28"/>
          <w:szCs w:val="28"/>
          <w:lang w:val="en-US"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1.3494h</w:t>
      </w:r>
      <w:r>
        <w:rPr>
          <w:rFonts w:hint="default" w:ascii="Times New Roman" w:hAnsi="Times New Roman" w:eastAsia="宋体" w:cs="Times New Roman"/>
          <w:color w:val="000000" w:themeColor="text1"/>
          <w:sz w:val="28"/>
          <w:szCs w:val="21"/>
          <w14:textFill>
            <w14:solidFill>
              <w14:schemeClr w14:val="tx1"/>
            </w14:solidFill>
          </w14:textFill>
        </w:rPr>
        <w:t>m</w:t>
      </w:r>
      <w:r>
        <w:rPr>
          <w:rFonts w:hint="default" w:ascii="Times New Roman" w:hAnsi="Times New Roman" w:eastAsia="宋体" w:cs="Times New Roman"/>
          <w:color w:val="000000" w:themeColor="text1"/>
          <w:sz w:val="28"/>
          <w:szCs w:val="21"/>
          <w:vertAlign w:val="superscript"/>
          <w14:textFill>
            <w14:solidFill>
              <w14:schemeClr w14:val="tx1"/>
            </w14:solidFill>
          </w14:textFill>
        </w:rPr>
        <w:t>2</w:t>
      </w:r>
      <w:r>
        <w:rPr>
          <w:rFonts w:hint="default" w:ascii="Times New Roman" w:hAnsi="Times New Roman" w:cs="Times New Roman"/>
          <w:color w:val="000000" w:themeColor="text1"/>
          <w:sz w:val="28"/>
          <w:szCs w:val="28"/>
          <w:lang w:val="en-US" w:eastAsia="zh-CN"/>
          <w14:textFill>
            <w14:solidFill>
              <w14:schemeClr w14:val="tx1"/>
            </w14:solidFill>
          </w14:textFill>
        </w:rPr>
        <w:t>）</w:t>
      </w:r>
      <w:r>
        <w:rPr>
          <w:rFonts w:hint="eastAsia" w:ascii="宋体" w:hAnsi="宋体" w:cs="宋体"/>
          <w:color w:val="000000" w:themeColor="text1"/>
          <w:sz w:val="28"/>
          <w:szCs w:val="28"/>
          <w:lang w:val="en-US"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办公生活区</w:t>
      </w:r>
      <w:r>
        <w:rPr>
          <w:rFonts w:hint="default" w:ascii="Times New Roman" w:hAnsi="Times New Roman" w:cs="Times New Roman"/>
          <w:color w:val="000000" w:themeColor="text1"/>
          <w:sz w:val="28"/>
          <w:szCs w:val="28"/>
          <w:lang w:val="en-US"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0.2217h</w:t>
      </w:r>
      <w:r>
        <w:rPr>
          <w:rFonts w:hint="default" w:ascii="Times New Roman" w:hAnsi="Times New Roman" w:eastAsia="宋体" w:cs="Times New Roman"/>
          <w:color w:val="000000" w:themeColor="text1"/>
          <w:sz w:val="28"/>
          <w:szCs w:val="21"/>
          <w14:textFill>
            <w14:solidFill>
              <w14:schemeClr w14:val="tx1"/>
            </w14:solidFill>
          </w14:textFill>
        </w:rPr>
        <w:t>m</w:t>
      </w:r>
      <w:r>
        <w:rPr>
          <w:rFonts w:hint="default" w:ascii="Times New Roman" w:hAnsi="Times New Roman" w:eastAsia="宋体" w:cs="Times New Roman"/>
          <w:color w:val="000000" w:themeColor="text1"/>
          <w:sz w:val="28"/>
          <w:szCs w:val="21"/>
          <w:vertAlign w:val="superscript"/>
          <w14:textFill>
            <w14:solidFill>
              <w14:schemeClr w14:val="tx1"/>
            </w14:solidFill>
          </w14:textFill>
        </w:rPr>
        <w:t>2</w:t>
      </w:r>
      <w:r>
        <w:rPr>
          <w:rFonts w:hint="default" w:ascii="Times New Roman" w:hAnsi="Times New Roman" w:cs="Times New Roman"/>
          <w:color w:val="000000" w:themeColor="text1"/>
          <w:sz w:val="28"/>
          <w:szCs w:val="28"/>
          <w:lang w:val="en-US"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位于矿区范围外</w:t>
      </w:r>
      <w:r>
        <w:rPr>
          <w:rFonts w:hint="eastAsia"/>
          <w:color w:val="000000" w:themeColor="text1"/>
          <w:sz w:val="28"/>
          <w:szCs w:val="28"/>
          <w:lang w:val="en-US" w:eastAsia="zh-CN"/>
          <w14:textFill>
            <w14:solidFill>
              <w14:schemeClr w14:val="tx1"/>
            </w14:solidFill>
          </w14:textFill>
        </w:rPr>
        <w:t>，现状矿区外合计影响面积3.1389hm</w:t>
      </w:r>
      <w:r>
        <w:rPr>
          <w:rFonts w:hint="eastAsia"/>
          <w:color w:val="000000" w:themeColor="text1"/>
          <w:sz w:val="28"/>
          <w:szCs w:val="28"/>
          <w:vertAlign w:val="superscript"/>
          <w:lang w:val="en-US" w:eastAsia="zh-CN"/>
          <w14:textFill>
            <w14:solidFill>
              <w14:schemeClr w14:val="tx1"/>
            </w14:solidFill>
          </w14:textFill>
        </w:rPr>
        <w:t>2</w:t>
      </w:r>
      <w:r>
        <w:rPr>
          <w:rFonts w:hint="eastAsia"/>
          <w:color w:val="000000" w:themeColor="text1"/>
          <w:sz w:val="28"/>
          <w:szCs w:val="28"/>
          <w:lang w:val="en-US" w:eastAsia="zh-CN"/>
          <w14:textFill>
            <w14:solidFill>
              <w14:schemeClr w14:val="tx1"/>
            </w14:solidFill>
          </w14:textFill>
        </w:rPr>
        <w:t>。</w:t>
      </w:r>
    </w:p>
    <w:p w14:paraId="712981DD">
      <w:pPr>
        <w:adjustRightInd w:val="0"/>
        <w:snapToGrid w:val="0"/>
        <w:spacing w:line="360" w:lineRule="auto"/>
        <w:ind w:firstLine="560" w:firstLineChars="200"/>
        <w:rPr>
          <w:rFonts w:hint="default" w:ascii="Times New Roman" w:hAnsi="Times New Roman" w:cs="Times New Roman"/>
          <w:snapToGrid w:val="0"/>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综上所述，本次矿山地质环境影响的</w:t>
      </w:r>
      <w:r>
        <w:rPr>
          <w:rFonts w:hint="default" w:ascii="Times New Roman" w:hAnsi="Times New Roman" w:cs="Times New Roman"/>
          <w:snapToGrid w:val="0"/>
          <w:color w:val="000000" w:themeColor="text1"/>
          <w:sz w:val="28"/>
          <w:szCs w:val="28"/>
          <w14:textFill>
            <w14:solidFill>
              <w14:schemeClr w14:val="tx1"/>
            </w14:solidFill>
          </w14:textFill>
        </w:rPr>
        <w:t>修复区</w:t>
      </w:r>
      <w:r>
        <w:rPr>
          <w:rFonts w:hint="default" w:ascii="Times New Roman" w:hAnsi="Times New Roman" w:eastAsia="宋体" w:cs="Times New Roman"/>
          <w:color w:val="000000" w:themeColor="text1"/>
          <w:sz w:val="28"/>
          <w:szCs w:val="28"/>
          <w14:textFill>
            <w14:solidFill>
              <w14:schemeClr w14:val="tx1"/>
            </w14:solidFill>
          </w14:textFill>
        </w:rPr>
        <w:t>面积为</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w:t>
      </w:r>
      <w:r>
        <w:rPr>
          <w:rFonts w:hint="eastAsia" w:cs="Times New Roman"/>
          <w:color w:val="000000" w:themeColor="text1"/>
          <w:sz w:val="28"/>
          <w:szCs w:val="21"/>
          <w:lang w:val="en-US" w:eastAsia="zh-CN"/>
          <w14:textFill>
            <w14:solidFill>
              <w14:schemeClr w14:val="tx1"/>
            </w14:solidFill>
          </w14:textFill>
        </w:rPr>
        <w:t>19.1789h</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w:t>
      </w:r>
    </w:p>
    <w:p w14:paraId="44A051C3">
      <w:pPr>
        <w:pStyle w:val="5"/>
        <w:bidi w:val="0"/>
        <w:spacing w:line="360" w:lineRule="auto"/>
        <w:ind w:firstLine="562" w:firstLineChars="200"/>
        <w:rPr>
          <w:rFonts w:hint="eastAsia" w:hAnsi="Times New Roman" w:cs="Times New Roman"/>
          <w:b/>
          <w:bCs/>
          <w:color w:val="000000" w:themeColor="text1"/>
          <w:sz w:val="28"/>
          <w:szCs w:val="28"/>
          <w:lang w:val="en-US" w:eastAsia="zh-CN"/>
          <w14:textFill>
            <w14:solidFill>
              <w14:schemeClr w14:val="tx1"/>
            </w14:solidFill>
          </w14:textFill>
        </w:rPr>
      </w:pPr>
      <w:bookmarkStart w:id="36" w:name="_Toc210478053"/>
      <w:r>
        <w:rPr>
          <w:rFonts w:hint="eastAsia" w:hAnsi="Times New Roman" w:cs="Times New Roman"/>
          <w:b/>
          <w:bCs/>
          <w:color w:val="000000" w:themeColor="text1"/>
          <w:sz w:val="28"/>
          <w:szCs w:val="28"/>
          <w:lang w:val="en-US" w:eastAsia="zh-CN"/>
          <w14:textFill>
            <w14:solidFill>
              <w14:schemeClr w14:val="tx1"/>
            </w14:solidFill>
          </w14:textFill>
        </w:rPr>
        <w:t>二、现状问题</w:t>
      </w:r>
    </w:p>
    <w:p w14:paraId="11975F62">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outlineLvl w:val="2"/>
        <w:rPr>
          <w:rFonts w:hint="default" w:ascii="Times New Roman" w:hAnsi="Times New Roman" w:eastAsia="宋体" w:cs="Times New Roman"/>
          <w:b/>
          <w:bCs/>
          <w:snapToGrid w:val="0"/>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bCs/>
          <w:snapToGrid w:val="0"/>
          <w:color w:val="000000" w:themeColor="text1"/>
          <w:sz w:val="28"/>
          <w:szCs w:val="28"/>
          <w:lang w:val="en-US" w:eastAsia="zh-CN"/>
          <w14:textFill>
            <w14:solidFill>
              <w14:schemeClr w14:val="tx1"/>
            </w14:solidFill>
          </w14:textFill>
        </w:rPr>
        <w:t>（一）矿山地质环境问题现状</w:t>
      </w:r>
    </w:p>
    <w:p w14:paraId="4EA6930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cs="Times New Roman"/>
          <w:snapToGrid w:val="0"/>
          <w:color w:val="000000" w:themeColor="text1"/>
          <w:sz w:val="28"/>
          <w:szCs w:val="28"/>
          <w:lang w:val="en-US" w:eastAsia="zh-CN"/>
          <w14:textFill>
            <w14:solidFill>
              <w14:schemeClr w14:val="tx1"/>
            </w14:solidFill>
          </w14:textFill>
        </w:rPr>
      </w:pPr>
      <w:r>
        <w:rPr>
          <w:rFonts w:hint="eastAsia" w:cs="Times New Roman"/>
          <w:snapToGrid w:val="0"/>
          <w:color w:val="000000" w:themeColor="text1"/>
          <w:sz w:val="28"/>
          <w:szCs w:val="28"/>
          <w:lang w:val="en-US" w:eastAsia="zh-CN"/>
          <w14:textFill>
            <w14:solidFill>
              <w14:schemeClr w14:val="tx1"/>
            </w14:solidFill>
          </w14:textFill>
        </w:rPr>
        <w:t>依据《矿区生态修复方案编制指南（临时）》要求，以下将从矿山场地的不稳定地质体、含水层破坏、地形地貌景观破坏等问题进行矿山地质环境的现状分析，详述如下：</w:t>
      </w:r>
    </w:p>
    <w:p w14:paraId="2CAB8EA3">
      <w:pPr>
        <w:spacing w:line="360" w:lineRule="auto"/>
        <w:ind w:firstLine="560" w:firstLineChars="200"/>
        <w:outlineLvl w:val="3"/>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1、</w:t>
      </w:r>
      <w:r>
        <w:rPr>
          <w:rFonts w:hint="default" w:ascii="Times New Roman" w:hAnsi="Times New Roman" w:cs="Times New Roman"/>
          <w:color w:val="000000" w:themeColor="text1"/>
          <w:sz w:val="28"/>
          <w:szCs w:val="28"/>
          <w14:textFill>
            <w14:solidFill>
              <w14:schemeClr w14:val="tx1"/>
            </w14:solidFill>
          </w14:textFill>
        </w:rPr>
        <w:t>矿</w:t>
      </w:r>
      <w:r>
        <w:rPr>
          <w:rFonts w:hint="eastAsia" w:ascii="宋体" w:hAnsi="宋体" w:cs="宋体"/>
          <w:snapToGrid w:val="0"/>
          <w:color w:val="000000" w:themeColor="text1"/>
          <w:sz w:val="28"/>
          <w:szCs w:val="28"/>
          <w14:textFill>
            <w14:solidFill>
              <w14:schemeClr w14:val="tx1"/>
            </w14:solidFill>
          </w14:textFill>
        </w:rPr>
        <w:t>区</w:t>
      </w:r>
      <w:r>
        <w:rPr>
          <w:rFonts w:hint="default" w:ascii="Times New Roman" w:hAnsi="Times New Roman" w:cs="Times New Roman"/>
          <w:color w:val="000000" w:themeColor="text1"/>
          <w:sz w:val="28"/>
          <w:szCs w:val="28"/>
          <w14:textFill>
            <w14:solidFill>
              <w14:schemeClr w14:val="tx1"/>
            </w14:solidFill>
          </w14:textFill>
        </w:rPr>
        <w:t>不稳定地质体</w:t>
      </w:r>
    </w:p>
    <w:p w14:paraId="6BA87FE1">
      <w:pPr>
        <w:adjustRightInd w:val="0"/>
        <w:snapToGrid w:val="0"/>
        <w:spacing w:line="360" w:lineRule="auto"/>
        <w:ind w:firstLine="560" w:firstLineChars="200"/>
        <w:rPr>
          <w:rFonts w:hint="eastAsia"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根据现状调查，</w:t>
      </w:r>
      <w:r>
        <w:rPr>
          <w:rFonts w:hint="eastAsia" w:ascii="宋体" w:hAnsi="宋体" w:cs="宋体"/>
          <w:color w:val="000000" w:themeColor="text1"/>
          <w:sz w:val="28"/>
          <w:szCs w:val="28"/>
          <w:lang w:val="en-US" w:eastAsia="zh-CN"/>
          <w14:textFill>
            <w14:solidFill>
              <w14:schemeClr w14:val="tx1"/>
            </w14:solidFill>
          </w14:textFill>
        </w:rPr>
        <w:t>修复</w:t>
      </w:r>
      <w:r>
        <w:rPr>
          <w:rFonts w:hint="eastAsia" w:ascii="宋体" w:hAnsi="宋体" w:cs="宋体"/>
          <w:color w:val="000000" w:themeColor="text1"/>
          <w:sz w:val="28"/>
          <w:szCs w:val="28"/>
          <w14:textFill>
            <w14:solidFill>
              <w14:schemeClr w14:val="tx1"/>
            </w14:solidFill>
          </w14:textFill>
        </w:rPr>
        <w:t>区内无登记在册的地质灾害，且不会对矿山生产建设造成影响。</w:t>
      </w:r>
      <w:bookmarkStart w:id="37" w:name="_Hlk219065559"/>
      <w:r>
        <w:rPr>
          <w:rFonts w:hint="eastAsia" w:ascii="宋体" w:hAnsi="宋体" w:cs="宋体"/>
          <w:color w:val="000000" w:themeColor="text1"/>
          <w:sz w:val="28"/>
          <w:szCs w:val="28"/>
          <w14:textFill>
            <w14:solidFill>
              <w14:schemeClr w14:val="tx1"/>
            </w14:solidFill>
          </w14:textFill>
        </w:rPr>
        <w:t>矿山生产建设引发的地质灾害和隐患</w:t>
      </w:r>
      <w:r>
        <w:rPr>
          <w:rFonts w:hint="eastAsia" w:ascii="宋体" w:hAnsi="宋体" w:cs="宋体"/>
          <w:color w:val="000000" w:themeColor="text1"/>
          <w:sz w:val="28"/>
          <w:szCs w:val="28"/>
          <w:lang w:val="en-US" w:eastAsia="zh-CN"/>
          <w14:textFill>
            <w14:solidFill>
              <w14:schemeClr w14:val="tx1"/>
            </w14:solidFill>
          </w14:textFill>
        </w:rPr>
        <w:t>为</w:t>
      </w:r>
      <w:r>
        <w:rPr>
          <w:rFonts w:hint="eastAsia" w:ascii="宋体" w:hAnsi="宋体" w:cs="宋体"/>
          <w:color w:val="000000" w:themeColor="text1"/>
          <w:sz w:val="28"/>
          <w:szCs w:val="28"/>
          <w:lang w:eastAsia="zh-CN"/>
          <w14:textFill>
            <w14:solidFill>
              <w14:schemeClr w14:val="tx1"/>
            </w14:solidFill>
          </w14:textFill>
        </w:rPr>
        <w:t>：</w:t>
      </w:r>
      <w:bookmarkEnd w:id="37"/>
      <w:r>
        <w:rPr>
          <w:rFonts w:hint="eastAsia" w:ascii="宋体" w:hAnsi="宋体" w:cs="宋体"/>
          <w:color w:val="000000" w:themeColor="text1"/>
          <w:sz w:val="28"/>
          <w:szCs w:val="28"/>
          <w:lang w:val="en-US" w:eastAsia="zh-CN"/>
          <w14:textFill>
            <w14:solidFill>
              <w14:schemeClr w14:val="tx1"/>
            </w14:solidFill>
          </w14:textFill>
        </w:rPr>
        <w:t>露天采场</w:t>
      </w:r>
      <w:r>
        <w:rPr>
          <w:rFonts w:hint="eastAsia" w:ascii="宋体" w:hAnsi="宋体" w:cs="宋体"/>
          <w:color w:val="000000" w:themeColor="text1"/>
          <w:sz w:val="28"/>
          <w:szCs w:val="28"/>
          <w14:textFill>
            <w14:solidFill>
              <w14:schemeClr w14:val="tx1"/>
            </w14:solidFill>
          </w14:textFill>
        </w:rPr>
        <w:t>不稳定边坡</w:t>
      </w:r>
      <w:r>
        <w:rPr>
          <w:rFonts w:hint="eastAsia" w:ascii="宋体" w:hAnsi="宋体" w:cs="宋体"/>
          <w:color w:val="000000" w:themeColor="text1"/>
          <w:sz w:val="28"/>
          <w:szCs w:val="28"/>
          <w:lang w:val="en-US" w:eastAsia="zh-CN"/>
          <w14:textFill>
            <w14:solidFill>
              <w14:schemeClr w14:val="tx1"/>
            </w14:solidFill>
          </w14:textFill>
        </w:rPr>
        <w:t>以及表土存放场、料堆</w:t>
      </w:r>
      <w:r>
        <w:rPr>
          <w:rFonts w:hint="eastAsia" w:ascii="宋体" w:hAnsi="宋体" w:cs="宋体"/>
          <w:color w:val="000000" w:themeColor="text1"/>
          <w:sz w:val="28"/>
          <w:szCs w:val="28"/>
          <w14:textFill>
            <w14:solidFill>
              <w14:schemeClr w14:val="tx1"/>
            </w14:solidFill>
          </w14:textFill>
        </w:rPr>
        <w:t>可能引发的</w:t>
      </w:r>
      <w:r>
        <w:rPr>
          <w:rFonts w:hint="eastAsia" w:ascii="宋体" w:hAnsi="宋体" w:cs="宋体"/>
          <w:color w:val="000000" w:themeColor="text1"/>
          <w:sz w:val="28"/>
          <w:szCs w:val="28"/>
          <w:lang w:val="en-US" w:eastAsia="zh-CN"/>
          <w14:textFill>
            <w14:solidFill>
              <w14:schemeClr w14:val="tx1"/>
            </w14:solidFill>
          </w14:textFill>
        </w:rPr>
        <w:t>崩塌、</w:t>
      </w:r>
      <w:r>
        <w:rPr>
          <w:rFonts w:hint="eastAsia" w:ascii="宋体" w:hAnsi="宋体" w:cs="宋体"/>
          <w:color w:val="000000" w:themeColor="text1"/>
          <w:sz w:val="28"/>
          <w:szCs w:val="28"/>
          <w14:textFill>
            <w14:solidFill>
              <w14:schemeClr w14:val="tx1"/>
            </w14:solidFill>
          </w14:textFill>
        </w:rPr>
        <w:t>滑坡</w:t>
      </w:r>
      <w:r>
        <w:rPr>
          <w:rFonts w:hint="eastAsia" w:ascii="宋体" w:hAnsi="宋体" w:cs="宋体"/>
          <w:color w:val="000000" w:themeColor="text1"/>
          <w:sz w:val="28"/>
          <w:szCs w:val="28"/>
          <w:lang w:val="en-US" w:eastAsia="zh-CN"/>
          <w14:textFill>
            <w14:solidFill>
              <w14:schemeClr w14:val="tx1"/>
            </w14:solidFill>
          </w14:textFill>
        </w:rPr>
        <w:t>灾害</w:t>
      </w:r>
      <w:r>
        <w:rPr>
          <w:rFonts w:hint="eastAsia" w:ascii="宋体" w:hAnsi="宋体" w:cs="宋体"/>
          <w:color w:val="000000" w:themeColor="text1"/>
          <w:sz w:val="28"/>
          <w:szCs w:val="28"/>
          <w:lang w:eastAsia="zh-CN"/>
          <w14:textFill>
            <w14:solidFill>
              <w14:schemeClr w14:val="tx1"/>
            </w14:solidFill>
          </w14:textFill>
        </w:rPr>
        <w:t>。</w:t>
      </w:r>
    </w:p>
    <w:p w14:paraId="3BCCF7B5">
      <w:pPr>
        <w:rPr>
          <w:rFonts w:hint="eastAsia" w:cs="Times New Roman"/>
          <w:color w:val="000000" w:themeColor="text1"/>
          <w:sz w:val="28"/>
          <w:szCs w:val="28"/>
          <w:lang w:eastAsia="zh-CN"/>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br w:type="page"/>
      </w:r>
    </w:p>
    <w:p w14:paraId="4C61D8A7">
      <w:pPr>
        <w:adjustRightInd w:val="0"/>
        <w:snapToGrid w:val="0"/>
        <w:spacing w:line="360" w:lineRule="auto"/>
        <w:ind w:firstLine="560" w:firstLineChars="200"/>
        <w:rPr>
          <w:rFonts w:hint="eastAsia" w:ascii="Times New Roman" w:hAnsi="Times New Roman" w:eastAsia="宋体" w:cs="Times New Roman"/>
          <w:color w:val="000000" w:themeColor="text1"/>
          <w:sz w:val="28"/>
          <w:szCs w:val="28"/>
          <w:lang w:eastAsia="zh-CN"/>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1</w:t>
      </w: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露天采场不稳定边坡</w:t>
      </w:r>
    </w:p>
    <w:p w14:paraId="6DBCC574">
      <w:pPr>
        <w:adjustRightInd w:val="0"/>
        <w:snapToGrid w:val="0"/>
        <w:spacing w:line="360" w:lineRule="auto"/>
        <w:ind w:firstLine="560" w:firstLineChars="200"/>
        <w:rPr>
          <w:rFonts w:hint="default" w:ascii="Times New Roman" w:hAnsi="Times New Roman" w:eastAsia="宋体" w:cs="Times New Roman"/>
          <w:snapToGrid w:val="0"/>
          <w:color w:val="000000" w:themeColor="text1"/>
          <w:sz w:val="28"/>
          <w:szCs w:val="28"/>
          <w:lang w:val="en-US" w:eastAsia="zh-CN"/>
          <w14:textFill>
            <w14:solidFill>
              <w14:schemeClr w14:val="tx1"/>
            </w14:solidFill>
          </w14:textFill>
        </w:rPr>
      </w:pPr>
      <w:r>
        <w:rPr>
          <w:rFonts w:hint="default" w:ascii="Times New Roman" w:hAnsi="Times New Roman" w:cs="Times New Roman"/>
          <w:snapToGrid w:val="0"/>
          <w:color w:val="000000" w:themeColor="text1"/>
          <w:sz w:val="28"/>
          <w:szCs w:val="28"/>
          <w14:textFill>
            <w14:solidFill>
              <w14:schemeClr w14:val="tx1"/>
            </w14:solidFill>
          </w14:textFill>
        </w:rPr>
        <w:t>矿山</w:t>
      </w:r>
      <w:r>
        <w:rPr>
          <w:rFonts w:hint="eastAsia" w:cs="Times New Roman"/>
          <w:snapToGrid w:val="0"/>
          <w:color w:val="000000" w:themeColor="text1"/>
          <w:sz w:val="28"/>
          <w:szCs w:val="28"/>
          <w:lang w:val="en-US" w:eastAsia="zh-CN"/>
          <w14:textFill>
            <w14:solidFill>
              <w14:schemeClr w14:val="tx1"/>
            </w14:solidFill>
          </w14:textFill>
        </w:rPr>
        <w:t>开采方式为露天开采，现状已形成2处面积较大的露天采场。</w:t>
      </w:r>
    </w:p>
    <w:p w14:paraId="46D8310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矿区内的不稳定边坡主要为露天采场边坡，现状矿山前期开采已形成2个露天采场，编号分别为露天采场1、露天采场2，露天采场1边坡高度1～10m，采场边坡角为30°～70°；露天采场2边坡高度1～6m，采场边坡角为20°～65°；现状条件下两个露天采场边坡处于基本稳定状态，且未发现明显变形迹象。现状评估危害程度较轻，危险性低。</w:t>
      </w:r>
    </w:p>
    <w:p w14:paraId="455B83C0">
      <w:pPr>
        <w:keepNext w:val="0"/>
        <w:keepLines w:val="0"/>
        <w:pageBreakBefore w:val="0"/>
        <w:widowControl/>
        <w:kinsoku/>
        <w:wordWrap/>
        <w:overflowPunct/>
        <w:topLinePunct w:val="0"/>
        <w:autoSpaceDE/>
        <w:autoSpaceDN/>
        <w:bidi w:val="0"/>
        <w:adjustRightInd/>
        <w:snapToGrid/>
        <w:spacing w:after="0" w:line="240" w:lineRule="auto"/>
        <w:contextualSpacing/>
        <w:jc w:val="center"/>
        <w:textAlignment w:val="auto"/>
        <w:rPr>
          <w:rFonts w:hint="eastAsia" w:ascii="Times New Roman" w:hAnsi="Times New Roman" w:eastAsia="黑体" w:cs="Times New Roman"/>
          <w:color w:val="000000" w:themeColor="text1"/>
          <w:sz w:val="24"/>
          <w:szCs w:val="24"/>
          <w:lang w:eastAsia="zh-CN"/>
          <w14:textFill>
            <w14:solidFill>
              <w14:schemeClr w14:val="tx1"/>
            </w14:solidFill>
          </w14:textFill>
        </w:rPr>
      </w:pPr>
      <w:r>
        <w:rPr>
          <w:rFonts w:hint="eastAsia" w:eastAsia="黑体"/>
          <w:color w:val="000000" w:themeColor="text1"/>
          <w:lang w:eastAsia="zh-CN"/>
          <w14:textFill>
            <w14:solidFill>
              <w14:schemeClr w14:val="tx1"/>
            </w14:solidFill>
          </w14:textFill>
        </w:rPr>
        <w:t xml:space="preserve">    </w:t>
      </w:r>
    </w:p>
    <w:p w14:paraId="0F25F062">
      <w:pPr>
        <w:keepNext w:val="0"/>
        <w:keepLines w:val="0"/>
        <w:pageBreakBefore w:val="0"/>
        <w:widowControl/>
        <w:kinsoku/>
        <w:wordWrap/>
        <w:overflowPunct/>
        <w:topLinePunct w:val="0"/>
        <w:autoSpaceDE/>
        <w:autoSpaceDN/>
        <w:bidi w:val="0"/>
        <w:adjustRightInd/>
        <w:snapToGrid/>
        <w:spacing w:after="0" w:line="360" w:lineRule="auto"/>
        <w:contextualSpacing/>
        <w:jc w:val="center"/>
        <w:textAlignment w:val="auto"/>
        <w:rPr>
          <w:rFonts w:hint="eastAsia" w:ascii="Times New Roman" w:hAnsi="Times New Roman" w:eastAsia="黑体" w:cs="Times New Roman"/>
          <w:color w:val="000000" w:themeColor="text1"/>
          <w:sz w:val="24"/>
          <w:szCs w:val="24"/>
          <w14:textFill>
            <w14:solidFill>
              <w14:schemeClr w14:val="tx1"/>
            </w14:solidFill>
          </w14:textFill>
        </w:rPr>
      </w:pPr>
      <w:r>
        <w:rPr>
          <w:rFonts w:hint="eastAsia" w:ascii="Times New Roman" w:hAnsi="Times New Roman" w:eastAsia="黑体" w:cs="Times New Roman"/>
          <w:color w:val="000000" w:themeColor="text1"/>
          <w:sz w:val="24"/>
          <w:szCs w:val="24"/>
          <w14:textFill>
            <w14:solidFill>
              <w14:schemeClr w14:val="tx1"/>
            </w14:solidFill>
          </w14:textFill>
        </w:rPr>
        <w:t xml:space="preserve">照片3-1  </w:t>
      </w:r>
      <w:r>
        <w:rPr>
          <w:rFonts w:hint="default" w:ascii="Times New Roman" w:hAnsi="Times New Roman" w:eastAsia="黑体" w:cs="Times New Roman"/>
          <w:color w:val="000000" w:themeColor="text1"/>
          <w:sz w:val="24"/>
          <w:szCs w:val="24"/>
          <w14:textFill>
            <w14:solidFill>
              <w14:schemeClr w14:val="tx1"/>
            </w14:solidFill>
          </w14:textFill>
        </w:rPr>
        <w:t>露天采场1边坡</w:t>
      </w:r>
    </w:p>
    <w:p w14:paraId="72E0102E">
      <w:pPr>
        <w:keepNext w:val="0"/>
        <w:keepLines w:val="0"/>
        <w:pageBreakBefore w:val="0"/>
        <w:widowControl/>
        <w:kinsoku/>
        <w:wordWrap/>
        <w:overflowPunct/>
        <w:topLinePunct w:val="0"/>
        <w:autoSpaceDE/>
        <w:autoSpaceDN/>
        <w:bidi w:val="0"/>
        <w:adjustRightInd/>
        <w:snapToGrid/>
        <w:spacing w:after="0" w:line="240" w:lineRule="auto"/>
        <w:contextualSpacing/>
        <w:jc w:val="center"/>
        <w:textAlignment w:val="auto"/>
        <w:rPr>
          <w:rFonts w:hint="eastAsia" w:ascii="Times New Roman" w:hAnsi="Times New Roman" w:eastAsia="黑体" w:cs="Times New Roman"/>
          <w:color w:val="000000" w:themeColor="text1"/>
          <w:sz w:val="24"/>
          <w:szCs w:val="24"/>
          <w:lang w:val="en-US" w:eastAsia="zh-CN"/>
          <w14:textFill>
            <w14:solidFill>
              <w14:schemeClr w14:val="tx1"/>
            </w14:solidFill>
          </w14:textFill>
        </w:rPr>
      </w:pPr>
      <w:r>
        <w:rPr>
          <w:rFonts w:hint="eastAsia" w:eastAsia="黑体"/>
          <w:color w:val="000000" w:themeColor="text1"/>
          <w:lang w:eastAsia="zh-CN"/>
          <w14:textFill>
            <w14:solidFill>
              <w14:schemeClr w14:val="tx1"/>
            </w14:solidFill>
          </w14:textFill>
        </w:rPr>
        <w:t xml:space="preserve">    </w:t>
      </w:r>
    </w:p>
    <w:p w14:paraId="74FAE420">
      <w:pPr>
        <w:keepNext w:val="0"/>
        <w:keepLines w:val="0"/>
        <w:pageBreakBefore w:val="0"/>
        <w:widowControl/>
        <w:kinsoku/>
        <w:wordWrap/>
        <w:overflowPunct/>
        <w:topLinePunct w:val="0"/>
        <w:autoSpaceDE/>
        <w:autoSpaceDN/>
        <w:bidi w:val="0"/>
        <w:adjustRightInd/>
        <w:snapToGrid/>
        <w:spacing w:after="0" w:line="360" w:lineRule="auto"/>
        <w:contextualSpacing/>
        <w:jc w:val="center"/>
        <w:textAlignment w:val="auto"/>
        <w:rPr>
          <w:rFonts w:hint="eastAsia" w:ascii="Times New Roman" w:hAnsi="Times New Roman" w:eastAsia="黑体" w:cs="Times New Roman"/>
          <w:color w:val="000000" w:themeColor="text1"/>
          <w:sz w:val="24"/>
          <w:szCs w:val="24"/>
          <w14:textFill>
            <w14:solidFill>
              <w14:schemeClr w14:val="tx1"/>
            </w14:solidFill>
          </w14:textFill>
        </w:rPr>
      </w:pPr>
      <w:r>
        <w:rPr>
          <w:rFonts w:hint="eastAsia" w:ascii="Times New Roman" w:hAnsi="Times New Roman" w:eastAsia="黑体" w:cs="Times New Roman"/>
          <w:color w:val="000000" w:themeColor="text1"/>
          <w:sz w:val="24"/>
          <w:szCs w:val="24"/>
          <w14:textFill>
            <w14:solidFill>
              <w14:schemeClr w14:val="tx1"/>
            </w14:solidFill>
          </w14:textFill>
        </w:rPr>
        <w:t>照片3-</w:t>
      </w:r>
      <w:r>
        <w:rPr>
          <w:rFonts w:hint="eastAsia" w:ascii="Times New Roman" w:hAnsi="Times New Roman" w:eastAsia="黑体" w:cs="Times New Roman"/>
          <w:color w:val="000000" w:themeColor="text1"/>
          <w:sz w:val="24"/>
          <w:szCs w:val="24"/>
          <w:lang w:val="en-US" w:eastAsia="zh-CN"/>
          <w14:textFill>
            <w14:solidFill>
              <w14:schemeClr w14:val="tx1"/>
            </w14:solidFill>
          </w14:textFill>
        </w:rPr>
        <w:t>2</w:t>
      </w:r>
      <w:r>
        <w:rPr>
          <w:rFonts w:hint="eastAsia" w:ascii="Times New Roman" w:hAnsi="Times New Roman" w:eastAsia="黑体" w:cs="Times New Roman"/>
          <w:color w:val="000000" w:themeColor="text1"/>
          <w:sz w:val="24"/>
          <w:szCs w:val="24"/>
          <w14:textFill>
            <w14:solidFill>
              <w14:schemeClr w14:val="tx1"/>
            </w14:solidFill>
          </w14:textFill>
        </w:rPr>
        <w:t xml:space="preserve">  </w:t>
      </w:r>
      <w:r>
        <w:rPr>
          <w:rFonts w:hint="eastAsia" w:ascii="Times New Roman" w:hAnsi="Times New Roman" w:eastAsia="黑体" w:cs="Times New Roman"/>
          <w:color w:val="000000" w:themeColor="text1"/>
          <w:sz w:val="24"/>
          <w:szCs w:val="24"/>
          <w:lang w:val="en-US" w:eastAsia="zh-CN"/>
          <w14:textFill>
            <w14:solidFill>
              <w14:schemeClr w14:val="tx1"/>
            </w14:solidFill>
          </w14:textFill>
        </w:rPr>
        <w:t>露天采场2边坡</w:t>
      </w:r>
    </w:p>
    <w:p w14:paraId="209B79C6">
      <w:pPr>
        <w:adjustRightInd w:val="0"/>
        <w:snapToGrid w:val="0"/>
        <w:spacing w:line="360" w:lineRule="auto"/>
        <w:ind w:firstLine="560" w:firstLineChars="200"/>
        <w:rPr>
          <w:rFonts w:hint="eastAsia" w:ascii="Times New Roman" w:hAnsi="Times New Roman" w:eastAsia="宋体" w:cs="Times New Roman"/>
          <w:snapToGrid w:val="0"/>
          <w:color w:val="000000" w:themeColor="text1"/>
          <w:sz w:val="28"/>
          <w:szCs w:val="28"/>
          <w:lang w:eastAsia="zh-CN"/>
          <w14:textFill>
            <w14:solidFill>
              <w14:schemeClr w14:val="tx1"/>
            </w14:solidFill>
          </w14:textFill>
        </w:rPr>
      </w:pPr>
      <w:r>
        <w:rPr>
          <w:rFonts w:hint="eastAsia" w:cs="Times New Roman"/>
          <w:snapToGrid w:val="0"/>
          <w:color w:val="000000" w:themeColor="text1"/>
          <w:sz w:val="28"/>
          <w:szCs w:val="28"/>
          <w:lang w:eastAsia="zh-CN"/>
          <w14:textFill>
            <w14:solidFill>
              <w14:schemeClr w14:val="tx1"/>
            </w14:solidFill>
          </w14:textFill>
        </w:rPr>
        <w:t>（</w:t>
      </w:r>
      <w:r>
        <w:rPr>
          <w:rFonts w:hint="eastAsia" w:cs="Times New Roman"/>
          <w:snapToGrid w:val="0"/>
          <w:color w:val="000000" w:themeColor="text1"/>
          <w:sz w:val="28"/>
          <w:szCs w:val="28"/>
          <w:lang w:val="en-US" w:eastAsia="zh-CN"/>
          <w14:textFill>
            <w14:solidFill>
              <w14:schemeClr w14:val="tx1"/>
            </w14:solidFill>
          </w14:textFill>
        </w:rPr>
        <w:t>2</w:t>
      </w:r>
      <w:r>
        <w:rPr>
          <w:rFonts w:hint="eastAsia" w:cs="Times New Roman"/>
          <w:snapToGrid w:val="0"/>
          <w:color w:val="000000" w:themeColor="text1"/>
          <w:sz w:val="28"/>
          <w:szCs w:val="28"/>
          <w:lang w:eastAsia="zh-CN"/>
          <w14:textFill>
            <w14:solidFill>
              <w14:schemeClr w14:val="tx1"/>
            </w14:solidFill>
          </w14:textFill>
        </w:rPr>
        <w:t>）</w:t>
      </w:r>
      <w:r>
        <w:rPr>
          <w:rFonts w:hint="eastAsia" w:cs="Times New Roman"/>
          <w:snapToGrid w:val="0"/>
          <w:color w:val="000000" w:themeColor="text1"/>
          <w:sz w:val="28"/>
          <w:szCs w:val="28"/>
          <w:lang w:val="en-US" w:eastAsia="zh-CN"/>
          <w14:textFill>
            <w14:solidFill>
              <w14:schemeClr w14:val="tx1"/>
            </w14:solidFill>
          </w14:textFill>
        </w:rPr>
        <w:t>表土存放场、料堆不稳定边坡</w:t>
      </w:r>
    </w:p>
    <w:p w14:paraId="2C8B6AE0">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snapToGrid w:val="0"/>
          <w:color w:val="000000" w:themeColor="text1"/>
          <w:sz w:val="28"/>
          <w:szCs w:val="28"/>
          <w:lang w:val="en-US" w:eastAsia="zh-CN"/>
          <w14:textFill>
            <w14:solidFill>
              <w14:schemeClr w14:val="tx1"/>
            </w14:solidFill>
          </w14:textFill>
        </w:rPr>
        <w:t>现状矿山存在一个表土存放场、一个料堆，表土存放场边坡高度1～3m，堆积坡角10～25°。料堆边坡高度1～7m，堆积坡角15～35°。现状表土存放场坡角（10-25°）、料堆坡角（15-35°）均缓于临界值，小于该类松散堆积体的自然安息角，使其边坡自身具有相对较高的稳定性，下滑力小于土体自身的抗滑力。同时，边坡高度普遍较低（尤其表土场仅1-3m），进一步降低了发生大规模、灾难性滑移的重力势能和地质风险。现状条件下维持了整体稳定。且边坡未发现明显变形迹象。现状评估危害程度较轻，危险性低。</w:t>
      </w:r>
    </w:p>
    <w:bookmarkEnd w:id="36"/>
    <w:p w14:paraId="411E6B5E">
      <w:pPr>
        <w:spacing w:line="240" w:lineRule="auto"/>
        <w:contextualSpacing/>
        <w:jc w:val="center"/>
        <w:rPr>
          <w:rFonts w:hint="eastAsia" w:eastAsia="宋体" w:cs="Times New Roman"/>
          <w:color w:val="000000" w:themeColor="text1"/>
          <w:sz w:val="24"/>
          <w:szCs w:val="24"/>
          <w:lang w:val="en-US"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w:t>
      </w:r>
    </w:p>
    <w:p w14:paraId="2D62E08C">
      <w:pPr>
        <w:spacing w:line="360" w:lineRule="auto"/>
        <w:contextualSpacing/>
        <w:jc w:val="center"/>
        <w:rPr>
          <w:rFonts w:hint="eastAsia" w:cs="Times New Roman"/>
          <w:color w:val="000000" w:themeColor="text1"/>
          <w:sz w:val="24"/>
          <w:szCs w:val="24"/>
          <w:lang w:val="en-US" w:eastAsia="zh-CN"/>
          <w14:textFill>
            <w14:solidFill>
              <w14:schemeClr w14:val="tx1"/>
            </w14:solidFill>
          </w14:textFill>
        </w:rPr>
      </w:pPr>
      <w:r>
        <w:rPr>
          <w:rFonts w:hint="eastAsia" w:ascii="黑体" w:hAnsi="黑体" w:eastAsia="黑体" w:cs="黑体"/>
          <w:b w:val="0"/>
          <w:bCs w:val="0"/>
          <w:color w:val="000000" w:themeColor="text1"/>
          <w:sz w:val="24"/>
          <w:szCs w:val="24"/>
          <w:lang w:val="en-US" w:eastAsia="zh-CN"/>
          <w14:textFill>
            <w14:solidFill>
              <w14:schemeClr w14:val="tx1"/>
            </w14:solidFill>
          </w14:textFill>
        </w:rPr>
        <w:t>照片3-3  表土存放场边坡</w:t>
      </w:r>
    </w:p>
    <w:p w14:paraId="522B2479">
      <w:pPr>
        <w:spacing w:line="240" w:lineRule="auto"/>
        <w:contextualSpacing/>
        <w:jc w:val="center"/>
        <w:rPr>
          <w:rFonts w:hint="eastAsia" w:eastAsia="宋体" w:cs="Times New Roman"/>
          <w:color w:val="000000" w:themeColor="text1"/>
          <w:sz w:val="24"/>
          <w:szCs w:val="24"/>
          <w:lang w:val="en-US"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w:t>
      </w:r>
    </w:p>
    <w:p w14:paraId="14CDC96E">
      <w:pPr>
        <w:spacing w:line="360" w:lineRule="auto"/>
        <w:contextualSpacing/>
        <w:jc w:val="center"/>
        <w:rPr>
          <w:rFonts w:hint="eastAsia" w:cs="Times New Roman"/>
          <w:color w:val="000000" w:themeColor="text1"/>
          <w:sz w:val="24"/>
          <w:szCs w:val="24"/>
          <w:lang w:val="en-US" w:eastAsia="zh-CN"/>
          <w14:textFill>
            <w14:solidFill>
              <w14:schemeClr w14:val="tx1"/>
            </w14:solidFill>
          </w14:textFill>
        </w:rPr>
      </w:pPr>
      <w:r>
        <w:rPr>
          <w:rFonts w:hint="eastAsia" w:ascii="黑体" w:hAnsi="黑体" w:eastAsia="黑体" w:cs="黑体"/>
          <w:b w:val="0"/>
          <w:bCs w:val="0"/>
          <w:color w:val="000000" w:themeColor="text1"/>
          <w:sz w:val="24"/>
          <w:szCs w:val="24"/>
          <w:highlight w:val="none"/>
          <w:lang w:val="en-US" w:eastAsia="zh-CN"/>
          <w14:textFill>
            <w14:solidFill>
              <w14:schemeClr w14:val="tx1"/>
            </w14:solidFill>
          </w14:textFill>
        </w:rPr>
        <w:t>照片3-4  料堆边坡</w:t>
      </w:r>
    </w:p>
    <w:p w14:paraId="562AF636">
      <w:pPr>
        <w:adjustRightInd w:val="0"/>
        <w:snapToGrid w:val="0"/>
        <w:spacing w:line="360" w:lineRule="auto"/>
        <w:ind w:firstLine="560" w:firstLineChars="200"/>
        <w:rPr>
          <w:rFonts w:hint="eastAsia" w:cs="Times New Roman"/>
          <w:color w:val="000000" w:themeColor="text1"/>
          <w:sz w:val="28"/>
          <w:szCs w:val="28"/>
          <w:lang w:val="en-US" w:eastAsia="zh-CN"/>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综上所述，</w:t>
      </w: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现状条件下</w:t>
      </w:r>
      <w:r>
        <w:rPr>
          <w:rFonts w:hint="default" w:ascii="Times New Roman" w:hAnsi="Times New Roman" w:cs="Times New Roman"/>
          <w:color w:val="000000" w:themeColor="text1"/>
          <w:sz w:val="28"/>
          <w:szCs w:val="28"/>
          <w:highlight w:val="none"/>
          <w14:textFill>
            <w14:solidFill>
              <w14:schemeClr w14:val="tx1"/>
            </w14:solidFill>
          </w14:textFill>
        </w:rPr>
        <w:t>矿区</w:t>
      </w: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露天采场边坡</w:t>
      </w:r>
      <w:r>
        <w:rPr>
          <w:rFonts w:hint="eastAsia" w:cs="Times New Roman"/>
          <w:color w:val="000000" w:themeColor="text1"/>
          <w:sz w:val="28"/>
          <w:szCs w:val="28"/>
          <w:highlight w:val="none"/>
          <w:lang w:val="en-US" w:eastAsia="zh-CN"/>
          <w14:textFill>
            <w14:solidFill>
              <w14:schemeClr w14:val="tx1"/>
            </w14:solidFill>
          </w14:textFill>
        </w:rPr>
        <w:t>、</w:t>
      </w:r>
      <w:r>
        <w:rPr>
          <w:rFonts w:hint="eastAsia" w:ascii="宋体" w:hAnsi="宋体" w:cs="宋体"/>
          <w:color w:val="000000" w:themeColor="text1"/>
          <w:sz w:val="28"/>
          <w:szCs w:val="28"/>
          <w:lang w:val="en-US" w:eastAsia="zh-CN"/>
          <w14:textFill>
            <w14:solidFill>
              <w14:schemeClr w14:val="tx1"/>
            </w14:solidFill>
          </w14:textFill>
        </w:rPr>
        <w:t>表土存放场、料堆</w:t>
      </w:r>
      <w:r>
        <w:rPr>
          <w:rFonts w:hint="default" w:ascii="Times New Roman" w:hAnsi="Times New Roman" w:cs="Times New Roman"/>
          <w:snapToGrid w:val="0"/>
          <w:color w:val="000000" w:themeColor="text1"/>
          <w:sz w:val="28"/>
          <w:szCs w:val="28"/>
          <w:highlight w:val="none"/>
          <w14:textFill>
            <w14:solidFill>
              <w14:schemeClr w14:val="tx1"/>
            </w14:solidFill>
          </w14:textFill>
        </w:rPr>
        <w:t>不稳定边坡为矿区主要不稳定地质体，危害程度</w:t>
      </w:r>
      <w:r>
        <w:rPr>
          <w:rFonts w:hint="default" w:ascii="Times New Roman" w:hAnsi="Times New Roman" w:cs="Times New Roman"/>
          <w:snapToGrid w:val="0"/>
          <w:color w:val="000000" w:themeColor="text1"/>
          <w:sz w:val="28"/>
          <w:szCs w:val="28"/>
          <w:highlight w:val="none"/>
          <w:lang w:val="en-US" w:eastAsia="zh-CN"/>
          <w14:textFill>
            <w14:solidFill>
              <w14:schemeClr w14:val="tx1"/>
            </w14:solidFill>
          </w14:textFill>
        </w:rPr>
        <w:t>为轻度</w:t>
      </w:r>
      <w:r>
        <w:rPr>
          <w:rFonts w:hint="default" w:ascii="Times New Roman" w:hAnsi="Times New Roman" w:cs="Times New Roman"/>
          <w:snapToGrid w:val="0"/>
          <w:color w:val="000000" w:themeColor="text1"/>
          <w:sz w:val="28"/>
          <w:szCs w:val="28"/>
          <w:highlight w:val="none"/>
          <w14:textFill>
            <w14:solidFill>
              <w14:schemeClr w14:val="tx1"/>
            </w14:solidFill>
          </w14:textFill>
        </w:rPr>
        <w:t>，危险性</w:t>
      </w:r>
      <w:r>
        <w:rPr>
          <w:rFonts w:hint="eastAsia" w:cs="Times New Roman"/>
          <w:snapToGrid w:val="0"/>
          <w:color w:val="000000" w:themeColor="text1"/>
          <w:sz w:val="28"/>
          <w:szCs w:val="28"/>
          <w:highlight w:val="none"/>
          <w:lang w:val="en-US" w:eastAsia="zh-CN"/>
          <w14:textFill>
            <w14:solidFill>
              <w14:schemeClr w14:val="tx1"/>
            </w14:solidFill>
          </w14:textFill>
        </w:rPr>
        <w:t>低</w:t>
      </w:r>
      <w:r>
        <w:rPr>
          <w:rFonts w:hint="default" w:ascii="Times New Roman" w:hAnsi="Times New Roman" w:cs="Times New Roman"/>
          <w:color w:val="000000" w:themeColor="text1"/>
          <w:sz w:val="28"/>
          <w:szCs w:val="28"/>
          <w14:textFill>
            <w14:solidFill>
              <w14:schemeClr w14:val="tx1"/>
            </w14:solidFill>
          </w14:textFill>
        </w:rPr>
        <w:t>。</w:t>
      </w:r>
    </w:p>
    <w:p w14:paraId="497B2732">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outlineLvl w:val="3"/>
        <w:rPr>
          <w:rFonts w:hint="eastAsia" w:ascii="Times New Roman" w:hAnsi="Times New Roman" w:eastAsia="宋体" w:cs="Times New Roman"/>
          <w:b/>
          <w:bCs/>
          <w:snapToGrid w:val="0"/>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bCs/>
          <w:snapToGrid w:val="0"/>
          <w:color w:val="000000" w:themeColor="text1"/>
          <w:sz w:val="28"/>
          <w:szCs w:val="28"/>
          <w:lang w:val="en-US" w:eastAsia="zh-CN"/>
          <w14:textFill>
            <w14:solidFill>
              <w14:schemeClr w14:val="tx1"/>
            </w14:solidFill>
          </w14:textFill>
        </w:rPr>
        <w:t>2、地形地貌景观破坏现状</w:t>
      </w:r>
    </w:p>
    <w:p w14:paraId="5409B9FA">
      <w:pPr>
        <w:spacing w:after="0" w:line="360" w:lineRule="auto"/>
        <w:ind w:firstLine="560" w:firstLineChars="200"/>
        <w:contextualSpacing/>
        <w:jc w:val="both"/>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参考国家和地方相关部门规定的划分标准，将地形地貌景观破坏程度等级数确定为3级标准，分别定为：较轻、较严重、严重。可以定义如下：</w:t>
      </w:r>
    </w:p>
    <w:p w14:paraId="291E712D">
      <w:pPr>
        <w:spacing w:after="0" w:line="360" w:lineRule="auto"/>
        <w:ind w:firstLine="560" w:firstLineChars="200"/>
        <w:contextualSpacing/>
        <w:jc w:val="both"/>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a）较轻：地形地貌景观破坏程度轻微，轻微影响视觉效果；</w:t>
      </w:r>
    </w:p>
    <w:p w14:paraId="1D7C672B">
      <w:pPr>
        <w:spacing w:after="0" w:line="360" w:lineRule="auto"/>
        <w:ind w:firstLine="560" w:firstLineChars="200"/>
        <w:contextualSpacing/>
        <w:jc w:val="both"/>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b）较严重：地形地貌景观破坏程度较严重，中等影响视觉效果；</w:t>
      </w:r>
    </w:p>
    <w:p w14:paraId="3F3D917E">
      <w:pPr>
        <w:spacing w:after="0" w:line="360" w:lineRule="auto"/>
        <w:ind w:firstLine="560" w:firstLineChars="200"/>
        <w:contextualSpacing/>
        <w:jc w:val="both"/>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c）严重：地形地貌景观破坏程度严重，严重影响视觉效果。</w:t>
      </w:r>
    </w:p>
    <w:p w14:paraId="5E145955">
      <w:pPr>
        <w:spacing w:after="0" w:line="360" w:lineRule="auto"/>
        <w:ind w:firstLine="560" w:firstLineChars="200"/>
        <w:contextualSpacing/>
        <w:jc w:val="both"/>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评价因素具体等级标准目前国内外尚无精确划分值，本方案通过选取合适因素因子采用多因素评价法划分地形地貌景观的破坏程度等级。根据类似项目的地形地貌景观破坏因素调查情况，结合项目区实际情况，同时参考各相关学科的实际经验数据，选取因素因子，进而根据从重原则确定地形地貌景观破坏程度等级。</w:t>
      </w:r>
    </w:p>
    <w:p w14:paraId="3868F90B">
      <w:pPr>
        <w:spacing w:after="0" w:line="360" w:lineRule="auto"/>
        <w:ind w:firstLine="560" w:firstLineChars="200"/>
        <w:contextualSpacing/>
        <w:jc w:val="both"/>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挖损、压占破坏地形地貌景观程度评价因素等级标准见表3-</w:t>
      </w:r>
      <w:r>
        <w:rPr>
          <w:rFonts w:hint="eastAsia" w:cs="Times New Roman"/>
          <w:color w:val="000000" w:themeColor="text1"/>
          <w:sz w:val="28"/>
          <w:szCs w:val="28"/>
          <w:lang w:val="en-US" w:eastAsia="zh-CN"/>
          <w14:textFill>
            <w14:solidFill>
              <w14:schemeClr w14:val="tx1"/>
            </w14:solidFill>
          </w14:textFill>
        </w:rPr>
        <w:t>1</w:t>
      </w:r>
      <w:r>
        <w:rPr>
          <w:rFonts w:hint="default" w:ascii="Times New Roman" w:hAnsi="Times New Roman" w:cs="Times New Roman"/>
          <w:color w:val="000000" w:themeColor="text1"/>
          <w:sz w:val="28"/>
          <w:szCs w:val="28"/>
          <w14:textFill>
            <w14:solidFill>
              <w14:schemeClr w14:val="tx1"/>
            </w14:solidFill>
          </w14:textFill>
        </w:rPr>
        <w:t>。</w:t>
      </w:r>
    </w:p>
    <w:p w14:paraId="75C785AC">
      <w:pPr>
        <w:keepNext w:val="0"/>
        <w:keepLines w:val="0"/>
        <w:pageBreakBefore w:val="0"/>
        <w:widowControl/>
        <w:kinsoku/>
        <w:wordWrap/>
        <w:overflowPunct/>
        <w:topLinePunct w:val="0"/>
        <w:autoSpaceDE/>
        <w:autoSpaceDN/>
        <w:bidi w:val="0"/>
        <w:adjustRightInd/>
        <w:snapToGrid/>
        <w:spacing w:after="0" w:line="360" w:lineRule="auto"/>
        <w:contextualSpacing/>
        <w:jc w:val="center"/>
        <w:textAlignment w:val="auto"/>
        <w:rPr>
          <w:rFonts w:hint="default" w:ascii="Times New Roman" w:hAnsi="Times New Roman" w:eastAsia="黑体" w:cs="Times New Roman"/>
          <w:color w:val="000000" w:themeColor="text1"/>
          <w:sz w:val="24"/>
          <w:szCs w:val="24"/>
          <w14:textFill>
            <w14:solidFill>
              <w14:schemeClr w14:val="tx1"/>
            </w14:solidFill>
          </w14:textFill>
        </w:rPr>
      </w:pPr>
      <w:r>
        <w:rPr>
          <w:rFonts w:hint="default" w:ascii="Times New Roman" w:hAnsi="Times New Roman" w:eastAsia="黑体" w:cs="Times New Roman"/>
          <w:color w:val="000000" w:themeColor="text1"/>
          <w:sz w:val="24"/>
          <w:szCs w:val="24"/>
          <w14:textFill>
            <w14:solidFill>
              <w14:schemeClr w14:val="tx1"/>
            </w14:solidFill>
          </w14:textFill>
        </w:rPr>
        <w:t>表3-</w:t>
      </w:r>
      <w:r>
        <w:rPr>
          <w:rFonts w:hint="eastAsia" w:eastAsia="黑体" w:cs="Times New Roman"/>
          <w:color w:val="000000" w:themeColor="text1"/>
          <w:sz w:val="24"/>
          <w:szCs w:val="24"/>
          <w:lang w:val="en-US" w:eastAsia="zh-CN"/>
          <w14:textFill>
            <w14:solidFill>
              <w14:schemeClr w14:val="tx1"/>
            </w14:solidFill>
          </w14:textFill>
        </w:rPr>
        <w:t>1</w:t>
      </w:r>
      <w:r>
        <w:rPr>
          <w:rFonts w:hint="default" w:ascii="Times New Roman" w:hAnsi="Times New Roman" w:eastAsia="黑体" w:cs="Times New Roman"/>
          <w:color w:val="000000" w:themeColor="text1"/>
          <w:sz w:val="24"/>
          <w:szCs w:val="24"/>
          <w14:textFill>
            <w14:solidFill>
              <w14:schemeClr w14:val="tx1"/>
            </w14:solidFill>
          </w14:textFill>
        </w:rPr>
        <w:t xml:space="preserve">  地形地貌景观破坏程度评价因素及等级标准表</w:t>
      </w:r>
    </w:p>
    <w:p w14:paraId="450E494F">
      <w:pPr>
        <w:spacing w:before="120" w:beforeLines="50" w:after="0" w:line="360" w:lineRule="auto"/>
        <w:contextualSpacing/>
        <w:jc w:val="center"/>
        <w:rPr>
          <w:rFonts w:hint="default" w:ascii="Times New Roman" w:hAnsi="Times New Roman" w:eastAsia="黑体" w:cs="Times New Roman"/>
          <w:color w:val="000000" w:themeColor="text1"/>
          <w:sz w:val="24"/>
          <w14:textFill>
            <w14:solidFill>
              <w14:schemeClr w14:val="tx1"/>
            </w14:solidFill>
          </w14:textFill>
        </w:rPr>
      </w:pPr>
      <w:r>
        <w:rPr>
          <w:rFonts w:hint="default" w:ascii="Times New Roman" w:hAnsi="Times New Roman" w:eastAsia="黑体" w:cs="Times New Roman"/>
          <w:color w:val="000000" w:themeColor="text1"/>
          <w:sz w:val="24"/>
          <w14:textFill>
            <w14:solidFill>
              <w14:schemeClr w14:val="tx1"/>
            </w14:solidFill>
          </w14:textFill>
        </w:rPr>
        <w:t>表3-</w:t>
      </w:r>
      <w:r>
        <w:rPr>
          <w:rFonts w:hint="eastAsia" w:eastAsia="黑体" w:cs="Times New Roman"/>
          <w:color w:val="000000" w:themeColor="text1"/>
          <w:sz w:val="24"/>
          <w:lang w:val="en-US" w:eastAsia="zh-CN"/>
          <w14:textFill>
            <w14:solidFill>
              <w14:schemeClr w14:val="tx1"/>
            </w14:solidFill>
          </w14:textFill>
        </w:rPr>
        <w:t>2</w:t>
      </w:r>
      <w:r>
        <w:rPr>
          <w:rFonts w:hint="default" w:ascii="Times New Roman" w:hAnsi="Times New Roman" w:eastAsia="黑体" w:cs="Times New Roman"/>
          <w:color w:val="000000" w:themeColor="text1"/>
          <w:sz w:val="24"/>
          <w14:textFill>
            <w14:solidFill>
              <w14:schemeClr w14:val="tx1"/>
            </w14:solidFill>
          </w14:textFill>
        </w:rPr>
        <w:t xml:space="preserve">  </w:t>
      </w:r>
      <w:r>
        <w:rPr>
          <w:rFonts w:hint="default" w:ascii="Times New Roman" w:hAnsi="Times New Roman" w:eastAsia="黑体" w:cs="Times New Roman"/>
          <w:color w:val="000000" w:themeColor="text1"/>
          <w:sz w:val="24"/>
          <w:szCs w:val="24"/>
          <w14:textFill>
            <w14:solidFill>
              <w14:schemeClr w14:val="tx1"/>
            </w14:solidFill>
          </w14:textFill>
        </w:rPr>
        <w:t>地形地貌景观破坏</w:t>
      </w:r>
      <w:r>
        <w:rPr>
          <w:rFonts w:hint="default" w:ascii="Times New Roman" w:hAnsi="Times New Roman" w:eastAsia="黑体" w:cs="Times New Roman"/>
          <w:color w:val="000000" w:themeColor="text1"/>
          <w:sz w:val="24"/>
          <w14:textFill>
            <w14:solidFill>
              <w14:schemeClr w14:val="tx1"/>
            </w14:solidFill>
          </w14:textFill>
        </w:rPr>
        <w:t>程度评分界线表</w:t>
      </w:r>
    </w:p>
    <w:tbl>
      <w:tblPr>
        <w:tblStyle w:val="30"/>
        <w:tblW w:w="488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924"/>
        <w:gridCol w:w="2204"/>
        <w:gridCol w:w="2299"/>
        <w:gridCol w:w="1910"/>
      </w:tblGrid>
      <w:tr w14:paraId="069ACEB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153" w:type="pct"/>
            <w:noWrap w:val="0"/>
            <w:vAlign w:val="center"/>
          </w:tcPr>
          <w:p w14:paraId="1BCF56F7">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损毁程度</w:t>
            </w:r>
          </w:p>
        </w:tc>
        <w:tc>
          <w:tcPr>
            <w:tcW w:w="1321" w:type="pct"/>
            <w:noWrap w:val="0"/>
            <w:vAlign w:val="center"/>
          </w:tcPr>
          <w:p w14:paraId="7691E545">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较轻</w:t>
            </w:r>
          </w:p>
        </w:tc>
        <w:tc>
          <w:tcPr>
            <w:tcW w:w="1378" w:type="pct"/>
            <w:noWrap w:val="0"/>
            <w:vAlign w:val="center"/>
          </w:tcPr>
          <w:p w14:paraId="46602B36">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较严重</w:t>
            </w:r>
          </w:p>
        </w:tc>
        <w:tc>
          <w:tcPr>
            <w:tcW w:w="1145" w:type="pct"/>
            <w:noWrap w:val="0"/>
            <w:vAlign w:val="center"/>
          </w:tcPr>
          <w:p w14:paraId="5C776F1F">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严重</w:t>
            </w:r>
          </w:p>
        </w:tc>
      </w:tr>
      <w:tr w14:paraId="34A52EA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153" w:type="pct"/>
            <w:noWrap w:val="0"/>
            <w:vAlign w:val="center"/>
          </w:tcPr>
          <w:p w14:paraId="2B316137">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评分级别</w:t>
            </w:r>
          </w:p>
        </w:tc>
        <w:tc>
          <w:tcPr>
            <w:tcW w:w="1321" w:type="pct"/>
            <w:noWrap w:val="0"/>
            <w:vAlign w:val="center"/>
          </w:tcPr>
          <w:p w14:paraId="72DB4699">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Σ≤1.0</w:t>
            </w:r>
          </w:p>
        </w:tc>
        <w:tc>
          <w:tcPr>
            <w:tcW w:w="1378" w:type="pct"/>
            <w:noWrap w:val="0"/>
            <w:vAlign w:val="center"/>
          </w:tcPr>
          <w:p w14:paraId="61CC62D5">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1.0＜Σ≤2.0</w:t>
            </w:r>
          </w:p>
        </w:tc>
        <w:tc>
          <w:tcPr>
            <w:tcW w:w="1145" w:type="pct"/>
            <w:noWrap w:val="0"/>
            <w:vAlign w:val="center"/>
          </w:tcPr>
          <w:p w14:paraId="4EAEC4F2">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Σ＞2.0</w:t>
            </w:r>
          </w:p>
        </w:tc>
      </w:tr>
    </w:tbl>
    <w:p w14:paraId="431D85B4">
      <w:pPr>
        <w:keepNext w:val="0"/>
        <w:keepLines w:val="0"/>
        <w:pageBreakBefore w:val="0"/>
        <w:widowControl w:val="0"/>
        <w:kinsoku/>
        <w:wordWrap/>
        <w:overflowPunct/>
        <w:topLinePunct w:val="0"/>
        <w:autoSpaceDE/>
        <w:autoSpaceDN/>
        <w:bidi w:val="0"/>
        <w:adjustRightInd/>
        <w:snapToGrid/>
        <w:spacing w:before="157" w:beforeLines="50" w:line="360" w:lineRule="auto"/>
        <w:ind w:firstLine="560" w:firstLineChars="200"/>
        <w:contextualSpacing/>
        <w:textAlignment w:val="auto"/>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eastAsia" w:ascii="Times New Roman" w:hAnsi="Times New Roman" w:cs="Times New Roman"/>
          <w:color w:val="000000" w:themeColor="text1"/>
          <w:sz w:val="28"/>
          <w:szCs w:val="28"/>
          <w:lang w:val="en-US" w:eastAsia="zh-CN"/>
          <w14:textFill>
            <w14:solidFill>
              <w14:schemeClr w14:val="tx1"/>
            </w14:solidFill>
          </w14:textFill>
        </w:rPr>
        <w:t>经本次调查，矿山开采对地形地貌景观影响现状地表形成的工程单元包括：露天采场1、露天采场2、工业场地、成品砖堆放场、料堆、表土存放场、办公生活区及矿区道路等。对原生地形地貌景观造成局部破坏，现状各单元对原生地形地貌景观影响评估如下：</w:t>
      </w:r>
    </w:p>
    <w:p w14:paraId="067164AB">
      <w:pPr>
        <w:tabs>
          <w:tab w:val="left" w:pos="1300"/>
        </w:tabs>
        <w:spacing w:line="360" w:lineRule="auto"/>
        <w:ind w:firstLine="562" w:firstLineChars="200"/>
        <w:outlineLvl w:val="9"/>
        <w:rPr>
          <w:rFonts w:hint="eastAsia" w:cs="Times New Roman"/>
          <w:b/>
          <w:bCs/>
          <w:color w:val="000000" w:themeColor="text1"/>
          <w:sz w:val="28"/>
          <w:szCs w:val="28"/>
          <w:lang w:val="en-US" w:eastAsia="zh-CN"/>
          <w14:textFill>
            <w14:solidFill>
              <w14:schemeClr w14:val="tx1"/>
            </w14:solidFill>
          </w14:textFill>
        </w:rPr>
      </w:pPr>
      <w:r>
        <w:rPr>
          <w:rFonts w:hint="eastAsia" w:cs="Times New Roman"/>
          <w:b/>
          <w:bCs/>
          <w:color w:val="000000" w:themeColor="text1"/>
          <w:sz w:val="28"/>
          <w:szCs w:val="28"/>
          <w:lang w:eastAsia="zh-CN"/>
          <w14:textFill>
            <w14:solidFill>
              <w14:schemeClr w14:val="tx1"/>
            </w14:solidFill>
          </w14:textFill>
        </w:rPr>
        <w:t>（</w:t>
      </w:r>
      <w:r>
        <w:rPr>
          <w:rFonts w:hint="eastAsia" w:cs="Times New Roman"/>
          <w:b/>
          <w:bCs/>
          <w:color w:val="000000" w:themeColor="text1"/>
          <w:sz w:val="28"/>
          <w:szCs w:val="28"/>
          <w:lang w:val="en-US" w:eastAsia="zh-CN"/>
          <w14:textFill>
            <w14:solidFill>
              <w14:schemeClr w14:val="tx1"/>
            </w14:solidFill>
          </w14:textFill>
        </w:rPr>
        <w:t>1</w:t>
      </w:r>
      <w:r>
        <w:rPr>
          <w:rFonts w:hint="eastAsia" w:cs="Times New Roman"/>
          <w:b/>
          <w:bCs/>
          <w:color w:val="000000" w:themeColor="text1"/>
          <w:sz w:val="28"/>
          <w:szCs w:val="28"/>
          <w:lang w:eastAsia="zh-CN"/>
          <w14:textFill>
            <w14:solidFill>
              <w14:schemeClr w14:val="tx1"/>
            </w14:solidFill>
          </w14:textFill>
        </w:rPr>
        <w:t>）</w:t>
      </w:r>
      <w:r>
        <w:rPr>
          <w:rFonts w:hint="eastAsia" w:cs="Times New Roman"/>
          <w:b/>
          <w:bCs/>
          <w:color w:val="000000" w:themeColor="text1"/>
          <w:sz w:val="28"/>
          <w:szCs w:val="28"/>
          <w:lang w:val="en-US" w:eastAsia="zh-CN"/>
          <w14:textFill>
            <w14:solidFill>
              <w14:schemeClr w14:val="tx1"/>
            </w14:solidFill>
          </w14:textFill>
        </w:rPr>
        <w:t>露天采场1</w:t>
      </w:r>
    </w:p>
    <w:p w14:paraId="1A20FE67">
      <w:pPr>
        <w:tabs>
          <w:tab w:val="left" w:pos="1300"/>
        </w:tabs>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矿山前期开采已形成露天采场1，</w:t>
      </w:r>
      <w:r>
        <w:rPr>
          <w:rFonts w:hint="eastAsia"/>
          <w:color w:val="000000" w:themeColor="text1"/>
          <w:sz w:val="28"/>
          <w:szCs w:val="21"/>
          <w:lang w:val="en-US" w:eastAsia="zh-CN"/>
          <w14:textFill>
            <w14:solidFill>
              <w14:schemeClr w14:val="tx1"/>
            </w14:solidFill>
          </w14:textFill>
        </w:rPr>
        <w:t>挖损</w:t>
      </w:r>
      <w:r>
        <w:rPr>
          <w:rFonts w:hint="eastAsia" w:ascii="Times New Roman" w:hAnsi="Times New Roman"/>
          <w:color w:val="000000" w:themeColor="text1"/>
          <w:sz w:val="28"/>
          <w:szCs w:val="21"/>
          <w:lang w:val="en-US" w:eastAsia="zh-CN"/>
          <w14:textFill>
            <w14:solidFill>
              <w14:schemeClr w14:val="tx1"/>
            </w14:solidFill>
          </w14:textFill>
        </w:rPr>
        <w:t>面积</w:t>
      </w:r>
      <w:r>
        <w:rPr>
          <w:rFonts w:hint="eastAsia" w:cs="Times New Roman"/>
          <w:color w:val="000000" w:themeColor="text1"/>
          <w:sz w:val="28"/>
          <w:szCs w:val="28"/>
          <w:lang w:val="en-US" w:eastAsia="zh-CN"/>
          <w14:textFill>
            <w14:solidFill>
              <w14:schemeClr w14:val="tx1"/>
            </w14:solidFill>
          </w14:textFill>
        </w:rPr>
        <w:t>1.6606hm</w:t>
      </w:r>
      <w:r>
        <w:rPr>
          <w:rFonts w:hint="eastAsia" w:cs="Times New Roman"/>
          <w:color w:val="000000" w:themeColor="text1"/>
          <w:sz w:val="28"/>
          <w:szCs w:val="28"/>
          <w:vertAlign w:val="superscript"/>
          <w:lang w:val="en-US" w:eastAsia="zh-CN"/>
          <w14:textFill>
            <w14:solidFill>
              <w14:schemeClr w14:val="tx1"/>
            </w14:solidFill>
          </w14:textFill>
        </w:rPr>
        <w:t>2</w:t>
      </w:r>
      <w:r>
        <w:rPr>
          <w:rFonts w:hint="eastAsia" w:cs="Times New Roman"/>
          <w:color w:val="000000" w:themeColor="text1"/>
          <w:sz w:val="28"/>
          <w:szCs w:val="28"/>
          <w:lang w:val="en-US" w:eastAsia="zh-CN"/>
          <w14:textFill>
            <w14:solidFill>
              <w14:schemeClr w14:val="tx1"/>
            </w14:solidFill>
          </w14:textFill>
        </w:rPr>
        <w:t>。采场呈不规则状，采场长170m，宽28-144m，边坡高度约1～10m，采场边坡角为30°～70°，开采标高为约471.95～485.28m。破坏了地形地貌景观场地的建设破坏了地形地貌景观和地表植被，对矿区地形地貌景观破坏程度为严重（见照片3-5）。</w:t>
      </w:r>
    </w:p>
    <w:p w14:paraId="0D1EA515">
      <w:pPr>
        <w:keepNext w:val="0"/>
        <w:keepLines w:val="0"/>
        <w:pageBreakBefore w:val="0"/>
        <w:widowControl/>
        <w:kinsoku/>
        <w:wordWrap/>
        <w:overflowPunct/>
        <w:topLinePunct w:val="0"/>
        <w:autoSpaceDE/>
        <w:autoSpaceDN/>
        <w:bidi w:val="0"/>
        <w:adjustRightInd/>
        <w:snapToGrid/>
        <w:spacing w:after="0" w:line="360" w:lineRule="auto"/>
        <w:contextualSpacing/>
        <w:jc w:val="center"/>
        <w:textAlignment w:val="auto"/>
        <w:rPr>
          <w:rFonts w:hint="eastAsia" w:ascii="Times New Roman" w:hAnsi="Times New Roman" w:eastAsia="黑体" w:cs="Times New Roman"/>
          <w:color w:val="000000" w:themeColor="text1"/>
          <w:sz w:val="24"/>
          <w:lang w:eastAsia="zh-CN"/>
          <w14:textFill>
            <w14:solidFill>
              <w14:schemeClr w14:val="tx1"/>
            </w14:solidFill>
          </w14:textFill>
        </w:rPr>
      </w:pPr>
      <w:r>
        <w:rPr>
          <w:rFonts w:hint="default" w:ascii="Times New Roman" w:hAnsi="Times New Roman" w:eastAsia="黑体" w:cs="Times New Roman"/>
          <w:color w:val="000000" w:themeColor="text1"/>
          <w:sz w:val="24"/>
          <w14:textFill>
            <w14:solidFill>
              <w14:schemeClr w14:val="tx1"/>
            </w14:solidFill>
          </w14:textFill>
        </w:rPr>
        <w:t>表3-</w:t>
      </w:r>
      <w:r>
        <w:rPr>
          <w:rFonts w:hint="eastAsia" w:eastAsia="黑体" w:cs="Times New Roman"/>
          <w:color w:val="000000" w:themeColor="text1"/>
          <w:sz w:val="24"/>
          <w:lang w:val="en-US" w:eastAsia="zh-CN"/>
          <w14:textFill>
            <w14:solidFill>
              <w14:schemeClr w14:val="tx1"/>
            </w14:solidFill>
          </w14:textFill>
        </w:rPr>
        <w:t>3</w:t>
      </w:r>
      <w:r>
        <w:rPr>
          <w:rFonts w:hint="default" w:ascii="Times New Roman" w:hAnsi="Times New Roman" w:eastAsia="黑体" w:cs="Times New Roman"/>
          <w:color w:val="000000" w:themeColor="text1"/>
          <w:sz w:val="24"/>
          <w14:textFill>
            <w14:solidFill>
              <w14:schemeClr w14:val="tx1"/>
            </w14:solidFill>
          </w14:textFill>
        </w:rPr>
        <w:t xml:space="preserve">  地形地貌景观破坏程度评价表</w:t>
      </w:r>
      <w:r>
        <w:rPr>
          <w:rFonts w:hint="eastAsia" w:ascii="Times New Roman" w:hAnsi="Times New Roman" w:eastAsia="黑体" w:cs="Times New Roman"/>
          <w:color w:val="000000" w:themeColor="text1"/>
          <w:sz w:val="24"/>
          <w:lang w:eastAsia="zh-CN"/>
          <w14:textFill>
            <w14:solidFill>
              <w14:schemeClr w14:val="tx1"/>
            </w14:solidFill>
          </w14:textFill>
        </w:rPr>
        <w:t>（</w:t>
      </w:r>
      <w:r>
        <w:rPr>
          <w:rFonts w:hint="eastAsia" w:ascii="Times New Roman" w:hAnsi="Times New Roman" w:eastAsia="黑体" w:cs="Times New Roman"/>
          <w:color w:val="000000" w:themeColor="text1"/>
          <w:sz w:val="24"/>
          <w:lang w:val="en-US" w:eastAsia="zh-CN"/>
          <w14:textFill>
            <w14:solidFill>
              <w14:schemeClr w14:val="tx1"/>
            </w14:solidFill>
          </w14:textFill>
        </w:rPr>
        <w:t>挖损</w:t>
      </w:r>
      <w:r>
        <w:rPr>
          <w:rFonts w:hint="eastAsia" w:ascii="Times New Roman" w:hAnsi="Times New Roman" w:eastAsia="黑体" w:cs="Times New Roman"/>
          <w:color w:val="000000" w:themeColor="text1"/>
          <w:sz w:val="24"/>
          <w:lang w:eastAsia="zh-CN"/>
          <w14:textFill>
            <w14:solidFill>
              <w14:schemeClr w14:val="tx1"/>
            </w14:solidFill>
          </w14:textFill>
        </w:rPr>
        <w:t>）</w:t>
      </w:r>
    </w:p>
    <w:tbl>
      <w:tblPr>
        <w:tblStyle w:val="30"/>
        <w:tblW w:w="8394"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8"/>
        <w:gridCol w:w="2415"/>
        <w:gridCol w:w="2040"/>
        <w:gridCol w:w="1170"/>
        <w:gridCol w:w="1201"/>
      </w:tblGrid>
      <w:tr w14:paraId="312B69F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tblHeader/>
          <w:jc w:val="center"/>
        </w:trPr>
        <w:tc>
          <w:tcPr>
            <w:tcW w:w="1568" w:type="dxa"/>
            <w:noWrap w:val="0"/>
            <w:vAlign w:val="center"/>
          </w:tcPr>
          <w:p w14:paraId="1F76E8C6">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评价单元</w:t>
            </w:r>
          </w:p>
        </w:tc>
        <w:tc>
          <w:tcPr>
            <w:tcW w:w="2415" w:type="dxa"/>
            <w:noWrap w:val="0"/>
            <w:vAlign w:val="center"/>
          </w:tcPr>
          <w:p w14:paraId="23DAF89E">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评价因子</w:t>
            </w:r>
          </w:p>
        </w:tc>
        <w:tc>
          <w:tcPr>
            <w:tcW w:w="2040" w:type="dxa"/>
            <w:noWrap w:val="0"/>
            <w:vAlign w:val="center"/>
          </w:tcPr>
          <w:p w14:paraId="4445ED4F">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损毁程度</w:t>
            </w:r>
          </w:p>
        </w:tc>
        <w:tc>
          <w:tcPr>
            <w:tcW w:w="1170" w:type="dxa"/>
            <w:tcBorders>
              <w:right w:val="single" w:color="auto" w:sz="4" w:space="0"/>
            </w:tcBorders>
            <w:noWrap w:val="0"/>
            <w:vAlign w:val="center"/>
          </w:tcPr>
          <w:p w14:paraId="1FC9E8A3">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得分</w:t>
            </w:r>
          </w:p>
        </w:tc>
        <w:tc>
          <w:tcPr>
            <w:tcW w:w="1201" w:type="dxa"/>
            <w:tcBorders>
              <w:right w:val="single" w:color="auto" w:sz="4" w:space="0"/>
            </w:tcBorders>
            <w:noWrap w:val="0"/>
            <w:vAlign w:val="center"/>
          </w:tcPr>
          <w:p w14:paraId="3B64A563">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评价结果</w:t>
            </w:r>
          </w:p>
        </w:tc>
      </w:tr>
      <w:tr w14:paraId="48D26D2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1568" w:type="dxa"/>
            <w:vMerge w:val="restart"/>
            <w:noWrap w:val="0"/>
            <w:vAlign w:val="center"/>
          </w:tcPr>
          <w:p w14:paraId="5033EE6E">
            <w:pPr>
              <w:keepNext w:val="0"/>
              <w:keepLines w:val="0"/>
              <w:suppressLineNumbers w:val="0"/>
              <w:spacing w:before="0" w:beforeAutospacing="0" w:after="0" w:afterAutospacing="0" w:line="240" w:lineRule="auto"/>
              <w:ind w:left="0" w:right="0"/>
              <w:contextualSpacing/>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露天采</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场</w:t>
            </w:r>
            <w:r>
              <w:rPr>
                <w:rFonts w:hint="eastAsia" w:cs="Times New Roman"/>
                <w:color w:val="000000" w:themeColor="text1"/>
                <w:sz w:val="21"/>
                <w:szCs w:val="21"/>
                <w:highlight w:val="none"/>
                <w:lang w:val="en-US" w:eastAsia="zh-CN"/>
                <w14:textFill>
                  <w14:solidFill>
                    <w14:schemeClr w14:val="tx1"/>
                  </w14:solidFill>
                </w14:textFill>
              </w:rPr>
              <w:t>1</w:t>
            </w:r>
          </w:p>
        </w:tc>
        <w:tc>
          <w:tcPr>
            <w:tcW w:w="2415" w:type="dxa"/>
            <w:noWrap w:val="0"/>
            <w:vAlign w:val="center"/>
          </w:tcPr>
          <w:p w14:paraId="7DDE3F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区位条件</w:t>
            </w:r>
          </w:p>
        </w:tc>
        <w:tc>
          <w:tcPr>
            <w:tcW w:w="2040" w:type="dxa"/>
            <w:noWrap w:val="0"/>
            <w:vAlign w:val="center"/>
          </w:tcPr>
          <w:p w14:paraId="1391E950">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人类活动中等区</w:t>
            </w:r>
          </w:p>
        </w:tc>
        <w:tc>
          <w:tcPr>
            <w:tcW w:w="1170" w:type="dxa"/>
            <w:vMerge w:val="restart"/>
            <w:tcBorders>
              <w:right w:val="single" w:color="auto" w:sz="4" w:space="0"/>
            </w:tcBorders>
            <w:noWrap w:val="0"/>
            <w:vAlign w:val="center"/>
          </w:tcPr>
          <w:p w14:paraId="4FF833B5">
            <w:pPr>
              <w:keepNext w:val="0"/>
              <w:keepLines w:val="0"/>
              <w:suppressLineNumbers w:val="0"/>
              <w:spacing w:before="0" w:beforeAutospacing="0" w:after="0" w:afterAutospacing="0" w:line="240" w:lineRule="auto"/>
              <w:ind w:left="0" w:right="0"/>
              <w:contextualSpacing/>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2.1</w:t>
            </w:r>
          </w:p>
        </w:tc>
        <w:tc>
          <w:tcPr>
            <w:tcW w:w="1201" w:type="dxa"/>
            <w:vMerge w:val="restart"/>
            <w:tcBorders>
              <w:left w:val="single" w:color="auto" w:sz="4" w:space="0"/>
            </w:tcBorders>
            <w:noWrap w:val="0"/>
            <w:vAlign w:val="center"/>
          </w:tcPr>
          <w:p w14:paraId="414A4928">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严重</w:t>
            </w:r>
          </w:p>
        </w:tc>
      </w:tr>
      <w:tr w14:paraId="5A7597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1568" w:type="dxa"/>
            <w:vMerge w:val="continue"/>
            <w:noWrap w:val="0"/>
            <w:vAlign w:val="center"/>
          </w:tcPr>
          <w:p w14:paraId="067E235A">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415" w:type="dxa"/>
            <w:noWrap w:val="0"/>
            <w:vAlign w:val="center"/>
          </w:tcPr>
          <w:p w14:paraId="7B16F9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可视程度</w:t>
            </w:r>
          </w:p>
        </w:tc>
        <w:tc>
          <w:tcPr>
            <w:tcW w:w="2040" w:type="dxa"/>
            <w:noWrap w:val="0"/>
            <w:vAlign w:val="center"/>
          </w:tcPr>
          <w:p w14:paraId="7EC529B4">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局部可视</w:t>
            </w:r>
          </w:p>
        </w:tc>
        <w:tc>
          <w:tcPr>
            <w:tcW w:w="1170" w:type="dxa"/>
            <w:vMerge w:val="continue"/>
            <w:tcBorders>
              <w:right w:val="single" w:color="auto" w:sz="4" w:space="0"/>
            </w:tcBorders>
            <w:noWrap w:val="0"/>
            <w:vAlign w:val="center"/>
          </w:tcPr>
          <w:p w14:paraId="76398F82">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201" w:type="dxa"/>
            <w:vMerge w:val="continue"/>
            <w:tcBorders>
              <w:left w:val="single" w:color="auto" w:sz="4" w:space="0"/>
            </w:tcBorders>
            <w:noWrap w:val="0"/>
            <w:vAlign w:val="center"/>
          </w:tcPr>
          <w:p w14:paraId="4350CCD9">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5BE4B8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1568" w:type="dxa"/>
            <w:vMerge w:val="continue"/>
            <w:noWrap w:val="0"/>
            <w:vAlign w:val="center"/>
          </w:tcPr>
          <w:p w14:paraId="00FB48C3">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415" w:type="dxa"/>
            <w:noWrap w:val="0"/>
            <w:vAlign w:val="center"/>
          </w:tcPr>
          <w:p w14:paraId="6788AA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0"/>
                <w:lang w:val="en-US" w:eastAsia="zh-CN"/>
                <w14:textFill>
                  <w14:solidFill>
                    <w14:schemeClr w14:val="tx1"/>
                  </w14:solidFill>
                </w14:textFill>
              </w:rPr>
              <w:t>破坏</w:t>
            </w:r>
            <w:r>
              <w:rPr>
                <w:rFonts w:hint="default" w:ascii="Times New Roman" w:hAnsi="Times New Roman" w:cs="Times New Roman"/>
                <w:color w:val="000000" w:themeColor="text1"/>
                <w:sz w:val="21"/>
                <w:szCs w:val="20"/>
                <w14:textFill>
                  <w14:solidFill>
                    <w14:schemeClr w14:val="tx1"/>
                  </w14:solidFill>
                </w14:textFill>
              </w:rPr>
              <w:t>面积</w:t>
            </w:r>
          </w:p>
        </w:tc>
        <w:tc>
          <w:tcPr>
            <w:tcW w:w="2040" w:type="dxa"/>
            <w:noWrap w:val="0"/>
            <w:vAlign w:val="center"/>
          </w:tcPr>
          <w:p w14:paraId="0FB353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&gt;1.0hm</w:t>
            </w:r>
            <w:r>
              <w:rPr>
                <w:rFonts w:hint="default" w:ascii="Times New Roman" w:hAnsi="Times New Roman" w:cs="Times New Roman"/>
                <w:color w:val="000000" w:themeColor="text1"/>
                <w:sz w:val="21"/>
                <w:szCs w:val="20"/>
                <w:vertAlign w:val="superscript"/>
                <w14:textFill>
                  <w14:solidFill>
                    <w14:schemeClr w14:val="tx1"/>
                  </w14:solidFill>
                </w14:textFill>
              </w:rPr>
              <w:t>2</w:t>
            </w:r>
          </w:p>
        </w:tc>
        <w:tc>
          <w:tcPr>
            <w:tcW w:w="1170" w:type="dxa"/>
            <w:vMerge w:val="continue"/>
            <w:tcBorders>
              <w:right w:val="single" w:color="auto" w:sz="4" w:space="0"/>
            </w:tcBorders>
            <w:noWrap w:val="0"/>
            <w:vAlign w:val="center"/>
          </w:tcPr>
          <w:p w14:paraId="3DA5E2AB">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201" w:type="dxa"/>
            <w:vMerge w:val="continue"/>
            <w:tcBorders>
              <w:left w:val="single" w:color="auto" w:sz="4" w:space="0"/>
            </w:tcBorders>
            <w:noWrap w:val="0"/>
            <w:vAlign w:val="center"/>
          </w:tcPr>
          <w:p w14:paraId="21BE7FBC">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4F57A60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1568" w:type="dxa"/>
            <w:vMerge w:val="continue"/>
            <w:noWrap w:val="0"/>
            <w:vAlign w:val="center"/>
          </w:tcPr>
          <w:p w14:paraId="10E4A0A4">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415" w:type="dxa"/>
            <w:noWrap w:val="0"/>
            <w:vAlign w:val="center"/>
          </w:tcPr>
          <w:p w14:paraId="60B73A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cs="Times New Roman"/>
                <w:color w:val="000000" w:themeColor="text1"/>
                <w:sz w:val="21"/>
                <w:szCs w:val="20"/>
                <w:lang w:val="en-US" w:eastAsia="zh-CN"/>
                <w14:textFill>
                  <w14:solidFill>
                    <w14:schemeClr w14:val="tx1"/>
                  </w14:solidFill>
                </w14:textFill>
              </w:rPr>
              <w:t>最大深度</w:t>
            </w:r>
          </w:p>
        </w:tc>
        <w:tc>
          <w:tcPr>
            <w:tcW w:w="2040" w:type="dxa"/>
            <w:noWrap w:val="0"/>
            <w:vAlign w:val="center"/>
          </w:tcPr>
          <w:p w14:paraId="169BD4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10-20m</w:t>
            </w:r>
          </w:p>
        </w:tc>
        <w:tc>
          <w:tcPr>
            <w:tcW w:w="1170" w:type="dxa"/>
            <w:vMerge w:val="continue"/>
            <w:tcBorders>
              <w:right w:val="single" w:color="auto" w:sz="4" w:space="0"/>
            </w:tcBorders>
            <w:noWrap w:val="0"/>
            <w:vAlign w:val="center"/>
          </w:tcPr>
          <w:p w14:paraId="0402812D">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201" w:type="dxa"/>
            <w:vMerge w:val="continue"/>
            <w:tcBorders>
              <w:left w:val="single" w:color="auto" w:sz="4" w:space="0"/>
            </w:tcBorders>
            <w:noWrap w:val="0"/>
            <w:vAlign w:val="center"/>
          </w:tcPr>
          <w:p w14:paraId="64EEA75A">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69239C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1568" w:type="dxa"/>
            <w:vMerge w:val="continue"/>
            <w:noWrap w:val="0"/>
            <w:vAlign w:val="center"/>
          </w:tcPr>
          <w:p w14:paraId="1FF8B21A">
            <w:pPr>
              <w:keepNext w:val="0"/>
              <w:keepLines w:val="0"/>
              <w:suppressLineNumbers w:val="0"/>
              <w:spacing w:before="0" w:beforeAutospacing="0" w:after="0" w:afterAutospacing="0" w:line="240" w:lineRule="auto"/>
              <w:ind w:left="0" w:right="0"/>
              <w:contextualSpacing/>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eastAsia="zh-CN"/>
                <w14:textFill>
                  <w14:solidFill>
                    <w14:schemeClr w14:val="tx1"/>
                  </w14:solidFill>
                </w14:textFill>
              </w:rPr>
              <w:t xml:space="preserve"> </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 xml:space="preserve">                                     </w:t>
            </w:r>
          </w:p>
        </w:tc>
        <w:tc>
          <w:tcPr>
            <w:tcW w:w="2415" w:type="dxa"/>
            <w:noWrap w:val="0"/>
            <w:vAlign w:val="center"/>
          </w:tcPr>
          <w:p w14:paraId="046556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边坡规整情况</w:t>
            </w:r>
          </w:p>
        </w:tc>
        <w:tc>
          <w:tcPr>
            <w:tcW w:w="2040" w:type="dxa"/>
            <w:noWrap w:val="0"/>
            <w:vAlign w:val="center"/>
          </w:tcPr>
          <w:p w14:paraId="30DA36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欠规整</w:t>
            </w:r>
          </w:p>
        </w:tc>
        <w:tc>
          <w:tcPr>
            <w:tcW w:w="1170" w:type="dxa"/>
            <w:vMerge w:val="continue"/>
            <w:tcBorders>
              <w:right w:val="single" w:color="auto" w:sz="4" w:space="0"/>
            </w:tcBorders>
            <w:noWrap w:val="0"/>
            <w:vAlign w:val="center"/>
          </w:tcPr>
          <w:p w14:paraId="0E1BB3A5">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201" w:type="dxa"/>
            <w:vMerge w:val="continue"/>
            <w:tcBorders>
              <w:left w:val="single" w:color="auto" w:sz="4" w:space="0"/>
            </w:tcBorders>
            <w:noWrap w:val="0"/>
            <w:vAlign w:val="center"/>
          </w:tcPr>
          <w:p w14:paraId="1DA90EE5">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bl>
    <w:p w14:paraId="7ECC6B4A">
      <w:pPr>
        <w:keepNext w:val="0"/>
        <w:keepLines w:val="0"/>
        <w:pageBreakBefore w:val="0"/>
        <w:widowControl w:val="0"/>
        <w:tabs>
          <w:tab w:val="left" w:pos="1300"/>
        </w:tabs>
        <w:kinsoku/>
        <w:wordWrap/>
        <w:overflowPunct/>
        <w:topLinePunct w:val="0"/>
        <w:autoSpaceDE/>
        <w:autoSpaceDN/>
        <w:bidi w:val="0"/>
        <w:adjustRightInd/>
        <w:snapToGrid/>
        <w:spacing w:before="157" w:beforeLines="50"/>
        <w:jc w:val="center"/>
        <w:textAlignment w:val="auto"/>
        <w:rPr>
          <w:rFonts w:hint="eastAsia" w:ascii="宋体" w:hAnsi="宋体" w:eastAsia="宋体" w:cs="宋体"/>
          <w:color w:val="000000" w:themeColor="text1"/>
          <w:sz w:val="28"/>
          <w:szCs w:val="28"/>
          <w:lang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w:t>
      </w:r>
    </w:p>
    <w:p w14:paraId="033CE6BB">
      <w:pPr>
        <w:tabs>
          <w:tab w:val="left" w:pos="1300"/>
        </w:tabs>
        <w:spacing w:line="360" w:lineRule="auto"/>
        <w:jc w:val="center"/>
        <w:rPr>
          <w:rFonts w:hint="eastAsia" w:ascii="黑体" w:hAnsi="黑体" w:eastAsia="黑体" w:cs="黑体"/>
          <w:b w:val="0"/>
          <w:bCs w:val="0"/>
          <w:color w:val="000000" w:themeColor="text1"/>
          <w:sz w:val="24"/>
          <w:szCs w:val="24"/>
          <w:lang w:val="en-US" w:eastAsia="zh-CN"/>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照片3-</w:t>
      </w:r>
      <w:r>
        <w:rPr>
          <w:rFonts w:hint="eastAsia" w:ascii="黑体" w:hAnsi="黑体" w:eastAsia="黑体" w:cs="黑体"/>
          <w:b w:val="0"/>
          <w:bCs w:val="0"/>
          <w:color w:val="000000" w:themeColor="text1"/>
          <w:sz w:val="24"/>
          <w:szCs w:val="24"/>
          <w:lang w:val="en-US" w:eastAsia="zh-CN"/>
          <w14:textFill>
            <w14:solidFill>
              <w14:schemeClr w14:val="tx1"/>
            </w14:solidFill>
          </w14:textFill>
        </w:rPr>
        <w:t>5</w:t>
      </w:r>
      <w:r>
        <w:rPr>
          <w:rFonts w:hint="eastAsia" w:ascii="黑体" w:hAnsi="黑体" w:eastAsia="黑体" w:cs="黑体"/>
          <w:b w:val="0"/>
          <w:bCs w:val="0"/>
          <w:color w:val="000000" w:themeColor="text1"/>
          <w:sz w:val="24"/>
          <w:szCs w:val="24"/>
          <w14:textFill>
            <w14:solidFill>
              <w14:schemeClr w14:val="tx1"/>
            </w14:solidFill>
          </w14:textFill>
        </w:rPr>
        <w:t xml:space="preserve">  露天采场</w:t>
      </w:r>
      <w:r>
        <w:rPr>
          <w:rFonts w:hint="eastAsia" w:ascii="黑体" w:hAnsi="黑体" w:eastAsia="黑体" w:cs="黑体"/>
          <w:b w:val="0"/>
          <w:bCs w:val="0"/>
          <w:color w:val="000000" w:themeColor="text1"/>
          <w:sz w:val="24"/>
          <w:szCs w:val="24"/>
          <w:lang w:val="en-US" w:eastAsia="zh-CN"/>
          <w14:textFill>
            <w14:solidFill>
              <w14:schemeClr w14:val="tx1"/>
            </w14:solidFill>
          </w14:textFill>
        </w:rPr>
        <w:t>1</w:t>
      </w:r>
    </w:p>
    <w:p w14:paraId="68D378E0">
      <w:pPr>
        <w:keepNext w:val="0"/>
        <w:keepLines w:val="0"/>
        <w:pageBreakBefore w:val="0"/>
        <w:widowControl/>
        <w:kinsoku/>
        <w:wordWrap/>
        <w:overflowPunct/>
        <w:topLinePunct w:val="0"/>
        <w:autoSpaceDE/>
        <w:autoSpaceDN/>
        <w:bidi w:val="0"/>
        <w:adjustRightInd w:val="0"/>
        <w:snapToGrid w:val="0"/>
        <w:spacing w:after="0" w:line="360" w:lineRule="auto"/>
        <w:ind w:left="0" w:firstLine="562" w:firstLineChars="200"/>
        <w:textAlignment w:val="auto"/>
        <w:outlineLvl w:val="9"/>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r>
        <w:rPr>
          <w:rFonts w:hint="default" w:ascii="Times New Roman" w:hAnsi="Times New Roman" w:cs="Times New Roman"/>
          <w:b/>
          <w:bCs/>
          <w:color w:val="000000" w:themeColor="text1"/>
          <w:sz w:val="28"/>
          <w:szCs w:val="28"/>
          <w:lang w:eastAsia="zh-CN"/>
          <w14:textFill>
            <w14:solidFill>
              <w14:schemeClr w14:val="tx1"/>
            </w14:solidFill>
          </w14:textFill>
        </w:rPr>
        <w:t>（</w:t>
      </w:r>
      <w:r>
        <w:rPr>
          <w:rFonts w:hint="default" w:ascii="Times New Roman" w:hAnsi="Times New Roman" w:cs="Times New Roman"/>
          <w:b/>
          <w:bCs/>
          <w:color w:val="000000" w:themeColor="text1"/>
          <w:sz w:val="28"/>
          <w:szCs w:val="28"/>
          <w:lang w:val="en-US" w:eastAsia="zh-CN"/>
          <w14:textFill>
            <w14:solidFill>
              <w14:schemeClr w14:val="tx1"/>
            </w14:solidFill>
          </w14:textFill>
        </w:rPr>
        <w:t>2</w:t>
      </w:r>
      <w:r>
        <w:rPr>
          <w:rFonts w:hint="default" w:ascii="Times New Roman" w:hAnsi="Times New Roman" w:cs="Times New Roman"/>
          <w:b/>
          <w:bCs/>
          <w:color w:val="000000" w:themeColor="text1"/>
          <w:sz w:val="28"/>
          <w:szCs w:val="28"/>
          <w:lang w:eastAsia="zh-CN"/>
          <w14:textFill>
            <w14:solidFill>
              <w14:schemeClr w14:val="tx1"/>
            </w14:solidFill>
          </w14:textFill>
        </w:rPr>
        <w:t>）</w:t>
      </w:r>
      <w:r>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t>露天采场2</w:t>
      </w:r>
    </w:p>
    <w:p w14:paraId="4C4706B9">
      <w:pPr>
        <w:spacing w:line="360" w:lineRule="auto"/>
        <w:ind w:firstLine="560" w:firstLineChars="200"/>
        <w:contextualSpacing/>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矿山前期开采已形成露天采场2，</w:t>
      </w:r>
      <w:r>
        <w:rPr>
          <w:rFonts w:hint="eastAsia"/>
          <w:color w:val="000000" w:themeColor="text1"/>
          <w:sz w:val="28"/>
          <w:szCs w:val="21"/>
          <w:lang w:val="en-US" w:eastAsia="zh-CN"/>
          <w14:textFill>
            <w14:solidFill>
              <w14:schemeClr w14:val="tx1"/>
            </w14:solidFill>
          </w14:textFill>
        </w:rPr>
        <w:t>挖损</w:t>
      </w:r>
      <w:r>
        <w:rPr>
          <w:rFonts w:hint="eastAsia" w:ascii="Times New Roman" w:hAnsi="Times New Roman"/>
          <w:color w:val="000000" w:themeColor="text1"/>
          <w:sz w:val="28"/>
          <w:szCs w:val="21"/>
          <w:lang w:val="en-US" w:eastAsia="zh-CN"/>
          <w14:textFill>
            <w14:solidFill>
              <w14:schemeClr w14:val="tx1"/>
            </w14:solidFill>
          </w14:textFill>
        </w:rPr>
        <w:t>面积</w:t>
      </w:r>
      <w:r>
        <w:rPr>
          <w:rFonts w:hint="default" w:ascii="Times New Roman" w:hAnsi="Times New Roman" w:eastAsia="宋体" w:cs="Times New Roman"/>
          <w:color w:val="000000" w:themeColor="text1"/>
          <w:sz w:val="28"/>
          <w:szCs w:val="28"/>
          <w14:textFill>
            <w14:solidFill>
              <w14:schemeClr w14:val="tx1"/>
            </w14:solidFill>
          </w14:textFill>
        </w:rPr>
        <w:t>1.5431hm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采场呈不规则状，采场长171m，宽64-126m，边坡高度约1～6m，采场边坡角为20°～65°，开采标高为约480.22～488.87m。采场内堆积有部分废土，破坏了地形地貌景观场地的建设破坏了地形地貌景观和地表植被，对矿区地形地貌景观破坏程度为严重（见照片3-</w:t>
      </w:r>
      <w:r>
        <w:rPr>
          <w:rFonts w:hint="eastAsia" w:ascii="Times New Roman" w:hAnsi="Times New Roman" w:cs="Times New Roman"/>
          <w:color w:val="000000" w:themeColor="text1"/>
          <w:sz w:val="28"/>
          <w:szCs w:val="28"/>
          <w:lang w:val="en-US" w:eastAsia="zh-CN"/>
          <w14:textFill>
            <w14:solidFill>
              <w14:schemeClr w14:val="tx1"/>
            </w14:solidFill>
          </w14:textFill>
        </w:rPr>
        <w:t>6</w:t>
      </w:r>
      <w:r>
        <w:rPr>
          <w:rFonts w:hint="default" w:ascii="Times New Roman" w:hAnsi="Times New Roman" w:eastAsia="宋体" w:cs="Times New Roman"/>
          <w:color w:val="000000" w:themeColor="text1"/>
          <w:sz w:val="28"/>
          <w:szCs w:val="28"/>
          <w14:textFill>
            <w14:solidFill>
              <w14:schemeClr w14:val="tx1"/>
            </w14:solidFill>
          </w14:textFill>
        </w:rPr>
        <w:t>）。</w:t>
      </w:r>
    </w:p>
    <w:p w14:paraId="4A1738CC">
      <w:pPr>
        <w:keepNext w:val="0"/>
        <w:keepLines w:val="0"/>
        <w:pageBreakBefore w:val="0"/>
        <w:widowControl/>
        <w:kinsoku/>
        <w:wordWrap/>
        <w:overflowPunct/>
        <w:topLinePunct w:val="0"/>
        <w:autoSpaceDE/>
        <w:autoSpaceDN/>
        <w:bidi w:val="0"/>
        <w:adjustRightInd/>
        <w:snapToGrid/>
        <w:spacing w:after="0" w:line="360" w:lineRule="auto"/>
        <w:contextualSpacing/>
        <w:jc w:val="center"/>
        <w:textAlignment w:val="auto"/>
        <w:rPr>
          <w:rFonts w:hint="eastAsia" w:ascii="Times New Roman" w:hAnsi="Times New Roman" w:eastAsia="黑体" w:cs="Times New Roman"/>
          <w:color w:val="000000" w:themeColor="text1"/>
          <w:sz w:val="24"/>
          <w:lang w:eastAsia="zh-CN"/>
          <w14:textFill>
            <w14:solidFill>
              <w14:schemeClr w14:val="tx1"/>
            </w14:solidFill>
          </w14:textFill>
        </w:rPr>
      </w:pPr>
      <w:r>
        <w:rPr>
          <w:rFonts w:hint="default" w:ascii="Times New Roman" w:hAnsi="Times New Roman" w:eastAsia="黑体" w:cs="Times New Roman"/>
          <w:color w:val="000000" w:themeColor="text1"/>
          <w:sz w:val="24"/>
          <w14:textFill>
            <w14:solidFill>
              <w14:schemeClr w14:val="tx1"/>
            </w14:solidFill>
          </w14:textFill>
        </w:rPr>
        <w:t>表3-</w:t>
      </w:r>
      <w:r>
        <w:rPr>
          <w:rFonts w:hint="eastAsia" w:eastAsia="黑体" w:cs="Times New Roman"/>
          <w:color w:val="000000" w:themeColor="text1"/>
          <w:sz w:val="24"/>
          <w:lang w:val="en-US" w:eastAsia="zh-CN"/>
          <w14:textFill>
            <w14:solidFill>
              <w14:schemeClr w14:val="tx1"/>
            </w14:solidFill>
          </w14:textFill>
        </w:rPr>
        <w:t>4</w:t>
      </w:r>
      <w:r>
        <w:rPr>
          <w:rFonts w:hint="default" w:ascii="Times New Roman" w:hAnsi="Times New Roman" w:eastAsia="黑体" w:cs="Times New Roman"/>
          <w:color w:val="000000" w:themeColor="text1"/>
          <w:sz w:val="24"/>
          <w14:textFill>
            <w14:solidFill>
              <w14:schemeClr w14:val="tx1"/>
            </w14:solidFill>
          </w14:textFill>
        </w:rPr>
        <w:t xml:space="preserve">  地形地貌景观破坏程度评价表</w:t>
      </w:r>
      <w:r>
        <w:rPr>
          <w:rFonts w:hint="eastAsia" w:ascii="Times New Roman" w:hAnsi="Times New Roman" w:eastAsia="黑体" w:cs="Times New Roman"/>
          <w:color w:val="000000" w:themeColor="text1"/>
          <w:sz w:val="24"/>
          <w:lang w:eastAsia="zh-CN"/>
          <w14:textFill>
            <w14:solidFill>
              <w14:schemeClr w14:val="tx1"/>
            </w14:solidFill>
          </w14:textFill>
        </w:rPr>
        <w:t>（</w:t>
      </w:r>
      <w:r>
        <w:rPr>
          <w:rFonts w:hint="eastAsia" w:ascii="Times New Roman" w:hAnsi="Times New Roman" w:eastAsia="黑体" w:cs="Times New Roman"/>
          <w:color w:val="000000" w:themeColor="text1"/>
          <w:sz w:val="24"/>
          <w:lang w:val="en-US" w:eastAsia="zh-CN"/>
          <w14:textFill>
            <w14:solidFill>
              <w14:schemeClr w14:val="tx1"/>
            </w14:solidFill>
          </w14:textFill>
        </w:rPr>
        <w:t>挖损</w:t>
      </w:r>
      <w:r>
        <w:rPr>
          <w:rFonts w:hint="eastAsia" w:ascii="Times New Roman" w:hAnsi="Times New Roman" w:eastAsia="黑体" w:cs="Times New Roman"/>
          <w:color w:val="000000" w:themeColor="text1"/>
          <w:sz w:val="24"/>
          <w:lang w:eastAsia="zh-CN"/>
          <w14:textFill>
            <w14:solidFill>
              <w14:schemeClr w14:val="tx1"/>
            </w14:solidFill>
          </w14:textFill>
        </w:rPr>
        <w:t>）</w:t>
      </w:r>
    </w:p>
    <w:tbl>
      <w:tblPr>
        <w:tblStyle w:val="30"/>
        <w:tblW w:w="8394"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8"/>
        <w:gridCol w:w="2415"/>
        <w:gridCol w:w="2040"/>
        <w:gridCol w:w="1170"/>
        <w:gridCol w:w="1201"/>
      </w:tblGrid>
      <w:tr w14:paraId="389F826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tblHeader/>
          <w:jc w:val="center"/>
        </w:trPr>
        <w:tc>
          <w:tcPr>
            <w:tcW w:w="1568" w:type="dxa"/>
            <w:noWrap w:val="0"/>
            <w:vAlign w:val="center"/>
          </w:tcPr>
          <w:p w14:paraId="09505C78">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评价单元</w:t>
            </w:r>
          </w:p>
        </w:tc>
        <w:tc>
          <w:tcPr>
            <w:tcW w:w="2415" w:type="dxa"/>
            <w:noWrap w:val="0"/>
            <w:vAlign w:val="center"/>
          </w:tcPr>
          <w:p w14:paraId="1084890B">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评价因子</w:t>
            </w:r>
          </w:p>
        </w:tc>
        <w:tc>
          <w:tcPr>
            <w:tcW w:w="2040" w:type="dxa"/>
            <w:noWrap w:val="0"/>
            <w:vAlign w:val="center"/>
          </w:tcPr>
          <w:p w14:paraId="4AB148C4">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损毁程度</w:t>
            </w:r>
          </w:p>
        </w:tc>
        <w:tc>
          <w:tcPr>
            <w:tcW w:w="1170" w:type="dxa"/>
            <w:tcBorders>
              <w:right w:val="single" w:color="auto" w:sz="4" w:space="0"/>
            </w:tcBorders>
            <w:noWrap w:val="0"/>
            <w:vAlign w:val="center"/>
          </w:tcPr>
          <w:p w14:paraId="562D9B14">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得分</w:t>
            </w:r>
          </w:p>
        </w:tc>
        <w:tc>
          <w:tcPr>
            <w:tcW w:w="1201" w:type="dxa"/>
            <w:tcBorders>
              <w:right w:val="single" w:color="auto" w:sz="4" w:space="0"/>
            </w:tcBorders>
            <w:noWrap w:val="0"/>
            <w:vAlign w:val="center"/>
          </w:tcPr>
          <w:p w14:paraId="1D10F269">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评价结果</w:t>
            </w:r>
          </w:p>
        </w:tc>
      </w:tr>
      <w:tr w14:paraId="03A8E2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1568" w:type="dxa"/>
            <w:vMerge w:val="restart"/>
            <w:noWrap w:val="0"/>
            <w:vAlign w:val="center"/>
          </w:tcPr>
          <w:p w14:paraId="0C842B4B">
            <w:pPr>
              <w:keepNext w:val="0"/>
              <w:keepLines w:val="0"/>
              <w:suppressLineNumbers w:val="0"/>
              <w:spacing w:before="0" w:beforeAutospacing="0" w:after="0" w:afterAutospacing="0" w:line="240" w:lineRule="auto"/>
              <w:ind w:left="0" w:right="0"/>
              <w:contextualSpacing/>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露天采</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场</w:t>
            </w:r>
            <w:r>
              <w:rPr>
                <w:rFonts w:hint="eastAsia" w:cs="Times New Roman"/>
                <w:color w:val="000000" w:themeColor="text1"/>
                <w:sz w:val="21"/>
                <w:szCs w:val="21"/>
                <w:highlight w:val="none"/>
                <w:lang w:val="en-US" w:eastAsia="zh-CN"/>
                <w14:textFill>
                  <w14:solidFill>
                    <w14:schemeClr w14:val="tx1"/>
                  </w14:solidFill>
                </w14:textFill>
              </w:rPr>
              <w:t>2</w:t>
            </w:r>
          </w:p>
        </w:tc>
        <w:tc>
          <w:tcPr>
            <w:tcW w:w="2415" w:type="dxa"/>
            <w:noWrap w:val="0"/>
            <w:vAlign w:val="center"/>
          </w:tcPr>
          <w:p w14:paraId="1EAB2A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区位条件</w:t>
            </w:r>
          </w:p>
        </w:tc>
        <w:tc>
          <w:tcPr>
            <w:tcW w:w="2040" w:type="dxa"/>
            <w:noWrap w:val="0"/>
            <w:vAlign w:val="center"/>
          </w:tcPr>
          <w:p w14:paraId="6146428E">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人类活动中等区</w:t>
            </w:r>
          </w:p>
        </w:tc>
        <w:tc>
          <w:tcPr>
            <w:tcW w:w="1170" w:type="dxa"/>
            <w:vMerge w:val="restart"/>
            <w:tcBorders>
              <w:right w:val="single" w:color="auto" w:sz="4" w:space="0"/>
            </w:tcBorders>
            <w:noWrap w:val="0"/>
            <w:vAlign w:val="center"/>
          </w:tcPr>
          <w:p w14:paraId="50D55775">
            <w:pPr>
              <w:keepNext w:val="0"/>
              <w:keepLines w:val="0"/>
              <w:suppressLineNumbers w:val="0"/>
              <w:spacing w:before="0" w:beforeAutospacing="0" w:after="0" w:afterAutospacing="0" w:line="240" w:lineRule="auto"/>
              <w:ind w:left="0" w:right="0"/>
              <w:contextualSpacing/>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2.1</w:t>
            </w:r>
          </w:p>
        </w:tc>
        <w:tc>
          <w:tcPr>
            <w:tcW w:w="1201" w:type="dxa"/>
            <w:vMerge w:val="restart"/>
            <w:tcBorders>
              <w:left w:val="single" w:color="auto" w:sz="4" w:space="0"/>
            </w:tcBorders>
            <w:noWrap w:val="0"/>
            <w:vAlign w:val="center"/>
          </w:tcPr>
          <w:p w14:paraId="25C8675D">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eastAsia="zh-CN"/>
                <w14:textFill>
                  <w14:solidFill>
                    <w14:schemeClr w14:val="tx1"/>
                  </w14:solidFill>
                </w14:textFill>
              </w:rPr>
              <w:t>严重</w:t>
            </w:r>
          </w:p>
        </w:tc>
      </w:tr>
      <w:tr w14:paraId="765FAE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1568" w:type="dxa"/>
            <w:vMerge w:val="continue"/>
            <w:noWrap w:val="0"/>
            <w:vAlign w:val="center"/>
          </w:tcPr>
          <w:p w14:paraId="0D46F1FA">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415" w:type="dxa"/>
            <w:noWrap w:val="0"/>
            <w:vAlign w:val="center"/>
          </w:tcPr>
          <w:p w14:paraId="38B299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可视程度</w:t>
            </w:r>
          </w:p>
        </w:tc>
        <w:tc>
          <w:tcPr>
            <w:tcW w:w="2040" w:type="dxa"/>
            <w:noWrap w:val="0"/>
            <w:vAlign w:val="center"/>
          </w:tcPr>
          <w:p w14:paraId="0DEE7BF7">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局部可视</w:t>
            </w:r>
          </w:p>
        </w:tc>
        <w:tc>
          <w:tcPr>
            <w:tcW w:w="1170" w:type="dxa"/>
            <w:vMerge w:val="continue"/>
            <w:tcBorders>
              <w:right w:val="single" w:color="auto" w:sz="4" w:space="0"/>
            </w:tcBorders>
            <w:noWrap w:val="0"/>
            <w:vAlign w:val="center"/>
          </w:tcPr>
          <w:p w14:paraId="3F35B051">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201" w:type="dxa"/>
            <w:vMerge w:val="continue"/>
            <w:tcBorders>
              <w:left w:val="single" w:color="auto" w:sz="4" w:space="0"/>
            </w:tcBorders>
            <w:noWrap w:val="0"/>
            <w:vAlign w:val="center"/>
          </w:tcPr>
          <w:p w14:paraId="6E7C7F40">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5AE070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1568" w:type="dxa"/>
            <w:vMerge w:val="continue"/>
            <w:noWrap w:val="0"/>
            <w:vAlign w:val="center"/>
          </w:tcPr>
          <w:p w14:paraId="505E80D0">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415" w:type="dxa"/>
            <w:noWrap w:val="0"/>
            <w:vAlign w:val="center"/>
          </w:tcPr>
          <w:p w14:paraId="2D7F02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0"/>
                <w:lang w:val="en-US" w:eastAsia="zh-CN"/>
                <w14:textFill>
                  <w14:solidFill>
                    <w14:schemeClr w14:val="tx1"/>
                  </w14:solidFill>
                </w14:textFill>
              </w:rPr>
              <w:t>破坏</w:t>
            </w:r>
            <w:r>
              <w:rPr>
                <w:rFonts w:hint="default" w:ascii="Times New Roman" w:hAnsi="Times New Roman" w:cs="Times New Roman"/>
                <w:color w:val="000000" w:themeColor="text1"/>
                <w:sz w:val="21"/>
                <w:szCs w:val="20"/>
                <w14:textFill>
                  <w14:solidFill>
                    <w14:schemeClr w14:val="tx1"/>
                  </w14:solidFill>
                </w14:textFill>
              </w:rPr>
              <w:t>面积</w:t>
            </w:r>
          </w:p>
        </w:tc>
        <w:tc>
          <w:tcPr>
            <w:tcW w:w="2040" w:type="dxa"/>
            <w:noWrap w:val="0"/>
            <w:vAlign w:val="center"/>
          </w:tcPr>
          <w:p w14:paraId="78D351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&gt;1.0hm</w:t>
            </w:r>
            <w:r>
              <w:rPr>
                <w:rFonts w:hint="default" w:ascii="Times New Roman" w:hAnsi="Times New Roman" w:cs="Times New Roman"/>
                <w:color w:val="000000" w:themeColor="text1"/>
                <w:sz w:val="21"/>
                <w:szCs w:val="20"/>
                <w:vertAlign w:val="superscript"/>
                <w14:textFill>
                  <w14:solidFill>
                    <w14:schemeClr w14:val="tx1"/>
                  </w14:solidFill>
                </w14:textFill>
              </w:rPr>
              <w:t>2</w:t>
            </w:r>
          </w:p>
        </w:tc>
        <w:tc>
          <w:tcPr>
            <w:tcW w:w="1170" w:type="dxa"/>
            <w:vMerge w:val="continue"/>
            <w:tcBorders>
              <w:right w:val="single" w:color="auto" w:sz="4" w:space="0"/>
            </w:tcBorders>
            <w:noWrap w:val="0"/>
            <w:vAlign w:val="center"/>
          </w:tcPr>
          <w:p w14:paraId="5F53B829">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201" w:type="dxa"/>
            <w:vMerge w:val="continue"/>
            <w:tcBorders>
              <w:left w:val="single" w:color="auto" w:sz="4" w:space="0"/>
            </w:tcBorders>
            <w:noWrap w:val="0"/>
            <w:vAlign w:val="center"/>
          </w:tcPr>
          <w:p w14:paraId="2A51D954">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1DEE9A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1568" w:type="dxa"/>
            <w:vMerge w:val="continue"/>
            <w:noWrap w:val="0"/>
            <w:vAlign w:val="center"/>
          </w:tcPr>
          <w:p w14:paraId="54145B5A">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415" w:type="dxa"/>
            <w:noWrap w:val="0"/>
            <w:vAlign w:val="center"/>
          </w:tcPr>
          <w:p w14:paraId="533E0B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cs="Times New Roman"/>
                <w:color w:val="000000" w:themeColor="text1"/>
                <w:sz w:val="21"/>
                <w:szCs w:val="20"/>
                <w:lang w:val="en-US" w:eastAsia="zh-CN"/>
                <w14:textFill>
                  <w14:solidFill>
                    <w14:schemeClr w14:val="tx1"/>
                  </w14:solidFill>
                </w14:textFill>
              </w:rPr>
              <w:t>最大深度</w:t>
            </w:r>
          </w:p>
        </w:tc>
        <w:tc>
          <w:tcPr>
            <w:tcW w:w="2040" w:type="dxa"/>
            <w:noWrap w:val="0"/>
            <w:vAlign w:val="center"/>
          </w:tcPr>
          <w:p w14:paraId="096B74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10-20m</w:t>
            </w:r>
          </w:p>
        </w:tc>
        <w:tc>
          <w:tcPr>
            <w:tcW w:w="1170" w:type="dxa"/>
            <w:vMerge w:val="continue"/>
            <w:tcBorders>
              <w:right w:val="single" w:color="auto" w:sz="4" w:space="0"/>
            </w:tcBorders>
            <w:noWrap w:val="0"/>
            <w:vAlign w:val="center"/>
          </w:tcPr>
          <w:p w14:paraId="19EE9405">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201" w:type="dxa"/>
            <w:vMerge w:val="continue"/>
            <w:tcBorders>
              <w:left w:val="single" w:color="auto" w:sz="4" w:space="0"/>
            </w:tcBorders>
            <w:noWrap w:val="0"/>
            <w:vAlign w:val="center"/>
          </w:tcPr>
          <w:p w14:paraId="6AF52CA5">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02E95C1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1568" w:type="dxa"/>
            <w:vMerge w:val="continue"/>
            <w:noWrap w:val="0"/>
            <w:vAlign w:val="center"/>
          </w:tcPr>
          <w:p w14:paraId="43F4499E">
            <w:pPr>
              <w:keepNext w:val="0"/>
              <w:keepLines w:val="0"/>
              <w:suppressLineNumbers w:val="0"/>
              <w:spacing w:before="0" w:beforeAutospacing="0" w:after="0" w:afterAutospacing="0" w:line="240" w:lineRule="auto"/>
              <w:ind w:left="0" w:right="0"/>
              <w:contextualSpacing/>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eastAsia="zh-CN"/>
                <w14:textFill>
                  <w14:solidFill>
                    <w14:schemeClr w14:val="tx1"/>
                  </w14:solidFill>
                </w14:textFill>
              </w:rPr>
              <w:t xml:space="preserve"> </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 xml:space="preserve">                                     </w:t>
            </w:r>
          </w:p>
        </w:tc>
        <w:tc>
          <w:tcPr>
            <w:tcW w:w="2415" w:type="dxa"/>
            <w:noWrap w:val="0"/>
            <w:vAlign w:val="center"/>
          </w:tcPr>
          <w:p w14:paraId="2C7FC3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边坡规整情况</w:t>
            </w:r>
          </w:p>
        </w:tc>
        <w:tc>
          <w:tcPr>
            <w:tcW w:w="2040" w:type="dxa"/>
            <w:noWrap w:val="0"/>
            <w:vAlign w:val="center"/>
          </w:tcPr>
          <w:p w14:paraId="687437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欠规整</w:t>
            </w:r>
          </w:p>
        </w:tc>
        <w:tc>
          <w:tcPr>
            <w:tcW w:w="1170" w:type="dxa"/>
            <w:vMerge w:val="continue"/>
            <w:tcBorders>
              <w:right w:val="single" w:color="auto" w:sz="4" w:space="0"/>
            </w:tcBorders>
            <w:noWrap w:val="0"/>
            <w:vAlign w:val="center"/>
          </w:tcPr>
          <w:p w14:paraId="50429E10">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201" w:type="dxa"/>
            <w:vMerge w:val="continue"/>
            <w:tcBorders>
              <w:left w:val="single" w:color="auto" w:sz="4" w:space="0"/>
            </w:tcBorders>
            <w:noWrap w:val="0"/>
            <w:vAlign w:val="center"/>
          </w:tcPr>
          <w:p w14:paraId="1F269760">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bl>
    <w:p w14:paraId="5BD9C4CB">
      <w:pPr>
        <w:keepNext w:val="0"/>
        <w:keepLines w:val="0"/>
        <w:pageBreakBefore w:val="0"/>
        <w:widowControl w:val="0"/>
        <w:tabs>
          <w:tab w:val="left" w:pos="1300"/>
        </w:tabs>
        <w:kinsoku/>
        <w:wordWrap/>
        <w:overflowPunct/>
        <w:topLinePunct w:val="0"/>
        <w:autoSpaceDE/>
        <w:autoSpaceDN/>
        <w:bidi w:val="0"/>
        <w:adjustRightInd/>
        <w:snapToGrid/>
        <w:spacing w:before="157" w:beforeLines="50"/>
        <w:jc w:val="center"/>
        <w:textAlignment w:val="auto"/>
        <w:rPr>
          <w:rFonts w:hint="eastAsia" w:ascii="宋体" w:hAnsi="宋体" w:eastAsia="宋体" w:cs="宋体"/>
          <w:color w:val="000000" w:themeColor="text1"/>
          <w:sz w:val="28"/>
          <w:szCs w:val="28"/>
          <w:lang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w:t>
      </w:r>
    </w:p>
    <w:p w14:paraId="4C5F7491">
      <w:pPr>
        <w:tabs>
          <w:tab w:val="left" w:pos="1300"/>
        </w:tabs>
        <w:spacing w:line="360" w:lineRule="auto"/>
        <w:jc w:val="center"/>
        <w:rPr>
          <w:rFonts w:hint="default" w:ascii="黑体" w:hAnsi="黑体" w:eastAsia="黑体" w:cs="黑体"/>
          <w:b w:val="0"/>
          <w:bCs w:val="0"/>
          <w:color w:val="000000" w:themeColor="text1"/>
          <w:sz w:val="24"/>
          <w:szCs w:val="24"/>
          <w:lang w:val="en-US" w:eastAsia="zh-CN"/>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照片3-</w:t>
      </w:r>
      <w:r>
        <w:rPr>
          <w:rFonts w:hint="eastAsia" w:ascii="黑体" w:hAnsi="黑体" w:eastAsia="黑体" w:cs="黑体"/>
          <w:b w:val="0"/>
          <w:bCs w:val="0"/>
          <w:color w:val="000000" w:themeColor="text1"/>
          <w:sz w:val="24"/>
          <w:szCs w:val="24"/>
          <w:lang w:val="en-US" w:eastAsia="zh-CN"/>
          <w14:textFill>
            <w14:solidFill>
              <w14:schemeClr w14:val="tx1"/>
            </w14:solidFill>
          </w14:textFill>
        </w:rPr>
        <w:t>6</w:t>
      </w:r>
      <w:r>
        <w:rPr>
          <w:rFonts w:hint="eastAsia" w:ascii="黑体" w:hAnsi="黑体" w:eastAsia="黑体" w:cs="黑体"/>
          <w:b w:val="0"/>
          <w:bCs w:val="0"/>
          <w:color w:val="000000" w:themeColor="text1"/>
          <w:sz w:val="24"/>
          <w:szCs w:val="24"/>
          <w14:textFill>
            <w14:solidFill>
              <w14:schemeClr w14:val="tx1"/>
            </w14:solidFill>
          </w14:textFill>
        </w:rPr>
        <w:t xml:space="preserve">  </w:t>
      </w:r>
      <w:r>
        <w:rPr>
          <w:rFonts w:hint="eastAsia" w:ascii="黑体" w:hAnsi="黑体" w:eastAsia="黑体" w:cs="黑体"/>
          <w:b w:val="0"/>
          <w:bCs w:val="0"/>
          <w:color w:val="000000" w:themeColor="text1"/>
          <w:sz w:val="24"/>
          <w:szCs w:val="24"/>
          <w:lang w:val="en-US" w:eastAsia="zh-CN"/>
          <w14:textFill>
            <w14:solidFill>
              <w14:schemeClr w14:val="tx1"/>
            </w14:solidFill>
          </w14:textFill>
        </w:rPr>
        <w:t>露天采场2</w:t>
      </w:r>
    </w:p>
    <w:p w14:paraId="72FC5E24">
      <w:pPr>
        <w:spacing w:line="360" w:lineRule="auto"/>
        <w:ind w:firstLine="562" w:firstLineChars="200"/>
        <w:contextualSpacing/>
        <w:rPr>
          <w:rFonts w:hint="default" w:ascii="Times New Roman" w:hAnsi="Times New Roman" w:cs="Times New Roman"/>
          <w:b/>
          <w:bCs/>
          <w:color w:val="000000" w:themeColor="text1"/>
          <w:sz w:val="28"/>
          <w:szCs w:val="28"/>
          <w14:textFill>
            <w14:solidFill>
              <w14:schemeClr w14:val="tx1"/>
            </w14:solidFill>
          </w14:textFill>
        </w:rPr>
      </w:pPr>
      <w:r>
        <w:rPr>
          <w:rFonts w:hint="eastAsia" w:cs="Times New Roman"/>
          <w:b/>
          <w:bCs/>
          <w:color w:val="000000" w:themeColor="text1"/>
          <w:sz w:val="28"/>
          <w:szCs w:val="28"/>
          <w:lang w:eastAsia="zh-CN"/>
          <w14:textFill>
            <w14:solidFill>
              <w14:schemeClr w14:val="tx1"/>
            </w14:solidFill>
          </w14:textFill>
        </w:rPr>
        <w:t>（</w:t>
      </w:r>
      <w:r>
        <w:rPr>
          <w:rFonts w:hint="eastAsia" w:cs="Times New Roman"/>
          <w:b/>
          <w:bCs/>
          <w:color w:val="000000" w:themeColor="text1"/>
          <w:sz w:val="28"/>
          <w:szCs w:val="28"/>
          <w:lang w:val="en-US" w:eastAsia="zh-CN"/>
          <w14:textFill>
            <w14:solidFill>
              <w14:schemeClr w14:val="tx1"/>
            </w14:solidFill>
          </w14:textFill>
        </w:rPr>
        <w:t>3</w:t>
      </w:r>
      <w:r>
        <w:rPr>
          <w:rFonts w:hint="eastAsia" w:cs="Times New Roman"/>
          <w:b/>
          <w:bCs/>
          <w:color w:val="000000" w:themeColor="text1"/>
          <w:sz w:val="28"/>
          <w:szCs w:val="28"/>
          <w:lang w:eastAsia="zh-CN"/>
          <w14:textFill>
            <w14:solidFill>
              <w14:schemeClr w14:val="tx1"/>
            </w14:solidFill>
          </w14:textFill>
        </w:rPr>
        <w:t>）</w:t>
      </w:r>
      <w:r>
        <w:rPr>
          <w:rFonts w:hint="default" w:ascii="Times New Roman" w:hAnsi="Times New Roman" w:cs="Times New Roman"/>
          <w:b/>
          <w:bCs/>
          <w:color w:val="000000" w:themeColor="text1"/>
          <w:sz w:val="28"/>
          <w:szCs w:val="28"/>
          <w14:textFill>
            <w14:solidFill>
              <w14:schemeClr w14:val="tx1"/>
            </w14:solidFill>
          </w14:textFill>
        </w:rPr>
        <w:t>工业场地</w:t>
      </w:r>
    </w:p>
    <w:p w14:paraId="763A2A23">
      <w:pPr>
        <w:spacing w:line="360" w:lineRule="auto"/>
        <w:ind w:firstLine="560" w:firstLineChars="200"/>
        <w:contextualSpacing/>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工业场地位于矿区西侧，占地面积2.8341hm</w:t>
      </w:r>
      <w:r>
        <w:rPr>
          <w:rFonts w:hint="default" w:ascii="Times New Roman" w:hAnsi="Times New Roman" w:cs="Times New Roman"/>
          <w:color w:val="000000" w:themeColor="text1"/>
          <w:sz w:val="28"/>
          <w:szCs w:val="28"/>
          <w:vertAlign w:val="superscript"/>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。场地内含、加工场地、隧道窑、成品砖中转站、仓库等，均为彩钢结构。长212m，宽58m，平均高度5m，建筑占地面积1.2926hm</w:t>
      </w:r>
      <w:r>
        <w:rPr>
          <w:rFonts w:hint="default" w:ascii="Times New Roman" w:hAnsi="Times New Roman" w:cs="Times New Roman"/>
          <w:color w:val="000000" w:themeColor="text1"/>
          <w:sz w:val="28"/>
          <w:szCs w:val="28"/>
          <w:vertAlign w:val="superscript"/>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，场地的建设破坏了地形地貌景观和地表植被，对矿区地形地貌景观破坏程度为较严重（见照片3-</w:t>
      </w:r>
      <w:r>
        <w:rPr>
          <w:rFonts w:hint="eastAsia" w:cs="Times New Roman"/>
          <w:color w:val="000000" w:themeColor="text1"/>
          <w:sz w:val="28"/>
          <w:szCs w:val="28"/>
          <w:lang w:val="en-US" w:eastAsia="zh-CN"/>
          <w14:textFill>
            <w14:solidFill>
              <w14:schemeClr w14:val="tx1"/>
            </w14:solidFill>
          </w14:textFill>
        </w:rPr>
        <w:t>7</w:t>
      </w:r>
      <w:r>
        <w:rPr>
          <w:rFonts w:hint="default" w:ascii="Times New Roman" w:hAnsi="Times New Roman" w:cs="Times New Roman"/>
          <w:color w:val="000000" w:themeColor="text1"/>
          <w:sz w:val="28"/>
          <w:szCs w:val="28"/>
          <w14:textFill>
            <w14:solidFill>
              <w14:schemeClr w14:val="tx1"/>
            </w14:solidFill>
          </w14:textFill>
        </w:rPr>
        <w:t>）。</w:t>
      </w:r>
    </w:p>
    <w:p w14:paraId="2ECF8AA5">
      <w:pPr>
        <w:keepNext w:val="0"/>
        <w:keepLines w:val="0"/>
        <w:pageBreakBefore w:val="0"/>
        <w:widowControl/>
        <w:kinsoku/>
        <w:wordWrap/>
        <w:overflowPunct/>
        <w:topLinePunct w:val="0"/>
        <w:autoSpaceDE/>
        <w:autoSpaceDN/>
        <w:bidi w:val="0"/>
        <w:adjustRightInd/>
        <w:snapToGrid/>
        <w:spacing w:after="0" w:line="360" w:lineRule="auto"/>
        <w:ind w:firstLine="480" w:firstLineChars="200"/>
        <w:contextualSpacing/>
        <w:jc w:val="center"/>
        <w:textAlignment w:val="auto"/>
        <w:rPr>
          <w:rFonts w:hint="default" w:ascii="Times New Roman" w:hAnsi="Times New Roman" w:eastAsia="黑体" w:cs="Times New Roman"/>
          <w:color w:val="000000" w:themeColor="text1"/>
          <w:sz w:val="24"/>
          <w:highlight w:val="none"/>
          <w14:textFill>
            <w14:solidFill>
              <w14:schemeClr w14:val="tx1"/>
            </w14:solidFill>
          </w14:textFill>
        </w:rPr>
      </w:pPr>
      <w:r>
        <w:rPr>
          <w:rFonts w:hint="default" w:ascii="Times New Roman" w:hAnsi="Times New Roman" w:eastAsia="黑体" w:cs="Times New Roman"/>
          <w:color w:val="000000" w:themeColor="text1"/>
          <w:sz w:val="24"/>
          <w:highlight w:val="none"/>
          <w14:textFill>
            <w14:solidFill>
              <w14:schemeClr w14:val="tx1"/>
            </w14:solidFill>
          </w14:textFill>
        </w:rPr>
        <w:t>表3-</w:t>
      </w:r>
      <w:r>
        <w:rPr>
          <w:rFonts w:hint="eastAsia" w:eastAsia="黑体" w:cs="Times New Roman"/>
          <w:color w:val="000000" w:themeColor="text1"/>
          <w:sz w:val="24"/>
          <w:highlight w:val="none"/>
          <w:lang w:val="en-US" w:eastAsia="zh-CN"/>
          <w14:textFill>
            <w14:solidFill>
              <w14:schemeClr w14:val="tx1"/>
            </w14:solidFill>
          </w14:textFill>
        </w:rPr>
        <w:t>5</w:t>
      </w:r>
      <w:r>
        <w:rPr>
          <w:rFonts w:hint="default" w:ascii="Times New Roman" w:hAnsi="Times New Roman" w:eastAsia="黑体" w:cs="Times New Roman"/>
          <w:color w:val="000000" w:themeColor="text1"/>
          <w:sz w:val="24"/>
          <w:highlight w:val="none"/>
          <w14:textFill>
            <w14:solidFill>
              <w14:schemeClr w14:val="tx1"/>
            </w14:solidFill>
          </w14:textFill>
        </w:rPr>
        <w:t xml:space="preserve">  地形地貌景观破坏程度评价表</w:t>
      </w:r>
      <w:r>
        <w:rPr>
          <w:rFonts w:hint="eastAsia" w:ascii="Times New Roman" w:hAnsi="Times New Roman" w:eastAsia="黑体" w:cs="Times New Roman"/>
          <w:color w:val="000000" w:themeColor="text1"/>
          <w:sz w:val="24"/>
          <w:lang w:eastAsia="zh-CN"/>
          <w14:textFill>
            <w14:solidFill>
              <w14:schemeClr w14:val="tx1"/>
            </w14:solidFill>
          </w14:textFill>
        </w:rPr>
        <w:t>（</w:t>
      </w:r>
      <w:r>
        <w:rPr>
          <w:rFonts w:hint="eastAsia" w:ascii="Times New Roman" w:hAnsi="Times New Roman" w:eastAsia="黑体" w:cs="Times New Roman"/>
          <w:color w:val="000000" w:themeColor="text1"/>
          <w:sz w:val="24"/>
          <w:lang w:val="en-US" w:eastAsia="zh-CN"/>
          <w14:textFill>
            <w14:solidFill>
              <w14:schemeClr w14:val="tx1"/>
            </w14:solidFill>
          </w14:textFill>
        </w:rPr>
        <w:t>压占</w:t>
      </w:r>
      <w:r>
        <w:rPr>
          <w:rFonts w:hint="eastAsia" w:ascii="Times New Roman" w:hAnsi="Times New Roman" w:eastAsia="黑体" w:cs="Times New Roman"/>
          <w:color w:val="000000" w:themeColor="text1"/>
          <w:sz w:val="24"/>
          <w:lang w:eastAsia="zh-CN"/>
          <w14:textFill>
            <w14:solidFill>
              <w14:schemeClr w14:val="tx1"/>
            </w14:solidFill>
          </w14:textFill>
        </w:rPr>
        <w:t>）</w:t>
      </w:r>
    </w:p>
    <w:tbl>
      <w:tblPr>
        <w:tblStyle w:val="30"/>
        <w:tblW w:w="8294"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871"/>
        <w:gridCol w:w="2385"/>
        <w:gridCol w:w="1935"/>
        <w:gridCol w:w="945"/>
        <w:gridCol w:w="1158"/>
      </w:tblGrid>
      <w:tr w14:paraId="250C0C9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tblHeader/>
          <w:jc w:val="center"/>
        </w:trPr>
        <w:tc>
          <w:tcPr>
            <w:tcW w:w="1871" w:type="dxa"/>
            <w:noWrap w:val="0"/>
            <w:vAlign w:val="center"/>
          </w:tcPr>
          <w:p w14:paraId="0C713F3E">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评价单元</w:t>
            </w:r>
          </w:p>
        </w:tc>
        <w:tc>
          <w:tcPr>
            <w:tcW w:w="2385" w:type="dxa"/>
            <w:noWrap w:val="0"/>
            <w:vAlign w:val="center"/>
          </w:tcPr>
          <w:p w14:paraId="68FADDD9">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评价因子</w:t>
            </w:r>
          </w:p>
        </w:tc>
        <w:tc>
          <w:tcPr>
            <w:tcW w:w="1935" w:type="dxa"/>
            <w:noWrap w:val="0"/>
            <w:vAlign w:val="center"/>
          </w:tcPr>
          <w:p w14:paraId="0A3A2F1E">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损毁程度</w:t>
            </w:r>
          </w:p>
        </w:tc>
        <w:tc>
          <w:tcPr>
            <w:tcW w:w="945" w:type="dxa"/>
            <w:tcBorders>
              <w:right w:val="single" w:color="auto" w:sz="4" w:space="0"/>
            </w:tcBorders>
            <w:noWrap w:val="0"/>
            <w:vAlign w:val="center"/>
          </w:tcPr>
          <w:p w14:paraId="0E74F282">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得分</w:t>
            </w:r>
          </w:p>
        </w:tc>
        <w:tc>
          <w:tcPr>
            <w:tcW w:w="1158" w:type="dxa"/>
            <w:tcBorders>
              <w:right w:val="single" w:color="auto" w:sz="4" w:space="0"/>
            </w:tcBorders>
            <w:noWrap w:val="0"/>
            <w:vAlign w:val="center"/>
          </w:tcPr>
          <w:p w14:paraId="3DD86B4B">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评价结果</w:t>
            </w:r>
          </w:p>
        </w:tc>
      </w:tr>
      <w:tr w14:paraId="193E0A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1871" w:type="dxa"/>
            <w:vMerge w:val="restart"/>
            <w:noWrap w:val="0"/>
            <w:vAlign w:val="center"/>
          </w:tcPr>
          <w:p w14:paraId="53E3ABAB">
            <w:pPr>
              <w:keepNext w:val="0"/>
              <w:keepLines w:val="0"/>
              <w:suppressLineNumbers w:val="0"/>
              <w:spacing w:before="0" w:beforeAutospacing="0" w:after="0" w:afterAutospacing="0" w:line="240" w:lineRule="auto"/>
              <w:ind w:left="0" w:right="0"/>
              <w:contextualSpacing/>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工业场地</w:t>
            </w:r>
          </w:p>
        </w:tc>
        <w:tc>
          <w:tcPr>
            <w:tcW w:w="2385" w:type="dxa"/>
            <w:noWrap w:val="0"/>
            <w:vAlign w:val="center"/>
          </w:tcPr>
          <w:p w14:paraId="797474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区位条件</w:t>
            </w:r>
          </w:p>
        </w:tc>
        <w:tc>
          <w:tcPr>
            <w:tcW w:w="1935" w:type="dxa"/>
            <w:noWrap w:val="0"/>
            <w:vAlign w:val="center"/>
          </w:tcPr>
          <w:p w14:paraId="6A0B1816">
            <w:pPr>
              <w:keepNext w:val="0"/>
              <w:keepLines w:val="0"/>
              <w:suppressLineNumbers w:val="0"/>
              <w:spacing w:before="0" w:beforeAutospacing="0" w:after="0" w:afterAutospacing="0" w:line="240" w:lineRule="auto"/>
              <w:ind w:left="0" w:leftChars="0" w:right="0" w:rightChars="0" w:firstLine="0" w:firstLineChars="0"/>
              <w:contextualSpacing/>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人类活动中等区</w:t>
            </w:r>
          </w:p>
        </w:tc>
        <w:tc>
          <w:tcPr>
            <w:tcW w:w="945" w:type="dxa"/>
            <w:vMerge w:val="restart"/>
            <w:tcBorders>
              <w:right w:val="single" w:color="auto" w:sz="4" w:space="0"/>
            </w:tcBorders>
            <w:noWrap w:val="0"/>
            <w:vAlign w:val="center"/>
          </w:tcPr>
          <w:p w14:paraId="0CC556AC">
            <w:pPr>
              <w:keepNext w:val="0"/>
              <w:keepLines w:val="0"/>
              <w:suppressLineNumbers w:val="0"/>
              <w:spacing w:before="0" w:beforeAutospacing="0" w:after="0" w:afterAutospacing="0" w:line="240" w:lineRule="auto"/>
              <w:ind w:left="0" w:right="0"/>
              <w:contextualSpacing/>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w:t>
            </w:r>
            <w:r>
              <w:rPr>
                <w:rFonts w:hint="eastAsia" w:cs="Times New Roman"/>
                <w:color w:val="000000" w:themeColor="text1"/>
                <w:sz w:val="21"/>
                <w:szCs w:val="21"/>
                <w:lang w:val="en-US" w:eastAsia="zh-CN"/>
                <w14:textFill>
                  <w14:solidFill>
                    <w14:schemeClr w14:val="tx1"/>
                  </w14:solidFill>
                </w14:textFill>
              </w:rPr>
              <w:t>5</w:t>
            </w:r>
          </w:p>
        </w:tc>
        <w:tc>
          <w:tcPr>
            <w:tcW w:w="1158" w:type="dxa"/>
            <w:vMerge w:val="restart"/>
            <w:tcBorders>
              <w:left w:val="single" w:color="auto" w:sz="4" w:space="0"/>
            </w:tcBorders>
            <w:noWrap w:val="0"/>
            <w:vAlign w:val="center"/>
          </w:tcPr>
          <w:p w14:paraId="7172AE80">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较</w:t>
            </w:r>
            <w:r>
              <w:rPr>
                <w:rFonts w:hint="default" w:ascii="Times New Roman" w:hAnsi="Times New Roman" w:cs="Times New Roman"/>
                <w:color w:val="000000" w:themeColor="text1"/>
                <w:sz w:val="21"/>
                <w:szCs w:val="21"/>
                <w:lang w:eastAsia="zh-CN"/>
                <w14:textFill>
                  <w14:solidFill>
                    <w14:schemeClr w14:val="tx1"/>
                  </w14:solidFill>
                </w14:textFill>
              </w:rPr>
              <w:t>严重</w:t>
            </w:r>
          </w:p>
        </w:tc>
      </w:tr>
      <w:tr w14:paraId="6C41D0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1871" w:type="dxa"/>
            <w:vMerge w:val="continue"/>
            <w:noWrap w:val="0"/>
            <w:vAlign w:val="center"/>
          </w:tcPr>
          <w:p w14:paraId="6AD91D2C">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85" w:type="dxa"/>
            <w:noWrap w:val="0"/>
            <w:vAlign w:val="center"/>
          </w:tcPr>
          <w:p w14:paraId="507CB4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可视程度</w:t>
            </w:r>
          </w:p>
        </w:tc>
        <w:tc>
          <w:tcPr>
            <w:tcW w:w="1935" w:type="dxa"/>
            <w:noWrap w:val="0"/>
            <w:vAlign w:val="center"/>
          </w:tcPr>
          <w:p w14:paraId="42095D11">
            <w:pPr>
              <w:keepNext w:val="0"/>
              <w:keepLines w:val="0"/>
              <w:suppressLineNumbers w:val="0"/>
              <w:spacing w:before="0" w:beforeAutospacing="0" w:after="0" w:afterAutospacing="0" w:line="240" w:lineRule="auto"/>
              <w:ind w:left="0" w:leftChars="0" w:right="0" w:rightChars="0" w:firstLine="0" w:firstLineChars="0"/>
              <w:contextualSpacing/>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局部可视</w:t>
            </w:r>
          </w:p>
        </w:tc>
        <w:tc>
          <w:tcPr>
            <w:tcW w:w="945" w:type="dxa"/>
            <w:vMerge w:val="continue"/>
            <w:tcBorders>
              <w:right w:val="single" w:color="auto" w:sz="4" w:space="0"/>
            </w:tcBorders>
            <w:noWrap w:val="0"/>
            <w:vAlign w:val="center"/>
          </w:tcPr>
          <w:p w14:paraId="54085DCA">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158" w:type="dxa"/>
            <w:vMerge w:val="continue"/>
            <w:tcBorders>
              <w:left w:val="single" w:color="auto" w:sz="4" w:space="0"/>
            </w:tcBorders>
            <w:noWrap w:val="0"/>
            <w:vAlign w:val="center"/>
          </w:tcPr>
          <w:p w14:paraId="42ACE912">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3F2102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1871" w:type="dxa"/>
            <w:vMerge w:val="continue"/>
            <w:noWrap w:val="0"/>
            <w:vAlign w:val="center"/>
          </w:tcPr>
          <w:p w14:paraId="54479C82">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85" w:type="dxa"/>
            <w:noWrap w:val="0"/>
            <w:vAlign w:val="center"/>
          </w:tcPr>
          <w:p w14:paraId="402418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0"/>
                <w:lang w:val="en-US" w:eastAsia="zh-CN"/>
                <w14:textFill>
                  <w14:solidFill>
                    <w14:schemeClr w14:val="tx1"/>
                  </w14:solidFill>
                </w14:textFill>
              </w:rPr>
              <w:t>场地</w:t>
            </w:r>
            <w:r>
              <w:rPr>
                <w:rFonts w:hint="default" w:ascii="Times New Roman" w:hAnsi="Times New Roman" w:cs="Times New Roman"/>
                <w:color w:val="000000" w:themeColor="text1"/>
                <w:sz w:val="21"/>
                <w:szCs w:val="20"/>
                <w14:textFill>
                  <w14:solidFill>
                    <w14:schemeClr w14:val="tx1"/>
                  </w14:solidFill>
                </w14:textFill>
              </w:rPr>
              <w:t>面积</w:t>
            </w:r>
          </w:p>
        </w:tc>
        <w:tc>
          <w:tcPr>
            <w:tcW w:w="1935" w:type="dxa"/>
            <w:noWrap w:val="0"/>
            <w:vAlign w:val="center"/>
          </w:tcPr>
          <w:p w14:paraId="3CED3E5D">
            <w:pPr>
              <w:keepNext w:val="0"/>
              <w:keepLines w:val="0"/>
              <w:suppressLineNumbers w:val="0"/>
              <w:spacing w:before="0" w:beforeAutospacing="0" w:after="0" w:afterAutospacing="0" w:line="240" w:lineRule="auto"/>
              <w:ind w:left="0" w:leftChars="0" w:right="0" w:rightChars="0" w:firstLine="0" w:firstLineChars="0"/>
              <w:contextualSpacing/>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1.0-5.0h</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m</w:t>
            </w:r>
            <w:r>
              <w:rPr>
                <w:rFonts w:hint="default" w:ascii="Times New Roman" w:hAnsi="Times New Roman" w:eastAsia="宋体" w:cs="Times New Roman"/>
                <w:b w:val="0"/>
                <w:bCs w:val="0"/>
                <w:color w:val="000000" w:themeColor="text1"/>
                <w:sz w:val="21"/>
                <w:szCs w:val="21"/>
                <w:highlight w:val="none"/>
                <w:vertAlign w:val="superscript"/>
                <w:lang w:eastAsia="zh-CN"/>
                <w14:textFill>
                  <w14:solidFill>
                    <w14:schemeClr w14:val="tx1"/>
                  </w14:solidFill>
                </w14:textFill>
              </w:rPr>
              <w:t>2</w:t>
            </w:r>
          </w:p>
        </w:tc>
        <w:tc>
          <w:tcPr>
            <w:tcW w:w="945" w:type="dxa"/>
            <w:vMerge w:val="continue"/>
            <w:tcBorders>
              <w:right w:val="single" w:color="auto" w:sz="4" w:space="0"/>
            </w:tcBorders>
            <w:noWrap w:val="0"/>
            <w:vAlign w:val="center"/>
          </w:tcPr>
          <w:p w14:paraId="7147D51E">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158" w:type="dxa"/>
            <w:vMerge w:val="continue"/>
            <w:tcBorders>
              <w:left w:val="single" w:color="auto" w:sz="4" w:space="0"/>
            </w:tcBorders>
            <w:noWrap w:val="0"/>
            <w:vAlign w:val="center"/>
          </w:tcPr>
          <w:p w14:paraId="7CB84973">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7AC82C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1871" w:type="dxa"/>
            <w:vMerge w:val="continue"/>
            <w:noWrap w:val="0"/>
            <w:vAlign w:val="center"/>
          </w:tcPr>
          <w:p w14:paraId="514FE942">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85" w:type="dxa"/>
            <w:noWrap w:val="0"/>
            <w:vAlign w:val="center"/>
          </w:tcPr>
          <w:p w14:paraId="2FD932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eastAsia" w:ascii="Times New Roman" w:hAnsi="Times New Roman" w:cs="Times New Roman"/>
                <w:color w:val="000000" w:themeColor="text1"/>
                <w:sz w:val="21"/>
                <w:szCs w:val="20"/>
                <w:lang w:val="en-US" w:eastAsia="zh-CN"/>
                <w14:textFill>
                  <w14:solidFill>
                    <w14:schemeClr w14:val="tx1"/>
                  </w14:solidFill>
                </w14:textFill>
              </w:rPr>
              <w:t>排土（渣）高度</w:t>
            </w:r>
          </w:p>
        </w:tc>
        <w:tc>
          <w:tcPr>
            <w:tcW w:w="1935" w:type="dxa"/>
            <w:noWrap w:val="0"/>
            <w:vAlign w:val="center"/>
          </w:tcPr>
          <w:p w14:paraId="47A80F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&lt;5m</w:t>
            </w:r>
          </w:p>
        </w:tc>
        <w:tc>
          <w:tcPr>
            <w:tcW w:w="945" w:type="dxa"/>
            <w:vMerge w:val="continue"/>
            <w:tcBorders>
              <w:right w:val="single" w:color="auto" w:sz="4" w:space="0"/>
            </w:tcBorders>
            <w:noWrap w:val="0"/>
            <w:vAlign w:val="center"/>
          </w:tcPr>
          <w:p w14:paraId="04A547C8">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158" w:type="dxa"/>
            <w:vMerge w:val="continue"/>
            <w:tcBorders>
              <w:left w:val="single" w:color="auto" w:sz="4" w:space="0"/>
            </w:tcBorders>
            <w:noWrap w:val="0"/>
            <w:vAlign w:val="center"/>
          </w:tcPr>
          <w:p w14:paraId="07C3AAE2">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27CCAC6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1871" w:type="dxa"/>
            <w:vMerge w:val="continue"/>
            <w:noWrap w:val="0"/>
            <w:vAlign w:val="center"/>
          </w:tcPr>
          <w:p w14:paraId="6F7E8C14">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85" w:type="dxa"/>
            <w:noWrap w:val="0"/>
            <w:vAlign w:val="center"/>
          </w:tcPr>
          <w:p w14:paraId="400CA7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边坡规整情况</w:t>
            </w:r>
          </w:p>
        </w:tc>
        <w:tc>
          <w:tcPr>
            <w:tcW w:w="1935" w:type="dxa"/>
            <w:noWrap w:val="0"/>
            <w:vAlign w:val="center"/>
          </w:tcPr>
          <w:p w14:paraId="14DF30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规整</w:t>
            </w:r>
          </w:p>
        </w:tc>
        <w:tc>
          <w:tcPr>
            <w:tcW w:w="945" w:type="dxa"/>
            <w:vMerge w:val="continue"/>
            <w:tcBorders>
              <w:right w:val="single" w:color="auto" w:sz="4" w:space="0"/>
            </w:tcBorders>
            <w:noWrap w:val="0"/>
            <w:vAlign w:val="center"/>
          </w:tcPr>
          <w:p w14:paraId="5646372E">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158" w:type="dxa"/>
            <w:vMerge w:val="continue"/>
            <w:tcBorders>
              <w:left w:val="single" w:color="auto" w:sz="4" w:space="0"/>
            </w:tcBorders>
            <w:noWrap w:val="0"/>
            <w:vAlign w:val="center"/>
          </w:tcPr>
          <w:p w14:paraId="1B3A56D9">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bl>
    <w:p w14:paraId="306F7D8C">
      <w:pPr>
        <w:keepNext w:val="0"/>
        <w:keepLines w:val="0"/>
        <w:pageBreakBefore w:val="0"/>
        <w:widowControl w:val="0"/>
        <w:kinsoku/>
        <w:wordWrap/>
        <w:overflowPunct/>
        <w:topLinePunct w:val="0"/>
        <w:autoSpaceDE/>
        <w:autoSpaceDN/>
        <w:bidi w:val="0"/>
        <w:adjustRightInd/>
        <w:snapToGrid/>
        <w:spacing w:before="157" w:beforeLines="50"/>
        <w:contextualSpacing/>
        <w:jc w:val="center"/>
        <w:textAlignment w:val="auto"/>
        <w:rPr>
          <w:rFonts w:hint="eastAsia" w:ascii="宋体" w:hAnsi="宋体" w:eastAsia="宋体" w:cs="宋体"/>
          <w:color w:val="000000" w:themeColor="text1"/>
          <w:sz w:val="28"/>
          <w:szCs w:val="28"/>
          <w:lang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w:t>
      </w:r>
    </w:p>
    <w:p w14:paraId="40302F03">
      <w:pPr>
        <w:spacing w:line="360" w:lineRule="auto"/>
        <w:contextualSpacing/>
        <w:jc w:val="center"/>
        <w:rPr>
          <w:rFonts w:hint="eastAsia" w:ascii="黑体" w:hAnsi="黑体" w:eastAsia="黑体" w:cs="黑体"/>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照片3-</w:t>
      </w:r>
      <w:r>
        <w:rPr>
          <w:rFonts w:hint="eastAsia" w:ascii="黑体" w:hAnsi="黑体" w:eastAsia="黑体" w:cs="黑体"/>
          <w:b w:val="0"/>
          <w:bCs w:val="0"/>
          <w:color w:val="000000" w:themeColor="text1"/>
          <w:sz w:val="24"/>
          <w:szCs w:val="24"/>
          <w:lang w:val="en-US" w:eastAsia="zh-CN"/>
          <w14:textFill>
            <w14:solidFill>
              <w14:schemeClr w14:val="tx1"/>
            </w14:solidFill>
          </w14:textFill>
        </w:rPr>
        <w:t>7</w:t>
      </w:r>
      <w:r>
        <w:rPr>
          <w:rFonts w:hint="eastAsia" w:ascii="黑体" w:hAnsi="黑体" w:eastAsia="黑体" w:cs="黑体"/>
          <w:b w:val="0"/>
          <w:bCs w:val="0"/>
          <w:color w:val="000000" w:themeColor="text1"/>
          <w:sz w:val="24"/>
          <w:szCs w:val="24"/>
          <w14:textFill>
            <w14:solidFill>
              <w14:schemeClr w14:val="tx1"/>
            </w14:solidFill>
          </w14:textFill>
        </w:rPr>
        <w:t xml:space="preserve">  工业场地</w:t>
      </w:r>
    </w:p>
    <w:p w14:paraId="2F1B1782">
      <w:pPr>
        <w:pStyle w:val="69"/>
        <w:ind w:firstLine="560"/>
        <w:rPr>
          <w:rFonts w:hint="default"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lang w:eastAsia="zh-CN"/>
          <w14:textFill>
            <w14:solidFill>
              <w14:schemeClr w14:val="tx1"/>
            </w14:solidFill>
          </w14:textFill>
        </w:rPr>
        <w:t>（</w:t>
      </w:r>
      <w:r>
        <w:rPr>
          <w:rFonts w:hint="eastAsia" w:ascii="Times New Roman" w:hAnsi="Times New Roman" w:cs="Times New Roman"/>
          <w:b/>
          <w:bCs/>
          <w:color w:val="000000" w:themeColor="text1"/>
          <w:sz w:val="28"/>
          <w:szCs w:val="28"/>
          <w:lang w:val="en-US" w:eastAsia="zh-CN"/>
          <w14:textFill>
            <w14:solidFill>
              <w14:schemeClr w14:val="tx1"/>
            </w14:solidFill>
          </w14:textFill>
        </w:rPr>
        <w:t>4</w:t>
      </w:r>
      <w:r>
        <w:rPr>
          <w:rFonts w:hint="eastAsia" w:ascii="Times New Roman" w:hAnsi="Times New Roman" w:cs="Times New Roman"/>
          <w:b/>
          <w:bCs/>
          <w:color w:val="000000" w:themeColor="text1"/>
          <w:sz w:val="28"/>
          <w:szCs w:val="28"/>
          <w:lang w:eastAsia="zh-CN"/>
          <w14:textFill>
            <w14:solidFill>
              <w14:schemeClr w14:val="tx1"/>
            </w14:solidFill>
          </w14:textFill>
        </w:rPr>
        <w:t>）</w:t>
      </w:r>
      <w:r>
        <w:rPr>
          <w:rFonts w:hint="default" w:ascii="Times New Roman" w:hAnsi="Times New Roman" w:cs="Times New Roman"/>
          <w:b/>
          <w:bCs/>
          <w:color w:val="000000" w:themeColor="text1"/>
          <w:sz w:val="28"/>
          <w:szCs w:val="28"/>
          <w14:textFill>
            <w14:solidFill>
              <w14:schemeClr w14:val="tx1"/>
            </w14:solidFill>
          </w14:textFill>
        </w:rPr>
        <w:t>成品砖堆放场</w:t>
      </w:r>
    </w:p>
    <w:p w14:paraId="3544CE83">
      <w:pPr>
        <w:pStyle w:val="69"/>
        <w:ind w:firstLine="56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成品砖堆放场位于工业场地北西侧，占地面积1.0550hm</w:t>
      </w:r>
      <w:r>
        <w:rPr>
          <w:rFonts w:hint="default" w:ascii="Times New Roman" w:hAnsi="Times New Roman" w:cs="Times New Roman"/>
          <w:color w:val="000000" w:themeColor="text1"/>
          <w:sz w:val="28"/>
          <w:szCs w:val="28"/>
          <w:vertAlign w:val="superscript"/>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，场地的建设破坏了地形地貌景观和地表植被，对矿区地形地貌景观破坏程度为较严重（见照片3-</w:t>
      </w:r>
      <w:r>
        <w:rPr>
          <w:rFonts w:hint="eastAsia" w:ascii="Times New Roman" w:hAnsi="Times New Roman" w:cs="Times New Roman"/>
          <w:color w:val="000000" w:themeColor="text1"/>
          <w:sz w:val="28"/>
          <w:szCs w:val="28"/>
          <w:lang w:val="en-US" w:eastAsia="zh-CN"/>
          <w14:textFill>
            <w14:solidFill>
              <w14:schemeClr w14:val="tx1"/>
            </w14:solidFill>
          </w14:textFill>
        </w:rPr>
        <w:t>8</w:t>
      </w:r>
      <w:r>
        <w:rPr>
          <w:rFonts w:hint="default" w:ascii="Times New Roman" w:hAnsi="Times New Roman" w:cs="Times New Roman"/>
          <w:color w:val="000000" w:themeColor="text1"/>
          <w:sz w:val="28"/>
          <w:szCs w:val="28"/>
          <w14:textFill>
            <w14:solidFill>
              <w14:schemeClr w14:val="tx1"/>
            </w14:solidFill>
          </w14:textFill>
        </w:rPr>
        <w:t>）。</w:t>
      </w:r>
    </w:p>
    <w:p w14:paraId="508C32B0">
      <w:pPr>
        <w:keepNext w:val="0"/>
        <w:keepLines w:val="0"/>
        <w:pageBreakBefore w:val="0"/>
        <w:widowControl/>
        <w:kinsoku/>
        <w:wordWrap/>
        <w:overflowPunct/>
        <w:topLinePunct w:val="0"/>
        <w:autoSpaceDE/>
        <w:autoSpaceDN/>
        <w:bidi w:val="0"/>
        <w:adjustRightInd/>
        <w:snapToGrid/>
        <w:spacing w:after="0" w:line="360" w:lineRule="auto"/>
        <w:contextualSpacing/>
        <w:jc w:val="center"/>
        <w:textAlignment w:val="auto"/>
        <w:rPr>
          <w:rFonts w:hint="default" w:ascii="Times New Roman" w:hAnsi="Times New Roman" w:eastAsia="黑体" w:cs="Times New Roman"/>
          <w:b w:val="0"/>
          <w:bCs w:val="0"/>
          <w:color w:val="000000" w:themeColor="text1"/>
          <w:sz w:val="24"/>
          <w:highlight w:val="none"/>
          <w14:textFill>
            <w14:solidFill>
              <w14:schemeClr w14:val="tx1"/>
            </w14:solidFill>
          </w14:textFill>
        </w:rPr>
      </w:pPr>
      <w:r>
        <w:rPr>
          <w:rFonts w:hint="default" w:ascii="Times New Roman" w:hAnsi="Times New Roman" w:eastAsia="黑体" w:cs="Times New Roman"/>
          <w:b w:val="0"/>
          <w:bCs w:val="0"/>
          <w:color w:val="000000" w:themeColor="text1"/>
          <w:sz w:val="24"/>
          <w:highlight w:val="none"/>
          <w14:textFill>
            <w14:solidFill>
              <w14:schemeClr w14:val="tx1"/>
            </w14:solidFill>
          </w14:textFill>
        </w:rPr>
        <w:t>表3-</w:t>
      </w:r>
      <w:r>
        <w:rPr>
          <w:rFonts w:hint="eastAsia" w:eastAsia="黑体" w:cs="Times New Roman"/>
          <w:b w:val="0"/>
          <w:bCs w:val="0"/>
          <w:color w:val="000000" w:themeColor="text1"/>
          <w:sz w:val="24"/>
          <w:highlight w:val="none"/>
          <w:lang w:val="en-US" w:eastAsia="zh-CN"/>
          <w14:textFill>
            <w14:solidFill>
              <w14:schemeClr w14:val="tx1"/>
            </w14:solidFill>
          </w14:textFill>
        </w:rPr>
        <w:t>6</w:t>
      </w:r>
      <w:r>
        <w:rPr>
          <w:rFonts w:hint="default" w:ascii="Times New Roman" w:hAnsi="Times New Roman" w:eastAsia="黑体" w:cs="Times New Roman"/>
          <w:b w:val="0"/>
          <w:bCs w:val="0"/>
          <w:color w:val="000000" w:themeColor="text1"/>
          <w:sz w:val="24"/>
          <w:highlight w:val="none"/>
          <w14:textFill>
            <w14:solidFill>
              <w14:schemeClr w14:val="tx1"/>
            </w14:solidFill>
          </w14:textFill>
        </w:rPr>
        <w:t xml:space="preserve">  地形地貌景观破坏程度评价表</w:t>
      </w:r>
      <w:r>
        <w:rPr>
          <w:rFonts w:hint="eastAsia" w:ascii="Times New Roman" w:hAnsi="Times New Roman" w:eastAsia="黑体" w:cs="Times New Roman"/>
          <w:b w:val="0"/>
          <w:bCs w:val="0"/>
          <w:color w:val="000000" w:themeColor="text1"/>
          <w:sz w:val="24"/>
          <w:lang w:eastAsia="zh-CN"/>
          <w14:textFill>
            <w14:solidFill>
              <w14:schemeClr w14:val="tx1"/>
            </w14:solidFill>
          </w14:textFill>
        </w:rPr>
        <w:t>（</w:t>
      </w:r>
      <w:r>
        <w:rPr>
          <w:rFonts w:hint="eastAsia" w:ascii="Times New Roman" w:hAnsi="Times New Roman" w:eastAsia="黑体" w:cs="Times New Roman"/>
          <w:b w:val="0"/>
          <w:bCs w:val="0"/>
          <w:color w:val="000000" w:themeColor="text1"/>
          <w:sz w:val="24"/>
          <w:lang w:val="en-US" w:eastAsia="zh-CN"/>
          <w14:textFill>
            <w14:solidFill>
              <w14:schemeClr w14:val="tx1"/>
            </w14:solidFill>
          </w14:textFill>
        </w:rPr>
        <w:t>压占</w:t>
      </w:r>
      <w:r>
        <w:rPr>
          <w:rFonts w:hint="eastAsia" w:ascii="Times New Roman" w:hAnsi="Times New Roman" w:eastAsia="黑体" w:cs="Times New Roman"/>
          <w:b w:val="0"/>
          <w:bCs w:val="0"/>
          <w:color w:val="000000" w:themeColor="text1"/>
          <w:sz w:val="24"/>
          <w:lang w:eastAsia="zh-CN"/>
          <w14:textFill>
            <w14:solidFill>
              <w14:schemeClr w14:val="tx1"/>
            </w14:solidFill>
          </w14:textFill>
        </w:rPr>
        <w:t>）</w:t>
      </w:r>
    </w:p>
    <w:tbl>
      <w:tblPr>
        <w:tblStyle w:val="30"/>
        <w:tblW w:w="8354"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931"/>
        <w:gridCol w:w="2385"/>
        <w:gridCol w:w="1935"/>
        <w:gridCol w:w="945"/>
        <w:gridCol w:w="1158"/>
      </w:tblGrid>
      <w:tr w14:paraId="4E57EA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blHeader/>
          <w:jc w:val="center"/>
        </w:trPr>
        <w:tc>
          <w:tcPr>
            <w:tcW w:w="1931" w:type="dxa"/>
            <w:noWrap w:val="0"/>
            <w:vAlign w:val="center"/>
          </w:tcPr>
          <w:p w14:paraId="01919B17">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14:textFill>
                  <w14:solidFill>
                    <w14:schemeClr w14:val="tx1"/>
                  </w14:solidFill>
                </w14:textFill>
              </w:rPr>
              <w:t>评价单元</w:t>
            </w:r>
          </w:p>
        </w:tc>
        <w:tc>
          <w:tcPr>
            <w:tcW w:w="2385" w:type="dxa"/>
            <w:noWrap w:val="0"/>
            <w:vAlign w:val="center"/>
          </w:tcPr>
          <w:p w14:paraId="62AADF30">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14:textFill>
                  <w14:solidFill>
                    <w14:schemeClr w14:val="tx1"/>
                  </w14:solidFill>
                </w14:textFill>
              </w:rPr>
              <w:t>评价因子</w:t>
            </w:r>
          </w:p>
        </w:tc>
        <w:tc>
          <w:tcPr>
            <w:tcW w:w="1935" w:type="dxa"/>
            <w:noWrap w:val="0"/>
            <w:vAlign w:val="center"/>
          </w:tcPr>
          <w:p w14:paraId="15AEED57">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14:textFill>
                  <w14:solidFill>
                    <w14:schemeClr w14:val="tx1"/>
                  </w14:solidFill>
                </w14:textFill>
              </w:rPr>
              <w:t>损毁程度</w:t>
            </w:r>
          </w:p>
        </w:tc>
        <w:tc>
          <w:tcPr>
            <w:tcW w:w="945" w:type="dxa"/>
            <w:tcBorders>
              <w:right w:val="single" w:color="auto" w:sz="4" w:space="0"/>
            </w:tcBorders>
            <w:noWrap w:val="0"/>
            <w:vAlign w:val="center"/>
          </w:tcPr>
          <w:p w14:paraId="3ECF3D02">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14:textFill>
                  <w14:solidFill>
                    <w14:schemeClr w14:val="tx1"/>
                  </w14:solidFill>
                </w14:textFill>
              </w:rPr>
              <w:t>得分</w:t>
            </w:r>
          </w:p>
        </w:tc>
        <w:tc>
          <w:tcPr>
            <w:tcW w:w="1158" w:type="dxa"/>
            <w:tcBorders>
              <w:right w:val="single" w:color="auto" w:sz="4" w:space="0"/>
            </w:tcBorders>
            <w:noWrap w:val="0"/>
            <w:vAlign w:val="center"/>
          </w:tcPr>
          <w:p w14:paraId="16277295">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14:textFill>
                  <w14:solidFill>
                    <w14:schemeClr w14:val="tx1"/>
                  </w14:solidFill>
                </w14:textFill>
              </w:rPr>
              <w:t>评价结果</w:t>
            </w:r>
          </w:p>
        </w:tc>
      </w:tr>
      <w:tr w14:paraId="5C56BD5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1931" w:type="dxa"/>
            <w:vMerge w:val="restart"/>
            <w:noWrap w:val="0"/>
            <w:vAlign w:val="center"/>
          </w:tcPr>
          <w:p w14:paraId="68866E5E">
            <w:pPr>
              <w:keepNext w:val="0"/>
              <w:keepLines w:val="0"/>
              <w:suppressLineNumbers w:val="0"/>
              <w:spacing w:before="0" w:beforeAutospacing="0" w:after="0" w:afterAutospacing="0" w:line="240" w:lineRule="auto"/>
              <w:ind w:left="0" w:right="0"/>
              <w:contextualSpacing/>
              <w:jc w:val="center"/>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成品砖堆放场</w:t>
            </w:r>
          </w:p>
        </w:tc>
        <w:tc>
          <w:tcPr>
            <w:tcW w:w="2385" w:type="dxa"/>
            <w:noWrap w:val="0"/>
            <w:vAlign w:val="center"/>
          </w:tcPr>
          <w:p w14:paraId="5202ED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0"/>
                <w14:textFill>
                  <w14:solidFill>
                    <w14:schemeClr w14:val="tx1"/>
                  </w14:solidFill>
                </w14:textFill>
              </w:rPr>
              <w:t>区位条件</w:t>
            </w:r>
          </w:p>
        </w:tc>
        <w:tc>
          <w:tcPr>
            <w:tcW w:w="1935" w:type="dxa"/>
            <w:noWrap w:val="0"/>
            <w:vAlign w:val="center"/>
          </w:tcPr>
          <w:p w14:paraId="2BBC15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人类活动中等区</w:t>
            </w:r>
          </w:p>
        </w:tc>
        <w:tc>
          <w:tcPr>
            <w:tcW w:w="945" w:type="dxa"/>
            <w:vMerge w:val="restart"/>
            <w:tcBorders>
              <w:right w:val="single" w:color="auto" w:sz="4" w:space="0"/>
            </w:tcBorders>
            <w:noWrap w:val="0"/>
            <w:vAlign w:val="center"/>
          </w:tcPr>
          <w:p w14:paraId="7ADDB576">
            <w:pPr>
              <w:keepNext w:val="0"/>
              <w:keepLines w:val="0"/>
              <w:suppressLineNumbers w:val="0"/>
              <w:spacing w:before="0" w:beforeAutospacing="0" w:after="0" w:afterAutospacing="0" w:line="240" w:lineRule="auto"/>
              <w:ind w:left="0" w:right="0"/>
              <w:contextualSpacing/>
              <w:jc w:val="cente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1.</w:t>
            </w:r>
            <w:r>
              <w:rPr>
                <w:rFonts w:hint="eastAsia" w:cs="Times New Roman"/>
                <w:b w:val="0"/>
                <w:bCs w:val="0"/>
                <w:color w:val="000000" w:themeColor="text1"/>
                <w:sz w:val="21"/>
                <w:szCs w:val="21"/>
                <w:lang w:val="en-US" w:eastAsia="zh-CN"/>
                <w14:textFill>
                  <w14:solidFill>
                    <w14:schemeClr w14:val="tx1"/>
                  </w14:solidFill>
                </w14:textFill>
              </w:rPr>
              <w:t>3</w:t>
            </w:r>
          </w:p>
        </w:tc>
        <w:tc>
          <w:tcPr>
            <w:tcW w:w="1158" w:type="dxa"/>
            <w:vMerge w:val="restart"/>
            <w:tcBorders>
              <w:left w:val="single" w:color="auto" w:sz="4" w:space="0"/>
            </w:tcBorders>
            <w:noWrap w:val="0"/>
            <w:vAlign w:val="center"/>
          </w:tcPr>
          <w:p w14:paraId="55C4A487">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较</w:t>
            </w:r>
            <w:r>
              <w:rPr>
                <w:rFonts w:hint="default" w:ascii="Times New Roman" w:hAnsi="Times New Roman" w:cs="Times New Roman"/>
                <w:b w:val="0"/>
                <w:bCs w:val="0"/>
                <w:color w:val="000000" w:themeColor="text1"/>
                <w:sz w:val="21"/>
                <w:szCs w:val="21"/>
                <w:lang w:eastAsia="zh-CN"/>
                <w14:textFill>
                  <w14:solidFill>
                    <w14:schemeClr w14:val="tx1"/>
                  </w14:solidFill>
                </w14:textFill>
              </w:rPr>
              <w:t>严重</w:t>
            </w:r>
          </w:p>
        </w:tc>
      </w:tr>
      <w:tr w14:paraId="1EE81B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1931" w:type="dxa"/>
            <w:vMerge w:val="continue"/>
            <w:noWrap w:val="0"/>
            <w:vAlign w:val="center"/>
          </w:tcPr>
          <w:p w14:paraId="304BADDC">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2385" w:type="dxa"/>
            <w:noWrap w:val="0"/>
            <w:vAlign w:val="center"/>
          </w:tcPr>
          <w:p w14:paraId="243AD9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0"/>
                <w14:textFill>
                  <w14:solidFill>
                    <w14:schemeClr w14:val="tx1"/>
                  </w14:solidFill>
                </w14:textFill>
              </w:rPr>
              <w:t>可视程度</w:t>
            </w:r>
          </w:p>
        </w:tc>
        <w:tc>
          <w:tcPr>
            <w:tcW w:w="1935" w:type="dxa"/>
            <w:noWrap w:val="0"/>
            <w:vAlign w:val="center"/>
          </w:tcPr>
          <w:p w14:paraId="1448FF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不可视</w:t>
            </w:r>
          </w:p>
        </w:tc>
        <w:tc>
          <w:tcPr>
            <w:tcW w:w="945" w:type="dxa"/>
            <w:vMerge w:val="continue"/>
            <w:tcBorders>
              <w:right w:val="single" w:color="auto" w:sz="4" w:space="0"/>
            </w:tcBorders>
            <w:noWrap w:val="0"/>
            <w:vAlign w:val="center"/>
          </w:tcPr>
          <w:p w14:paraId="5DC87AA0">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b w:val="0"/>
                <w:bCs w:val="0"/>
                <w:color w:val="000000" w:themeColor="text1"/>
                <w:sz w:val="21"/>
                <w:szCs w:val="21"/>
                <w14:textFill>
                  <w14:solidFill>
                    <w14:schemeClr w14:val="tx1"/>
                  </w14:solidFill>
                </w14:textFill>
              </w:rPr>
            </w:pPr>
          </w:p>
        </w:tc>
        <w:tc>
          <w:tcPr>
            <w:tcW w:w="1158" w:type="dxa"/>
            <w:vMerge w:val="continue"/>
            <w:tcBorders>
              <w:left w:val="single" w:color="auto" w:sz="4" w:space="0"/>
            </w:tcBorders>
            <w:noWrap w:val="0"/>
            <w:vAlign w:val="center"/>
          </w:tcPr>
          <w:p w14:paraId="4A6AEDA5">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b w:val="0"/>
                <w:bCs w:val="0"/>
                <w:color w:val="000000" w:themeColor="text1"/>
                <w:sz w:val="21"/>
                <w:szCs w:val="21"/>
                <w14:textFill>
                  <w14:solidFill>
                    <w14:schemeClr w14:val="tx1"/>
                  </w14:solidFill>
                </w14:textFill>
              </w:rPr>
            </w:pPr>
          </w:p>
        </w:tc>
      </w:tr>
      <w:tr w14:paraId="261F626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1931" w:type="dxa"/>
            <w:vMerge w:val="continue"/>
            <w:noWrap w:val="0"/>
            <w:vAlign w:val="center"/>
          </w:tcPr>
          <w:p w14:paraId="23CFF84F">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2385" w:type="dxa"/>
            <w:noWrap w:val="0"/>
            <w:vAlign w:val="center"/>
          </w:tcPr>
          <w:p w14:paraId="61EB81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eastAsia" w:ascii="Times New Roman" w:hAnsi="Times New Roman" w:cs="Times New Roman"/>
                <w:b w:val="0"/>
                <w:bCs w:val="0"/>
                <w:color w:val="000000" w:themeColor="text1"/>
                <w:sz w:val="21"/>
                <w:szCs w:val="20"/>
                <w:lang w:val="en-US" w:eastAsia="zh-CN"/>
                <w14:textFill>
                  <w14:solidFill>
                    <w14:schemeClr w14:val="tx1"/>
                  </w14:solidFill>
                </w14:textFill>
              </w:rPr>
              <w:t>场地</w:t>
            </w:r>
            <w:r>
              <w:rPr>
                <w:rFonts w:hint="default" w:ascii="Times New Roman" w:hAnsi="Times New Roman" w:cs="Times New Roman"/>
                <w:b w:val="0"/>
                <w:bCs w:val="0"/>
                <w:color w:val="000000" w:themeColor="text1"/>
                <w:sz w:val="21"/>
                <w:szCs w:val="20"/>
                <w14:textFill>
                  <w14:solidFill>
                    <w14:schemeClr w14:val="tx1"/>
                  </w14:solidFill>
                </w14:textFill>
              </w:rPr>
              <w:t>面积</w:t>
            </w:r>
          </w:p>
        </w:tc>
        <w:tc>
          <w:tcPr>
            <w:tcW w:w="1935" w:type="dxa"/>
            <w:noWrap w:val="0"/>
            <w:vAlign w:val="center"/>
          </w:tcPr>
          <w:p w14:paraId="2DDA33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0"/>
                <w14:textFill>
                  <w14:solidFill>
                    <w14:schemeClr w14:val="tx1"/>
                  </w14:solidFill>
                </w14:textFill>
              </w:rPr>
              <w:t>1.0</w:t>
            </w:r>
            <w:r>
              <w:rPr>
                <w:rFonts w:hint="default" w:ascii="Times New Roman" w:hAnsi="Times New Roman" w:cs="Times New Roman"/>
                <w:b w:val="0"/>
                <w:bCs w:val="0"/>
                <w:color w:val="000000" w:themeColor="text1"/>
                <w:sz w:val="21"/>
                <w:szCs w:val="20"/>
                <w:lang w:val="en-US" w:eastAsia="zh-CN"/>
                <w14:textFill>
                  <w14:solidFill>
                    <w14:schemeClr w14:val="tx1"/>
                  </w14:solidFill>
                </w14:textFill>
              </w:rPr>
              <w:t>-5.0</w:t>
            </w:r>
            <w:r>
              <w:rPr>
                <w:rFonts w:hint="default" w:ascii="Times New Roman" w:hAnsi="Times New Roman" w:cs="Times New Roman"/>
                <w:b w:val="0"/>
                <w:bCs w:val="0"/>
                <w:color w:val="000000" w:themeColor="text1"/>
                <w:sz w:val="21"/>
                <w:szCs w:val="20"/>
                <w14:textFill>
                  <w14:solidFill>
                    <w14:schemeClr w14:val="tx1"/>
                  </w14:solidFill>
                </w14:textFill>
              </w:rPr>
              <w:t>hm</w:t>
            </w:r>
            <w:r>
              <w:rPr>
                <w:rFonts w:hint="default" w:ascii="Times New Roman" w:hAnsi="Times New Roman" w:cs="Times New Roman"/>
                <w:b w:val="0"/>
                <w:bCs w:val="0"/>
                <w:color w:val="000000" w:themeColor="text1"/>
                <w:sz w:val="21"/>
                <w:szCs w:val="20"/>
                <w:vertAlign w:val="superscript"/>
                <w14:textFill>
                  <w14:solidFill>
                    <w14:schemeClr w14:val="tx1"/>
                  </w14:solidFill>
                </w14:textFill>
              </w:rPr>
              <w:t>2</w:t>
            </w:r>
          </w:p>
        </w:tc>
        <w:tc>
          <w:tcPr>
            <w:tcW w:w="945" w:type="dxa"/>
            <w:vMerge w:val="continue"/>
            <w:tcBorders>
              <w:right w:val="single" w:color="auto" w:sz="4" w:space="0"/>
            </w:tcBorders>
            <w:noWrap w:val="0"/>
            <w:vAlign w:val="center"/>
          </w:tcPr>
          <w:p w14:paraId="0192846E">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b w:val="0"/>
                <w:bCs w:val="0"/>
                <w:color w:val="000000" w:themeColor="text1"/>
                <w:sz w:val="21"/>
                <w:szCs w:val="21"/>
                <w14:textFill>
                  <w14:solidFill>
                    <w14:schemeClr w14:val="tx1"/>
                  </w14:solidFill>
                </w14:textFill>
              </w:rPr>
            </w:pPr>
          </w:p>
        </w:tc>
        <w:tc>
          <w:tcPr>
            <w:tcW w:w="1158" w:type="dxa"/>
            <w:vMerge w:val="continue"/>
            <w:tcBorders>
              <w:left w:val="single" w:color="auto" w:sz="4" w:space="0"/>
            </w:tcBorders>
            <w:noWrap w:val="0"/>
            <w:vAlign w:val="center"/>
          </w:tcPr>
          <w:p w14:paraId="64FF1AE4">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b w:val="0"/>
                <w:bCs w:val="0"/>
                <w:color w:val="000000" w:themeColor="text1"/>
                <w:sz w:val="21"/>
                <w:szCs w:val="21"/>
                <w14:textFill>
                  <w14:solidFill>
                    <w14:schemeClr w14:val="tx1"/>
                  </w14:solidFill>
                </w14:textFill>
              </w:rPr>
            </w:pPr>
          </w:p>
        </w:tc>
      </w:tr>
      <w:tr w14:paraId="1E5901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1931" w:type="dxa"/>
            <w:vMerge w:val="continue"/>
            <w:noWrap w:val="0"/>
            <w:vAlign w:val="center"/>
          </w:tcPr>
          <w:p w14:paraId="1AE519DA">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2385" w:type="dxa"/>
            <w:noWrap w:val="0"/>
            <w:vAlign w:val="center"/>
          </w:tcPr>
          <w:p w14:paraId="465FEB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 w:val="21"/>
                <w:szCs w:val="21"/>
                <w:highlight w:val="none"/>
                <w:lang w:val="en-US"/>
                <w14:textFill>
                  <w14:solidFill>
                    <w14:schemeClr w14:val="tx1"/>
                  </w14:solidFill>
                </w14:textFill>
              </w:rPr>
            </w:pPr>
            <w:r>
              <w:rPr>
                <w:rFonts w:hint="eastAsia" w:ascii="Times New Roman" w:hAnsi="Times New Roman" w:cs="Times New Roman"/>
                <w:b w:val="0"/>
                <w:bCs w:val="0"/>
                <w:color w:val="000000" w:themeColor="text1"/>
                <w:sz w:val="21"/>
                <w:szCs w:val="20"/>
                <w:lang w:val="en-US" w:eastAsia="zh-CN"/>
                <w14:textFill>
                  <w14:solidFill>
                    <w14:schemeClr w14:val="tx1"/>
                  </w14:solidFill>
                </w14:textFill>
              </w:rPr>
              <w:t>排土（渣）高度</w:t>
            </w:r>
          </w:p>
        </w:tc>
        <w:tc>
          <w:tcPr>
            <w:tcW w:w="1935" w:type="dxa"/>
            <w:noWrap w:val="0"/>
            <w:vAlign w:val="center"/>
          </w:tcPr>
          <w:p w14:paraId="45F93F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0"/>
                <w:lang w:val="en-US" w:eastAsia="zh-CN"/>
                <w14:textFill>
                  <w14:solidFill>
                    <w14:schemeClr w14:val="tx1"/>
                  </w14:solidFill>
                </w14:textFill>
              </w:rPr>
              <w:t>＜5</w:t>
            </w:r>
            <w:r>
              <w:rPr>
                <w:rFonts w:hint="default" w:ascii="Times New Roman" w:hAnsi="Times New Roman" w:cs="Times New Roman"/>
                <w:b w:val="0"/>
                <w:bCs w:val="0"/>
                <w:color w:val="000000" w:themeColor="text1"/>
                <w:sz w:val="21"/>
                <w:szCs w:val="20"/>
                <w14:textFill>
                  <w14:solidFill>
                    <w14:schemeClr w14:val="tx1"/>
                  </w14:solidFill>
                </w14:textFill>
              </w:rPr>
              <w:t>m</w:t>
            </w:r>
          </w:p>
        </w:tc>
        <w:tc>
          <w:tcPr>
            <w:tcW w:w="945" w:type="dxa"/>
            <w:vMerge w:val="continue"/>
            <w:tcBorders>
              <w:right w:val="single" w:color="auto" w:sz="4" w:space="0"/>
            </w:tcBorders>
            <w:noWrap w:val="0"/>
            <w:vAlign w:val="center"/>
          </w:tcPr>
          <w:p w14:paraId="60565E6E">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b w:val="0"/>
                <w:bCs w:val="0"/>
                <w:color w:val="000000" w:themeColor="text1"/>
                <w:sz w:val="21"/>
                <w:szCs w:val="21"/>
                <w14:textFill>
                  <w14:solidFill>
                    <w14:schemeClr w14:val="tx1"/>
                  </w14:solidFill>
                </w14:textFill>
              </w:rPr>
            </w:pPr>
          </w:p>
        </w:tc>
        <w:tc>
          <w:tcPr>
            <w:tcW w:w="1158" w:type="dxa"/>
            <w:vMerge w:val="continue"/>
            <w:tcBorders>
              <w:left w:val="single" w:color="auto" w:sz="4" w:space="0"/>
            </w:tcBorders>
            <w:noWrap w:val="0"/>
            <w:vAlign w:val="center"/>
          </w:tcPr>
          <w:p w14:paraId="529694C4">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b w:val="0"/>
                <w:bCs w:val="0"/>
                <w:color w:val="000000" w:themeColor="text1"/>
                <w:sz w:val="21"/>
                <w:szCs w:val="21"/>
                <w14:textFill>
                  <w14:solidFill>
                    <w14:schemeClr w14:val="tx1"/>
                  </w14:solidFill>
                </w14:textFill>
              </w:rPr>
            </w:pPr>
          </w:p>
        </w:tc>
      </w:tr>
      <w:tr w14:paraId="5B0B619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1931" w:type="dxa"/>
            <w:vMerge w:val="continue"/>
            <w:noWrap w:val="0"/>
            <w:vAlign w:val="center"/>
          </w:tcPr>
          <w:p w14:paraId="0F8F28DD">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2385" w:type="dxa"/>
            <w:noWrap w:val="0"/>
            <w:vAlign w:val="center"/>
          </w:tcPr>
          <w:p w14:paraId="65361C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0"/>
                <w14:textFill>
                  <w14:solidFill>
                    <w14:schemeClr w14:val="tx1"/>
                  </w14:solidFill>
                </w14:textFill>
              </w:rPr>
              <w:t>边坡规整情况</w:t>
            </w:r>
          </w:p>
        </w:tc>
        <w:tc>
          <w:tcPr>
            <w:tcW w:w="1935" w:type="dxa"/>
            <w:noWrap w:val="0"/>
            <w:vAlign w:val="center"/>
          </w:tcPr>
          <w:p w14:paraId="4B75E4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0"/>
                <w14:textFill>
                  <w14:solidFill>
                    <w14:schemeClr w14:val="tx1"/>
                  </w14:solidFill>
                </w14:textFill>
              </w:rPr>
              <w:t>规整</w:t>
            </w:r>
          </w:p>
        </w:tc>
        <w:tc>
          <w:tcPr>
            <w:tcW w:w="945" w:type="dxa"/>
            <w:vMerge w:val="continue"/>
            <w:tcBorders>
              <w:right w:val="single" w:color="auto" w:sz="4" w:space="0"/>
            </w:tcBorders>
            <w:noWrap w:val="0"/>
            <w:vAlign w:val="center"/>
          </w:tcPr>
          <w:p w14:paraId="2BD015C9">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b w:val="0"/>
                <w:bCs w:val="0"/>
                <w:color w:val="000000" w:themeColor="text1"/>
                <w:sz w:val="21"/>
                <w:szCs w:val="21"/>
                <w14:textFill>
                  <w14:solidFill>
                    <w14:schemeClr w14:val="tx1"/>
                  </w14:solidFill>
                </w14:textFill>
              </w:rPr>
            </w:pPr>
          </w:p>
        </w:tc>
        <w:tc>
          <w:tcPr>
            <w:tcW w:w="1158" w:type="dxa"/>
            <w:vMerge w:val="continue"/>
            <w:tcBorders>
              <w:left w:val="single" w:color="auto" w:sz="4" w:space="0"/>
            </w:tcBorders>
            <w:noWrap w:val="0"/>
            <w:vAlign w:val="center"/>
          </w:tcPr>
          <w:p w14:paraId="15F4F1D7">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b w:val="0"/>
                <w:bCs w:val="0"/>
                <w:color w:val="000000" w:themeColor="text1"/>
                <w:sz w:val="21"/>
                <w:szCs w:val="21"/>
                <w14:textFill>
                  <w14:solidFill>
                    <w14:schemeClr w14:val="tx1"/>
                  </w14:solidFill>
                </w14:textFill>
              </w:rPr>
            </w:pPr>
          </w:p>
        </w:tc>
      </w:tr>
    </w:tbl>
    <w:p w14:paraId="2BB34E22">
      <w:pPr>
        <w:keepNext w:val="0"/>
        <w:keepLines w:val="0"/>
        <w:pageBreakBefore w:val="0"/>
        <w:widowControl w:val="0"/>
        <w:kinsoku/>
        <w:wordWrap/>
        <w:overflowPunct/>
        <w:topLinePunct w:val="0"/>
        <w:autoSpaceDE/>
        <w:autoSpaceDN/>
        <w:bidi w:val="0"/>
        <w:adjustRightInd/>
        <w:snapToGrid/>
        <w:spacing w:before="157" w:beforeLines="50"/>
        <w:contextualSpacing/>
        <w:jc w:val="center"/>
        <w:textAlignment w:val="auto"/>
        <w:rPr>
          <w:rFonts w:hint="eastAsia" w:eastAsia="宋体"/>
          <w:color w:val="000000" w:themeColor="text1"/>
          <w:sz w:val="28"/>
          <w:szCs w:val="28"/>
          <w:lang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w:t>
      </w:r>
    </w:p>
    <w:p w14:paraId="18C94053">
      <w:pPr>
        <w:spacing w:line="360" w:lineRule="auto"/>
        <w:contextualSpacing/>
        <w:jc w:val="center"/>
        <w:rPr>
          <w:rFonts w:hint="eastAsia" w:ascii="黑体" w:hAnsi="黑体" w:eastAsia="黑体" w:cs="黑体"/>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照片3-</w:t>
      </w:r>
      <w:r>
        <w:rPr>
          <w:rFonts w:hint="eastAsia" w:ascii="黑体" w:hAnsi="黑体" w:eastAsia="黑体" w:cs="黑体"/>
          <w:b w:val="0"/>
          <w:bCs w:val="0"/>
          <w:color w:val="000000" w:themeColor="text1"/>
          <w:sz w:val="24"/>
          <w:szCs w:val="24"/>
          <w:lang w:val="en-US" w:eastAsia="zh-CN"/>
          <w14:textFill>
            <w14:solidFill>
              <w14:schemeClr w14:val="tx1"/>
            </w14:solidFill>
          </w14:textFill>
        </w:rPr>
        <w:t>8</w:t>
      </w:r>
      <w:r>
        <w:rPr>
          <w:rFonts w:hint="eastAsia" w:ascii="黑体" w:hAnsi="黑体" w:eastAsia="黑体" w:cs="黑体"/>
          <w:b w:val="0"/>
          <w:bCs w:val="0"/>
          <w:color w:val="000000" w:themeColor="text1"/>
          <w:sz w:val="24"/>
          <w:szCs w:val="24"/>
          <w14:textFill>
            <w14:solidFill>
              <w14:schemeClr w14:val="tx1"/>
            </w14:solidFill>
          </w14:textFill>
        </w:rPr>
        <w:t xml:space="preserve">  成品砖堆放场</w:t>
      </w:r>
    </w:p>
    <w:p w14:paraId="18CB00E6">
      <w:pPr>
        <w:pStyle w:val="12"/>
        <w:keepNext w:val="0"/>
        <w:keepLines w:val="0"/>
        <w:pageBreakBefore w:val="0"/>
        <w:widowControl/>
        <w:kinsoku/>
        <w:wordWrap/>
        <w:overflowPunct/>
        <w:topLinePunct w:val="0"/>
        <w:autoSpaceDE/>
        <w:autoSpaceDN/>
        <w:bidi w:val="0"/>
        <w:adjustRightInd/>
        <w:snapToGrid/>
        <w:spacing w:after="0" w:line="360" w:lineRule="auto"/>
        <w:ind w:firstLine="562" w:firstLineChars="200"/>
        <w:jc w:val="left"/>
        <w:textAlignment w:val="auto"/>
        <w:rPr>
          <w:rFonts w:hint="default" w:ascii="Times New Roman" w:hAnsi="Times New Roman" w:eastAsia="宋体" w:cs="Times New Roman"/>
          <w:b/>
          <w:bCs/>
          <w:color w:val="000000" w:themeColor="text1"/>
          <w:sz w:val="28"/>
          <w:szCs w:val="28"/>
          <w14:textFill>
            <w14:solidFill>
              <w14:schemeClr w14:val="tx1"/>
            </w14:solidFill>
          </w14:textFill>
        </w:rPr>
      </w:pPr>
      <w:r>
        <w:rPr>
          <w:rFonts w:hint="eastAsia" w:ascii="Times New Roman" w:hAnsi="Times New Roman" w:eastAsia="宋体" w:cs="Times New Roman"/>
          <w:b/>
          <w:bCs/>
          <w:color w:val="000000" w:themeColor="text1"/>
          <w:sz w:val="28"/>
          <w:szCs w:val="28"/>
          <w:lang w:eastAsia="zh-CN"/>
          <w14:textFill>
            <w14:solidFill>
              <w14:schemeClr w14:val="tx1"/>
            </w14:solidFill>
          </w14:textFill>
        </w:rPr>
        <w:t>（</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5</w:t>
      </w:r>
      <w:r>
        <w:rPr>
          <w:rFonts w:hint="eastAsia" w:ascii="Times New Roman" w:hAnsi="Times New Roman" w:eastAsia="宋体" w:cs="Times New Roman"/>
          <w:b/>
          <w:bCs/>
          <w:color w:val="000000" w:themeColor="text1"/>
          <w:sz w:val="28"/>
          <w:szCs w:val="28"/>
          <w:lang w:eastAsia="zh-CN"/>
          <w14:textFill>
            <w14:solidFill>
              <w14:schemeClr w14:val="tx1"/>
            </w14:solidFill>
          </w14:textFill>
        </w:rPr>
        <w:t>）</w:t>
      </w:r>
      <w:r>
        <w:rPr>
          <w:rFonts w:hint="default" w:ascii="Times New Roman" w:hAnsi="Times New Roman" w:eastAsia="宋体" w:cs="Times New Roman"/>
          <w:b/>
          <w:bCs/>
          <w:color w:val="000000" w:themeColor="text1"/>
          <w:sz w:val="28"/>
          <w:szCs w:val="28"/>
          <w14:textFill>
            <w14:solidFill>
              <w14:schemeClr w14:val="tx1"/>
            </w14:solidFill>
          </w14:textFill>
        </w:rPr>
        <w:t>料堆</w:t>
      </w:r>
    </w:p>
    <w:p w14:paraId="5EBAA976">
      <w:pPr>
        <w:pStyle w:val="12"/>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8"/>
          <w:szCs w:val="28"/>
          <w14:textFill>
            <w14:solidFill>
              <w14:schemeClr w14:val="tx1"/>
            </w14:solidFill>
          </w14:textFill>
        </w:rPr>
        <w:t>料堆位于工业场地南侧，占地面积0.7930hm</w:t>
      </w:r>
      <w:r>
        <w:rPr>
          <w:rFonts w:hint="default" w:ascii="Times New Roman" w:hAnsi="Times New Roman" w:eastAsia="宋体" w:cs="Times New Roman"/>
          <w:b w:val="0"/>
          <w:bCs w:val="0"/>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b w:val="0"/>
          <w:bCs w:val="0"/>
          <w:color w:val="000000" w:themeColor="text1"/>
          <w:sz w:val="28"/>
          <w:szCs w:val="28"/>
          <w14:textFill>
            <w14:solidFill>
              <w14:schemeClr w14:val="tx1"/>
            </w14:solidFill>
          </w14:textFill>
        </w:rPr>
        <w:t>，用于堆放生产所需粘土，堆积高2～6m，边坡角20°～45°。场地建设破坏地形地貌景观和地表植被，对矿区地形地貌景观破坏程度为较严重（见照片3-</w:t>
      </w:r>
      <w:r>
        <w:rPr>
          <w:rFonts w:hint="eastAsia" w:ascii="Times New Roman" w:hAnsi="Times New Roman" w:eastAsia="宋体" w:cs="Times New Roman"/>
          <w:b w:val="0"/>
          <w:bCs w:val="0"/>
          <w:color w:val="000000" w:themeColor="text1"/>
          <w:sz w:val="28"/>
          <w:szCs w:val="28"/>
          <w:lang w:val="en-US" w:eastAsia="zh-CN"/>
          <w14:textFill>
            <w14:solidFill>
              <w14:schemeClr w14:val="tx1"/>
            </w14:solidFill>
          </w14:textFill>
        </w:rPr>
        <w:t>9</w:t>
      </w:r>
      <w:r>
        <w:rPr>
          <w:rFonts w:hint="default" w:ascii="Times New Roman" w:hAnsi="Times New Roman" w:eastAsia="宋体" w:cs="Times New Roman"/>
          <w:b w:val="0"/>
          <w:bCs w:val="0"/>
          <w:color w:val="000000" w:themeColor="text1"/>
          <w:sz w:val="28"/>
          <w:szCs w:val="28"/>
          <w14:textFill>
            <w14:solidFill>
              <w14:schemeClr w14:val="tx1"/>
            </w14:solidFill>
          </w14:textFill>
        </w:rPr>
        <w:t>）。</w:t>
      </w:r>
    </w:p>
    <w:p w14:paraId="725A3688">
      <w:pPr>
        <w:keepNext w:val="0"/>
        <w:keepLines w:val="0"/>
        <w:pageBreakBefore w:val="0"/>
        <w:widowControl/>
        <w:kinsoku/>
        <w:wordWrap/>
        <w:overflowPunct/>
        <w:topLinePunct w:val="0"/>
        <w:autoSpaceDE/>
        <w:autoSpaceDN/>
        <w:bidi w:val="0"/>
        <w:adjustRightInd/>
        <w:snapToGrid/>
        <w:spacing w:after="0" w:line="360" w:lineRule="auto"/>
        <w:contextualSpacing/>
        <w:jc w:val="center"/>
        <w:textAlignment w:val="auto"/>
        <w:rPr>
          <w:rFonts w:hint="default" w:ascii="Times New Roman" w:hAnsi="Times New Roman" w:eastAsia="黑体" w:cs="Times New Roman"/>
          <w:color w:val="000000" w:themeColor="text1"/>
          <w:sz w:val="24"/>
          <w:highlight w:val="none"/>
          <w14:textFill>
            <w14:solidFill>
              <w14:schemeClr w14:val="tx1"/>
            </w14:solidFill>
          </w14:textFill>
        </w:rPr>
      </w:pPr>
      <w:r>
        <w:rPr>
          <w:rFonts w:hint="default" w:ascii="Times New Roman" w:hAnsi="Times New Roman" w:eastAsia="黑体" w:cs="Times New Roman"/>
          <w:color w:val="000000" w:themeColor="text1"/>
          <w:sz w:val="24"/>
          <w:highlight w:val="none"/>
          <w14:textFill>
            <w14:solidFill>
              <w14:schemeClr w14:val="tx1"/>
            </w14:solidFill>
          </w14:textFill>
        </w:rPr>
        <w:t>表3-</w:t>
      </w:r>
      <w:r>
        <w:rPr>
          <w:rFonts w:hint="eastAsia" w:eastAsia="黑体" w:cs="Times New Roman"/>
          <w:color w:val="000000" w:themeColor="text1"/>
          <w:sz w:val="24"/>
          <w:highlight w:val="none"/>
          <w:lang w:val="en-US" w:eastAsia="zh-CN"/>
          <w14:textFill>
            <w14:solidFill>
              <w14:schemeClr w14:val="tx1"/>
            </w14:solidFill>
          </w14:textFill>
        </w:rPr>
        <w:t>7</w:t>
      </w:r>
      <w:r>
        <w:rPr>
          <w:rFonts w:hint="default" w:ascii="Times New Roman" w:hAnsi="Times New Roman" w:eastAsia="黑体" w:cs="Times New Roman"/>
          <w:color w:val="000000" w:themeColor="text1"/>
          <w:sz w:val="24"/>
          <w:highlight w:val="none"/>
          <w14:textFill>
            <w14:solidFill>
              <w14:schemeClr w14:val="tx1"/>
            </w14:solidFill>
          </w14:textFill>
        </w:rPr>
        <w:t xml:space="preserve">  地形地貌景观破坏程度评价表</w:t>
      </w:r>
      <w:r>
        <w:rPr>
          <w:rFonts w:hint="eastAsia" w:ascii="Times New Roman" w:hAnsi="Times New Roman" w:eastAsia="黑体" w:cs="Times New Roman"/>
          <w:color w:val="000000" w:themeColor="text1"/>
          <w:sz w:val="24"/>
          <w:lang w:eastAsia="zh-CN"/>
          <w14:textFill>
            <w14:solidFill>
              <w14:schemeClr w14:val="tx1"/>
            </w14:solidFill>
          </w14:textFill>
        </w:rPr>
        <w:t>（</w:t>
      </w:r>
      <w:r>
        <w:rPr>
          <w:rFonts w:hint="eastAsia" w:ascii="Times New Roman" w:hAnsi="Times New Roman" w:eastAsia="黑体" w:cs="Times New Roman"/>
          <w:color w:val="000000" w:themeColor="text1"/>
          <w:sz w:val="24"/>
          <w:lang w:val="en-US" w:eastAsia="zh-CN"/>
          <w14:textFill>
            <w14:solidFill>
              <w14:schemeClr w14:val="tx1"/>
            </w14:solidFill>
          </w14:textFill>
        </w:rPr>
        <w:t>压占</w:t>
      </w:r>
      <w:r>
        <w:rPr>
          <w:rFonts w:hint="eastAsia" w:ascii="Times New Roman" w:hAnsi="Times New Roman" w:eastAsia="黑体" w:cs="Times New Roman"/>
          <w:color w:val="000000" w:themeColor="text1"/>
          <w:sz w:val="24"/>
          <w:lang w:eastAsia="zh-CN"/>
          <w14:textFill>
            <w14:solidFill>
              <w14:schemeClr w14:val="tx1"/>
            </w14:solidFill>
          </w14:textFill>
        </w:rPr>
        <w:t>）</w:t>
      </w:r>
    </w:p>
    <w:tbl>
      <w:tblPr>
        <w:tblStyle w:val="30"/>
        <w:tblW w:w="8324"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901"/>
        <w:gridCol w:w="2385"/>
        <w:gridCol w:w="1935"/>
        <w:gridCol w:w="945"/>
        <w:gridCol w:w="1158"/>
      </w:tblGrid>
      <w:tr w14:paraId="5E7194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blHeader/>
          <w:jc w:val="center"/>
        </w:trPr>
        <w:tc>
          <w:tcPr>
            <w:tcW w:w="1901" w:type="dxa"/>
            <w:noWrap w:val="0"/>
            <w:vAlign w:val="center"/>
          </w:tcPr>
          <w:p w14:paraId="766F5FB3">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评价单元</w:t>
            </w:r>
          </w:p>
        </w:tc>
        <w:tc>
          <w:tcPr>
            <w:tcW w:w="2385" w:type="dxa"/>
            <w:noWrap w:val="0"/>
            <w:vAlign w:val="center"/>
          </w:tcPr>
          <w:p w14:paraId="37EE8109">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评价因子</w:t>
            </w:r>
          </w:p>
        </w:tc>
        <w:tc>
          <w:tcPr>
            <w:tcW w:w="1935" w:type="dxa"/>
            <w:noWrap w:val="0"/>
            <w:vAlign w:val="center"/>
          </w:tcPr>
          <w:p w14:paraId="60FE801D">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损毁程度</w:t>
            </w:r>
          </w:p>
        </w:tc>
        <w:tc>
          <w:tcPr>
            <w:tcW w:w="945" w:type="dxa"/>
            <w:tcBorders>
              <w:right w:val="single" w:color="auto" w:sz="4" w:space="0"/>
            </w:tcBorders>
            <w:noWrap w:val="0"/>
            <w:vAlign w:val="center"/>
          </w:tcPr>
          <w:p w14:paraId="5E70812D">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得分</w:t>
            </w:r>
          </w:p>
        </w:tc>
        <w:tc>
          <w:tcPr>
            <w:tcW w:w="1158" w:type="dxa"/>
            <w:tcBorders>
              <w:right w:val="single" w:color="auto" w:sz="4" w:space="0"/>
            </w:tcBorders>
            <w:noWrap w:val="0"/>
            <w:vAlign w:val="center"/>
          </w:tcPr>
          <w:p w14:paraId="1B4AF714">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评价结果</w:t>
            </w:r>
          </w:p>
        </w:tc>
      </w:tr>
      <w:tr w14:paraId="6974B2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1901" w:type="dxa"/>
            <w:vMerge w:val="restart"/>
            <w:noWrap w:val="0"/>
            <w:vAlign w:val="center"/>
          </w:tcPr>
          <w:p w14:paraId="02285A92">
            <w:pPr>
              <w:keepNext w:val="0"/>
              <w:keepLines w:val="0"/>
              <w:suppressLineNumbers w:val="0"/>
              <w:spacing w:before="0" w:beforeAutospacing="0" w:after="0" w:afterAutospacing="0" w:line="240" w:lineRule="auto"/>
              <w:ind w:left="0" w:right="0"/>
              <w:contextualSpacing/>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料堆</w:t>
            </w:r>
          </w:p>
        </w:tc>
        <w:tc>
          <w:tcPr>
            <w:tcW w:w="2385" w:type="dxa"/>
            <w:noWrap w:val="0"/>
            <w:vAlign w:val="center"/>
          </w:tcPr>
          <w:p w14:paraId="7BEB18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区位条件</w:t>
            </w:r>
          </w:p>
        </w:tc>
        <w:tc>
          <w:tcPr>
            <w:tcW w:w="1935" w:type="dxa"/>
            <w:noWrap w:val="0"/>
            <w:vAlign w:val="center"/>
          </w:tcPr>
          <w:p w14:paraId="7B676B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人类活动中等区</w:t>
            </w:r>
          </w:p>
        </w:tc>
        <w:tc>
          <w:tcPr>
            <w:tcW w:w="945" w:type="dxa"/>
            <w:vMerge w:val="restart"/>
            <w:tcBorders>
              <w:right w:val="single" w:color="auto" w:sz="4" w:space="0"/>
            </w:tcBorders>
            <w:noWrap w:val="0"/>
            <w:vAlign w:val="center"/>
          </w:tcPr>
          <w:p w14:paraId="01C71FE9">
            <w:pPr>
              <w:keepNext w:val="0"/>
              <w:keepLines w:val="0"/>
              <w:suppressLineNumbers w:val="0"/>
              <w:spacing w:before="0" w:beforeAutospacing="0" w:after="0" w:afterAutospacing="0" w:line="240" w:lineRule="auto"/>
              <w:ind w:left="0" w:right="0"/>
              <w:contextualSpacing/>
              <w:jc w:val="center"/>
              <w:rPr>
                <w:rFonts w:hint="default" w:ascii="Times New Roman" w:hAnsi="Times New Roman" w:eastAsia="宋体" w:cs="Times New Roman"/>
                <w:b/>
                <w:bCs/>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w:t>
            </w:r>
            <w:r>
              <w:rPr>
                <w:rFonts w:hint="eastAsia" w:cs="Times New Roman"/>
                <w:color w:val="000000" w:themeColor="text1"/>
                <w:sz w:val="21"/>
                <w:szCs w:val="21"/>
                <w:lang w:val="en-US" w:eastAsia="zh-CN"/>
                <w14:textFill>
                  <w14:solidFill>
                    <w14:schemeClr w14:val="tx1"/>
                  </w14:solidFill>
                </w14:textFill>
              </w:rPr>
              <w:t>7</w:t>
            </w:r>
          </w:p>
        </w:tc>
        <w:tc>
          <w:tcPr>
            <w:tcW w:w="1158" w:type="dxa"/>
            <w:vMerge w:val="restart"/>
            <w:tcBorders>
              <w:left w:val="single" w:color="auto" w:sz="4" w:space="0"/>
            </w:tcBorders>
            <w:noWrap w:val="0"/>
            <w:vAlign w:val="center"/>
          </w:tcPr>
          <w:p w14:paraId="53844CB7">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较</w:t>
            </w:r>
            <w:r>
              <w:rPr>
                <w:rFonts w:hint="default" w:ascii="Times New Roman" w:hAnsi="Times New Roman" w:cs="Times New Roman"/>
                <w:color w:val="000000" w:themeColor="text1"/>
                <w:sz w:val="21"/>
                <w:szCs w:val="21"/>
                <w:lang w:eastAsia="zh-CN"/>
                <w14:textFill>
                  <w14:solidFill>
                    <w14:schemeClr w14:val="tx1"/>
                  </w14:solidFill>
                </w14:textFill>
              </w:rPr>
              <w:t>严重</w:t>
            </w:r>
          </w:p>
        </w:tc>
      </w:tr>
      <w:tr w14:paraId="789B16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1901" w:type="dxa"/>
            <w:vMerge w:val="continue"/>
            <w:noWrap w:val="0"/>
            <w:vAlign w:val="center"/>
          </w:tcPr>
          <w:p w14:paraId="3E669E24">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85" w:type="dxa"/>
            <w:noWrap w:val="0"/>
            <w:vAlign w:val="center"/>
          </w:tcPr>
          <w:p w14:paraId="54CB3A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可视程度</w:t>
            </w:r>
          </w:p>
        </w:tc>
        <w:tc>
          <w:tcPr>
            <w:tcW w:w="1935" w:type="dxa"/>
            <w:noWrap w:val="0"/>
            <w:vAlign w:val="center"/>
          </w:tcPr>
          <w:p w14:paraId="152C85FD">
            <w:pPr>
              <w:keepNext w:val="0"/>
              <w:keepLines w:val="0"/>
              <w:suppressLineNumbers w:val="0"/>
              <w:spacing w:before="0" w:beforeAutospacing="0" w:after="0" w:afterAutospacing="0" w:line="240" w:lineRule="auto"/>
              <w:ind w:left="0" w:leftChars="0" w:right="0" w:rightChars="0" w:firstLine="0" w:firstLineChars="0"/>
              <w:contextualSpacing/>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不可视</w:t>
            </w:r>
          </w:p>
        </w:tc>
        <w:tc>
          <w:tcPr>
            <w:tcW w:w="945" w:type="dxa"/>
            <w:vMerge w:val="continue"/>
            <w:tcBorders>
              <w:right w:val="single" w:color="auto" w:sz="4" w:space="0"/>
            </w:tcBorders>
            <w:noWrap w:val="0"/>
            <w:vAlign w:val="center"/>
          </w:tcPr>
          <w:p w14:paraId="05A30A08">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158" w:type="dxa"/>
            <w:vMerge w:val="continue"/>
            <w:tcBorders>
              <w:left w:val="single" w:color="auto" w:sz="4" w:space="0"/>
            </w:tcBorders>
            <w:noWrap w:val="0"/>
            <w:vAlign w:val="center"/>
          </w:tcPr>
          <w:p w14:paraId="792421EA">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54CD71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1901" w:type="dxa"/>
            <w:vMerge w:val="continue"/>
            <w:noWrap w:val="0"/>
            <w:vAlign w:val="center"/>
          </w:tcPr>
          <w:p w14:paraId="35A875BE">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85" w:type="dxa"/>
            <w:noWrap w:val="0"/>
            <w:vAlign w:val="center"/>
          </w:tcPr>
          <w:p w14:paraId="173C84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0"/>
                <w:lang w:val="en-US" w:eastAsia="zh-CN"/>
                <w14:textFill>
                  <w14:solidFill>
                    <w14:schemeClr w14:val="tx1"/>
                  </w14:solidFill>
                </w14:textFill>
              </w:rPr>
              <w:t>场地</w:t>
            </w:r>
            <w:r>
              <w:rPr>
                <w:rFonts w:hint="default" w:ascii="Times New Roman" w:hAnsi="Times New Roman" w:cs="Times New Roman"/>
                <w:color w:val="000000" w:themeColor="text1"/>
                <w:sz w:val="21"/>
                <w:szCs w:val="20"/>
                <w14:textFill>
                  <w14:solidFill>
                    <w14:schemeClr w14:val="tx1"/>
                  </w14:solidFill>
                </w14:textFill>
              </w:rPr>
              <w:t>面积</w:t>
            </w:r>
          </w:p>
        </w:tc>
        <w:tc>
          <w:tcPr>
            <w:tcW w:w="1935" w:type="dxa"/>
            <w:noWrap w:val="0"/>
            <w:vAlign w:val="center"/>
          </w:tcPr>
          <w:p w14:paraId="678995A3">
            <w:pPr>
              <w:keepNext w:val="0"/>
              <w:keepLines w:val="0"/>
              <w:suppressLineNumbers w:val="0"/>
              <w:spacing w:before="0" w:beforeAutospacing="0" w:after="0" w:afterAutospacing="0" w:line="240" w:lineRule="auto"/>
              <w:ind w:left="0" w:leftChars="0" w:right="0" w:rightChars="0" w:firstLine="0" w:firstLineChars="0"/>
              <w:contextualSpacing/>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&lt;1.0h</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m</w:t>
            </w:r>
            <w:r>
              <w:rPr>
                <w:rFonts w:hint="default" w:ascii="Times New Roman" w:hAnsi="Times New Roman" w:eastAsia="宋体" w:cs="Times New Roman"/>
                <w:b w:val="0"/>
                <w:bCs w:val="0"/>
                <w:color w:val="000000" w:themeColor="text1"/>
                <w:sz w:val="21"/>
                <w:szCs w:val="21"/>
                <w:highlight w:val="none"/>
                <w:vertAlign w:val="superscript"/>
                <w:lang w:eastAsia="zh-CN"/>
                <w14:textFill>
                  <w14:solidFill>
                    <w14:schemeClr w14:val="tx1"/>
                  </w14:solidFill>
                </w14:textFill>
              </w:rPr>
              <w:t>2</w:t>
            </w:r>
          </w:p>
        </w:tc>
        <w:tc>
          <w:tcPr>
            <w:tcW w:w="945" w:type="dxa"/>
            <w:vMerge w:val="continue"/>
            <w:tcBorders>
              <w:right w:val="single" w:color="auto" w:sz="4" w:space="0"/>
            </w:tcBorders>
            <w:noWrap w:val="0"/>
            <w:vAlign w:val="center"/>
          </w:tcPr>
          <w:p w14:paraId="379B25A2">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158" w:type="dxa"/>
            <w:vMerge w:val="continue"/>
            <w:tcBorders>
              <w:left w:val="single" w:color="auto" w:sz="4" w:space="0"/>
            </w:tcBorders>
            <w:noWrap w:val="0"/>
            <w:vAlign w:val="center"/>
          </w:tcPr>
          <w:p w14:paraId="72A0D693">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639F4F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1901" w:type="dxa"/>
            <w:vMerge w:val="continue"/>
            <w:noWrap w:val="0"/>
            <w:vAlign w:val="center"/>
          </w:tcPr>
          <w:p w14:paraId="06E4B558">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85" w:type="dxa"/>
            <w:noWrap w:val="0"/>
            <w:vAlign w:val="center"/>
          </w:tcPr>
          <w:p w14:paraId="3A1BE9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eastAsia" w:ascii="Times New Roman" w:hAnsi="Times New Roman" w:cs="Times New Roman"/>
                <w:color w:val="000000" w:themeColor="text1"/>
                <w:sz w:val="21"/>
                <w:szCs w:val="20"/>
                <w:lang w:val="en-US" w:eastAsia="zh-CN"/>
                <w14:textFill>
                  <w14:solidFill>
                    <w14:schemeClr w14:val="tx1"/>
                  </w14:solidFill>
                </w14:textFill>
              </w:rPr>
              <w:t>排土（渣）高度</w:t>
            </w:r>
          </w:p>
        </w:tc>
        <w:tc>
          <w:tcPr>
            <w:tcW w:w="1935" w:type="dxa"/>
            <w:noWrap w:val="0"/>
            <w:vAlign w:val="center"/>
          </w:tcPr>
          <w:p w14:paraId="3E6F43E7">
            <w:pPr>
              <w:keepNext w:val="0"/>
              <w:keepLines w:val="0"/>
              <w:suppressLineNumbers w:val="0"/>
              <w:spacing w:before="0" w:beforeAutospacing="0" w:after="0" w:afterAutospacing="0" w:line="240" w:lineRule="auto"/>
              <w:ind w:left="0" w:leftChars="0" w:right="0" w:rightChars="0" w:firstLine="0" w:firstLineChars="0"/>
              <w:contextualSpacing/>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5-10m</w:t>
            </w:r>
          </w:p>
        </w:tc>
        <w:tc>
          <w:tcPr>
            <w:tcW w:w="945" w:type="dxa"/>
            <w:vMerge w:val="continue"/>
            <w:tcBorders>
              <w:right w:val="single" w:color="auto" w:sz="4" w:space="0"/>
            </w:tcBorders>
            <w:noWrap w:val="0"/>
            <w:vAlign w:val="center"/>
          </w:tcPr>
          <w:p w14:paraId="6EEC968A">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158" w:type="dxa"/>
            <w:vMerge w:val="continue"/>
            <w:tcBorders>
              <w:left w:val="single" w:color="auto" w:sz="4" w:space="0"/>
            </w:tcBorders>
            <w:noWrap w:val="0"/>
            <w:vAlign w:val="center"/>
          </w:tcPr>
          <w:p w14:paraId="01034922">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5BADA0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1901" w:type="dxa"/>
            <w:vMerge w:val="continue"/>
            <w:noWrap w:val="0"/>
            <w:vAlign w:val="center"/>
          </w:tcPr>
          <w:p w14:paraId="3BFE00B0">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85" w:type="dxa"/>
            <w:noWrap w:val="0"/>
            <w:vAlign w:val="center"/>
          </w:tcPr>
          <w:p w14:paraId="54FFBC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边坡规整情况</w:t>
            </w:r>
          </w:p>
        </w:tc>
        <w:tc>
          <w:tcPr>
            <w:tcW w:w="1935" w:type="dxa"/>
            <w:noWrap w:val="0"/>
            <w:vAlign w:val="center"/>
          </w:tcPr>
          <w:p w14:paraId="37E2389C">
            <w:pPr>
              <w:keepNext w:val="0"/>
              <w:keepLines w:val="0"/>
              <w:suppressLineNumbers w:val="0"/>
              <w:spacing w:before="0" w:beforeAutospacing="0" w:after="0" w:afterAutospacing="0" w:line="240" w:lineRule="auto"/>
              <w:ind w:left="0" w:leftChars="0" w:right="0" w:rightChars="0" w:firstLine="0" w:firstLineChars="0"/>
              <w:contextualSpacing/>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欠规整</w:t>
            </w:r>
          </w:p>
        </w:tc>
        <w:tc>
          <w:tcPr>
            <w:tcW w:w="945" w:type="dxa"/>
            <w:vMerge w:val="continue"/>
            <w:tcBorders>
              <w:right w:val="single" w:color="auto" w:sz="4" w:space="0"/>
            </w:tcBorders>
            <w:noWrap w:val="0"/>
            <w:vAlign w:val="center"/>
          </w:tcPr>
          <w:p w14:paraId="15401D66">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158" w:type="dxa"/>
            <w:vMerge w:val="continue"/>
            <w:tcBorders>
              <w:left w:val="single" w:color="auto" w:sz="4" w:space="0"/>
            </w:tcBorders>
            <w:noWrap w:val="0"/>
            <w:vAlign w:val="center"/>
          </w:tcPr>
          <w:p w14:paraId="60550E91">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bl>
    <w:p w14:paraId="6B11CD8E">
      <w:pPr>
        <w:keepNext w:val="0"/>
        <w:keepLines w:val="0"/>
        <w:pageBreakBefore w:val="0"/>
        <w:widowControl w:val="0"/>
        <w:kinsoku/>
        <w:wordWrap/>
        <w:overflowPunct/>
        <w:topLinePunct w:val="0"/>
        <w:autoSpaceDE/>
        <w:autoSpaceDN/>
        <w:bidi w:val="0"/>
        <w:adjustRightInd/>
        <w:snapToGrid/>
        <w:spacing w:before="157" w:beforeLines="50"/>
        <w:contextualSpacing/>
        <w:jc w:val="center"/>
        <w:textAlignment w:val="auto"/>
        <w:rPr>
          <w:rFonts w:hint="eastAsia" w:eastAsia="宋体"/>
          <w:color w:val="000000" w:themeColor="text1"/>
          <w:sz w:val="28"/>
          <w:szCs w:val="28"/>
          <w:lang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w:t>
      </w:r>
    </w:p>
    <w:p w14:paraId="51ACE2AF">
      <w:pPr>
        <w:spacing w:line="360" w:lineRule="auto"/>
        <w:contextualSpacing/>
        <w:jc w:val="center"/>
        <w:rPr>
          <w:rFonts w:hint="eastAsia" w:ascii="黑体" w:hAnsi="黑体" w:eastAsia="黑体" w:cs="黑体"/>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照片3-</w:t>
      </w:r>
      <w:r>
        <w:rPr>
          <w:rFonts w:hint="eastAsia" w:ascii="黑体" w:hAnsi="黑体" w:eastAsia="黑体" w:cs="黑体"/>
          <w:b w:val="0"/>
          <w:bCs w:val="0"/>
          <w:color w:val="000000" w:themeColor="text1"/>
          <w:sz w:val="24"/>
          <w:szCs w:val="24"/>
          <w:lang w:val="en-US" w:eastAsia="zh-CN"/>
          <w14:textFill>
            <w14:solidFill>
              <w14:schemeClr w14:val="tx1"/>
            </w14:solidFill>
          </w14:textFill>
        </w:rPr>
        <w:t>9</w:t>
      </w:r>
      <w:r>
        <w:rPr>
          <w:rFonts w:hint="eastAsia" w:ascii="黑体" w:hAnsi="黑体" w:eastAsia="黑体" w:cs="黑体"/>
          <w:b w:val="0"/>
          <w:bCs w:val="0"/>
          <w:color w:val="000000" w:themeColor="text1"/>
          <w:sz w:val="24"/>
          <w:szCs w:val="24"/>
          <w14:textFill>
            <w14:solidFill>
              <w14:schemeClr w14:val="tx1"/>
            </w14:solidFill>
          </w14:textFill>
        </w:rPr>
        <w:t xml:space="preserve">  料堆</w:t>
      </w:r>
    </w:p>
    <w:p w14:paraId="7CCB5349">
      <w:pPr>
        <w:spacing w:line="360" w:lineRule="auto"/>
        <w:ind w:firstLine="562" w:firstLineChars="200"/>
        <w:contextualSpacing/>
        <w:rPr>
          <w:rFonts w:hint="default" w:ascii="Times New Roman" w:hAnsi="Times New Roman" w:cs="Times New Roman"/>
          <w:b/>
          <w:bCs/>
          <w:color w:val="000000" w:themeColor="text1"/>
          <w:sz w:val="28"/>
          <w:szCs w:val="28"/>
          <w:lang w:val="en-US" w:eastAsia="zh-CN"/>
          <w14:textFill>
            <w14:solidFill>
              <w14:schemeClr w14:val="tx1"/>
            </w14:solidFill>
          </w14:textFill>
        </w:rPr>
      </w:pPr>
      <w:r>
        <w:rPr>
          <w:rFonts w:hint="eastAsia" w:ascii="Times New Roman" w:hAnsi="Times New Roman" w:cs="Times New Roman"/>
          <w:b/>
          <w:bCs/>
          <w:color w:val="000000" w:themeColor="text1"/>
          <w:sz w:val="28"/>
          <w:szCs w:val="28"/>
          <w:lang w:eastAsia="zh-CN"/>
          <w14:textFill>
            <w14:solidFill>
              <w14:schemeClr w14:val="tx1"/>
            </w14:solidFill>
          </w14:textFill>
        </w:rPr>
        <w:t>（</w:t>
      </w:r>
      <w:r>
        <w:rPr>
          <w:rFonts w:hint="eastAsia" w:ascii="Times New Roman" w:hAnsi="Times New Roman" w:cs="Times New Roman"/>
          <w:b/>
          <w:bCs/>
          <w:color w:val="000000" w:themeColor="text1"/>
          <w:sz w:val="28"/>
          <w:szCs w:val="28"/>
          <w:lang w:val="en-US" w:eastAsia="zh-CN"/>
          <w14:textFill>
            <w14:solidFill>
              <w14:schemeClr w14:val="tx1"/>
            </w14:solidFill>
          </w14:textFill>
        </w:rPr>
        <w:t>6</w:t>
      </w:r>
      <w:r>
        <w:rPr>
          <w:rFonts w:hint="eastAsia" w:ascii="Times New Roman" w:hAnsi="Times New Roman" w:cs="Times New Roman"/>
          <w:b/>
          <w:bCs/>
          <w:color w:val="000000" w:themeColor="text1"/>
          <w:sz w:val="28"/>
          <w:szCs w:val="28"/>
          <w:lang w:eastAsia="zh-CN"/>
          <w14:textFill>
            <w14:solidFill>
              <w14:schemeClr w14:val="tx1"/>
            </w14:solidFill>
          </w14:textFill>
        </w:rPr>
        <w:t>）</w:t>
      </w:r>
      <w:r>
        <w:rPr>
          <w:rFonts w:hint="default" w:ascii="Times New Roman" w:hAnsi="Times New Roman" w:cs="Times New Roman"/>
          <w:b/>
          <w:bCs/>
          <w:color w:val="000000" w:themeColor="text1"/>
          <w:sz w:val="28"/>
          <w:szCs w:val="28"/>
          <w:lang w:val="en-US" w:eastAsia="zh-CN"/>
          <w14:textFill>
            <w14:solidFill>
              <w14:schemeClr w14:val="tx1"/>
            </w14:solidFill>
          </w14:textFill>
        </w:rPr>
        <w:t>表土存放场</w:t>
      </w:r>
    </w:p>
    <w:p w14:paraId="0322F427">
      <w:pPr>
        <w:pStyle w:val="69"/>
        <w:keepNext w:val="0"/>
        <w:keepLines w:val="0"/>
        <w:pageBreakBefore w:val="0"/>
        <w:kinsoku/>
        <w:wordWrap/>
        <w:overflowPunct/>
        <w:topLinePunct w:val="0"/>
        <w:autoSpaceDE/>
        <w:autoSpaceDN/>
        <w:bidi w:val="0"/>
        <w:adjustRightInd w:val="0"/>
        <w:snapToGrid w:val="0"/>
        <w:spacing w:line="360" w:lineRule="auto"/>
        <w:ind w:firstLine="560"/>
        <w:textAlignment w:val="auto"/>
        <w:rPr>
          <w:rFonts w:hint="default" w:ascii="Times New Roman" w:hAnsi="Times New Roman" w:cs="Times New Roman"/>
          <w:b w:val="0"/>
          <w:bCs w:val="0"/>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lang w:val="en-US" w:eastAsia="zh-CN"/>
          <w14:textFill>
            <w14:solidFill>
              <w14:schemeClr w14:val="tx1"/>
            </w14:solidFill>
          </w14:textFill>
        </w:rPr>
        <w:t>表土存放场</w:t>
      </w:r>
      <w:r>
        <w:rPr>
          <w:rFonts w:hint="default" w:ascii="Times New Roman" w:hAnsi="Times New Roman" w:eastAsia="宋体" w:cs="Times New Roman"/>
          <w:color w:val="000000" w:themeColor="text1"/>
          <w:sz w:val="28"/>
          <w:szCs w:val="28"/>
          <w14:textFill>
            <w14:solidFill>
              <w14:schemeClr w14:val="tx1"/>
            </w14:solidFill>
          </w14:textFill>
        </w:rPr>
        <w:t>位于</w:t>
      </w:r>
      <w:r>
        <w:rPr>
          <w:rFonts w:hint="default" w:ascii="Times New Roman" w:hAnsi="Times New Roman" w:cs="Times New Roman"/>
          <w:color w:val="000000" w:themeColor="text1"/>
          <w:sz w:val="28"/>
          <w:szCs w:val="28"/>
          <w:lang w:val="en-US" w:eastAsia="zh-CN"/>
          <w14:textFill>
            <w14:solidFill>
              <w14:schemeClr w14:val="tx1"/>
            </w14:solidFill>
          </w14:textFill>
        </w:rPr>
        <w:t>露天采场1</w:t>
      </w:r>
      <w:r>
        <w:rPr>
          <w:rFonts w:hint="eastAsia" w:ascii="Times New Roman" w:hAnsi="Times New Roman" w:cs="Times New Roman"/>
          <w:color w:val="000000" w:themeColor="text1"/>
          <w:sz w:val="28"/>
          <w:szCs w:val="28"/>
          <w:lang w:val="en-US" w:eastAsia="zh-CN"/>
          <w14:textFill>
            <w14:solidFill>
              <w14:schemeClr w14:val="tx1"/>
            </w14:solidFill>
          </w14:textFill>
        </w:rPr>
        <w:t>东</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侧</w:t>
      </w:r>
      <w:r>
        <w:rPr>
          <w:rFonts w:hint="default" w:ascii="Times New Roman" w:hAnsi="Times New Roman" w:eastAsia="宋体" w:cs="Times New Roman"/>
          <w:color w:val="000000" w:themeColor="text1"/>
          <w:sz w:val="28"/>
          <w:szCs w:val="28"/>
          <w14:textFill>
            <w14:solidFill>
              <w14:schemeClr w14:val="tx1"/>
            </w14:solidFill>
          </w14:textFill>
        </w:rPr>
        <w:t>，</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占地面积</w:t>
      </w:r>
      <w:r>
        <w:rPr>
          <w:rFonts w:hint="default" w:ascii="Times New Roman" w:hAnsi="Times New Roman" w:cs="Times New Roman"/>
          <w:color w:val="000000" w:themeColor="text1"/>
          <w:sz w:val="28"/>
          <w:szCs w:val="28"/>
          <w:lang w:val="en-US" w:eastAsia="zh-CN"/>
          <w14:textFill>
            <w14:solidFill>
              <w14:schemeClr w14:val="tx1"/>
            </w14:solidFill>
          </w14:textFill>
        </w:rPr>
        <w:t>1.8212h</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该场地用于存放临时的表土，表土堆积高度</w:t>
      </w:r>
      <w:r>
        <w:rPr>
          <w:rFonts w:hint="eastAsia" w:ascii="Times New Roman" w:hAnsi="Times New Roman" w:cs="Times New Roman"/>
          <w:color w:val="000000" w:themeColor="text1"/>
          <w:sz w:val="28"/>
          <w:szCs w:val="28"/>
          <w:lang w:val="en-US" w:eastAsia="zh-CN"/>
          <w14:textFill>
            <w14:solidFill>
              <w14:schemeClr w14:val="tx1"/>
            </w14:solidFill>
          </w14:textFill>
        </w:rPr>
        <w:t>0.2</w:t>
      </w:r>
      <w:r>
        <w:rPr>
          <w:rFonts w:hint="default" w:ascii="Times New Roman" w:hAnsi="Times New Roman" w:cs="Times New Roman"/>
          <w:color w:val="000000" w:themeColor="text1"/>
          <w:sz w:val="28"/>
          <w:szCs w:val="28"/>
          <w:lang w:val="en-US" w:eastAsia="zh-CN"/>
          <w14:textFill>
            <w14:solidFill>
              <w14:schemeClr w14:val="tx1"/>
            </w14:solidFill>
          </w14:textFill>
        </w:rPr>
        <w:t>-3m，坡度10-25°，</w:t>
      </w:r>
      <w:r>
        <w:rPr>
          <w:rFonts w:hint="eastAsia" w:ascii="Times New Roman" w:hAnsi="Times New Roman" w:cs="Times New Roman"/>
          <w:color w:val="000000" w:themeColor="text1"/>
          <w:sz w:val="28"/>
          <w:szCs w:val="28"/>
          <w:lang w:val="en-US" w:eastAsia="zh-CN"/>
          <w14:textFill>
            <w14:solidFill>
              <w14:schemeClr w14:val="tx1"/>
            </w14:solidFill>
          </w14:textFill>
        </w:rPr>
        <w:t>现状表土堆积方量约5866m</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3</w:t>
      </w:r>
      <w:r>
        <w:rPr>
          <w:rFonts w:hint="eastAsia" w:ascii="Times New Roman" w:hAnsi="Times New Roman" w:cs="Times New Roman"/>
          <w:color w:val="000000" w:themeColor="text1"/>
          <w:sz w:val="28"/>
          <w:szCs w:val="28"/>
          <w:lang w:val="en-US" w:eastAsia="zh-CN"/>
          <w14:textFill>
            <w14:solidFill>
              <w14:schemeClr w14:val="tx1"/>
            </w14:solidFill>
          </w14:textFill>
        </w:rPr>
        <w:t>；</w:t>
      </w:r>
      <w:r>
        <w:rPr>
          <w:rStyle w:val="168"/>
          <w:rFonts w:hint="default" w:ascii="Times New Roman" w:hAnsi="Times New Roman" w:eastAsia="宋体" w:cs="Times New Roman"/>
          <w:color w:val="000000" w:themeColor="text1"/>
          <w:sz w:val="28"/>
          <w:szCs w:val="28"/>
          <w:lang w:val="en-US" w:eastAsia="zh-CN"/>
          <w14:textFill>
            <w14:solidFill>
              <w14:schemeClr w14:val="tx1"/>
            </w14:solidFill>
          </w14:textFill>
        </w:rPr>
        <w:t>场地的建设破坏了地形地貌景观和地表植被，对矿区地形地貌景观破坏程度为较严重</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（见照片3-</w:t>
      </w:r>
      <w:r>
        <w:rPr>
          <w:rFonts w:hint="eastAsia" w:ascii="Times New Roman" w:hAnsi="Times New Roman" w:cs="Times New Roman"/>
          <w:color w:val="000000" w:themeColor="text1"/>
          <w:sz w:val="28"/>
          <w:szCs w:val="28"/>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14:textFill>
            <w14:solidFill>
              <w14:schemeClr w14:val="tx1"/>
            </w14:solidFill>
          </w14:textFill>
        </w:rPr>
        <w:t>。</w:t>
      </w:r>
    </w:p>
    <w:p w14:paraId="07CDCFA2">
      <w:pPr>
        <w:keepNext w:val="0"/>
        <w:keepLines w:val="0"/>
        <w:pageBreakBefore w:val="0"/>
        <w:widowControl/>
        <w:kinsoku/>
        <w:wordWrap/>
        <w:overflowPunct/>
        <w:topLinePunct w:val="0"/>
        <w:autoSpaceDE/>
        <w:autoSpaceDN/>
        <w:bidi w:val="0"/>
        <w:adjustRightInd/>
        <w:snapToGrid/>
        <w:spacing w:after="0" w:line="360" w:lineRule="auto"/>
        <w:contextualSpacing/>
        <w:jc w:val="center"/>
        <w:textAlignment w:val="auto"/>
        <w:rPr>
          <w:rFonts w:hint="eastAsia" w:ascii="Times New Roman" w:hAnsi="Times New Roman" w:eastAsia="黑体" w:cs="Times New Roman"/>
          <w:color w:val="000000" w:themeColor="text1"/>
          <w:sz w:val="24"/>
          <w:lang w:eastAsia="zh-CN"/>
          <w14:textFill>
            <w14:solidFill>
              <w14:schemeClr w14:val="tx1"/>
            </w14:solidFill>
          </w14:textFill>
        </w:rPr>
      </w:pPr>
      <w:r>
        <w:rPr>
          <w:rFonts w:hint="default" w:ascii="Times New Roman" w:hAnsi="Times New Roman" w:eastAsia="黑体" w:cs="Times New Roman"/>
          <w:color w:val="000000" w:themeColor="text1"/>
          <w:sz w:val="24"/>
          <w:highlight w:val="none"/>
          <w14:textFill>
            <w14:solidFill>
              <w14:schemeClr w14:val="tx1"/>
            </w14:solidFill>
          </w14:textFill>
        </w:rPr>
        <w:t>表3-</w:t>
      </w:r>
      <w:r>
        <w:rPr>
          <w:rFonts w:hint="eastAsia" w:eastAsia="黑体" w:cs="Times New Roman"/>
          <w:color w:val="000000" w:themeColor="text1"/>
          <w:sz w:val="24"/>
          <w:highlight w:val="none"/>
          <w:lang w:val="en-US" w:eastAsia="zh-CN"/>
          <w14:textFill>
            <w14:solidFill>
              <w14:schemeClr w14:val="tx1"/>
            </w14:solidFill>
          </w14:textFill>
        </w:rPr>
        <w:t>8</w:t>
      </w:r>
      <w:r>
        <w:rPr>
          <w:rFonts w:hint="default" w:ascii="Times New Roman" w:hAnsi="Times New Roman" w:eastAsia="黑体" w:cs="Times New Roman"/>
          <w:color w:val="000000" w:themeColor="text1"/>
          <w:sz w:val="24"/>
          <w:highlight w:val="none"/>
          <w14:textFill>
            <w14:solidFill>
              <w14:schemeClr w14:val="tx1"/>
            </w14:solidFill>
          </w14:textFill>
        </w:rPr>
        <w:t xml:space="preserve">  </w:t>
      </w:r>
      <w:r>
        <w:rPr>
          <w:rFonts w:hint="default" w:ascii="Times New Roman" w:hAnsi="Times New Roman" w:eastAsia="黑体" w:cs="Times New Roman"/>
          <w:color w:val="000000" w:themeColor="text1"/>
          <w:sz w:val="24"/>
          <w14:textFill>
            <w14:solidFill>
              <w14:schemeClr w14:val="tx1"/>
            </w14:solidFill>
          </w14:textFill>
        </w:rPr>
        <w:t>地形地貌景观破坏程度评价表</w:t>
      </w:r>
      <w:r>
        <w:rPr>
          <w:rFonts w:hint="eastAsia" w:ascii="Times New Roman" w:hAnsi="Times New Roman" w:eastAsia="黑体" w:cs="Times New Roman"/>
          <w:color w:val="000000" w:themeColor="text1"/>
          <w:sz w:val="24"/>
          <w:lang w:eastAsia="zh-CN"/>
          <w14:textFill>
            <w14:solidFill>
              <w14:schemeClr w14:val="tx1"/>
            </w14:solidFill>
          </w14:textFill>
        </w:rPr>
        <w:t>（</w:t>
      </w:r>
      <w:r>
        <w:rPr>
          <w:rFonts w:hint="eastAsia" w:eastAsia="黑体" w:cs="Times New Roman"/>
          <w:color w:val="000000" w:themeColor="text1"/>
          <w:sz w:val="24"/>
          <w:lang w:val="en-US" w:eastAsia="zh-CN"/>
          <w14:textFill>
            <w14:solidFill>
              <w14:schemeClr w14:val="tx1"/>
            </w14:solidFill>
          </w14:textFill>
        </w:rPr>
        <w:t>压占</w:t>
      </w:r>
      <w:r>
        <w:rPr>
          <w:rFonts w:hint="eastAsia" w:ascii="Times New Roman" w:hAnsi="Times New Roman" w:eastAsia="黑体" w:cs="Times New Roman"/>
          <w:color w:val="000000" w:themeColor="text1"/>
          <w:sz w:val="24"/>
          <w:lang w:eastAsia="zh-CN"/>
          <w14:textFill>
            <w14:solidFill>
              <w14:schemeClr w14:val="tx1"/>
            </w14:solidFill>
          </w14:textFill>
        </w:rPr>
        <w:t>）</w:t>
      </w:r>
    </w:p>
    <w:tbl>
      <w:tblPr>
        <w:tblStyle w:val="30"/>
        <w:tblW w:w="8334"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782"/>
        <w:gridCol w:w="2141"/>
        <w:gridCol w:w="2040"/>
        <w:gridCol w:w="1170"/>
        <w:gridCol w:w="1201"/>
      </w:tblGrid>
      <w:tr w14:paraId="557357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tblHeader/>
          <w:jc w:val="center"/>
        </w:trPr>
        <w:tc>
          <w:tcPr>
            <w:tcW w:w="1782" w:type="dxa"/>
            <w:noWrap w:val="0"/>
            <w:vAlign w:val="center"/>
          </w:tcPr>
          <w:p w14:paraId="5B4597F4">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评价单元</w:t>
            </w:r>
          </w:p>
        </w:tc>
        <w:tc>
          <w:tcPr>
            <w:tcW w:w="2141" w:type="dxa"/>
            <w:noWrap w:val="0"/>
            <w:vAlign w:val="center"/>
          </w:tcPr>
          <w:p w14:paraId="54E0443D">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评价因子</w:t>
            </w:r>
          </w:p>
        </w:tc>
        <w:tc>
          <w:tcPr>
            <w:tcW w:w="2040" w:type="dxa"/>
            <w:noWrap w:val="0"/>
            <w:vAlign w:val="center"/>
          </w:tcPr>
          <w:p w14:paraId="587FB64A">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损毁程度</w:t>
            </w:r>
          </w:p>
        </w:tc>
        <w:tc>
          <w:tcPr>
            <w:tcW w:w="1170" w:type="dxa"/>
            <w:tcBorders>
              <w:right w:val="single" w:color="auto" w:sz="4" w:space="0"/>
            </w:tcBorders>
            <w:noWrap w:val="0"/>
            <w:vAlign w:val="center"/>
          </w:tcPr>
          <w:p w14:paraId="650F641A">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得分</w:t>
            </w:r>
          </w:p>
        </w:tc>
        <w:tc>
          <w:tcPr>
            <w:tcW w:w="1201" w:type="dxa"/>
            <w:tcBorders>
              <w:right w:val="single" w:color="auto" w:sz="4" w:space="0"/>
            </w:tcBorders>
            <w:noWrap w:val="0"/>
            <w:vAlign w:val="center"/>
          </w:tcPr>
          <w:p w14:paraId="6AE7C98A">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评价结果</w:t>
            </w:r>
          </w:p>
        </w:tc>
      </w:tr>
      <w:tr w14:paraId="48E1F5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1782" w:type="dxa"/>
            <w:vMerge w:val="restart"/>
            <w:noWrap w:val="0"/>
            <w:vAlign w:val="center"/>
          </w:tcPr>
          <w:p w14:paraId="3038A4FF">
            <w:pPr>
              <w:keepNext w:val="0"/>
              <w:keepLines w:val="0"/>
              <w:suppressLineNumbers w:val="0"/>
              <w:spacing w:before="0" w:beforeAutospacing="0" w:after="0" w:afterAutospacing="0" w:line="240" w:lineRule="auto"/>
              <w:ind w:left="0" w:right="0"/>
              <w:contextualSpacing/>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表土存放场</w:t>
            </w:r>
          </w:p>
        </w:tc>
        <w:tc>
          <w:tcPr>
            <w:tcW w:w="2141" w:type="dxa"/>
            <w:noWrap w:val="0"/>
            <w:vAlign w:val="center"/>
          </w:tcPr>
          <w:p w14:paraId="50F26D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区位条件</w:t>
            </w:r>
          </w:p>
        </w:tc>
        <w:tc>
          <w:tcPr>
            <w:tcW w:w="2040" w:type="dxa"/>
            <w:noWrap w:val="0"/>
            <w:vAlign w:val="center"/>
          </w:tcPr>
          <w:p w14:paraId="12B8AC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少有人类活动区</w:t>
            </w:r>
          </w:p>
        </w:tc>
        <w:tc>
          <w:tcPr>
            <w:tcW w:w="1170" w:type="dxa"/>
            <w:vMerge w:val="restart"/>
            <w:tcBorders>
              <w:right w:val="single" w:color="auto" w:sz="4" w:space="0"/>
            </w:tcBorders>
            <w:noWrap w:val="0"/>
            <w:vAlign w:val="center"/>
          </w:tcPr>
          <w:p w14:paraId="283AB152">
            <w:pPr>
              <w:keepNext w:val="0"/>
              <w:keepLines w:val="0"/>
              <w:suppressLineNumbers w:val="0"/>
              <w:spacing w:before="0" w:beforeAutospacing="0" w:after="0" w:afterAutospacing="0" w:line="240" w:lineRule="auto"/>
              <w:ind w:left="0" w:right="0"/>
              <w:contextualSpacing/>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1.4</w:t>
            </w:r>
          </w:p>
        </w:tc>
        <w:tc>
          <w:tcPr>
            <w:tcW w:w="1201" w:type="dxa"/>
            <w:vMerge w:val="restart"/>
            <w:tcBorders>
              <w:left w:val="single" w:color="auto" w:sz="4" w:space="0"/>
            </w:tcBorders>
            <w:noWrap w:val="0"/>
            <w:vAlign w:val="center"/>
          </w:tcPr>
          <w:p w14:paraId="37E3217E">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较</w:t>
            </w:r>
            <w:r>
              <w:rPr>
                <w:rFonts w:hint="default" w:ascii="Times New Roman" w:hAnsi="Times New Roman" w:cs="Times New Roman"/>
                <w:color w:val="000000" w:themeColor="text1"/>
                <w:sz w:val="21"/>
                <w:szCs w:val="21"/>
                <w:lang w:eastAsia="zh-CN"/>
                <w14:textFill>
                  <w14:solidFill>
                    <w14:schemeClr w14:val="tx1"/>
                  </w14:solidFill>
                </w14:textFill>
              </w:rPr>
              <w:t>严重</w:t>
            </w:r>
          </w:p>
        </w:tc>
      </w:tr>
      <w:tr w14:paraId="2C74FF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1782" w:type="dxa"/>
            <w:vMerge w:val="continue"/>
            <w:noWrap w:val="0"/>
            <w:vAlign w:val="center"/>
          </w:tcPr>
          <w:p w14:paraId="04D97CD3">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141" w:type="dxa"/>
            <w:noWrap w:val="0"/>
            <w:vAlign w:val="center"/>
          </w:tcPr>
          <w:p w14:paraId="1C4164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可视程度</w:t>
            </w:r>
          </w:p>
        </w:tc>
        <w:tc>
          <w:tcPr>
            <w:tcW w:w="2040" w:type="dxa"/>
            <w:noWrap w:val="0"/>
            <w:vAlign w:val="center"/>
          </w:tcPr>
          <w:p w14:paraId="19607C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不可视</w:t>
            </w:r>
          </w:p>
        </w:tc>
        <w:tc>
          <w:tcPr>
            <w:tcW w:w="1170" w:type="dxa"/>
            <w:vMerge w:val="continue"/>
            <w:tcBorders>
              <w:right w:val="single" w:color="auto" w:sz="4" w:space="0"/>
            </w:tcBorders>
            <w:noWrap w:val="0"/>
            <w:vAlign w:val="center"/>
          </w:tcPr>
          <w:p w14:paraId="647A2E4D">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201" w:type="dxa"/>
            <w:vMerge w:val="continue"/>
            <w:tcBorders>
              <w:left w:val="single" w:color="auto" w:sz="4" w:space="0"/>
            </w:tcBorders>
            <w:noWrap w:val="0"/>
            <w:vAlign w:val="center"/>
          </w:tcPr>
          <w:p w14:paraId="1EAD175E">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09C0DD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1782" w:type="dxa"/>
            <w:vMerge w:val="continue"/>
            <w:noWrap w:val="0"/>
            <w:vAlign w:val="center"/>
          </w:tcPr>
          <w:p w14:paraId="24D6E7F5">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141" w:type="dxa"/>
            <w:noWrap w:val="0"/>
            <w:vAlign w:val="center"/>
          </w:tcPr>
          <w:p w14:paraId="35CC7B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场地面积</w:t>
            </w:r>
          </w:p>
        </w:tc>
        <w:tc>
          <w:tcPr>
            <w:tcW w:w="2040" w:type="dxa"/>
            <w:noWrap w:val="0"/>
            <w:vAlign w:val="center"/>
          </w:tcPr>
          <w:p w14:paraId="1A7216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1.0</w:t>
            </w:r>
            <w:r>
              <w:rPr>
                <w:rFonts w:hint="default" w:ascii="Times New Roman" w:hAnsi="Times New Roman" w:cs="Times New Roman"/>
                <w:color w:val="000000" w:themeColor="text1"/>
                <w:sz w:val="21"/>
                <w:szCs w:val="20"/>
                <w:lang w:val="en-US" w:eastAsia="zh-CN"/>
                <w14:textFill>
                  <w14:solidFill>
                    <w14:schemeClr w14:val="tx1"/>
                  </w14:solidFill>
                </w14:textFill>
              </w:rPr>
              <w:t>-5.0</w:t>
            </w:r>
            <w:r>
              <w:rPr>
                <w:rFonts w:hint="default" w:ascii="Times New Roman" w:hAnsi="Times New Roman" w:cs="Times New Roman"/>
                <w:color w:val="000000" w:themeColor="text1"/>
                <w:sz w:val="21"/>
                <w:szCs w:val="20"/>
                <w14:textFill>
                  <w14:solidFill>
                    <w14:schemeClr w14:val="tx1"/>
                  </w14:solidFill>
                </w14:textFill>
              </w:rPr>
              <w:t>hm</w:t>
            </w:r>
            <w:r>
              <w:rPr>
                <w:rFonts w:hint="default" w:ascii="Times New Roman" w:hAnsi="Times New Roman" w:cs="Times New Roman"/>
                <w:color w:val="000000" w:themeColor="text1"/>
                <w:sz w:val="21"/>
                <w:szCs w:val="20"/>
                <w:vertAlign w:val="superscript"/>
                <w14:textFill>
                  <w14:solidFill>
                    <w14:schemeClr w14:val="tx1"/>
                  </w14:solidFill>
                </w14:textFill>
              </w:rPr>
              <w:t>2</w:t>
            </w:r>
          </w:p>
        </w:tc>
        <w:tc>
          <w:tcPr>
            <w:tcW w:w="1170" w:type="dxa"/>
            <w:vMerge w:val="continue"/>
            <w:tcBorders>
              <w:right w:val="single" w:color="auto" w:sz="4" w:space="0"/>
            </w:tcBorders>
            <w:noWrap w:val="0"/>
            <w:vAlign w:val="center"/>
          </w:tcPr>
          <w:p w14:paraId="7F33838B">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201" w:type="dxa"/>
            <w:vMerge w:val="continue"/>
            <w:tcBorders>
              <w:left w:val="single" w:color="auto" w:sz="4" w:space="0"/>
            </w:tcBorders>
            <w:noWrap w:val="0"/>
            <w:vAlign w:val="center"/>
          </w:tcPr>
          <w:p w14:paraId="38800C25">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153825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1782" w:type="dxa"/>
            <w:vMerge w:val="continue"/>
            <w:noWrap w:val="0"/>
            <w:vAlign w:val="center"/>
          </w:tcPr>
          <w:p w14:paraId="1B32DC88">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141" w:type="dxa"/>
            <w:noWrap w:val="0"/>
            <w:vAlign w:val="center"/>
          </w:tcPr>
          <w:p w14:paraId="7C46C8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排土（渣）高度</w:t>
            </w:r>
          </w:p>
        </w:tc>
        <w:tc>
          <w:tcPr>
            <w:tcW w:w="2040" w:type="dxa"/>
            <w:noWrap w:val="0"/>
            <w:vAlign w:val="center"/>
          </w:tcPr>
          <w:p w14:paraId="1C9B20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lang w:val="en-US" w:eastAsia="zh-CN"/>
                <w14:textFill>
                  <w14:solidFill>
                    <w14:schemeClr w14:val="tx1"/>
                  </w14:solidFill>
                </w14:textFill>
              </w:rPr>
              <w:t>＜5</w:t>
            </w:r>
            <w:r>
              <w:rPr>
                <w:rFonts w:hint="default" w:ascii="Times New Roman" w:hAnsi="Times New Roman" w:cs="Times New Roman"/>
                <w:color w:val="000000" w:themeColor="text1"/>
                <w:sz w:val="21"/>
                <w:szCs w:val="20"/>
                <w14:textFill>
                  <w14:solidFill>
                    <w14:schemeClr w14:val="tx1"/>
                  </w14:solidFill>
                </w14:textFill>
              </w:rPr>
              <w:t>m</w:t>
            </w:r>
          </w:p>
        </w:tc>
        <w:tc>
          <w:tcPr>
            <w:tcW w:w="1170" w:type="dxa"/>
            <w:vMerge w:val="continue"/>
            <w:tcBorders>
              <w:right w:val="single" w:color="auto" w:sz="4" w:space="0"/>
            </w:tcBorders>
            <w:noWrap w:val="0"/>
            <w:vAlign w:val="center"/>
          </w:tcPr>
          <w:p w14:paraId="3D48E71B">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201" w:type="dxa"/>
            <w:vMerge w:val="continue"/>
            <w:tcBorders>
              <w:left w:val="single" w:color="auto" w:sz="4" w:space="0"/>
            </w:tcBorders>
            <w:noWrap w:val="0"/>
            <w:vAlign w:val="center"/>
          </w:tcPr>
          <w:p w14:paraId="1DBCCA41">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2FC054D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1782" w:type="dxa"/>
            <w:vMerge w:val="continue"/>
            <w:noWrap w:val="0"/>
            <w:vAlign w:val="center"/>
          </w:tcPr>
          <w:p w14:paraId="66973724">
            <w:pPr>
              <w:keepNext w:val="0"/>
              <w:keepLines w:val="0"/>
              <w:suppressLineNumbers w:val="0"/>
              <w:spacing w:before="0" w:beforeAutospacing="0" w:after="0" w:afterAutospacing="0" w:line="240" w:lineRule="auto"/>
              <w:ind w:left="0" w:right="0"/>
              <w:contextualSpacing/>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2141" w:type="dxa"/>
            <w:noWrap w:val="0"/>
            <w:vAlign w:val="center"/>
          </w:tcPr>
          <w:p w14:paraId="43699F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边坡规整情况</w:t>
            </w:r>
          </w:p>
        </w:tc>
        <w:tc>
          <w:tcPr>
            <w:tcW w:w="2040" w:type="dxa"/>
            <w:noWrap w:val="0"/>
            <w:vAlign w:val="center"/>
          </w:tcPr>
          <w:p w14:paraId="3CFE06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lang w:val="en-US" w:eastAsia="zh-CN"/>
                <w14:textFill>
                  <w14:solidFill>
                    <w14:schemeClr w14:val="tx1"/>
                  </w14:solidFill>
                </w14:textFill>
              </w:rPr>
              <w:t>欠</w:t>
            </w:r>
            <w:r>
              <w:rPr>
                <w:rFonts w:hint="default" w:ascii="Times New Roman" w:hAnsi="Times New Roman" w:cs="Times New Roman"/>
                <w:color w:val="000000" w:themeColor="text1"/>
                <w:sz w:val="21"/>
                <w:szCs w:val="20"/>
                <w14:textFill>
                  <w14:solidFill>
                    <w14:schemeClr w14:val="tx1"/>
                  </w14:solidFill>
                </w14:textFill>
              </w:rPr>
              <w:t>规整</w:t>
            </w:r>
          </w:p>
        </w:tc>
        <w:tc>
          <w:tcPr>
            <w:tcW w:w="1170" w:type="dxa"/>
            <w:vMerge w:val="continue"/>
            <w:tcBorders>
              <w:right w:val="single" w:color="auto" w:sz="4" w:space="0"/>
            </w:tcBorders>
            <w:noWrap w:val="0"/>
            <w:vAlign w:val="center"/>
          </w:tcPr>
          <w:p w14:paraId="30D8BA2E">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201" w:type="dxa"/>
            <w:vMerge w:val="continue"/>
            <w:tcBorders>
              <w:left w:val="single" w:color="auto" w:sz="4" w:space="0"/>
            </w:tcBorders>
            <w:noWrap w:val="0"/>
            <w:vAlign w:val="center"/>
          </w:tcPr>
          <w:p w14:paraId="6D350F85">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bl>
    <w:p w14:paraId="6521F8A5">
      <w:pPr>
        <w:keepNext w:val="0"/>
        <w:keepLines w:val="0"/>
        <w:pageBreakBefore w:val="0"/>
        <w:widowControl w:val="0"/>
        <w:kinsoku/>
        <w:wordWrap/>
        <w:overflowPunct/>
        <w:topLinePunct w:val="0"/>
        <w:autoSpaceDE/>
        <w:autoSpaceDN/>
        <w:bidi w:val="0"/>
        <w:adjustRightInd/>
        <w:snapToGrid/>
        <w:spacing w:before="157" w:beforeLines="50"/>
        <w:contextualSpacing/>
        <w:jc w:val="center"/>
        <w:textAlignment w:val="auto"/>
        <w:rPr>
          <w:rFonts w:hint="eastAsia" w:ascii="宋体" w:hAnsi="宋体" w:eastAsia="宋体" w:cs="宋体"/>
          <w:b/>
          <w:bCs/>
          <w:color w:val="000000" w:themeColor="text1"/>
          <w:sz w:val="28"/>
          <w:szCs w:val="28"/>
          <w:lang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w:t>
      </w:r>
    </w:p>
    <w:p w14:paraId="032DD6AC">
      <w:pPr>
        <w:spacing w:line="360" w:lineRule="auto"/>
        <w:contextualSpacing/>
        <w:jc w:val="center"/>
        <w:rPr>
          <w:rFonts w:hint="eastAsia" w:ascii="黑体" w:hAnsi="黑体" w:eastAsia="黑体" w:cs="黑体"/>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照片3-</w:t>
      </w:r>
      <w:r>
        <w:rPr>
          <w:rFonts w:hint="eastAsia" w:ascii="黑体" w:hAnsi="黑体" w:eastAsia="黑体" w:cs="黑体"/>
          <w:b w:val="0"/>
          <w:bCs w:val="0"/>
          <w:color w:val="000000" w:themeColor="text1"/>
          <w:sz w:val="24"/>
          <w:szCs w:val="24"/>
          <w:lang w:val="en-US" w:eastAsia="zh-CN"/>
          <w14:textFill>
            <w14:solidFill>
              <w14:schemeClr w14:val="tx1"/>
            </w14:solidFill>
          </w14:textFill>
        </w:rPr>
        <w:t>10</w:t>
      </w:r>
      <w:r>
        <w:rPr>
          <w:rFonts w:hint="eastAsia" w:ascii="黑体" w:hAnsi="黑体" w:eastAsia="黑体" w:cs="黑体"/>
          <w:b w:val="0"/>
          <w:bCs w:val="0"/>
          <w:color w:val="000000" w:themeColor="text1"/>
          <w:sz w:val="24"/>
          <w:szCs w:val="24"/>
          <w14:textFill>
            <w14:solidFill>
              <w14:schemeClr w14:val="tx1"/>
            </w14:solidFill>
          </w14:textFill>
        </w:rPr>
        <w:t xml:space="preserve">  表土存放场</w:t>
      </w:r>
    </w:p>
    <w:p w14:paraId="1F4F52C1">
      <w:pPr>
        <w:keepNext w:val="0"/>
        <w:keepLines w:val="0"/>
        <w:pageBreakBefore w:val="0"/>
        <w:widowControl w:val="0"/>
        <w:kinsoku/>
        <w:wordWrap/>
        <w:overflowPunct/>
        <w:topLinePunct w:val="0"/>
        <w:autoSpaceDE/>
        <w:autoSpaceDN/>
        <w:bidi w:val="0"/>
        <w:adjustRightInd/>
        <w:snapToGrid/>
        <w:spacing w:before="157" w:beforeLines="50" w:line="360" w:lineRule="auto"/>
        <w:ind w:firstLine="562" w:firstLineChars="200"/>
        <w:contextualSpacing/>
        <w:textAlignment w:val="auto"/>
        <w:rPr>
          <w:rFonts w:hint="default" w:ascii="Times New Roman" w:hAnsi="Times New Roman" w:cs="Times New Roman"/>
          <w:b/>
          <w:bCs/>
          <w:color w:val="000000" w:themeColor="text1"/>
          <w:sz w:val="28"/>
          <w:szCs w:val="28"/>
          <w:lang w:val="en-US" w:eastAsia="zh-CN"/>
          <w14:textFill>
            <w14:solidFill>
              <w14:schemeClr w14:val="tx1"/>
            </w14:solidFill>
          </w14:textFill>
        </w:rPr>
      </w:pPr>
      <w:r>
        <w:rPr>
          <w:rFonts w:hint="default" w:ascii="Times New Roman" w:hAnsi="Times New Roman" w:cs="Times New Roman"/>
          <w:b/>
          <w:bCs/>
          <w:color w:val="000000" w:themeColor="text1"/>
          <w:sz w:val="28"/>
          <w:szCs w:val="28"/>
          <w:lang w:eastAsia="zh-CN"/>
          <w14:textFill>
            <w14:solidFill>
              <w14:schemeClr w14:val="tx1"/>
            </w14:solidFill>
          </w14:textFill>
        </w:rPr>
        <w:t>（</w:t>
      </w:r>
      <w:r>
        <w:rPr>
          <w:rFonts w:hint="default" w:ascii="Times New Roman" w:hAnsi="Times New Roman" w:cs="Times New Roman"/>
          <w:b/>
          <w:bCs/>
          <w:color w:val="000000" w:themeColor="text1"/>
          <w:sz w:val="28"/>
          <w:szCs w:val="28"/>
          <w:lang w:val="en-US" w:eastAsia="zh-CN"/>
          <w14:textFill>
            <w14:solidFill>
              <w14:schemeClr w14:val="tx1"/>
            </w14:solidFill>
          </w14:textFill>
        </w:rPr>
        <w:t>7</w:t>
      </w:r>
      <w:r>
        <w:rPr>
          <w:rFonts w:hint="default" w:ascii="Times New Roman" w:hAnsi="Times New Roman" w:cs="Times New Roman"/>
          <w:b/>
          <w:bCs/>
          <w:color w:val="000000" w:themeColor="text1"/>
          <w:sz w:val="28"/>
          <w:szCs w:val="28"/>
          <w:lang w:eastAsia="zh-CN"/>
          <w14:textFill>
            <w14:solidFill>
              <w14:schemeClr w14:val="tx1"/>
            </w14:solidFill>
          </w14:textFill>
        </w:rPr>
        <w:t>）</w:t>
      </w:r>
      <w:r>
        <w:rPr>
          <w:rFonts w:hint="default" w:ascii="Times New Roman" w:hAnsi="Times New Roman" w:cs="Times New Roman"/>
          <w:b/>
          <w:bCs/>
          <w:color w:val="000000" w:themeColor="text1"/>
          <w:sz w:val="28"/>
          <w:szCs w:val="28"/>
          <w:lang w:val="en-US" w:eastAsia="zh-CN"/>
          <w14:textFill>
            <w14:solidFill>
              <w14:schemeClr w14:val="tx1"/>
            </w14:solidFill>
          </w14:textFill>
        </w:rPr>
        <w:t>办公生活区</w:t>
      </w:r>
    </w:p>
    <w:p w14:paraId="0ADD28BC">
      <w:pPr>
        <w:pStyle w:val="69"/>
        <w:ind w:firstLine="56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办公生活区位于矿区西侧，占地面积0.2217hm</w:t>
      </w:r>
      <w:r>
        <w:rPr>
          <w:rFonts w:hint="default" w:ascii="Times New Roman" w:hAnsi="Times New Roman" w:cs="Times New Roman"/>
          <w:b w:val="0"/>
          <w:bCs w:val="0"/>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b w:val="0"/>
          <w:bCs w:val="0"/>
          <w:color w:val="000000" w:themeColor="text1"/>
          <w:sz w:val="28"/>
          <w:szCs w:val="28"/>
          <w:vertAlign w:val="baseline"/>
          <w:lang w:val="en-US" w:eastAsia="zh-CN"/>
          <w14:textFill>
            <w14:solidFill>
              <w14:schemeClr w14:val="tx1"/>
            </w14:solidFill>
          </w14:textFill>
        </w:rPr>
        <w:t>，</w:t>
      </w: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供矿山</w:t>
      </w:r>
      <w:r>
        <w:rPr>
          <w:rFonts w:hint="default" w:ascii="Times New Roman" w:hAnsi="Times New Roman" w:cs="Times New Roman"/>
          <w:b w:val="0"/>
          <w:bCs w:val="0"/>
          <w:color w:val="000000" w:themeColor="text1"/>
          <w:sz w:val="28"/>
          <w:szCs w:val="28"/>
          <w:lang w:eastAsia="zh-CN"/>
          <w14:textFill>
            <w14:solidFill>
              <w14:schemeClr w14:val="tx1"/>
            </w14:solidFill>
          </w14:textFill>
        </w:rPr>
        <w:t>工作人员生活居住</w:t>
      </w: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及办公</w:t>
      </w:r>
      <w:r>
        <w:rPr>
          <w:rFonts w:hint="default" w:ascii="Times New Roman" w:hAnsi="Times New Roman" w:cs="Times New Roman"/>
          <w:b w:val="0"/>
          <w:bCs w:val="0"/>
          <w:color w:val="000000" w:themeColor="text1"/>
          <w:sz w:val="28"/>
          <w:szCs w:val="28"/>
          <w:lang w:eastAsia="zh-CN"/>
          <w14:textFill>
            <w14:solidFill>
              <w14:schemeClr w14:val="tx1"/>
            </w14:solidFill>
          </w14:textFill>
        </w:rPr>
        <w:t>，</w:t>
      </w: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建筑占地面积0.0346hm</w:t>
      </w:r>
      <w:r>
        <w:rPr>
          <w:rFonts w:hint="default" w:ascii="Times New Roman" w:hAnsi="Times New Roman" w:cs="Times New Roman"/>
          <w:b w:val="0"/>
          <w:bCs w:val="0"/>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b w:val="0"/>
          <w:bCs w:val="0"/>
          <w:color w:val="000000" w:themeColor="text1"/>
          <w:sz w:val="28"/>
          <w:szCs w:val="28"/>
          <w:vertAlign w:val="baseline"/>
          <w:lang w:val="en-US" w:eastAsia="zh-CN"/>
          <w14:textFill>
            <w14:solidFill>
              <w14:schemeClr w14:val="tx1"/>
            </w14:solidFill>
          </w14:textFill>
        </w:rPr>
        <w:t>，</w:t>
      </w: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建筑为</w:t>
      </w:r>
      <w:r>
        <w:rPr>
          <w:rFonts w:hint="default" w:ascii="Times New Roman" w:hAnsi="Times New Roman" w:cs="Times New Roman"/>
          <w:b w:val="0"/>
          <w:bCs w:val="0"/>
          <w:color w:val="000000" w:themeColor="text1"/>
          <w:sz w:val="28"/>
          <w:szCs w:val="28"/>
          <w:lang w:eastAsia="zh-CN"/>
          <w14:textFill>
            <w14:solidFill>
              <w14:schemeClr w14:val="tx1"/>
            </w14:solidFill>
          </w14:textFill>
        </w:rPr>
        <w:t>砖混结构平房，</w:t>
      </w:r>
      <w:r>
        <w:rPr>
          <w:rFonts w:hint="default" w:ascii="Times New Roman" w:hAnsi="Times New Roman" w:cs="Times New Roman"/>
          <w:b w:val="0"/>
          <w:bCs w:val="0"/>
          <w:color w:val="000000" w:themeColor="text1"/>
          <w:sz w:val="28"/>
          <w:szCs w:val="28"/>
          <w:lang w:val="en-US" w:eastAsia="zh-CN"/>
          <w14:textFill>
            <w14:solidFill>
              <w14:schemeClr w14:val="tx1"/>
            </w14:solidFill>
          </w14:textFill>
        </w:rPr>
        <w:t>平均高度4m</w:t>
      </w:r>
      <w:r>
        <w:rPr>
          <w:rFonts w:hint="default" w:ascii="Times New Roman" w:hAnsi="Times New Roman" w:cs="Times New Roman"/>
          <w:b w:val="0"/>
          <w:bCs w:val="0"/>
          <w:color w:val="000000" w:themeColor="text1"/>
          <w:sz w:val="28"/>
          <w:szCs w:val="28"/>
          <w:lang w:eastAsia="zh-CN"/>
          <w14:textFill>
            <w14:solidFill>
              <w14:schemeClr w14:val="tx1"/>
            </w14:solidFill>
          </w14:textFill>
        </w:rPr>
        <w:t>，</w:t>
      </w:r>
      <w:r>
        <w:rPr>
          <w:rStyle w:val="168"/>
          <w:rFonts w:hint="default" w:ascii="Times New Roman" w:hAnsi="Times New Roman" w:eastAsia="宋体" w:cs="Times New Roman"/>
          <w:color w:val="000000" w:themeColor="text1"/>
          <w:sz w:val="28"/>
          <w:szCs w:val="28"/>
          <w:lang w:val="en-US" w:eastAsia="zh-CN"/>
          <w14:textFill>
            <w14:solidFill>
              <w14:schemeClr w14:val="tx1"/>
            </w14:solidFill>
          </w14:textFill>
        </w:rPr>
        <w:t>场地的建设破坏了地形地貌景观和地表植被，对矿区地形地貌景观破坏程度为较严重</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（见照片3-</w:t>
      </w:r>
      <w:r>
        <w:rPr>
          <w:rFonts w:hint="eastAsia" w:ascii="Times New Roman" w:hAnsi="Times New Roman" w:cs="Times New Roman"/>
          <w:color w:val="000000" w:themeColor="text1"/>
          <w:sz w:val="28"/>
          <w:szCs w:val="28"/>
          <w:highlight w:val="none"/>
          <w:lang w:val="en-US" w:eastAsia="zh-CN"/>
          <w14:textFill>
            <w14:solidFill>
              <w14:schemeClr w14:val="tx1"/>
            </w14:solidFill>
          </w14:textFill>
        </w:rPr>
        <w:t>11</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14:textFill>
            <w14:solidFill>
              <w14:schemeClr w14:val="tx1"/>
            </w14:solidFill>
          </w14:textFill>
        </w:rPr>
        <w:t>。</w:t>
      </w:r>
    </w:p>
    <w:p w14:paraId="2C5A23DB">
      <w:pPr>
        <w:keepNext w:val="0"/>
        <w:keepLines w:val="0"/>
        <w:pageBreakBefore w:val="0"/>
        <w:widowControl/>
        <w:kinsoku/>
        <w:wordWrap/>
        <w:overflowPunct/>
        <w:topLinePunct w:val="0"/>
        <w:autoSpaceDE/>
        <w:autoSpaceDN/>
        <w:bidi w:val="0"/>
        <w:adjustRightInd/>
        <w:snapToGrid/>
        <w:spacing w:after="0" w:line="360" w:lineRule="auto"/>
        <w:contextualSpacing/>
        <w:jc w:val="center"/>
        <w:textAlignment w:val="auto"/>
        <w:rPr>
          <w:rFonts w:hint="default" w:ascii="Times New Roman" w:hAnsi="Times New Roman" w:eastAsia="黑体" w:cs="Times New Roman"/>
          <w:color w:val="000000" w:themeColor="text1"/>
          <w:sz w:val="24"/>
          <w:highlight w:val="none"/>
          <w14:textFill>
            <w14:solidFill>
              <w14:schemeClr w14:val="tx1"/>
            </w14:solidFill>
          </w14:textFill>
        </w:rPr>
      </w:pPr>
      <w:r>
        <w:rPr>
          <w:rFonts w:hint="default" w:ascii="Times New Roman" w:hAnsi="Times New Roman" w:eastAsia="黑体" w:cs="Times New Roman"/>
          <w:color w:val="000000" w:themeColor="text1"/>
          <w:sz w:val="24"/>
          <w:highlight w:val="none"/>
          <w14:textFill>
            <w14:solidFill>
              <w14:schemeClr w14:val="tx1"/>
            </w14:solidFill>
          </w14:textFill>
        </w:rPr>
        <w:t>表3-</w:t>
      </w:r>
      <w:r>
        <w:rPr>
          <w:rFonts w:hint="eastAsia" w:eastAsia="黑体" w:cs="Times New Roman"/>
          <w:color w:val="000000" w:themeColor="text1"/>
          <w:sz w:val="24"/>
          <w:highlight w:val="none"/>
          <w:lang w:val="en-US" w:eastAsia="zh-CN"/>
          <w14:textFill>
            <w14:solidFill>
              <w14:schemeClr w14:val="tx1"/>
            </w14:solidFill>
          </w14:textFill>
        </w:rPr>
        <w:t>9</w:t>
      </w:r>
      <w:r>
        <w:rPr>
          <w:rFonts w:hint="default" w:ascii="Times New Roman" w:hAnsi="Times New Roman" w:eastAsia="黑体" w:cs="Times New Roman"/>
          <w:color w:val="000000" w:themeColor="text1"/>
          <w:sz w:val="24"/>
          <w:highlight w:val="none"/>
          <w14:textFill>
            <w14:solidFill>
              <w14:schemeClr w14:val="tx1"/>
            </w14:solidFill>
          </w14:textFill>
        </w:rPr>
        <w:t xml:space="preserve">  地形地貌景观破坏程度评价表</w:t>
      </w:r>
      <w:r>
        <w:rPr>
          <w:rFonts w:hint="eastAsia" w:ascii="Times New Roman" w:hAnsi="Times New Roman" w:eastAsia="黑体" w:cs="Times New Roman"/>
          <w:color w:val="000000" w:themeColor="text1"/>
          <w:sz w:val="24"/>
          <w:lang w:eastAsia="zh-CN"/>
          <w14:textFill>
            <w14:solidFill>
              <w14:schemeClr w14:val="tx1"/>
            </w14:solidFill>
          </w14:textFill>
        </w:rPr>
        <w:t>（</w:t>
      </w:r>
      <w:r>
        <w:rPr>
          <w:rFonts w:hint="eastAsia" w:ascii="Times New Roman" w:hAnsi="Times New Roman" w:eastAsia="黑体" w:cs="Times New Roman"/>
          <w:color w:val="000000" w:themeColor="text1"/>
          <w:sz w:val="24"/>
          <w:lang w:val="en-US" w:eastAsia="zh-CN"/>
          <w14:textFill>
            <w14:solidFill>
              <w14:schemeClr w14:val="tx1"/>
            </w14:solidFill>
          </w14:textFill>
        </w:rPr>
        <w:t>压占</w:t>
      </w:r>
      <w:r>
        <w:rPr>
          <w:rFonts w:hint="eastAsia" w:ascii="Times New Roman" w:hAnsi="Times New Roman" w:eastAsia="黑体" w:cs="Times New Roman"/>
          <w:color w:val="000000" w:themeColor="text1"/>
          <w:sz w:val="24"/>
          <w:lang w:eastAsia="zh-CN"/>
          <w14:textFill>
            <w14:solidFill>
              <w14:schemeClr w14:val="tx1"/>
            </w14:solidFill>
          </w14:textFill>
        </w:rPr>
        <w:t>）</w:t>
      </w:r>
    </w:p>
    <w:tbl>
      <w:tblPr>
        <w:tblStyle w:val="30"/>
        <w:tblW w:w="8249"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826"/>
        <w:gridCol w:w="2385"/>
        <w:gridCol w:w="1935"/>
        <w:gridCol w:w="945"/>
        <w:gridCol w:w="1158"/>
      </w:tblGrid>
      <w:tr w14:paraId="7112AC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blHeader/>
          <w:jc w:val="center"/>
        </w:trPr>
        <w:tc>
          <w:tcPr>
            <w:tcW w:w="1826" w:type="dxa"/>
            <w:noWrap w:val="0"/>
            <w:vAlign w:val="center"/>
          </w:tcPr>
          <w:p w14:paraId="159035B7">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评价单元</w:t>
            </w:r>
          </w:p>
        </w:tc>
        <w:tc>
          <w:tcPr>
            <w:tcW w:w="2385" w:type="dxa"/>
            <w:noWrap w:val="0"/>
            <w:vAlign w:val="center"/>
          </w:tcPr>
          <w:p w14:paraId="24C6AE7C">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评价因子</w:t>
            </w:r>
          </w:p>
        </w:tc>
        <w:tc>
          <w:tcPr>
            <w:tcW w:w="1935" w:type="dxa"/>
            <w:noWrap w:val="0"/>
            <w:vAlign w:val="center"/>
          </w:tcPr>
          <w:p w14:paraId="42A1EA23">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损毁程度</w:t>
            </w:r>
          </w:p>
        </w:tc>
        <w:tc>
          <w:tcPr>
            <w:tcW w:w="945" w:type="dxa"/>
            <w:tcBorders>
              <w:right w:val="single" w:color="auto" w:sz="4" w:space="0"/>
            </w:tcBorders>
            <w:noWrap w:val="0"/>
            <w:vAlign w:val="center"/>
          </w:tcPr>
          <w:p w14:paraId="1FC6D57C">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得分</w:t>
            </w:r>
          </w:p>
        </w:tc>
        <w:tc>
          <w:tcPr>
            <w:tcW w:w="1158" w:type="dxa"/>
            <w:tcBorders>
              <w:right w:val="single" w:color="auto" w:sz="4" w:space="0"/>
            </w:tcBorders>
            <w:noWrap w:val="0"/>
            <w:vAlign w:val="center"/>
          </w:tcPr>
          <w:p w14:paraId="72A6338A">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评价结果</w:t>
            </w:r>
          </w:p>
        </w:tc>
      </w:tr>
      <w:tr w14:paraId="362C9F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1826" w:type="dxa"/>
            <w:vMerge w:val="restart"/>
            <w:noWrap w:val="0"/>
            <w:vAlign w:val="center"/>
          </w:tcPr>
          <w:p w14:paraId="762D789E">
            <w:pPr>
              <w:keepNext w:val="0"/>
              <w:keepLines w:val="0"/>
              <w:suppressLineNumbers w:val="0"/>
              <w:spacing w:before="0" w:beforeAutospacing="0" w:after="0" w:afterAutospacing="0" w:line="240" w:lineRule="auto"/>
              <w:ind w:left="0" w:right="0"/>
              <w:contextualSpacing/>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办公生活区</w:t>
            </w:r>
          </w:p>
        </w:tc>
        <w:tc>
          <w:tcPr>
            <w:tcW w:w="2385" w:type="dxa"/>
            <w:noWrap w:val="0"/>
            <w:vAlign w:val="center"/>
          </w:tcPr>
          <w:p w14:paraId="6F53EA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区位条件</w:t>
            </w:r>
          </w:p>
        </w:tc>
        <w:tc>
          <w:tcPr>
            <w:tcW w:w="1935" w:type="dxa"/>
            <w:noWrap w:val="0"/>
            <w:vAlign w:val="center"/>
          </w:tcPr>
          <w:p w14:paraId="484C65FD">
            <w:pPr>
              <w:keepNext w:val="0"/>
              <w:keepLines w:val="0"/>
              <w:suppressLineNumbers w:val="0"/>
              <w:spacing w:before="0" w:beforeAutospacing="0" w:after="0" w:afterAutospacing="0" w:line="240" w:lineRule="auto"/>
              <w:ind w:left="0" w:leftChars="0" w:right="0" w:rightChars="0" w:firstLine="0" w:firstLineChars="0"/>
              <w:contextualSpacing/>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人类活动中等区</w:t>
            </w:r>
          </w:p>
        </w:tc>
        <w:tc>
          <w:tcPr>
            <w:tcW w:w="945" w:type="dxa"/>
            <w:vMerge w:val="restart"/>
            <w:tcBorders>
              <w:right w:val="single" w:color="auto" w:sz="4" w:space="0"/>
            </w:tcBorders>
            <w:noWrap w:val="0"/>
            <w:vAlign w:val="center"/>
          </w:tcPr>
          <w:p w14:paraId="65126E01">
            <w:pPr>
              <w:keepNext w:val="0"/>
              <w:keepLines w:val="0"/>
              <w:suppressLineNumbers w:val="0"/>
              <w:spacing w:before="0" w:beforeAutospacing="0" w:after="0" w:afterAutospacing="0" w:line="240" w:lineRule="auto"/>
              <w:ind w:left="0" w:right="0"/>
              <w:contextualSpacing/>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w:t>
            </w:r>
            <w:r>
              <w:rPr>
                <w:rFonts w:hint="eastAsia" w:cs="Times New Roman"/>
                <w:color w:val="000000" w:themeColor="text1"/>
                <w:sz w:val="21"/>
                <w:szCs w:val="21"/>
                <w:lang w:val="en-US" w:eastAsia="zh-CN"/>
                <w14:textFill>
                  <w14:solidFill>
                    <w14:schemeClr w14:val="tx1"/>
                  </w14:solidFill>
                </w14:textFill>
              </w:rPr>
              <w:t>7</w:t>
            </w:r>
          </w:p>
        </w:tc>
        <w:tc>
          <w:tcPr>
            <w:tcW w:w="1158" w:type="dxa"/>
            <w:vMerge w:val="restart"/>
            <w:tcBorders>
              <w:left w:val="single" w:color="auto" w:sz="4" w:space="0"/>
            </w:tcBorders>
            <w:noWrap w:val="0"/>
            <w:vAlign w:val="center"/>
          </w:tcPr>
          <w:p w14:paraId="1B40D2AE">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较</w:t>
            </w:r>
            <w:r>
              <w:rPr>
                <w:rFonts w:hint="default" w:ascii="Times New Roman" w:hAnsi="Times New Roman" w:cs="Times New Roman"/>
                <w:color w:val="000000" w:themeColor="text1"/>
                <w:sz w:val="21"/>
                <w:szCs w:val="21"/>
                <w:lang w:eastAsia="zh-CN"/>
                <w14:textFill>
                  <w14:solidFill>
                    <w14:schemeClr w14:val="tx1"/>
                  </w14:solidFill>
                </w14:textFill>
              </w:rPr>
              <w:t>严重</w:t>
            </w:r>
          </w:p>
        </w:tc>
      </w:tr>
      <w:tr w14:paraId="292639E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1826" w:type="dxa"/>
            <w:vMerge w:val="continue"/>
            <w:noWrap w:val="0"/>
            <w:vAlign w:val="center"/>
          </w:tcPr>
          <w:p w14:paraId="1C6080A2">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85" w:type="dxa"/>
            <w:noWrap w:val="0"/>
            <w:vAlign w:val="center"/>
          </w:tcPr>
          <w:p w14:paraId="5AC4B7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可视程度</w:t>
            </w:r>
          </w:p>
        </w:tc>
        <w:tc>
          <w:tcPr>
            <w:tcW w:w="1935" w:type="dxa"/>
            <w:noWrap w:val="0"/>
            <w:vAlign w:val="center"/>
          </w:tcPr>
          <w:p w14:paraId="1C0C4AC1">
            <w:pPr>
              <w:keepNext w:val="0"/>
              <w:keepLines w:val="0"/>
              <w:suppressLineNumbers w:val="0"/>
              <w:spacing w:before="0" w:beforeAutospacing="0" w:after="0" w:afterAutospacing="0" w:line="240" w:lineRule="auto"/>
              <w:ind w:left="0" w:leftChars="0" w:right="0" w:rightChars="0" w:firstLine="0" w:firstLineChars="0"/>
              <w:contextualSpacing/>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局部可视</w:t>
            </w:r>
          </w:p>
        </w:tc>
        <w:tc>
          <w:tcPr>
            <w:tcW w:w="945" w:type="dxa"/>
            <w:vMerge w:val="continue"/>
            <w:tcBorders>
              <w:right w:val="single" w:color="auto" w:sz="4" w:space="0"/>
            </w:tcBorders>
            <w:noWrap w:val="0"/>
            <w:vAlign w:val="center"/>
          </w:tcPr>
          <w:p w14:paraId="320F8E53">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158" w:type="dxa"/>
            <w:vMerge w:val="continue"/>
            <w:tcBorders>
              <w:left w:val="single" w:color="auto" w:sz="4" w:space="0"/>
            </w:tcBorders>
            <w:noWrap w:val="0"/>
            <w:vAlign w:val="center"/>
          </w:tcPr>
          <w:p w14:paraId="4CDB6C5C">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63F0311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1826" w:type="dxa"/>
            <w:vMerge w:val="continue"/>
            <w:noWrap w:val="0"/>
            <w:vAlign w:val="center"/>
          </w:tcPr>
          <w:p w14:paraId="780E1216">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85" w:type="dxa"/>
            <w:noWrap w:val="0"/>
            <w:vAlign w:val="center"/>
          </w:tcPr>
          <w:p w14:paraId="60AC1F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0"/>
                <w:lang w:val="en-US" w:eastAsia="zh-CN"/>
                <w14:textFill>
                  <w14:solidFill>
                    <w14:schemeClr w14:val="tx1"/>
                  </w14:solidFill>
                </w14:textFill>
              </w:rPr>
              <w:t>场地</w:t>
            </w:r>
            <w:r>
              <w:rPr>
                <w:rFonts w:hint="default" w:ascii="Times New Roman" w:hAnsi="Times New Roman" w:cs="Times New Roman"/>
                <w:color w:val="000000" w:themeColor="text1"/>
                <w:sz w:val="21"/>
                <w:szCs w:val="20"/>
                <w14:textFill>
                  <w14:solidFill>
                    <w14:schemeClr w14:val="tx1"/>
                  </w14:solidFill>
                </w14:textFill>
              </w:rPr>
              <w:t>面积</w:t>
            </w:r>
          </w:p>
        </w:tc>
        <w:tc>
          <w:tcPr>
            <w:tcW w:w="1935" w:type="dxa"/>
            <w:noWrap w:val="0"/>
            <w:vAlign w:val="center"/>
          </w:tcPr>
          <w:p w14:paraId="0567D96C">
            <w:pPr>
              <w:keepNext w:val="0"/>
              <w:keepLines w:val="0"/>
              <w:suppressLineNumbers w:val="0"/>
              <w:spacing w:before="0" w:beforeAutospacing="0" w:after="0" w:afterAutospacing="0" w:line="240" w:lineRule="auto"/>
              <w:ind w:left="0" w:leftChars="0" w:right="0" w:rightChars="0" w:firstLine="0" w:firstLineChars="0"/>
              <w:contextualSpacing/>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&lt;1.0hm</w:t>
            </w:r>
            <w:r>
              <w:rPr>
                <w:rFonts w:hint="default" w:ascii="Times New Roman" w:hAnsi="Times New Roman" w:cs="Times New Roman"/>
                <w:color w:val="000000" w:themeColor="text1"/>
                <w:sz w:val="21"/>
                <w:szCs w:val="20"/>
                <w:vertAlign w:val="superscript"/>
                <w14:textFill>
                  <w14:solidFill>
                    <w14:schemeClr w14:val="tx1"/>
                  </w14:solidFill>
                </w14:textFill>
              </w:rPr>
              <w:t>2</w:t>
            </w:r>
          </w:p>
        </w:tc>
        <w:tc>
          <w:tcPr>
            <w:tcW w:w="945" w:type="dxa"/>
            <w:vMerge w:val="continue"/>
            <w:tcBorders>
              <w:right w:val="single" w:color="auto" w:sz="4" w:space="0"/>
            </w:tcBorders>
            <w:noWrap w:val="0"/>
            <w:vAlign w:val="center"/>
          </w:tcPr>
          <w:p w14:paraId="02F16712">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158" w:type="dxa"/>
            <w:vMerge w:val="continue"/>
            <w:tcBorders>
              <w:left w:val="single" w:color="auto" w:sz="4" w:space="0"/>
            </w:tcBorders>
            <w:noWrap w:val="0"/>
            <w:vAlign w:val="center"/>
          </w:tcPr>
          <w:p w14:paraId="4A14FCF1">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6C0E0C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1826" w:type="dxa"/>
            <w:vMerge w:val="continue"/>
            <w:noWrap w:val="0"/>
            <w:vAlign w:val="center"/>
          </w:tcPr>
          <w:p w14:paraId="06EA69EF">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85" w:type="dxa"/>
            <w:noWrap w:val="0"/>
            <w:vAlign w:val="center"/>
          </w:tcPr>
          <w:p w14:paraId="14B3D4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eastAsia" w:ascii="Times New Roman" w:hAnsi="Times New Roman" w:cs="Times New Roman"/>
                <w:color w:val="000000" w:themeColor="text1"/>
                <w:sz w:val="21"/>
                <w:szCs w:val="20"/>
                <w:lang w:val="en-US" w:eastAsia="zh-CN"/>
                <w14:textFill>
                  <w14:solidFill>
                    <w14:schemeClr w14:val="tx1"/>
                  </w14:solidFill>
                </w14:textFill>
              </w:rPr>
              <w:t>排土（渣）高度</w:t>
            </w:r>
          </w:p>
        </w:tc>
        <w:tc>
          <w:tcPr>
            <w:tcW w:w="1935" w:type="dxa"/>
            <w:noWrap w:val="0"/>
            <w:vAlign w:val="center"/>
          </w:tcPr>
          <w:p w14:paraId="16268B92">
            <w:pPr>
              <w:keepNext w:val="0"/>
              <w:keepLines w:val="0"/>
              <w:suppressLineNumbers w:val="0"/>
              <w:spacing w:before="0" w:beforeAutospacing="0" w:after="0" w:afterAutospacing="0" w:line="240" w:lineRule="auto"/>
              <w:ind w:left="0" w:leftChars="0" w:right="0" w:rightChars="0" w:firstLine="0" w:firstLineChars="0"/>
              <w:contextualSpacing/>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&lt;5m</w:t>
            </w:r>
          </w:p>
        </w:tc>
        <w:tc>
          <w:tcPr>
            <w:tcW w:w="945" w:type="dxa"/>
            <w:vMerge w:val="continue"/>
            <w:tcBorders>
              <w:right w:val="single" w:color="auto" w:sz="4" w:space="0"/>
            </w:tcBorders>
            <w:noWrap w:val="0"/>
            <w:vAlign w:val="center"/>
          </w:tcPr>
          <w:p w14:paraId="002FCBEF">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158" w:type="dxa"/>
            <w:vMerge w:val="continue"/>
            <w:tcBorders>
              <w:left w:val="single" w:color="auto" w:sz="4" w:space="0"/>
            </w:tcBorders>
            <w:noWrap w:val="0"/>
            <w:vAlign w:val="center"/>
          </w:tcPr>
          <w:p w14:paraId="3C87C7D6">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313B6BD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1826" w:type="dxa"/>
            <w:vMerge w:val="continue"/>
            <w:noWrap w:val="0"/>
            <w:vAlign w:val="center"/>
          </w:tcPr>
          <w:p w14:paraId="17D67DB1">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85" w:type="dxa"/>
            <w:noWrap w:val="0"/>
            <w:vAlign w:val="center"/>
          </w:tcPr>
          <w:p w14:paraId="5B9389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边坡规整情况</w:t>
            </w:r>
          </w:p>
        </w:tc>
        <w:tc>
          <w:tcPr>
            <w:tcW w:w="1935" w:type="dxa"/>
            <w:noWrap w:val="0"/>
            <w:vAlign w:val="center"/>
          </w:tcPr>
          <w:p w14:paraId="0B70A7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0"/>
                <w:lang w:val="en-US" w:eastAsia="zh-CN"/>
                <w14:textFill>
                  <w14:solidFill>
                    <w14:schemeClr w14:val="tx1"/>
                  </w14:solidFill>
                </w14:textFill>
              </w:rPr>
              <w:t>欠</w:t>
            </w:r>
            <w:r>
              <w:rPr>
                <w:rFonts w:hint="default" w:ascii="Times New Roman" w:hAnsi="Times New Roman" w:cs="Times New Roman"/>
                <w:color w:val="000000" w:themeColor="text1"/>
                <w:sz w:val="21"/>
                <w:szCs w:val="20"/>
                <w14:textFill>
                  <w14:solidFill>
                    <w14:schemeClr w14:val="tx1"/>
                  </w14:solidFill>
                </w14:textFill>
              </w:rPr>
              <w:t>规整</w:t>
            </w:r>
          </w:p>
        </w:tc>
        <w:tc>
          <w:tcPr>
            <w:tcW w:w="945" w:type="dxa"/>
            <w:vMerge w:val="continue"/>
            <w:tcBorders>
              <w:right w:val="single" w:color="auto" w:sz="4" w:space="0"/>
            </w:tcBorders>
            <w:noWrap w:val="0"/>
            <w:vAlign w:val="center"/>
          </w:tcPr>
          <w:p w14:paraId="3ED4C209">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158" w:type="dxa"/>
            <w:vMerge w:val="continue"/>
            <w:tcBorders>
              <w:left w:val="single" w:color="auto" w:sz="4" w:space="0"/>
            </w:tcBorders>
            <w:noWrap w:val="0"/>
            <w:vAlign w:val="center"/>
          </w:tcPr>
          <w:p w14:paraId="2068D324">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bl>
    <w:p w14:paraId="096B8C0A">
      <w:pPr>
        <w:keepNext w:val="0"/>
        <w:keepLines w:val="0"/>
        <w:pageBreakBefore w:val="0"/>
        <w:widowControl w:val="0"/>
        <w:kinsoku/>
        <w:wordWrap/>
        <w:overflowPunct/>
        <w:topLinePunct w:val="0"/>
        <w:autoSpaceDE/>
        <w:autoSpaceDN/>
        <w:bidi w:val="0"/>
        <w:adjustRightInd/>
        <w:snapToGrid/>
        <w:spacing w:before="157" w:beforeLines="50"/>
        <w:contextualSpacing/>
        <w:jc w:val="center"/>
        <w:textAlignment w:val="auto"/>
        <w:rPr>
          <w:rFonts w:hint="eastAsia" w:ascii="宋体" w:hAnsi="宋体" w:eastAsia="宋体" w:cs="宋体"/>
          <w:b/>
          <w:bCs/>
          <w:color w:val="000000" w:themeColor="text1"/>
          <w:sz w:val="28"/>
          <w:szCs w:val="28"/>
          <w:lang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w:t>
      </w:r>
    </w:p>
    <w:p w14:paraId="5022A4DB">
      <w:pPr>
        <w:keepNext w:val="0"/>
        <w:keepLines w:val="0"/>
        <w:pageBreakBefore w:val="0"/>
        <w:widowControl w:val="0"/>
        <w:kinsoku/>
        <w:wordWrap/>
        <w:overflowPunct/>
        <w:topLinePunct w:val="0"/>
        <w:autoSpaceDE/>
        <w:autoSpaceDN/>
        <w:bidi w:val="0"/>
        <w:adjustRightInd/>
        <w:snapToGrid/>
        <w:spacing w:before="157" w:beforeLines="50" w:line="360" w:lineRule="auto"/>
        <w:contextualSpacing/>
        <w:jc w:val="center"/>
        <w:textAlignment w:val="auto"/>
        <w:rPr>
          <w:rFonts w:hint="eastAsia" w:ascii="宋体" w:hAnsi="宋体" w:eastAsia="黑体" w:cs="宋体"/>
          <w:b/>
          <w:bCs/>
          <w:color w:val="000000" w:themeColor="text1"/>
          <w:sz w:val="28"/>
          <w:szCs w:val="28"/>
          <w:lang w:eastAsia="zh-CN"/>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照片3-</w:t>
      </w:r>
      <w:r>
        <w:rPr>
          <w:rFonts w:hint="eastAsia" w:ascii="黑体" w:hAnsi="黑体" w:eastAsia="黑体" w:cs="黑体"/>
          <w:b w:val="0"/>
          <w:bCs w:val="0"/>
          <w:color w:val="000000" w:themeColor="text1"/>
          <w:sz w:val="24"/>
          <w:szCs w:val="24"/>
          <w:lang w:val="en-US" w:eastAsia="zh-CN"/>
          <w14:textFill>
            <w14:solidFill>
              <w14:schemeClr w14:val="tx1"/>
            </w14:solidFill>
          </w14:textFill>
        </w:rPr>
        <w:t>11</w:t>
      </w:r>
      <w:r>
        <w:rPr>
          <w:rFonts w:hint="eastAsia" w:ascii="黑体" w:hAnsi="黑体" w:eastAsia="黑体" w:cs="黑体"/>
          <w:b w:val="0"/>
          <w:bCs w:val="0"/>
          <w:color w:val="000000" w:themeColor="text1"/>
          <w:sz w:val="24"/>
          <w:szCs w:val="24"/>
          <w14:textFill>
            <w14:solidFill>
              <w14:schemeClr w14:val="tx1"/>
            </w14:solidFill>
          </w14:textFill>
        </w:rPr>
        <w:t xml:space="preserve">  </w:t>
      </w:r>
      <w:r>
        <w:rPr>
          <w:rFonts w:hint="eastAsia" w:ascii="黑体" w:hAnsi="黑体" w:eastAsia="黑体" w:cs="黑体"/>
          <w:b w:val="0"/>
          <w:bCs w:val="0"/>
          <w:color w:val="000000" w:themeColor="text1"/>
          <w:sz w:val="24"/>
          <w:szCs w:val="24"/>
          <w:lang w:val="en-US" w:eastAsia="zh-CN"/>
          <w14:textFill>
            <w14:solidFill>
              <w14:schemeClr w14:val="tx1"/>
            </w14:solidFill>
          </w14:textFill>
        </w:rPr>
        <w:t>办公生活区</w:t>
      </w:r>
    </w:p>
    <w:p w14:paraId="49CADC5A">
      <w:pPr>
        <w:keepNext w:val="0"/>
        <w:keepLines w:val="0"/>
        <w:pageBreakBefore w:val="0"/>
        <w:widowControl w:val="0"/>
        <w:kinsoku/>
        <w:wordWrap/>
        <w:overflowPunct/>
        <w:topLinePunct w:val="0"/>
        <w:autoSpaceDE/>
        <w:autoSpaceDN/>
        <w:bidi w:val="0"/>
        <w:adjustRightInd/>
        <w:snapToGrid/>
        <w:spacing w:before="157" w:beforeLines="50" w:line="360" w:lineRule="auto"/>
        <w:ind w:firstLine="562" w:firstLineChars="200"/>
        <w:contextualSpacing/>
        <w:textAlignment w:val="auto"/>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bCs/>
          <w:color w:val="000000" w:themeColor="text1"/>
          <w:sz w:val="28"/>
          <w:szCs w:val="28"/>
          <w:lang w:eastAsia="zh-CN"/>
          <w14:textFill>
            <w14:solidFill>
              <w14:schemeClr w14:val="tx1"/>
            </w14:solidFill>
          </w14:textFill>
        </w:rPr>
        <w:t>（</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8</w:t>
      </w:r>
      <w:r>
        <w:rPr>
          <w:rFonts w:hint="eastAsia" w:ascii="Times New Roman" w:hAnsi="Times New Roman" w:eastAsia="宋体" w:cs="Times New Roman"/>
          <w:b/>
          <w:bCs/>
          <w:color w:val="000000" w:themeColor="text1"/>
          <w:sz w:val="28"/>
          <w:szCs w:val="28"/>
          <w:lang w:eastAsia="zh-CN"/>
          <w14:textFill>
            <w14:solidFill>
              <w14:schemeClr w14:val="tx1"/>
            </w14:solidFill>
          </w14:textFill>
        </w:rPr>
        <w:t>）</w:t>
      </w:r>
      <w:r>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t>矿区道路</w:t>
      </w:r>
    </w:p>
    <w:p w14:paraId="1EE2052C">
      <w:pPr>
        <w:pStyle w:val="66"/>
        <w:spacing w:line="360" w:lineRule="auto"/>
        <w:ind w:firstLine="560" w:firstLineChars="200"/>
        <w:jc w:val="left"/>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现状</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矿山已开拓</w:t>
      </w:r>
      <w:r>
        <w:rPr>
          <w:rFonts w:hint="default" w:ascii="Times New Roman" w:hAnsi="Times New Roman" w:eastAsia="宋体" w:cs="Times New Roman"/>
          <w:color w:val="000000" w:themeColor="text1"/>
          <w:sz w:val="28"/>
          <w:szCs w:val="28"/>
          <w14:textFill>
            <w14:solidFill>
              <w14:schemeClr w14:val="tx1"/>
            </w14:solidFill>
          </w14:textFill>
        </w:rPr>
        <w:t>矿区道路长</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447</w:t>
      </w:r>
      <w:r>
        <w:rPr>
          <w:rFonts w:hint="default" w:ascii="Times New Roman" w:hAnsi="Times New Roman" w:eastAsia="宋体" w:cs="Times New Roman"/>
          <w:color w:val="000000" w:themeColor="text1"/>
          <w:sz w:val="28"/>
          <w:szCs w:val="28"/>
          <w14:textFill>
            <w14:solidFill>
              <w14:schemeClr w14:val="tx1"/>
            </w14:solidFill>
          </w14:textFill>
        </w:rPr>
        <w:t>m，平均宽</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6</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占地</w:t>
      </w:r>
      <w:r>
        <w:rPr>
          <w:rFonts w:hint="default" w:ascii="Times New Roman" w:hAnsi="Times New Roman" w:eastAsia="宋体" w:cs="Times New Roman"/>
          <w:color w:val="000000" w:themeColor="text1"/>
          <w:sz w:val="28"/>
          <w:szCs w:val="28"/>
          <w14:textFill>
            <w14:solidFill>
              <w14:schemeClr w14:val="tx1"/>
            </w14:solidFill>
          </w14:textFill>
        </w:rPr>
        <w:t>面积</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0.2682h</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，连接矿山各个功能单元所用，</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道路平整无切坡</w:t>
      </w:r>
      <w:r>
        <w:rPr>
          <w:rFonts w:hint="default" w:ascii="Times New Roman" w:hAnsi="Times New Roman" w:eastAsia="宋体" w:cs="Times New Roman"/>
          <w:color w:val="000000" w:themeColor="text1"/>
          <w:sz w:val="28"/>
          <w:szCs w:val="28"/>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val="en-US" w:eastAsia="zh-CN" w:bidi="ar-SA"/>
          <w14:textFill>
            <w14:solidFill>
              <w14:schemeClr w14:val="tx1"/>
            </w14:solidFill>
          </w14:textFill>
        </w:rPr>
        <w:t>矿区道路为土石路，</w:t>
      </w:r>
      <w:r>
        <w:rPr>
          <w:rStyle w:val="168"/>
          <w:rFonts w:hint="default" w:ascii="Times New Roman" w:hAnsi="Times New Roman" w:eastAsia="宋体" w:cs="Times New Roman"/>
          <w:color w:val="000000" w:themeColor="text1"/>
          <w:sz w:val="28"/>
          <w:szCs w:val="28"/>
          <w:lang w:val="en-US" w:eastAsia="zh-CN"/>
          <w14:textFill>
            <w14:solidFill>
              <w14:schemeClr w14:val="tx1"/>
            </w14:solidFill>
          </w14:textFill>
        </w:rPr>
        <w:t>场地的建设破坏了地形地貌景观和地表植被，对矿区地形地貌景观破坏程度为较严重</w:t>
      </w:r>
      <w:r>
        <w:rPr>
          <w:rFonts w:hint="default" w:ascii="Times New Roman" w:hAnsi="Times New Roman" w:eastAsia="宋体" w:cs="Times New Roman"/>
          <w:b w:val="0"/>
          <w:bCs w:val="0"/>
          <w:color w:val="000000" w:themeColor="text1"/>
          <w:sz w:val="28"/>
          <w:szCs w:val="28"/>
          <w:lang w:val="en-US" w:eastAsia="zh-CN" w:bidi="ar-SA"/>
          <w14:textFill>
            <w14:solidFill>
              <w14:schemeClr w14:val="tx1"/>
            </w14:solidFill>
          </w14:textFill>
        </w:rPr>
        <w:t>（见照片3-1</w:t>
      </w:r>
      <w:r>
        <w:rPr>
          <w:rFonts w:hint="eastAsia" w:ascii="Times New Roman" w:hAnsi="Times New Roman" w:eastAsia="宋体" w:cs="Times New Roman"/>
          <w:b w:val="0"/>
          <w:bCs w:val="0"/>
          <w:color w:val="000000" w:themeColor="text1"/>
          <w:sz w:val="28"/>
          <w:szCs w:val="28"/>
          <w:lang w:val="en-US" w:eastAsia="zh-CN" w:bidi="ar-SA"/>
          <w14:textFill>
            <w14:solidFill>
              <w14:schemeClr w14:val="tx1"/>
            </w14:solidFill>
          </w14:textFill>
        </w:rPr>
        <w:t>2</w:t>
      </w:r>
      <w:r>
        <w:rPr>
          <w:rFonts w:hint="default" w:ascii="Times New Roman" w:hAnsi="Times New Roman" w:eastAsia="宋体" w:cs="Times New Roman"/>
          <w:b w:val="0"/>
          <w:bCs w:val="0"/>
          <w:color w:val="000000" w:themeColor="text1"/>
          <w:sz w:val="28"/>
          <w:szCs w:val="28"/>
          <w:lang w:val="en-US" w:eastAsia="zh-CN" w:bidi="ar-SA"/>
          <w14:textFill>
            <w14:solidFill>
              <w14:schemeClr w14:val="tx1"/>
            </w14:solidFill>
          </w14:textFill>
        </w:rPr>
        <w:t>）。</w:t>
      </w:r>
    </w:p>
    <w:p w14:paraId="4D6906C5">
      <w:pPr>
        <w:keepNext w:val="0"/>
        <w:keepLines w:val="0"/>
        <w:pageBreakBefore w:val="0"/>
        <w:widowControl/>
        <w:kinsoku/>
        <w:wordWrap/>
        <w:overflowPunct/>
        <w:topLinePunct w:val="0"/>
        <w:autoSpaceDE/>
        <w:autoSpaceDN/>
        <w:bidi w:val="0"/>
        <w:adjustRightInd/>
        <w:snapToGrid/>
        <w:spacing w:after="0" w:line="360" w:lineRule="auto"/>
        <w:contextualSpacing/>
        <w:jc w:val="center"/>
        <w:textAlignment w:val="auto"/>
        <w:rPr>
          <w:rFonts w:hint="default" w:ascii="Times New Roman" w:hAnsi="Times New Roman" w:eastAsia="黑体" w:cs="Times New Roman"/>
          <w:color w:val="000000" w:themeColor="text1"/>
          <w:sz w:val="24"/>
          <w:highlight w:val="none"/>
          <w14:textFill>
            <w14:solidFill>
              <w14:schemeClr w14:val="tx1"/>
            </w14:solidFill>
          </w14:textFill>
        </w:rPr>
      </w:pPr>
      <w:r>
        <w:rPr>
          <w:rFonts w:hint="default" w:ascii="Times New Roman" w:hAnsi="Times New Roman" w:eastAsia="黑体" w:cs="Times New Roman"/>
          <w:color w:val="000000" w:themeColor="text1"/>
          <w:sz w:val="24"/>
          <w:highlight w:val="none"/>
          <w14:textFill>
            <w14:solidFill>
              <w14:schemeClr w14:val="tx1"/>
            </w14:solidFill>
          </w14:textFill>
        </w:rPr>
        <w:t>表3-</w:t>
      </w:r>
      <w:r>
        <w:rPr>
          <w:rFonts w:hint="eastAsia" w:eastAsia="黑体" w:cs="Times New Roman"/>
          <w:color w:val="000000" w:themeColor="text1"/>
          <w:sz w:val="24"/>
          <w:highlight w:val="none"/>
          <w:lang w:val="en-US" w:eastAsia="zh-CN"/>
          <w14:textFill>
            <w14:solidFill>
              <w14:schemeClr w14:val="tx1"/>
            </w14:solidFill>
          </w14:textFill>
        </w:rPr>
        <w:t>10</w:t>
      </w:r>
      <w:r>
        <w:rPr>
          <w:rFonts w:hint="default" w:ascii="Times New Roman" w:hAnsi="Times New Roman" w:eastAsia="黑体" w:cs="Times New Roman"/>
          <w:color w:val="000000" w:themeColor="text1"/>
          <w:sz w:val="24"/>
          <w:highlight w:val="none"/>
          <w14:textFill>
            <w14:solidFill>
              <w14:schemeClr w14:val="tx1"/>
            </w14:solidFill>
          </w14:textFill>
        </w:rPr>
        <w:t xml:space="preserve">  地形地貌景观破坏程度评价表</w:t>
      </w:r>
      <w:r>
        <w:rPr>
          <w:rFonts w:hint="eastAsia" w:ascii="Times New Roman" w:hAnsi="Times New Roman" w:eastAsia="黑体" w:cs="Times New Roman"/>
          <w:color w:val="000000" w:themeColor="text1"/>
          <w:sz w:val="24"/>
          <w:lang w:eastAsia="zh-CN"/>
          <w14:textFill>
            <w14:solidFill>
              <w14:schemeClr w14:val="tx1"/>
            </w14:solidFill>
          </w14:textFill>
        </w:rPr>
        <w:t>（</w:t>
      </w:r>
      <w:r>
        <w:rPr>
          <w:rFonts w:hint="eastAsia" w:ascii="Times New Roman" w:hAnsi="Times New Roman" w:eastAsia="黑体" w:cs="Times New Roman"/>
          <w:color w:val="000000" w:themeColor="text1"/>
          <w:sz w:val="24"/>
          <w:lang w:val="en-US" w:eastAsia="zh-CN"/>
          <w14:textFill>
            <w14:solidFill>
              <w14:schemeClr w14:val="tx1"/>
            </w14:solidFill>
          </w14:textFill>
        </w:rPr>
        <w:t>压占</w:t>
      </w:r>
      <w:r>
        <w:rPr>
          <w:rFonts w:hint="eastAsia" w:ascii="Times New Roman" w:hAnsi="Times New Roman" w:eastAsia="黑体" w:cs="Times New Roman"/>
          <w:color w:val="000000" w:themeColor="text1"/>
          <w:sz w:val="24"/>
          <w:lang w:eastAsia="zh-CN"/>
          <w14:textFill>
            <w14:solidFill>
              <w14:schemeClr w14:val="tx1"/>
            </w14:solidFill>
          </w14:textFill>
        </w:rPr>
        <w:t>）</w:t>
      </w:r>
    </w:p>
    <w:tbl>
      <w:tblPr>
        <w:tblStyle w:val="30"/>
        <w:tblW w:w="8249"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826"/>
        <w:gridCol w:w="2385"/>
        <w:gridCol w:w="1935"/>
        <w:gridCol w:w="945"/>
        <w:gridCol w:w="1158"/>
      </w:tblGrid>
      <w:tr w14:paraId="7225A6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blHeader/>
          <w:jc w:val="center"/>
        </w:trPr>
        <w:tc>
          <w:tcPr>
            <w:tcW w:w="1826" w:type="dxa"/>
            <w:noWrap w:val="0"/>
            <w:vAlign w:val="center"/>
          </w:tcPr>
          <w:p w14:paraId="31674065">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评价单元</w:t>
            </w:r>
          </w:p>
        </w:tc>
        <w:tc>
          <w:tcPr>
            <w:tcW w:w="2385" w:type="dxa"/>
            <w:noWrap w:val="0"/>
            <w:vAlign w:val="center"/>
          </w:tcPr>
          <w:p w14:paraId="339527B1">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评价因子</w:t>
            </w:r>
          </w:p>
        </w:tc>
        <w:tc>
          <w:tcPr>
            <w:tcW w:w="1935" w:type="dxa"/>
            <w:noWrap w:val="0"/>
            <w:vAlign w:val="center"/>
          </w:tcPr>
          <w:p w14:paraId="55478F61">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损毁程度</w:t>
            </w:r>
          </w:p>
        </w:tc>
        <w:tc>
          <w:tcPr>
            <w:tcW w:w="945" w:type="dxa"/>
            <w:tcBorders>
              <w:right w:val="single" w:color="auto" w:sz="4" w:space="0"/>
            </w:tcBorders>
            <w:noWrap w:val="0"/>
            <w:vAlign w:val="center"/>
          </w:tcPr>
          <w:p w14:paraId="72869860">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得分</w:t>
            </w:r>
          </w:p>
        </w:tc>
        <w:tc>
          <w:tcPr>
            <w:tcW w:w="1158" w:type="dxa"/>
            <w:tcBorders>
              <w:right w:val="single" w:color="auto" w:sz="4" w:space="0"/>
            </w:tcBorders>
            <w:noWrap w:val="0"/>
            <w:vAlign w:val="center"/>
          </w:tcPr>
          <w:p w14:paraId="531A8FDD">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评价结果</w:t>
            </w:r>
          </w:p>
        </w:tc>
      </w:tr>
      <w:tr w14:paraId="4607A4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1826" w:type="dxa"/>
            <w:vMerge w:val="restart"/>
            <w:noWrap w:val="0"/>
            <w:vAlign w:val="center"/>
          </w:tcPr>
          <w:p w14:paraId="66D84ED2">
            <w:pPr>
              <w:keepNext w:val="0"/>
              <w:keepLines w:val="0"/>
              <w:suppressLineNumbers w:val="0"/>
              <w:spacing w:before="0" w:beforeAutospacing="0" w:after="0" w:afterAutospacing="0" w:line="240" w:lineRule="auto"/>
              <w:ind w:left="0" w:right="0"/>
              <w:contextualSpacing/>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bookmarkStart w:id="38" w:name="_Toc9949"/>
            <w:bookmarkStart w:id="39" w:name="_Toc4323"/>
            <w:bookmarkStart w:id="40" w:name="_Toc20743"/>
            <w:bookmarkStart w:id="41" w:name="_Toc4838"/>
            <w:r>
              <w:rPr>
                <w:rFonts w:hint="default" w:ascii="Times New Roman" w:hAnsi="Times New Roman" w:cs="Times New Roman"/>
                <w:color w:val="000000" w:themeColor="text1"/>
                <w:sz w:val="21"/>
                <w:szCs w:val="21"/>
                <w:lang w:val="en-US" w:eastAsia="zh-CN"/>
                <w14:textFill>
                  <w14:solidFill>
                    <w14:schemeClr w14:val="tx1"/>
                  </w14:solidFill>
                </w14:textFill>
              </w:rPr>
              <w:t>矿区道路</w:t>
            </w:r>
            <w:bookmarkEnd w:id="38"/>
            <w:bookmarkEnd w:id="39"/>
            <w:bookmarkEnd w:id="40"/>
            <w:bookmarkEnd w:id="41"/>
          </w:p>
        </w:tc>
        <w:tc>
          <w:tcPr>
            <w:tcW w:w="2385" w:type="dxa"/>
            <w:noWrap w:val="0"/>
            <w:vAlign w:val="center"/>
          </w:tcPr>
          <w:p w14:paraId="124032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区位条件</w:t>
            </w:r>
          </w:p>
        </w:tc>
        <w:tc>
          <w:tcPr>
            <w:tcW w:w="1935" w:type="dxa"/>
            <w:noWrap w:val="0"/>
            <w:vAlign w:val="center"/>
          </w:tcPr>
          <w:p w14:paraId="66A95818">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人类活动中等区</w:t>
            </w:r>
          </w:p>
        </w:tc>
        <w:tc>
          <w:tcPr>
            <w:tcW w:w="945" w:type="dxa"/>
            <w:vMerge w:val="restart"/>
            <w:tcBorders>
              <w:right w:val="single" w:color="auto" w:sz="4" w:space="0"/>
            </w:tcBorders>
            <w:noWrap w:val="0"/>
            <w:vAlign w:val="center"/>
          </w:tcPr>
          <w:p w14:paraId="623C5F1C">
            <w:pPr>
              <w:keepNext w:val="0"/>
              <w:keepLines w:val="0"/>
              <w:suppressLineNumbers w:val="0"/>
              <w:spacing w:before="0" w:beforeAutospacing="0" w:after="0" w:afterAutospacing="0" w:line="240" w:lineRule="auto"/>
              <w:ind w:left="0" w:right="0"/>
              <w:jc w:val="center"/>
              <w:outlineLvl w:val="1"/>
              <w:rPr>
                <w:rFonts w:hint="default" w:ascii="Times New Roman" w:hAnsi="Times New Roman" w:eastAsia="宋体" w:cs="Times New Roman"/>
                <w:color w:val="000000" w:themeColor="text1"/>
                <w:sz w:val="21"/>
                <w:szCs w:val="21"/>
                <w:lang w:val="en-US" w:eastAsia="zh-CN"/>
                <w14:textFill>
                  <w14:solidFill>
                    <w14:schemeClr w14:val="tx1"/>
                  </w14:solidFill>
                </w14:textFill>
              </w:rPr>
            </w:pPr>
            <w:bookmarkStart w:id="42" w:name="_Toc19619"/>
            <w:bookmarkStart w:id="43" w:name="_Toc20962"/>
            <w:bookmarkStart w:id="44" w:name="_Toc11592"/>
            <w:r>
              <w:rPr>
                <w:rFonts w:hint="default" w:ascii="Times New Roman" w:hAnsi="Times New Roman" w:eastAsia="宋体" w:cs="Times New Roman"/>
                <w:color w:val="000000" w:themeColor="text1"/>
                <w:sz w:val="21"/>
                <w:szCs w:val="21"/>
                <w:lang w:val="en-US" w:eastAsia="zh-CN"/>
                <w14:textFill>
                  <w14:solidFill>
                    <w14:schemeClr w14:val="tx1"/>
                  </w14:solidFill>
                </w14:textFill>
              </w:rPr>
              <w:t>1.</w:t>
            </w:r>
            <w:bookmarkEnd w:id="42"/>
            <w:bookmarkEnd w:id="43"/>
            <w:bookmarkEnd w:id="44"/>
            <w:r>
              <w:rPr>
                <w:rFonts w:hint="eastAsia" w:cs="Times New Roman"/>
                <w:color w:val="000000" w:themeColor="text1"/>
                <w:sz w:val="21"/>
                <w:szCs w:val="21"/>
                <w:lang w:val="en-US" w:eastAsia="zh-CN"/>
                <w14:textFill>
                  <w14:solidFill>
                    <w14:schemeClr w14:val="tx1"/>
                  </w14:solidFill>
                </w14:textFill>
              </w:rPr>
              <w:t>2</w:t>
            </w:r>
          </w:p>
        </w:tc>
        <w:tc>
          <w:tcPr>
            <w:tcW w:w="1158" w:type="dxa"/>
            <w:vMerge w:val="restart"/>
            <w:tcBorders>
              <w:left w:val="single" w:color="auto" w:sz="4" w:space="0"/>
            </w:tcBorders>
            <w:noWrap w:val="0"/>
            <w:vAlign w:val="center"/>
          </w:tcPr>
          <w:p w14:paraId="2756CCE2">
            <w:pPr>
              <w:keepNext w:val="0"/>
              <w:keepLines w:val="0"/>
              <w:suppressLineNumbers w:val="0"/>
              <w:spacing w:before="0" w:beforeAutospacing="0" w:after="0" w:afterAutospacing="0" w:line="240" w:lineRule="auto"/>
              <w:ind w:left="0" w:right="0"/>
              <w:jc w:val="center"/>
              <w:outlineLvl w:val="1"/>
              <w:rPr>
                <w:rFonts w:hint="default" w:ascii="Times New Roman" w:hAnsi="Times New Roman" w:cs="Times New Roman"/>
                <w:color w:val="000000" w:themeColor="text1"/>
                <w:sz w:val="21"/>
                <w:szCs w:val="21"/>
                <w14:textFill>
                  <w14:solidFill>
                    <w14:schemeClr w14:val="tx1"/>
                  </w14:solidFill>
                </w14:textFill>
              </w:rPr>
            </w:pPr>
            <w:bookmarkStart w:id="45" w:name="_Toc1071"/>
            <w:bookmarkStart w:id="46" w:name="_Toc112"/>
            <w:bookmarkStart w:id="47" w:name="_Toc22538"/>
            <w:r>
              <w:rPr>
                <w:rFonts w:hint="default" w:ascii="Times New Roman" w:hAnsi="Times New Roman" w:cs="Times New Roman"/>
                <w:color w:val="000000" w:themeColor="text1"/>
                <w:sz w:val="21"/>
                <w:szCs w:val="21"/>
                <w:lang w:eastAsia="zh-CN"/>
                <w14:textFill>
                  <w14:solidFill>
                    <w14:schemeClr w14:val="tx1"/>
                  </w14:solidFill>
                </w14:textFill>
              </w:rPr>
              <w:t>较</w:t>
            </w:r>
            <w:r>
              <w:rPr>
                <w:rFonts w:hint="default" w:ascii="Times New Roman" w:hAnsi="Times New Roman" w:cs="Times New Roman"/>
                <w:color w:val="000000" w:themeColor="text1"/>
                <w:sz w:val="21"/>
                <w:szCs w:val="21"/>
                <w:lang w:val="en-US" w:eastAsia="zh-CN"/>
                <w14:textFill>
                  <w14:solidFill>
                    <w14:schemeClr w14:val="tx1"/>
                  </w14:solidFill>
                </w14:textFill>
              </w:rPr>
              <w:t>严重</w:t>
            </w:r>
            <w:bookmarkEnd w:id="45"/>
            <w:bookmarkEnd w:id="46"/>
            <w:bookmarkEnd w:id="47"/>
          </w:p>
        </w:tc>
      </w:tr>
      <w:tr w14:paraId="44DC41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1826" w:type="dxa"/>
            <w:vMerge w:val="continue"/>
            <w:noWrap w:val="0"/>
            <w:vAlign w:val="center"/>
          </w:tcPr>
          <w:p w14:paraId="05C55C9C">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85" w:type="dxa"/>
            <w:noWrap w:val="0"/>
            <w:vAlign w:val="center"/>
          </w:tcPr>
          <w:p w14:paraId="2C948E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可视程度</w:t>
            </w:r>
          </w:p>
        </w:tc>
        <w:tc>
          <w:tcPr>
            <w:tcW w:w="1935" w:type="dxa"/>
            <w:noWrap w:val="0"/>
            <w:vAlign w:val="center"/>
          </w:tcPr>
          <w:p w14:paraId="65F495DD">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14:textFill>
                  <w14:solidFill>
                    <w14:schemeClr w14:val="tx1"/>
                  </w14:solidFill>
                </w14:textFill>
              </w:rPr>
              <w:t>不可视</w:t>
            </w:r>
          </w:p>
        </w:tc>
        <w:tc>
          <w:tcPr>
            <w:tcW w:w="945" w:type="dxa"/>
            <w:vMerge w:val="continue"/>
            <w:tcBorders>
              <w:right w:val="single" w:color="auto" w:sz="4" w:space="0"/>
            </w:tcBorders>
            <w:noWrap w:val="0"/>
            <w:vAlign w:val="center"/>
          </w:tcPr>
          <w:p w14:paraId="21E91118">
            <w:pPr>
              <w:keepNext w:val="0"/>
              <w:keepLines w:val="0"/>
              <w:suppressLineNumbers w:val="0"/>
              <w:spacing w:before="0" w:beforeAutospacing="0" w:after="0" w:afterAutospacing="0" w:line="240" w:lineRule="auto"/>
              <w:ind w:left="0" w:right="0"/>
              <w:contextualSpacing/>
              <w:jc w:val="center"/>
              <w:outlineLvl w:val="9"/>
              <w:rPr>
                <w:rFonts w:hint="default" w:ascii="Times New Roman" w:hAnsi="Times New Roman" w:cs="Times New Roman"/>
                <w:color w:val="000000" w:themeColor="text1"/>
                <w:sz w:val="21"/>
                <w:szCs w:val="21"/>
                <w14:textFill>
                  <w14:solidFill>
                    <w14:schemeClr w14:val="tx1"/>
                  </w14:solidFill>
                </w14:textFill>
              </w:rPr>
            </w:pPr>
          </w:p>
        </w:tc>
        <w:tc>
          <w:tcPr>
            <w:tcW w:w="1158" w:type="dxa"/>
            <w:vMerge w:val="continue"/>
            <w:tcBorders>
              <w:left w:val="single" w:color="auto" w:sz="4" w:space="0"/>
            </w:tcBorders>
            <w:noWrap w:val="0"/>
            <w:vAlign w:val="center"/>
          </w:tcPr>
          <w:p w14:paraId="6C5D4200">
            <w:pPr>
              <w:keepNext w:val="0"/>
              <w:keepLines w:val="0"/>
              <w:suppressLineNumbers w:val="0"/>
              <w:spacing w:before="0" w:beforeAutospacing="0" w:after="0" w:afterAutospacing="0" w:line="240" w:lineRule="auto"/>
              <w:ind w:left="0" w:right="0"/>
              <w:contextualSpacing/>
              <w:jc w:val="center"/>
              <w:outlineLvl w:val="9"/>
              <w:rPr>
                <w:rFonts w:hint="default" w:ascii="Times New Roman" w:hAnsi="Times New Roman" w:cs="Times New Roman"/>
                <w:color w:val="000000" w:themeColor="text1"/>
                <w:sz w:val="21"/>
                <w:szCs w:val="21"/>
                <w14:textFill>
                  <w14:solidFill>
                    <w14:schemeClr w14:val="tx1"/>
                  </w14:solidFill>
                </w14:textFill>
              </w:rPr>
            </w:pPr>
          </w:p>
        </w:tc>
      </w:tr>
      <w:tr w14:paraId="5F0A89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1826" w:type="dxa"/>
            <w:vMerge w:val="continue"/>
            <w:noWrap w:val="0"/>
            <w:vAlign w:val="center"/>
          </w:tcPr>
          <w:p w14:paraId="3F99999F">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85" w:type="dxa"/>
            <w:noWrap w:val="0"/>
            <w:vAlign w:val="center"/>
          </w:tcPr>
          <w:p w14:paraId="244DC2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0"/>
                <w:lang w:val="en-US" w:eastAsia="zh-CN"/>
                <w14:textFill>
                  <w14:solidFill>
                    <w14:schemeClr w14:val="tx1"/>
                  </w14:solidFill>
                </w14:textFill>
              </w:rPr>
              <w:t>场地</w:t>
            </w:r>
            <w:r>
              <w:rPr>
                <w:rFonts w:hint="default" w:ascii="Times New Roman" w:hAnsi="Times New Roman" w:cs="Times New Roman"/>
                <w:color w:val="000000" w:themeColor="text1"/>
                <w:sz w:val="21"/>
                <w:szCs w:val="20"/>
                <w14:textFill>
                  <w14:solidFill>
                    <w14:schemeClr w14:val="tx1"/>
                  </w14:solidFill>
                </w14:textFill>
              </w:rPr>
              <w:t>面积</w:t>
            </w:r>
          </w:p>
        </w:tc>
        <w:tc>
          <w:tcPr>
            <w:tcW w:w="1935" w:type="dxa"/>
            <w:noWrap w:val="0"/>
            <w:vAlign w:val="center"/>
          </w:tcPr>
          <w:p w14:paraId="61948E84">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&lt;1.0h</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m</w:t>
            </w:r>
            <w:r>
              <w:rPr>
                <w:rFonts w:hint="default" w:ascii="Times New Roman" w:hAnsi="Times New Roman" w:eastAsia="宋体" w:cs="Times New Roman"/>
                <w:b w:val="0"/>
                <w:bCs w:val="0"/>
                <w:color w:val="000000" w:themeColor="text1"/>
                <w:sz w:val="21"/>
                <w:szCs w:val="21"/>
                <w:highlight w:val="none"/>
                <w:vertAlign w:val="superscript"/>
                <w:lang w:eastAsia="zh-CN"/>
                <w14:textFill>
                  <w14:solidFill>
                    <w14:schemeClr w14:val="tx1"/>
                  </w14:solidFill>
                </w14:textFill>
              </w:rPr>
              <w:t>2</w:t>
            </w:r>
          </w:p>
        </w:tc>
        <w:tc>
          <w:tcPr>
            <w:tcW w:w="945" w:type="dxa"/>
            <w:vMerge w:val="continue"/>
            <w:tcBorders>
              <w:right w:val="single" w:color="auto" w:sz="4" w:space="0"/>
            </w:tcBorders>
            <w:noWrap w:val="0"/>
            <w:vAlign w:val="center"/>
          </w:tcPr>
          <w:p w14:paraId="27954A48">
            <w:pPr>
              <w:keepNext w:val="0"/>
              <w:keepLines w:val="0"/>
              <w:suppressLineNumbers w:val="0"/>
              <w:spacing w:before="0" w:beforeAutospacing="0" w:after="0" w:afterAutospacing="0" w:line="240" w:lineRule="auto"/>
              <w:ind w:left="0" w:right="0"/>
              <w:contextualSpacing/>
              <w:jc w:val="center"/>
              <w:outlineLvl w:val="9"/>
              <w:rPr>
                <w:rFonts w:hint="default" w:ascii="Times New Roman" w:hAnsi="Times New Roman" w:cs="Times New Roman"/>
                <w:color w:val="000000" w:themeColor="text1"/>
                <w:sz w:val="21"/>
                <w:szCs w:val="21"/>
                <w14:textFill>
                  <w14:solidFill>
                    <w14:schemeClr w14:val="tx1"/>
                  </w14:solidFill>
                </w14:textFill>
              </w:rPr>
            </w:pPr>
          </w:p>
        </w:tc>
        <w:tc>
          <w:tcPr>
            <w:tcW w:w="1158" w:type="dxa"/>
            <w:vMerge w:val="continue"/>
            <w:tcBorders>
              <w:left w:val="single" w:color="auto" w:sz="4" w:space="0"/>
            </w:tcBorders>
            <w:noWrap w:val="0"/>
            <w:vAlign w:val="center"/>
          </w:tcPr>
          <w:p w14:paraId="5853484B">
            <w:pPr>
              <w:keepNext w:val="0"/>
              <w:keepLines w:val="0"/>
              <w:suppressLineNumbers w:val="0"/>
              <w:spacing w:before="0" w:beforeAutospacing="0" w:after="0" w:afterAutospacing="0" w:line="240" w:lineRule="auto"/>
              <w:ind w:left="0" w:right="0"/>
              <w:contextualSpacing/>
              <w:jc w:val="center"/>
              <w:outlineLvl w:val="9"/>
              <w:rPr>
                <w:rFonts w:hint="default" w:ascii="Times New Roman" w:hAnsi="Times New Roman" w:cs="Times New Roman"/>
                <w:color w:val="000000" w:themeColor="text1"/>
                <w:sz w:val="21"/>
                <w:szCs w:val="21"/>
                <w14:textFill>
                  <w14:solidFill>
                    <w14:schemeClr w14:val="tx1"/>
                  </w14:solidFill>
                </w14:textFill>
              </w:rPr>
            </w:pPr>
          </w:p>
        </w:tc>
      </w:tr>
      <w:tr w14:paraId="5FCECDD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1826" w:type="dxa"/>
            <w:vMerge w:val="continue"/>
            <w:noWrap w:val="0"/>
            <w:vAlign w:val="center"/>
          </w:tcPr>
          <w:p w14:paraId="76F383D9">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85" w:type="dxa"/>
            <w:noWrap w:val="0"/>
            <w:vAlign w:val="center"/>
          </w:tcPr>
          <w:p w14:paraId="7D9D79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eastAsia" w:ascii="Times New Roman" w:hAnsi="Times New Roman" w:cs="Times New Roman"/>
                <w:color w:val="000000" w:themeColor="text1"/>
                <w:sz w:val="21"/>
                <w:szCs w:val="20"/>
                <w:lang w:val="en-US" w:eastAsia="zh-CN"/>
                <w14:textFill>
                  <w14:solidFill>
                    <w14:schemeClr w14:val="tx1"/>
                  </w14:solidFill>
                </w14:textFill>
              </w:rPr>
              <w:t>排土（渣）高度</w:t>
            </w:r>
          </w:p>
        </w:tc>
        <w:tc>
          <w:tcPr>
            <w:tcW w:w="1935" w:type="dxa"/>
            <w:noWrap w:val="0"/>
            <w:vAlign w:val="center"/>
          </w:tcPr>
          <w:p w14:paraId="45C41748">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0"/>
                <w14:textFill>
                  <w14:solidFill>
                    <w14:schemeClr w14:val="tx1"/>
                  </w14:solidFill>
                </w14:textFill>
              </w:rPr>
              <w:t>&lt;5m</w:t>
            </w:r>
          </w:p>
        </w:tc>
        <w:tc>
          <w:tcPr>
            <w:tcW w:w="945" w:type="dxa"/>
            <w:vMerge w:val="continue"/>
            <w:tcBorders>
              <w:right w:val="single" w:color="auto" w:sz="4" w:space="0"/>
            </w:tcBorders>
            <w:noWrap w:val="0"/>
            <w:vAlign w:val="center"/>
          </w:tcPr>
          <w:p w14:paraId="7D24B58A">
            <w:pPr>
              <w:keepNext w:val="0"/>
              <w:keepLines w:val="0"/>
              <w:suppressLineNumbers w:val="0"/>
              <w:spacing w:before="0" w:beforeAutospacing="0" w:after="0" w:afterAutospacing="0" w:line="240" w:lineRule="auto"/>
              <w:ind w:left="0" w:right="0"/>
              <w:contextualSpacing/>
              <w:jc w:val="center"/>
              <w:outlineLvl w:val="9"/>
              <w:rPr>
                <w:rFonts w:hint="default" w:ascii="Times New Roman" w:hAnsi="Times New Roman" w:cs="Times New Roman"/>
                <w:color w:val="000000" w:themeColor="text1"/>
                <w:sz w:val="21"/>
                <w:szCs w:val="21"/>
                <w14:textFill>
                  <w14:solidFill>
                    <w14:schemeClr w14:val="tx1"/>
                  </w14:solidFill>
                </w14:textFill>
              </w:rPr>
            </w:pPr>
          </w:p>
        </w:tc>
        <w:tc>
          <w:tcPr>
            <w:tcW w:w="1158" w:type="dxa"/>
            <w:vMerge w:val="continue"/>
            <w:tcBorders>
              <w:left w:val="single" w:color="auto" w:sz="4" w:space="0"/>
            </w:tcBorders>
            <w:noWrap w:val="0"/>
            <w:vAlign w:val="center"/>
          </w:tcPr>
          <w:p w14:paraId="5E2478F7">
            <w:pPr>
              <w:keepNext w:val="0"/>
              <w:keepLines w:val="0"/>
              <w:suppressLineNumbers w:val="0"/>
              <w:spacing w:before="0" w:beforeAutospacing="0" w:after="0" w:afterAutospacing="0" w:line="240" w:lineRule="auto"/>
              <w:ind w:left="0" w:right="0"/>
              <w:contextualSpacing/>
              <w:jc w:val="center"/>
              <w:outlineLvl w:val="9"/>
              <w:rPr>
                <w:rFonts w:hint="default" w:ascii="Times New Roman" w:hAnsi="Times New Roman" w:cs="Times New Roman"/>
                <w:color w:val="000000" w:themeColor="text1"/>
                <w:sz w:val="21"/>
                <w:szCs w:val="21"/>
                <w14:textFill>
                  <w14:solidFill>
                    <w14:schemeClr w14:val="tx1"/>
                  </w14:solidFill>
                </w14:textFill>
              </w:rPr>
            </w:pPr>
          </w:p>
        </w:tc>
      </w:tr>
      <w:tr w14:paraId="51CADF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1826" w:type="dxa"/>
            <w:vMerge w:val="continue"/>
            <w:noWrap w:val="0"/>
            <w:vAlign w:val="center"/>
          </w:tcPr>
          <w:p w14:paraId="13707565">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85" w:type="dxa"/>
            <w:noWrap w:val="0"/>
            <w:vAlign w:val="center"/>
          </w:tcPr>
          <w:p w14:paraId="2339BD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边坡规整情况</w:t>
            </w:r>
          </w:p>
        </w:tc>
        <w:tc>
          <w:tcPr>
            <w:tcW w:w="1935" w:type="dxa"/>
            <w:noWrap w:val="0"/>
            <w:vAlign w:val="center"/>
          </w:tcPr>
          <w:p w14:paraId="3E1ACFD8">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0"/>
                <w14:textFill>
                  <w14:solidFill>
                    <w14:schemeClr w14:val="tx1"/>
                  </w14:solidFill>
                </w14:textFill>
              </w:rPr>
              <w:t>规整</w:t>
            </w:r>
          </w:p>
        </w:tc>
        <w:tc>
          <w:tcPr>
            <w:tcW w:w="945" w:type="dxa"/>
            <w:vMerge w:val="continue"/>
            <w:tcBorders>
              <w:right w:val="single" w:color="auto" w:sz="4" w:space="0"/>
            </w:tcBorders>
            <w:noWrap w:val="0"/>
            <w:vAlign w:val="center"/>
          </w:tcPr>
          <w:p w14:paraId="14EA344E">
            <w:pPr>
              <w:keepNext w:val="0"/>
              <w:keepLines w:val="0"/>
              <w:suppressLineNumbers w:val="0"/>
              <w:spacing w:before="0" w:beforeAutospacing="0" w:after="0" w:afterAutospacing="0" w:line="240" w:lineRule="auto"/>
              <w:ind w:left="0" w:right="0"/>
              <w:contextualSpacing/>
              <w:jc w:val="center"/>
              <w:outlineLvl w:val="9"/>
              <w:rPr>
                <w:rFonts w:hint="default" w:ascii="Times New Roman" w:hAnsi="Times New Roman" w:cs="Times New Roman"/>
                <w:color w:val="000000" w:themeColor="text1"/>
                <w:sz w:val="21"/>
                <w:szCs w:val="21"/>
                <w14:textFill>
                  <w14:solidFill>
                    <w14:schemeClr w14:val="tx1"/>
                  </w14:solidFill>
                </w14:textFill>
              </w:rPr>
            </w:pPr>
          </w:p>
        </w:tc>
        <w:tc>
          <w:tcPr>
            <w:tcW w:w="1158" w:type="dxa"/>
            <w:vMerge w:val="continue"/>
            <w:tcBorders>
              <w:left w:val="single" w:color="auto" w:sz="4" w:space="0"/>
            </w:tcBorders>
            <w:noWrap w:val="0"/>
            <w:vAlign w:val="center"/>
          </w:tcPr>
          <w:p w14:paraId="2BE02EAA">
            <w:pPr>
              <w:keepNext w:val="0"/>
              <w:keepLines w:val="0"/>
              <w:suppressLineNumbers w:val="0"/>
              <w:spacing w:before="0" w:beforeAutospacing="0" w:after="0" w:afterAutospacing="0" w:line="240" w:lineRule="auto"/>
              <w:ind w:left="0" w:right="0"/>
              <w:contextualSpacing/>
              <w:jc w:val="center"/>
              <w:outlineLvl w:val="9"/>
              <w:rPr>
                <w:rFonts w:hint="default" w:ascii="Times New Roman" w:hAnsi="Times New Roman" w:cs="Times New Roman"/>
                <w:color w:val="000000" w:themeColor="text1"/>
                <w:sz w:val="21"/>
                <w:szCs w:val="21"/>
                <w14:textFill>
                  <w14:solidFill>
                    <w14:schemeClr w14:val="tx1"/>
                  </w14:solidFill>
                </w14:textFill>
              </w:rPr>
            </w:pPr>
          </w:p>
        </w:tc>
      </w:tr>
    </w:tbl>
    <w:p w14:paraId="6BBF537C">
      <w:pPr>
        <w:keepNext w:val="0"/>
        <w:keepLines w:val="0"/>
        <w:pageBreakBefore w:val="0"/>
        <w:widowControl w:val="0"/>
        <w:kinsoku/>
        <w:wordWrap/>
        <w:overflowPunct/>
        <w:topLinePunct w:val="0"/>
        <w:autoSpaceDE/>
        <w:autoSpaceDN/>
        <w:bidi w:val="0"/>
        <w:adjustRightInd/>
        <w:snapToGrid/>
        <w:spacing w:before="157" w:beforeLines="50"/>
        <w:jc w:val="center"/>
        <w:textAlignment w:val="auto"/>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w:t>
      </w:r>
    </w:p>
    <w:p w14:paraId="62411F80">
      <w:pPr>
        <w:pStyle w:val="66"/>
        <w:spacing w:line="360" w:lineRule="auto"/>
        <w:ind w:left="0" w:leftChars="0" w:firstLine="0" w:firstLineChars="0"/>
        <w:jc w:val="center"/>
        <w:rPr>
          <w:rFonts w:hint="default" w:ascii="Times New Roman" w:hAnsi="Times New Roman" w:eastAsia="宋体" w:cs="Times New Roman"/>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照片3-</w:t>
      </w:r>
      <w:r>
        <w:rPr>
          <w:rFonts w:hint="eastAsia" w:ascii="黑体" w:hAnsi="黑体" w:eastAsia="黑体" w:cs="黑体"/>
          <w:b w:val="0"/>
          <w:bCs w:val="0"/>
          <w:color w:val="000000" w:themeColor="text1"/>
          <w:sz w:val="24"/>
          <w:szCs w:val="24"/>
          <w:lang w:val="en-US" w:eastAsia="zh-CN"/>
          <w14:textFill>
            <w14:solidFill>
              <w14:schemeClr w14:val="tx1"/>
            </w14:solidFill>
          </w14:textFill>
        </w:rPr>
        <w:t>12</w:t>
      </w:r>
      <w:r>
        <w:rPr>
          <w:rFonts w:hint="eastAsia" w:ascii="黑体" w:hAnsi="黑体" w:eastAsia="黑体" w:cs="黑体"/>
          <w:b w:val="0"/>
          <w:bCs w:val="0"/>
          <w:color w:val="000000" w:themeColor="text1"/>
          <w:sz w:val="24"/>
          <w:szCs w:val="24"/>
          <w14:textFill>
            <w14:solidFill>
              <w14:schemeClr w14:val="tx1"/>
            </w14:solidFill>
          </w14:textFill>
        </w:rPr>
        <w:t xml:space="preserve">  矿区道路</w:t>
      </w:r>
    </w:p>
    <w:p w14:paraId="39F834A5">
      <w:pPr>
        <w:pStyle w:val="66"/>
        <w:spacing w:line="360" w:lineRule="auto"/>
        <w:ind w:firstLine="562" w:firstLineChars="200"/>
        <w:jc w:val="left"/>
        <w:rPr>
          <w:rFonts w:hint="eastAsia" w:ascii="Times New Roman" w:hAnsi="Times New Roman" w:eastAsia="宋体" w:cs="Times New Roman"/>
          <w:b/>
          <w:bCs/>
          <w:color w:val="000000" w:themeColor="text1"/>
          <w:sz w:val="28"/>
          <w:szCs w:val="28"/>
          <w:lang w:eastAsia="zh-CN"/>
          <w14:textFill>
            <w14:solidFill>
              <w14:schemeClr w14:val="tx1"/>
            </w14:solidFill>
          </w14:textFill>
        </w:rPr>
      </w:pPr>
      <w:r>
        <w:rPr>
          <w:rFonts w:hint="eastAsia" w:ascii="Times New Roman" w:hAnsi="Times New Roman" w:eastAsia="宋体" w:cs="Times New Roman"/>
          <w:b/>
          <w:bCs/>
          <w:color w:val="000000" w:themeColor="text1"/>
          <w:sz w:val="28"/>
          <w:szCs w:val="28"/>
          <w:lang w:eastAsia="zh-CN"/>
          <w14:textFill>
            <w14:solidFill>
              <w14:schemeClr w14:val="tx1"/>
            </w14:solidFill>
          </w14:textFill>
        </w:rPr>
        <w:t>（</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9</w:t>
      </w:r>
      <w:r>
        <w:rPr>
          <w:rFonts w:hint="eastAsia" w:ascii="Times New Roman" w:hAnsi="Times New Roman" w:eastAsia="宋体" w:cs="Times New Roman"/>
          <w:b/>
          <w:bCs/>
          <w:color w:val="000000" w:themeColor="text1"/>
          <w:sz w:val="28"/>
          <w:szCs w:val="28"/>
          <w:lang w:eastAsia="zh-CN"/>
          <w14:textFill>
            <w14:solidFill>
              <w14:schemeClr w14:val="tx1"/>
            </w14:solidFill>
          </w14:textFill>
        </w:rPr>
        <w:t>）其他区域</w:t>
      </w:r>
    </w:p>
    <w:p w14:paraId="270949EB">
      <w:pPr>
        <w:pStyle w:val="66"/>
        <w:spacing w:line="360" w:lineRule="auto"/>
        <w:ind w:firstLine="560" w:firstLineChars="200"/>
        <w:jc w:val="left"/>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其他区域面积</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8.982h</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，无破坏的土地，地形植被均保持原有自然状态，未受到矿山建设导致的地形地貌自然景观影响。</w:t>
      </w:r>
    </w:p>
    <w:p w14:paraId="0CCBFCDB">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auto"/>
        <w:rPr>
          <w:rFonts w:hint="default" w:ascii="Times New Roman" w:hAnsi="Times New Roman" w:eastAsia="宋体" w:cs="Times New Roman"/>
          <w:color w:val="000000" w:themeColor="text1"/>
          <w:sz w:val="28"/>
          <w:szCs w:val="28"/>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8"/>
          <w:szCs w:val="28"/>
          <w:highlight w:val="none"/>
          <w:lang w:val="en-US" w:eastAsia="zh-CN" w:bidi="ar-SA"/>
          <w14:textFill>
            <w14:solidFill>
              <w14:schemeClr w14:val="tx1"/>
            </w14:solidFill>
          </w14:textFill>
        </w:rPr>
        <w:t>依</w:t>
      </w:r>
      <w:r>
        <w:rPr>
          <w:rFonts w:hint="default" w:ascii="Times New Roman" w:hAnsi="Times New Roman" w:eastAsia="宋体" w:cs="Times New Roman"/>
          <w:color w:val="000000" w:themeColor="text1"/>
          <w:sz w:val="28"/>
          <w:szCs w:val="28"/>
          <w:highlight w:val="none"/>
          <w:lang w:val="en-US" w:eastAsia="zh-CN" w:bidi="ar-SA"/>
          <w14:textFill>
            <w14:solidFill>
              <w14:schemeClr w14:val="tx1"/>
            </w14:solidFill>
          </w14:textFill>
        </w:rPr>
        <w:t>据各项评估因子对评估区内各场地</w:t>
      </w:r>
      <w:r>
        <w:rPr>
          <w:rFonts w:hint="eastAsia" w:ascii="Times New Roman" w:hAnsi="Times New Roman" w:eastAsia="宋体" w:cs="Times New Roman"/>
          <w:color w:val="000000" w:themeColor="text1"/>
          <w:sz w:val="28"/>
          <w:szCs w:val="28"/>
          <w:highlight w:val="none"/>
          <w:lang w:val="en-US" w:eastAsia="zh-CN" w:bidi="ar-SA"/>
          <w14:textFill>
            <w14:solidFill>
              <w14:schemeClr w14:val="tx1"/>
            </w14:solidFill>
          </w14:textFill>
        </w:rPr>
        <w:t>综合评分</w:t>
      </w:r>
      <w:r>
        <w:rPr>
          <w:rFonts w:hint="default" w:ascii="Times New Roman" w:hAnsi="Times New Roman" w:eastAsia="宋体" w:cs="Times New Roman"/>
          <w:color w:val="000000" w:themeColor="text1"/>
          <w:sz w:val="28"/>
          <w:szCs w:val="28"/>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sz w:val="28"/>
          <w:szCs w:val="28"/>
          <w:highlight w:val="none"/>
          <w:lang w:val="en-US" w:eastAsia="zh-CN" w:bidi="ar-SA"/>
          <w14:textFill>
            <w14:solidFill>
              <w14:schemeClr w14:val="tx1"/>
            </w14:solidFill>
          </w14:textFill>
        </w:rPr>
        <w:t>对各</w:t>
      </w:r>
      <w:r>
        <w:rPr>
          <w:rFonts w:hint="default" w:ascii="Times New Roman" w:hAnsi="Times New Roman" w:eastAsia="宋体" w:cs="Times New Roman"/>
          <w:color w:val="000000" w:themeColor="text1"/>
          <w:sz w:val="28"/>
          <w:szCs w:val="28"/>
          <w:highlight w:val="none"/>
          <w:lang w:val="en-US" w:eastAsia="zh-CN" w:bidi="ar-SA"/>
          <w14:textFill>
            <w14:solidFill>
              <w14:schemeClr w14:val="tx1"/>
            </w14:solidFill>
          </w14:textFill>
        </w:rPr>
        <w:t>场地的地形地貌景观</w:t>
      </w:r>
      <w:r>
        <w:rPr>
          <w:rFonts w:hint="eastAsia" w:ascii="Times New Roman" w:hAnsi="Times New Roman" w:eastAsia="宋体" w:cs="Times New Roman"/>
          <w:color w:val="000000" w:themeColor="text1"/>
          <w:sz w:val="28"/>
          <w:szCs w:val="28"/>
          <w:highlight w:val="none"/>
          <w:lang w:val="en-US" w:eastAsia="zh-CN" w:bidi="ar-SA"/>
          <w14:textFill>
            <w14:solidFill>
              <w14:schemeClr w14:val="tx1"/>
            </w14:solidFill>
          </w14:textFill>
        </w:rPr>
        <w:t>影响</w:t>
      </w:r>
      <w:r>
        <w:rPr>
          <w:rFonts w:hint="default" w:ascii="Times New Roman" w:hAnsi="Times New Roman" w:eastAsia="宋体" w:cs="Times New Roman"/>
          <w:color w:val="000000" w:themeColor="text1"/>
          <w:sz w:val="28"/>
          <w:szCs w:val="28"/>
          <w:highlight w:val="none"/>
          <w:lang w:val="en-US" w:eastAsia="zh-CN" w:bidi="ar-SA"/>
          <w14:textFill>
            <w14:solidFill>
              <w14:schemeClr w14:val="tx1"/>
            </w14:solidFill>
          </w14:textFill>
        </w:rPr>
        <w:t>现状评估</w:t>
      </w:r>
      <w:r>
        <w:rPr>
          <w:rFonts w:hint="eastAsia" w:ascii="Times New Roman" w:hAnsi="Times New Roman" w:eastAsia="宋体" w:cs="Times New Roman"/>
          <w:color w:val="000000" w:themeColor="text1"/>
          <w:sz w:val="28"/>
          <w:szCs w:val="28"/>
          <w:highlight w:val="none"/>
          <w:lang w:val="en-US" w:eastAsia="zh-CN" w:bidi="ar-SA"/>
          <w14:textFill>
            <w14:solidFill>
              <w14:schemeClr w14:val="tx1"/>
            </w14:solidFill>
          </w14:textFill>
        </w:rPr>
        <w:t>如下，详见表3-</w:t>
      </w:r>
      <w:r>
        <w:rPr>
          <w:rFonts w:hint="eastAsia" w:cs="Times New Roman"/>
          <w:color w:val="000000" w:themeColor="text1"/>
          <w:sz w:val="28"/>
          <w:szCs w:val="28"/>
          <w:highlight w:val="none"/>
          <w:lang w:val="en-US" w:eastAsia="zh-CN" w:bidi="ar-SA"/>
          <w14:textFill>
            <w14:solidFill>
              <w14:schemeClr w14:val="tx1"/>
            </w14:solidFill>
          </w14:textFill>
        </w:rPr>
        <w:t>11</w:t>
      </w:r>
      <w:r>
        <w:rPr>
          <w:rFonts w:hint="eastAsia" w:ascii="Times New Roman" w:hAnsi="Times New Roman" w:eastAsia="宋体" w:cs="Times New Roman"/>
          <w:color w:val="000000" w:themeColor="text1"/>
          <w:sz w:val="28"/>
          <w:szCs w:val="28"/>
          <w:highlight w:val="none"/>
          <w:lang w:val="en-US" w:eastAsia="zh-CN" w:bidi="ar-SA"/>
          <w14:textFill>
            <w14:solidFill>
              <w14:schemeClr w14:val="tx1"/>
            </w14:solidFill>
          </w14:textFill>
        </w:rPr>
        <w:t>。</w:t>
      </w:r>
    </w:p>
    <w:p w14:paraId="50E3EA21">
      <w:pPr>
        <w:rPr>
          <w:rFonts w:eastAsia="黑体"/>
          <w:bCs/>
          <w:color w:val="000000" w:themeColor="text1"/>
          <w:sz w:val="24"/>
          <w:szCs w:val="24"/>
          <w14:textFill>
            <w14:solidFill>
              <w14:schemeClr w14:val="tx1"/>
            </w14:solidFill>
          </w14:textFill>
        </w:rPr>
      </w:pPr>
      <w:r>
        <w:rPr>
          <w:rFonts w:eastAsia="黑体"/>
          <w:bCs/>
          <w:color w:val="000000" w:themeColor="text1"/>
          <w:sz w:val="24"/>
          <w:szCs w:val="24"/>
          <w14:textFill>
            <w14:solidFill>
              <w14:schemeClr w14:val="tx1"/>
            </w14:solidFill>
          </w14:textFill>
        </w:rPr>
        <w:br w:type="page"/>
      </w:r>
    </w:p>
    <w:p w14:paraId="04072D3E">
      <w:pPr>
        <w:pStyle w:val="164"/>
        <w:snapToGrid w:val="0"/>
        <w:spacing w:line="360" w:lineRule="auto"/>
        <w:jc w:val="center"/>
        <w:rPr>
          <w:rFonts w:eastAsia="黑体"/>
          <w:bCs/>
          <w:color w:val="000000" w:themeColor="text1"/>
          <w:sz w:val="24"/>
          <w:szCs w:val="24"/>
          <w14:textFill>
            <w14:solidFill>
              <w14:schemeClr w14:val="tx1"/>
            </w14:solidFill>
          </w14:textFill>
        </w:rPr>
      </w:pPr>
      <w:r>
        <w:rPr>
          <w:rFonts w:eastAsia="黑体"/>
          <w:bCs/>
          <w:color w:val="000000" w:themeColor="text1"/>
          <w:sz w:val="24"/>
          <w:szCs w:val="24"/>
          <w14:textFill>
            <w14:solidFill>
              <w14:schemeClr w14:val="tx1"/>
            </w14:solidFill>
          </w14:textFill>
        </w:rPr>
        <w:t>表3-</w:t>
      </w:r>
      <w:r>
        <w:rPr>
          <w:rFonts w:hint="eastAsia" w:eastAsia="黑体"/>
          <w:bCs/>
          <w:color w:val="000000" w:themeColor="text1"/>
          <w:sz w:val="24"/>
          <w:szCs w:val="24"/>
          <w:lang w:val="en-US" w:eastAsia="zh-CN"/>
          <w14:textFill>
            <w14:solidFill>
              <w14:schemeClr w14:val="tx1"/>
            </w14:solidFill>
          </w14:textFill>
        </w:rPr>
        <w:t>11</w:t>
      </w:r>
      <w:r>
        <w:rPr>
          <w:rFonts w:eastAsia="黑体"/>
          <w:bCs/>
          <w:color w:val="000000" w:themeColor="text1"/>
          <w:sz w:val="24"/>
          <w:szCs w:val="24"/>
          <w14:textFill>
            <w14:solidFill>
              <w14:schemeClr w14:val="tx1"/>
            </w14:solidFill>
          </w14:textFill>
        </w:rPr>
        <w:t xml:space="preserve">  </w:t>
      </w:r>
      <w:r>
        <w:rPr>
          <w:rFonts w:hint="eastAsia" w:eastAsia="黑体"/>
          <w:bCs/>
          <w:color w:val="000000" w:themeColor="text1"/>
          <w:sz w:val="24"/>
          <w:szCs w:val="24"/>
          <w:lang w:val="en-US" w:eastAsia="zh-CN"/>
          <w14:textFill>
            <w14:solidFill>
              <w14:schemeClr w14:val="tx1"/>
            </w14:solidFill>
          </w14:textFill>
        </w:rPr>
        <w:t>现状</w:t>
      </w:r>
      <w:r>
        <w:rPr>
          <w:rFonts w:eastAsia="黑体"/>
          <w:bCs/>
          <w:color w:val="000000" w:themeColor="text1"/>
          <w:sz w:val="24"/>
          <w:szCs w:val="24"/>
          <w14:textFill>
            <w14:solidFill>
              <w14:schemeClr w14:val="tx1"/>
            </w14:solidFill>
          </w14:textFill>
        </w:rPr>
        <w:t>地形地貌景观破坏程度评分</w:t>
      </w:r>
      <w:r>
        <w:rPr>
          <w:rFonts w:hint="eastAsia" w:eastAsia="黑体"/>
          <w:bCs/>
          <w:color w:val="000000" w:themeColor="text1"/>
          <w:sz w:val="24"/>
          <w:szCs w:val="24"/>
          <w:lang w:val="en-US" w:eastAsia="zh-CN"/>
          <w14:textFill>
            <w14:solidFill>
              <w14:schemeClr w14:val="tx1"/>
            </w14:solidFill>
          </w14:textFill>
        </w:rPr>
        <w:t>结果</w:t>
      </w:r>
      <w:r>
        <w:rPr>
          <w:rFonts w:eastAsia="黑体"/>
          <w:bCs/>
          <w:color w:val="000000" w:themeColor="text1"/>
          <w:sz w:val="24"/>
          <w:szCs w:val="24"/>
          <w14:textFill>
            <w14:solidFill>
              <w14:schemeClr w14:val="tx1"/>
            </w14:solidFill>
          </w14:textFill>
        </w:rPr>
        <w:t>表</w:t>
      </w:r>
    </w:p>
    <w:p w14:paraId="185208EC">
      <w:pPr>
        <w:pStyle w:val="38"/>
        <w:keepNext w:val="0"/>
        <w:keepLines w:val="0"/>
        <w:pageBreakBefore w:val="0"/>
        <w:widowControl w:val="0"/>
        <w:kinsoku/>
        <w:wordWrap/>
        <w:overflowPunct/>
        <w:topLinePunct w:val="0"/>
        <w:autoSpaceDE w:val="0"/>
        <w:autoSpaceDN w:val="0"/>
        <w:bidi w:val="0"/>
        <w:adjustRightInd w:val="0"/>
        <w:snapToGrid/>
        <w:spacing w:before="157" w:beforeLines="50" w:line="360" w:lineRule="auto"/>
        <w:ind w:firstLine="560" w:firstLineChars="200"/>
        <w:jc w:val="both"/>
        <w:textAlignment w:val="auto"/>
        <w:rPr>
          <w:rFonts w:hint="default" w:ascii="Times New Roman" w:hAnsi="Times New Roman" w:cs="Times New Roman"/>
          <w:color w:val="000000" w:themeColor="text1"/>
          <w:spacing w:val="1"/>
          <w:sz w:val="28"/>
          <w:szCs w:val="28"/>
          <w14:textFill>
            <w14:solidFill>
              <w14:schemeClr w14:val="tx1"/>
            </w14:solidFill>
          </w14:textFill>
        </w:rPr>
      </w:pPr>
      <w:r>
        <w:rPr>
          <w:rFonts w:hint="default" w:ascii="Times New Roman" w:hAnsi="Times New Roman" w:eastAsia="宋体" w:cs="Times New Roman"/>
          <w:color w:val="000000" w:themeColor="text1"/>
          <w:sz w:val="28"/>
          <w:szCs w:val="28"/>
          <w:lang w:val="en-US" w:eastAsia="zh-CN"/>
          <w14:textFill>
            <w14:solidFill>
              <w14:schemeClr w14:val="tx1"/>
            </w14:solidFill>
          </w14:textFill>
        </w:rPr>
        <w:t>综上，现状条件下露天采场1、露天采场2对地形地貌影响严重；工业场地、成品砖堆放场、料堆、表土存放场、办公生活区及矿区道路对地形地貌影响较严重，修复区内其他区域对地形地貌影响较轻。</w:t>
      </w:r>
    </w:p>
    <w:p w14:paraId="0AC5FF64">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outlineLvl w:val="3"/>
        <w:rPr>
          <w:rFonts w:hint="default" w:ascii="Times New Roman" w:hAnsi="Times New Roman" w:eastAsia="宋体" w:cs="Times New Roman"/>
          <w:b/>
          <w:bCs/>
          <w:snapToGrid w:val="0"/>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bCs/>
          <w:snapToGrid w:val="0"/>
          <w:color w:val="000000" w:themeColor="text1"/>
          <w:sz w:val="28"/>
          <w:szCs w:val="28"/>
          <w:lang w:val="en-US" w:eastAsia="zh-CN"/>
          <w14:textFill>
            <w14:solidFill>
              <w14:schemeClr w14:val="tx1"/>
            </w14:solidFill>
          </w14:textFill>
        </w:rPr>
        <w:t>3、</w:t>
      </w:r>
      <w:r>
        <w:rPr>
          <w:rFonts w:hint="default" w:ascii="Times New Roman" w:hAnsi="Times New Roman" w:eastAsia="宋体" w:cs="Times New Roman"/>
          <w:b/>
          <w:bCs/>
          <w:snapToGrid w:val="0"/>
          <w:color w:val="000000" w:themeColor="text1"/>
          <w:sz w:val="28"/>
          <w:szCs w:val="28"/>
          <w:lang w:val="en-US" w:eastAsia="zh-CN"/>
          <w14:textFill>
            <w14:solidFill>
              <w14:schemeClr w14:val="tx1"/>
            </w14:solidFill>
          </w14:textFill>
        </w:rPr>
        <w:t>矿区含水层破坏现状分析</w:t>
      </w:r>
    </w:p>
    <w:p w14:paraId="7A50F350">
      <w:pPr>
        <w:spacing w:line="360" w:lineRule="auto"/>
        <w:ind w:firstLine="560" w:firstLineChars="200"/>
        <w:contextualSpacing/>
        <w:rPr>
          <w:rFonts w:hint="eastAsia" w:cs="Times New Roman"/>
          <w:color w:val="000000" w:themeColor="text1"/>
          <w:sz w:val="28"/>
          <w:szCs w:val="28"/>
          <w:lang w:eastAsia="zh-CN"/>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（1）含水层结构破坏</w:t>
      </w:r>
    </w:p>
    <w:p w14:paraId="60ED1E5E">
      <w:pPr>
        <w:spacing w:line="360" w:lineRule="auto"/>
        <w:ind w:firstLine="560" w:firstLineChars="200"/>
        <w:contextualSpacing/>
        <w:rPr>
          <w:rFonts w:hint="eastAsia" w:cs="Times New Roman"/>
          <w:color w:val="000000" w:themeColor="text1"/>
          <w:sz w:val="28"/>
          <w:szCs w:val="28"/>
          <w:lang w:eastAsia="zh-CN"/>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根据现状调查，现状露天采场1最大开采深度约10m，露天采场2最大开采深度约6m，依据《开发与治理综合方案》矿区地下水类型为第四系松散岩层孔隙水。矿区内水位埋深35～40m，水位标高458m以下，现状露天采场1最低开采标高位471.95m，露天采场2最低开采标高位480.22m，均位于地下水位之上，露天采场开采现状未揭露含水层，未破坏含水层结构。</w:t>
      </w:r>
    </w:p>
    <w:p w14:paraId="598D28BF">
      <w:pPr>
        <w:spacing w:line="360" w:lineRule="auto"/>
        <w:ind w:firstLine="560" w:firstLineChars="200"/>
        <w:contextualSpacing/>
        <w:rPr>
          <w:rFonts w:hint="eastAsia" w:cs="Times New Roman"/>
          <w:color w:val="000000" w:themeColor="text1"/>
          <w:sz w:val="28"/>
          <w:szCs w:val="28"/>
          <w:lang w:eastAsia="zh-CN"/>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（2）采坑疏干排水对含水层影响</w:t>
      </w:r>
    </w:p>
    <w:p w14:paraId="620CF842">
      <w:pPr>
        <w:spacing w:line="360" w:lineRule="auto"/>
        <w:ind w:firstLine="560" w:firstLineChars="200"/>
        <w:contextualSpacing/>
        <w:rPr>
          <w:rFonts w:hint="eastAsia" w:cs="Times New Roman"/>
          <w:color w:val="000000" w:themeColor="text1"/>
          <w:sz w:val="28"/>
          <w:szCs w:val="28"/>
          <w:lang w:eastAsia="zh-CN"/>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现状矿山生产未破坏含水层，不进行疏干排水，采坑疏干对含水层的影响较轻。</w:t>
      </w:r>
    </w:p>
    <w:p w14:paraId="6E187A0F">
      <w:pPr>
        <w:spacing w:line="360" w:lineRule="auto"/>
        <w:ind w:firstLine="560" w:firstLineChars="200"/>
        <w:contextualSpacing/>
        <w:rPr>
          <w:rFonts w:hint="eastAsia" w:cs="Times New Roman"/>
          <w:color w:val="000000" w:themeColor="text1"/>
          <w:sz w:val="28"/>
          <w:szCs w:val="28"/>
          <w:lang w:eastAsia="zh-CN"/>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（3）对矿区及附近水源的影响现状分析</w:t>
      </w:r>
    </w:p>
    <w:p w14:paraId="460364D1">
      <w:pPr>
        <w:spacing w:line="360" w:lineRule="auto"/>
        <w:ind w:firstLine="560" w:firstLineChars="200"/>
        <w:contextualSpacing/>
        <w:rPr>
          <w:rFonts w:ascii="宋体" w:hAnsi="宋体" w:cs="宋体"/>
          <w:color w:val="000000" w:themeColor="text1"/>
          <w:sz w:val="28"/>
          <w:szCs w:val="28"/>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矿区及周围无地表水体，据实地调查，在现状条件下，现状矿山生产未破坏含水层，无需大量抽取地下水，且未进行疏干排水，对矿区及附近村庄居民生产生活用水无影响。</w:t>
      </w:r>
    </w:p>
    <w:p w14:paraId="6C3D7855">
      <w:pPr>
        <w:rPr>
          <w:rFonts w:hint="eastAsia" w:cs="Times New Roman"/>
          <w:color w:val="000000" w:themeColor="text1"/>
          <w:sz w:val="28"/>
          <w:szCs w:val="28"/>
          <w:lang w:eastAsia="zh-CN"/>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br w:type="page"/>
      </w:r>
    </w:p>
    <w:p w14:paraId="1F0C9ED2">
      <w:pPr>
        <w:spacing w:line="360" w:lineRule="auto"/>
        <w:ind w:firstLine="560" w:firstLineChars="200"/>
        <w:contextualSpacing/>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4</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对地下水水质的影响现状分析</w:t>
      </w:r>
    </w:p>
    <w:p w14:paraId="118B1DE0">
      <w:pPr>
        <w:spacing w:line="360" w:lineRule="auto"/>
        <w:ind w:firstLine="560" w:firstLineChars="200"/>
        <w:contextualSpacing/>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根据2022年7月，由内蒙古绿美佳环境职业技术有限公司出具的《检测报告》（LMJ-S-2022-483），对矿山厂区内水井分别取样进行检测，检测项目为：浊度、PH、氨氮、COD，结果显示，矿山厂区内水井各项检测指标均符合《地下水质量标准》（GB/T 14848-2017）III类标准，详见表3-</w:t>
      </w:r>
      <w:r>
        <w:rPr>
          <w:rFonts w:hint="eastAsia" w:cs="Times New Roman"/>
          <w:color w:val="000000" w:themeColor="text1"/>
          <w:sz w:val="28"/>
          <w:szCs w:val="28"/>
          <w:highlight w:val="none"/>
          <w:lang w:val="en-US" w:eastAsia="zh-CN"/>
          <w14:textFill>
            <w14:solidFill>
              <w14:schemeClr w14:val="tx1"/>
            </w14:solidFill>
          </w14:textFill>
        </w:rPr>
        <w:t>12</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w:t>
      </w:r>
    </w:p>
    <w:p w14:paraId="25AF629A">
      <w:pPr>
        <w:pStyle w:val="38"/>
        <w:ind w:left="0" w:leftChars="0" w:firstLine="0" w:firstLineChars="0"/>
        <w:jc w:val="center"/>
        <w:rPr>
          <w:rFonts w:hint="eastAsia" w:ascii="黑体" w:hAnsi="黑体" w:eastAsia="黑体" w:cs="黑体"/>
          <w:snapToGrid w:val="0"/>
          <w:color w:val="000000" w:themeColor="text1"/>
          <w:spacing w:val="1"/>
          <w:kern w:val="0"/>
          <w:sz w:val="24"/>
          <w:szCs w:val="24"/>
          <w:lang w:eastAsia="en-US"/>
          <w14:textFill>
            <w14:solidFill>
              <w14:schemeClr w14:val="tx1"/>
            </w14:solidFill>
          </w14:textFill>
        </w:rPr>
      </w:pPr>
      <w:r>
        <w:rPr>
          <w:rFonts w:hint="eastAsia" w:ascii="黑体" w:hAnsi="黑体" w:eastAsia="黑体" w:cs="黑体"/>
          <w:snapToGrid w:val="0"/>
          <w:color w:val="000000" w:themeColor="text1"/>
          <w:spacing w:val="1"/>
          <w:kern w:val="0"/>
          <w:sz w:val="24"/>
          <w:szCs w:val="24"/>
          <w:lang w:eastAsia="en-US"/>
          <w14:textFill>
            <w14:solidFill>
              <w14:schemeClr w14:val="tx1"/>
            </w14:solidFill>
          </w14:textFill>
        </w:rPr>
        <w:t>表</w:t>
      </w:r>
      <w:r>
        <w:rPr>
          <w:rFonts w:hint="eastAsia" w:ascii="黑体" w:hAnsi="黑体" w:eastAsia="黑体" w:cs="黑体"/>
          <w:snapToGrid w:val="0"/>
          <w:color w:val="000000" w:themeColor="text1"/>
          <w:spacing w:val="1"/>
          <w:kern w:val="0"/>
          <w:sz w:val="24"/>
          <w:szCs w:val="24"/>
          <w:lang w:val="en-US" w:eastAsia="zh-CN"/>
          <w14:textFill>
            <w14:solidFill>
              <w14:schemeClr w14:val="tx1"/>
            </w14:solidFill>
          </w14:textFill>
        </w:rPr>
        <w:t xml:space="preserve">3-12  </w:t>
      </w:r>
      <w:r>
        <w:rPr>
          <w:rFonts w:hint="eastAsia" w:ascii="黑体" w:hAnsi="黑体" w:eastAsia="黑体" w:cs="黑体"/>
          <w:snapToGrid w:val="0"/>
          <w:color w:val="000000" w:themeColor="text1"/>
          <w:spacing w:val="1"/>
          <w:kern w:val="0"/>
          <w:sz w:val="24"/>
          <w:szCs w:val="24"/>
          <w:lang w:eastAsia="en-US"/>
          <w14:textFill>
            <w14:solidFill>
              <w14:schemeClr w14:val="tx1"/>
            </w14:solidFill>
          </w14:textFill>
        </w:rPr>
        <w:t>地下水检测结果</w:t>
      </w:r>
    </w:p>
    <w:tbl>
      <w:tblPr>
        <w:tblStyle w:val="30"/>
        <w:tblW w:w="829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56"/>
        <w:gridCol w:w="1320"/>
        <w:gridCol w:w="1545"/>
        <w:gridCol w:w="1080"/>
        <w:gridCol w:w="705"/>
        <w:gridCol w:w="1305"/>
        <w:gridCol w:w="1281"/>
      </w:tblGrid>
      <w:tr w14:paraId="34A5C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E578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采样时间</w:t>
            </w:r>
          </w:p>
        </w:tc>
        <w:tc>
          <w:tcPr>
            <w:tcW w:w="132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AF1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检测点位</w:t>
            </w:r>
          </w:p>
        </w:tc>
        <w:tc>
          <w:tcPr>
            <w:tcW w:w="15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4C71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样品编号</w:t>
            </w:r>
          </w:p>
        </w:tc>
        <w:tc>
          <w:tcPr>
            <w:tcW w:w="43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96EA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检测项目</w:t>
            </w:r>
          </w:p>
        </w:tc>
      </w:tr>
      <w:tr w14:paraId="3F38C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A7C0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050A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D05B3">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568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浊度</w:t>
            </w: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（度）</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AD3F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PH</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5AA4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氨氮</w:t>
            </w:r>
            <w:r>
              <w:rPr>
                <w:rFonts w:hint="default" w:ascii="Times New Roman" w:hAnsi="Times New Roman" w:cs="Times New Roman"/>
                <w:i w:val="0"/>
                <w:iCs w:val="0"/>
                <w:color w:val="000000" w:themeColor="text1"/>
                <w:kern w:val="0"/>
                <w:sz w:val="20"/>
                <w:szCs w:val="20"/>
                <w:u w:val="none"/>
                <w:lang w:val="en-US" w:eastAsia="zh-CN" w:bidi="ar"/>
                <w14:textFill>
                  <w14:solidFill>
                    <w14:schemeClr w14:val="tx1"/>
                  </w14:solidFill>
                </w14:textFill>
              </w:rPr>
              <w:t>（mg/L）</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18F1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COD</w:t>
            </w:r>
            <w:r>
              <w:rPr>
                <w:rFonts w:hint="default" w:ascii="Times New Roman" w:hAnsi="Times New Roman" w:cs="Times New Roman"/>
                <w:i w:val="0"/>
                <w:iCs w:val="0"/>
                <w:color w:val="000000" w:themeColor="text1"/>
                <w:kern w:val="0"/>
                <w:sz w:val="20"/>
                <w:szCs w:val="20"/>
                <w:u w:val="none"/>
                <w:lang w:val="en-US" w:eastAsia="zh-CN" w:bidi="ar"/>
                <w14:textFill>
                  <w14:solidFill>
                    <w14:schemeClr w14:val="tx1"/>
                  </w14:solidFill>
                </w14:textFill>
              </w:rPr>
              <w:t>（mg/L）</w:t>
            </w:r>
          </w:p>
        </w:tc>
      </w:tr>
      <w:tr w14:paraId="5FE13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D294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2022.7.9</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183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厂区内水井</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4CB4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D-2022483-001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D0FCD">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sz w:val="20"/>
                <w:szCs w:val="20"/>
                <w:u w:val="none"/>
                <w:lang w:val="en-US" w:eastAsia="zh-CN"/>
                <w14:textFill>
                  <w14:solidFill>
                    <w14:schemeClr w14:val="tx1"/>
                  </w14:solidFill>
                </w14:textFill>
              </w:rPr>
            </w:pPr>
            <w:r>
              <w:rPr>
                <w:rFonts w:hint="eastAsia" w:cs="Times New Roman"/>
                <w:i w:val="0"/>
                <w:iCs w:val="0"/>
                <w:color w:val="000000" w:themeColor="text1"/>
                <w:sz w:val="20"/>
                <w:szCs w:val="20"/>
                <w:u w:val="none"/>
                <w:lang w:val="en-US" w:eastAsia="zh-CN"/>
                <w14:textFill>
                  <w14:solidFill>
                    <w14:schemeClr w14:val="tx1"/>
                  </w14:solidFill>
                </w14:textFill>
              </w:rPr>
              <w:t>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DF07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7.0 </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7591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0.418</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CB52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4L</w:t>
            </w:r>
          </w:p>
        </w:tc>
      </w:tr>
      <w:tr w14:paraId="711F9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1C5A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B7F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厂区内水井</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FC6B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D-2022483-002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0201D">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sz w:val="20"/>
                <w:szCs w:val="20"/>
                <w:u w:val="none"/>
                <w:lang w:val="en-US" w:eastAsia="zh-CN"/>
                <w14:textFill>
                  <w14:solidFill>
                    <w14:schemeClr w14:val="tx1"/>
                  </w14:solidFill>
                </w14:textFill>
              </w:rPr>
            </w:pPr>
            <w:r>
              <w:rPr>
                <w:rFonts w:hint="eastAsia" w:cs="Times New Roman"/>
                <w:i w:val="0"/>
                <w:iCs w:val="0"/>
                <w:color w:val="000000" w:themeColor="text1"/>
                <w:sz w:val="20"/>
                <w:szCs w:val="20"/>
                <w:u w:val="none"/>
                <w:lang w:val="en-US" w:eastAsia="zh-CN"/>
                <w14:textFill>
                  <w14:solidFill>
                    <w14:schemeClr w14:val="tx1"/>
                  </w14:solidFill>
                </w14:textFill>
              </w:rPr>
              <w:t>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640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7.0 </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54AE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0.423</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FBDE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4L</w:t>
            </w:r>
          </w:p>
        </w:tc>
      </w:tr>
      <w:tr w14:paraId="794DB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EFFF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p>
        </w:tc>
        <w:tc>
          <w:tcPr>
            <w:tcW w:w="28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612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平均值</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33606">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i w:val="0"/>
                <w:iCs w:val="0"/>
                <w:color w:val="000000" w:themeColor="text1"/>
                <w:sz w:val="20"/>
                <w:szCs w:val="20"/>
                <w:u w:val="none"/>
                <w:lang w:val="en-US" w:eastAsia="zh-CN"/>
                <w14:textFill>
                  <w14:solidFill>
                    <w14:schemeClr w14:val="tx1"/>
                  </w14:solidFill>
                </w14:textFill>
              </w:rPr>
            </w:pPr>
            <w:r>
              <w:rPr>
                <w:rFonts w:hint="eastAsia" w:cs="Times New Roman"/>
                <w:i w:val="0"/>
                <w:iCs w:val="0"/>
                <w:color w:val="000000" w:themeColor="text1"/>
                <w:sz w:val="20"/>
                <w:szCs w:val="20"/>
                <w:u w:val="none"/>
                <w:lang w:val="en-US" w:eastAsia="zh-CN"/>
                <w14:textFill>
                  <w14:solidFill>
                    <w14:schemeClr w14:val="tx1"/>
                  </w14:solidFill>
                </w14:textFill>
              </w:rPr>
              <w:t>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D11F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7.0 </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DBC3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0"/>
                <w:szCs w:val="20"/>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0.42</w:t>
            </w:r>
            <w:r>
              <w:rPr>
                <w:rFonts w:hint="default" w:ascii="Times New Roman" w:hAnsi="Times New Roman" w:cs="Times New Roman"/>
                <w:i w:val="0"/>
                <w:iCs w:val="0"/>
                <w:color w:val="000000" w:themeColor="text1"/>
                <w:kern w:val="0"/>
                <w:sz w:val="20"/>
                <w:szCs w:val="20"/>
                <w:u w:val="none"/>
                <w:lang w:val="en-US" w:eastAsia="zh-CN" w:bidi="ar"/>
                <w14:textFill>
                  <w14:solidFill>
                    <w14:schemeClr w14:val="tx1"/>
                  </w14:solidFill>
                </w14:textFill>
              </w:rPr>
              <w:t>0</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180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4L</w:t>
            </w:r>
          </w:p>
        </w:tc>
      </w:tr>
      <w:tr w14:paraId="5400E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8292"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1FE4C">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注：数字后面加L表示未检出。</w:t>
            </w:r>
          </w:p>
        </w:tc>
      </w:tr>
    </w:tbl>
    <w:p w14:paraId="1C87AE6A">
      <w:pPr>
        <w:keepNext w:val="0"/>
        <w:keepLines w:val="0"/>
        <w:pageBreakBefore w:val="0"/>
        <w:widowControl w:val="0"/>
        <w:kinsoku/>
        <w:wordWrap/>
        <w:overflowPunct/>
        <w:topLinePunct w:val="0"/>
        <w:autoSpaceDE/>
        <w:autoSpaceDN/>
        <w:bidi w:val="0"/>
        <w:adjustRightInd/>
        <w:snapToGrid/>
        <w:spacing w:before="157" w:beforeLines="50" w:line="360" w:lineRule="auto"/>
        <w:ind w:firstLine="560" w:firstLineChars="200"/>
        <w:textAlignment w:val="auto"/>
        <w:rPr>
          <w:rFonts w:hint="default" w:ascii="Times New Roman" w:hAnsi="Times New Roman" w:cs="Times New Roman"/>
          <w:snapToGrid w:val="0"/>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综上，现状条件下矿山开采未对含水层结构造成破坏，影响程度较轻；对地下水水位及附近水源无影响；对地下水水质影响较轻。据《矿山地质环境保护与治理恢复方案编制规范》（DZ/T223-2011）附录E规定，现状采矿活动对地下水含水层的影响和破坏程度较轻。</w:t>
      </w:r>
    </w:p>
    <w:p w14:paraId="306B52EB">
      <w:pPr>
        <w:spacing w:line="360" w:lineRule="auto"/>
        <w:ind w:firstLine="560" w:firstLineChars="200"/>
        <w:rPr>
          <w:rFonts w:hint="default" w:cs="Times New Roman"/>
          <w:snapToGrid w:val="0"/>
          <w:color w:val="000000" w:themeColor="text1"/>
          <w:sz w:val="28"/>
          <w:szCs w:val="28"/>
          <w:highlight w:val="none"/>
          <w:lang w:val="en-US" w:eastAsia="zh-CN"/>
          <w14:textFill>
            <w14:solidFill>
              <w14:schemeClr w14:val="tx1"/>
            </w14:solidFill>
          </w14:textFill>
        </w:rPr>
      </w:pPr>
      <w:r>
        <w:rPr>
          <w:rFonts w:hint="eastAsia" w:cs="Times New Roman"/>
          <w:snapToGrid w:val="0"/>
          <w:color w:val="000000" w:themeColor="text1"/>
          <w:sz w:val="28"/>
          <w:szCs w:val="28"/>
          <w:highlight w:val="none"/>
          <w:lang w:val="en-US" w:eastAsia="zh-CN"/>
          <w14:textFill>
            <w14:solidFill>
              <w14:schemeClr w14:val="tx1"/>
            </w14:solidFill>
          </w14:textFill>
        </w:rPr>
        <w:t>4、现状地质环境问题小结</w:t>
      </w:r>
    </w:p>
    <w:p w14:paraId="00440422">
      <w:pPr>
        <w:spacing w:line="360" w:lineRule="auto"/>
        <w:ind w:firstLine="560" w:firstLineChars="200"/>
        <w:rPr>
          <w:rFonts w:hint="default" w:cs="Times New Roman"/>
          <w:snapToGrid w:val="0"/>
          <w:color w:val="000000" w:themeColor="text1"/>
          <w:sz w:val="28"/>
          <w:szCs w:val="28"/>
          <w:highlight w:val="none"/>
          <w:lang w:val="en-US" w:eastAsia="zh-CN"/>
          <w14:textFill>
            <w14:solidFill>
              <w14:schemeClr w14:val="tx1"/>
            </w14:solidFill>
          </w14:textFill>
        </w:rPr>
      </w:pPr>
      <w:r>
        <w:rPr>
          <w:rFonts w:hint="eastAsia" w:cs="Times New Roman"/>
          <w:snapToGrid w:val="0"/>
          <w:color w:val="000000" w:themeColor="text1"/>
          <w:sz w:val="28"/>
          <w:szCs w:val="28"/>
          <w:highlight w:val="none"/>
          <w:lang w:val="en-US" w:eastAsia="zh-CN"/>
          <w14:textFill>
            <w14:solidFill>
              <w14:schemeClr w14:val="tx1"/>
            </w14:solidFill>
          </w14:textFill>
        </w:rPr>
        <w:t>通过上述对矿山不稳定地质体、地形地貌景观破坏、矿区含水层破坏三点进行分析，现状对矿山地质环境问题评价如下表：</w:t>
      </w:r>
    </w:p>
    <w:p w14:paraId="197034D4">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Times New Roman" w:hAnsi="Times New Roman" w:eastAsia="黑体" w:cs="Times New Roman"/>
          <w:bCs/>
          <w:color w:val="000000" w:themeColor="text1"/>
          <w:kern w:val="2"/>
          <w:sz w:val="24"/>
          <w:szCs w:val="24"/>
          <w:lang w:val="en-US" w:eastAsia="zh-CN" w:bidi="ar-SA"/>
          <w14:textFill>
            <w14:solidFill>
              <w14:schemeClr w14:val="tx1"/>
            </w14:solidFill>
          </w14:textFill>
        </w:rPr>
      </w:pPr>
      <w:r>
        <w:rPr>
          <w:rFonts w:hint="eastAsia" w:ascii="Times New Roman" w:hAnsi="Times New Roman" w:eastAsia="黑体" w:cs="Times New Roman"/>
          <w:bCs/>
          <w:color w:val="000000" w:themeColor="text1"/>
          <w:kern w:val="2"/>
          <w:sz w:val="24"/>
          <w:szCs w:val="24"/>
          <w:lang w:val="en-US" w:eastAsia="zh-CN" w:bidi="ar-SA"/>
          <w14:textFill>
            <w14:solidFill>
              <w14:schemeClr w14:val="tx1"/>
            </w14:solidFill>
          </w14:textFill>
        </w:rPr>
        <w:t>表3-</w:t>
      </w:r>
      <w:r>
        <w:rPr>
          <w:rFonts w:hint="eastAsia" w:eastAsia="黑体" w:cs="Times New Roman"/>
          <w:bCs/>
          <w:color w:val="000000" w:themeColor="text1"/>
          <w:kern w:val="2"/>
          <w:sz w:val="24"/>
          <w:szCs w:val="24"/>
          <w:lang w:val="en-US" w:eastAsia="zh-CN" w:bidi="ar-SA"/>
          <w14:textFill>
            <w14:solidFill>
              <w14:schemeClr w14:val="tx1"/>
            </w14:solidFill>
          </w14:textFill>
        </w:rPr>
        <w:t>13</w:t>
      </w:r>
      <w:r>
        <w:rPr>
          <w:rFonts w:hint="eastAsia" w:ascii="Times New Roman" w:hAnsi="Times New Roman" w:eastAsia="黑体" w:cs="Times New Roman"/>
          <w:bCs/>
          <w:color w:val="000000" w:themeColor="text1"/>
          <w:kern w:val="2"/>
          <w:sz w:val="24"/>
          <w:szCs w:val="24"/>
          <w:lang w:val="en-US" w:eastAsia="zh-CN" w:bidi="ar-SA"/>
          <w14:textFill>
            <w14:solidFill>
              <w14:schemeClr w14:val="tx1"/>
            </w14:solidFill>
          </w14:textFill>
        </w:rPr>
        <w:t xml:space="preserve">  现状矿山地质环境问题评价表</w:t>
      </w:r>
    </w:p>
    <w:p w14:paraId="0B1C94CC">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outlineLvl w:val="2"/>
        <w:rPr>
          <w:rFonts w:hint="default" w:ascii="Times New Roman" w:hAnsi="Times New Roman" w:eastAsia="宋体" w:cs="Times New Roman"/>
          <w:b/>
          <w:bCs/>
          <w:snapToGrid w:val="0"/>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bCs/>
          <w:snapToGrid w:val="0"/>
          <w:color w:val="000000" w:themeColor="text1"/>
          <w:sz w:val="28"/>
          <w:szCs w:val="28"/>
          <w:lang w:val="en-US" w:eastAsia="zh-CN"/>
          <w14:textFill>
            <w14:solidFill>
              <w14:schemeClr w14:val="tx1"/>
            </w14:solidFill>
          </w14:textFill>
        </w:rPr>
        <w:t>（二）土地资源损毁问题现状</w:t>
      </w:r>
    </w:p>
    <w:p w14:paraId="360589FF">
      <w:pPr>
        <w:widowControl/>
        <w:spacing w:line="360" w:lineRule="auto"/>
        <w:ind w:firstLine="560" w:firstLineChars="200"/>
        <w:outlineLvl w:val="3"/>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kern w:val="0"/>
          <w:sz w:val="28"/>
          <w:szCs w:val="28"/>
          <w:lang w:val="en-US" w:eastAsia="zh-CN"/>
          <w14:textFill>
            <w14:solidFill>
              <w14:schemeClr w14:val="tx1"/>
            </w14:solidFill>
          </w14:textFill>
        </w:rPr>
        <w:t>1、</w:t>
      </w:r>
      <w:r>
        <w:rPr>
          <w:rFonts w:hint="default" w:ascii="Times New Roman" w:hAnsi="Times New Roman" w:cs="Times New Roman"/>
          <w:color w:val="000000" w:themeColor="text1"/>
          <w:kern w:val="0"/>
          <w:sz w:val="28"/>
          <w:szCs w:val="28"/>
          <w14:textFill>
            <w14:solidFill>
              <w14:schemeClr w14:val="tx1"/>
            </w14:solidFill>
          </w14:textFill>
        </w:rPr>
        <w:t>土地损毁程度评价指标</w:t>
      </w:r>
    </w:p>
    <w:p w14:paraId="0D8BCB5D">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根据《中华人民共和国土地管理法》和《土地复垦条例》，土地损毁程度预测等级确定为三级标准，分别为：轻度破坏，中度破坏，重度破坏。</w:t>
      </w:r>
    </w:p>
    <w:p w14:paraId="47056C73">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关于土地损毁程度的划分指标，除了煤矿井工开采有确切的评价指标和评价体系外，对于其他损毁土地的评价因子尚没有具体的评价指标体系。参考以往众多单位编写的土地复垦方案，选用如下划分标准。</w:t>
      </w:r>
    </w:p>
    <w:p w14:paraId="361E646D">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压占土地按照压占面积、边坡坡度</w:t>
      </w:r>
      <w:r>
        <w:rPr>
          <w:rFonts w:hint="eastAsia"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堆积高度、复垦难度等</w:t>
      </w:r>
      <w:r>
        <w:rPr>
          <w:rFonts w:hint="eastAsia"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挖损损毁按照</w:t>
      </w:r>
      <w:r>
        <w:rPr>
          <w:rFonts w:hint="eastAsia" w:ascii="Times New Roman" w:hAnsi="Times New Roman" w:cs="Times New Roman"/>
          <w:color w:val="000000" w:themeColor="text1"/>
          <w:kern w:val="0"/>
          <w:sz w:val="28"/>
          <w:szCs w:val="28"/>
          <w:lang w:val="en-US" w:eastAsia="zh-CN"/>
          <w14:textFill>
            <w14:solidFill>
              <w14:schemeClr w14:val="tx1"/>
            </w14:solidFill>
          </w14:textFill>
        </w:rPr>
        <w:t>挖损面积、挖损深度、挖损边坡角、积水情况等进行</w:t>
      </w:r>
      <w:r>
        <w:rPr>
          <w:rFonts w:hint="default" w:ascii="Times New Roman" w:hAnsi="Times New Roman" w:cs="Times New Roman"/>
          <w:color w:val="000000" w:themeColor="text1"/>
          <w:kern w:val="0"/>
          <w:sz w:val="28"/>
          <w:szCs w:val="28"/>
          <w14:textFill>
            <w14:solidFill>
              <w14:schemeClr w14:val="tx1"/>
            </w14:solidFill>
          </w14:textFill>
        </w:rPr>
        <w:t>土地程度分级，见下表3-</w:t>
      </w:r>
      <w:r>
        <w:rPr>
          <w:rFonts w:hint="eastAsia" w:cs="Times New Roman"/>
          <w:color w:val="000000" w:themeColor="text1"/>
          <w:kern w:val="0"/>
          <w:sz w:val="28"/>
          <w:szCs w:val="28"/>
          <w:lang w:val="en-US" w:eastAsia="zh-CN"/>
          <w14:textFill>
            <w14:solidFill>
              <w14:schemeClr w14:val="tx1"/>
            </w14:solidFill>
          </w14:textFill>
        </w:rPr>
        <w:t>14</w:t>
      </w:r>
      <w:r>
        <w:rPr>
          <w:rFonts w:hint="default" w:ascii="Times New Roman" w:hAnsi="Times New Roman" w:cs="Times New Roman"/>
          <w:color w:val="000000" w:themeColor="text1"/>
          <w:kern w:val="0"/>
          <w:sz w:val="28"/>
          <w:szCs w:val="28"/>
          <w14:textFill>
            <w14:solidFill>
              <w14:schemeClr w14:val="tx1"/>
            </w14:solidFill>
          </w14:textFill>
        </w:rPr>
        <w:t>。</w:t>
      </w:r>
    </w:p>
    <w:p w14:paraId="548AE327">
      <w:pPr>
        <w:pStyle w:val="164"/>
        <w:keepNext w:val="0"/>
        <w:keepLines w:val="0"/>
        <w:pageBreakBefore w:val="0"/>
        <w:widowControl/>
        <w:kinsoku/>
        <w:wordWrap/>
        <w:overflowPunct/>
        <w:topLinePunct w:val="0"/>
        <w:autoSpaceDE/>
        <w:autoSpaceDN/>
        <w:bidi w:val="0"/>
        <w:snapToGrid/>
        <w:spacing w:line="360" w:lineRule="auto"/>
        <w:jc w:val="center"/>
        <w:textAlignment w:val="auto"/>
        <w:rPr>
          <w:rFonts w:ascii="Times New Roman" w:hAnsi="Times New Roman" w:eastAsia="黑体" w:cs="Times New Roman"/>
          <w:bCs/>
          <w:color w:val="000000" w:themeColor="text1"/>
          <w:sz w:val="24"/>
          <w:szCs w:val="24"/>
          <w14:textFill>
            <w14:solidFill>
              <w14:schemeClr w14:val="tx1"/>
            </w14:solidFill>
          </w14:textFill>
        </w:rPr>
      </w:pPr>
      <w:r>
        <w:rPr>
          <w:rFonts w:hint="eastAsia" w:ascii="Times New Roman" w:hAnsi="Times New Roman" w:eastAsia="黑体" w:cs="Times New Roman"/>
          <w:bCs/>
          <w:color w:val="000000" w:themeColor="text1"/>
          <w:sz w:val="24"/>
          <w:szCs w:val="24"/>
          <w14:textFill>
            <w14:solidFill>
              <w14:schemeClr w14:val="tx1"/>
            </w14:solidFill>
          </w14:textFill>
        </w:rPr>
        <w:t>表3-</w:t>
      </w:r>
      <w:r>
        <w:rPr>
          <w:rFonts w:hint="eastAsia" w:eastAsia="黑体" w:cs="Times New Roman"/>
          <w:bCs/>
          <w:color w:val="000000" w:themeColor="text1"/>
          <w:sz w:val="24"/>
          <w:szCs w:val="24"/>
          <w:lang w:val="en-US" w:eastAsia="zh-CN"/>
          <w14:textFill>
            <w14:solidFill>
              <w14:schemeClr w14:val="tx1"/>
            </w14:solidFill>
          </w14:textFill>
        </w:rPr>
        <w:t>14</w:t>
      </w:r>
      <w:r>
        <w:rPr>
          <w:rFonts w:hint="eastAsia" w:ascii="Times New Roman" w:hAnsi="Times New Roman" w:eastAsia="黑体" w:cs="Times New Roman"/>
          <w:bCs/>
          <w:color w:val="000000" w:themeColor="text1"/>
          <w:sz w:val="24"/>
          <w:szCs w:val="24"/>
          <w14:textFill>
            <w14:solidFill>
              <w14:schemeClr w14:val="tx1"/>
            </w14:solidFill>
          </w14:textFill>
        </w:rPr>
        <w:t xml:space="preserve">  土地损毁程度评价因素及等级标准表</w:t>
      </w:r>
    </w:p>
    <w:p w14:paraId="78A19C8E">
      <w:pPr>
        <w:pStyle w:val="164"/>
        <w:keepNext w:val="0"/>
        <w:keepLines w:val="0"/>
        <w:pageBreakBefore w:val="0"/>
        <w:widowControl/>
        <w:kinsoku/>
        <w:wordWrap/>
        <w:overflowPunct/>
        <w:topLinePunct w:val="0"/>
        <w:autoSpaceDE/>
        <w:autoSpaceDN/>
        <w:bidi w:val="0"/>
        <w:adjustRightInd/>
        <w:snapToGrid/>
        <w:spacing w:before="157" w:beforeLines="50" w:line="360" w:lineRule="auto"/>
        <w:jc w:val="center"/>
        <w:textAlignment w:val="auto"/>
        <w:rPr>
          <w:rFonts w:hint="eastAsia" w:ascii="Times New Roman" w:hAnsi="Times New Roman" w:eastAsia="黑体" w:cs="Times New Roman"/>
          <w:bCs/>
          <w:color w:val="000000" w:themeColor="text1"/>
          <w:sz w:val="24"/>
          <w:szCs w:val="24"/>
          <w14:textFill>
            <w14:solidFill>
              <w14:schemeClr w14:val="tx1"/>
            </w14:solidFill>
          </w14:textFill>
        </w:rPr>
      </w:pPr>
      <w:r>
        <w:rPr>
          <w:rFonts w:hint="eastAsia" w:ascii="Times New Roman" w:hAnsi="Times New Roman" w:eastAsia="黑体" w:cs="Times New Roman"/>
          <w:bCs/>
          <w:color w:val="000000" w:themeColor="text1"/>
          <w:sz w:val="24"/>
          <w:szCs w:val="24"/>
          <w14:textFill>
            <w14:solidFill>
              <w14:schemeClr w14:val="tx1"/>
            </w14:solidFill>
          </w14:textFill>
        </w:rPr>
        <w:t>表3-</w:t>
      </w:r>
      <w:r>
        <w:rPr>
          <w:rFonts w:hint="eastAsia" w:eastAsia="黑体" w:cs="Times New Roman"/>
          <w:bCs/>
          <w:color w:val="000000" w:themeColor="text1"/>
          <w:sz w:val="24"/>
          <w:szCs w:val="24"/>
          <w:lang w:val="en-US" w:eastAsia="zh-CN"/>
          <w14:textFill>
            <w14:solidFill>
              <w14:schemeClr w14:val="tx1"/>
            </w14:solidFill>
          </w14:textFill>
        </w:rPr>
        <w:t>15</w:t>
      </w:r>
      <w:r>
        <w:rPr>
          <w:rFonts w:hint="eastAsia" w:ascii="Times New Roman" w:hAnsi="Times New Roman" w:eastAsia="黑体" w:cs="Times New Roman"/>
          <w:bCs/>
          <w:color w:val="000000" w:themeColor="text1"/>
          <w:sz w:val="24"/>
          <w:szCs w:val="24"/>
          <w14:textFill>
            <w14:solidFill>
              <w14:schemeClr w14:val="tx1"/>
            </w14:solidFill>
          </w14:textFill>
        </w:rPr>
        <w:t xml:space="preserve">  土地损毁程度评分界线表</w:t>
      </w:r>
    </w:p>
    <w:tbl>
      <w:tblPr>
        <w:tblStyle w:val="30"/>
        <w:tblW w:w="490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1"/>
        <w:gridCol w:w="2091"/>
        <w:gridCol w:w="2092"/>
        <w:gridCol w:w="2092"/>
      </w:tblGrid>
      <w:tr w14:paraId="759E4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50" w:type="pct"/>
            <w:noWrap w:val="0"/>
            <w:vAlign w:val="center"/>
          </w:tcPr>
          <w:p w14:paraId="2AF49E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损毁程度</w:t>
            </w:r>
          </w:p>
        </w:tc>
        <w:tc>
          <w:tcPr>
            <w:tcW w:w="1250" w:type="pct"/>
            <w:noWrap w:val="0"/>
            <w:vAlign w:val="center"/>
          </w:tcPr>
          <w:p w14:paraId="37B4A6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轻度损毁</w:t>
            </w:r>
          </w:p>
        </w:tc>
        <w:tc>
          <w:tcPr>
            <w:tcW w:w="1250" w:type="pct"/>
            <w:noWrap w:val="0"/>
            <w:vAlign w:val="center"/>
          </w:tcPr>
          <w:p w14:paraId="50DD58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中度损毁</w:t>
            </w:r>
          </w:p>
        </w:tc>
        <w:tc>
          <w:tcPr>
            <w:tcW w:w="1250" w:type="pct"/>
            <w:noWrap w:val="0"/>
            <w:vAlign w:val="center"/>
          </w:tcPr>
          <w:p w14:paraId="3E378F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重度损毁</w:t>
            </w:r>
          </w:p>
        </w:tc>
      </w:tr>
      <w:tr w14:paraId="25E40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50" w:type="pct"/>
            <w:noWrap w:val="0"/>
            <w:vAlign w:val="center"/>
          </w:tcPr>
          <w:p w14:paraId="37B6DD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评分级别</w:t>
            </w:r>
          </w:p>
        </w:tc>
        <w:tc>
          <w:tcPr>
            <w:tcW w:w="1250" w:type="pct"/>
            <w:noWrap w:val="0"/>
            <w:vAlign w:val="center"/>
          </w:tcPr>
          <w:p w14:paraId="3505DF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Σ≤1.0</w:t>
            </w:r>
          </w:p>
        </w:tc>
        <w:tc>
          <w:tcPr>
            <w:tcW w:w="1250" w:type="pct"/>
            <w:noWrap w:val="0"/>
            <w:vAlign w:val="center"/>
          </w:tcPr>
          <w:p w14:paraId="722F59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1.0＜Σ≤2.0</w:t>
            </w:r>
          </w:p>
        </w:tc>
        <w:tc>
          <w:tcPr>
            <w:tcW w:w="1250" w:type="pct"/>
            <w:noWrap w:val="0"/>
            <w:vAlign w:val="center"/>
          </w:tcPr>
          <w:p w14:paraId="1D11E0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000000" w:themeColor="text1"/>
                <w:sz w:val="21"/>
                <w:szCs w:val="21"/>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Σ＞2.0</w:t>
            </w:r>
          </w:p>
        </w:tc>
      </w:tr>
    </w:tbl>
    <w:p w14:paraId="6B37CE9F">
      <w:pPr>
        <w:widowControl/>
        <w:spacing w:line="360" w:lineRule="auto"/>
        <w:ind w:firstLine="560" w:firstLineChars="200"/>
        <w:outlineLvl w:val="3"/>
        <w:rPr>
          <w:rFonts w:hint="default" w:ascii="Times New Roman" w:hAnsi="Times New Roman" w:eastAsia="宋体" w:cs="Times New Roman"/>
          <w:color w:val="000000" w:themeColor="text1"/>
          <w:kern w:val="0"/>
          <w:sz w:val="28"/>
          <w:szCs w:val="28"/>
          <w:lang w:val="en-US" w:eastAsia="zh-CN"/>
          <w14:textFill>
            <w14:solidFill>
              <w14:schemeClr w14:val="tx1"/>
            </w14:solidFill>
          </w14:textFill>
        </w:rPr>
      </w:pPr>
      <w:r>
        <w:rPr>
          <w:rFonts w:hint="eastAsia" w:ascii="Times New Roman" w:hAnsi="Times New Roman" w:eastAsia="宋体" w:cs="Times New Roman"/>
          <w:color w:val="000000" w:themeColor="text1"/>
          <w:kern w:val="0"/>
          <w:sz w:val="28"/>
          <w:szCs w:val="28"/>
          <w:lang w:val="en-US" w:eastAsia="zh-CN"/>
          <w14:textFill>
            <w14:solidFill>
              <w14:schemeClr w14:val="tx1"/>
            </w14:solidFill>
          </w14:textFill>
        </w:rPr>
        <w:t>2、</w:t>
      </w:r>
      <w:r>
        <w:rPr>
          <w:rFonts w:hint="default" w:ascii="Times New Roman" w:hAnsi="Times New Roman" w:eastAsia="宋体" w:cs="Times New Roman"/>
          <w:color w:val="000000" w:themeColor="text1"/>
          <w:kern w:val="0"/>
          <w:sz w:val="28"/>
          <w:szCs w:val="28"/>
          <w:lang w:val="en-US" w:eastAsia="zh-CN"/>
          <w14:textFill>
            <w14:solidFill>
              <w14:schemeClr w14:val="tx1"/>
            </w14:solidFill>
          </w14:textFill>
        </w:rPr>
        <w:t>土地损毁程度分析</w:t>
      </w:r>
    </w:p>
    <w:p w14:paraId="56FE950F">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根据实地调查，矿山现状损毁单元包括：露天采场1、露天采场2、工业场地、成品砖堆放场、料堆、表土存放场、办公生活区及矿区道路等。对矿山地质环境造成影响破坏单元，总面积</w:t>
      </w:r>
      <w:r>
        <w:rPr>
          <w:rFonts w:hint="eastAsia" w:cs="Times New Roman"/>
          <w:color w:val="000000" w:themeColor="text1"/>
          <w:kern w:val="0"/>
          <w:sz w:val="28"/>
          <w:szCs w:val="28"/>
          <w:lang w:val="en-US" w:eastAsia="zh-CN"/>
          <w14:textFill>
            <w14:solidFill>
              <w14:schemeClr w14:val="tx1"/>
            </w14:solidFill>
          </w14:textFill>
        </w:rPr>
        <w:t>10.1969h</w:t>
      </w:r>
      <w:r>
        <w:rPr>
          <w:rFonts w:hint="default" w:ascii="Times New Roman" w:hAnsi="Times New Roman" w:cs="Times New Roman"/>
          <w:color w:val="000000" w:themeColor="text1"/>
          <w:kern w:val="0"/>
          <w:sz w:val="28"/>
          <w:szCs w:val="28"/>
          <w14:textFill>
            <w14:solidFill>
              <w14:schemeClr w14:val="tx1"/>
            </w14:solidFill>
          </w14:textFill>
        </w:rPr>
        <w:t>m</w:t>
      </w:r>
      <w:r>
        <w:rPr>
          <w:rFonts w:hint="default" w:ascii="Times New Roman" w:hAnsi="Times New Roman" w:cs="Times New Roman"/>
          <w:color w:val="000000" w:themeColor="text1"/>
          <w:kern w:val="0"/>
          <w:sz w:val="28"/>
          <w:szCs w:val="28"/>
          <w:vertAlign w:val="superscript"/>
          <w14:textFill>
            <w14:solidFill>
              <w14:schemeClr w14:val="tx1"/>
            </w14:solidFill>
          </w14:textFill>
        </w:rPr>
        <w:t>2</w:t>
      </w:r>
      <w:r>
        <w:rPr>
          <w:rFonts w:hint="default" w:ascii="Times New Roman" w:hAnsi="Times New Roman" w:cs="Times New Roman"/>
          <w:color w:val="000000" w:themeColor="text1"/>
          <w:kern w:val="0"/>
          <w:sz w:val="28"/>
          <w:szCs w:val="28"/>
          <w14:textFill>
            <w14:solidFill>
              <w14:schemeClr w14:val="tx1"/>
            </w14:solidFill>
          </w14:textFill>
        </w:rPr>
        <w:t>。</w:t>
      </w:r>
    </w:p>
    <w:p w14:paraId="752D5112">
      <w:pPr>
        <w:widowControl/>
        <w:spacing w:line="360" w:lineRule="auto"/>
        <w:ind w:firstLine="560" w:firstLineChars="200"/>
        <w:rPr>
          <w:rFonts w:hint="eastAsia" w:cs="Times New Roman"/>
          <w:color w:val="000000" w:themeColor="text1"/>
          <w:kern w:val="0"/>
          <w:sz w:val="28"/>
          <w:szCs w:val="28"/>
          <w:lang w:eastAsia="zh-CN"/>
          <w14:textFill>
            <w14:solidFill>
              <w14:schemeClr w14:val="tx1"/>
            </w14:solidFill>
          </w14:textFill>
        </w:rPr>
      </w:pPr>
      <w:r>
        <w:rPr>
          <w:rFonts w:hint="eastAsia" w:cs="Times New Roman"/>
          <w:color w:val="000000" w:themeColor="text1"/>
          <w:kern w:val="0"/>
          <w:sz w:val="28"/>
          <w:szCs w:val="28"/>
          <w:lang w:eastAsia="zh-CN"/>
          <w14:textFill>
            <w14:solidFill>
              <w14:schemeClr w14:val="tx1"/>
            </w14:solidFill>
          </w14:textFill>
        </w:rPr>
        <w:t>（</w:t>
      </w:r>
      <w:r>
        <w:rPr>
          <w:rFonts w:hint="eastAsia" w:cs="Times New Roman"/>
          <w:color w:val="000000" w:themeColor="text1"/>
          <w:kern w:val="0"/>
          <w:sz w:val="28"/>
          <w:szCs w:val="28"/>
          <w:lang w:val="en-US" w:eastAsia="zh-CN"/>
          <w14:textFill>
            <w14:solidFill>
              <w14:schemeClr w14:val="tx1"/>
            </w14:solidFill>
          </w14:textFill>
        </w:rPr>
        <w:t>1</w:t>
      </w:r>
      <w:r>
        <w:rPr>
          <w:rFonts w:hint="eastAsia" w:cs="Times New Roman"/>
          <w:color w:val="000000" w:themeColor="text1"/>
          <w:kern w:val="0"/>
          <w:sz w:val="28"/>
          <w:szCs w:val="28"/>
          <w:lang w:eastAsia="zh-CN"/>
          <w14:textFill>
            <w14:solidFill>
              <w14:schemeClr w14:val="tx1"/>
            </w14:solidFill>
          </w14:textFill>
        </w:rPr>
        <w:t>）土地损毁程度评价</w:t>
      </w:r>
    </w:p>
    <w:p w14:paraId="293DE6CC">
      <w:pPr>
        <w:keepNext w:val="0"/>
        <w:keepLines w:val="0"/>
        <w:pageBreakBefore w:val="0"/>
        <w:widowControl w:val="0"/>
        <w:tabs>
          <w:tab w:val="left" w:pos="6120"/>
        </w:tabs>
        <w:kinsoku/>
        <w:wordWrap/>
        <w:overflowPunct/>
        <w:topLinePunct w:val="0"/>
        <w:autoSpaceDE/>
        <w:autoSpaceDN/>
        <w:bidi w:val="0"/>
        <w:adjustRightInd/>
        <w:snapToGrid/>
        <w:spacing w:line="360" w:lineRule="auto"/>
        <w:ind w:left="0" w:leftChars="0" w:firstLine="0" w:firstLineChars="0"/>
        <w:jc w:val="center"/>
        <w:textAlignment w:val="auto"/>
        <w:rPr>
          <w:rFonts w:hint="default" w:ascii="黑体" w:hAnsi="黑体" w:eastAsia="黑体" w:cs="黑体"/>
          <w:b w:val="0"/>
          <w:bCs w:val="0"/>
          <w:color w:val="000000" w:themeColor="text1"/>
          <w:kern w:val="2"/>
          <w:sz w:val="24"/>
          <w:szCs w:val="24"/>
          <w:lang w:val="en-US" w:eastAsia="zh-CN" w:bidi="ar-SA"/>
          <w14:textFill>
            <w14:solidFill>
              <w14:schemeClr w14:val="tx1"/>
            </w14:solidFill>
          </w14:textFill>
        </w:rPr>
      </w:pPr>
      <w:r>
        <w:rPr>
          <w:rFonts w:hint="default" w:ascii="黑体" w:hAnsi="黑体" w:eastAsia="黑体" w:cs="黑体"/>
          <w:b w:val="0"/>
          <w:bCs w:val="0"/>
          <w:color w:val="000000" w:themeColor="text1"/>
          <w:kern w:val="2"/>
          <w:sz w:val="24"/>
          <w:szCs w:val="24"/>
          <w:lang w:val="en-US" w:eastAsia="zh-CN" w:bidi="ar-SA"/>
          <w14:textFill>
            <w14:solidFill>
              <w14:schemeClr w14:val="tx1"/>
            </w14:solidFill>
          </w14:textFill>
        </w:rPr>
        <w:t>表3-</w:t>
      </w:r>
      <w:r>
        <w:rPr>
          <w:rFonts w:hint="eastAsia" w:ascii="黑体" w:hAnsi="黑体" w:eastAsia="黑体" w:cs="黑体"/>
          <w:b w:val="0"/>
          <w:bCs w:val="0"/>
          <w:color w:val="000000" w:themeColor="text1"/>
          <w:kern w:val="2"/>
          <w:sz w:val="24"/>
          <w:szCs w:val="24"/>
          <w:lang w:val="en-US" w:eastAsia="zh-CN" w:bidi="ar-SA"/>
          <w14:textFill>
            <w14:solidFill>
              <w14:schemeClr w14:val="tx1"/>
            </w14:solidFill>
          </w14:textFill>
        </w:rPr>
        <w:t>16</w:t>
      </w:r>
      <w:r>
        <w:rPr>
          <w:rFonts w:hint="default" w:ascii="黑体" w:hAnsi="黑体" w:eastAsia="黑体" w:cs="黑体"/>
          <w:b w:val="0"/>
          <w:bCs w:val="0"/>
          <w:color w:val="000000" w:themeColor="text1"/>
          <w:kern w:val="2"/>
          <w:sz w:val="24"/>
          <w:szCs w:val="24"/>
          <w:lang w:val="en-US" w:eastAsia="zh-CN" w:bidi="ar-SA"/>
          <w14:textFill>
            <w14:solidFill>
              <w14:schemeClr w14:val="tx1"/>
            </w14:solidFill>
          </w14:textFill>
        </w:rPr>
        <w:t xml:space="preserve">  压占土地损毁程度评价表</w:t>
      </w:r>
    </w:p>
    <w:p w14:paraId="2F9E8553">
      <w:pPr>
        <w:keepNext w:val="0"/>
        <w:keepLines w:val="0"/>
        <w:pageBreakBefore w:val="0"/>
        <w:widowControl/>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黑体" w:hAnsi="黑体" w:eastAsia="黑体" w:cs="黑体"/>
          <w:b w:val="0"/>
          <w:bCs/>
          <w:color w:val="000000" w:themeColor="text1"/>
          <w:kern w:val="2"/>
          <w:sz w:val="24"/>
          <w:szCs w:val="24"/>
          <w:highlight w:val="none"/>
          <w:lang w:val="en-US" w:eastAsia="zh-CN" w:bidi="ar-SA"/>
          <w14:textFill>
            <w14:solidFill>
              <w14:schemeClr w14:val="tx1"/>
            </w14:solidFill>
          </w14:textFill>
        </w:rPr>
      </w:pPr>
      <w:r>
        <w:rPr>
          <w:rFonts w:hint="eastAsia" w:ascii="黑体" w:hAnsi="黑体" w:eastAsia="黑体" w:cs="黑体"/>
          <w:b w:val="0"/>
          <w:bCs/>
          <w:color w:val="000000" w:themeColor="text1"/>
          <w:kern w:val="2"/>
          <w:sz w:val="24"/>
          <w:szCs w:val="24"/>
          <w:highlight w:val="none"/>
          <w:lang w:val="en-US" w:eastAsia="zh-CN" w:bidi="ar-SA"/>
          <w14:textFill>
            <w14:solidFill>
              <w14:schemeClr w14:val="tx1"/>
            </w14:solidFill>
          </w14:textFill>
        </w:rPr>
        <w:t>表3-17  挖损土地损毁程度评价表</w:t>
      </w:r>
    </w:p>
    <w:p w14:paraId="0DED4DE8">
      <w:pPr>
        <w:keepNext w:val="0"/>
        <w:keepLines w:val="0"/>
        <w:pageBreakBefore w:val="0"/>
        <w:widowControl/>
        <w:kinsoku/>
        <w:wordWrap/>
        <w:overflowPunct/>
        <w:topLinePunct w:val="0"/>
        <w:autoSpaceDE/>
        <w:autoSpaceDN/>
        <w:bidi w:val="0"/>
        <w:adjustRightInd/>
        <w:snapToGrid/>
        <w:spacing w:before="157" w:beforeLines="50" w:line="360" w:lineRule="auto"/>
        <w:ind w:firstLine="560" w:firstLineChars="200"/>
        <w:textAlignment w:val="auto"/>
        <w:rPr>
          <w:rFonts w:hint="default" w:ascii="Times New Roman" w:hAnsi="Times New Roman" w:eastAsia="宋体" w:cs="Times New Roman"/>
          <w:color w:val="000000" w:themeColor="text1"/>
          <w:kern w:val="0"/>
          <w:sz w:val="28"/>
          <w:szCs w:val="28"/>
          <w:lang w:val="en-US" w:eastAsia="zh-CN"/>
          <w14:textFill>
            <w14:solidFill>
              <w14:schemeClr w14:val="tx1"/>
            </w14:solidFill>
          </w14:textFill>
        </w:rPr>
      </w:pPr>
      <w:r>
        <w:rPr>
          <w:rFonts w:hint="eastAsia" w:cs="Times New Roman"/>
          <w:color w:val="000000" w:themeColor="text1"/>
          <w:kern w:val="0"/>
          <w:sz w:val="28"/>
          <w:szCs w:val="28"/>
          <w:lang w:eastAsia="zh-CN"/>
          <w14:textFill>
            <w14:solidFill>
              <w14:schemeClr w14:val="tx1"/>
            </w14:solidFill>
          </w14:textFill>
        </w:rPr>
        <w:t>（</w:t>
      </w:r>
      <w:r>
        <w:rPr>
          <w:rFonts w:hint="eastAsia" w:cs="Times New Roman"/>
          <w:color w:val="000000" w:themeColor="text1"/>
          <w:kern w:val="0"/>
          <w:sz w:val="28"/>
          <w:szCs w:val="28"/>
          <w:lang w:val="en-US" w:eastAsia="zh-CN"/>
          <w14:textFill>
            <w14:solidFill>
              <w14:schemeClr w14:val="tx1"/>
            </w14:solidFill>
          </w14:textFill>
        </w:rPr>
        <w:t>2</w:t>
      </w:r>
      <w:r>
        <w:rPr>
          <w:rFonts w:hint="eastAsia" w:cs="Times New Roman"/>
          <w:color w:val="000000" w:themeColor="text1"/>
          <w:kern w:val="0"/>
          <w:sz w:val="28"/>
          <w:szCs w:val="28"/>
          <w:lang w:eastAsia="zh-CN"/>
          <w14:textFill>
            <w14:solidFill>
              <w14:schemeClr w14:val="tx1"/>
            </w14:solidFill>
          </w14:textFill>
        </w:rPr>
        <w:t>）土地损毁程度评价</w:t>
      </w:r>
      <w:r>
        <w:rPr>
          <w:rFonts w:hint="eastAsia" w:cs="Times New Roman"/>
          <w:color w:val="000000" w:themeColor="text1"/>
          <w:kern w:val="0"/>
          <w:sz w:val="28"/>
          <w:szCs w:val="28"/>
          <w:lang w:val="en-US" w:eastAsia="zh-CN"/>
          <w14:textFill>
            <w14:solidFill>
              <w14:schemeClr w14:val="tx1"/>
            </w14:solidFill>
          </w14:textFill>
        </w:rPr>
        <w:t>结果</w:t>
      </w:r>
    </w:p>
    <w:p w14:paraId="6A5A2EC3">
      <w:pPr>
        <w:widowControl/>
        <w:spacing w:line="360" w:lineRule="auto"/>
        <w:ind w:firstLine="560" w:firstLineChars="200"/>
        <w:rPr>
          <w:rFonts w:hint="default" w:ascii="Times New Roman" w:hAnsi="Times New Roman" w:eastAsia="宋体" w:cs="Times New Roman"/>
          <w:color w:val="000000" w:themeColor="text1"/>
          <w:sz w:val="24"/>
          <w:szCs w:val="22"/>
          <w:lang w:val="en-US" w:eastAsia="zh-CN"/>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根据实地调查，矿山现状损毁单元包括：露天采场1、露天采场2、工业场地、成品砖堆放场、料堆、表土存放场、办公生活区及矿区道路等。对矿山地质环境造成影响破坏单元，总面积</w:t>
      </w:r>
      <w:r>
        <w:rPr>
          <w:rFonts w:hint="eastAsia" w:cs="Times New Roman"/>
          <w:color w:val="000000" w:themeColor="text1"/>
          <w:kern w:val="0"/>
          <w:sz w:val="28"/>
          <w:szCs w:val="28"/>
          <w:lang w:val="en-US" w:eastAsia="zh-CN"/>
          <w14:textFill>
            <w14:solidFill>
              <w14:schemeClr w14:val="tx1"/>
            </w14:solidFill>
          </w14:textFill>
        </w:rPr>
        <w:t>10.1969h</w:t>
      </w:r>
      <w:r>
        <w:rPr>
          <w:rFonts w:hint="default" w:ascii="Times New Roman" w:hAnsi="Times New Roman" w:cs="Times New Roman"/>
          <w:color w:val="000000" w:themeColor="text1"/>
          <w:kern w:val="0"/>
          <w:sz w:val="28"/>
          <w:szCs w:val="28"/>
          <w14:textFill>
            <w14:solidFill>
              <w14:schemeClr w14:val="tx1"/>
            </w14:solidFill>
          </w14:textFill>
        </w:rPr>
        <w:t>m</w:t>
      </w:r>
      <w:r>
        <w:rPr>
          <w:rFonts w:hint="default" w:ascii="Times New Roman" w:hAnsi="Times New Roman" w:cs="Times New Roman"/>
          <w:color w:val="000000" w:themeColor="text1"/>
          <w:kern w:val="0"/>
          <w:sz w:val="28"/>
          <w:szCs w:val="28"/>
          <w:vertAlign w:val="superscript"/>
          <w14:textFill>
            <w14:solidFill>
              <w14:schemeClr w14:val="tx1"/>
            </w14:solidFill>
          </w14:textFill>
        </w:rPr>
        <w:t>2</w:t>
      </w:r>
      <w:r>
        <w:rPr>
          <w:rFonts w:hint="default" w:ascii="Times New Roman" w:hAnsi="Times New Roman" w:cs="Times New Roman"/>
          <w:color w:val="000000" w:themeColor="text1"/>
          <w:kern w:val="0"/>
          <w:sz w:val="28"/>
          <w:szCs w:val="28"/>
          <w14:textFill>
            <w14:solidFill>
              <w14:schemeClr w14:val="tx1"/>
            </w14:solidFill>
          </w14:textFill>
        </w:rPr>
        <w:t>。</w:t>
      </w:r>
    </w:p>
    <w:p w14:paraId="18D739E2">
      <w:pPr>
        <w:widowControl/>
        <w:spacing w:line="360" w:lineRule="auto"/>
        <w:ind w:firstLine="560" w:firstLineChars="200"/>
        <w:rPr>
          <w:rFonts w:hint="default" w:ascii="Times New Roman" w:hAnsi="Times New Roman" w:eastAsia="宋体" w:cs="Times New Roman"/>
          <w:color w:val="000000" w:themeColor="text1"/>
          <w:sz w:val="28"/>
          <w:szCs w:val="24"/>
          <w:lang w:val="en-US" w:eastAsia="zh-CN"/>
          <w14:textFill>
            <w14:solidFill>
              <w14:schemeClr w14:val="tx1"/>
            </w14:solidFill>
          </w14:textFill>
        </w:rPr>
      </w:pPr>
      <w:r>
        <w:rPr>
          <w:rFonts w:hint="eastAsia" w:cs="Times New Roman"/>
          <w:color w:val="000000" w:themeColor="text1"/>
          <w:sz w:val="28"/>
          <w:szCs w:val="24"/>
          <w:lang w:val="en-US" w:eastAsia="zh-CN"/>
          <w14:textFill>
            <w14:solidFill>
              <w14:schemeClr w14:val="tx1"/>
            </w14:solidFill>
          </w14:textFill>
        </w:rPr>
        <w:t>损毁土地类型及损毁程度如下：</w:t>
      </w:r>
    </w:p>
    <w:p w14:paraId="5F0C9D14">
      <w:pPr>
        <w:spacing w:line="360" w:lineRule="auto"/>
        <w:ind w:firstLine="560" w:firstLineChars="200"/>
        <w:contextualSpacing/>
        <w:outlineLvl w:val="9"/>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①</w:t>
      </w:r>
      <w:r>
        <w:rPr>
          <w:rFonts w:hint="eastAsia" w:ascii="Times New Roman" w:hAnsi="Times New Roman" w:cs="Times New Roman"/>
          <w:color w:val="000000" w:themeColor="text1"/>
          <w:sz w:val="28"/>
          <w:szCs w:val="28"/>
          <w:lang w:eastAsia="zh-CN"/>
          <w14:textFill>
            <w14:solidFill>
              <w14:schemeClr w14:val="tx1"/>
            </w14:solidFill>
          </w14:textFill>
        </w:rPr>
        <w:t>、</w:t>
      </w:r>
      <w:r>
        <w:rPr>
          <w:rFonts w:hint="eastAsia" w:cs="Times New Roman"/>
          <w:b w:val="0"/>
          <w:bCs w:val="0"/>
          <w:color w:val="000000" w:themeColor="text1"/>
          <w:sz w:val="28"/>
          <w:szCs w:val="24"/>
          <w:highlight w:val="none"/>
          <w:lang w:val="en-US" w:eastAsia="zh-CN"/>
          <w14:textFill>
            <w14:solidFill>
              <w14:schemeClr w14:val="tx1"/>
            </w14:solidFill>
          </w14:textFill>
        </w:rPr>
        <w:t>露天采场1</w:t>
      </w:r>
    </w:p>
    <w:p w14:paraId="34172EC7">
      <w:pPr>
        <w:tabs>
          <w:tab w:val="left" w:pos="1300"/>
        </w:tabs>
        <w:spacing w:line="360" w:lineRule="auto"/>
        <w:ind w:firstLine="560" w:firstLineChars="200"/>
        <w:outlineLvl w:val="9"/>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占地面积</w:t>
      </w:r>
      <w:r>
        <w:rPr>
          <w:rFonts w:hint="eastAsia"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1.6606h</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m</w:t>
      </w:r>
      <w:r>
        <w:rPr>
          <w:rFonts w:hint="default" w:ascii="Times New Roman" w:hAnsi="Times New Roman" w:eastAsia="宋体" w:cs="Times New Roman"/>
          <w:b w:val="0"/>
          <w:bCs w:val="0"/>
          <w:color w:val="000000" w:themeColor="text1"/>
          <w:sz w:val="28"/>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，损毁土地类型为</w:t>
      </w:r>
      <w:r>
        <w:rPr>
          <w:rFonts w:hint="eastAsia"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乔</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木林地</w:t>
      </w:r>
      <w:r>
        <w:rPr>
          <w:rFonts w:hint="eastAsia"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采矿用地</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，损毁类型为</w:t>
      </w:r>
      <w:r>
        <w:rPr>
          <w:rFonts w:hint="eastAsia"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挖损</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，损毁程度为</w:t>
      </w:r>
      <w:r>
        <w:rPr>
          <w:rFonts w:hint="eastAsia"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重</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度</w:t>
      </w:r>
      <w:r>
        <w:rPr>
          <w:rFonts w:hint="eastAsia" w:ascii="Times New Roman" w:cs="Times New Roman"/>
          <w:b w:val="0"/>
          <w:bCs w:val="0"/>
          <w:color w:val="000000" w:themeColor="text1"/>
          <w:sz w:val="28"/>
          <w:szCs w:val="28"/>
          <w:highlight w:val="none"/>
          <w:lang w:val="en-US" w:eastAsia="zh-CN"/>
          <w14:textFill>
            <w14:solidFill>
              <w14:schemeClr w14:val="tx1"/>
            </w14:solidFill>
          </w14:textFill>
        </w:rPr>
        <w:t>损毁</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w:t>
      </w:r>
    </w:p>
    <w:p w14:paraId="7B936773">
      <w:pPr>
        <w:keepNext w:val="0"/>
        <w:keepLines w:val="0"/>
        <w:pageBreakBefore w:val="0"/>
        <w:widowControl/>
        <w:kinsoku/>
        <w:wordWrap/>
        <w:overflowPunct/>
        <w:topLinePunct w:val="0"/>
        <w:autoSpaceDE/>
        <w:autoSpaceDN/>
        <w:bidi w:val="0"/>
        <w:adjustRightInd w:val="0"/>
        <w:snapToGrid w:val="0"/>
        <w:spacing w:after="0" w:line="360" w:lineRule="auto"/>
        <w:ind w:left="0" w:firstLine="560" w:firstLineChars="200"/>
        <w:textAlignment w:val="auto"/>
        <w:outlineLvl w:val="9"/>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②</w:t>
      </w:r>
      <w:r>
        <w:rPr>
          <w:rFonts w:hint="default" w:ascii="Times New Roman" w:hAnsi="Times New Roman" w:cs="Times New Roman"/>
          <w:color w:val="000000" w:themeColor="text1"/>
          <w:sz w:val="28"/>
          <w:szCs w:val="28"/>
          <w14:textFill>
            <w14:solidFill>
              <w14:schemeClr w14:val="tx1"/>
            </w14:solidFill>
          </w14:textFill>
        </w:rPr>
        <w:t>、</w:t>
      </w:r>
      <w:r>
        <w:rPr>
          <w:rFonts w:hint="eastAsia" w:cs="Times New Roman"/>
          <w:b w:val="0"/>
          <w:bCs w:val="0"/>
          <w:color w:val="000000" w:themeColor="text1"/>
          <w:sz w:val="28"/>
          <w:szCs w:val="24"/>
          <w:highlight w:val="none"/>
          <w:lang w:val="en-US" w:eastAsia="zh-CN"/>
          <w14:textFill>
            <w14:solidFill>
              <w14:schemeClr w14:val="tx1"/>
            </w14:solidFill>
          </w14:textFill>
        </w:rPr>
        <w:t>露天采场2</w:t>
      </w:r>
    </w:p>
    <w:p w14:paraId="320F1FA4">
      <w:pPr>
        <w:spacing w:line="360" w:lineRule="auto"/>
        <w:ind w:firstLine="560" w:firstLineChars="200"/>
        <w:contextualSpacing/>
        <w:outlineLvl w:val="9"/>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占地面积</w:t>
      </w:r>
      <w:r>
        <w:rPr>
          <w:rFonts w:hint="eastAsia"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1.5431h</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m</w:t>
      </w:r>
      <w:r>
        <w:rPr>
          <w:rFonts w:hint="default" w:ascii="Times New Roman" w:hAnsi="Times New Roman" w:eastAsia="宋体" w:cs="Times New Roman"/>
          <w:b w:val="0"/>
          <w:bCs w:val="0"/>
          <w:color w:val="000000" w:themeColor="text1"/>
          <w:sz w:val="28"/>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，损毁土地类型为</w:t>
      </w:r>
      <w:r>
        <w:rPr>
          <w:rFonts w:hint="eastAsia"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乔</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木林地</w:t>
      </w:r>
      <w:r>
        <w:rPr>
          <w:rFonts w:hint="eastAsia"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采矿用地</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，损毁类型为</w:t>
      </w:r>
      <w:r>
        <w:rPr>
          <w:rFonts w:hint="eastAsia"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挖损</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，损毁程度为</w:t>
      </w:r>
      <w:r>
        <w:rPr>
          <w:rFonts w:hint="eastAsia"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重</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度</w:t>
      </w:r>
      <w:r>
        <w:rPr>
          <w:rFonts w:hint="eastAsia" w:ascii="Times New Roman" w:cs="Times New Roman"/>
          <w:b w:val="0"/>
          <w:bCs w:val="0"/>
          <w:color w:val="000000" w:themeColor="text1"/>
          <w:sz w:val="28"/>
          <w:szCs w:val="28"/>
          <w:highlight w:val="none"/>
          <w:lang w:val="en-US" w:eastAsia="zh-CN"/>
          <w14:textFill>
            <w14:solidFill>
              <w14:schemeClr w14:val="tx1"/>
            </w14:solidFill>
          </w14:textFill>
        </w:rPr>
        <w:t>损毁</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w:t>
      </w:r>
    </w:p>
    <w:p w14:paraId="4B5F81FB">
      <w:pPr>
        <w:keepNext w:val="0"/>
        <w:keepLines w:val="0"/>
        <w:pageBreakBefore w:val="0"/>
        <w:widowControl/>
        <w:kinsoku/>
        <w:wordWrap/>
        <w:overflowPunct/>
        <w:topLinePunct w:val="0"/>
        <w:autoSpaceDE/>
        <w:autoSpaceDN/>
        <w:bidi w:val="0"/>
        <w:adjustRightInd w:val="0"/>
        <w:snapToGrid w:val="0"/>
        <w:spacing w:after="0" w:line="360" w:lineRule="auto"/>
        <w:ind w:left="0" w:firstLine="560" w:firstLineChars="200"/>
        <w:textAlignment w:val="auto"/>
        <w:outlineLvl w:val="9"/>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③、</w:t>
      </w:r>
      <w:r>
        <w:rPr>
          <w:rFonts w:hint="eastAsia"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工业场地</w:t>
      </w:r>
    </w:p>
    <w:p w14:paraId="25D248D4">
      <w:pPr>
        <w:spacing w:line="360" w:lineRule="auto"/>
        <w:ind w:firstLine="560" w:firstLineChars="200"/>
        <w:contextualSpacing/>
        <w:outlineLvl w:val="9"/>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占地面积</w:t>
      </w:r>
      <w:r>
        <w:rPr>
          <w:rFonts w:hint="eastAsia" w:cs="Times New Roman"/>
          <w:b w:val="0"/>
          <w:bCs w:val="0"/>
          <w:color w:val="000000" w:themeColor="text1"/>
          <w:sz w:val="28"/>
          <w:szCs w:val="24"/>
          <w:highlight w:val="none"/>
          <w:lang w:val="en-US" w:eastAsia="zh-CN"/>
          <w14:textFill>
            <w14:solidFill>
              <w14:schemeClr w14:val="tx1"/>
            </w14:solidFill>
          </w14:textFill>
        </w:rPr>
        <w:t>2.8341h</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m</w:t>
      </w:r>
      <w:r>
        <w:rPr>
          <w:rFonts w:hint="default" w:ascii="Times New Roman" w:hAnsi="Times New Roman" w:eastAsia="宋体" w:cs="Times New Roman"/>
          <w:b w:val="0"/>
          <w:bCs w:val="0"/>
          <w:color w:val="000000" w:themeColor="text1"/>
          <w:sz w:val="28"/>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，损毁土地类型为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采矿用地</w:t>
      </w:r>
      <w:r>
        <w:rPr>
          <w:rFonts w:hint="eastAsia"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、农村道路</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，损毁类型为</w:t>
      </w:r>
      <w:r>
        <w:rPr>
          <w:rFonts w:hint="eastAsia"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压占</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，损毁程度为</w:t>
      </w:r>
      <w:r>
        <w:rPr>
          <w:rFonts w:hint="eastAsia"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中</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度</w:t>
      </w:r>
      <w:r>
        <w:rPr>
          <w:rFonts w:hint="eastAsia" w:ascii="Times New Roman" w:cs="Times New Roman"/>
          <w:b w:val="0"/>
          <w:bCs w:val="0"/>
          <w:color w:val="000000" w:themeColor="text1"/>
          <w:sz w:val="28"/>
          <w:szCs w:val="28"/>
          <w:highlight w:val="none"/>
          <w:lang w:val="en-US" w:eastAsia="zh-CN"/>
          <w14:textFill>
            <w14:solidFill>
              <w14:schemeClr w14:val="tx1"/>
            </w14:solidFill>
          </w14:textFill>
        </w:rPr>
        <w:t>损毁</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w:t>
      </w:r>
    </w:p>
    <w:p w14:paraId="27083FB7">
      <w:pPr>
        <w:outlineLvl w:val="9"/>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br w:type="page"/>
      </w:r>
    </w:p>
    <w:p w14:paraId="4F3E11B9">
      <w:pPr>
        <w:keepNext w:val="0"/>
        <w:keepLines w:val="0"/>
        <w:pageBreakBefore w:val="0"/>
        <w:widowControl/>
        <w:kinsoku/>
        <w:wordWrap/>
        <w:overflowPunct/>
        <w:topLinePunct w:val="0"/>
        <w:autoSpaceDE/>
        <w:autoSpaceDN/>
        <w:bidi w:val="0"/>
        <w:adjustRightInd w:val="0"/>
        <w:snapToGrid w:val="0"/>
        <w:spacing w:after="0" w:line="360" w:lineRule="auto"/>
        <w:ind w:left="0" w:firstLine="560" w:firstLineChars="200"/>
        <w:textAlignment w:val="auto"/>
        <w:outlineLvl w:val="9"/>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④、</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成品砖堆放场</w:t>
      </w:r>
    </w:p>
    <w:p w14:paraId="6179B761">
      <w:pPr>
        <w:pStyle w:val="69"/>
        <w:ind w:firstLine="560"/>
        <w:outlineLvl w:val="9"/>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占地面积</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1.0550hm</w:t>
      </w:r>
      <w:r>
        <w:rPr>
          <w:rFonts w:hint="default" w:ascii="Times New Roman" w:hAnsi="Times New Roman" w:eastAsia="宋体" w:cs="Times New Roman"/>
          <w:b w:val="0"/>
          <w:bCs w:val="0"/>
          <w:color w:val="000000" w:themeColor="text1"/>
          <w:sz w:val="28"/>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，损毁土地类型为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采矿用地</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压占</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，损毁程度为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中</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度</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损毁</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w:t>
      </w:r>
    </w:p>
    <w:p w14:paraId="3FBE84A3">
      <w:pPr>
        <w:keepNext w:val="0"/>
        <w:keepLines w:val="0"/>
        <w:pageBreakBefore w:val="0"/>
        <w:widowControl/>
        <w:kinsoku/>
        <w:wordWrap/>
        <w:overflowPunct/>
        <w:topLinePunct w:val="0"/>
        <w:autoSpaceDE/>
        <w:autoSpaceDN/>
        <w:bidi w:val="0"/>
        <w:adjustRightInd w:val="0"/>
        <w:snapToGrid w:val="0"/>
        <w:spacing w:after="0" w:line="360" w:lineRule="auto"/>
        <w:ind w:left="0" w:firstLine="560" w:firstLineChars="200"/>
        <w:textAlignment w:val="auto"/>
        <w:outlineLvl w:val="9"/>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8"/>
          <w:szCs w:val="28"/>
          <w14:textFill>
            <w14:solidFill>
              <w14:schemeClr w14:val="tx1"/>
            </w14:solidFill>
          </w14:textFill>
        </w:rPr>
        <w:t>⑤</w:t>
      </w:r>
      <w:r>
        <w:rPr>
          <w:rFonts w:hint="default" w:ascii="Times New Roman" w:hAnsi="Times New Roman" w:eastAsia="宋体" w:cs="Times New Roman"/>
          <w:color w:val="000000" w:themeColor="text1"/>
          <w:sz w:val="28"/>
          <w:szCs w:val="28"/>
          <w14:textFill>
            <w14:solidFill>
              <w14:schemeClr w14:val="tx1"/>
            </w14:solidFill>
          </w14:textFill>
        </w:rPr>
        <w:t>、</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料堆</w:t>
      </w:r>
    </w:p>
    <w:p w14:paraId="5266D4E3">
      <w:pPr>
        <w:pStyle w:val="12"/>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outlineLvl w:val="9"/>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占地面积</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0.7930hm</w:t>
      </w:r>
      <w:r>
        <w:rPr>
          <w:rFonts w:hint="default" w:ascii="Times New Roman" w:hAnsi="Times New Roman" w:eastAsia="宋体" w:cs="Times New Roman"/>
          <w:b w:val="0"/>
          <w:bCs w:val="0"/>
          <w:color w:val="000000" w:themeColor="text1"/>
          <w:sz w:val="28"/>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，损毁土地类型为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水浇地、采矿用地</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压占</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，损毁程度为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中</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度</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损毁</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w:t>
      </w:r>
    </w:p>
    <w:p w14:paraId="5B96BBCD">
      <w:pPr>
        <w:keepNext w:val="0"/>
        <w:keepLines w:val="0"/>
        <w:pageBreakBefore w:val="0"/>
        <w:widowControl/>
        <w:kinsoku/>
        <w:wordWrap/>
        <w:overflowPunct/>
        <w:topLinePunct w:val="0"/>
        <w:autoSpaceDE/>
        <w:autoSpaceDN/>
        <w:bidi w:val="0"/>
        <w:adjustRightInd w:val="0"/>
        <w:snapToGrid w:val="0"/>
        <w:spacing w:after="0" w:line="360" w:lineRule="auto"/>
        <w:ind w:left="0" w:firstLine="560" w:firstLineChars="200"/>
        <w:textAlignment w:val="auto"/>
        <w:outlineLvl w:val="9"/>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8"/>
          <w:szCs w:val="28"/>
          <w14:textFill>
            <w14:solidFill>
              <w14:schemeClr w14:val="tx1"/>
            </w14:solidFill>
          </w14:textFill>
        </w:rPr>
        <w:t>⑥</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表土存放场</w:t>
      </w:r>
    </w:p>
    <w:p w14:paraId="1B04D4D6">
      <w:pPr>
        <w:pStyle w:val="69"/>
        <w:keepNext w:val="0"/>
        <w:keepLines w:val="0"/>
        <w:pageBreakBefore w:val="0"/>
        <w:kinsoku/>
        <w:wordWrap/>
        <w:overflowPunct/>
        <w:topLinePunct w:val="0"/>
        <w:autoSpaceDE/>
        <w:autoSpaceDN/>
        <w:bidi w:val="0"/>
        <w:adjustRightInd w:val="0"/>
        <w:snapToGrid w:val="0"/>
        <w:spacing w:line="360" w:lineRule="auto"/>
        <w:ind w:firstLine="560"/>
        <w:textAlignment w:val="auto"/>
        <w:outlineLvl w:val="9"/>
        <w:rPr>
          <w:rFonts w:hint="default" w:ascii="Times New Roman" w:hAnsi="Times New Roman" w:eastAsia="宋体" w:cs="Times New Roman"/>
          <w:b w:val="0"/>
          <w:bCs w:val="0"/>
          <w:color w:val="000000" w:themeColor="text1"/>
          <w:sz w:val="28"/>
          <w:szCs w:val="28"/>
          <w14:textFill>
            <w14:solidFill>
              <w14:schemeClr w14:val="tx1"/>
            </w14:solidFill>
          </w14:textFill>
        </w:rPr>
      </w:pP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占地面积</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1.8212hm</w:t>
      </w:r>
      <w:r>
        <w:rPr>
          <w:rFonts w:hint="default" w:ascii="Times New Roman" w:hAnsi="Times New Roman" w:eastAsia="宋体" w:cs="Times New Roman"/>
          <w:b w:val="0"/>
          <w:bCs w:val="0"/>
          <w:color w:val="000000" w:themeColor="text1"/>
          <w:sz w:val="28"/>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，损毁土地类型为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乔木林地、采矿用地、农村道路</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压占</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，损毁程度为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中</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度</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损毁</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w:t>
      </w:r>
    </w:p>
    <w:p w14:paraId="4F1B34C0">
      <w:pPr>
        <w:keepNext w:val="0"/>
        <w:keepLines w:val="0"/>
        <w:pageBreakBefore w:val="0"/>
        <w:widowControl/>
        <w:kinsoku/>
        <w:wordWrap/>
        <w:overflowPunct/>
        <w:topLinePunct w:val="0"/>
        <w:autoSpaceDE/>
        <w:autoSpaceDN/>
        <w:bidi w:val="0"/>
        <w:adjustRightInd w:val="0"/>
        <w:snapToGrid w:val="0"/>
        <w:spacing w:after="0" w:line="360" w:lineRule="auto"/>
        <w:ind w:left="0" w:firstLine="560" w:firstLineChars="200"/>
        <w:textAlignment w:val="auto"/>
        <w:outlineLvl w:val="9"/>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⑦</w:t>
      </w:r>
      <w:r>
        <w:rPr>
          <w:rFonts w:hint="default" w:ascii="Times New Roman" w:hAnsi="Times New Roman"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办公生活区</w:t>
      </w:r>
    </w:p>
    <w:p w14:paraId="5F52C6E4">
      <w:pPr>
        <w:pStyle w:val="69"/>
        <w:ind w:firstLine="560"/>
        <w:outlineLvl w:val="9"/>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占地面积</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0.2217hm</w:t>
      </w:r>
      <w:r>
        <w:rPr>
          <w:rFonts w:hint="default" w:ascii="Times New Roman" w:hAnsi="Times New Roman" w:eastAsia="宋体" w:cs="Times New Roman"/>
          <w:b w:val="0"/>
          <w:bCs w:val="0"/>
          <w:color w:val="000000" w:themeColor="text1"/>
          <w:sz w:val="28"/>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，损毁土地类型为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采矿用地</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压占</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，损毁程度为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中</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度</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损毁</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w:t>
      </w:r>
    </w:p>
    <w:p w14:paraId="7526F051">
      <w:pPr>
        <w:keepNext w:val="0"/>
        <w:keepLines w:val="0"/>
        <w:pageBreakBefore w:val="0"/>
        <w:widowControl/>
        <w:kinsoku/>
        <w:wordWrap/>
        <w:overflowPunct/>
        <w:topLinePunct w:val="0"/>
        <w:autoSpaceDE/>
        <w:autoSpaceDN/>
        <w:bidi w:val="0"/>
        <w:adjustRightInd/>
        <w:snapToGrid/>
        <w:spacing w:after="0" w:line="360" w:lineRule="auto"/>
        <w:ind w:firstLine="493"/>
        <w:textAlignment w:val="auto"/>
        <w:outlineLvl w:val="9"/>
        <w:rPr>
          <w:rFonts w:hint="default" w:ascii="Times New Roman" w:hAnsi="Times New Roman" w:eastAsia="宋体" w:cs="Times New Roman"/>
          <w:color w:val="000000" w:themeColor="text1"/>
          <w:sz w:val="28"/>
          <w:szCs w:val="21"/>
          <w14:textFill>
            <w14:solidFill>
              <w14:schemeClr w14:val="tx1"/>
            </w14:solidFill>
          </w14:textFill>
        </w:rPr>
      </w:pPr>
      <w:r>
        <w:rPr>
          <w:rFonts w:hint="default" w:ascii="Times New Roman" w:hAnsi="Times New Roman" w:eastAsia="宋体" w:cs="Times New Roman"/>
          <w:color w:val="000000" w:themeColor="text1"/>
          <w:sz w:val="28"/>
          <w:szCs w:val="21"/>
          <w:lang w:val="en-US" w:eastAsia="zh-CN"/>
          <w14:textFill>
            <w14:solidFill>
              <w14:schemeClr w14:val="tx1"/>
            </w14:solidFill>
          </w14:textFill>
        </w:rPr>
        <w:t>⑧、</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矿区道路</w:t>
      </w:r>
    </w:p>
    <w:p w14:paraId="19F1CED0">
      <w:pPr>
        <w:keepNext w:val="0"/>
        <w:keepLines w:val="0"/>
        <w:pageBreakBefore w:val="0"/>
        <w:widowControl/>
        <w:kinsoku/>
        <w:wordWrap/>
        <w:overflowPunct/>
        <w:topLinePunct w:val="0"/>
        <w:autoSpaceDE/>
        <w:autoSpaceDN/>
        <w:bidi w:val="0"/>
        <w:adjustRightInd/>
        <w:snapToGrid/>
        <w:spacing w:after="0" w:line="360" w:lineRule="auto"/>
        <w:ind w:firstLine="493"/>
        <w:textAlignment w:val="auto"/>
        <w:outlineLvl w:val="9"/>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占地面积</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0.2682hm</w:t>
      </w:r>
      <w:r>
        <w:rPr>
          <w:rFonts w:hint="default" w:ascii="Times New Roman" w:hAnsi="Times New Roman" w:eastAsia="宋体" w:cs="Times New Roman"/>
          <w:b w:val="0"/>
          <w:bCs w:val="0"/>
          <w:color w:val="000000" w:themeColor="text1"/>
          <w:sz w:val="28"/>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，损毁土地类型为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采矿用地</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压占</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，损毁程度为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轻</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度</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损毁</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w:t>
      </w:r>
    </w:p>
    <w:p w14:paraId="360DB30F">
      <w:pPr>
        <w:widowControl/>
        <w:spacing w:line="360" w:lineRule="auto"/>
        <w:ind w:firstLine="480" w:firstLineChars="200"/>
        <w:outlineLvl w:val="9"/>
        <w:rPr>
          <w:rFonts w:hint="default" w:ascii="Times New Roman" w:hAnsi="Times New Roman" w:cs="Times New Roman"/>
          <w:color w:val="000000" w:themeColor="text1"/>
          <w:kern w:val="0"/>
          <w:sz w:val="24"/>
          <w:szCs w:val="24"/>
          <w14:textFill>
            <w14:solidFill>
              <w14:schemeClr w14:val="tx1"/>
            </w14:solidFill>
          </w14:textFill>
        </w:rPr>
      </w:pPr>
    </w:p>
    <w:p w14:paraId="6464361B">
      <w:pPr>
        <w:widowControl/>
        <w:spacing w:line="360" w:lineRule="auto"/>
        <w:ind w:firstLine="480" w:firstLineChars="200"/>
        <w:outlineLvl w:val="9"/>
        <w:rPr>
          <w:rFonts w:hint="default" w:ascii="Times New Roman" w:hAnsi="Times New Roman" w:cs="Times New Roman"/>
          <w:color w:val="000000" w:themeColor="text1"/>
          <w:kern w:val="0"/>
          <w:sz w:val="24"/>
          <w:szCs w:val="24"/>
          <w14:textFill>
            <w14:solidFill>
              <w14:schemeClr w14:val="tx1"/>
            </w14:solidFill>
          </w14:textFill>
        </w:rPr>
        <w:sectPr>
          <w:headerReference r:id="rId21" w:type="default"/>
          <w:footerReference r:id="rId22" w:type="default"/>
          <w:pgSz w:w="11906" w:h="16838"/>
          <w:pgMar w:top="1219" w:right="1797" w:bottom="1440" w:left="1797" w:header="851" w:footer="992" w:gutter="0"/>
          <w:pgNumType w:fmt="decimal"/>
          <w:cols w:space="720" w:num="1"/>
          <w:docGrid w:linePitch="312" w:charSpace="0"/>
        </w:sectPr>
      </w:pPr>
    </w:p>
    <w:p w14:paraId="4CD71033">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outlineLvl w:val="2"/>
        <w:rPr>
          <w:rFonts w:hint="default" w:ascii="Times New Roman" w:hAnsi="Times New Roman" w:eastAsia="宋体" w:cs="Times New Roman"/>
          <w:b/>
          <w:bCs/>
          <w:snapToGrid w:val="0"/>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bCs/>
          <w:snapToGrid w:val="0"/>
          <w:color w:val="000000" w:themeColor="text1"/>
          <w:sz w:val="28"/>
          <w:szCs w:val="28"/>
          <w:lang w:val="en-US" w:eastAsia="zh-CN"/>
          <w14:textFill>
            <w14:solidFill>
              <w14:schemeClr w14:val="tx1"/>
            </w14:solidFill>
          </w14:textFill>
        </w:rPr>
        <w:t>（三）生态受损与退化问题现状</w:t>
      </w:r>
    </w:p>
    <w:p w14:paraId="05543EE1">
      <w:pPr>
        <w:widowControl/>
        <w:spacing w:line="360" w:lineRule="auto"/>
        <w:ind w:firstLine="560" w:firstLineChars="200"/>
        <w:outlineLvl w:val="3"/>
        <w:rPr>
          <w:rFonts w:hint="eastAsia" w:ascii="Times New Roman" w:hAnsi="Times New Roman" w:eastAsia="宋体" w:cs="Times New Roman"/>
          <w:color w:val="000000" w:themeColor="text1"/>
          <w:kern w:val="0"/>
          <w:sz w:val="28"/>
          <w:szCs w:val="28"/>
          <w:lang w:val="en-US" w:eastAsia="zh-CN"/>
          <w14:textFill>
            <w14:solidFill>
              <w14:schemeClr w14:val="tx1"/>
            </w14:solidFill>
          </w14:textFill>
        </w:rPr>
      </w:pPr>
      <w:r>
        <w:rPr>
          <w:rFonts w:hint="eastAsia" w:ascii="Times New Roman" w:hAnsi="Times New Roman" w:eastAsia="宋体" w:cs="Times New Roman"/>
          <w:color w:val="000000" w:themeColor="text1"/>
          <w:kern w:val="0"/>
          <w:sz w:val="28"/>
          <w:szCs w:val="28"/>
          <w:lang w:val="en-US" w:eastAsia="zh-CN"/>
          <w14:textFill>
            <w14:solidFill>
              <w14:schemeClr w14:val="tx1"/>
            </w14:solidFill>
          </w14:textFill>
        </w:rPr>
        <w:t>1、生态损毁现状问题及评价</w:t>
      </w:r>
    </w:p>
    <w:p w14:paraId="144F841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outlineLvl w:val="3"/>
        <w:rPr>
          <w:rFonts w:hint="default" w:ascii="Times New Roman" w:hAnsi="Times New Roman" w:eastAsia="宋体" w:cs="Times New Roman"/>
          <w:color w:val="000000" w:themeColor="text1"/>
          <w:sz w:val="28"/>
          <w:szCs w:val="24"/>
          <w:lang w:val="en-US" w:eastAsia="zh-CN"/>
          <w14:textFill>
            <w14:solidFill>
              <w14:schemeClr w14:val="tx1"/>
            </w14:solidFill>
          </w14:textFill>
        </w:rPr>
      </w:pPr>
      <w:r>
        <w:rPr>
          <w:rFonts w:hint="eastAsia" w:cs="Times New Roman"/>
          <w:color w:val="000000" w:themeColor="text1"/>
          <w:sz w:val="28"/>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8"/>
          <w:szCs w:val="24"/>
          <w:lang w:val="en-US" w:eastAsia="zh-CN"/>
          <w14:textFill>
            <w14:solidFill>
              <w14:schemeClr w14:val="tx1"/>
            </w14:solidFill>
          </w14:textFill>
        </w:rPr>
        <w:t>植被损毁</w:t>
      </w:r>
    </w:p>
    <w:p w14:paraId="7771E3A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000000" w:themeColor="text1"/>
          <w:sz w:val="28"/>
          <w:szCs w:val="24"/>
          <w:lang w:val="en-US" w:eastAsia="zh-CN"/>
          <w14:textFill>
            <w14:solidFill>
              <w14:schemeClr w14:val="tx1"/>
            </w14:solidFill>
          </w14:textFill>
        </w:rPr>
      </w:pPr>
      <w:r>
        <w:rPr>
          <w:rFonts w:hint="default" w:ascii="Times New Roman" w:hAnsi="Times New Roman" w:eastAsia="宋体" w:cs="Times New Roman"/>
          <w:color w:val="000000" w:themeColor="text1"/>
          <w:sz w:val="28"/>
          <w:szCs w:val="24"/>
          <w:lang w:val="en-US" w:eastAsia="zh-CN"/>
          <w14:textFill>
            <w14:solidFill>
              <w14:schemeClr w14:val="tx1"/>
            </w14:solidFill>
          </w14:textFill>
        </w:rPr>
        <w:t>该矿区位于赤峰市松山区太平地镇五十家子村，经现场调查，矿区植被损毁总面积约10.1969hm</w:t>
      </w:r>
      <w:r>
        <w:rPr>
          <w:rFonts w:hint="eastAsia" w:cs="Times New Roman"/>
          <w:color w:val="000000" w:themeColor="text1"/>
          <w:sz w:val="28"/>
          <w:szCs w:val="24"/>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4"/>
          <w:lang w:val="en-US" w:eastAsia="zh-CN"/>
          <w14:textFill>
            <w14:solidFill>
              <w14:schemeClr w14:val="tx1"/>
            </w14:solidFill>
          </w14:textFill>
        </w:rPr>
        <w:t>，矿区及周边植被类型属于典型的农牧交错带类型，以温带典型草原（如针茅、羊草、冷蒿等旱生草本）为原生基底，但受长期农业活动影响，大部分已转变为大面积的玉米、谷子等农田植被，并广泛分布着杨树、柳树等人工防护林。在沙地和河滩区域，则分别分布有差巴嘎蒿、黄柳等沙生植物以及芦苇、香蒲等湿地植被，整体呈现出草原、农田与人工林相互交织的景观格局。</w:t>
      </w:r>
    </w:p>
    <w:p w14:paraId="545EEA7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000000" w:themeColor="text1"/>
          <w:sz w:val="28"/>
          <w:szCs w:val="24"/>
          <w:lang w:val="en-US" w:eastAsia="zh-CN"/>
          <w14:textFill>
            <w14:solidFill>
              <w14:schemeClr w14:val="tx1"/>
            </w14:solidFill>
          </w14:textFill>
        </w:rPr>
      </w:pPr>
      <w:r>
        <w:rPr>
          <w:rFonts w:hint="default" w:ascii="Times New Roman" w:hAnsi="Times New Roman" w:eastAsia="宋体" w:cs="Times New Roman"/>
          <w:color w:val="000000" w:themeColor="text1"/>
          <w:sz w:val="28"/>
          <w:szCs w:val="24"/>
          <w:lang w:val="en-US" w:eastAsia="zh-CN"/>
          <w14:textFill>
            <w14:solidFill>
              <w14:schemeClr w14:val="tx1"/>
            </w14:solidFill>
          </w14:textFill>
        </w:rPr>
        <w:t>矿山建设对矿区植被损毁方式包括：根系挖掘破坏、表土机械碾压和废弃物覆盖掩埋、化学污染、水文干扰五大类。①根系挖掘破坏是在矿区基建或开采准备阶段，机械设备剥离表土以暴露矿层，导致浅根系植被（如羊草本氏针茅、狗尾草以及蒿属类）的根部暴露、断裂或移除，形成植被真空区；②表土机械碾压是矿区施工和运输过程中，重型机械反复碾压表土，导致土壤板结，植被茎叶折断、根系压缩，进而水分渗透减少、氧气交换受阻；③堆积物覆盖是指矿区开采产生的废石、尾矿或剥离表土堆积于原生植被上，形成覆盖层，阻挡阳光和空气，导致底层植物光合受阻、根系窒息，最终枯萎死亡，新植被因覆盖物缺乏养分和排水不良导致生长迟缓。</w:t>
      </w:r>
    </w:p>
    <w:p w14:paraId="5B1E4E9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黑体" w:hAnsi="黑体" w:eastAsia="黑体" w:cs="黑体"/>
          <w:color w:val="000000" w:themeColor="text1"/>
          <w:sz w:val="24"/>
          <w:szCs w:val="22"/>
          <w:lang w:val="en-US" w:eastAsia="zh-CN"/>
          <w14:textFill>
            <w14:solidFill>
              <w14:schemeClr w14:val="tx1"/>
            </w14:solidFill>
          </w14:textFill>
        </w:rPr>
      </w:pPr>
      <w:r>
        <w:rPr>
          <w:rFonts w:hint="eastAsia" w:ascii="黑体" w:hAnsi="黑体" w:eastAsia="黑体" w:cs="黑体"/>
          <w:color w:val="000000" w:themeColor="text1"/>
          <w:sz w:val="24"/>
          <w:szCs w:val="22"/>
          <w:lang w:val="en-US" w:eastAsia="zh-CN"/>
          <w14:textFill>
            <w14:solidFill>
              <w14:schemeClr w14:val="tx1"/>
            </w14:solidFill>
          </w14:textFill>
        </w:rPr>
        <w:t>表3-19  植被损毁因素标准表</w:t>
      </w:r>
    </w:p>
    <w:p w14:paraId="3B7E8426">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center"/>
        <w:textAlignment w:val="auto"/>
        <w:rPr>
          <w:rFonts w:hint="default" w:ascii="黑体" w:hAnsi="黑体" w:eastAsia="黑体" w:cs="黑体"/>
          <w:color w:val="000000" w:themeColor="text1"/>
          <w:sz w:val="24"/>
          <w:szCs w:val="22"/>
          <w:lang w:val="en-US" w:eastAsia="zh-CN"/>
          <w14:textFill>
            <w14:solidFill>
              <w14:schemeClr w14:val="tx1"/>
            </w14:solidFill>
          </w14:textFill>
        </w:rPr>
      </w:pPr>
      <w:r>
        <w:rPr>
          <w:rFonts w:hint="default" w:ascii="黑体" w:hAnsi="黑体" w:eastAsia="黑体" w:cs="黑体"/>
          <w:color w:val="000000" w:themeColor="text1"/>
          <w:sz w:val="24"/>
          <w:szCs w:val="22"/>
          <w:lang w:val="en-US" w:eastAsia="zh-CN"/>
          <w14:textFill>
            <w14:solidFill>
              <w14:schemeClr w14:val="tx1"/>
            </w14:solidFill>
          </w14:textFill>
        </w:rPr>
        <w:t>表3-</w:t>
      </w:r>
      <w:r>
        <w:rPr>
          <w:rFonts w:hint="eastAsia" w:ascii="黑体" w:hAnsi="黑体" w:eastAsia="黑体" w:cs="黑体"/>
          <w:color w:val="000000" w:themeColor="text1"/>
          <w:sz w:val="24"/>
          <w:szCs w:val="22"/>
          <w:lang w:val="en-US" w:eastAsia="zh-CN"/>
          <w14:textFill>
            <w14:solidFill>
              <w14:schemeClr w14:val="tx1"/>
            </w14:solidFill>
          </w14:textFill>
        </w:rPr>
        <w:t>20</w:t>
      </w:r>
      <w:r>
        <w:rPr>
          <w:rFonts w:hint="default" w:ascii="黑体" w:hAnsi="黑体" w:eastAsia="黑体" w:cs="黑体"/>
          <w:color w:val="000000" w:themeColor="text1"/>
          <w:sz w:val="24"/>
          <w:szCs w:val="22"/>
          <w:lang w:val="en-US" w:eastAsia="zh-CN"/>
          <w14:textFill>
            <w14:solidFill>
              <w14:schemeClr w14:val="tx1"/>
            </w14:solidFill>
          </w14:textFill>
        </w:rPr>
        <w:t xml:space="preserve">  植被损毁程度评分界线表</w:t>
      </w:r>
    </w:p>
    <w:tbl>
      <w:tblPr>
        <w:tblStyle w:val="139"/>
        <w:tblW w:w="5002"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270"/>
        <w:gridCol w:w="2270"/>
        <w:gridCol w:w="2271"/>
        <w:gridCol w:w="2271"/>
      </w:tblGrid>
      <w:tr w14:paraId="406418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1250" w:type="pct"/>
            <w:noWrap w:val="0"/>
            <w:vAlign w:val="center"/>
          </w:tcPr>
          <w:p w14:paraId="6D7808C8">
            <w:pPr>
              <w:keepNext w:val="0"/>
              <w:keepLines w:val="0"/>
              <w:pageBreakBefore w:val="0"/>
              <w:widowControl w:val="0"/>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kern w:val="0"/>
                <w:sz w:val="20"/>
                <w:szCs w:val="20"/>
                <w:highlight w:val="none"/>
                <w:u w:val="none"/>
                <w:lang w:val="en-US" w:eastAsia="en-US"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highlight w:val="none"/>
                <w:u w:val="none"/>
                <w:lang w:val="en-US" w:eastAsia="en-US" w:bidi="ar"/>
                <w14:textFill>
                  <w14:solidFill>
                    <w14:schemeClr w14:val="tx1"/>
                  </w14:solidFill>
                </w14:textFill>
              </w:rPr>
              <w:t>损毁程度</w:t>
            </w:r>
          </w:p>
        </w:tc>
        <w:tc>
          <w:tcPr>
            <w:tcW w:w="1250" w:type="pct"/>
            <w:noWrap w:val="0"/>
            <w:vAlign w:val="center"/>
          </w:tcPr>
          <w:p w14:paraId="7D576257">
            <w:pPr>
              <w:keepNext w:val="0"/>
              <w:keepLines w:val="0"/>
              <w:pageBreakBefore w:val="0"/>
              <w:widowControl w:val="0"/>
              <w:suppressLineNumbers w:val="0"/>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i w:val="0"/>
                <w:iCs w:val="0"/>
                <w:color w:val="000000" w:themeColor="text1"/>
                <w:kern w:val="0"/>
                <w:sz w:val="20"/>
                <w:szCs w:val="20"/>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highlight w:val="none"/>
                <w:u w:val="none"/>
                <w:lang w:val="en-US" w:eastAsia="en-US" w:bidi="ar"/>
                <w14:textFill>
                  <w14:solidFill>
                    <w14:schemeClr w14:val="tx1"/>
                  </w14:solidFill>
                </w14:textFill>
              </w:rPr>
              <w:t>轻度</w:t>
            </w:r>
            <w:r>
              <w:rPr>
                <w:rFonts w:hint="eastAsia" w:ascii="Times New Roman" w:hAnsi="Times New Roman" w:eastAsia="宋体" w:cs="Times New Roman"/>
                <w:i w:val="0"/>
                <w:iCs w:val="0"/>
                <w:color w:val="000000" w:themeColor="text1"/>
                <w:kern w:val="0"/>
                <w:sz w:val="20"/>
                <w:szCs w:val="20"/>
                <w:highlight w:val="none"/>
                <w:u w:val="none"/>
                <w:lang w:val="en-US" w:eastAsia="zh-CN" w:bidi="ar"/>
                <w14:textFill>
                  <w14:solidFill>
                    <w14:schemeClr w14:val="tx1"/>
                  </w14:solidFill>
                </w14:textFill>
              </w:rPr>
              <w:t>受损</w:t>
            </w:r>
          </w:p>
        </w:tc>
        <w:tc>
          <w:tcPr>
            <w:tcW w:w="1250" w:type="pct"/>
            <w:noWrap w:val="0"/>
            <w:vAlign w:val="center"/>
          </w:tcPr>
          <w:p w14:paraId="184A788A">
            <w:pPr>
              <w:keepNext w:val="0"/>
              <w:keepLines w:val="0"/>
              <w:pageBreakBefore w:val="0"/>
              <w:widowControl w:val="0"/>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kern w:val="0"/>
                <w:sz w:val="20"/>
                <w:szCs w:val="20"/>
                <w:highlight w:val="none"/>
                <w:u w:val="none"/>
                <w:lang w:val="en-US" w:eastAsia="en-US"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highlight w:val="none"/>
                <w:u w:val="none"/>
                <w:lang w:val="en-US" w:eastAsia="en-US" w:bidi="ar"/>
                <w14:textFill>
                  <w14:solidFill>
                    <w14:schemeClr w14:val="tx1"/>
                  </w14:solidFill>
                </w14:textFill>
              </w:rPr>
              <w:t>中度</w:t>
            </w:r>
            <w:r>
              <w:rPr>
                <w:rFonts w:hint="eastAsia" w:ascii="Times New Roman" w:hAnsi="Times New Roman" w:eastAsia="宋体" w:cs="Times New Roman"/>
                <w:i w:val="0"/>
                <w:iCs w:val="0"/>
                <w:color w:val="000000" w:themeColor="text1"/>
                <w:kern w:val="0"/>
                <w:sz w:val="20"/>
                <w:szCs w:val="20"/>
                <w:highlight w:val="none"/>
                <w:u w:val="none"/>
                <w:lang w:val="en-US" w:eastAsia="zh-CN" w:bidi="ar"/>
                <w14:textFill>
                  <w14:solidFill>
                    <w14:schemeClr w14:val="tx1"/>
                  </w14:solidFill>
                </w14:textFill>
              </w:rPr>
              <w:t>受损</w:t>
            </w:r>
          </w:p>
        </w:tc>
        <w:tc>
          <w:tcPr>
            <w:tcW w:w="1250" w:type="pct"/>
            <w:noWrap w:val="0"/>
            <w:vAlign w:val="center"/>
          </w:tcPr>
          <w:p w14:paraId="4FCAC461">
            <w:pPr>
              <w:keepNext w:val="0"/>
              <w:keepLines w:val="0"/>
              <w:pageBreakBefore w:val="0"/>
              <w:widowControl w:val="0"/>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kern w:val="0"/>
                <w:sz w:val="20"/>
                <w:szCs w:val="20"/>
                <w:highlight w:val="none"/>
                <w:u w:val="none"/>
                <w:lang w:val="en-US" w:eastAsia="en-US"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highlight w:val="none"/>
                <w:u w:val="none"/>
                <w:lang w:val="en-US" w:eastAsia="en-US" w:bidi="ar"/>
                <w14:textFill>
                  <w14:solidFill>
                    <w14:schemeClr w14:val="tx1"/>
                  </w14:solidFill>
                </w14:textFill>
              </w:rPr>
              <w:t>重度</w:t>
            </w:r>
            <w:r>
              <w:rPr>
                <w:rFonts w:hint="eastAsia" w:ascii="Times New Roman" w:hAnsi="Times New Roman" w:eastAsia="宋体" w:cs="Times New Roman"/>
                <w:i w:val="0"/>
                <w:iCs w:val="0"/>
                <w:color w:val="000000" w:themeColor="text1"/>
                <w:kern w:val="0"/>
                <w:sz w:val="20"/>
                <w:szCs w:val="20"/>
                <w:highlight w:val="none"/>
                <w:u w:val="none"/>
                <w:lang w:val="en-US" w:eastAsia="zh-CN" w:bidi="ar"/>
                <w14:textFill>
                  <w14:solidFill>
                    <w14:schemeClr w14:val="tx1"/>
                  </w14:solidFill>
                </w14:textFill>
              </w:rPr>
              <w:t>受损</w:t>
            </w:r>
          </w:p>
        </w:tc>
      </w:tr>
      <w:tr w14:paraId="13848E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1250" w:type="pct"/>
            <w:noWrap w:val="0"/>
            <w:vAlign w:val="center"/>
          </w:tcPr>
          <w:p w14:paraId="2582CC46">
            <w:pPr>
              <w:keepNext w:val="0"/>
              <w:keepLines w:val="0"/>
              <w:pageBreakBefore w:val="0"/>
              <w:widowControl w:val="0"/>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kern w:val="0"/>
                <w:sz w:val="20"/>
                <w:szCs w:val="20"/>
                <w:highlight w:val="none"/>
                <w:u w:val="none"/>
                <w:lang w:val="en-US" w:eastAsia="en-US"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highlight w:val="none"/>
                <w:u w:val="none"/>
                <w:lang w:val="en-US" w:eastAsia="en-US" w:bidi="ar"/>
                <w14:textFill>
                  <w14:solidFill>
                    <w14:schemeClr w14:val="tx1"/>
                  </w14:solidFill>
                </w14:textFill>
              </w:rPr>
              <w:t>评分级别</w:t>
            </w:r>
          </w:p>
        </w:tc>
        <w:tc>
          <w:tcPr>
            <w:tcW w:w="1250" w:type="pct"/>
            <w:noWrap w:val="0"/>
            <w:vAlign w:val="center"/>
          </w:tcPr>
          <w:p w14:paraId="0B0D3A36">
            <w:pPr>
              <w:keepNext w:val="0"/>
              <w:keepLines w:val="0"/>
              <w:pageBreakBefore w:val="0"/>
              <w:widowControl w:val="0"/>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kern w:val="0"/>
                <w:sz w:val="20"/>
                <w:szCs w:val="20"/>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highlight w:val="none"/>
                <w:u w:val="none"/>
                <w:lang w:val="en-US" w:eastAsia="zh-CN" w:bidi="ar"/>
                <w14:textFill>
                  <w14:solidFill>
                    <w14:schemeClr w14:val="tx1"/>
                  </w14:solidFill>
                </w14:textFill>
              </w:rPr>
              <w:t>Σ≤40</w:t>
            </w:r>
          </w:p>
        </w:tc>
        <w:tc>
          <w:tcPr>
            <w:tcW w:w="1250" w:type="pct"/>
            <w:noWrap w:val="0"/>
            <w:vAlign w:val="center"/>
          </w:tcPr>
          <w:p w14:paraId="5F3B0C6F">
            <w:pPr>
              <w:keepNext w:val="0"/>
              <w:keepLines w:val="0"/>
              <w:pageBreakBefore w:val="0"/>
              <w:widowControl w:val="0"/>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kern w:val="0"/>
                <w:sz w:val="20"/>
                <w:szCs w:val="20"/>
                <w:highlight w:val="none"/>
                <w:u w:val="none"/>
                <w:lang w:val="en-US" w:eastAsia="en-US"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highlight w:val="none"/>
                <w:u w:val="none"/>
                <w:lang w:val="en-US" w:eastAsia="zh-CN" w:bidi="ar"/>
                <w14:textFill>
                  <w14:solidFill>
                    <w14:schemeClr w14:val="tx1"/>
                  </w14:solidFill>
                </w14:textFill>
              </w:rPr>
              <w:t>40&lt;Σ≤70</w:t>
            </w:r>
          </w:p>
        </w:tc>
        <w:tc>
          <w:tcPr>
            <w:tcW w:w="1250" w:type="pct"/>
            <w:noWrap w:val="0"/>
            <w:vAlign w:val="center"/>
          </w:tcPr>
          <w:p w14:paraId="661C7B44">
            <w:pPr>
              <w:keepNext w:val="0"/>
              <w:keepLines w:val="0"/>
              <w:pageBreakBefore w:val="0"/>
              <w:widowControl w:val="0"/>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000000" w:themeColor="text1"/>
                <w:kern w:val="0"/>
                <w:sz w:val="20"/>
                <w:szCs w:val="20"/>
                <w:highlight w:val="none"/>
                <w:u w:val="none"/>
                <w:lang w:val="en-US" w:eastAsia="en-US"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highlight w:val="none"/>
                <w:u w:val="none"/>
                <w:lang w:val="en-US" w:eastAsia="zh-CN" w:bidi="ar"/>
                <w14:textFill>
                  <w14:solidFill>
                    <w14:schemeClr w14:val="tx1"/>
                  </w14:solidFill>
                </w14:textFill>
              </w:rPr>
              <w:t>Σ&gt;70</w:t>
            </w:r>
          </w:p>
        </w:tc>
      </w:tr>
    </w:tbl>
    <w:p w14:paraId="22CC2566">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560" w:firstLineChars="200"/>
        <w:textAlignment w:val="auto"/>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现状条件下对矿区植被功能造成损毁的单元包括：露天采场1、露天采场2、工业场地、成品砖堆放场、料堆、表土存放场、办公生活区及矿区道路等。</w:t>
      </w:r>
    </w:p>
    <w:p w14:paraId="47B70A9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黑体" w:hAnsi="黑体" w:eastAsia="黑体" w:cs="黑体"/>
          <w:color w:val="000000" w:themeColor="text1"/>
          <w:sz w:val="24"/>
          <w:szCs w:val="22"/>
          <w:lang w:val="en-US" w:eastAsia="zh-CN"/>
          <w14:textFill>
            <w14:solidFill>
              <w14:schemeClr w14:val="tx1"/>
            </w14:solidFill>
          </w14:textFill>
        </w:rPr>
      </w:pPr>
      <w:r>
        <w:rPr>
          <w:rFonts w:hint="default" w:ascii="黑体" w:hAnsi="黑体" w:eastAsia="黑体" w:cs="黑体"/>
          <w:color w:val="000000" w:themeColor="text1"/>
          <w:sz w:val="24"/>
          <w:szCs w:val="22"/>
          <w:lang w:val="en-US" w:eastAsia="zh-CN"/>
          <w14:textFill>
            <w14:solidFill>
              <w14:schemeClr w14:val="tx1"/>
            </w14:solidFill>
          </w14:textFill>
        </w:rPr>
        <w:t>表3-</w:t>
      </w:r>
      <w:r>
        <w:rPr>
          <w:rFonts w:hint="eastAsia" w:ascii="黑体" w:hAnsi="黑体" w:eastAsia="黑体" w:cs="黑体"/>
          <w:color w:val="000000" w:themeColor="text1"/>
          <w:sz w:val="24"/>
          <w:szCs w:val="22"/>
          <w:lang w:val="en-US" w:eastAsia="zh-CN"/>
          <w14:textFill>
            <w14:solidFill>
              <w14:schemeClr w14:val="tx1"/>
            </w14:solidFill>
          </w14:textFill>
        </w:rPr>
        <w:t>21</w:t>
      </w:r>
      <w:r>
        <w:rPr>
          <w:rFonts w:hint="default" w:ascii="黑体" w:hAnsi="黑体" w:eastAsia="黑体" w:cs="黑体"/>
          <w:color w:val="000000" w:themeColor="text1"/>
          <w:sz w:val="24"/>
          <w:szCs w:val="22"/>
          <w:lang w:val="en-US" w:eastAsia="zh-CN"/>
          <w14:textFill>
            <w14:solidFill>
              <w14:schemeClr w14:val="tx1"/>
            </w14:solidFill>
          </w14:textFill>
        </w:rPr>
        <w:t xml:space="preserve">  植被损毁程度</w:t>
      </w:r>
      <w:r>
        <w:rPr>
          <w:rFonts w:hint="eastAsia" w:ascii="黑体" w:hAnsi="黑体" w:eastAsia="黑体" w:cs="黑体"/>
          <w:color w:val="000000" w:themeColor="text1"/>
          <w:sz w:val="24"/>
          <w:szCs w:val="22"/>
          <w:lang w:val="en-US" w:eastAsia="zh-CN"/>
          <w14:textFill>
            <w14:solidFill>
              <w14:schemeClr w14:val="tx1"/>
            </w14:solidFill>
          </w14:textFill>
        </w:rPr>
        <w:t>现状评分</w:t>
      </w:r>
      <w:r>
        <w:rPr>
          <w:rFonts w:hint="default" w:ascii="黑体" w:hAnsi="黑体" w:eastAsia="黑体" w:cs="黑体"/>
          <w:color w:val="000000" w:themeColor="text1"/>
          <w:sz w:val="24"/>
          <w:szCs w:val="22"/>
          <w:lang w:val="en-US" w:eastAsia="zh-CN"/>
          <w14:textFill>
            <w14:solidFill>
              <w14:schemeClr w14:val="tx1"/>
            </w14:solidFill>
          </w14:textFill>
        </w:rPr>
        <w:t>表</w:t>
      </w:r>
    </w:p>
    <w:p w14:paraId="1696A1F0">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560" w:firstLineChars="200"/>
        <w:textAlignment w:val="auto"/>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综上所述，经比对植被损毁因素标准表计算后得出：现状场地露天采场1、露天采场2植被损毁程度均为</w:t>
      </w:r>
      <w:r>
        <w:rPr>
          <w:rFonts w:hint="eastAsia" w:cs="Times New Roman"/>
          <w:color w:val="000000" w:themeColor="text1"/>
          <w:sz w:val="28"/>
          <w:szCs w:val="28"/>
          <w:highlight w:val="none"/>
          <w:lang w:val="en-US" w:eastAsia="zh-CN"/>
          <w14:textFill>
            <w14:solidFill>
              <w14:schemeClr w14:val="tx1"/>
            </w14:solidFill>
          </w14:textFill>
        </w:rPr>
        <w:t>重</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度受损。工业场地、成品砖堆放场、料堆、表土存放场、办公生活区</w:t>
      </w:r>
      <w:r>
        <w:rPr>
          <w:rFonts w:hint="eastAsia" w:cs="Times New Roman"/>
          <w:color w:val="000000" w:themeColor="text1"/>
          <w:sz w:val="28"/>
          <w:szCs w:val="28"/>
          <w:highlight w:val="none"/>
          <w:lang w:val="en-US" w:eastAsia="zh-CN"/>
          <w14:textFill>
            <w14:solidFill>
              <w14:schemeClr w14:val="tx1"/>
            </w14:solidFill>
          </w14:textFill>
        </w:rPr>
        <w:t>及</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矿区道路等植被损毁程度均为中度受损。矿区内其他未破坏场地植被损毁程度为轻度受损。</w:t>
      </w:r>
    </w:p>
    <w:p w14:paraId="0ECD8FC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outlineLvl w:val="3"/>
        <w:rPr>
          <w:rFonts w:hint="eastAsia" w:ascii="Times New Roman" w:hAnsi="Times New Roman" w:eastAsia="宋体" w:cs="Times New Roman"/>
          <w:color w:val="000000" w:themeColor="text1"/>
          <w:sz w:val="28"/>
          <w:szCs w:val="24"/>
          <w:lang w:val="en-US" w:eastAsia="zh-CN"/>
          <w14:textFill>
            <w14:solidFill>
              <w14:schemeClr w14:val="tx1"/>
            </w14:solidFill>
          </w14:textFill>
        </w:rPr>
      </w:pPr>
      <w:r>
        <w:rPr>
          <w:rFonts w:hint="eastAsia" w:ascii="Times New Roman" w:hAnsi="Times New Roman" w:eastAsia="宋体" w:cs="Times New Roman"/>
          <w:color w:val="000000" w:themeColor="text1"/>
          <w:sz w:val="28"/>
          <w:szCs w:val="24"/>
          <w:lang w:val="en-US" w:eastAsia="zh-CN"/>
          <w14:textFill>
            <w14:solidFill>
              <w14:schemeClr w14:val="tx1"/>
            </w14:solidFill>
          </w14:textFill>
        </w:rPr>
        <w:t>（2）生物多样性丧失</w:t>
      </w:r>
    </w:p>
    <w:p w14:paraId="6D2822E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矿区现状工程活动造成的植被损毁面积共计</w:t>
      </w:r>
      <w:r>
        <w:rPr>
          <w:rFonts w:hint="eastAsia" w:cs="Times New Roman"/>
          <w:color w:val="000000" w:themeColor="text1"/>
          <w:sz w:val="28"/>
          <w:szCs w:val="24"/>
          <w:lang w:val="en-US" w:eastAsia="zh-CN"/>
          <w14:textFill>
            <w14:solidFill>
              <w14:schemeClr w14:val="tx1"/>
            </w14:solidFill>
          </w14:textFill>
        </w:rPr>
        <w:t>10.1969h</w:t>
      </w:r>
      <w:r>
        <w:rPr>
          <w:rFonts w:hint="default" w:ascii="Times New Roman" w:hAnsi="Times New Roman" w:cs="Times New Roman"/>
          <w:color w:val="000000" w:themeColor="text1"/>
          <w:sz w:val="28"/>
          <w:szCs w:val="28"/>
          <w14:textFill>
            <w14:solidFill>
              <w14:schemeClr w14:val="tx1"/>
            </w14:solidFill>
          </w14:textFill>
        </w:rPr>
        <w:t>m²，损毁土地类型涵盖</w:t>
      </w:r>
      <w:r>
        <w:rPr>
          <w:rFonts w:hint="eastAsia" w:ascii="Times New Roman" w:hAnsi="Times New Roman" w:cs="Times New Roman"/>
          <w:color w:val="000000" w:themeColor="text1"/>
          <w:sz w:val="28"/>
          <w:szCs w:val="28"/>
          <w:lang w:val="en-US" w:eastAsia="zh-CN"/>
          <w14:textFill>
            <w14:solidFill>
              <w14:schemeClr w14:val="tx1"/>
            </w14:solidFill>
          </w14:textFill>
        </w:rPr>
        <w:t>水浇地、乔木林地、采矿用地及农村道路</w:t>
      </w:r>
      <w:r>
        <w:rPr>
          <w:rFonts w:hint="default" w:ascii="Times New Roman" w:hAnsi="Times New Roman" w:cs="Times New Roman"/>
          <w:color w:val="000000" w:themeColor="text1"/>
          <w:sz w:val="28"/>
          <w:szCs w:val="28"/>
          <w14:textFill>
            <w14:solidFill>
              <w14:schemeClr w14:val="tx1"/>
            </w14:solidFill>
          </w14:textFill>
        </w:rPr>
        <w:t>等，矿山开采对区域生物多样性局部产生局部影响。原生植被群落的破坏与生境碎片化，导致依赖林地、草地生态系统的小型哺乳动物、鸟类及昆虫种群数量减少，优势物种由原生冷温性乔灌木、乡土草本植物，逐渐被单一化草本植物替代。但因影响范围有限，经评估采矿活动未致使生物多样性造成丧失。其损毁程度为轻度受损。</w:t>
      </w:r>
    </w:p>
    <w:p w14:paraId="62C747A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outlineLvl w:val="3"/>
        <w:rPr>
          <w:rFonts w:hint="eastAsia" w:ascii="Times New Roman" w:hAnsi="Times New Roman" w:eastAsia="宋体" w:cs="Times New Roman"/>
          <w:color w:val="000000" w:themeColor="text1"/>
          <w:sz w:val="28"/>
          <w:szCs w:val="24"/>
          <w:lang w:val="en-US" w:eastAsia="zh-CN"/>
          <w14:textFill>
            <w14:solidFill>
              <w14:schemeClr w14:val="tx1"/>
            </w14:solidFill>
          </w14:textFill>
        </w:rPr>
      </w:pPr>
      <w:r>
        <w:rPr>
          <w:rFonts w:hint="eastAsia" w:ascii="Times New Roman" w:hAnsi="Times New Roman" w:eastAsia="宋体" w:cs="Times New Roman"/>
          <w:color w:val="000000" w:themeColor="text1"/>
          <w:sz w:val="28"/>
          <w:szCs w:val="24"/>
          <w:lang w:val="en-US" w:eastAsia="zh-CN"/>
          <w14:textFill>
            <w14:solidFill>
              <w14:schemeClr w14:val="tx1"/>
            </w14:solidFill>
          </w14:textFill>
        </w:rPr>
        <w:t>（3）水土流失</w:t>
      </w:r>
    </w:p>
    <w:p w14:paraId="610FF7DA">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①</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因素分析</w:t>
      </w:r>
    </w:p>
    <w:p w14:paraId="0B53E0A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结合矿区实际情况，水土流失的核心成因可归纳为四大类，各因素相互作用、叠加放大，加剧了侵蚀程度。</w:t>
      </w:r>
    </w:p>
    <w:p w14:paraId="6A7E02E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A</w:t>
      </w:r>
      <w:r>
        <w:rPr>
          <w:rFonts w:hint="default" w:ascii="Times New Roman" w:hAnsi="Times New Roman" w:cs="Times New Roman"/>
          <w:color w:val="000000" w:themeColor="text1"/>
          <w:sz w:val="28"/>
          <w:szCs w:val="28"/>
          <w14:textFill>
            <w14:solidFill>
              <w14:schemeClr w14:val="tx1"/>
            </w14:solidFill>
          </w14:textFill>
        </w:rPr>
        <w:t>、植被防护体系受损，人为开发活动导致区域原生植被大量损毁，水土保持植被覆盖不足，地表失去天然防护屏障，无法有效截留降水、减缓径流流速，对土壤的固持作用大幅弱化；</w:t>
      </w:r>
    </w:p>
    <w:p w14:paraId="1A6D073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B</w:t>
      </w:r>
      <w:r>
        <w:rPr>
          <w:rFonts w:hint="default" w:ascii="Times New Roman" w:hAnsi="Times New Roman" w:cs="Times New Roman"/>
          <w:color w:val="000000" w:themeColor="text1"/>
          <w:sz w:val="28"/>
          <w:szCs w:val="28"/>
          <w14:textFill>
            <w14:solidFill>
              <w14:schemeClr w14:val="tx1"/>
            </w14:solidFill>
          </w14:textFill>
        </w:rPr>
        <w:t>、土壤抗侵蚀能力下降，长期的地表扰动的表土流失、机械压实等行为，破坏了土壤原有结构，土壤孔隙度降低、团聚体稳定性变差，抗冲刷能力与抗风蚀能力显著弱化，易被水流或风力侵蚀搬运；</w:t>
      </w:r>
    </w:p>
    <w:p w14:paraId="3B42F1F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C</w:t>
      </w:r>
      <w:r>
        <w:rPr>
          <w:rFonts w:hint="default" w:ascii="Times New Roman" w:hAnsi="Times New Roman" w:cs="Times New Roman"/>
          <w:color w:val="000000" w:themeColor="text1"/>
          <w:sz w:val="28"/>
          <w:szCs w:val="28"/>
          <w14:textFill>
            <w14:solidFill>
              <w14:schemeClr w14:val="tx1"/>
            </w14:solidFill>
          </w14:textFill>
        </w:rPr>
        <w:t>、地形扰动加剧，露天采场开挖作业形成大量陡峭边坡，废石、废渣堆存形成松散堆积体，区域地形坡度显著增加，导致坡面径流流速加快，水流侵蚀力增强，同时松散堆积体自身稳定性差，易发生重力侵蚀与水力冲刷叠加现象；</w:t>
      </w:r>
    </w:p>
    <w:p w14:paraId="5559096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D</w:t>
      </w:r>
      <w:r>
        <w:rPr>
          <w:rFonts w:hint="default" w:ascii="Times New Roman" w:hAnsi="Times New Roman" w:cs="Times New Roman"/>
          <w:color w:val="000000" w:themeColor="text1"/>
          <w:sz w:val="28"/>
          <w:szCs w:val="28"/>
          <w14:textFill>
            <w14:solidFill>
              <w14:schemeClr w14:val="tx1"/>
            </w14:solidFill>
          </w14:textFill>
        </w:rPr>
        <w:t>、水土保持防护措施缺失，针对裸露地表、废石</w:t>
      </w:r>
      <w:r>
        <w:rPr>
          <w:rFonts w:hint="eastAsia" w:cs="Times New Roman"/>
          <w:color w:val="000000" w:themeColor="text1"/>
          <w:sz w:val="28"/>
          <w:szCs w:val="28"/>
          <w:lang w:val="en-US" w:eastAsia="zh-CN"/>
          <w14:textFill>
            <w14:solidFill>
              <w14:schemeClr w14:val="tx1"/>
            </w14:solidFill>
          </w14:textFill>
        </w:rPr>
        <w:t>场</w:t>
      </w:r>
      <w:r>
        <w:rPr>
          <w:rFonts w:hint="default" w:ascii="Times New Roman" w:hAnsi="Times New Roman" w:cs="Times New Roman"/>
          <w:color w:val="000000" w:themeColor="text1"/>
          <w:sz w:val="28"/>
          <w:szCs w:val="28"/>
          <w14:textFill>
            <w14:solidFill>
              <w14:schemeClr w14:val="tx1"/>
            </w14:solidFill>
          </w14:textFill>
        </w:rPr>
        <w:t>、采场边坡等重点侵蚀区域，未采取挡渣、护坡、植被恢复等有效的水土保持防护措施，无法从源头遏制水土流失，进一步放大了自然侵蚀与人为扰动的叠加影响。</w:t>
      </w:r>
    </w:p>
    <w:p w14:paraId="384FB79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②</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现状分析</w:t>
      </w:r>
    </w:p>
    <w:p w14:paraId="39DD292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矿区表土在雨季易受降雨冲刷的影响，从而加剧水土流失，受植被损毁、裸露地表增加及土壤理化性质恶化等问题叠加影响，矿区水土流失以水力侵蚀为主。</w:t>
      </w:r>
    </w:p>
    <w:p w14:paraId="7E8ACF0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结合矿区实际调查显示，裸露斜坡及未防护的</w:t>
      </w:r>
      <w:r>
        <w:rPr>
          <w:rFonts w:hint="eastAsia" w:cs="Times New Roman"/>
          <w:color w:val="000000" w:themeColor="text1"/>
          <w:sz w:val="28"/>
          <w:szCs w:val="28"/>
          <w:lang w:val="en-US" w:eastAsia="zh-CN"/>
          <w14:textFill>
            <w14:solidFill>
              <w14:schemeClr w14:val="tx1"/>
            </w14:solidFill>
          </w14:textFill>
        </w:rPr>
        <w:t>料堆</w:t>
      </w:r>
      <w:r>
        <w:rPr>
          <w:rFonts w:hint="default" w:ascii="Times New Roman" w:hAnsi="Times New Roman"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表土场、</w:t>
      </w:r>
      <w:r>
        <w:rPr>
          <w:rFonts w:hint="default" w:ascii="Times New Roman" w:hAnsi="Times New Roman" w:cs="Times New Roman"/>
          <w:color w:val="000000" w:themeColor="text1"/>
          <w:sz w:val="28"/>
          <w:szCs w:val="28"/>
          <w14:textFill>
            <w14:solidFill>
              <w14:schemeClr w14:val="tx1"/>
            </w14:solidFill>
          </w14:textFill>
        </w:rPr>
        <w:t>采场边坡等区域为水土流失重点区域。其中，雨季时坡面径流冲刷裸露地表及废渣坡，局部形成浅冲沟，泥沙流失量较大；旱季时，裸露表土及松散弃渣易被大风扬起，形成扬尘，不仅加剧土地沙化风险，还对周边植被生长产生覆盖性干扰。同时，植被覆盖度降低导致土壤蓄水能力下降，进一步提升了水土流失的风险等级。</w:t>
      </w:r>
    </w:p>
    <w:p w14:paraId="5EC739E8">
      <w:pPr>
        <w:pStyle w:val="38"/>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综上所述，根据现状判定</w:t>
      </w:r>
      <w:r>
        <w:rPr>
          <w:rFonts w:hint="eastAsia" w:ascii="Times New Roman" w:cs="Times New Roman"/>
          <w:color w:val="000000" w:themeColor="text1"/>
          <w:sz w:val="28"/>
          <w:szCs w:val="28"/>
          <w:lang w:val="en-US" w:eastAsia="zh-CN"/>
          <w14:textFill>
            <w14:solidFill>
              <w14:schemeClr w14:val="tx1"/>
            </w14:solidFill>
          </w14:textFill>
        </w:rPr>
        <w:t>结果，影响严重：</w:t>
      </w:r>
      <w:r>
        <w:rPr>
          <w:rFonts w:hint="default" w:ascii="Times New Roman" w:hAnsi="Times New Roman" w:cs="Times New Roman"/>
          <w:color w:val="000000" w:themeColor="text1"/>
          <w:sz w:val="28"/>
          <w:szCs w:val="28"/>
          <w:lang w:val="en-US" w:eastAsia="zh-CN"/>
          <w14:textFill>
            <w14:solidFill>
              <w14:schemeClr w14:val="tx1"/>
            </w14:solidFill>
          </w14:textFill>
        </w:rPr>
        <w:t>露天采场</w:t>
      </w:r>
      <w:r>
        <w:rPr>
          <w:rFonts w:hint="eastAsia" w:ascii="Times New Roman" w:cs="Times New Roman"/>
          <w:color w:val="000000" w:themeColor="text1"/>
          <w:sz w:val="28"/>
          <w:szCs w:val="28"/>
          <w:lang w:val="en-US" w:eastAsia="zh-CN"/>
          <w14:textFill>
            <w14:solidFill>
              <w14:schemeClr w14:val="tx1"/>
            </w14:solidFill>
          </w14:textFill>
        </w:rPr>
        <w:t>1、</w:t>
      </w:r>
      <w:r>
        <w:rPr>
          <w:rFonts w:hint="default" w:ascii="Times New Roman" w:hAnsi="Times New Roman" w:cs="Times New Roman"/>
          <w:color w:val="000000" w:themeColor="text1"/>
          <w:sz w:val="28"/>
          <w:szCs w:val="28"/>
          <w:lang w:val="en-US" w:eastAsia="zh-CN"/>
          <w14:textFill>
            <w14:solidFill>
              <w14:schemeClr w14:val="tx1"/>
            </w14:solidFill>
          </w14:textFill>
        </w:rPr>
        <w:t>露天采场</w:t>
      </w:r>
      <w:r>
        <w:rPr>
          <w:rFonts w:hint="eastAsia" w:ascii="Times New Roman" w:cs="Times New Roman"/>
          <w:color w:val="000000" w:themeColor="text1"/>
          <w:sz w:val="28"/>
          <w:szCs w:val="28"/>
          <w:lang w:val="en-US" w:eastAsia="zh-CN"/>
          <w14:textFill>
            <w14:solidFill>
              <w14:schemeClr w14:val="tx1"/>
            </w14:solidFill>
          </w14:textFill>
        </w:rPr>
        <w:t>2</w:t>
      </w:r>
      <w:r>
        <w:rPr>
          <w:rFonts w:hint="default" w:ascii="Times New Roman" w:hAnsi="Times New Roman" w:cs="Times New Roman"/>
          <w:color w:val="000000" w:themeColor="text1"/>
          <w:sz w:val="28"/>
          <w:szCs w:val="28"/>
          <w:lang w:val="en-US" w:eastAsia="zh-CN"/>
          <w14:textFill>
            <w14:solidFill>
              <w14:schemeClr w14:val="tx1"/>
            </w14:solidFill>
          </w14:textFill>
        </w:rPr>
        <w:t>；</w:t>
      </w:r>
      <w:r>
        <w:rPr>
          <w:rFonts w:hint="eastAsia" w:ascii="Times New Roman" w:cs="Times New Roman"/>
          <w:color w:val="000000" w:themeColor="text1"/>
          <w:sz w:val="28"/>
          <w:szCs w:val="28"/>
          <w:highlight w:val="none"/>
          <w:lang w:val="en-US" w:eastAsia="zh-CN"/>
          <w14:textFill>
            <w14:solidFill>
              <w14:schemeClr w14:val="tx1"/>
            </w14:solidFill>
          </w14:textFill>
        </w:rPr>
        <w:t>影响较严重</w:t>
      </w:r>
      <w:r>
        <w:rPr>
          <w:rFonts w:hint="eastAsia" w:cs="Times New Roman"/>
          <w:color w:val="000000" w:themeColor="text1"/>
          <w:sz w:val="28"/>
          <w:szCs w:val="28"/>
          <w:lang w:val="en-US"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工业场地、成品砖堆放场、料堆、表土存放场、办公生活区及矿区道路；</w:t>
      </w:r>
      <w:r>
        <w:rPr>
          <w:rFonts w:hint="default" w:ascii="Times New Roman" w:hAnsi="Times New Roman" w:cs="Times New Roman"/>
          <w:color w:val="000000" w:themeColor="text1"/>
          <w:sz w:val="28"/>
          <w:szCs w:val="28"/>
          <w14:textFill>
            <w14:solidFill>
              <w14:schemeClr w14:val="tx1"/>
            </w14:solidFill>
          </w14:textFill>
        </w:rPr>
        <w:t>其他场地对水土流失影响较轻。</w:t>
      </w:r>
    </w:p>
    <w:p w14:paraId="790AE34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outlineLvl w:val="3"/>
        <w:rPr>
          <w:rFonts w:hint="eastAsia" w:ascii="Times New Roman" w:hAnsi="Times New Roman" w:eastAsia="宋体" w:cs="Times New Roman"/>
          <w:color w:val="000000" w:themeColor="text1"/>
          <w:sz w:val="28"/>
          <w:szCs w:val="24"/>
          <w:lang w:val="en-US" w:eastAsia="zh-CN"/>
          <w14:textFill>
            <w14:solidFill>
              <w14:schemeClr w14:val="tx1"/>
            </w14:solidFill>
          </w14:textFill>
        </w:rPr>
      </w:pPr>
      <w:r>
        <w:rPr>
          <w:rFonts w:hint="eastAsia" w:ascii="Times New Roman" w:hAnsi="Times New Roman" w:eastAsia="宋体" w:cs="Times New Roman"/>
          <w:color w:val="000000" w:themeColor="text1"/>
          <w:sz w:val="28"/>
          <w:szCs w:val="24"/>
          <w:lang w:val="en-US" w:eastAsia="zh-CN"/>
          <w14:textFill>
            <w14:solidFill>
              <w14:schemeClr w14:val="tx1"/>
            </w14:solidFill>
          </w14:textFill>
        </w:rPr>
        <w:t>（4）水土环境污染</w:t>
      </w:r>
    </w:p>
    <w:p w14:paraId="7A781B0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t>①</w:t>
      </w:r>
      <w:r>
        <w:rPr>
          <w:rFonts w:hint="default" w:ascii="Times New Roman" w:hAnsi="Times New Roman" w:cs="Times New Roman"/>
          <w:b w:val="0"/>
          <w:bCs w:val="0"/>
          <w:color w:val="000000" w:themeColor="text1"/>
          <w:kern w:val="0"/>
          <w:sz w:val="28"/>
          <w:szCs w:val="28"/>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t>矿区水环境污染现状</w:t>
      </w:r>
    </w:p>
    <w:p w14:paraId="4FD3F00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根据</w:t>
      </w:r>
      <w:r>
        <w:rPr>
          <w:rFonts w:hint="eastAsia" w:cs="Times New Roman"/>
          <w:color w:val="000000" w:themeColor="text1"/>
          <w:kern w:val="0"/>
          <w:sz w:val="28"/>
          <w:szCs w:val="28"/>
          <w:highlight w:val="none"/>
          <w:lang w:val="en-US" w:eastAsia="zh-CN"/>
          <w14:textFill>
            <w14:solidFill>
              <w14:schemeClr w14:val="tx1"/>
            </w14:solidFill>
          </w14:textFill>
        </w:rPr>
        <w:t>2022年7</w:t>
      </w:r>
      <w:r>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月，由</w:t>
      </w: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内蒙古</w:t>
      </w:r>
      <w:r>
        <w:rPr>
          <w:rFonts w:hint="eastAsia" w:cs="Times New Roman"/>
          <w:color w:val="000000" w:themeColor="text1"/>
          <w:kern w:val="0"/>
          <w:sz w:val="28"/>
          <w:szCs w:val="28"/>
          <w:highlight w:val="none"/>
          <w:lang w:val="en-US" w:eastAsia="zh-CN"/>
          <w14:textFill>
            <w14:solidFill>
              <w14:schemeClr w14:val="tx1"/>
            </w14:solidFill>
          </w14:textFill>
        </w:rPr>
        <w:t>绿美佳环境职业技术</w:t>
      </w: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有限公司出具</w:t>
      </w:r>
      <w:r>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的</w:t>
      </w:r>
      <w:r>
        <w:rPr>
          <w:rFonts w:hint="default" w:ascii="Times New Roman" w:hAnsi="Times New Roman" w:eastAsia="宋体" w:cs="Times New Roman"/>
          <w:color w:val="000000" w:themeColor="text1"/>
          <w:kern w:val="0"/>
          <w:sz w:val="28"/>
          <w:szCs w:val="28"/>
          <w:highlight w:val="none"/>
          <w:lang w:val="zh-CN" w:eastAsia="zh-CN"/>
          <w14:textFill>
            <w14:solidFill>
              <w14:schemeClr w14:val="tx1"/>
            </w14:solidFill>
          </w14:textFill>
        </w:rPr>
        <w:t>《</w:t>
      </w: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检测</w:t>
      </w:r>
      <w:r>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报告</w:t>
      </w:r>
      <w:r>
        <w:rPr>
          <w:rFonts w:hint="default" w:ascii="Times New Roman" w:hAnsi="Times New Roman" w:eastAsia="宋体" w:cs="Times New Roman"/>
          <w:color w:val="000000" w:themeColor="text1"/>
          <w:kern w:val="0"/>
          <w:sz w:val="28"/>
          <w:szCs w:val="28"/>
          <w:highlight w:val="none"/>
          <w:lang w:val="zh-CN" w:eastAsia="zh-CN"/>
          <w14:textFill>
            <w14:solidFill>
              <w14:schemeClr w14:val="tx1"/>
            </w14:solidFill>
          </w14:textFill>
        </w:rPr>
        <w:t>》</w:t>
      </w:r>
      <w:r>
        <w:rPr>
          <w:rFonts w:hint="eastAsia" w:cs="Times New Roman"/>
          <w:color w:val="000000" w:themeColor="text1"/>
          <w:kern w:val="0"/>
          <w:sz w:val="28"/>
          <w:szCs w:val="28"/>
          <w:highlight w:val="none"/>
          <w:lang w:val="zh-CN" w:eastAsia="zh-CN"/>
          <w14:textFill>
            <w14:solidFill>
              <w14:schemeClr w14:val="tx1"/>
            </w14:solidFill>
          </w14:textFill>
        </w:rPr>
        <w:t>（</w:t>
      </w:r>
      <w:r>
        <w:rPr>
          <w:rFonts w:hint="eastAsia" w:cs="Times New Roman"/>
          <w:color w:val="000000" w:themeColor="text1"/>
          <w:kern w:val="0"/>
          <w:sz w:val="28"/>
          <w:szCs w:val="28"/>
          <w:highlight w:val="none"/>
          <w:lang w:val="en-US" w:eastAsia="zh-CN"/>
          <w14:textFill>
            <w14:solidFill>
              <w14:schemeClr w14:val="tx1"/>
            </w14:solidFill>
          </w14:textFill>
        </w:rPr>
        <w:t>LMJ-S-2022-483</w:t>
      </w:r>
      <w:r>
        <w:rPr>
          <w:rFonts w:hint="eastAsia" w:cs="Times New Roman"/>
          <w:color w:val="000000" w:themeColor="text1"/>
          <w:kern w:val="0"/>
          <w:sz w:val="28"/>
          <w:szCs w:val="28"/>
          <w:highlight w:val="none"/>
          <w:lang w:val="zh-CN"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对</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矿山</w:t>
      </w:r>
      <w:r>
        <w:rPr>
          <w:rFonts w:hint="eastAsia" w:cs="Times New Roman"/>
          <w:color w:val="000000" w:themeColor="text1"/>
          <w:sz w:val="28"/>
          <w:szCs w:val="28"/>
          <w:highlight w:val="none"/>
          <w:lang w:val="en-US" w:eastAsia="zh-CN"/>
          <w14:textFill>
            <w14:solidFill>
              <w14:schemeClr w14:val="tx1"/>
            </w14:solidFill>
          </w14:textFill>
        </w:rPr>
        <w:t>厂区内水井</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分别取样</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进行检测，</w:t>
      </w:r>
      <w:r>
        <w:rPr>
          <w:rFonts w:hint="eastAsia" w:cs="Times New Roman"/>
          <w:color w:val="000000" w:themeColor="text1"/>
          <w:sz w:val="28"/>
          <w:szCs w:val="28"/>
          <w:highlight w:val="none"/>
          <w:lang w:val="en-US" w:eastAsia="zh-CN"/>
          <w14:textFill>
            <w14:solidFill>
              <w14:schemeClr w14:val="tx1"/>
            </w14:solidFill>
          </w14:textFill>
        </w:rPr>
        <w:t>检测项目为：浊度、PH、氨氮、COD，</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结果显示，矿山厂区内水井</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各项检测指标均符合《</w:t>
      </w:r>
      <w:r>
        <w:rPr>
          <w:rFonts w:hint="eastAsia" w:cs="Times New Roman"/>
          <w:color w:val="000000" w:themeColor="text1"/>
          <w:sz w:val="28"/>
          <w:szCs w:val="28"/>
          <w:highlight w:val="none"/>
          <w:lang w:val="en-US" w:eastAsia="zh-CN"/>
          <w14:textFill>
            <w14:solidFill>
              <w14:schemeClr w14:val="tx1"/>
            </w14:solidFill>
          </w14:textFill>
        </w:rPr>
        <w:t>地下水质量</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标准》（GB</w:t>
      </w:r>
      <w:r>
        <w:rPr>
          <w:rFonts w:hint="eastAsia" w:cs="Times New Roman"/>
          <w:color w:val="000000" w:themeColor="text1"/>
          <w:sz w:val="28"/>
          <w:szCs w:val="28"/>
          <w:highlight w:val="none"/>
          <w:lang w:val="en-US" w:eastAsia="zh-CN"/>
          <w14:textFill>
            <w14:solidFill>
              <w14:schemeClr w14:val="tx1"/>
            </w14:solidFill>
          </w14:textFill>
        </w:rPr>
        <w:t>/T 14848-2017</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III类标准</w:t>
      </w:r>
      <w:r>
        <w:rPr>
          <w:rFonts w:hint="eastAsia" w:cs="Times New Roman"/>
          <w:color w:val="000000" w:themeColor="text1"/>
          <w:sz w:val="28"/>
          <w:szCs w:val="28"/>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详见表3-</w:t>
      </w:r>
      <w:r>
        <w:rPr>
          <w:rFonts w:hint="eastAsia" w:cs="Times New Roman"/>
          <w:color w:val="000000" w:themeColor="text1"/>
          <w:sz w:val="28"/>
          <w:szCs w:val="28"/>
          <w:highlight w:val="none"/>
          <w:lang w:val="en-US" w:eastAsia="zh-CN"/>
          <w14:textFill>
            <w14:solidFill>
              <w14:schemeClr w14:val="tx1"/>
            </w14:solidFill>
          </w14:textFill>
        </w:rPr>
        <w:t>22</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w:t>
      </w:r>
    </w:p>
    <w:p w14:paraId="6193AE1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黑体" w:hAnsi="黑体" w:eastAsia="黑体" w:cs="黑体"/>
          <w:color w:val="000000" w:themeColor="text1"/>
          <w:sz w:val="24"/>
          <w:szCs w:val="22"/>
          <w:lang w:val="en-US" w:eastAsia="zh-CN"/>
          <w14:textFill>
            <w14:solidFill>
              <w14:schemeClr w14:val="tx1"/>
            </w14:solidFill>
          </w14:textFill>
        </w:rPr>
      </w:pPr>
      <w:r>
        <w:rPr>
          <w:rFonts w:hint="default" w:ascii="黑体" w:hAnsi="黑体" w:eastAsia="黑体" w:cs="黑体"/>
          <w:color w:val="000000" w:themeColor="text1"/>
          <w:sz w:val="24"/>
          <w:szCs w:val="22"/>
          <w:lang w:val="en-US" w:eastAsia="zh-CN"/>
          <w14:textFill>
            <w14:solidFill>
              <w14:schemeClr w14:val="tx1"/>
            </w14:solidFill>
          </w14:textFill>
        </w:rPr>
        <w:t>表3-</w:t>
      </w:r>
      <w:r>
        <w:rPr>
          <w:rFonts w:hint="eastAsia" w:ascii="黑体" w:hAnsi="黑体" w:eastAsia="黑体" w:cs="黑体"/>
          <w:color w:val="000000" w:themeColor="text1"/>
          <w:sz w:val="24"/>
          <w:szCs w:val="22"/>
          <w:lang w:val="en-US" w:eastAsia="zh-CN"/>
          <w14:textFill>
            <w14:solidFill>
              <w14:schemeClr w14:val="tx1"/>
            </w14:solidFill>
          </w14:textFill>
        </w:rPr>
        <w:t>22</w:t>
      </w:r>
      <w:r>
        <w:rPr>
          <w:rFonts w:hint="default" w:ascii="黑体" w:hAnsi="黑体" w:eastAsia="黑体" w:cs="黑体"/>
          <w:color w:val="000000" w:themeColor="text1"/>
          <w:sz w:val="24"/>
          <w:szCs w:val="22"/>
          <w:lang w:val="en-US" w:eastAsia="zh-CN"/>
          <w14:textFill>
            <w14:solidFill>
              <w14:schemeClr w14:val="tx1"/>
            </w14:solidFill>
          </w14:textFill>
        </w:rPr>
        <w:t xml:space="preserve">  </w:t>
      </w:r>
      <w:r>
        <w:rPr>
          <w:rFonts w:hint="eastAsia" w:ascii="黑体" w:hAnsi="黑体" w:eastAsia="黑体" w:cs="黑体"/>
          <w:color w:val="000000" w:themeColor="text1"/>
          <w:sz w:val="24"/>
          <w:szCs w:val="22"/>
          <w:lang w:val="en-US" w:eastAsia="zh-CN"/>
          <w14:textFill>
            <w14:solidFill>
              <w14:schemeClr w14:val="tx1"/>
            </w14:solidFill>
          </w14:textFill>
        </w:rPr>
        <w:t>地下水</w:t>
      </w:r>
      <w:r>
        <w:rPr>
          <w:rFonts w:hint="default" w:ascii="黑体" w:hAnsi="黑体" w:eastAsia="黑体" w:cs="黑体"/>
          <w:color w:val="000000" w:themeColor="text1"/>
          <w:sz w:val="24"/>
          <w:szCs w:val="22"/>
          <w:lang w:val="en-US" w:eastAsia="zh-CN"/>
          <w14:textFill>
            <w14:solidFill>
              <w14:schemeClr w14:val="tx1"/>
            </w14:solidFill>
          </w14:textFill>
        </w:rPr>
        <w:t>检测报告</w:t>
      </w:r>
    </w:p>
    <w:p w14:paraId="5DFF621E">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560" w:firstLineChars="200"/>
        <w:textAlignment w:val="auto"/>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t>综上所述，现状条件下，采矿活动对地下水环境影响程度</w:t>
      </w:r>
      <w:r>
        <w:rPr>
          <w:rFonts w:hint="eastAsia"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t>较轻</w:t>
      </w:r>
      <w:r>
        <w:rPr>
          <w:rFonts w:hint="eastAsia"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t>。</w:t>
      </w:r>
    </w:p>
    <w:p w14:paraId="569DFA4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t>②</w:t>
      </w:r>
      <w:r>
        <w:rPr>
          <w:rFonts w:hint="eastAsia" w:cs="Times New Roman"/>
          <w:b w:val="0"/>
          <w:bCs w:val="0"/>
          <w:color w:val="000000" w:themeColor="text1"/>
          <w:kern w:val="0"/>
          <w:sz w:val="28"/>
          <w:szCs w:val="28"/>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t>矿区土环境污染现状</w:t>
      </w:r>
    </w:p>
    <w:p w14:paraId="15A51815">
      <w:pPr>
        <w:widowControl/>
        <w:spacing w:line="360" w:lineRule="auto"/>
        <w:ind w:firstLine="568" w:firstLineChars="200"/>
        <w:rPr>
          <w:rFonts w:hint="default" w:ascii="Times New Roman" w:hAnsi="Times New Roman" w:cs="Times New Roman"/>
          <w:snapToGrid w:val="0"/>
          <w:color w:val="000000" w:themeColor="text1"/>
          <w:sz w:val="28"/>
          <w:szCs w:val="28"/>
          <w:lang w:val="en-US" w:eastAsia="zh-CN"/>
          <w14:textFill>
            <w14:solidFill>
              <w14:schemeClr w14:val="tx1"/>
            </w14:solidFill>
          </w14:textFill>
        </w:rPr>
      </w:pPr>
      <w:r>
        <w:rPr>
          <w:rFonts w:hint="eastAsia" w:cs="Times New Roman"/>
          <w:color w:val="000000" w:themeColor="text1"/>
          <w:spacing w:val="2"/>
          <w:kern w:val="0"/>
          <w:sz w:val="28"/>
          <w:szCs w:val="28"/>
          <w:highlight w:val="none"/>
          <w:lang w:val="en-US" w:eastAsia="zh-CN"/>
          <w14:textFill>
            <w14:solidFill>
              <w14:schemeClr w14:val="tx1"/>
            </w14:solidFill>
          </w14:textFill>
        </w:rPr>
        <w:t>依据</w:t>
      </w:r>
      <w:r>
        <w:rPr>
          <w:rFonts w:hint="eastAsia" w:cs="Times New Roman"/>
          <w:color w:val="000000" w:themeColor="text1"/>
          <w:kern w:val="0"/>
          <w:sz w:val="28"/>
          <w:szCs w:val="28"/>
          <w:highlight w:val="none"/>
          <w:lang w:val="en-US" w:eastAsia="zh-CN"/>
          <w14:textFill>
            <w14:solidFill>
              <w14:schemeClr w14:val="tx1"/>
            </w14:solidFill>
          </w14:textFill>
        </w:rPr>
        <w:t>2022年7</w:t>
      </w:r>
      <w:r>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月，由</w:t>
      </w: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内蒙古</w:t>
      </w:r>
      <w:r>
        <w:rPr>
          <w:rFonts w:hint="eastAsia" w:cs="Times New Roman"/>
          <w:color w:val="000000" w:themeColor="text1"/>
          <w:kern w:val="0"/>
          <w:sz w:val="28"/>
          <w:szCs w:val="28"/>
          <w:highlight w:val="none"/>
          <w:lang w:val="en-US" w:eastAsia="zh-CN"/>
          <w14:textFill>
            <w14:solidFill>
              <w14:schemeClr w14:val="tx1"/>
            </w14:solidFill>
          </w14:textFill>
        </w:rPr>
        <w:t>绿美佳环境职业技术</w:t>
      </w: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有限公司出具</w:t>
      </w:r>
      <w:r>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的</w:t>
      </w:r>
      <w:r>
        <w:rPr>
          <w:rFonts w:hint="default" w:ascii="Times New Roman" w:hAnsi="Times New Roman" w:eastAsia="宋体" w:cs="Times New Roman"/>
          <w:color w:val="000000" w:themeColor="text1"/>
          <w:kern w:val="0"/>
          <w:sz w:val="28"/>
          <w:szCs w:val="28"/>
          <w:highlight w:val="none"/>
          <w:lang w:val="zh-CN" w:eastAsia="zh-CN"/>
          <w14:textFill>
            <w14:solidFill>
              <w14:schemeClr w14:val="tx1"/>
            </w14:solidFill>
          </w14:textFill>
        </w:rPr>
        <w:t>《</w:t>
      </w: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检测</w:t>
      </w:r>
      <w:r>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报告</w:t>
      </w:r>
      <w:r>
        <w:rPr>
          <w:rFonts w:hint="default" w:ascii="Times New Roman" w:hAnsi="Times New Roman" w:eastAsia="宋体" w:cs="Times New Roman"/>
          <w:color w:val="000000" w:themeColor="text1"/>
          <w:kern w:val="0"/>
          <w:sz w:val="28"/>
          <w:szCs w:val="28"/>
          <w:highlight w:val="none"/>
          <w:lang w:val="zh-CN" w:eastAsia="zh-CN"/>
          <w14:textFill>
            <w14:solidFill>
              <w14:schemeClr w14:val="tx1"/>
            </w14:solidFill>
          </w14:textFill>
        </w:rPr>
        <w:t>》</w:t>
      </w:r>
      <w:r>
        <w:rPr>
          <w:rFonts w:hint="eastAsia" w:cs="Times New Roman"/>
          <w:color w:val="000000" w:themeColor="text1"/>
          <w:kern w:val="0"/>
          <w:sz w:val="28"/>
          <w:szCs w:val="28"/>
          <w:highlight w:val="none"/>
          <w:lang w:val="zh-CN" w:eastAsia="zh-CN"/>
          <w14:textFill>
            <w14:solidFill>
              <w14:schemeClr w14:val="tx1"/>
            </w14:solidFill>
          </w14:textFill>
        </w:rPr>
        <w:t>（</w:t>
      </w:r>
      <w:r>
        <w:rPr>
          <w:rFonts w:hint="eastAsia" w:cs="Times New Roman"/>
          <w:color w:val="000000" w:themeColor="text1"/>
          <w:kern w:val="0"/>
          <w:sz w:val="28"/>
          <w:szCs w:val="28"/>
          <w:highlight w:val="none"/>
          <w:lang w:val="en-US" w:eastAsia="zh-CN"/>
          <w14:textFill>
            <w14:solidFill>
              <w14:schemeClr w14:val="tx1"/>
            </w14:solidFill>
          </w14:textFill>
        </w:rPr>
        <w:t>LMJ-S-2022-034</w:t>
      </w:r>
      <w:r>
        <w:rPr>
          <w:rFonts w:hint="eastAsia" w:cs="Times New Roman"/>
          <w:color w:val="000000" w:themeColor="text1"/>
          <w:kern w:val="0"/>
          <w:sz w:val="28"/>
          <w:szCs w:val="28"/>
          <w:highlight w:val="none"/>
          <w:lang w:val="zh-CN" w:eastAsia="zh-CN"/>
          <w14:textFill>
            <w14:solidFill>
              <w14:schemeClr w14:val="tx1"/>
            </w14:solidFill>
          </w14:textFill>
        </w:rPr>
        <w:t>）</w:t>
      </w:r>
      <w:r>
        <w:rPr>
          <w:rFonts w:hint="eastAsia" w:cs="Times New Roman"/>
          <w:color w:val="000000" w:themeColor="text1"/>
          <w:spacing w:val="2"/>
          <w:kern w:val="0"/>
          <w:sz w:val="28"/>
          <w:szCs w:val="28"/>
          <w:highlight w:val="none"/>
          <w:lang w:val="en-US" w:eastAsia="zh-CN"/>
          <w14:textFill>
            <w14:solidFill>
              <w14:schemeClr w14:val="tx1"/>
            </w14:solidFill>
          </w14:textFill>
        </w:rPr>
        <w:t>，对矿区及周边土壤环境质量进行检测，检测点位置布置在矿区内。</w:t>
      </w:r>
      <w:r>
        <w:rPr>
          <w:rFonts w:hint="eastAsia" w:ascii="Times New Roman" w:hAnsi="Times New Roman" w:eastAsia="宋体" w:cs="Times New Roman"/>
          <w:color w:val="000000" w:themeColor="text1"/>
          <w:spacing w:val="2"/>
          <w:kern w:val="0"/>
          <w:sz w:val="28"/>
          <w:szCs w:val="28"/>
          <w:highlight w:val="none"/>
          <w:lang w:val="en-US" w:eastAsia="zh-CN"/>
          <w14:textFill>
            <w14:solidFill>
              <w14:schemeClr w14:val="tx1"/>
            </w14:solidFill>
          </w14:textFill>
        </w:rPr>
        <w:t>分析项目主要为：</w:t>
      </w:r>
      <w:r>
        <w:rPr>
          <w:rFonts w:hint="eastAsia" w:cs="Times New Roman"/>
          <w:color w:val="000000" w:themeColor="text1"/>
          <w:spacing w:val="2"/>
          <w:kern w:val="0"/>
          <w:sz w:val="28"/>
          <w:szCs w:val="28"/>
          <w:highlight w:val="none"/>
          <w:lang w:val="en-US" w:eastAsia="zh-CN"/>
          <w14:textFill>
            <w14:solidFill>
              <w14:schemeClr w14:val="tx1"/>
            </w14:solidFill>
          </w14:textFill>
        </w:rPr>
        <w:t>铅</w:t>
      </w:r>
      <w:r>
        <w:rPr>
          <w:rFonts w:hint="eastAsia" w:ascii="Times New Roman" w:hAnsi="Times New Roman" w:eastAsia="宋体" w:cs="Times New Roman"/>
          <w:color w:val="000000" w:themeColor="text1"/>
          <w:spacing w:val="2"/>
          <w:kern w:val="0"/>
          <w:sz w:val="28"/>
          <w:szCs w:val="28"/>
          <w:highlight w:val="none"/>
          <w:lang w:val="en-US" w:eastAsia="zh-CN"/>
          <w14:textFill>
            <w14:solidFill>
              <w14:schemeClr w14:val="tx1"/>
            </w14:solidFill>
          </w14:textFill>
        </w:rPr>
        <w:t>、</w:t>
      </w:r>
      <w:r>
        <w:rPr>
          <w:rFonts w:hint="eastAsia" w:cs="Times New Roman"/>
          <w:color w:val="000000" w:themeColor="text1"/>
          <w:spacing w:val="2"/>
          <w:kern w:val="0"/>
          <w:sz w:val="28"/>
          <w:szCs w:val="28"/>
          <w:highlight w:val="none"/>
          <w:lang w:val="en-US" w:eastAsia="zh-CN"/>
          <w14:textFill>
            <w14:solidFill>
              <w14:schemeClr w14:val="tx1"/>
            </w14:solidFill>
          </w14:textFill>
        </w:rPr>
        <w:t>铜</w:t>
      </w:r>
      <w:r>
        <w:rPr>
          <w:rFonts w:hint="eastAsia" w:ascii="Times New Roman" w:hAnsi="Times New Roman" w:eastAsia="宋体" w:cs="Times New Roman"/>
          <w:color w:val="000000" w:themeColor="text1"/>
          <w:spacing w:val="2"/>
          <w:kern w:val="0"/>
          <w:sz w:val="28"/>
          <w:szCs w:val="28"/>
          <w:highlight w:val="none"/>
          <w:lang w:val="en-US" w:eastAsia="zh-CN"/>
          <w14:textFill>
            <w14:solidFill>
              <w14:schemeClr w14:val="tx1"/>
            </w14:solidFill>
          </w14:textFill>
        </w:rPr>
        <w:t>。根据检测结果，矿区土壤能够达到《土壤环境质量 建设用地土壤污染风险管控标准》，二类用地</w:t>
      </w:r>
      <w:r>
        <w:rPr>
          <w:rFonts w:hint="eastAsia" w:cs="Times New Roman"/>
          <w:color w:val="000000" w:themeColor="text1"/>
          <w:spacing w:val="2"/>
          <w:kern w:val="0"/>
          <w:sz w:val="28"/>
          <w:szCs w:val="28"/>
          <w:highlight w:val="none"/>
          <w:lang w:val="en-US" w:eastAsia="zh-CN"/>
          <w14:textFill>
            <w14:solidFill>
              <w14:schemeClr w14:val="tx1"/>
            </w14:solidFill>
          </w14:textFill>
        </w:rPr>
        <w:t>标准</w:t>
      </w:r>
      <w:r>
        <w:rPr>
          <w:rFonts w:hint="eastAsia" w:ascii="Times New Roman" w:hAnsi="Times New Roman" w:eastAsia="宋体" w:cs="Times New Roman"/>
          <w:color w:val="000000" w:themeColor="text1"/>
          <w:spacing w:val="2"/>
          <w:kern w:val="0"/>
          <w:sz w:val="28"/>
          <w:szCs w:val="28"/>
          <w:highlight w:val="none"/>
          <w:lang w:val="en-US" w:eastAsia="zh-CN"/>
          <w14:textFill>
            <w14:solidFill>
              <w14:schemeClr w14:val="tx1"/>
            </w14:solidFill>
          </w14:textFill>
        </w:rPr>
        <w:t>。其检测结果如下表：</w:t>
      </w:r>
    </w:p>
    <w:p w14:paraId="13E94E0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黑体" w:hAnsi="黑体" w:eastAsia="黑体" w:cs="黑体"/>
          <w:b w:val="0"/>
          <w:bCs/>
          <w:color w:val="000000" w:themeColor="text1"/>
          <w:kern w:val="0"/>
          <w:sz w:val="24"/>
          <w:szCs w:val="24"/>
          <w:highlight w:val="none"/>
          <w:lang w:val="en-US" w:eastAsia="zh-CN" w:bidi="ar-SA"/>
          <w14:textFill>
            <w14:solidFill>
              <w14:schemeClr w14:val="tx1"/>
            </w14:solidFill>
          </w14:textFill>
        </w:rPr>
      </w:pPr>
      <w:r>
        <w:rPr>
          <w:rFonts w:hint="eastAsia" w:ascii="黑体" w:hAnsi="黑体" w:eastAsia="黑体" w:cs="黑体"/>
          <w:b w:val="0"/>
          <w:bCs/>
          <w:color w:val="000000" w:themeColor="text1"/>
          <w:kern w:val="0"/>
          <w:sz w:val="24"/>
          <w:szCs w:val="24"/>
          <w:highlight w:val="none"/>
          <w:lang w:val="en-US" w:eastAsia="zh-CN" w:bidi="ar-SA"/>
          <w14:textFill>
            <w14:solidFill>
              <w14:schemeClr w14:val="tx1"/>
            </w14:solidFill>
          </w14:textFill>
        </w:rPr>
        <w:t>表3-23  土壤检测评价结果表</w:t>
      </w:r>
    </w:p>
    <w:tbl>
      <w:tblPr>
        <w:tblStyle w:val="30"/>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24"/>
        <w:gridCol w:w="1950"/>
        <w:gridCol w:w="1872"/>
        <w:gridCol w:w="1948"/>
        <w:gridCol w:w="1490"/>
      </w:tblGrid>
      <w:tr w14:paraId="4FFC0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09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2F6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采样时间</w:t>
            </w:r>
          </w:p>
        </w:tc>
        <w:tc>
          <w:tcPr>
            <w:tcW w:w="105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0DD7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检测点位</w:t>
            </w:r>
          </w:p>
        </w:tc>
        <w:tc>
          <w:tcPr>
            <w:tcW w:w="10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A6E3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样品编号</w:t>
            </w:r>
          </w:p>
        </w:tc>
        <w:tc>
          <w:tcPr>
            <w:tcW w:w="18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9270F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检测项目（mg/kg）</w:t>
            </w:r>
          </w:p>
        </w:tc>
      </w:tr>
      <w:tr w14:paraId="477B3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9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11DB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6E85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1463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7828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cs="Times New Roman"/>
                <w:color w:val="000000" w:themeColor="text1"/>
                <w:spacing w:val="2"/>
                <w:kern w:val="0"/>
                <w:sz w:val="21"/>
                <w:szCs w:val="21"/>
                <w:highlight w:val="none"/>
                <w:lang w:val="en-US" w:eastAsia="zh-CN"/>
                <w14:textFill>
                  <w14:solidFill>
                    <w14:schemeClr w14:val="tx1"/>
                  </w14:solidFill>
                </w14:textFill>
              </w:rPr>
              <w:t>铅</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C15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cs="Times New Roman"/>
                <w:color w:val="000000" w:themeColor="text1"/>
                <w:spacing w:val="2"/>
                <w:kern w:val="0"/>
                <w:sz w:val="21"/>
                <w:szCs w:val="21"/>
                <w:highlight w:val="none"/>
                <w:lang w:val="en-US" w:eastAsia="zh-CN"/>
                <w14:textFill>
                  <w14:solidFill>
                    <w14:schemeClr w14:val="tx1"/>
                  </w14:solidFill>
                </w14:textFill>
              </w:rPr>
              <w:t>铜</w:t>
            </w:r>
          </w:p>
        </w:tc>
      </w:tr>
      <w:tr w14:paraId="0F60D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0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9028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2022.7.9</w:t>
            </w:r>
          </w:p>
        </w:tc>
        <w:tc>
          <w:tcPr>
            <w:tcW w:w="10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23D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厂区内</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D787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D-2022483-001</w:t>
            </w:r>
          </w:p>
        </w:tc>
        <w:tc>
          <w:tcPr>
            <w:tcW w:w="10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5658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default" w:ascii="Times New Roman" w:hAnsi="Times New Roman" w:cs="Times New Roman"/>
                <w:i w:val="0"/>
                <w:iCs w:val="0"/>
                <w:color w:val="000000" w:themeColor="text1"/>
                <w:sz w:val="21"/>
                <w:szCs w:val="21"/>
                <w:u w:val="none"/>
                <w:lang w:val="en-US" w:eastAsia="zh-CN"/>
                <w14:textFill>
                  <w14:solidFill>
                    <w14:schemeClr w14:val="tx1"/>
                  </w14:solidFill>
                </w14:textFill>
              </w:rPr>
              <w:t>6.15</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45B4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60</w:t>
            </w:r>
          </w:p>
        </w:tc>
      </w:tr>
    </w:tbl>
    <w:p w14:paraId="16A836A0">
      <w:pPr>
        <w:keepNext w:val="0"/>
        <w:keepLines w:val="0"/>
        <w:pageBreakBefore w:val="0"/>
        <w:widowControl/>
        <w:kinsoku/>
        <w:wordWrap/>
        <w:overflowPunct/>
        <w:topLinePunct w:val="0"/>
        <w:autoSpaceDE/>
        <w:autoSpaceDN/>
        <w:bidi w:val="0"/>
        <w:adjustRightInd/>
        <w:snapToGrid/>
        <w:spacing w:before="157" w:beforeLines="50" w:line="360" w:lineRule="auto"/>
        <w:ind w:firstLine="560" w:firstLineChars="200"/>
        <w:textAlignment w:val="auto"/>
        <w:rPr>
          <w:rFonts w:hint="default" w:ascii="Times New Roman" w:hAnsi="Times New Roman" w:cs="Times New Roman"/>
          <w:snapToGrid w:val="0"/>
          <w:color w:val="000000" w:themeColor="text1"/>
          <w:sz w:val="28"/>
          <w:szCs w:val="28"/>
          <w:lang w:val="en-US" w:eastAsia="zh-CN"/>
          <w14:textFill>
            <w14:solidFill>
              <w14:schemeClr w14:val="tx1"/>
            </w14:solidFill>
          </w14:textFill>
        </w:rPr>
      </w:pPr>
      <w:r>
        <w:rPr>
          <w:rFonts w:hint="default" w:ascii="Times New Roman" w:hAnsi="Times New Roman" w:cs="Times New Roman"/>
          <w:snapToGrid w:val="0"/>
          <w:color w:val="000000" w:themeColor="text1"/>
          <w:sz w:val="28"/>
          <w:szCs w:val="28"/>
          <w:lang w:val="en-US" w:eastAsia="zh-CN"/>
          <w14:textFill>
            <w14:solidFill>
              <w14:schemeClr w14:val="tx1"/>
            </w14:solidFill>
          </w14:textFill>
        </w:rPr>
        <w:t>综上所述，现状矿区生产对土壤环境污染影响较轻。</w:t>
      </w:r>
    </w:p>
    <w:p w14:paraId="47D2BB46">
      <w:pPr>
        <w:widowControl/>
        <w:spacing w:line="360" w:lineRule="auto"/>
        <w:ind w:firstLine="560" w:firstLineChars="200"/>
        <w:outlineLvl w:val="3"/>
        <w:rPr>
          <w:rFonts w:hint="default" w:ascii="Times New Roman" w:hAnsi="Times New Roman" w:eastAsia="宋体" w:cs="Times New Roman"/>
          <w:color w:val="000000" w:themeColor="text1"/>
          <w:kern w:val="0"/>
          <w:sz w:val="28"/>
          <w:szCs w:val="28"/>
          <w:lang w:val="en-US" w:eastAsia="zh-CN"/>
          <w14:textFill>
            <w14:solidFill>
              <w14:schemeClr w14:val="tx1"/>
            </w14:solidFill>
          </w14:textFill>
        </w:rPr>
      </w:pPr>
      <w:r>
        <w:rPr>
          <w:rFonts w:hint="eastAsia" w:ascii="Times New Roman" w:hAnsi="Times New Roman" w:eastAsia="宋体" w:cs="Times New Roman"/>
          <w:color w:val="000000" w:themeColor="text1"/>
          <w:kern w:val="0"/>
          <w:sz w:val="28"/>
          <w:szCs w:val="28"/>
          <w:lang w:val="en-US" w:eastAsia="zh-CN"/>
          <w14:textFill>
            <w14:solidFill>
              <w14:schemeClr w14:val="tx1"/>
            </w14:solidFill>
          </w14:textFill>
        </w:rPr>
        <w:t>2、</w:t>
      </w:r>
      <w:r>
        <w:rPr>
          <w:rFonts w:hint="default" w:ascii="Times New Roman" w:hAnsi="Times New Roman" w:eastAsia="宋体" w:cs="Times New Roman"/>
          <w:color w:val="000000" w:themeColor="text1"/>
          <w:kern w:val="0"/>
          <w:sz w:val="28"/>
          <w:szCs w:val="28"/>
          <w:lang w:val="en-US" w:eastAsia="zh-CN"/>
          <w14:textFill>
            <w14:solidFill>
              <w14:schemeClr w14:val="tx1"/>
            </w14:solidFill>
          </w14:textFill>
        </w:rPr>
        <w:t>生态系统受损现状综合评价</w:t>
      </w:r>
    </w:p>
    <w:p w14:paraId="7A67522E">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t>参照</w:t>
      </w:r>
      <w:r>
        <w:rPr>
          <w:rFonts w:hint="eastAsia" w:cs="Times New Roman"/>
          <w:b w:val="0"/>
          <w:bCs w:val="0"/>
          <w:color w:val="000000" w:themeColor="text1"/>
          <w:kern w:val="0"/>
          <w:sz w:val="28"/>
          <w:szCs w:val="28"/>
          <w:highlight w:val="none"/>
          <w:lang w:val="en-US" w:eastAsia="zh-CN" w:bidi="ar-SA"/>
          <w14:textFill>
            <w14:solidFill>
              <w14:schemeClr w14:val="tx1"/>
            </w14:solidFill>
          </w14:textFill>
        </w:rPr>
        <w:t>《生态环境状况评价技术规范》（HJ 192-2015）</w:t>
      </w:r>
      <w:r>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t>相关规范，矿区现状生态受损与退化问题评价见表3</w:t>
      </w:r>
      <w:r>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noBreakHyphen/>
      </w:r>
      <w:r>
        <w:rPr>
          <w:rFonts w:hint="eastAsia" w:cs="Times New Roman"/>
          <w:b w:val="0"/>
          <w:bCs w:val="0"/>
          <w:color w:val="000000" w:themeColor="text1"/>
          <w:kern w:val="0"/>
          <w:sz w:val="28"/>
          <w:szCs w:val="28"/>
          <w:highlight w:val="none"/>
          <w:lang w:val="en-US" w:eastAsia="zh-CN" w:bidi="ar-SA"/>
          <w14:textFill>
            <w14:solidFill>
              <w14:schemeClr w14:val="tx1"/>
            </w14:solidFill>
          </w14:textFill>
        </w:rPr>
        <w:t>24</w:t>
      </w:r>
      <w:r>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t>。</w:t>
      </w:r>
    </w:p>
    <w:p w14:paraId="63C3F45D">
      <w:pPr>
        <w:keepNext w:val="0"/>
        <w:keepLines w:val="0"/>
        <w:pageBreakBefore w:val="0"/>
        <w:widowControl w:val="0"/>
        <w:kinsoku/>
        <w:wordWrap/>
        <w:overflowPunct/>
        <w:topLinePunct w:val="0"/>
        <w:autoSpaceDE/>
        <w:autoSpaceDN/>
        <w:bidi w:val="0"/>
        <w:adjustRightInd w:val="0"/>
        <w:snapToGrid w:val="0"/>
        <w:spacing w:before="157" w:beforeLines="50" w:line="240" w:lineRule="auto"/>
        <w:jc w:val="center"/>
        <w:textAlignment w:val="auto"/>
        <w:rPr>
          <w:rFonts w:hint="eastAsia" w:ascii="宋体" w:hAnsi="宋体" w:cs="宋体"/>
          <w:b/>
          <w:bCs/>
          <w:snapToGrid w:val="0"/>
          <w:color w:val="000000" w:themeColor="text1"/>
          <w:sz w:val="24"/>
          <w:szCs w:val="24"/>
          <w:lang w:val="en-US" w:eastAsia="zh-CN"/>
          <w14:textFill>
            <w14:solidFill>
              <w14:schemeClr w14:val="tx1"/>
            </w14:solidFill>
          </w14:textFill>
        </w:rPr>
      </w:pPr>
      <w:r>
        <w:rPr>
          <w:rFonts w:hint="eastAsia" w:ascii="宋体" w:hAnsi="宋体" w:cs="宋体"/>
          <w:b/>
          <w:bCs/>
          <w:snapToGrid w:val="0"/>
          <w:color w:val="000000" w:themeColor="text1"/>
          <w:sz w:val="24"/>
          <w:szCs w:val="24"/>
          <w:lang w:val="en-US" w:eastAsia="zh-CN"/>
          <w14:textFill>
            <w14:solidFill>
              <w14:schemeClr w14:val="tx1"/>
            </w14:solidFill>
          </w14:textFill>
        </w:rPr>
        <w:t xml:space="preserve">    </w:t>
      </w:r>
    </w:p>
    <w:p w14:paraId="4D2A9D4A">
      <w:pPr>
        <w:pStyle w:val="5"/>
        <w:bidi w:val="0"/>
        <w:spacing w:line="360" w:lineRule="auto"/>
        <w:ind w:firstLine="562" w:firstLineChars="200"/>
        <w:rPr>
          <w:rFonts w:hint="eastAsia" w:hAnsi="Times New Roman" w:cs="Times New Roman"/>
          <w:b/>
          <w:bCs/>
          <w:color w:val="000000" w:themeColor="text1"/>
          <w:sz w:val="28"/>
          <w:szCs w:val="28"/>
          <w:lang w:val="en-US" w:eastAsia="zh-CN"/>
          <w14:textFill>
            <w14:solidFill>
              <w14:schemeClr w14:val="tx1"/>
            </w14:solidFill>
          </w14:textFill>
        </w:rPr>
      </w:pPr>
      <w:r>
        <w:rPr>
          <w:rFonts w:hint="eastAsia" w:hAnsi="Times New Roman" w:cs="Times New Roman"/>
          <w:b/>
          <w:bCs/>
          <w:color w:val="000000" w:themeColor="text1"/>
          <w:sz w:val="28"/>
          <w:szCs w:val="28"/>
          <w:lang w:val="en-US" w:eastAsia="zh-CN"/>
          <w14:textFill>
            <w14:solidFill>
              <w14:schemeClr w14:val="tx1"/>
            </w14:solidFill>
          </w14:textFill>
        </w:rPr>
        <w:t>三、受损预测</w:t>
      </w:r>
    </w:p>
    <w:p w14:paraId="311D8313">
      <w:pPr>
        <w:widowControl/>
        <w:spacing w:line="360" w:lineRule="auto"/>
        <w:ind w:firstLine="560" w:firstLineChars="200"/>
        <w:outlineLvl w:val="2"/>
        <w:rPr>
          <w:rFonts w:hint="eastAsia" w:cs="Times New Roman"/>
          <w:b w:val="0"/>
          <w:bCs w:val="0"/>
          <w:snapToGrid w:val="0"/>
          <w:color w:val="000000" w:themeColor="text1"/>
          <w:sz w:val="28"/>
          <w:szCs w:val="28"/>
          <w:lang w:eastAsia="zh-CN"/>
          <w14:textFill>
            <w14:solidFill>
              <w14:schemeClr w14:val="tx1"/>
            </w14:solidFill>
          </w14:textFill>
        </w:rPr>
      </w:pPr>
      <w:r>
        <w:rPr>
          <w:rFonts w:hint="eastAsia" w:cs="Times New Roman"/>
          <w:b w:val="0"/>
          <w:bCs w:val="0"/>
          <w:snapToGrid w:val="0"/>
          <w:color w:val="000000" w:themeColor="text1"/>
          <w:sz w:val="28"/>
          <w:szCs w:val="28"/>
          <w:lang w:eastAsia="zh-CN"/>
          <w14:textFill>
            <w14:solidFill>
              <w14:schemeClr w14:val="tx1"/>
            </w14:solidFill>
          </w14:textFill>
        </w:rPr>
        <w:t>（一）生产工艺流程</w:t>
      </w:r>
    </w:p>
    <w:p w14:paraId="5BC563C6">
      <w:pPr>
        <w:widowControl/>
        <w:spacing w:line="360" w:lineRule="auto"/>
        <w:ind w:firstLine="560" w:firstLineChars="200"/>
        <w:rPr>
          <w:rFonts w:hint="eastAsia" w:cs="Times New Roman"/>
          <w:snapToGrid w:val="0"/>
          <w:color w:val="000000" w:themeColor="text1"/>
          <w:sz w:val="28"/>
          <w:szCs w:val="28"/>
          <w:lang w:eastAsia="zh-CN"/>
          <w14:textFill>
            <w14:solidFill>
              <w14:schemeClr w14:val="tx1"/>
            </w14:solidFill>
          </w14:textFill>
        </w:rPr>
      </w:pPr>
      <w:r>
        <w:rPr>
          <w:rFonts w:hint="eastAsia" w:cs="Times New Roman"/>
          <w:snapToGrid w:val="0"/>
          <w:color w:val="000000" w:themeColor="text1"/>
          <w:sz w:val="28"/>
          <w:szCs w:val="28"/>
          <w:lang w:eastAsia="zh-CN"/>
          <w14:textFill>
            <w14:solidFill>
              <w14:schemeClr w14:val="tx1"/>
            </w14:solidFill>
          </w14:textFill>
        </w:rPr>
        <w:t>根据矿山资源条件、开采技术条件，遵循建设规模与资源储量以及经济合理服务年限相匹配等原则，同时兼顾矿山开发的外部条件、产品市场容量等，《开发与治理综合方案》推荐矿山生产规模为6万立方米/年（露天开采）；产品方案为：砖瓦用粘土矿。</w:t>
      </w:r>
    </w:p>
    <w:p w14:paraId="2CBFD35A">
      <w:pPr>
        <w:widowControl/>
        <w:spacing w:line="360" w:lineRule="auto"/>
        <w:ind w:firstLine="560" w:firstLineChars="200"/>
        <w:rPr>
          <w:rFonts w:hint="eastAsia" w:cs="Times New Roman"/>
          <w:b w:val="0"/>
          <w:bCs w:val="0"/>
          <w:snapToGrid w:val="0"/>
          <w:color w:val="000000" w:themeColor="text1"/>
          <w:sz w:val="24"/>
          <w:szCs w:val="24"/>
          <w:lang w:eastAsia="zh-CN"/>
          <w14:textFill>
            <w14:solidFill>
              <w14:schemeClr w14:val="tx1"/>
            </w14:solidFill>
          </w14:textFill>
        </w:rPr>
      </w:pPr>
      <w:r>
        <w:rPr>
          <w:rFonts w:hint="eastAsia" w:cs="Times New Roman"/>
          <w:snapToGrid w:val="0"/>
          <w:color w:val="000000" w:themeColor="text1"/>
          <w:sz w:val="28"/>
          <w:szCs w:val="28"/>
          <w:lang w:eastAsia="zh-CN"/>
          <w14:textFill>
            <w14:solidFill>
              <w14:schemeClr w14:val="tx1"/>
            </w14:solidFill>
          </w14:textFill>
        </w:rPr>
        <w:t>矿山生产工艺流程为：采剥（对表土及风化层进行剥离，破坏土地资源及地形地貌景观）→表土排放（压占土地资源，影响地貌景观协调性）→开挖（露天开采挖损破坏土地资源及地形地貌景观，开采形成边坡可能会产生崩塌等地质灾害）→加工（场地建设压占土地资源，破坏地形地貌景观）。</w:t>
      </w:r>
    </w:p>
    <w:p w14:paraId="3ABC0BB9">
      <w:pPr>
        <w:widowControl/>
        <w:spacing w:line="240" w:lineRule="auto"/>
        <w:jc w:val="center"/>
        <w:rPr>
          <w:rFonts w:hint="eastAsia" w:eastAsia="宋体" w:cs="Times New Roman"/>
          <w:b w:val="0"/>
          <w:bCs w:val="0"/>
          <w:snapToGrid w:val="0"/>
          <w:color w:val="000000" w:themeColor="text1"/>
          <w:sz w:val="24"/>
          <w:szCs w:val="24"/>
          <w:lang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w:t>
      </w:r>
    </w:p>
    <w:p w14:paraId="089CBEDC">
      <w:pPr>
        <w:widowControl/>
        <w:spacing w:line="360" w:lineRule="auto"/>
        <w:jc w:val="center"/>
        <w:rPr>
          <w:rFonts w:hint="eastAsia" w:cs="Times New Roman"/>
          <w:b w:val="0"/>
          <w:bCs w:val="0"/>
          <w:snapToGrid w:val="0"/>
          <w:color w:val="000000" w:themeColor="text1"/>
          <w:sz w:val="24"/>
          <w:szCs w:val="24"/>
          <w:lang w:eastAsia="zh-CN"/>
          <w14:textFill>
            <w14:solidFill>
              <w14:schemeClr w14:val="tx1"/>
            </w14:solidFill>
          </w14:textFill>
        </w:rPr>
      </w:pPr>
      <w:r>
        <w:rPr>
          <w:rFonts w:hint="default" w:ascii="Times New Roman" w:hAnsi="Times New Roman" w:eastAsia="黑体" w:cs="Times New Roman"/>
          <w:b w:val="0"/>
          <w:bCs/>
          <w:color w:val="000000" w:themeColor="text1"/>
          <w:sz w:val="24"/>
          <w:szCs w:val="24"/>
          <w:highlight w:val="none"/>
          <w:lang w:val="en-US" w:eastAsia="zh-CN"/>
          <w14:textFill>
            <w14:solidFill>
              <w14:schemeClr w14:val="tx1"/>
            </w14:solidFill>
          </w14:textFill>
        </w:rPr>
        <w:t>图3-</w:t>
      </w:r>
      <w:r>
        <w:rPr>
          <w:rFonts w:hint="eastAsia" w:eastAsia="黑体" w:cs="Times New Roman"/>
          <w:b w:val="0"/>
          <w:bCs/>
          <w:color w:val="000000" w:themeColor="text1"/>
          <w:sz w:val="24"/>
          <w:szCs w:val="24"/>
          <w:highlight w:val="none"/>
          <w:lang w:val="en-US" w:eastAsia="zh-CN"/>
          <w14:textFill>
            <w14:solidFill>
              <w14:schemeClr w14:val="tx1"/>
            </w14:solidFill>
          </w14:textFill>
        </w:rPr>
        <w:t>2</w:t>
      </w:r>
      <w:r>
        <w:rPr>
          <w:rFonts w:hint="default" w:ascii="Times New Roman" w:hAnsi="Times New Roman" w:eastAsia="黑体" w:cs="Times New Roman"/>
          <w:b w:val="0"/>
          <w:bCs/>
          <w:color w:val="000000" w:themeColor="text1"/>
          <w:sz w:val="24"/>
          <w:szCs w:val="24"/>
          <w:highlight w:val="none"/>
          <w:lang w:val="en-US" w:eastAsia="zh-CN"/>
          <w14:textFill>
            <w14:solidFill>
              <w14:schemeClr w14:val="tx1"/>
            </w14:solidFill>
          </w14:textFill>
        </w:rPr>
        <w:t xml:space="preserve">  生产工艺流程示意图</w:t>
      </w:r>
    </w:p>
    <w:p w14:paraId="61F0018D">
      <w:pPr>
        <w:widowControl/>
        <w:spacing w:line="360" w:lineRule="auto"/>
        <w:ind w:firstLine="560" w:firstLineChars="200"/>
        <w:outlineLvl w:val="2"/>
        <w:rPr>
          <w:rFonts w:hint="default" w:ascii="Times New Roman" w:hAnsi="Times New Roman" w:eastAsia="宋体" w:cs="Times New Roman"/>
          <w:b w:val="0"/>
          <w:bCs w:val="0"/>
          <w:snapToGrid w:val="0"/>
          <w:color w:val="000000" w:themeColor="text1"/>
          <w:sz w:val="28"/>
          <w:szCs w:val="28"/>
          <w:lang w:eastAsia="zh-CN"/>
          <w14:textFill>
            <w14:solidFill>
              <w14:schemeClr w14:val="tx1"/>
            </w14:solidFill>
          </w14:textFill>
        </w:rPr>
      </w:pPr>
      <w:r>
        <w:rPr>
          <w:rFonts w:hint="default" w:ascii="Times New Roman" w:hAnsi="Times New Roman" w:eastAsia="宋体" w:cs="Times New Roman"/>
          <w:b w:val="0"/>
          <w:bCs w:val="0"/>
          <w:snapToGrid w:val="0"/>
          <w:color w:val="000000" w:themeColor="text1"/>
          <w:sz w:val="28"/>
          <w:szCs w:val="28"/>
          <w:lang w:eastAsia="zh-CN"/>
          <w14:textFill>
            <w14:solidFill>
              <w14:schemeClr w14:val="tx1"/>
            </w14:solidFill>
          </w14:textFill>
        </w:rPr>
        <w:t>（二）矿山地质环境受损预测</w:t>
      </w:r>
    </w:p>
    <w:p w14:paraId="6A706058">
      <w:pPr>
        <w:widowControl/>
        <w:spacing w:line="360" w:lineRule="auto"/>
        <w:ind w:firstLine="560" w:firstLineChars="200"/>
        <w:outlineLvl w:val="3"/>
        <w:rPr>
          <w:rFonts w:hint="default" w:ascii="Times New Roman" w:hAnsi="Times New Roman" w:eastAsia="宋体" w:cs="Times New Roman"/>
          <w:snapToGrid w:val="0"/>
          <w:color w:val="000000" w:themeColor="text1"/>
          <w:sz w:val="28"/>
          <w:szCs w:val="28"/>
          <w:lang w:eastAsia="zh-CN"/>
          <w14:textFill>
            <w14:solidFill>
              <w14:schemeClr w14:val="tx1"/>
            </w14:solidFill>
          </w14:textFill>
        </w:rPr>
      </w:pPr>
      <w:r>
        <w:rPr>
          <w:rFonts w:hint="default" w:ascii="Times New Roman" w:hAnsi="Times New Roman" w:eastAsia="宋体" w:cs="Times New Roman"/>
          <w:snapToGrid w:val="0"/>
          <w:color w:val="000000" w:themeColor="text1"/>
          <w:sz w:val="28"/>
          <w:szCs w:val="28"/>
          <w:lang w:eastAsia="zh-CN"/>
          <w14:textFill>
            <w14:solidFill>
              <w14:schemeClr w14:val="tx1"/>
            </w14:solidFill>
          </w14:textFill>
        </w:rPr>
        <w:t>1、不稳定地质体预测</w:t>
      </w:r>
    </w:p>
    <w:p w14:paraId="39454EE1">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根据</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《开发与治理综合方案》</w:t>
      </w:r>
      <w:r>
        <w:rPr>
          <w:rFonts w:hint="default" w:ascii="Times New Roman" w:hAnsi="Times New Roman" w:eastAsia="宋体" w:cs="Times New Roman"/>
          <w:color w:val="000000" w:themeColor="text1"/>
          <w:sz w:val="28"/>
          <w:szCs w:val="28"/>
          <w14:textFill>
            <w14:solidFill>
              <w14:schemeClr w14:val="tx1"/>
            </w14:solidFill>
          </w14:textFill>
        </w:rPr>
        <w:t>，矿山</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属已建矿山，</w:t>
      </w:r>
      <w:r>
        <w:rPr>
          <w:rFonts w:hint="default" w:ascii="Times New Roman" w:hAnsi="Times New Roman" w:eastAsia="宋体" w:cs="Times New Roman"/>
          <w:color w:val="000000" w:themeColor="text1"/>
          <w:sz w:val="28"/>
          <w:szCs w:val="28"/>
          <w14:textFill>
            <w14:solidFill>
              <w14:schemeClr w14:val="tx1"/>
            </w14:solidFill>
          </w14:textFill>
        </w:rPr>
        <w:t>已完成基建工程，现有生产设施</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及工程场地</w:t>
      </w:r>
      <w:r>
        <w:rPr>
          <w:rFonts w:hint="default" w:ascii="Times New Roman" w:hAnsi="Times New Roman" w:eastAsia="宋体" w:cs="Times New Roman"/>
          <w:color w:val="000000" w:themeColor="text1"/>
          <w:sz w:val="28"/>
          <w:szCs w:val="28"/>
          <w14:textFill>
            <w14:solidFill>
              <w14:schemeClr w14:val="tx1"/>
            </w14:solidFill>
          </w14:textFill>
        </w:rPr>
        <w:t>在后续开采期内将持续</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利用</w:t>
      </w:r>
      <w:r>
        <w:rPr>
          <w:rFonts w:hint="default" w:ascii="Times New Roman" w:hAnsi="Times New Roman" w:eastAsia="宋体" w:cs="Times New Roman"/>
          <w:color w:val="000000" w:themeColor="text1"/>
          <w:sz w:val="28"/>
          <w:szCs w:val="28"/>
          <w14:textFill>
            <w14:solidFill>
              <w14:schemeClr w14:val="tx1"/>
            </w14:solidFill>
          </w14:textFill>
        </w:rPr>
        <w:t>，且场地规模不再扩大。矿山生产活动可能引发的地质灾害与安全隐患主要</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为：露天采场</w:t>
      </w:r>
      <w:r>
        <w:rPr>
          <w:rFonts w:hint="default" w:ascii="Times New Roman" w:hAnsi="Times New Roman" w:eastAsia="宋体" w:cs="Times New Roman"/>
          <w:color w:val="000000" w:themeColor="text1"/>
          <w:sz w:val="28"/>
          <w:szCs w:val="28"/>
          <w14:textFill>
            <w14:solidFill>
              <w14:schemeClr w14:val="tx1"/>
            </w14:solidFill>
          </w14:textFill>
        </w:rPr>
        <w:t>不稳定边坡</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及表土存放场、料堆</w:t>
      </w:r>
      <w:r>
        <w:rPr>
          <w:rFonts w:hint="default" w:ascii="Times New Roman" w:hAnsi="Times New Roman" w:eastAsia="宋体" w:cs="Times New Roman"/>
          <w:color w:val="000000" w:themeColor="text1"/>
          <w:sz w:val="28"/>
          <w:szCs w:val="28"/>
          <w14:textFill>
            <w14:solidFill>
              <w14:schemeClr w14:val="tx1"/>
            </w14:solidFill>
          </w14:textFill>
        </w:rPr>
        <w:t>可能引发的</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崩塌、</w:t>
      </w:r>
      <w:r>
        <w:rPr>
          <w:rFonts w:hint="default" w:ascii="Times New Roman" w:hAnsi="Times New Roman" w:eastAsia="宋体" w:cs="Times New Roman"/>
          <w:color w:val="000000" w:themeColor="text1"/>
          <w:sz w:val="28"/>
          <w:szCs w:val="28"/>
          <w14:textFill>
            <w14:solidFill>
              <w14:schemeClr w14:val="tx1"/>
            </w14:solidFill>
          </w14:textFill>
        </w:rPr>
        <w:t>滑坡</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灾害</w:t>
      </w:r>
      <w:r>
        <w:rPr>
          <w:rFonts w:hint="default" w:ascii="Times New Roman" w:hAnsi="Times New Roman"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其详细</w:t>
      </w:r>
      <w:r>
        <w:rPr>
          <w:rFonts w:hint="default" w:ascii="Times New Roman" w:hAnsi="Times New Roman" w:eastAsia="宋体" w:cs="Times New Roman"/>
          <w:color w:val="000000" w:themeColor="text1"/>
          <w:sz w:val="28"/>
          <w:szCs w:val="28"/>
          <w14:textFill>
            <w14:solidFill>
              <w14:schemeClr w14:val="tx1"/>
            </w14:solidFill>
          </w14:textFill>
        </w:rPr>
        <w:t>分析如下：</w:t>
      </w:r>
    </w:p>
    <w:p w14:paraId="07C97586">
      <w:pPr>
        <w:adjustRightInd w:val="0"/>
        <w:snapToGrid w:val="0"/>
        <w:spacing w:line="360" w:lineRule="auto"/>
        <w:ind w:firstLine="560" w:firstLineChars="200"/>
        <w:rPr>
          <w:rFonts w:hint="default" w:ascii="Times New Roman" w:hAnsi="Times New Roman" w:eastAsia="宋体" w:cs="Times New Roman"/>
          <w:snapToGrid w:val="0"/>
          <w:color w:val="000000" w:themeColor="text1"/>
          <w:sz w:val="28"/>
          <w:szCs w:val="28"/>
          <w:highlight w:val="none"/>
          <w14:textFill>
            <w14:solidFill>
              <w14:schemeClr w14:val="tx1"/>
            </w14:solidFill>
          </w14:textFill>
        </w:rPr>
      </w:pPr>
      <w:r>
        <w:rPr>
          <w:rFonts w:hint="eastAsia" w:ascii="Times New Roman" w:hAnsi="Times New Roman" w:eastAsia="宋体" w:cs="Times New Roman"/>
          <w:snapToGrid w:val="0"/>
          <w:color w:val="000000" w:themeColor="text1"/>
          <w:sz w:val="28"/>
          <w:szCs w:val="28"/>
          <w:highlight w:val="none"/>
          <w:lang w:val="en-US" w:eastAsia="zh-CN"/>
          <w14:textFill>
            <w14:solidFill>
              <w14:schemeClr w14:val="tx1"/>
            </w14:solidFill>
          </w14:textFill>
        </w:rPr>
        <w:t>（1）</w:t>
      </w:r>
      <w:r>
        <w:rPr>
          <w:rFonts w:hint="default" w:ascii="Times New Roman" w:hAnsi="Times New Roman" w:eastAsia="宋体" w:cs="Times New Roman"/>
          <w:snapToGrid w:val="0"/>
          <w:color w:val="000000" w:themeColor="text1"/>
          <w:sz w:val="28"/>
          <w:szCs w:val="28"/>
          <w:highlight w:val="none"/>
          <w:lang w:val="en-US" w:eastAsia="zh-CN"/>
          <w14:textFill>
            <w14:solidFill>
              <w14:schemeClr w14:val="tx1"/>
            </w14:solidFill>
          </w14:textFill>
        </w:rPr>
        <w:t>露天采场</w:t>
      </w:r>
      <w:r>
        <w:rPr>
          <w:rFonts w:hint="default" w:ascii="Times New Roman" w:hAnsi="Times New Roman" w:eastAsia="宋体" w:cs="Times New Roman"/>
          <w:snapToGrid w:val="0"/>
          <w:color w:val="000000" w:themeColor="text1"/>
          <w:sz w:val="28"/>
          <w:szCs w:val="28"/>
          <w:highlight w:val="none"/>
          <w14:textFill>
            <w14:solidFill>
              <w14:schemeClr w14:val="tx1"/>
            </w14:solidFill>
          </w14:textFill>
        </w:rPr>
        <w:t>不稳定边坡</w:t>
      </w:r>
    </w:p>
    <w:p w14:paraId="438179B8">
      <w:pPr>
        <w:adjustRightInd w:val="0"/>
        <w:snapToGrid w:val="0"/>
        <w:spacing w:line="360" w:lineRule="auto"/>
        <w:ind w:firstLine="560" w:firstLineChars="200"/>
        <w:rPr>
          <w:rFonts w:hint="default" w:ascii="Times New Roman" w:hAnsi="Times New Roman" w:eastAsia="宋体" w:cs="Times New Roman"/>
          <w:snapToGrid w:val="0"/>
          <w:color w:val="000000" w:themeColor="text1"/>
          <w:sz w:val="28"/>
          <w:szCs w:val="28"/>
          <w:highlight w:val="none"/>
          <w14:textFill>
            <w14:solidFill>
              <w14:schemeClr w14:val="tx1"/>
            </w14:solidFill>
          </w14:textFill>
        </w:rPr>
      </w:pPr>
      <w:r>
        <w:rPr>
          <w:rFonts w:hint="default" w:ascii="Times New Roman" w:hAnsi="Times New Roman" w:eastAsia="宋体" w:cs="Times New Roman"/>
          <w:snapToGrid w:val="0"/>
          <w:color w:val="000000" w:themeColor="text1"/>
          <w:sz w:val="28"/>
          <w:szCs w:val="28"/>
          <w:highlight w:val="none"/>
          <w14:textFill>
            <w14:solidFill>
              <w14:schemeClr w14:val="tx1"/>
            </w14:solidFill>
          </w14:textFill>
        </w:rPr>
        <w:t>矿区内的不稳定边坡主要</w:t>
      </w:r>
      <w:r>
        <w:rPr>
          <w:rFonts w:hint="default" w:ascii="Times New Roman" w:hAnsi="Times New Roman" w:eastAsia="宋体" w:cs="Times New Roman"/>
          <w:snapToGrid w:val="0"/>
          <w:color w:val="000000" w:themeColor="text1"/>
          <w:sz w:val="28"/>
          <w:szCs w:val="28"/>
          <w:highlight w:val="none"/>
          <w:lang w:val="en-US" w:eastAsia="zh-CN"/>
          <w14:textFill>
            <w14:solidFill>
              <w14:schemeClr w14:val="tx1"/>
            </w14:solidFill>
          </w14:textFill>
        </w:rPr>
        <w:t>为</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露天采场边坡，</w:t>
      </w:r>
      <w:r>
        <w:rPr>
          <w:rFonts w:hint="default" w:ascii="Times New Roman" w:hAnsi="Times New Roman" w:eastAsia="宋体" w:cs="Times New Roman"/>
          <w:snapToGrid w:val="0"/>
          <w:color w:val="000000" w:themeColor="text1"/>
          <w:sz w:val="28"/>
          <w:szCs w:val="28"/>
          <w:highlight w:val="none"/>
          <w14:textFill>
            <w14:solidFill>
              <w14:schemeClr w14:val="tx1"/>
            </w14:solidFill>
          </w14:textFill>
        </w:rPr>
        <w:t>现状</w:t>
      </w:r>
      <w:r>
        <w:rPr>
          <w:rFonts w:hint="default" w:ascii="Times New Roman" w:hAnsi="Times New Roman" w:eastAsia="宋体" w:cs="Times New Roman"/>
          <w:snapToGrid w:val="0"/>
          <w:color w:val="000000" w:themeColor="text1"/>
          <w:sz w:val="28"/>
          <w:szCs w:val="28"/>
          <w:highlight w:val="none"/>
          <w:lang w:val="en-US" w:eastAsia="zh-CN"/>
          <w14:textFill>
            <w14:solidFill>
              <w14:schemeClr w14:val="tx1"/>
            </w14:solidFill>
          </w14:textFill>
        </w:rPr>
        <w:t>矿山前期开采已形成2个露天采场</w:t>
      </w:r>
      <w:r>
        <w:rPr>
          <w:rFonts w:hint="default" w:ascii="Times New Roman" w:hAnsi="Times New Roman" w:eastAsia="宋体" w:cs="Times New Roman"/>
          <w:snapToGrid w:val="0"/>
          <w:color w:val="000000" w:themeColor="text1"/>
          <w:sz w:val="28"/>
          <w:szCs w:val="28"/>
          <w:highlight w:val="none"/>
          <w14:textFill>
            <w14:solidFill>
              <w14:schemeClr w14:val="tx1"/>
            </w14:solidFill>
          </w14:textFill>
        </w:rPr>
        <w:t>，</w:t>
      </w:r>
      <w:r>
        <w:rPr>
          <w:rFonts w:hint="default" w:ascii="Times New Roman" w:hAnsi="Times New Roman" w:eastAsia="宋体" w:cs="Times New Roman"/>
          <w:snapToGrid w:val="0"/>
          <w:color w:val="000000" w:themeColor="text1"/>
          <w:sz w:val="28"/>
          <w:szCs w:val="28"/>
          <w:highlight w:val="none"/>
          <w:lang w:val="en-US" w:eastAsia="zh-CN"/>
          <w14:textFill>
            <w14:solidFill>
              <w14:schemeClr w14:val="tx1"/>
            </w14:solidFill>
          </w14:textFill>
        </w:rPr>
        <w:t>编号分别为露天采场1、露天采场2，露天采场1</w:t>
      </w:r>
      <w:r>
        <w:rPr>
          <w:rFonts w:hint="default" w:ascii="Times New Roman" w:hAnsi="Times New Roman" w:eastAsia="宋体" w:cs="Times New Roman"/>
          <w:iCs/>
          <w:color w:val="000000" w:themeColor="text1"/>
          <w:sz w:val="28"/>
          <w:szCs w:val="21"/>
          <w:highlight w:val="none"/>
          <w14:textFill>
            <w14:solidFill>
              <w14:schemeClr w14:val="tx1"/>
            </w14:solidFill>
          </w14:textFill>
        </w:rPr>
        <w:t>边坡高度</w:t>
      </w:r>
      <w:r>
        <w:rPr>
          <w:rFonts w:hint="default" w:ascii="Times New Roman" w:hAnsi="Times New Roman" w:eastAsia="宋体" w:cs="Times New Roman"/>
          <w:iCs/>
          <w:color w:val="000000" w:themeColor="text1"/>
          <w:sz w:val="28"/>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8"/>
          <w:szCs w:val="21"/>
          <w:highlight w:val="none"/>
          <w14:textFill>
            <w14:solidFill>
              <w14:schemeClr w14:val="tx1"/>
            </w14:solidFill>
          </w14:textFill>
        </w:rPr>
        <w:t>～</w:t>
      </w:r>
      <w:r>
        <w:rPr>
          <w:rFonts w:hint="default" w:ascii="Times New Roman" w:hAnsi="Times New Roman" w:eastAsia="宋体" w:cs="Times New Roman"/>
          <w:iCs/>
          <w:color w:val="000000" w:themeColor="text1"/>
          <w:sz w:val="28"/>
          <w:szCs w:val="21"/>
          <w:highlight w:val="none"/>
          <w:lang w:val="en-US" w:eastAsia="zh-CN"/>
          <w14:textFill>
            <w14:solidFill>
              <w14:schemeClr w14:val="tx1"/>
            </w14:solidFill>
          </w14:textFill>
        </w:rPr>
        <w:t>10</w:t>
      </w:r>
      <w:r>
        <w:rPr>
          <w:rFonts w:hint="default" w:ascii="Times New Roman" w:hAnsi="Times New Roman" w:eastAsia="宋体" w:cs="Times New Roman"/>
          <w:iCs/>
          <w:color w:val="000000" w:themeColor="text1"/>
          <w:sz w:val="28"/>
          <w:szCs w:val="21"/>
          <w:highlight w:val="none"/>
          <w14:textFill>
            <w14:solidFill>
              <w14:schemeClr w14:val="tx1"/>
            </w14:solidFill>
          </w14:textFill>
        </w:rPr>
        <w:t>m，</w:t>
      </w:r>
      <w:r>
        <w:rPr>
          <w:rFonts w:hint="default" w:ascii="Times New Roman" w:hAnsi="Times New Roman" w:eastAsia="宋体" w:cs="Times New Roman"/>
          <w:bCs/>
          <w:color w:val="000000" w:themeColor="text1"/>
          <w:sz w:val="28"/>
          <w:szCs w:val="21"/>
          <w:highlight w:val="none"/>
          <w14:textFill>
            <w14:solidFill>
              <w14:schemeClr w14:val="tx1"/>
            </w14:solidFill>
          </w14:textFill>
        </w:rPr>
        <w:t>采场边坡角为</w:t>
      </w:r>
      <w:r>
        <w:rPr>
          <w:rFonts w:hint="default" w:ascii="Times New Roman" w:hAnsi="Times New Roman" w:eastAsia="宋体" w:cs="Times New Roman"/>
          <w:bCs/>
          <w:color w:val="000000" w:themeColor="text1"/>
          <w:sz w:val="28"/>
          <w:szCs w:val="21"/>
          <w:highlight w:val="none"/>
          <w:lang w:val="en-US" w:eastAsia="zh-CN"/>
          <w14:textFill>
            <w14:solidFill>
              <w14:schemeClr w14:val="tx1"/>
            </w14:solidFill>
          </w14:textFill>
        </w:rPr>
        <w:t>30</w:t>
      </w:r>
      <w:r>
        <w:rPr>
          <w:rFonts w:hint="default" w:ascii="Times New Roman" w:hAnsi="Times New Roman" w:eastAsia="宋体" w:cs="Times New Roman"/>
          <w:bCs/>
          <w:color w:val="000000" w:themeColor="text1"/>
          <w:sz w:val="28"/>
          <w:szCs w:val="21"/>
          <w:highlight w:val="none"/>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w:t>
      </w:r>
      <w:r>
        <w:rPr>
          <w:rFonts w:hint="default" w:ascii="Times New Roman" w:hAnsi="Times New Roman" w:eastAsia="宋体" w:cs="Times New Roman"/>
          <w:bCs/>
          <w:color w:val="000000" w:themeColor="text1"/>
          <w:sz w:val="28"/>
          <w:szCs w:val="21"/>
          <w:highlight w:val="none"/>
          <w:lang w:val="en-US" w:eastAsia="zh-CN"/>
          <w14:textFill>
            <w14:solidFill>
              <w14:schemeClr w14:val="tx1"/>
            </w14:solidFill>
          </w14:textFill>
        </w:rPr>
        <w:t>70</w:t>
      </w:r>
      <w:r>
        <w:rPr>
          <w:rFonts w:hint="default" w:ascii="Times New Roman" w:hAnsi="Times New Roman" w:eastAsia="宋体" w:cs="Times New Roman"/>
          <w:bCs/>
          <w:color w:val="000000" w:themeColor="text1"/>
          <w:sz w:val="28"/>
          <w:szCs w:val="21"/>
          <w:highlight w:val="none"/>
          <w14:textFill>
            <w14:solidFill>
              <w14:schemeClr w14:val="tx1"/>
            </w14:solidFill>
          </w14:textFill>
        </w:rPr>
        <w:t>°</w:t>
      </w:r>
      <w:r>
        <w:rPr>
          <w:rFonts w:hint="default" w:ascii="Times New Roman" w:hAnsi="Times New Roman" w:eastAsia="宋体" w:cs="Times New Roman"/>
          <w:bCs/>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snapToGrid w:val="0"/>
          <w:color w:val="000000" w:themeColor="text1"/>
          <w:sz w:val="28"/>
          <w:szCs w:val="28"/>
          <w:highlight w:val="none"/>
          <w:lang w:val="en-US" w:eastAsia="zh-CN"/>
          <w14:textFill>
            <w14:solidFill>
              <w14:schemeClr w14:val="tx1"/>
            </w14:solidFill>
          </w14:textFill>
        </w:rPr>
        <w:t>露天采场2</w:t>
      </w:r>
      <w:r>
        <w:rPr>
          <w:rFonts w:hint="default" w:ascii="Times New Roman" w:hAnsi="Times New Roman" w:eastAsia="宋体" w:cs="Times New Roman"/>
          <w:iCs/>
          <w:color w:val="000000" w:themeColor="text1"/>
          <w:sz w:val="28"/>
          <w:szCs w:val="21"/>
          <w:highlight w:val="none"/>
          <w14:textFill>
            <w14:solidFill>
              <w14:schemeClr w14:val="tx1"/>
            </w14:solidFill>
          </w14:textFill>
        </w:rPr>
        <w:t>边坡高度</w:t>
      </w:r>
      <w:r>
        <w:rPr>
          <w:rFonts w:hint="default" w:ascii="Times New Roman" w:hAnsi="Times New Roman" w:eastAsia="宋体" w:cs="Times New Roman"/>
          <w:iCs/>
          <w:color w:val="000000" w:themeColor="text1"/>
          <w:sz w:val="28"/>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8"/>
          <w:szCs w:val="21"/>
          <w:highlight w:val="none"/>
          <w14:textFill>
            <w14:solidFill>
              <w14:schemeClr w14:val="tx1"/>
            </w14:solidFill>
          </w14:textFill>
        </w:rPr>
        <w:t>～</w:t>
      </w:r>
      <w:r>
        <w:rPr>
          <w:rFonts w:hint="default" w:ascii="Times New Roman" w:hAnsi="Times New Roman" w:eastAsia="宋体" w:cs="Times New Roman"/>
          <w:iCs/>
          <w:color w:val="000000" w:themeColor="text1"/>
          <w:sz w:val="28"/>
          <w:szCs w:val="21"/>
          <w:highlight w:val="none"/>
          <w:lang w:val="en-US" w:eastAsia="zh-CN"/>
          <w14:textFill>
            <w14:solidFill>
              <w14:schemeClr w14:val="tx1"/>
            </w14:solidFill>
          </w14:textFill>
        </w:rPr>
        <w:t>6</w:t>
      </w:r>
      <w:r>
        <w:rPr>
          <w:rFonts w:hint="default" w:ascii="Times New Roman" w:hAnsi="Times New Roman" w:eastAsia="宋体" w:cs="Times New Roman"/>
          <w:iCs/>
          <w:color w:val="000000" w:themeColor="text1"/>
          <w:sz w:val="28"/>
          <w:szCs w:val="21"/>
          <w:highlight w:val="none"/>
          <w14:textFill>
            <w14:solidFill>
              <w14:schemeClr w14:val="tx1"/>
            </w14:solidFill>
          </w14:textFill>
        </w:rPr>
        <w:t>m，</w:t>
      </w:r>
      <w:r>
        <w:rPr>
          <w:rFonts w:hint="default" w:ascii="Times New Roman" w:hAnsi="Times New Roman" w:eastAsia="宋体" w:cs="Times New Roman"/>
          <w:bCs/>
          <w:color w:val="000000" w:themeColor="text1"/>
          <w:sz w:val="28"/>
          <w:szCs w:val="21"/>
          <w:highlight w:val="none"/>
          <w14:textFill>
            <w14:solidFill>
              <w14:schemeClr w14:val="tx1"/>
            </w14:solidFill>
          </w14:textFill>
        </w:rPr>
        <w:t>采场边坡角为</w:t>
      </w:r>
      <w:r>
        <w:rPr>
          <w:rFonts w:hint="default" w:ascii="Times New Roman" w:hAnsi="Times New Roman" w:eastAsia="宋体" w:cs="Times New Roman"/>
          <w:bCs/>
          <w:color w:val="000000" w:themeColor="text1"/>
          <w:sz w:val="28"/>
          <w:szCs w:val="21"/>
          <w:highlight w:val="none"/>
          <w:lang w:val="en-US" w:eastAsia="zh-CN"/>
          <w14:textFill>
            <w14:solidFill>
              <w14:schemeClr w14:val="tx1"/>
            </w14:solidFill>
          </w14:textFill>
        </w:rPr>
        <w:t>20</w:t>
      </w:r>
      <w:r>
        <w:rPr>
          <w:rFonts w:hint="default" w:ascii="Times New Roman" w:hAnsi="Times New Roman" w:eastAsia="宋体" w:cs="Times New Roman"/>
          <w:bCs/>
          <w:color w:val="000000" w:themeColor="text1"/>
          <w:sz w:val="28"/>
          <w:szCs w:val="21"/>
          <w:highlight w:val="none"/>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w:t>
      </w:r>
      <w:r>
        <w:rPr>
          <w:rFonts w:hint="default" w:ascii="Times New Roman" w:hAnsi="Times New Roman" w:eastAsia="宋体" w:cs="Times New Roman"/>
          <w:bCs/>
          <w:color w:val="000000" w:themeColor="text1"/>
          <w:sz w:val="28"/>
          <w:szCs w:val="21"/>
          <w:highlight w:val="none"/>
          <w14:textFill>
            <w14:solidFill>
              <w14:schemeClr w14:val="tx1"/>
            </w14:solidFill>
          </w14:textFill>
        </w:rPr>
        <w:t>65°</w:t>
      </w:r>
      <w:r>
        <w:rPr>
          <w:rFonts w:hint="default" w:ascii="Times New Roman" w:hAnsi="Times New Roman" w:eastAsia="宋体" w:cs="Times New Roman"/>
          <w:bCs/>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snapToGrid w:val="0"/>
          <w:color w:val="000000" w:themeColor="text1"/>
          <w:sz w:val="28"/>
          <w:szCs w:val="28"/>
          <w:highlight w:val="none"/>
          <w:lang w:val="en-US" w:eastAsia="zh-CN"/>
          <w14:textFill>
            <w14:solidFill>
              <w14:schemeClr w14:val="tx1"/>
            </w14:solidFill>
          </w14:textFill>
        </w:rPr>
        <w:t>现状条件下两个露天采场边坡处于基本稳定状态，但露天采场1中存在高达70°的边坡段，远超粘土矿土体的自然安息角，在干燥状态下已接近临界，遇水极易发生崩塌或滑坡。露天采场2坡角变化剧烈，同一坡面20°至65°的突变形成了力学上的薄弱带，为滑坡提供了边界。两采场普遍存在坡面无台阶、坡脚无支护的“一坡到顶”式开采形态，导致边坡整体缺乏支撑，且为雨水汇集下渗创造了条件，持续软化土体。结合砖厂粘土遇水软化的特性，边坡易存在崩塌、滑坡地质灾害。但边坡高度相对较低，预测评估其</w:t>
      </w:r>
      <w:r>
        <w:rPr>
          <w:rFonts w:hint="default" w:ascii="Times New Roman" w:hAnsi="Times New Roman" w:eastAsia="宋体" w:cs="Times New Roman"/>
          <w:snapToGrid w:val="0"/>
          <w:color w:val="000000" w:themeColor="text1"/>
          <w:sz w:val="28"/>
          <w:szCs w:val="28"/>
          <w:highlight w:val="none"/>
          <w14:textFill>
            <w14:solidFill>
              <w14:schemeClr w14:val="tx1"/>
            </w14:solidFill>
          </w14:textFill>
        </w:rPr>
        <w:t>危害程度</w:t>
      </w:r>
      <w:r>
        <w:rPr>
          <w:rFonts w:hint="default" w:ascii="Times New Roman" w:hAnsi="Times New Roman" w:eastAsia="宋体" w:cs="Times New Roman"/>
          <w:snapToGrid w:val="0"/>
          <w:color w:val="000000" w:themeColor="text1"/>
          <w:sz w:val="28"/>
          <w:szCs w:val="28"/>
          <w:highlight w:val="none"/>
          <w:lang w:val="en-US" w:eastAsia="zh-CN"/>
          <w14:textFill>
            <w14:solidFill>
              <w14:schemeClr w14:val="tx1"/>
            </w14:solidFill>
          </w14:textFill>
        </w:rPr>
        <w:t>较严重</w:t>
      </w:r>
      <w:r>
        <w:rPr>
          <w:rFonts w:hint="default" w:ascii="Times New Roman" w:hAnsi="Times New Roman" w:eastAsia="宋体" w:cs="Times New Roman"/>
          <w:snapToGrid w:val="0"/>
          <w:color w:val="000000" w:themeColor="text1"/>
          <w:sz w:val="28"/>
          <w:szCs w:val="28"/>
          <w:highlight w:val="none"/>
          <w14:textFill>
            <w14:solidFill>
              <w14:schemeClr w14:val="tx1"/>
            </w14:solidFill>
          </w14:textFill>
        </w:rPr>
        <w:t>，危险性</w:t>
      </w:r>
      <w:r>
        <w:rPr>
          <w:rFonts w:hint="default" w:ascii="Times New Roman" w:hAnsi="Times New Roman" w:eastAsia="宋体" w:cs="Times New Roman"/>
          <w:snapToGrid w:val="0"/>
          <w:color w:val="000000" w:themeColor="text1"/>
          <w:sz w:val="28"/>
          <w:szCs w:val="28"/>
          <w:highlight w:val="none"/>
          <w:lang w:val="en-US" w:eastAsia="zh-CN"/>
          <w14:textFill>
            <w14:solidFill>
              <w14:schemeClr w14:val="tx1"/>
            </w14:solidFill>
          </w14:textFill>
        </w:rPr>
        <w:t>中等。</w:t>
      </w:r>
    </w:p>
    <w:p w14:paraId="12168101">
      <w:pPr>
        <w:adjustRightInd w:val="0"/>
        <w:snapToGrid w:val="0"/>
        <w:spacing w:line="360" w:lineRule="auto"/>
        <w:ind w:firstLine="560" w:firstLineChars="200"/>
        <w:rPr>
          <w:rFonts w:hint="default" w:ascii="Times New Roman" w:hAnsi="Times New Roman" w:eastAsia="宋体" w:cs="Times New Roman"/>
          <w:snapToGrid w:val="0"/>
          <w:color w:val="000000" w:themeColor="text1"/>
          <w:sz w:val="28"/>
          <w:szCs w:val="28"/>
          <w:highlight w:val="none"/>
          <w:lang w:val="en-US"/>
          <w14:textFill>
            <w14:solidFill>
              <w14:schemeClr w14:val="tx1"/>
            </w14:solidFill>
          </w14:textFill>
        </w:rPr>
      </w:pPr>
      <w:r>
        <w:rPr>
          <w:rFonts w:hint="eastAsia" w:ascii="Times New Roman" w:hAnsi="Times New Roman" w:eastAsia="宋体" w:cs="Times New Roman"/>
          <w:snapToGrid w:val="0"/>
          <w:color w:val="000000" w:themeColor="text1"/>
          <w:sz w:val="28"/>
          <w:szCs w:val="28"/>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表土存放场、料堆</w:t>
      </w:r>
      <w:r>
        <w:rPr>
          <w:rFonts w:hint="default" w:ascii="Times New Roman" w:hAnsi="Times New Roman" w:eastAsia="宋体" w:cs="Times New Roman"/>
          <w:snapToGrid w:val="0"/>
          <w:color w:val="000000" w:themeColor="text1"/>
          <w:sz w:val="28"/>
          <w:szCs w:val="28"/>
          <w:highlight w:val="none"/>
          <w14:textFill>
            <w14:solidFill>
              <w14:schemeClr w14:val="tx1"/>
            </w14:solidFill>
          </w14:textFill>
        </w:rPr>
        <w:t>不稳定边坡</w:t>
      </w:r>
    </w:p>
    <w:p w14:paraId="3AE06045">
      <w:pPr>
        <w:pStyle w:val="12"/>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snapToGrid w:val="0"/>
          <w:color w:val="000000" w:themeColor="text1"/>
          <w:sz w:val="28"/>
          <w:szCs w:val="28"/>
          <w:highlight w:val="none"/>
          <w:lang w:val="en-US" w:eastAsia="zh-CN"/>
          <w14:textFill>
            <w14:solidFill>
              <w14:schemeClr w14:val="tx1"/>
            </w14:solidFill>
          </w14:textFill>
        </w:rPr>
        <w:t>现状矿山存在一个</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表土存放场、一个料堆</w:t>
      </w:r>
      <w:r>
        <w:rPr>
          <w:rFonts w:hint="default" w:ascii="Times New Roman" w:hAnsi="Times New Roman" w:eastAsia="宋体" w:cs="Times New Roman"/>
          <w:snapToGrid w:val="0"/>
          <w:color w:val="000000" w:themeColor="text1"/>
          <w:sz w:val="28"/>
          <w:szCs w:val="28"/>
          <w:highlight w:val="none"/>
          <w14:textFill>
            <w14:solidFill>
              <w14:schemeClr w14:val="tx1"/>
            </w14:solidFill>
          </w14:textFill>
        </w:rPr>
        <w:t>，</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表土存放场边坡高度1</w:t>
      </w:r>
      <w:r>
        <w:rPr>
          <w:rFonts w:hint="default" w:ascii="Times New Roman" w:hAnsi="Times New Roman" w:eastAsia="宋体" w:cs="Times New Roman"/>
          <w:color w:val="000000" w:themeColor="text1"/>
          <w:sz w:val="28"/>
          <w:szCs w:val="21"/>
          <w:highlight w:val="none"/>
          <w14:textFill>
            <w14:solidFill>
              <w14:schemeClr w14:val="tx1"/>
            </w14:solidFill>
          </w14:textFill>
        </w:rPr>
        <w:t>～</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3m，</w:t>
      </w:r>
      <w:r>
        <w:rPr>
          <w:rFonts w:hint="default" w:ascii="Times New Roman" w:hAnsi="Times New Roman" w:eastAsia="宋体" w:cs="Times New Roman"/>
          <w:snapToGrid w:val="0"/>
          <w:color w:val="000000" w:themeColor="text1"/>
          <w:sz w:val="28"/>
          <w:szCs w:val="28"/>
          <w:highlight w:val="none"/>
          <w:lang w:val="en-US" w:eastAsia="zh-CN"/>
          <w14:textFill>
            <w14:solidFill>
              <w14:schemeClr w14:val="tx1"/>
            </w14:solidFill>
          </w14:textFill>
        </w:rPr>
        <w:t>堆积坡角10</w:t>
      </w:r>
      <w:r>
        <w:rPr>
          <w:rFonts w:hint="default" w:ascii="Times New Roman" w:hAnsi="Times New Roman" w:eastAsia="宋体" w:cs="Times New Roman"/>
          <w:color w:val="000000" w:themeColor="text1"/>
          <w:sz w:val="28"/>
          <w:szCs w:val="21"/>
          <w:highlight w:val="none"/>
          <w14:textFill>
            <w14:solidFill>
              <w14:schemeClr w14:val="tx1"/>
            </w14:solidFill>
          </w14:textFill>
        </w:rPr>
        <w:t>～</w:t>
      </w:r>
      <w:r>
        <w:rPr>
          <w:rFonts w:hint="default" w:ascii="Times New Roman" w:hAnsi="Times New Roman" w:eastAsia="宋体" w:cs="Times New Roman"/>
          <w:snapToGrid w:val="0"/>
          <w:color w:val="000000" w:themeColor="text1"/>
          <w:sz w:val="28"/>
          <w:szCs w:val="28"/>
          <w:highlight w:val="none"/>
          <w:lang w:val="en-US" w:eastAsia="zh-CN"/>
          <w14:textFill>
            <w14:solidFill>
              <w14:schemeClr w14:val="tx1"/>
            </w14:solidFill>
          </w14:textFill>
        </w:rPr>
        <w:t>25°。</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料堆边坡高度1</w:t>
      </w:r>
      <w:r>
        <w:rPr>
          <w:rFonts w:hint="default" w:ascii="Times New Roman" w:hAnsi="Times New Roman" w:eastAsia="宋体" w:cs="Times New Roman"/>
          <w:color w:val="000000" w:themeColor="text1"/>
          <w:sz w:val="28"/>
          <w:szCs w:val="21"/>
          <w:highlight w:val="none"/>
          <w14:textFill>
            <w14:solidFill>
              <w14:schemeClr w14:val="tx1"/>
            </w14:solidFill>
          </w14:textFill>
        </w:rPr>
        <w:t>～</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7m，</w:t>
      </w:r>
      <w:r>
        <w:rPr>
          <w:rFonts w:hint="default" w:ascii="Times New Roman" w:hAnsi="Times New Roman" w:eastAsia="宋体" w:cs="Times New Roman"/>
          <w:snapToGrid w:val="0"/>
          <w:color w:val="000000" w:themeColor="text1"/>
          <w:sz w:val="28"/>
          <w:szCs w:val="28"/>
          <w:highlight w:val="none"/>
          <w:lang w:val="en-US" w:eastAsia="zh-CN"/>
          <w14:textFill>
            <w14:solidFill>
              <w14:schemeClr w14:val="tx1"/>
            </w14:solidFill>
          </w14:textFill>
        </w:rPr>
        <w:t>堆积坡角15</w:t>
      </w:r>
      <w:r>
        <w:rPr>
          <w:rFonts w:hint="default" w:ascii="Times New Roman" w:hAnsi="Times New Roman" w:eastAsia="宋体" w:cs="Times New Roman"/>
          <w:color w:val="000000" w:themeColor="text1"/>
          <w:sz w:val="28"/>
          <w:szCs w:val="21"/>
          <w:highlight w:val="none"/>
          <w14:textFill>
            <w14:solidFill>
              <w14:schemeClr w14:val="tx1"/>
            </w14:solidFill>
          </w14:textFill>
        </w:rPr>
        <w:t>～</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35</w:t>
      </w:r>
      <w:r>
        <w:rPr>
          <w:rFonts w:hint="default" w:ascii="Times New Roman" w:hAnsi="Times New Roman" w:eastAsia="宋体" w:cs="Times New Roman"/>
          <w:snapToGrid w:val="0"/>
          <w:color w:val="000000" w:themeColor="text1"/>
          <w:sz w:val="28"/>
          <w:szCs w:val="28"/>
          <w:highlight w:val="none"/>
          <w:lang w:val="en-US" w:eastAsia="zh-CN"/>
          <w14:textFill>
            <w14:solidFill>
              <w14:schemeClr w14:val="tx1"/>
            </w14:solidFill>
          </w14:textFill>
        </w:rPr>
        <w:t>°。预测后期矿山开采，上述两个场地面积不再扩大，但堆积高度将增加，边坡角将被不断加大，直至接近甚至超过自然安息角，使下滑力远超抗滑力。同时，简单加高会形成疏松的新堆填体，并显著加重对下部及基底的压力，在缺乏有效碾压和排水升级的情况下，强降雨等外部诱因将导致孔隙水压力剧增、土体强度软化，极易触发大规模的深层圆弧形滑坡（料堆）或浅层滑塌。预测评估</w:t>
      </w:r>
      <w:r>
        <w:rPr>
          <w:rFonts w:hint="default" w:ascii="Times New Roman" w:hAnsi="Times New Roman" w:eastAsia="宋体" w:cs="Times New Roman"/>
          <w:snapToGrid w:val="0"/>
          <w:color w:val="000000" w:themeColor="text1"/>
          <w:sz w:val="28"/>
          <w:szCs w:val="28"/>
          <w:highlight w:val="none"/>
          <w14:textFill>
            <w14:solidFill>
              <w14:schemeClr w14:val="tx1"/>
            </w14:solidFill>
          </w14:textFill>
        </w:rPr>
        <w:t>危害程度</w:t>
      </w:r>
      <w:r>
        <w:rPr>
          <w:rFonts w:hint="default" w:ascii="Times New Roman" w:hAnsi="Times New Roman" w:eastAsia="宋体" w:cs="Times New Roman"/>
          <w:snapToGrid w:val="0"/>
          <w:color w:val="000000" w:themeColor="text1"/>
          <w:sz w:val="28"/>
          <w:szCs w:val="28"/>
          <w:highlight w:val="none"/>
          <w:lang w:val="en-US" w:eastAsia="zh-CN"/>
          <w14:textFill>
            <w14:solidFill>
              <w14:schemeClr w14:val="tx1"/>
            </w14:solidFill>
          </w14:textFill>
        </w:rPr>
        <w:t>较严重</w:t>
      </w:r>
      <w:r>
        <w:rPr>
          <w:rFonts w:hint="default" w:ascii="Times New Roman" w:hAnsi="Times New Roman" w:eastAsia="宋体" w:cs="Times New Roman"/>
          <w:snapToGrid w:val="0"/>
          <w:color w:val="000000" w:themeColor="text1"/>
          <w:sz w:val="28"/>
          <w:szCs w:val="28"/>
          <w:highlight w:val="none"/>
          <w14:textFill>
            <w14:solidFill>
              <w14:schemeClr w14:val="tx1"/>
            </w14:solidFill>
          </w14:textFill>
        </w:rPr>
        <w:t>，危险性</w:t>
      </w:r>
      <w:r>
        <w:rPr>
          <w:rFonts w:hint="default" w:ascii="Times New Roman" w:hAnsi="Times New Roman" w:eastAsia="宋体" w:cs="Times New Roman"/>
          <w:snapToGrid w:val="0"/>
          <w:color w:val="000000" w:themeColor="text1"/>
          <w:sz w:val="28"/>
          <w:szCs w:val="28"/>
          <w:highlight w:val="none"/>
          <w:lang w:val="en-US" w:eastAsia="zh-CN"/>
          <w14:textFill>
            <w14:solidFill>
              <w14:schemeClr w14:val="tx1"/>
            </w14:solidFill>
          </w14:textFill>
        </w:rPr>
        <w:t>中等。</w:t>
      </w:r>
    </w:p>
    <w:p w14:paraId="569D6481">
      <w:pPr>
        <w:pStyle w:val="12"/>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color w:val="000000" w:themeColor="text1"/>
          <w:sz w:val="28"/>
          <w:szCs w:val="28"/>
          <w:highlight w:val="none"/>
          <w14:textFill>
            <w14:solidFill>
              <w14:schemeClr w14:val="tx1"/>
            </w14:solidFill>
          </w14:textFill>
        </w:rPr>
      </w:pPr>
      <w:r>
        <w:rPr>
          <w:rFonts w:hint="default" w:ascii="Times New Roman" w:hAnsi="Times New Roman" w:eastAsia="宋体" w:cs="Times New Roman"/>
          <w:color w:val="000000" w:themeColor="text1"/>
          <w:sz w:val="28"/>
          <w:szCs w:val="28"/>
          <w:highlight w:val="none"/>
          <w14:textFill>
            <w14:solidFill>
              <w14:schemeClr w14:val="tx1"/>
            </w14:solidFill>
          </w14:textFill>
        </w:rPr>
        <w:t>预计可能造成</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直接</w:t>
      </w:r>
      <w:r>
        <w:rPr>
          <w:rFonts w:hint="default" w:ascii="Times New Roman" w:hAnsi="Times New Roman" w:eastAsia="宋体" w:cs="Times New Roman"/>
          <w:color w:val="000000" w:themeColor="text1"/>
          <w:sz w:val="28"/>
          <w:szCs w:val="28"/>
          <w:highlight w:val="none"/>
          <w14:textFill>
            <w14:solidFill>
              <w14:schemeClr w14:val="tx1"/>
            </w14:solidFill>
          </w14:textFill>
        </w:rPr>
        <w:t>经济损失100-500万元，受威胁人数</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8"/>
          <w:szCs w:val="28"/>
          <w:highlight w:val="none"/>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8"/>
          <w:szCs w:val="28"/>
          <w:highlight w:val="none"/>
          <w14:textFill>
            <w14:solidFill>
              <w14:schemeClr w14:val="tx1"/>
            </w14:solidFill>
          </w14:textFill>
        </w:rPr>
        <w:t>0人。预测评估</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危害程度</w:t>
      </w:r>
      <w:r>
        <w:rPr>
          <w:rFonts w:hint="default" w:ascii="Times New Roman" w:hAnsi="Times New Roman" w:eastAsia="宋体" w:cs="Times New Roman"/>
          <w:color w:val="000000" w:themeColor="text1"/>
          <w:sz w:val="28"/>
          <w:szCs w:val="28"/>
          <w:highlight w:val="none"/>
          <w14:textFill>
            <w14:solidFill>
              <w14:schemeClr w14:val="tx1"/>
            </w14:solidFill>
          </w14:textFill>
        </w:rPr>
        <w:t>中等</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14:textFill>
            <w14:solidFill>
              <w14:schemeClr w14:val="tx1"/>
            </w14:solidFill>
          </w14:textFill>
        </w:rPr>
        <w:t>其地质灾害危险性中等</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14:textFill>
            <w14:solidFill>
              <w14:schemeClr w14:val="tx1"/>
            </w14:solidFill>
          </w14:textFill>
        </w:rPr>
        <w:t>依据《地质灾害危险性评估规范》（GB/T40112-2021）中地质灾害危害程度分级表（如表3-</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25</w:t>
      </w:r>
      <w:r>
        <w:rPr>
          <w:rFonts w:hint="default" w:ascii="Times New Roman" w:hAnsi="Times New Roman" w:eastAsia="宋体" w:cs="Times New Roman"/>
          <w:color w:val="000000" w:themeColor="text1"/>
          <w:sz w:val="28"/>
          <w:szCs w:val="28"/>
          <w:highlight w:val="none"/>
          <w14:textFill>
            <w14:solidFill>
              <w14:schemeClr w14:val="tx1"/>
            </w14:solidFill>
          </w14:textFill>
        </w:rPr>
        <w:t>）。</w:t>
      </w:r>
    </w:p>
    <w:p w14:paraId="40E6FAAA">
      <w:pPr>
        <w:widowControl/>
        <w:spacing w:line="360" w:lineRule="auto"/>
        <w:ind w:firstLine="0" w:firstLineChars="0"/>
        <w:contextualSpacing/>
        <w:jc w:val="center"/>
        <w:rPr>
          <w:rFonts w:eastAsia="黑体"/>
          <w:color w:val="000000" w:themeColor="text1"/>
          <w:sz w:val="24"/>
          <w:szCs w:val="28"/>
          <w14:textFill>
            <w14:solidFill>
              <w14:schemeClr w14:val="tx1"/>
            </w14:solidFill>
          </w14:textFill>
        </w:rPr>
      </w:pPr>
      <w:r>
        <w:rPr>
          <w:rFonts w:eastAsia="黑体"/>
          <w:color w:val="000000" w:themeColor="text1"/>
          <w:sz w:val="24"/>
          <w:szCs w:val="28"/>
          <w14:textFill>
            <w14:solidFill>
              <w14:schemeClr w14:val="tx1"/>
            </w14:solidFill>
          </w14:textFill>
        </w:rPr>
        <w:t>表3-</w:t>
      </w:r>
      <w:r>
        <w:rPr>
          <w:rFonts w:hint="eastAsia" w:eastAsia="黑体"/>
          <w:color w:val="000000" w:themeColor="text1"/>
          <w:sz w:val="24"/>
          <w:szCs w:val="28"/>
          <w:lang w:val="en-US" w:eastAsia="zh-CN"/>
          <w14:textFill>
            <w14:solidFill>
              <w14:schemeClr w14:val="tx1"/>
            </w14:solidFill>
          </w14:textFill>
        </w:rPr>
        <w:t>25</w:t>
      </w:r>
      <w:r>
        <w:rPr>
          <w:rFonts w:eastAsia="黑体"/>
          <w:color w:val="000000" w:themeColor="text1"/>
          <w:sz w:val="24"/>
          <w:szCs w:val="28"/>
          <w14:textFill>
            <w14:solidFill>
              <w14:schemeClr w14:val="tx1"/>
            </w14:solidFill>
          </w14:textFill>
        </w:rPr>
        <w:t xml:space="preserve">  地质灾害危害程度分级表</w:t>
      </w:r>
    </w:p>
    <w:tbl>
      <w:tblPr>
        <w:tblStyle w:val="30"/>
        <w:tblW w:w="9015" w:type="dxa"/>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5"/>
        <w:gridCol w:w="1425"/>
        <w:gridCol w:w="2145"/>
        <w:gridCol w:w="1650"/>
        <w:gridCol w:w="2550"/>
      </w:tblGrid>
      <w:tr w14:paraId="6E6D9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45" w:type="dxa"/>
            <w:vMerge w:val="restart"/>
            <w:tcBorders>
              <w:top w:val="single" w:color="auto" w:sz="4" w:space="0"/>
              <w:left w:val="single" w:color="auto" w:sz="4" w:space="0"/>
              <w:bottom w:val="single" w:color="auto" w:sz="4" w:space="0"/>
              <w:right w:val="single" w:color="auto" w:sz="4" w:space="0"/>
            </w:tcBorders>
            <w:noWrap w:val="0"/>
            <w:vAlign w:val="center"/>
          </w:tcPr>
          <w:p w14:paraId="5E05CF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危害程度</w:t>
            </w:r>
          </w:p>
        </w:tc>
        <w:tc>
          <w:tcPr>
            <w:tcW w:w="3570" w:type="dxa"/>
            <w:gridSpan w:val="2"/>
            <w:tcBorders>
              <w:top w:val="single" w:color="auto" w:sz="4" w:space="0"/>
              <w:left w:val="single" w:color="auto" w:sz="4" w:space="0"/>
              <w:bottom w:val="single" w:color="auto" w:sz="4" w:space="0"/>
              <w:right w:val="single" w:color="auto" w:sz="4" w:space="0"/>
            </w:tcBorders>
            <w:noWrap w:val="0"/>
            <w:vAlign w:val="center"/>
          </w:tcPr>
          <w:p w14:paraId="269A6A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灾情</w:t>
            </w:r>
          </w:p>
        </w:tc>
        <w:tc>
          <w:tcPr>
            <w:tcW w:w="4200" w:type="dxa"/>
            <w:gridSpan w:val="2"/>
            <w:tcBorders>
              <w:top w:val="single" w:color="auto" w:sz="4" w:space="0"/>
              <w:left w:val="single" w:color="auto" w:sz="4" w:space="0"/>
              <w:bottom w:val="single" w:color="auto" w:sz="4" w:space="0"/>
              <w:right w:val="single" w:color="auto" w:sz="4" w:space="0"/>
            </w:tcBorders>
            <w:noWrap w:val="0"/>
            <w:vAlign w:val="center"/>
          </w:tcPr>
          <w:p w14:paraId="1A3A205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险情</w:t>
            </w:r>
          </w:p>
        </w:tc>
      </w:tr>
      <w:tr w14:paraId="3D6D7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45" w:type="dxa"/>
            <w:vMerge w:val="continue"/>
            <w:tcBorders>
              <w:top w:val="single" w:color="auto" w:sz="4" w:space="0"/>
              <w:left w:val="single" w:color="auto" w:sz="4" w:space="0"/>
              <w:bottom w:val="single" w:color="auto" w:sz="4" w:space="0"/>
              <w:right w:val="single" w:color="auto" w:sz="4" w:space="0"/>
            </w:tcBorders>
            <w:noWrap w:val="0"/>
            <w:vAlign w:val="center"/>
          </w:tcPr>
          <w:p w14:paraId="0960D8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themeColor="text1"/>
                <w:sz w:val="21"/>
                <w:szCs w:val="21"/>
                <w14:textFill>
                  <w14:solidFill>
                    <w14:schemeClr w14:val="tx1"/>
                  </w14:solidFill>
                </w14:textFill>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14:paraId="41142B5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死亡人数/人</w:t>
            </w:r>
          </w:p>
        </w:tc>
        <w:tc>
          <w:tcPr>
            <w:tcW w:w="2145" w:type="dxa"/>
            <w:tcBorders>
              <w:top w:val="single" w:color="auto" w:sz="4" w:space="0"/>
              <w:left w:val="single" w:color="auto" w:sz="4" w:space="0"/>
              <w:bottom w:val="single" w:color="auto" w:sz="4" w:space="0"/>
              <w:right w:val="single" w:color="auto" w:sz="4" w:space="0"/>
            </w:tcBorders>
            <w:noWrap w:val="0"/>
            <w:vAlign w:val="center"/>
          </w:tcPr>
          <w:p w14:paraId="07C3E6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直接经济损失/万元</w:t>
            </w:r>
          </w:p>
        </w:tc>
        <w:tc>
          <w:tcPr>
            <w:tcW w:w="1650" w:type="dxa"/>
            <w:tcBorders>
              <w:top w:val="single" w:color="auto" w:sz="4" w:space="0"/>
              <w:left w:val="single" w:color="auto" w:sz="4" w:space="0"/>
              <w:bottom w:val="single" w:color="auto" w:sz="4" w:space="0"/>
              <w:right w:val="single" w:color="auto" w:sz="4" w:space="0"/>
            </w:tcBorders>
            <w:noWrap w:val="0"/>
            <w:vAlign w:val="center"/>
          </w:tcPr>
          <w:p w14:paraId="7A3966B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受威胁人数/人</w:t>
            </w:r>
          </w:p>
        </w:tc>
        <w:tc>
          <w:tcPr>
            <w:tcW w:w="2550" w:type="dxa"/>
            <w:tcBorders>
              <w:top w:val="single" w:color="auto" w:sz="4" w:space="0"/>
              <w:left w:val="single" w:color="auto" w:sz="4" w:space="0"/>
              <w:bottom w:val="single" w:color="auto" w:sz="4" w:space="0"/>
              <w:right w:val="single" w:color="auto" w:sz="4" w:space="0"/>
            </w:tcBorders>
            <w:noWrap w:val="0"/>
            <w:vAlign w:val="center"/>
          </w:tcPr>
          <w:p w14:paraId="4301DB2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可能直接经济损失/万元</w:t>
            </w:r>
          </w:p>
        </w:tc>
      </w:tr>
      <w:tr w14:paraId="6712F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45" w:type="dxa"/>
            <w:tcBorders>
              <w:top w:val="single" w:color="auto" w:sz="4" w:space="0"/>
              <w:left w:val="single" w:color="auto" w:sz="4" w:space="0"/>
              <w:bottom w:val="single" w:color="auto" w:sz="4" w:space="0"/>
              <w:right w:val="single" w:color="auto" w:sz="4" w:space="0"/>
            </w:tcBorders>
            <w:noWrap w:val="0"/>
            <w:vAlign w:val="center"/>
          </w:tcPr>
          <w:p w14:paraId="365316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大</w:t>
            </w:r>
          </w:p>
        </w:tc>
        <w:tc>
          <w:tcPr>
            <w:tcW w:w="1425" w:type="dxa"/>
            <w:tcBorders>
              <w:top w:val="single" w:color="auto" w:sz="4" w:space="0"/>
              <w:left w:val="single" w:color="auto" w:sz="4" w:space="0"/>
              <w:bottom w:val="single" w:color="auto" w:sz="4" w:space="0"/>
              <w:right w:val="single" w:color="auto" w:sz="4" w:space="0"/>
            </w:tcBorders>
            <w:noWrap w:val="0"/>
            <w:vAlign w:val="center"/>
          </w:tcPr>
          <w:p w14:paraId="0C0F082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≥10</w:t>
            </w:r>
          </w:p>
        </w:tc>
        <w:tc>
          <w:tcPr>
            <w:tcW w:w="2145" w:type="dxa"/>
            <w:tcBorders>
              <w:top w:val="single" w:color="auto" w:sz="4" w:space="0"/>
              <w:left w:val="single" w:color="auto" w:sz="4" w:space="0"/>
              <w:bottom w:val="single" w:color="auto" w:sz="4" w:space="0"/>
              <w:right w:val="single" w:color="auto" w:sz="4" w:space="0"/>
            </w:tcBorders>
            <w:noWrap w:val="0"/>
            <w:vAlign w:val="center"/>
          </w:tcPr>
          <w:p w14:paraId="1BB084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≥500</w:t>
            </w:r>
          </w:p>
        </w:tc>
        <w:tc>
          <w:tcPr>
            <w:tcW w:w="1650" w:type="dxa"/>
            <w:tcBorders>
              <w:top w:val="single" w:color="auto" w:sz="4" w:space="0"/>
              <w:left w:val="single" w:color="auto" w:sz="4" w:space="0"/>
              <w:bottom w:val="single" w:color="auto" w:sz="4" w:space="0"/>
              <w:right w:val="single" w:color="auto" w:sz="4" w:space="0"/>
            </w:tcBorders>
            <w:noWrap w:val="0"/>
            <w:vAlign w:val="center"/>
          </w:tcPr>
          <w:p w14:paraId="1131A8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1</w:t>
            </w:r>
            <w:r>
              <w:rPr>
                <w:rFonts w:hint="default"/>
                <w:color w:val="000000" w:themeColor="text1"/>
                <w:sz w:val="21"/>
                <w:szCs w:val="21"/>
                <w14:textFill>
                  <w14:solidFill>
                    <w14:schemeClr w14:val="tx1"/>
                  </w14:solidFill>
                </w14:textFill>
              </w:rPr>
              <w:t>00</w:t>
            </w:r>
          </w:p>
        </w:tc>
        <w:tc>
          <w:tcPr>
            <w:tcW w:w="2550" w:type="dxa"/>
            <w:tcBorders>
              <w:top w:val="single" w:color="auto" w:sz="4" w:space="0"/>
              <w:left w:val="single" w:color="auto" w:sz="4" w:space="0"/>
              <w:bottom w:val="single" w:color="auto" w:sz="4" w:space="0"/>
              <w:right w:val="single" w:color="auto" w:sz="4" w:space="0"/>
            </w:tcBorders>
            <w:noWrap w:val="0"/>
            <w:vAlign w:val="center"/>
          </w:tcPr>
          <w:p w14:paraId="6940D0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≥500</w:t>
            </w:r>
          </w:p>
        </w:tc>
      </w:tr>
      <w:tr w14:paraId="46729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45" w:type="dxa"/>
            <w:tcBorders>
              <w:top w:val="single" w:color="auto" w:sz="4" w:space="0"/>
              <w:left w:val="single" w:color="auto" w:sz="4" w:space="0"/>
              <w:bottom w:val="single" w:color="auto" w:sz="4" w:space="0"/>
              <w:right w:val="single" w:color="auto" w:sz="4" w:space="0"/>
            </w:tcBorders>
            <w:noWrap w:val="0"/>
            <w:vAlign w:val="center"/>
          </w:tcPr>
          <w:p w14:paraId="51A1E46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中等</w:t>
            </w:r>
          </w:p>
        </w:tc>
        <w:tc>
          <w:tcPr>
            <w:tcW w:w="1425" w:type="dxa"/>
            <w:tcBorders>
              <w:top w:val="single" w:color="auto" w:sz="4" w:space="0"/>
              <w:left w:val="single" w:color="auto" w:sz="4" w:space="0"/>
              <w:bottom w:val="single" w:color="auto" w:sz="4" w:space="0"/>
              <w:right w:val="single" w:color="auto" w:sz="4" w:space="0"/>
            </w:tcBorders>
            <w:noWrap w:val="0"/>
            <w:vAlign w:val="center"/>
          </w:tcPr>
          <w:p w14:paraId="385DE9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＞3~＜10</w:t>
            </w:r>
          </w:p>
        </w:tc>
        <w:tc>
          <w:tcPr>
            <w:tcW w:w="2145" w:type="dxa"/>
            <w:tcBorders>
              <w:top w:val="single" w:color="auto" w:sz="4" w:space="0"/>
              <w:left w:val="single" w:color="auto" w:sz="4" w:space="0"/>
              <w:bottom w:val="single" w:color="auto" w:sz="4" w:space="0"/>
              <w:right w:val="single" w:color="auto" w:sz="4" w:space="0"/>
            </w:tcBorders>
            <w:noWrap w:val="0"/>
            <w:vAlign w:val="center"/>
          </w:tcPr>
          <w:p w14:paraId="57F3F9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＞100~＜500</w:t>
            </w:r>
          </w:p>
        </w:tc>
        <w:tc>
          <w:tcPr>
            <w:tcW w:w="1650" w:type="dxa"/>
            <w:tcBorders>
              <w:top w:val="single" w:color="auto" w:sz="4" w:space="0"/>
              <w:left w:val="single" w:color="auto" w:sz="4" w:space="0"/>
              <w:bottom w:val="single" w:color="auto" w:sz="4" w:space="0"/>
              <w:right w:val="single" w:color="auto" w:sz="4" w:space="0"/>
            </w:tcBorders>
            <w:noWrap w:val="0"/>
            <w:vAlign w:val="center"/>
          </w:tcPr>
          <w:p w14:paraId="58189E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＞10~＜</w:t>
            </w:r>
            <w:r>
              <w:rPr>
                <w:rFonts w:hint="eastAsia"/>
                <w:color w:val="000000" w:themeColor="text1"/>
                <w:sz w:val="21"/>
                <w:szCs w:val="21"/>
                <w14:textFill>
                  <w14:solidFill>
                    <w14:schemeClr w14:val="tx1"/>
                  </w14:solidFill>
                </w14:textFill>
              </w:rPr>
              <w:t>100</w:t>
            </w:r>
          </w:p>
        </w:tc>
        <w:tc>
          <w:tcPr>
            <w:tcW w:w="2550" w:type="dxa"/>
            <w:tcBorders>
              <w:top w:val="single" w:color="auto" w:sz="4" w:space="0"/>
              <w:left w:val="single" w:color="auto" w:sz="4" w:space="0"/>
              <w:bottom w:val="single" w:color="auto" w:sz="4" w:space="0"/>
              <w:right w:val="single" w:color="auto" w:sz="4" w:space="0"/>
            </w:tcBorders>
            <w:noWrap w:val="0"/>
            <w:vAlign w:val="center"/>
          </w:tcPr>
          <w:p w14:paraId="2BDEE5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＞100~＜500</w:t>
            </w:r>
          </w:p>
        </w:tc>
      </w:tr>
      <w:tr w14:paraId="55792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45" w:type="dxa"/>
            <w:tcBorders>
              <w:top w:val="single" w:color="auto" w:sz="4" w:space="0"/>
              <w:left w:val="single" w:color="auto" w:sz="4" w:space="0"/>
              <w:bottom w:val="single" w:color="auto" w:sz="4" w:space="0"/>
              <w:right w:val="single" w:color="auto" w:sz="4" w:space="0"/>
            </w:tcBorders>
            <w:noWrap w:val="0"/>
            <w:vAlign w:val="center"/>
          </w:tcPr>
          <w:p w14:paraId="1E81850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小</w:t>
            </w:r>
          </w:p>
        </w:tc>
        <w:tc>
          <w:tcPr>
            <w:tcW w:w="1425" w:type="dxa"/>
            <w:tcBorders>
              <w:top w:val="single" w:color="auto" w:sz="4" w:space="0"/>
              <w:left w:val="single" w:color="auto" w:sz="4" w:space="0"/>
              <w:bottom w:val="single" w:color="auto" w:sz="4" w:space="0"/>
              <w:right w:val="single" w:color="auto" w:sz="4" w:space="0"/>
            </w:tcBorders>
            <w:noWrap w:val="0"/>
            <w:vAlign w:val="center"/>
          </w:tcPr>
          <w:p w14:paraId="58AF4C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≤3</w:t>
            </w:r>
          </w:p>
        </w:tc>
        <w:tc>
          <w:tcPr>
            <w:tcW w:w="2145" w:type="dxa"/>
            <w:tcBorders>
              <w:top w:val="single" w:color="auto" w:sz="4" w:space="0"/>
              <w:left w:val="single" w:color="auto" w:sz="4" w:space="0"/>
              <w:bottom w:val="single" w:color="auto" w:sz="4" w:space="0"/>
              <w:right w:val="single" w:color="auto" w:sz="4" w:space="0"/>
            </w:tcBorders>
            <w:noWrap w:val="0"/>
            <w:vAlign w:val="center"/>
          </w:tcPr>
          <w:p w14:paraId="4AE668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≤100</w:t>
            </w:r>
          </w:p>
        </w:tc>
        <w:tc>
          <w:tcPr>
            <w:tcW w:w="1650" w:type="dxa"/>
            <w:tcBorders>
              <w:top w:val="single" w:color="auto" w:sz="4" w:space="0"/>
              <w:left w:val="single" w:color="auto" w:sz="4" w:space="0"/>
              <w:bottom w:val="single" w:color="auto" w:sz="4" w:space="0"/>
              <w:right w:val="single" w:color="auto" w:sz="4" w:space="0"/>
            </w:tcBorders>
            <w:noWrap w:val="0"/>
            <w:vAlign w:val="center"/>
          </w:tcPr>
          <w:p w14:paraId="5EEDAA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≤10</w:t>
            </w:r>
          </w:p>
        </w:tc>
        <w:tc>
          <w:tcPr>
            <w:tcW w:w="2550" w:type="dxa"/>
            <w:tcBorders>
              <w:top w:val="single" w:color="auto" w:sz="4" w:space="0"/>
              <w:left w:val="single" w:color="auto" w:sz="4" w:space="0"/>
              <w:bottom w:val="single" w:color="auto" w:sz="4" w:space="0"/>
              <w:right w:val="single" w:color="auto" w:sz="4" w:space="0"/>
            </w:tcBorders>
            <w:noWrap w:val="0"/>
            <w:vAlign w:val="center"/>
          </w:tcPr>
          <w:p w14:paraId="5C6EEF8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≤100</w:t>
            </w:r>
          </w:p>
        </w:tc>
      </w:tr>
      <w:tr w14:paraId="74DF7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15" w:type="dxa"/>
            <w:gridSpan w:val="5"/>
            <w:tcBorders>
              <w:top w:val="single" w:color="auto" w:sz="4" w:space="0"/>
              <w:left w:val="single" w:color="auto" w:sz="4" w:space="0"/>
              <w:bottom w:val="single" w:color="auto" w:sz="4" w:space="0"/>
              <w:right w:val="single" w:color="auto" w:sz="4" w:space="0"/>
            </w:tcBorders>
            <w:noWrap w:val="0"/>
            <w:vAlign w:val="center"/>
          </w:tcPr>
          <w:p w14:paraId="5B3387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注1：灾情：指已发生的地质灾害，采用“人员伤亡情况”“直接经济损失”指标评价。</w:t>
            </w:r>
          </w:p>
          <w:p w14:paraId="428A0F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注2：险情：指可能发生的地质灾害，采用“受威胁人数”“可能直接经济损失”指标评价。</w:t>
            </w:r>
          </w:p>
          <w:p w14:paraId="6AFF81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textAlignment w:val="auto"/>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注3：危害程度采用“灾情”或“险情”指标评价。</w:t>
            </w:r>
          </w:p>
        </w:tc>
      </w:tr>
    </w:tbl>
    <w:p w14:paraId="47877DE5">
      <w:pPr>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br w:type="page"/>
      </w:r>
    </w:p>
    <w:p w14:paraId="462E4EC8">
      <w:pPr>
        <w:widowControl/>
        <w:spacing w:line="360" w:lineRule="auto"/>
        <w:ind w:firstLine="560" w:firstLineChars="200"/>
        <w:outlineLvl w:val="3"/>
        <w:rPr>
          <w:rFonts w:hint="default" w:ascii="Times New Roman" w:hAnsi="Times New Roman" w:eastAsia="宋体" w:cs="Times New Roman"/>
          <w:snapToGrid w:val="0"/>
          <w:color w:val="000000" w:themeColor="text1"/>
          <w:sz w:val="28"/>
          <w:szCs w:val="28"/>
          <w:lang w:eastAsia="zh-CN"/>
          <w14:textFill>
            <w14:solidFill>
              <w14:schemeClr w14:val="tx1"/>
            </w14:solidFill>
          </w14:textFill>
        </w:rPr>
      </w:pPr>
      <w:r>
        <w:rPr>
          <w:rFonts w:hint="eastAsia" w:ascii="Times New Roman" w:hAnsi="Times New Roman" w:eastAsia="宋体" w:cs="Times New Roman"/>
          <w:snapToGrid w:val="0"/>
          <w:color w:val="000000" w:themeColor="text1"/>
          <w:sz w:val="28"/>
          <w:szCs w:val="28"/>
          <w:lang w:val="en-US" w:eastAsia="zh-CN"/>
          <w14:textFill>
            <w14:solidFill>
              <w14:schemeClr w14:val="tx1"/>
            </w14:solidFill>
          </w14:textFill>
        </w:rPr>
        <w:t>2、</w:t>
      </w:r>
      <w:r>
        <w:rPr>
          <w:rFonts w:hint="default" w:ascii="Times New Roman" w:hAnsi="Times New Roman" w:eastAsia="宋体" w:cs="Times New Roman"/>
          <w:snapToGrid w:val="0"/>
          <w:color w:val="000000" w:themeColor="text1"/>
          <w:sz w:val="28"/>
          <w:szCs w:val="28"/>
          <w:lang w:eastAsia="zh-CN"/>
          <w14:textFill>
            <w14:solidFill>
              <w14:schemeClr w14:val="tx1"/>
            </w14:solidFill>
          </w14:textFill>
        </w:rPr>
        <w:t>地形地貌景观破坏预测</w:t>
      </w:r>
    </w:p>
    <w:p w14:paraId="44A6169B">
      <w:pPr>
        <w:spacing w:line="360" w:lineRule="auto"/>
        <w:ind w:firstLine="560" w:firstLineChars="200"/>
        <w:rPr>
          <w:rFonts w:hint="eastAsia" w:cs="Times New Roman"/>
          <w:color w:val="000000" w:themeColor="text1"/>
          <w:sz w:val="28"/>
          <w:szCs w:val="28"/>
          <w:lang w:val="en-US"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矿山现状单元包括：露天采场1、露天采场2、表土存放场、储水池、料堆、成品砖堆放场、办公生活区及矿区道路。</w:t>
      </w:r>
    </w:p>
    <w:p w14:paraId="4F89D40B">
      <w:pPr>
        <w:spacing w:line="360" w:lineRule="auto"/>
        <w:ind w:firstLine="560" w:firstLineChars="200"/>
        <w:rPr>
          <w:rFonts w:hint="eastAsia" w:cs="Times New Roman"/>
          <w:color w:val="000000" w:themeColor="text1"/>
          <w:sz w:val="28"/>
          <w:szCs w:val="28"/>
          <w:lang w:val="en-US"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根据《开发与治理综合方案》开发篇设计的的工程布局，现状露天采场1为设计的拟建露天采场1，故以下将不再重复赘述现状露天采场1的相关内容。现状露天采场2为设计的拟建露天采场2，但采场南部局部（0.0756hm</w:t>
      </w:r>
      <w:r>
        <w:rPr>
          <w:rFonts w:hint="eastAsia" w:cs="Times New Roman"/>
          <w:color w:val="000000" w:themeColor="text1"/>
          <w:sz w:val="28"/>
          <w:szCs w:val="28"/>
          <w:vertAlign w:val="superscript"/>
          <w:lang w:val="en-US" w:eastAsia="zh-CN"/>
          <w14:textFill>
            <w14:solidFill>
              <w14:schemeClr w14:val="tx1"/>
            </w14:solidFill>
          </w14:textFill>
        </w:rPr>
        <w:t>2</w:t>
      </w:r>
      <w:r>
        <w:rPr>
          <w:rFonts w:hint="eastAsia" w:cs="Times New Roman"/>
          <w:color w:val="000000" w:themeColor="text1"/>
          <w:sz w:val="28"/>
          <w:szCs w:val="28"/>
          <w:lang w:val="en-US" w:eastAsia="zh-CN"/>
          <w14:textFill>
            <w14:solidFill>
              <w14:schemeClr w14:val="tx1"/>
            </w14:solidFill>
          </w14:textFill>
        </w:rPr>
        <w:t>）不在拟建露天采场2设计的开采境界内，故将在近三年对其进行治理。</w:t>
      </w:r>
    </w:p>
    <w:p w14:paraId="679EB193">
      <w:pPr>
        <w:spacing w:line="360" w:lineRule="auto"/>
        <w:ind w:firstLine="560" w:firstLineChars="200"/>
        <w:rPr>
          <w:rFonts w:hint="eastAsia" w:cs="Times New Roman"/>
          <w:color w:val="000000" w:themeColor="text1"/>
          <w:sz w:val="28"/>
          <w:szCs w:val="28"/>
          <w:lang w:val="en-US"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表土存放场和成品砖堆放场已建成且与设计基本一致，本方案不再新建，后期直接沿用。</w:t>
      </w:r>
    </w:p>
    <w:p w14:paraId="33BA91BF">
      <w:pPr>
        <w:spacing w:line="360" w:lineRule="auto"/>
        <w:ind w:firstLine="560" w:firstLineChars="200"/>
        <w:rPr>
          <w:rFonts w:hint="eastAsia" w:cs="Times New Roman"/>
          <w:color w:val="000000" w:themeColor="text1"/>
          <w:sz w:val="28"/>
          <w:szCs w:val="28"/>
          <w:lang w:val="en-US"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料堆和矿区道路已存在，经与矿业权人沟通确认，现状料堆和矿区道路已经满足生产需要，后期继续利用，不再扩建。</w:t>
      </w:r>
    </w:p>
    <w:p w14:paraId="336484F2">
      <w:pPr>
        <w:spacing w:line="360" w:lineRule="auto"/>
        <w:ind w:firstLine="560" w:firstLineChars="200"/>
        <w:rPr>
          <w:rFonts w:hint="eastAsia" w:cs="Times New Roman"/>
          <w:color w:val="000000" w:themeColor="text1"/>
          <w:sz w:val="28"/>
          <w:szCs w:val="28"/>
          <w:lang w:val="en-US"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综上所述，矿山生产需新建的单元为：露天采场1、露天采场2及储水池。预测矿山开采完成后，最终形成的工程单元如下：拟建露天采场1、拟建露天采场2、拟建储水池、露天采场2、工业场地、成品砖堆放场、料堆、表土存放场、办公生活区与矿区道路等。</w:t>
      </w:r>
    </w:p>
    <w:p w14:paraId="45935011">
      <w:pPr>
        <w:pStyle w:val="38"/>
        <w:rPr>
          <w:rFonts w:hint="default"/>
          <w:color w:val="000000" w:themeColor="text1"/>
          <w:lang w:val="en-US" w:eastAsia="zh-CN"/>
          <w14:textFill>
            <w14:solidFill>
              <w14:schemeClr w14:val="tx1"/>
            </w14:solidFill>
          </w14:textFill>
        </w:rPr>
      </w:pPr>
      <w:r>
        <w:rPr>
          <w:rFonts w:hint="default" w:ascii="Times New Roman" w:hAnsi="Times New Roman" w:cs="Times New Roman"/>
          <w:color w:val="000000" w:themeColor="text1"/>
          <w:sz w:val="28"/>
          <w:szCs w:val="28"/>
          <w:lang w:val="en-US" w:eastAsia="zh-CN"/>
          <w14:textFill>
            <w14:solidFill>
              <w14:schemeClr w14:val="tx1"/>
            </w14:solidFill>
          </w14:textFill>
        </w:rPr>
        <w:t>各单元重叠区域详见图3-</w:t>
      </w:r>
      <w:r>
        <w:rPr>
          <w:rFonts w:hint="eastAsia" w:ascii="Times New Roman" w:hAnsi="Times New Roman" w:cs="Times New Roman"/>
          <w:color w:val="000000" w:themeColor="text1"/>
          <w:sz w:val="28"/>
          <w:szCs w:val="28"/>
          <w:lang w:val="en-US" w:eastAsia="zh-CN"/>
          <w14:textFill>
            <w14:solidFill>
              <w14:schemeClr w14:val="tx1"/>
            </w14:solidFill>
          </w14:textFill>
        </w:rPr>
        <w:t>3</w:t>
      </w:r>
      <w:r>
        <w:rPr>
          <w:rFonts w:hint="default" w:ascii="Times New Roman" w:hAnsi="Times New Roman" w:cs="Times New Roman"/>
          <w:color w:val="000000" w:themeColor="text1"/>
          <w:sz w:val="28"/>
          <w:szCs w:val="28"/>
          <w:lang w:val="en-US" w:eastAsia="zh-CN"/>
          <w14:textFill>
            <w14:solidFill>
              <w14:schemeClr w14:val="tx1"/>
            </w14:solidFill>
          </w14:textFill>
        </w:rPr>
        <w:t>。</w:t>
      </w:r>
    </w:p>
    <w:p w14:paraId="631D4BB8">
      <w:pPr>
        <w:rPr>
          <w:rFonts w:hint="eastAsia" w:cs="Times New Roman"/>
          <w:b w:val="0"/>
          <w:bCs w:val="0"/>
          <w:color w:val="000000" w:themeColor="text1"/>
          <w:sz w:val="24"/>
          <w:szCs w:val="24"/>
          <w:lang w:val="en-US" w:eastAsia="zh-CN"/>
          <w14:textFill>
            <w14:solidFill>
              <w14:schemeClr w14:val="tx1"/>
            </w14:solidFill>
          </w14:textFill>
        </w:rPr>
        <w:sectPr>
          <w:headerReference r:id="rId23" w:type="default"/>
          <w:footerReference r:id="rId24" w:type="default"/>
          <w:pgSz w:w="11906" w:h="16838"/>
          <w:pgMar w:top="1417" w:right="1417" w:bottom="1417" w:left="1417" w:header="851" w:footer="992" w:gutter="0"/>
          <w:pgNumType w:fmt="decimal"/>
          <w:cols w:space="0" w:num="1"/>
          <w:rtlGutter w:val="0"/>
          <w:docGrid w:linePitch="312" w:charSpace="0"/>
        </w:sectPr>
      </w:pPr>
    </w:p>
    <w:p w14:paraId="2D17C91E">
      <w:pPr>
        <w:jc w:val="center"/>
        <w:rPr>
          <w:rFonts w:hint="eastAsia" w:cs="Times New Roman"/>
          <w:b w:val="0"/>
          <w:bCs w:val="0"/>
          <w:color w:val="000000" w:themeColor="text1"/>
          <w:sz w:val="24"/>
          <w:szCs w:val="24"/>
          <w:lang w:val="en-US" w:eastAsia="zh-CN"/>
          <w14:textFill>
            <w14:solidFill>
              <w14:schemeClr w14:val="tx1"/>
            </w14:solidFill>
          </w14:textFill>
        </w:rPr>
      </w:pPr>
      <w:r>
        <w:rPr>
          <w:rFonts w:hint="eastAsia" w:cs="Times New Roman"/>
          <w:color w:val="000000" w:themeColor="text1"/>
          <w:kern w:val="0"/>
          <w:sz w:val="24"/>
          <w:szCs w:val="24"/>
          <w:highlight w:val="none"/>
          <w:lang w:val="en-US" w:eastAsia="zh-CN" w:bidi="ar"/>
          <w14:textFill>
            <w14:solidFill>
              <w14:schemeClr w14:val="tx1"/>
            </w14:solidFill>
          </w14:textFill>
        </w:rPr>
        <w:t xml:space="preserve">    </w:t>
      </w:r>
    </w:p>
    <w:p w14:paraId="5893642C">
      <w:pPr>
        <w:keepNext w:val="0"/>
        <w:keepLines w:val="0"/>
        <w:pageBreakBefore w:val="0"/>
        <w:widowControl/>
        <w:kinsoku/>
        <w:wordWrap/>
        <w:overflowPunct/>
        <w:topLinePunct w:val="0"/>
        <w:autoSpaceDE/>
        <w:autoSpaceDN/>
        <w:bidi w:val="0"/>
        <w:adjustRightInd/>
        <w:snapToGrid/>
        <w:spacing w:before="0" w:after="0" w:line="360" w:lineRule="auto"/>
        <w:ind w:left="0" w:firstLine="560" w:firstLineChars="200"/>
        <w:textAlignment w:val="auto"/>
        <w:rPr>
          <w:rFonts w:hint="eastAsia"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eastAsia" w:cs="Times New Roman"/>
          <w:b w:val="0"/>
          <w:bCs w:val="0"/>
          <w:color w:val="000000" w:themeColor="text1"/>
          <w:sz w:val="28"/>
          <w:szCs w:val="28"/>
          <w:lang w:val="en-US" w:eastAsia="zh-CN"/>
          <w14:textFill>
            <w14:solidFill>
              <w14:schemeClr w14:val="tx1"/>
            </w14:solidFill>
          </w14:textFill>
        </w:rPr>
        <w:t>（1）拟建露天采场1</w:t>
      </w:r>
    </w:p>
    <w:p w14:paraId="2072F257">
      <w:pPr>
        <w:spacing w:line="360" w:lineRule="auto"/>
        <w:ind w:firstLine="560" w:firstLineChars="200"/>
        <w:contextualSpacing/>
        <w:rPr>
          <w:rFonts w:hint="eastAsia" w:ascii="Times New Roman" w:hAnsi="Times New Roman"/>
          <w:color w:val="000000" w:themeColor="text1"/>
          <w:spacing w:val="-4"/>
          <w:sz w:val="28"/>
          <w:szCs w:val="21"/>
          <w14:textFill>
            <w14:solidFill>
              <w14:schemeClr w14:val="tx1"/>
            </w14:solidFill>
          </w14:textFill>
        </w:rPr>
      </w:pPr>
      <w:r>
        <w:rPr>
          <w:rFonts w:hint="eastAsia" w:ascii="Times New Roman" w:hAnsi="Times New Roman"/>
          <w:color w:val="000000" w:themeColor="text1"/>
          <w:sz w:val="28"/>
          <w:szCs w:val="21"/>
          <w:lang w:val="en-US" w:eastAsia="zh-CN"/>
          <w14:textFill>
            <w14:solidFill>
              <w14:schemeClr w14:val="tx1"/>
            </w14:solidFill>
          </w14:textFill>
        </w:rPr>
        <w:t>根据《开发与治理综合方案》设计，拟建露天采场1</w:t>
      </w:r>
      <w:r>
        <w:rPr>
          <w:rFonts w:hint="eastAsia"/>
          <w:color w:val="000000" w:themeColor="text1"/>
          <w:sz w:val="28"/>
          <w:szCs w:val="21"/>
          <w:lang w:val="en-US" w:eastAsia="zh-CN"/>
          <w14:textFill>
            <w14:solidFill>
              <w14:schemeClr w14:val="tx1"/>
            </w14:solidFill>
          </w14:textFill>
        </w:rPr>
        <w:t>挖损</w:t>
      </w:r>
      <w:r>
        <w:rPr>
          <w:rFonts w:hint="eastAsia" w:ascii="Times New Roman" w:hAnsi="Times New Roman"/>
          <w:color w:val="000000" w:themeColor="text1"/>
          <w:sz w:val="28"/>
          <w:szCs w:val="21"/>
          <w:lang w:val="en-US" w:eastAsia="zh-CN"/>
          <w14:textFill>
            <w14:solidFill>
              <w14:schemeClr w14:val="tx1"/>
            </w14:solidFill>
          </w14:textFill>
        </w:rPr>
        <w:t>面积2.2810hm</w:t>
      </w:r>
      <w:r>
        <w:rPr>
          <w:rFonts w:hint="eastAsia" w:ascii="Times New Roman" w:hAnsi="Times New Roman"/>
          <w:color w:val="000000" w:themeColor="text1"/>
          <w:sz w:val="28"/>
          <w:szCs w:val="21"/>
          <w:vertAlign w:val="superscript"/>
          <w:lang w:val="en-US" w:eastAsia="zh-CN"/>
          <w14:textFill>
            <w14:solidFill>
              <w14:schemeClr w14:val="tx1"/>
            </w14:solidFill>
          </w14:textFill>
        </w:rPr>
        <w:t>2</w:t>
      </w:r>
      <w:r>
        <w:rPr>
          <w:rFonts w:hint="eastAsia" w:ascii="Times New Roman" w:hAnsi="Times New Roman"/>
          <w:color w:val="000000" w:themeColor="text1"/>
          <w:sz w:val="28"/>
          <w:szCs w:val="21"/>
          <w:lang w:val="en-US" w:eastAsia="zh-CN"/>
          <w14:textFill>
            <w14:solidFill>
              <w14:schemeClr w14:val="tx1"/>
            </w14:solidFill>
          </w14:textFill>
        </w:rPr>
        <w:t>。预测矿山全面开采后，拟建露天采场1共分5个剥采水平，分别为480m、475m、470m、465m、460m水平。开采台阶高度为5m，台阶坡面角45°，最终采场帮坡角15°～31°。终采后坑底尺寸约为78m</w:t>
      </w:r>
      <w:r>
        <w:rPr>
          <w:rFonts w:hint="default" w:ascii="Times New Roman" w:hAnsi="Times New Roman" w:cs="Times New Roman"/>
          <w:color w:val="000000" w:themeColor="text1"/>
          <w:sz w:val="28"/>
          <w:szCs w:val="21"/>
          <w:lang w:val="en-US" w:eastAsia="zh-CN"/>
          <w14:textFill>
            <w14:solidFill>
              <w14:schemeClr w14:val="tx1"/>
            </w14:solidFill>
          </w14:textFill>
        </w:rPr>
        <w:t>×</w:t>
      </w:r>
      <w:r>
        <w:rPr>
          <w:rFonts w:hint="eastAsia" w:ascii="Times New Roman" w:hAnsi="Times New Roman"/>
          <w:color w:val="000000" w:themeColor="text1"/>
          <w:sz w:val="28"/>
          <w:szCs w:val="21"/>
          <w:lang w:val="en-US" w:eastAsia="zh-CN"/>
          <w14:textFill>
            <w14:solidFill>
              <w14:schemeClr w14:val="tx1"/>
            </w14:solidFill>
          </w14:textFill>
        </w:rPr>
        <w:t>52m，设计开采区的开挖最终形成的挖损地貌破坏原有地形地貌景观。预测对地形地貌景观影响严重。拟建露天采场1最终开采境界平面、剖面见图</w:t>
      </w:r>
      <w:r>
        <w:rPr>
          <w:rFonts w:hint="eastAsia"/>
          <w:color w:val="000000" w:themeColor="text1"/>
          <w:sz w:val="28"/>
          <w:szCs w:val="21"/>
          <w:lang w:val="en-US" w:eastAsia="zh-CN"/>
          <w14:textFill>
            <w14:solidFill>
              <w14:schemeClr w14:val="tx1"/>
            </w14:solidFill>
          </w14:textFill>
        </w:rPr>
        <w:t>3-5</w:t>
      </w:r>
      <w:r>
        <w:rPr>
          <w:rFonts w:hint="eastAsia" w:ascii="Times New Roman" w:hAnsi="Times New Roman"/>
          <w:color w:val="000000" w:themeColor="text1"/>
          <w:sz w:val="28"/>
          <w:szCs w:val="21"/>
          <w:lang w:val="en-US" w:eastAsia="zh-CN"/>
          <w14:textFill>
            <w14:solidFill>
              <w14:schemeClr w14:val="tx1"/>
            </w14:solidFill>
          </w14:textFill>
        </w:rPr>
        <w:t>。</w:t>
      </w:r>
    </w:p>
    <w:p w14:paraId="5E3C7270">
      <w:pPr>
        <w:keepNext w:val="0"/>
        <w:keepLines w:val="0"/>
        <w:pageBreakBefore w:val="0"/>
        <w:widowControl/>
        <w:kinsoku/>
        <w:wordWrap/>
        <w:overflowPunct/>
        <w:topLinePunct w:val="0"/>
        <w:autoSpaceDE/>
        <w:autoSpaceDN/>
        <w:bidi w:val="0"/>
        <w:adjustRightInd/>
        <w:snapToGrid/>
        <w:spacing w:after="0" w:line="360" w:lineRule="auto"/>
        <w:contextualSpacing/>
        <w:jc w:val="center"/>
        <w:textAlignment w:val="auto"/>
        <w:rPr>
          <w:rFonts w:hint="eastAsia" w:ascii="Times New Roman" w:hAnsi="Times New Roman" w:eastAsia="黑体" w:cs="Times New Roman"/>
          <w:color w:val="000000" w:themeColor="text1"/>
          <w:sz w:val="24"/>
          <w:lang w:eastAsia="zh-CN"/>
          <w14:textFill>
            <w14:solidFill>
              <w14:schemeClr w14:val="tx1"/>
            </w14:solidFill>
          </w14:textFill>
        </w:rPr>
      </w:pPr>
      <w:r>
        <w:rPr>
          <w:rFonts w:hint="default" w:ascii="Times New Roman" w:hAnsi="Times New Roman" w:eastAsia="黑体" w:cs="Times New Roman"/>
          <w:color w:val="000000" w:themeColor="text1"/>
          <w:sz w:val="24"/>
          <w14:textFill>
            <w14:solidFill>
              <w14:schemeClr w14:val="tx1"/>
            </w14:solidFill>
          </w14:textFill>
        </w:rPr>
        <w:t>表3-</w:t>
      </w:r>
      <w:r>
        <w:rPr>
          <w:rFonts w:hint="eastAsia" w:eastAsia="黑体" w:cs="Times New Roman"/>
          <w:color w:val="000000" w:themeColor="text1"/>
          <w:sz w:val="24"/>
          <w:lang w:val="en-US" w:eastAsia="zh-CN"/>
          <w14:textFill>
            <w14:solidFill>
              <w14:schemeClr w14:val="tx1"/>
            </w14:solidFill>
          </w14:textFill>
        </w:rPr>
        <w:t>26</w:t>
      </w:r>
      <w:r>
        <w:rPr>
          <w:rFonts w:hint="default" w:ascii="Times New Roman" w:hAnsi="Times New Roman" w:eastAsia="黑体" w:cs="Times New Roman"/>
          <w:color w:val="000000" w:themeColor="text1"/>
          <w:sz w:val="24"/>
          <w14:textFill>
            <w14:solidFill>
              <w14:schemeClr w14:val="tx1"/>
            </w14:solidFill>
          </w14:textFill>
        </w:rPr>
        <w:t xml:space="preserve">  地形地貌景观破坏程度评价表</w:t>
      </w:r>
      <w:r>
        <w:rPr>
          <w:rFonts w:hint="eastAsia" w:ascii="Times New Roman" w:hAnsi="Times New Roman" w:eastAsia="黑体" w:cs="Times New Roman"/>
          <w:color w:val="000000" w:themeColor="text1"/>
          <w:sz w:val="24"/>
          <w:lang w:eastAsia="zh-CN"/>
          <w14:textFill>
            <w14:solidFill>
              <w14:schemeClr w14:val="tx1"/>
            </w14:solidFill>
          </w14:textFill>
        </w:rPr>
        <w:t>（</w:t>
      </w:r>
      <w:r>
        <w:rPr>
          <w:rFonts w:hint="eastAsia" w:ascii="Times New Roman" w:hAnsi="Times New Roman" w:eastAsia="黑体" w:cs="Times New Roman"/>
          <w:color w:val="000000" w:themeColor="text1"/>
          <w:sz w:val="24"/>
          <w:lang w:val="en-US" w:eastAsia="zh-CN"/>
          <w14:textFill>
            <w14:solidFill>
              <w14:schemeClr w14:val="tx1"/>
            </w14:solidFill>
          </w14:textFill>
        </w:rPr>
        <w:t>挖损</w:t>
      </w:r>
      <w:r>
        <w:rPr>
          <w:rFonts w:hint="eastAsia" w:ascii="Times New Roman" w:hAnsi="Times New Roman" w:eastAsia="黑体" w:cs="Times New Roman"/>
          <w:color w:val="000000" w:themeColor="text1"/>
          <w:sz w:val="24"/>
          <w:lang w:eastAsia="zh-CN"/>
          <w14:textFill>
            <w14:solidFill>
              <w14:schemeClr w14:val="tx1"/>
            </w14:solidFill>
          </w14:textFill>
        </w:rPr>
        <w:t>）</w:t>
      </w:r>
    </w:p>
    <w:tbl>
      <w:tblPr>
        <w:tblStyle w:val="30"/>
        <w:tblW w:w="892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956"/>
        <w:gridCol w:w="2145"/>
        <w:gridCol w:w="2175"/>
        <w:gridCol w:w="1275"/>
        <w:gridCol w:w="1371"/>
      </w:tblGrid>
      <w:tr w14:paraId="6B2CA8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tblHeader/>
          <w:jc w:val="center"/>
        </w:trPr>
        <w:tc>
          <w:tcPr>
            <w:tcW w:w="1956" w:type="dxa"/>
            <w:noWrap w:val="0"/>
            <w:vAlign w:val="center"/>
          </w:tcPr>
          <w:p w14:paraId="477ED977">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评价单元</w:t>
            </w:r>
          </w:p>
        </w:tc>
        <w:tc>
          <w:tcPr>
            <w:tcW w:w="2145" w:type="dxa"/>
            <w:noWrap w:val="0"/>
            <w:vAlign w:val="center"/>
          </w:tcPr>
          <w:p w14:paraId="545D6DCA">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评价因子</w:t>
            </w:r>
          </w:p>
        </w:tc>
        <w:tc>
          <w:tcPr>
            <w:tcW w:w="2175" w:type="dxa"/>
            <w:noWrap w:val="0"/>
            <w:vAlign w:val="center"/>
          </w:tcPr>
          <w:p w14:paraId="62445151">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损毁程度</w:t>
            </w:r>
          </w:p>
        </w:tc>
        <w:tc>
          <w:tcPr>
            <w:tcW w:w="1275" w:type="dxa"/>
            <w:tcBorders>
              <w:right w:val="single" w:color="auto" w:sz="4" w:space="0"/>
            </w:tcBorders>
            <w:noWrap w:val="0"/>
            <w:vAlign w:val="center"/>
          </w:tcPr>
          <w:p w14:paraId="1AA53500">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得分</w:t>
            </w:r>
          </w:p>
        </w:tc>
        <w:tc>
          <w:tcPr>
            <w:tcW w:w="1371" w:type="dxa"/>
            <w:tcBorders>
              <w:right w:val="single" w:color="auto" w:sz="4" w:space="0"/>
            </w:tcBorders>
            <w:noWrap w:val="0"/>
            <w:vAlign w:val="center"/>
          </w:tcPr>
          <w:p w14:paraId="67C38C5F">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评价结果</w:t>
            </w:r>
          </w:p>
        </w:tc>
      </w:tr>
      <w:tr w14:paraId="302AFB4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1956" w:type="dxa"/>
            <w:vMerge w:val="restart"/>
            <w:noWrap w:val="0"/>
            <w:vAlign w:val="center"/>
          </w:tcPr>
          <w:p w14:paraId="21A059CC">
            <w:pPr>
              <w:keepNext w:val="0"/>
              <w:keepLines w:val="0"/>
              <w:suppressLineNumbers w:val="0"/>
              <w:spacing w:before="0" w:beforeAutospacing="0" w:after="0" w:afterAutospacing="0" w:line="240" w:lineRule="auto"/>
              <w:ind w:left="0" w:right="0"/>
              <w:contextualSpacing/>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拟建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露天采</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场</w:t>
            </w:r>
            <w:r>
              <w:rPr>
                <w:rFonts w:hint="eastAsia" w:cs="Times New Roman"/>
                <w:color w:val="000000" w:themeColor="text1"/>
                <w:sz w:val="21"/>
                <w:szCs w:val="21"/>
                <w:highlight w:val="none"/>
                <w:lang w:val="en-US" w:eastAsia="zh-CN"/>
                <w14:textFill>
                  <w14:solidFill>
                    <w14:schemeClr w14:val="tx1"/>
                  </w14:solidFill>
                </w14:textFill>
              </w:rPr>
              <w:t>1</w:t>
            </w:r>
          </w:p>
        </w:tc>
        <w:tc>
          <w:tcPr>
            <w:tcW w:w="2145" w:type="dxa"/>
            <w:noWrap w:val="0"/>
            <w:vAlign w:val="center"/>
          </w:tcPr>
          <w:p w14:paraId="7E7B22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区位条件</w:t>
            </w:r>
          </w:p>
        </w:tc>
        <w:tc>
          <w:tcPr>
            <w:tcW w:w="2175" w:type="dxa"/>
            <w:noWrap w:val="0"/>
            <w:vAlign w:val="center"/>
          </w:tcPr>
          <w:p w14:paraId="4A505976">
            <w:pPr>
              <w:keepNext w:val="0"/>
              <w:keepLines w:val="0"/>
              <w:suppressLineNumbers w:val="0"/>
              <w:spacing w:before="0" w:beforeAutospacing="0" w:after="0" w:afterAutospacing="0" w:line="240" w:lineRule="auto"/>
              <w:ind w:left="0" w:leftChars="0" w:right="0" w:rightChars="0" w:firstLine="0" w:firstLineChars="0"/>
              <w:contextualSpacing/>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人类活动中等区</w:t>
            </w:r>
          </w:p>
        </w:tc>
        <w:tc>
          <w:tcPr>
            <w:tcW w:w="1275" w:type="dxa"/>
            <w:vMerge w:val="restart"/>
            <w:tcBorders>
              <w:right w:val="single" w:color="auto" w:sz="4" w:space="0"/>
            </w:tcBorders>
            <w:noWrap w:val="0"/>
            <w:vAlign w:val="center"/>
          </w:tcPr>
          <w:p w14:paraId="71FE9B9E">
            <w:pPr>
              <w:keepNext w:val="0"/>
              <w:keepLines w:val="0"/>
              <w:suppressLineNumbers w:val="0"/>
              <w:spacing w:before="0" w:beforeAutospacing="0" w:after="0" w:afterAutospacing="0" w:line="240" w:lineRule="auto"/>
              <w:ind w:left="0" w:right="0"/>
              <w:contextualSpacing/>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3</w:t>
            </w:r>
          </w:p>
        </w:tc>
        <w:tc>
          <w:tcPr>
            <w:tcW w:w="1371" w:type="dxa"/>
            <w:vMerge w:val="restart"/>
            <w:tcBorders>
              <w:left w:val="single" w:color="auto" w:sz="4" w:space="0"/>
            </w:tcBorders>
            <w:noWrap w:val="0"/>
            <w:vAlign w:val="center"/>
          </w:tcPr>
          <w:p w14:paraId="25908E94">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严重</w:t>
            </w:r>
          </w:p>
        </w:tc>
      </w:tr>
      <w:tr w14:paraId="59F11F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1956" w:type="dxa"/>
            <w:vMerge w:val="continue"/>
            <w:noWrap w:val="0"/>
            <w:vAlign w:val="center"/>
          </w:tcPr>
          <w:p w14:paraId="04F48571">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145" w:type="dxa"/>
            <w:noWrap w:val="0"/>
            <w:vAlign w:val="center"/>
          </w:tcPr>
          <w:p w14:paraId="09084E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可视程度</w:t>
            </w:r>
          </w:p>
        </w:tc>
        <w:tc>
          <w:tcPr>
            <w:tcW w:w="2175" w:type="dxa"/>
            <w:noWrap w:val="0"/>
            <w:vAlign w:val="center"/>
          </w:tcPr>
          <w:p w14:paraId="0E4BEE96">
            <w:pPr>
              <w:keepNext w:val="0"/>
              <w:keepLines w:val="0"/>
              <w:suppressLineNumbers w:val="0"/>
              <w:spacing w:before="0" w:beforeAutospacing="0" w:after="0" w:afterAutospacing="0" w:line="240" w:lineRule="auto"/>
              <w:ind w:left="0" w:leftChars="0" w:right="0" w:rightChars="0" w:firstLine="0" w:firstLineChars="0"/>
              <w:contextualSpacing/>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局部可视</w:t>
            </w:r>
          </w:p>
        </w:tc>
        <w:tc>
          <w:tcPr>
            <w:tcW w:w="1275" w:type="dxa"/>
            <w:vMerge w:val="continue"/>
            <w:tcBorders>
              <w:right w:val="single" w:color="auto" w:sz="4" w:space="0"/>
            </w:tcBorders>
            <w:noWrap w:val="0"/>
            <w:vAlign w:val="center"/>
          </w:tcPr>
          <w:p w14:paraId="21ED85ED">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371" w:type="dxa"/>
            <w:vMerge w:val="continue"/>
            <w:tcBorders>
              <w:left w:val="single" w:color="auto" w:sz="4" w:space="0"/>
            </w:tcBorders>
            <w:noWrap w:val="0"/>
            <w:vAlign w:val="center"/>
          </w:tcPr>
          <w:p w14:paraId="76A5AD49">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533AFC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1956" w:type="dxa"/>
            <w:vMerge w:val="continue"/>
            <w:noWrap w:val="0"/>
            <w:vAlign w:val="center"/>
          </w:tcPr>
          <w:p w14:paraId="0FF6EDE8">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145" w:type="dxa"/>
            <w:noWrap w:val="0"/>
            <w:vAlign w:val="center"/>
          </w:tcPr>
          <w:p w14:paraId="1A59C7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0"/>
                <w:lang w:val="en-US" w:eastAsia="zh-CN"/>
                <w14:textFill>
                  <w14:solidFill>
                    <w14:schemeClr w14:val="tx1"/>
                  </w14:solidFill>
                </w14:textFill>
              </w:rPr>
              <w:t>破坏</w:t>
            </w:r>
            <w:r>
              <w:rPr>
                <w:rFonts w:hint="default" w:ascii="Times New Roman" w:hAnsi="Times New Roman" w:cs="Times New Roman"/>
                <w:color w:val="000000" w:themeColor="text1"/>
                <w:sz w:val="21"/>
                <w:szCs w:val="20"/>
                <w14:textFill>
                  <w14:solidFill>
                    <w14:schemeClr w14:val="tx1"/>
                  </w14:solidFill>
                </w14:textFill>
              </w:rPr>
              <w:t>面积</w:t>
            </w:r>
          </w:p>
        </w:tc>
        <w:tc>
          <w:tcPr>
            <w:tcW w:w="2175" w:type="dxa"/>
            <w:noWrap w:val="0"/>
            <w:vAlign w:val="center"/>
          </w:tcPr>
          <w:p w14:paraId="14C339C1">
            <w:pPr>
              <w:keepNext w:val="0"/>
              <w:keepLines w:val="0"/>
              <w:suppressLineNumbers w:val="0"/>
              <w:spacing w:before="0" w:beforeAutospacing="0" w:after="0" w:afterAutospacing="0" w:line="240" w:lineRule="auto"/>
              <w:ind w:left="0" w:leftChars="0" w:right="0" w:rightChars="0" w:firstLine="0" w:firstLineChars="0"/>
              <w:contextualSpacing/>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&gt;1.0hm</w:t>
            </w:r>
            <w:r>
              <w:rPr>
                <w:rFonts w:hint="default" w:ascii="Times New Roman" w:hAnsi="Times New Roman" w:cs="Times New Roman"/>
                <w:color w:val="000000" w:themeColor="text1"/>
                <w:sz w:val="21"/>
                <w:szCs w:val="20"/>
                <w:vertAlign w:val="superscript"/>
                <w14:textFill>
                  <w14:solidFill>
                    <w14:schemeClr w14:val="tx1"/>
                  </w14:solidFill>
                </w14:textFill>
              </w:rPr>
              <w:t>2</w:t>
            </w:r>
          </w:p>
        </w:tc>
        <w:tc>
          <w:tcPr>
            <w:tcW w:w="1275" w:type="dxa"/>
            <w:vMerge w:val="continue"/>
            <w:tcBorders>
              <w:right w:val="single" w:color="auto" w:sz="4" w:space="0"/>
            </w:tcBorders>
            <w:noWrap w:val="0"/>
            <w:vAlign w:val="center"/>
          </w:tcPr>
          <w:p w14:paraId="289444E5">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371" w:type="dxa"/>
            <w:vMerge w:val="continue"/>
            <w:tcBorders>
              <w:left w:val="single" w:color="auto" w:sz="4" w:space="0"/>
            </w:tcBorders>
            <w:noWrap w:val="0"/>
            <w:vAlign w:val="center"/>
          </w:tcPr>
          <w:p w14:paraId="43892647">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4EC9116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1956" w:type="dxa"/>
            <w:vMerge w:val="continue"/>
            <w:noWrap w:val="0"/>
            <w:vAlign w:val="center"/>
          </w:tcPr>
          <w:p w14:paraId="170CB6F1">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145" w:type="dxa"/>
            <w:noWrap w:val="0"/>
            <w:vAlign w:val="center"/>
          </w:tcPr>
          <w:p w14:paraId="59A467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cs="Times New Roman"/>
                <w:color w:val="000000" w:themeColor="text1"/>
                <w:sz w:val="21"/>
                <w:szCs w:val="20"/>
                <w:lang w:val="en-US" w:eastAsia="zh-CN"/>
                <w14:textFill>
                  <w14:solidFill>
                    <w14:schemeClr w14:val="tx1"/>
                  </w14:solidFill>
                </w14:textFill>
              </w:rPr>
              <w:t>最大深度</w:t>
            </w:r>
          </w:p>
        </w:tc>
        <w:tc>
          <w:tcPr>
            <w:tcW w:w="2175" w:type="dxa"/>
            <w:noWrap w:val="0"/>
            <w:vAlign w:val="center"/>
          </w:tcPr>
          <w:p w14:paraId="6A282E61">
            <w:pPr>
              <w:keepNext w:val="0"/>
              <w:keepLines w:val="0"/>
              <w:suppressLineNumbers w:val="0"/>
              <w:spacing w:before="0" w:beforeAutospacing="0" w:after="0" w:afterAutospacing="0" w:line="240" w:lineRule="auto"/>
              <w:ind w:left="0" w:leftChars="0" w:right="0" w:rightChars="0" w:firstLine="0" w:firstLineChars="0"/>
              <w:contextualSpacing/>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&gt;20m</w:t>
            </w:r>
          </w:p>
        </w:tc>
        <w:tc>
          <w:tcPr>
            <w:tcW w:w="1275" w:type="dxa"/>
            <w:vMerge w:val="continue"/>
            <w:tcBorders>
              <w:right w:val="single" w:color="auto" w:sz="4" w:space="0"/>
            </w:tcBorders>
            <w:noWrap w:val="0"/>
            <w:vAlign w:val="center"/>
          </w:tcPr>
          <w:p w14:paraId="23C8DD11">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371" w:type="dxa"/>
            <w:vMerge w:val="continue"/>
            <w:tcBorders>
              <w:left w:val="single" w:color="auto" w:sz="4" w:space="0"/>
            </w:tcBorders>
            <w:noWrap w:val="0"/>
            <w:vAlign w:val="center"/>
          </w:tcPr>
          <w:p w14:paraId="7C1F55C0">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3AD736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1956" w:type="dxa"/>
            <w:vMerge w:val="continue"/>
            <w:noWrap w:val="0"/>
            <w:vAlign w:val="center"/>
          </w:tcPr>
          <w:p w14:paraId="19BB0EF7">
            <w:pPr>
              <w:keepNext w:val="0"/>
              <w:keepLines w:val="0"/>
              <w:suppressLineNumbers w:val="0"/>
              <w:spacing w:before="0" w:beforeAutospacing="0" w:after="0" w:afterAutospacing="0" w:line="240" w:lineRule="auto"/>
              <w:ind w:left="0" w:right="0"/>
              <w:contextualSpacing/>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eastAsia="zh-CN"/>
                <w14:textFill>
                  <w14:solidFill>
                    <w14:schemeClr w14:val="tx1"/>
                  </w14:solidFill>
                </w14:textFill>
              </w:rPr>
              <w:t xml:space="preserve"> </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 xml:space="preserve">                                     </w:t>
            </w:r>
          </w:p>
        </w:tc>
        <w:tc>
          <w:tcPr>
            <w:tcW w:w="2145" w:type="dxa"/>
            <w:noWrap w:val="0"/>
            <w:vAlign w:val="center"/>
          </w:tcPr>
          <w:p w14:paraId="33E38E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边坡规整情况</w:t>
            </w:r>
          </w:p>
        </w:tc>
        <w:tc>
          <w:tcPr>
            <w:tcW w:w="2175" w:type="dxa"/>
            <w:noWrap w:val="0"/>
            <w:vAlign w:val="center"/>
          </w:tcPr>
          <w:p w14:paraId="5CCA1C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欠规整</w:t>
            </w:r>
          </w:p>
        </w:tc>
        <w:tc>
          <w:tcPr>
            <w:tcW w:w="1275" w:type="dxa"/>
            <w:vMerge w:val="continue"/>
            <w:tcBorders>
              <w:right w:val="single" w:color="auto" w:sz="4" w:space="0"/>
            </w:tcBorders>
            <w:noWrap w:val="0"/>
            <w:vAlign w:val="center"/>
          </w:tcPr>
          <w:p w14:paraId="0FBF3C58">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371" w:type="dxa"/>
            <w:vMerge w:val="continue"/>
            <w:tcBorders>
              <w:left w:val="single" w:color="auto" w:sz="4" w:space="0"/>
            </w:tcBorders>
            <w:noWrap w:val="0"/>
            <w:vAlign w:val="center"/>
          </w:tcPr>
          <w:p w14:paraId="322469B3">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bl>
    <w:p w14:paraId="57895787">
      <w:pPr>
        <w:keepNext w:val="0"/>
        <w:keepLines w:val="0"/>
        <w:pageBreakBefore w:val="0"/>
        <w:widowControl w:val="0"/>
        <w:tabs>
          <w:tab w:val="left" w:pos="1300"/>
        </w:tabs>
        <w:kinsoku/>
        <w:wordWrap/>
        <w:overflowPunct/>
        <w:topLinePunct w:val="0"/>
        <w:autoSpaceDE/>
        <w:autoSpaceDN/>
        <w:bidi w:val="0"/>
        <w:adjustRightInd/>
        <w:snapToGrid/>
        <w:spacing w:before="157" w:beforeLines="50"/>
        <w:jc w:val="center"/>
        <w:textAlignment w:val="auto"/>
        <w:rPr>
          <w:rFonts w:hint="eastAsia" w:ascii="宋体" w:hAnsi="宋体" w:eastAsia="宋体" w:cs="宋体"/>
          <w:color w:val="000000" w:themeColor="text1"/>
          <w:sz w:val="28"/>
          <w:szCs w:val="28"/>
          <w:lang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w:t>
      </w:r>
    </w:p>
    <w:p w14:paraId="4180DC9A">
      <w:pPr>
        <w:keepNext w:val="0"/>
        <w:keepLines w:val="0"/>
        <w:pageBreakBefore w:val="0"/>
        <w:widowControl/>
        <w:kinsoku/>
        <w:wordWrap/>
        <w:overflowPunct/>
        <w:topLinePunct w:val="0"/>
        <w:autoSpaceDE/>
        <w:autoSpaceDN/>
        <w:bidi w:val="0"/>
        <w:adjustRightInd/>
        <w:snapToGrid/>
        <w:spacing w:before="0" w:after="0" w:line="360" w:lineRule="auto"/>
        <w:ind w:left="0" w:firstLine="560" w:firstLineChars="200"/>
        <w:textAlignment w:val="auto"/>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（2）拟建露天采场2</w:t>
      </w:r>
    </w:p>
    <w:p w14:paraId="55463D77">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ascii="Times New Roman" w:hAnsi="Times New Roman"/>
          <w:color w:val="000000" w:themeColor="text1"/>
          <w:sz w:val="28"/>
          <w:szCs w:val="21"/>
          <w:highlight w:val="none"/>
          <w:lang w:val="en-US" w:eastAsia="zh-CN"/>
          <w14:textFill>
            <w14:solidFill>
              <w14:schemeClr w14:val="tx1"/>
            </w14:solidFill>
          </w14:textFill>
        </w:rPr>
        <w:t>根据《开发与治理综合方案》设计，拟建露天采场2</w:t>
      </w:r>
      <w:r>
        <w:rPr>
          <w:rFonts w:hint="eastAsia"/>
          <w:color w:val="000000" w:themeColor="text1"/>
          <w:sz w:val="28"/>
          <w:szCs w:val="21"/>
          <w:lang w:val="en-US" w:eastAsia="zh-CN"/>
          <w14:textFill>
            <w14:solidFill>
              <w14:schemeClr w14:val="tx1"/>
            </w14:solidFill>
          </w14:textFill>
        </w:rPr>
        <w:t>挖损</w:t>
      </w:r>
      <w:r>
        <w:rPr>
          <w:rFonts w:hint="eastAsia" w:ascii="Times New Roman" w:hAnsi="Times New Roman"/>
          <w:color w:val="000000" w:themeColor="text1"/>
          <w:sz w:val="28"/>
          <w:szCs w:val="21"/>
          <w:lang w:val="en-US" w:eastAsia="zh-CN"/>
          <w14:textFill>
            <w14:solidFill>
              <w14:schemeClr w14:val="tx1"/>
            </w14:solidFill>
          </w14:textFill>
        </w:rPr>
        <w:t>面积</w:t>
      </w:r>
      <w:r>
        <w:rPr>
          <w:rFonts w:hint="eastAsia" w:ascii="Times New Roman" w:hAnsi="Times New Roman"/>
          <w:color w:val="000000" w:themeColor="text1"/>
          <w:sz w:val="28"/>
          <w:szCs w:val="21"/>
          <w:highlight w:val="none"/>
          <w:lang w:val="en-US" w:eastAsia="zh-CN"/>
          <w14:textFill>
            <w14:solidFill>
              <w14:schemeClr w14:val="tx1"/>
            </w14:solidFill>
          </w14:textFill>
        </w:rPr>
        <w:t>2.3167hm</w:t>
      </w:r>
      <w:r>
        <w:rPr>
          <w:rFonts w:hint="eastAsia" w:ascii="Times New Roman" w:hAnsi="Times New Roman"/>
          <w:color w:val="000000" w:themeColor="text1"/>
          <w:sz w:val="28"/>
          <w:szCs w:val="21"/>
          <w:highlight w:val="none"/>
          <w:vertAlign w:val="superscript"/>
          <w:lang w:val="en-US" w:eastAsia="zh-CN"/>
          <w14:textFill>
            <w14:solidFill>
              <w14:schemeClr w14:val="tx1"/>
            </w14:solidFill>
          </w14:textFill>
        </w:rPr>
        <w:t>2</w:t>
      </w:r>
      <w:r>
        <w:rPr>
          <w:rFonts w:hint="eastAsia" w:ascii="Times New Roman" w:hAnsi="Times New Roman"/>
          <w:color w:val="000000" w:themeColor="text1"/>
          <w:sz w:val="28"/>
          <w:szCs w:val="21"/>
          <w:highlight w:val="none"/>
          <w:lang w:val="en-US" w:eastAsia="zh-CN"/>
          <w14:textFill>
            <w14:solidFill>
              <w14:schemeClr w14:val="tx1"/>
            </w14:solidFill>
          </w14:textFill>
        </w:rPr>
        <w:t>。拟建露天采场2共分4个剥采水平，分别为480m、475m、470m、465m水平。开采台阶高度为5m，台阶坡面角45°，最终采场帮坡角15°～31°。终采后坑底尺寸约为54m</w:t>
      </w:r>
      <w:r>
        <w:rPr>
          <w:rFonts w:hint="default" w:ascii="Times New Roman" w:hAnsi="Times New Roman" w:cs="Times New Roman"/>
          <w:color w:val="000000" w:themeColor="text1"/>
          <w:sz w:val="28"/>
          <w:szCs w:val="21"/>
          <w:highlight w:val="none"/>
          <w:lang w:val="en-US" w:eastAsia="zh-CN"/>
          <w14:textFill>
            <w14:solidFill>
              <w14:schemeClr w14:val="tx1"/>
            </w14:solidFill>
          </w14:textFill>
        </w:rPr>
        <w:t>×</w:t>
      </w:r>
      <w:r>
        <w:rPr>
          <w:rFonts w:hint="eastAsia" w:ascii="Times New Roman" w:hAnsi="Times New Roman"/>
          <w:color w:val="000000" w:themeColor="text1"/>
          <w:sz w:val="28"/>
          <w:szCs w:val="21"/>
          <w:highlight w:val="none"/>
          <w:lang w:val="en-US" w:eastAsia="zh-CN"/>
          <w14:textFill>
            <w14:solidFill>
              <w14:schemeClr w14:val="tx1"/>
            </w14:solidFill>
          </w14:textFill>
        </w:rPr>
        <w:t>40m。设计开采区的开挖最终形成的挖损地貌破坏原有地形地貌景观。预测对地形地貌景观影响严重。拟建露天采场2最终开采境界平面、剖面见图</w:t>
      </w:r>
      <w:r>
        <w:rPr>
          <w:rFonts w:hint="eastAsia"/>
          <w:color w:val="000000" w:themeColor="text1"/>
          <w:sz w:val="28"/>
          <w:szCs w:val="21"/>
          <w:highlight w:val="none"/>
          <w:lang w:val="en-US" w:eastAsia="zh-CN"/>
          <w14:textFill>
            <w14:solidFill>
              <w14:schemeClr w14:val="tx1"/>
            </w14:solidFill>
          </w14:textFill>
        </w:rPr>
        <w:t>3</w:t>
      </w:r>
      <w:r>
        <w:rPr>
          <w:rFonts w:hint="eastAsia" w:ascii="Times New Roman" w:hAnsi="Times New Roman"/>
          <w:color w:val="000000" w:themeColor="text1"/>
          <w:sz w:val="28"/>
          <w:szCs w:val="21"/>
          <w:highlight w:val="none"/>
          <w:lang w:val="en-US" w:eastAsia="zh-CN"/>
          <w14:textFill>
            <w14:solidFill>
              <w14:schemeClr w14:val="tx1"/>
            </w14:solidFill>
          </w14:textFill>
        </w:rPr>
        <w:t>-</w:t>
      </w:r>
      <w:r>
        <w:rPr>
          <w:rFonts w:hint="eastAsia"/>
          <w:color w:val="000000" w:themeColor="text1"/>
          <w:sz w:val="28"/>
          <w:szCs w:val="21"/>
          <w:highlight w:val="none"/>
          <w:lang w:val="en-US" w:eastAsia="zh-CN"/>
          <w14:textFill>
            <w14:solidFill>
              <w14:schemeClr w14:val="tx1"/>
            </w14:solidFill>
          </w14:textFill>
        </w:rPr>
        <w:t>7</w:t>
      </w:r>
      <w:r>
        <w:rPr>
          <w:rFonts w:hint="eastAsia" w:ascii="Times New Roman" w:hAnsi="Times New Roman"/>
          <w:color w:val="000000" w:themeColor="text1"/>
          <w:sz w:val="28"/>
          <w:szCs w:val="21"/>
          <w:highlight w:val="none"/>
          <w:lang w:val="en-US" w:eastAsia="zh-CN"/>
          <w14:textFill>
            <w14:solidFill>
              <w14:schemeClr w14:val="tx1"/>
            </w14:solidFill>
          </w14:textFill>
        </w:rPr>
        <w:t>。</w:t>
      </w:r>
    </w:p>
    <w:p w14:paraId="13F68345">
      <w:pPr>
        <w:keepNext w:val="0"/>
        <w:keepLines w:val="0"/>
        <w:pageBreakBefore w:val="0"/>
        <w:widowControl/>
        <w:kinsoku/>
        <w:wordWrap/>
        <w:overflowPunct/>
        <w:topLinePunct w:val="0"/>
        <w:autoSpaceDE/>
        <w:autoSpaceDN/>
        <w:bidi w:val="0"/>
        <w:adjustRightInd/>
        <w:snapToGrid/>
        <w:spacing w:after="0" w:line="360" w:lineRule="auto"/>
        <w:ind w:firstLine="480" w:firstLineChars="200"/>
        <w:contextualSpacing/>
        <w:jc w:val="center"/>
        <w:textAlignment w:val="auto"/>
        <w:rPr>
          <w:rFonts w:hint="default" w:ascii="Times New Roman" w:hAnsi="Times New Roman" w:eastAsia="黑体" w:cs="Times New Roman"/>
          <w:color w:val="000000" w:themeColor="text1"/>
          <w:sz w:val="24"/>
          <w:highlight w:val="none"/>
          <w14:textFill>
            <w14:solidFill>
              <w14:schemeClr w14:val="tx1"/>
            </w14:solidFill>
          </w14:textFill>
        </w:rPr>
      </w:pPr>
      <w:r>
        <w:rPr>
          <w:rFonts w:hint="default" w:ascii="Times New Roman" w:hAnsi="Times New Roman" w:eastAsia="黑体" w:cs="Times New Roman"/>
          <w:color w:val="000000" w:themeColor="text1"/>
          <w:sz w:val="24"/>
          <w:highlight w:val="none"/>
          <w14:textFill>
            <w14:solidFill>
              <w14:schemeClr w14:val="tx1"/>
            </w14:solidFill>
          </w14:textFill>
        </w:rPr>
        <w:t>表3-</w:t>
      </w:r>
      <w:r>
        <w:rPr>
          <w:rFonts w:hint="eastAsia" w:eastAsia="黑体" w:cs="Times New Roman"/>
          <w:color w:val="000000" w:themeColor="text1"/>
          <w:sz w:val="24"/>
          <w:highlight w:val="none"/>
          <w:lang w:val="en-US" w:eastAsia="zh-CN"/>
          <w14:textFill>
            <w14:solidFill>
              <w14:schemeClr w14:val="tx1"/>
            </w14:solidFill>
          </w14:textFill>
        </w:rPr>
        <w:t>27</w:t>
      </w:r>
      <w:r>
        <w:rPr>
          <w:rFonts w:hint="default" w:ascii="Times New Roman" w:hAnsi="Times New Roman" w:eastAsia="黑体" w:cs="Times New Roman"/>
          <w:color w:val="000000" w:themeColor="text1"/>
          <w:sz w:val="24"/>
          <w:highlight w:val="none"/>
          <w14:textFill>
            <w14:solidFill>
              <w14:schemeClr w14:val="tx1"/>
            </w14:solidFill>
          </w14:textFill>
        </w:rPr>
        <w:t xml:space="preserve">  地形地貌景观破坏程度评价表</w:t>
      </w:r>
      <w:r>
        <w:rPr>
          <w:rFonts w:hint="eastAsia" w:ascii="Times New Roman" w:hAnsi="Times New Roman" w:eastAsia="黑体" w:cs="Times New Roman"/>
          <w:color w:val="000000" w:themeColor="text1"/>
          <w:sz w:val="24"/>
          <w:lang w:eastAsia="zh-CN"/>
          <w14:textFill>
            <w14:solidFill>
              <w14:schemeClr w14:val="tx1"/>
            </w14:solidFill>
          </w14:textFill>
        </w:rPr>
        <w:t>（</w:t>
      </w:r>
      <w:r>
        <w:rPr>
          <w:rFonts w:hint="eastAsia" w:eastAsia="黑体" w:cs="Times New Roman"/>
          <w:color w:val="000000" w:themeColor="text1"/>
          <w:sz w:val="24"/>
          <w:lang w:val="en-US" w:eastAsia="zh-CN"/>
          <w14:textFill>
            <w14:solidFill>
              <w14:schemeClr w14:val="tx1"/>
            </w14:solidFill>
          </w14:textFill>
        </w:rPr>
        <w:t>挖损</w:t>
      </w:r>
      <w:r>
        <w:rPr>
          <w:rFonts w:hint="eastAsia" w:ascii="Times New Roman" w:hAnsi="Times New Roman" w:eastAsia="黑体" w:cs="Times New Roman"/>
          <w:color w:val="000000" w:themeColor="text1"/>
          <w:sz w:val="24"/>
          <w:lang w:eastAsia="zh-CN"/>
          <w14:textFill>
            <w14:solidFill>
              <w14:schemeClr w14:val="tx1"/>
            </w14:solidFill>
          </w14:textFill>
        </w:rPr>
        <w:t>）</w:t>
      </w:r>
    </w:p>
    <w:tbl>
      <w:tblPr>
        <w:tblStyle w:val="30"/>
        <w:tblW w:w="863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871"/>
        <w:gridCol w:w="2385"/>
        <w:gridCol w:w="1935"/>
        <w:gridCol w:w="1125"/>
        <w:gridCol w:w="1316"/>
      </w:tblGrid>
      <w:tr w14:paraId="61FCBF3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blHeader/>
          <w:jc w:val="center"/>
        </w:trPr>
        <w:tc>
          <w:tcPr>
            <w:tcW w:w="1871" w:type="dxa"/>
            <w:noWrap w:val="0"/>
            <w:vAlign w:val="center"/>
          </w:tcPr>
          <w:p w14:paraId="24BA1B67">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评价单元</w:t>
            </w:r>
          </w:p>
        </w:tc>
        <w:tc>
          <w:tcPr>
            <w:tcW w:w="2385" w:type="dxa"/>
            <w:noWrap w:val="0"/>
            <w:vAlign w:val="center"/>
          </w:tcPr>
          <w:p w14:paraId="045B20BB">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评价因子</w:t>
            </w:r>
          </w:p>
        </w:tc>
        <w:tc>
          <w:tcPr>
            <w:tcW w:w="1935" w:type="dxa"/>
            <w:noWrap w:val="0"/>
            <w:vAlign w:val="center"/>
          </w:tcPr>
          <w:p w14:paraId="7C7A92FC">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损毁程度</w:t>
            </w:r>
          </w:p>
        </w:tc>
        <w:tc>
          <w:tcPr>
            <w:tcW w:w="1125" w:type="dxa"/>
            <w:tcBorders>
              <w:right w:val="single" w:color="auto" w:sz="4" w:space="0"/>
            </w:tcBorders>
            <w:noWrap w:val="0"/>
            <w:vAlign w:val="center"/>
          </w:tcPr>
          <w:p w14:paraId="31140565">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得分</w:t>
            </w:r>
          </w:p>
        </w:tc>
        <w:tc>
          <w:tcPr>
            <w:tcW w:w="1316" w:type="dxa"/>
            <w:tcBorders>
              <w:right w:val="single" w:color="auto" w:sz="4" w:space="0"/>
            </w:tcBorders>
            <w:noWrap w:val="0"/>
            <w:vAlign w:val="center"/>
          </w:tcPr>
          <w:p w14:paraId="35D864D8">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评价结果</w:t>
            </w:r>
          </w:p>
        </w:tc>
      </w:tr>
      <w:tr w14:paraId="6E4236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71" w:type="dxa"/>
            <w:vMerge w:val="restart"/>
            <w:noWrap w:val="0"/>
            <w:vAlign w:val="center"/>
          </w:tcPr>
          <w:p w14:paraId="37DA8A94">
            <w:pPr>
              <w:keepNext w:val="0"/>
              <w:keepLines w:val="0"/>
              <w:suppressLineNumbers w:val="0"/>
              <w:spacing w:before="0" w:beforeAutospacing="0" w:after="0" w:afterAutospacing="0" w:line="240" w:lineRule="auto"/>
              <w:ind w:left="0" w:right="0"/>
              <w:contextualSpacing/>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拟建露天采场2</w:t>
            </w:r>
          </w:p>
        </w:tc>
        <w:tc>
          <w:tcPr>
            <w:tcW w:w="2385" w:type="dxa"/>
            <w:noWrap w:val="0"/>
            <w:vAlign w:val="center"/>
          </w:tcPr>
          <w:p w14:paraId="26B70E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区位条件</w:t>
            </w:r>
          </w:p>
        </w:tc>
        <w:tc>
          <w:tcPr>
            <w:tcW w:w="1935" w:type="dxa"/>
            <w:noWrap w:val="0"/>
            <w:vAlign w:val="center"/>
          </w:tcPr>
          <w:p w14:paraId="14519022">
            <w:pPr>
              <w:keepNext w:val="0"/>
              <w:keepLines w:val="0"/>
              <w:suppressLineNumbers w:val="0"/>
              <w:spacing w:before="0" w:beforeAutospacing="0" w:after="0" w:afterAutospacing="0" w:line="240" w:lineRule="auto"/>
              <w:ind w:left="0" w:leftChars="0" w:right="0" w:rightChars="0" w:firstLine="0" w:firstLineChars="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人类活动中等区</w:t>
            </w:r>
          </w:p>
        </w:tc>
        <w:tc>
          <w:tcPr>
            <w:tcW w:w="1125" w:type="dxa"/>
            <w:vMerge w:val="restart"/>
            <w:tcBorders>
              <w:right w:val="single" w:color="auto" w:sz="4" w:space="0"/>
            </w:tcBorders>
            <w:noWrap w:val="0"/>
            <w:vAlign w:val="center"/>
          </w:tcPr>
          <w:p w14:paraId="7CF60225">
            <w:pPr>
              <w:keepNext w:val="0"/>
              <w:keepLines w:val="0"/>
              <w:suppressLineNumbers w:val="0"/>
              <w:spacing w:before="0" w:beforeAutospacing="0" w:after="0" w:afterAutospacing="0" w:line="240" w:lineRule="auto"/>
              <w:ind w:left="0" w:leftChars="0" w:right="0" w:rightChars="0"/>
              <w:contextualSpacing/>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1</w:t>
            </w:r>
          </w:p>
        </w:tc>
        <w:tc>
          <w:tcPr>
            <w:tcW w:w="1316" w:type="dxa"/>
            <w:vMerge w:val="restart"/>
            <w:tcBorders>
              <w:left w:val="single" w:color="auto" w:sz="4" w:space="0"/>
            </w:tcBorders>
            <w:noWrap w:val="0"/>
            <w:vAlign w:val="center"/>
          </w:tcPr>
          <w:p w14:paraId="62C6C994">
            <w:pPr>
              <w:keepNext w:val="0"/>
              <w:keepLines w:val="0"/>
              <w:suppressLineNumbers w:val="0"/>
              <w:spacing w:before="0" w:beforeAutospacing="0" w:after="0" w:afterAutospacing="0" w:line="240" w:lineRule="auto"/>
              <w:ind w:left="0" w:leftChars="0" w:right="0" w:rightChars="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严重</w:t>
            </w:r>
          </w:p>
        </w:tc>
      </w:tr>
      <w:tr w14:paraId="3D9E87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71" w:type="dxa"/>
            <w:vMerge w:val="continue"/>
            <w:noWrap w:val="0"/>
            <w:vAlign w:val="center"/>
          </w:tcPr>
          <w:p w14:paraId="6D2DFD9D">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85" w:type="dxa"/>
            <w:noWrap w:val="0"/>
            <w:vAlign w:val="center"/>
          </w:tcPr>
          <w:p w14:paraId="52423D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可视程度</w:t>
            </w:r>
          </w:p>
        </w:tc>
        <w:tc>
          <w:tcPr>
            <w:tcW w:w="1935" w:type="dxa"/>
            <w:noWrap w:val="0"/>
            <w:vAlign w:val="center"/>
          </w:tcPr>
          <w:p w14:paraId="139EDDA9">
            <w:pPr>
              <w:keepNext w:val="0"/>
              <w:keepLines w:val="0"/>
              <w:suppressLineNumbers w:val="0"/>
              <w:spacing w:before="0" w:beforeAutospacing="0" w:after="0" w:afterAutospacing="0" w:line="240" w:lineRule="auto"/>
              <w:ind w:left="0" w:leftChars="0" w:right="0" w:rightChars="0" w:firstLine="0" w:firstLineChars="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局部可视</w:t>
            </w:r>
          </w:p>
        </w:tc>
        <w:tc>
          <w:tcPr>
            <w:tcW w:w="1125" w:type="dxa"/>
            <w:vMerge w:val="continue"/>
            <w:tcBorders>
              <w:right w:val="single" w:color="auto" w:sz="4" w:space="0"/>
            </w:tcBorders>
            <w:noWrap w:val="0"/>
            <w:vAlign w:val="center"/>
          </w:tcPr>
          <w:p w14:paraId="7124BF41">
            <w:pPr>
              <w:keepNext w:val="0"/>
              <w:keepLines w:val="0"/>
              <w:suppressLineNumbers w:val="0"/>
              <w:spacing w:before="0" w:beforeAutospacing="0" w:after="0" w:afterAutospacing="0" w:line="240" w:lineRule="auto"/>
              <w:ind w:left="0" w:leftChars="0" w:right="0" w:rightChars="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316" w:type="dxa"/>
            <w:vMerge w:val="continue"/>
            <w:tcBorders>
              <w:left w:val="single" w:color="auto" w:sz="4" w:space="0"/>
            </w:tcBorders>
            <w:noWrap w:val="0"/>
            <w:vAlign w:val="center"/>
          </w:tcPr>
          <w:p w14:paraId="6E6224D7">
            <w:pPr>
              <w:keepNext w:val="0"/>
              <w:keepLines w:val="0"/>
              <w:suppressLineNumbers w:val="0"/>
              <w:spacing w:before="0" w:beforeAutospacing="0" w:after="0" w:afterAutospacing="0" w:line="240" w:lineRule="auto"/>
              <w:ind w:left="0" w:leftChars="0" w:right="0" w:rightChars="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6E329A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71" w:type="dxa"/>
            <w:vMerge w:val="continue"/>
            <w:noWrap w:val="0"/>
            <w:vAlign w:val="center"/>
          </w:tcPr>
          <w:p w14:paraId="7DFBF4DF">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85" w:type="dxa"/>
            <w:noWrap w:val="0"/>
            <w:vAlign w:val="center"/>
          </w:tcPr>
          <w:p w14:paraId="2B84DA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0"/>
                <w:lang w:val="en-US" w:eastAsia="zh-CN"/>
                <w14:textFill>
                  <w14:solidFill>
                    <w14:schemeClr w14:val="tx1"/>
                  </w14:solidFill>
                </w14:textFill>
              </w:rPr>
              <w:t>破坏</w:t>
            </w:r>
            <w:r>
              <w:rPr>
                <w:rFonts w:hint="default" w:ascii="Times New Roman" w:hAnsi="Times New Roman" w:cs="Times New Roman"/>
                <w:color w:val="000000" w:themeColor="text1"/>
                <w:sz w:val="21"/>
                <w:szCs w:val="20"/>
                <w14:textFill>
                  <w14:solidFill>
                    <w14:schemeClr w14:val="tx1"/>
                  </w14:solidFill>
                </w14:textFill>
              </w:rPr>
              <w:t>面积</w:t>
            </w:r>
          </w:p>
        </w:tc>
        <w:tc>
          <w:tcPr>
            <w:tcW w:w="1935" w:type="dxa"/>
            <w:noWrap w:val="0"/>
            <w:vAlign w:val="center"/>
          </w:tcPr>
          <w:p w14:paraId="6FFA3106">
            <w:pPr>
              <w:keepNext w:val="0"/>
              <w:keepLines w:val="0"/>
              <w:suppressLineNumbers w:val="0"/>
              <w:spacing w:before="0" w:beforeAutospacing="0" w:after="0" w:afterAutospacing="0" w:line="240" w:lineRule="auto"/>
              <w:ind w:left="0" w:leftChars="0" w:right="0" w:rightChars="0" w:firstLine="0" w:firstLineChars="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&gt;1.0hm</w:t>
            </w:r>
            <w:r>
              <w:rPr>
                <w:rFonts w:hint="default" w:ascii="Times New Roman" w:hAnsi="Times New Roman" w:cs="Times New Roman"/>
                <w:color w:val="000000" w:themeColor="text1"/>
                <w:sz w:val="21"/>
                <w:szCs w:val="20"/>
                <w:vertAlign w:val="superscript"/>
                <w14:textFill>
                  <w14:solidFill>
                    <w14:schemeClr w14:val="tx1"/>
                  </w14:solidFill>
                </w14:textFill>
              </w:rPr>
              <w:t>2</w:t>
            </w:r>
          </w:p>
        </w:tc>
        <w:tc>
          <w:tcPr>
            <w:tcW w:w="1125" w:type="dxa"/>
            <w:vMerge w:val="continue"/>
            <w:tcBorders>
              <w:right w:val="single" w:color="auto" w:sz="4" w:space="0"/>
            </w:tcBorders>
            <w:noWrap w:val="0"/>
            <w:vAlign w:val="center"/>
          </w:tcPr>
          <w:p w14:paraId="220E2CB1">
            <w:pPr>
              <w:keepNext w:val="0"/>
              <w:keepLines w:val="0"/>
              <w:suppressLineNumbers w:val="0"/>
              <w:spacing w:before="0" w:beforeAutospacing="0" w:after="0" w:afterAutospacing="0" w:line="240" w:lineRule="auto"/>
              <w:ind w:left="0" w:leftChars="0" w:right="0" w:rightChars="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316" w:type="dxa"/>
            <w:vMerge w:val="continue"/>
            <w:tcBorders>
              <w:left w:val="single" w:color="auto" w:sz="4" w:space="0"/>
            </w:tcBorders>
            <w:noWrap w:val="0"/>
            <w:vAlign w:val="center"/>
          </w:tcPr>
          <w:p w14:paraId="4D968814">
            <w:pPr>
              <w:keepNext w:val="0"/>
              <w:keepLines w:val="0"/>
              <w:suppressLineNumbers w:val="0"/>
              <w:spacing w:before="0" w:beforeAutospacing="0" w:after="0" w:afterAutospacing="0" w:line="240" w:lineRule="auto"/>
              <w:ind w:left="0" w:leftChars="0" w:right="0" w:rightChars="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2D1305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71" w:type="dxa"/>
            <w:vMerge w:val="continue"/>
            <w:noWrap w:val="0"/>
            <w:vAlign w:val="center"/>
          </w:tcPr>
          <w:p w14:paraId="17ACBB1F">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85" w:type="dxa"/>
            <w:noWrap w:val="0"/>
            <w:vAlign w:val="center"/>
          </w:tcPr>
          <w:p w14:paraId="2F7EDB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eastAsia" w:ascii="Times New Roman" w:hAnsi="Times New Roman" w:cs="Times New Roman"/>
                <w:color w:val="000000" w:themeColor="text1"/>
                <w:sz w:val="21"/>
                <w:szCs w:val="20"/>
                <w:lang w:val="en-US" w:eastAsia="zh-CN"/>
                <w14:textFill>
                  <w14:solidFill>
                    <w14:schemeClr w14:val="tx1"/>
                  </w14:solidFill>
                </w14:textFill>
              </w:rPr>
              <w:t>最大深度</w:t>
            </w:r>
          </w:p>
        </w:tc>
        <w:tc>
          <w:tcPr>
            <w:tcW w:w="1935" w:type="dxa"/>
            <w:noWrap w:val="0"/>
            <w:vAlign w:val="center"/>
          </w:tcPr>
          <w:p w14:paraId="1A04AAF8">
            <w:pPr>
              <w:keepNext w:val="0"/>
              <w:keepLines w:val="0"/>
              <w:suppressLineNumbers w:val="0"/>
              <w:spacing w:before="0" w:beforeAutospacing="0" w:after="0" w:afterAutospacing="0" w:line="240" w:lineRule="auto"/>
              <w:ind w:left="0" w:leftChars="0" w:right="0" w:rightChars="0" w:firstLine="0" w:firstLineChars="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10-20m</w:t>
            </w:r>
          </w:p>
        </w:tc>
        <w:tc>
          <w:tcPr>
            <w:tcW w:w="1125" w:type="dxa"/>
            <w:vMerge w:val="continue"/>
            <w:tcBorders>
              <w:right w:val="single" w:color="auto" w:sz="4" w:space="0"/>
            </w:tcBorders>
            <w:noWrap w:val="0"/>
            <w:vAlign w:val="center"/>
          </w:tcPr>
          <w:p w14:paraId="6AF80CAD">
            <w:pPr>
              <w:keepNext w:val="0"/>
              <w:keepLines w:val="0"/>
              <w:suppressLineNumbers w:val="0"/>
              <w:spacing w:before="0" w:beforeAutospacing="0" w:after="0" w:afterAutospacing="0" w:line="240" w:lineRule="auto"/>
              <w:ind w:left="0" w:leftChars="0" w:right="0" w:rightChars="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316" w:type="dxa"/>
            <w:vMerge w:val="continue"/>
            <w:tcBorders>
              <w:left w:val="single" w:color="auto" w:sz="4" w:space="0"/>
            </w:tcBorders>
            <w:noWrap w:val="0"/>
            <w:vAlign w:val="center"/>
          </w:tcPr>
          <w:p w14:paraId="2909BCDE">
            <w:pPr>
              <w:keepNext w:val="0"/>
              <w:keepLines w:val="0"/>
              <w:suppressLineNumbers w:val="0"/>
              <w:spacing w:before="0" w:beforeAutospacing="0" w:after="0" w:afterAutospacing="0" w:line="240" w:lineRule="auto"/>
              <w:ind w:left="0" w:leftChars="0" w:right="0" w:rightChars="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5868AC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71" w:type="dxa"/>
            <w:vMerge w:val="continue"/>
            <w:noWrap w:val="0"/>
            <w:vAlign w:val="center"/>
          </w:tcPr>
          <w:p w14:paraId="5DD5C3BA">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85" w:type="dxa"/>
            <w:noWrap w:val="0"/>
            <w:vAlign w:val="center"/>
          </w:tcPr>
          <w:p w14:paraId="304E9B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边坡规整情况</w:t>
            </w:r>
          </w:p>
        </w:tc>
        <w:tc>
          <w:tcPr>
            <w:tcW w:w="1935" w:type="dxa"/>
            <w:noWrap w:val="0"/>
            <w:vAlign w:val="center"/>
          </w:tcPr>
          <w:p w14:paraId="64E3B2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欠规整</w:t>
            </w:r>
          </w:p>
        </w:tc>
        <w:tc>
          <w:tcPr>
            <w:tcW w:w="1125" w:type="dxa"/>
            <w:vMerge w:val="continue"/>
            <w:tcBorders>
              <w:right w:val="single" w:color="auto" w:sz="4" w:space="0"/>
            </w:tcBorders>
            <w:noWrap w:val="0"/>
            <w:vAlign w:val="center"/>
          </w:tcPr>
          <w:p w14:paraId="36D62988">
            <w:pPr>
              <w:keepNext w:val="0"/>
              <w:keepLines w:val="0"/>
              <w:suppressLineNumbers w:val="0"/>
              <w:spacing w:before="0" w:beforeAutospacing="0" w:after="0" w:afterAutospacing="0" w:line="240" w:lineRule="auto"/>
              <w:ind w:left="0" w:leftChars="0" w:right="0" w:rightChars="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316" w:type="dxa"/>
            <w:vMerge w:val="continue"/>
            <w:tcBorders>
              <w:left w:val="single" w:color="auto" w:sz="4" w:space="0"/>
            </w:tcBorders>
            <w:noWrap w:val="0"/>
            <w:vAlign w:val="center"/>
          </w:tcPr>
          <w:p w14:paraId="2B6E59C8">
            <w:pPr>
              <w:keepNext w:val="0"/>
              <w:keepLines w:val="0"/>
              <w:suppressLineNumbers w:val="0"/>
              <w:spacing w:before="0" w:beforeAutospacing="0" w:after="0" w:afterAutospacing="0" w:line="240" w:lineRule="auto"/>
              <w:ind w:left="0" w:leftChars="0" w:right="0" w:rightChars="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bl>
    <w:p w14:paraId="126E64AF">
      <w:pPr>
        <w:keepNext w:val="0"/>
        <w:keepLines w:val="0"/>
        <w:pageBreakBefore w:val="0"/>
        <w:widowControl w:val="0"/>
        <w:kinsoku/>
        <w:wordWrap/>
        <w:overflowPunct/>
        <w:topLinePunct w:val="0"/>
        <w:autoSpaceDE/>
        <w:autoSpaceDN/>
        <w:bidi w:val="0"/>
        <w:adjustRightInd/>
        <w:snapToGrid/>
        <w:spacing w:before="157" w:beforeLines="50"/>
        <w:contextualSpacing/>
        <w:jc w:val="center"/>
        <w:textAlignment w:val="auto"/>
        <w:rPr>
          <w:rFonts w:hint="eastAsia" w:ascii="宋体" w:hAnsi="宋体" w:eastAsia="宋体" w:cs="宋体"/>
          <w:color w:val="000000" w:themeColor="text1"/>
          <w:sz w:val="28"/>
          <w:szCs w:val="28"/>
          <w:lang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w:t>
      </w:r>
    </w:p>
    <w:p w14:paraId="5D1866E0">
      <w:pPr>
        <w:pStyle w:val="12"/>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（3）拟建储水池</w:t>
      </w:r>
    </w:p>
    <w:p w14:paraId="19734603">
      <w:pPr>
        <w:pStyle w:val="12"/>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color w:val="000000" w:themeColor="text1"/>
          <w:sz w:val="28"/>
          <w:szCs w:val="21"/>
          <w14:textFill>
            <w14:solidFill>
              <w14:schemeClr w14:val="tx1"/>
            </w14:solidFill>
          </w14:textFill>
        </w:rPr>
        <w:t>拟建储水池位于采矿许可证5号拐点北东侧，设计面积0.0150hm</w:t>
      </w:r>
      <w:r>
        <w:rPr>
          <w:rFonts w:hint="default" w:ascii="Times New Roman" w:hAnsi="Times New Roman" w:eastAsia="宋体" w:cs="Times New Roman"/>
          <w:color w:val="000000" w:themeColor="text1"/>
          <w:sz w:val="28"/>
          <w:szCs w:val="21"/>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1"/>
          <w14:textFill>
            <w14:solidFill>
              <w14:schemeClr w14:val="tx1"/>
            </w14:solidFill>
          </w14:textFill>
        </w:rPr>
        <w:t>，设计容量210m</w:t>
      </w:r>
      <w:r>
        <w:rPr>
          <w:rFonts w:hint="default" w:ascii="Times New Roman" w:hAnsi="Times New Roman" w:eastAsia="宋体" w:cs="Times New Roman"/>
          <w:color w:val="000000" w:themeColor="text1"/>
          <w:sz w:val="28"/>
          <w:szCs w:val="21"/>
          <w:vertAlign w:val="superscript"/>
          <w14:textFill>
            <w14:solidFill>
              <w14:schemeClr w14:val="tx1"/>
            </w14:solidFill>
          </w14:textFill>
        </w:rPr>
        <w:t>3</w:t>
      </w:r>
      <w:r>
        <w:rPr>
          <w:rFonts w:hint="default" w:ascii="Times New Roman" w:hAnsi="Times New Roman" w:eastAsia="宋体" w:cs="Times New Roman"/>
          <w:color w:val="000000" w:themeColor="text1"/>
          <w:sz w:val="28"/>
          <w:szCs w:val="21"/>
          <w14:textFill>
            <w14:solidFill>
              <w14:schemeClr w14:val="tx1"/>
            </w14:solidFill>
          </w14:textFill>
        </w:rPr>
        <w:t>。设计长×宽×深=10m×15m×2m，该场地全部位于现状表土存放场内，场地的建设破坏了原始地形地貌景观及植被，对地形地貌景观的影响较轻。</w:t>
      </w:r>
    </w:p>
    <w:p w14:paraId="2B65439B">
      <w:pPr>
        <w:keepNext w:val="0"/>
        <w:keepLines w:val="0"/>
        <w:pageBreakBefore w:val="0"/>
        <w:widowControl/>
        <w:kinsoku/>
        <w:wordWrap/>
        <w:overflowPunct/>
        <w:topLinePunct w:val="0"/>
        <w:autoSpaceDE/>
        <w:autoSpaceDN/>
        <w:bidi w:val="0"/>
        <w:adjustRightInd/>
        <w:snapToGrid/>
        <w:spacing w:after="0" w:line="360" w:lineRule="auto"/>
        <w:ind w:firstLine="480" w:firstLineChars="200"/>
        <w:contextualSpacing/>
        <w:jc w:val="center"/>
        <w:textAlignment w:val="auto"/>
        <w:rPr>
          <w:rFonts w:hint="default" w:ascii="Times New Roman" w:hAnsi="Times New Roman" w:eastAsia="黑体" w:cs="Times New Roman"/>
          <w:color w:val="000000" w:themeColor="text1"/>
          <w:sz w:val="24"/>
          <w:highlight w:val="none"/>
          <w14:textFill>
            <w14:solidFill>
              <w14:schemeClr w14:val="tx1"/>
            </w14:solidFill>
          </w14:textFill>
        </w:rPr>
      </w:pPr>
      <w:r>
        <w:rPr>
          <w:rFonts w:hint="default" w:ascii="Times New Roman" w:hAnsi="Times New Roman" w:eastAsia="黑体" w:cs="Times New Roman"/>
          <w:color w:val="000000" w:themeColor="text1"/>
          <w:sz w:val="24"/>
          <w:highlight w:val="none"/>
          <w14:textFill>
            <w14:solidFill>
              <w14:schemeClr w14:val="tx1"/>
            </w14:solidFill>
          </w14:textFill>
        </w:rPr>
        <w:t>表3-</w:t>
      </w:r>
      <w:r>
        <w:rPr>
          <w:rFonts w:hint="eastAsia" w:eastAsia="黑体" w:cs="Times New Roman"/>
          <w:color w:val="000000" w:themeColor="text1"/>
          <w:sz w:val="24"/>
          <w:highlight w:val="none"/>
          <w:lang w:val="en-US" w:eastAsia="zh-CN"/>
          <w14:textFill>
            <w14:solidFill>
              <w14:schemeClr w14:val="tx1"/>
            </w14:solidFill>
          </w14:textFill>
        </w:rPr>
        <w:t>28</w:t>
      </w:r>
      <w:r>
        <w:rPr>
          <w:rFonts w:hint="default" w:ascii="Times New Roman" w:hAnsi="Times New Roman" w:eastAsia="黑体" w:cs="Times New Roman"/>
          <w:color w:val="000000" w:themeColor="text1"/>
          <w:sz w:val="24"/>
          <w:highlight w:val="none"/>
          <w14:textFill>
            <w14:solidFill>
              <w14:schemeClr w14:val="tx1"/>
            </w14:solidFill>
          </w14:textFill>
        </w:rPr>
        <w:t xml:space="preserve">  地形地貌景观破坏程度评价表</w:t>
      </w:r>
      <w:r>
        <w:rPr>
          <w:rFonts w:hint="eastAsia" w:ascii="Times New Roman" w:hAnsi="Times New Roman" w:eastAsia="黑体" w:cs="Times New Roman"/>
          <w:color w:val="000000" w:themeColor="text1"/>
          <w:sz w:val="24"/>
          <w:lang w:eastAsia="zh-CN"/>
          <w14:textFill>
            <w14:solidFill>
              <w14:schemeClr w14:val="tx1"/>
            </w14:solidFill>
          </w14:textFill>
        </w:rPr>
        <w:t>（</w:t>
      </w:r>
      <w:r>
        <w:rPr>
          <w:rFonts w:hint="eastAsia" w:ascii="Times New Roman" w:hAnsi="Times New Roman" w:eastAsia="黑体" w:cs="Times New Roman"/>
          <w:color w:val="000000" w:themeColor="text1"/>
          <w:sz w:val="24"/>
          <w:lang w:val="en-US" w:eastAsia="zh-CN"/>
          <w14:textFill>
            <w14:solidFill>
              <w14:schemeClr w14:val="tx1"/>
            </w14:solidFill>
          </w14:textFill>
        </w:rPr>
        <w:t>压占</w:t>
      </w:r>
      <w:r>
        <w:rPr>
          <w:rFonts w:hint="eastAsia" w:ascii="Times New Roman" w:hAnsi="Times New Roman" w:eastAsia="黑体" w:cs="Times New Roman"/>
          <w:color w:val="000000" w:themeColor="text1"/>
          <w:sz w:val="24"/>
          <w:lang w:eastAsia="zh-CN"/>
          <w14:textFill>
            <w14:solidFill>
              <w14:schemeClr w14:val="tx1"/>
            </w14:solidFill>
          </w14:textFill>
        </w:rPr>
        <w:t>）</w:t>
      </w:r>
    </w:p>
    <w:tbl>
      <w:tblPr>
        <w:tblStyle w:val="30"/>
        <w:tblW w:w="8909"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033"/>
        <w:gridCol w:w="2355"/>
        <w:gridCol w:w="1995"/>
        <w:gridCol w:w="1230"/>
        <w:gridCol w:w="1296"/>
      </w:tblGrid>
      <w:tr w14:paraId="14A89B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blHeader/>
          <w:jc w:val="center"/>
        </w:trPr>
        <w:tc>
          <w:tcPr>
            <w:tcW w:w="2033" w:type="dxa"/>
            <w:noWrap w:val="0"/>
            <w:vAlign w:val="center"/>
          </w:tcPr>
          <w:p w14:paraId="17086985">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评价单元</w:t>
            </w:r>
          </w:p>
        </w:tc>
        <w:tc>
          <w:tcPr>
            <w:tcW w:w="2355" w:type="dxa"/>
            <w:noWrap w:val="0"/>
            <w:vAlign w:val="center"/>
          </w:tcPr>
          <w:p w14:paraId="7A82AC82">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评价因子</w:t>
            </w:r>
          </w:p>
        </w:tc>
        <w:tc>
          <w:tcPr>
            <w:tcW w:w="1995" w:type="dxa"/>
            <w:noWrap w:val="0"/>
            <w:vAlign w:val="center"/>
          </w:tcPr>
          <w:p w14:paraId="2F290ECA">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损毁程度</w:t>
            </w:r>
          </w:p>
        </w:tc>
        <w:tc>
          <w:tcPr>
            <w:tcW w:w="1230" w:type="dxa"/>
            <w:tcBorders>
              <w:right w:val="single" w:color="auto" w:sz="4" w:space="0"/>
            </w:tcBorders>
            <w:noWrap w:val="0"/>
            <w:vAlign w:val="center"/>
          </w:tcPr>
          <w:p w14:paraId="666CD29B">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得分</w:t>
            </w:r>
          </w:p>
        </w:tc>
        <w:tc>
          <w:tcPr>
            <w:tcW w:w="1296" w:type="dxa"/>
            <w:tcBorders>
              <w:right w:val="single" w:color="auto" w:sz="4" w:space="0"/>
            </w:tcBorders>
            <w:noWrap w:val="0"/>
            <w:vAlign w:val="center"/>
          </w:tcPr>
          <w:p w14:paraId="69EAFADE">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评价结果</w:t>
            </w:r>
          </w:p>
        </w:tc>
      </w:tr>
      <w:tr w14:paraId="47613D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2033" w:type="dxa"/>
            <w:vMerge w:val="restart"/>
            <w:noWrap w:val="0"/>
            <w:vAlign w:val="center"/>
          </w:tcPr>
          <w:p w14:paraId="0EFAB0A3">
            <w:pPr>
              <w:keepNext w:val="0"/>
              <w:keepLines w:val="0"/>
              <w:suppressLineNumbers w:val="0"/>
              <w:spacing w:before="0" w:beforeAutospacing="0" w:after="0" w:afterAutospacing="0" w:line="240" w:lineRule="auto"/>
              <w:ind w:left="0" w:right="0"/>
              <w:contextualSpacing/>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拟建储水池</w:t>
            </w:r>
          </w:p>
        </w:tc>
        <w:tc>
          <w:tcPr>
            <w:tcW w:w="2355" w:type="dxa"/>
            <w:noWrap w:val="0"/>
            <w:vAlign w:val="center"/>
          </w:tcPr>
          <w:p w14:paraId="07A0F3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区位条件</w:t>
            </w:r>
          </w:p>
        </w:tc>
        <w:tc>
          <w:tcPr>
            <w:tcW w:w="1995" w:type="dxa"/>
            <w:noWrap w:val="0"/>
            <w:vAlign w:val="center"/>
          </w:tcPr>
          <w:p w14:paraId="40EE52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少有人类活动区</w:t>
            </w:r>
          </w:p>
        </w:tc>
        <w:tc>
          <w:tcPr>
            <w:tcW w:w="1230" w:type="dxa"/>
            <w:vMerge w:val="restart"/>
            <w:tcBorders>
              <w:right w:val="single" w:color="auto" w:sz="4" w:space="0"/>
            </w:tcBorders>
            <w:noWrap w:val="0"/>
            <w:vAlign w:val="center"/>
          </w:tcPr>
          <w:p w14:paraId="12803659">
            <w:pPr>
              <w:keepNext w:val="0"/>
              <w:keepLines w:val="0"/>
              <w:suppressLineNumbers w:val="0"/>
              <w:spacing w:before="0" w:beforeAutospacing="0" w:after="0" w:afterAutospacing="0" w:line="240" w:lineRule="auto"/>
              <w:ind w:left="0" w:right="0"/>
              <w:contextualSpacing/>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w:t>
            </w:r>
            <w:r>
              <w:rPr>
                <w:rFonts w:hint="eastAsia" w:cs="Times New Roman"/>
                <w:color w:val="000000" w:themeColor="text1"/>
                <w:sz w:val="21"/>
                <w:szCs w:val="21"/>
                <w:lang w:val="en-US" w:eastAsia="zh-CN"/>
                <w14:textFill>
                  <w14:solidFill>
                    <w14:schemeClr w14:val="tx1"/>
                  </w14:solidFill>
                </w14:textFill>
              </w:rPr>
              <w:t>0</w:t>
            </w:r>
          </w:p>
        </w:tc>
        <w:tc>
          <w:tcPr>
            <w:tcW w:w="1296" w:type="dxa"/>
            <w:vMerge w:val="restart"/>
            <w:tcBorders>
              <w:left w:val="single" w:color="auto" w:sz="4" w:space="0"/>
            </w:tcBorders>
            <w:noWrap w:val="0"/>
            <w:vAlign w:val="center"/>
          </w:tcPr>
          <w:p w14:paraId="74AC6250">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较</w:t>
            </w:r>
            <w:r>
              <w:rPr>
                <w:rFonts w:hint="eastAsia" w:cs="Times New Roman"/>
                <w:color w:val="000000" w:themeColor="text1"/>
                <w:sz w:val="21"/>
                <w:szCs w:val="21"/>
                <w:lang w:eastAsia="zh-CN"/>
                <w14:textFill>
                  <w14:solidFill>
                    <w14:schemeClr w14:val="tx1"/>
                  </w14:solidFill>
                </w14:textFill>
              </w:rPr>
              <w:t>轻</w:t>
            </w:r>
          </w:p>
        </w:tc>
      </w:tr>
      <w:tr w14:paraId="58FBC7D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2033" w:type="dxa"/>
            <w:vMerge w:val="continue"/>
            <w:noWrap w:val="0"/>
            <w:vAlign w:val="center"/>
          </w:tcPr>
          <w:p w14:paraId="40B20487">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55" w:type="dxa"/>
            <w:noWrap w:val="0"/>
            <w:vAlign w:val="center"/>
          </w:tcPr>
          <w:p w14:paraId="37532A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可视程度</w:t>
            </w:r>
          </w:p>
        </w:tc>
        <w:tc>
          <w:tcPr>
            <w:tcW w:w="1995" w:type="dxa"/>
            <w:noWrap w:val="0"/>
            <w:vAlign w:val="center"/>
          </w:tcPr>
          <w:p w14:paraId="13828E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不可视</w:t>
            </w:r>
          </w:p>
        </w:tc>
        <w:tc>
          <w:tcPr>
            <w:tcW w:w="1230" w:type="dxa"/>
            <w:vMerge w:val="continue"/>
            <w:tcBorders>
              <w:right w:val="single" w:color="auto" w:sz="4" w:space="0"/>
            </w:tcBorders>
            <w:noWrap w:val="0"/>
            <w:vAlign w:val="center"/>
          </w:tcPr>
          <w:p w14:paraId="729D02AE">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296" w:type="dxa"/>
            <w:vMerge w:val="continue"/>
            <w:tcBorders>
              <w:left w:val="single" w:color="auto" w:sz="4" w:space="0"/>
            </w:tcBorders>
            <w:noWrap w:val="0"/>
            <w:vAlign w:val="center"/>
          </w:tcPr>
          <w:p w14:paraId="502934E5">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6A8E01D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2033" w:type="dxa"/>
            <w:vMerge w:val="continue"/>
            <w:noWrap w:val="0"/>
            <w:vAlign w:val="center"/>
          </w:tcPr>
          <w:p w14:paraId="2CEB066F">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55" w:type="dxa"/>
            <w:noWrap w:val="0"/>
            <w:vAlign w:val="center"/>
          </w:tcPr>
          <w:p w14:paraId="6FB7EC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0"/>
                <w:lang w:val="en-US" w:eastAsia="zh-CN"/>
                <w14:textFill>
                  <w14:solidFill>
                    <w14:schemeClr w14:val="tx1"/>
                  </w14:solidFill>
                </w14:textFill>
              </w:rPr>
              <w:t>场地</w:t>
            </w:r>
            <w:r>
              <w:rPr>
                <w:rFonts w:hint="default" w:ascii="Times New Roman" w:hAnsi="Times New Roman" w:cs="Times New Roman"/>
                <w:color w:val="000000" w:themeColor="text1"/>
                <w:sz w:val="21"/>
                <w:szCs w:val="20"/>
                <w14:textFill>
                  <w14:solidFill>
                    <w14:schemeClr w14:val="tx1"/>
                  </w14:solidFill>
                </w14:textFill>
              </w:rPr>
              <w:t>面积</w:t>
            </w:r>
          </w:p>
        </w:tc>
        <w:tc>
          <w:tcPr>
            <w:tcW w:w="1995" w:type="dxa"/>
            <w:noWrap w:val="0"/>
            <w:vAlign w:val="center"/>
          </w:tcPr>
          <w:p w14:paraId="3BA3A8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&lt;1.0hm</w:t>
            </w:r>
            <w:r>
              <w:rPr>
                <w:rFonts w:hint="default" w:ascii="Times New Roman" w:hAnsi="Times New Roman" w:cs="Times New Roman"/>
                <w:color w:val="000000" w:themeColor="text1"/>
                <w:sz w:val="21"/>
                <w:szCs w:val="20"/>
                <w:vertAlign w:val="superscript"/>
                <w14:textFill>
                  <w14:solidFill>
                    <w14:schemeClr w14:val="tx1"/>
                  </w14:solidFill>
                </w14:textFill>
              </w:rPr>
              <w:t>2</w:t>
            </w:r>
          </w:p>
        </w:tc>
        <w:tc>
          <w:tcPr>
            <w:tcW w:w="1230" w:type="dxa"/>
            <w:vMerge w:val="continue"/>
            <w:tcBorders>
              <w:right w:val="single" w:color="auto" w:sz="4" w:space="0"/>
            </w:tcBorders>
            <w:noWrap w:val="0"/>
            <w:vAlign w:val="center"/>
          </w:tcPr>
          <w:p w14:paraId="1275DF0F">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296" w:type="dxa"/>
            <w:vMerge w:val="continue"/>
            <w:tcBorders>
              <w:left w:val="single" w:color="auto" w:sz="4" w:space="0"/>
            </w:tcBorders>
            <w:noWrap w:val="0"/>
            <w:vAlign w:val="center"/>
          </w:tcPr>
          <w:p w14:paraId="1B2BE12A">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50297B9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2033" w:type="dxa"/>
            <w:vMerge w:val="continue"/>
            <w:noWrap w:val="0"/>
            <w:vAlign w:val="center"/>
          </w:tcPr>
          <w:p w14:paraId="74C7DFE2">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55" w:type="dxa"/>
            <w:noWrap w:val="0"/>
            <w:vAlign w:val="center"/>
          </w:tcPr>
          <w:p w14:paraId="4DAA54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eastAsia" w:ascii="Times New Roman" w:hAnsi="Times New Roman" w:cs="Times New Roman"/>
                <w:color w:val="000000" w:themeColor="text1"/>
                <w:sz w:val="21"/>
                <w:szCs w:val="20"/>
                <w:lang w:val="en-US" w:eastAsia="zh-CN"/>
                <w14:textFill>
                  <w14:solidFill>
                    <w14:schemeClr w14:val="tx1"/>
                  </w14:solidFill>
                </w14:textFill>
              </w:rPr>
              <w:t>排土（渣）高度</w:t>
            </w:r>
          </w:p>
        </w:tc>
        <w:tc>
          <w:tcPr>
            <w:tcW w:w="1995" w:type="dxa"/>
            <w:noWrap w:val="0"/>
            <w:vAlign w:val="center"/>
          </w:tcPr>
          <w:p w14:paraId="31FCBC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&lt;5m</w:t>
            </w:r>
          </w:p>
        </w:tc>
        <w:tc>
          <w:tcPr>
            <w:tcW w:w="1230" w:type="dxa"/>
            <w:vMerge w:val="continue"/>
            <w:tcBorders>
              <w:right w:val="single" w:color="auto" w:sz="4" w:space="0"/>
            </w:tcBorders>
            <w:noWrap w:val="0"/>
            <w:vAlign w:val="center"/>
          </w:tcPr>
          <w:p w14:paraId="3B793900">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296" w:type="dxa"/>
            <w:vMerge w:val="continue"/>
            <w:tcBorders>
              <w:left w:val="single" w:color="auto" w:sz="4" w:space="0"/>
            </w:tcBorders>
            <w:noWrap w:val="0"/>
            <w:vAlign w:val="center"/>
          </w:tcPr>
          <w:p w14:paraId="0CFA504C">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737222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2033" w:type="dxa"/>
            <w:vMerge w:val="continue"/>
            <w:noWrap w:val="0"/>
            <w:vAlign w:val="center"/>
          </w:tcPr>
          <w:p w14:paraId="5B21A731">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55" w:type="dxa"/>
            <w:noWrap w:val="0"/>
            <w:vAlign w:val="center"/>
          </w:tcPr>
          <w:p w14:paraId="3D5369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边坡规整情况</w:t>
            </w:r>
          </w:p>
        </w:tc>
        <w:tc>
          <w:tcPr>
            <w:tcW w:w="1995" w:type="dxa"/>
            <w:noWrap w:val="0"/>
            <w:vAlign w:val="center"/>
          </w:tcPr>
          <w:p w14:paraId="527C40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规整</w:t>
            </w:r>
          </w:p>
        </w:tc>
        <w:tc>
          <w:tcPr>
            <w:tcW w:w="1230" w:type="dxa"/>
            <w:vMerge w:val="continue"/>
            <w:tcBorders>
              <w:right w:val="single" w:color="auto" w:sz="4" w:space="0"/>
            </w:tcBorders>
            <w:noWrap w:val="0"/>
            <w:vAlign w:val="center"/>
          </w:tcPr>
          <w:p w14:paraId="06D34B79">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296" w:type="dxa"/>
            <w:vMerge w:val="continue"/>
            <w:tcBorders>
              <w:left w:val="single" w:color="auto" w:sz="4" w:space="0"/>
            </w:tcBorders>
            <w:noWrap w:val="0"/>
            <w:vAlign w:val="center"/>
          </w:tcPr>
          <w:p w14:paraId="58F29C4D">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bl>
    <w:p w14:paraId="62F27D15">
      <w:pPr>
        <w:keepNext w:val="0"/>
        <w:keepLines w:val="0"/>
        <w:pageBreakBefore w:val="0"/>
        <w:widowControl w:val="0"/>
        <w:kinsoku/>
        <w:wordWrap/>
        <w:overflowPunct/>
        <w:topLinePunct w:val="0"/>
        <w:autoSpaceDE/>
        <w:autoSpaceDN/>
        <w:bidi w:val="0"/>
        <w:adjustRightInd/>
        <w:snapToGrid/>
        <w:spacing w:before="157" w:beforeLines="50" w:line="360" w:lineRule="auto"/>
        <w:ind w:firstLine="560" w:firstLineChars="200"/>
        <w:textAlignment w:val="auto"/>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（4）露天采场1</w:t>
      </w:r>
    </w:p>
    <w:p w14:paraId="5AC61816">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矿山前期开采已形成露天采场1，</w:t>
      </w:r>
      <w:r>
        <w:rPr>
          <w:rFonts w:hint="eastAsia"/>
          <w:color w:val="000000" w:themeColor="text1"/>
          <w:sz w:val="28"/>
          <w:szCs w:val="21"/>
          <w:lang w:val="en-US" w:eastAsia="zh-CN"/>
          <w14:textFill>
            <w14:solidFill>
              <w14:schemeClr w14:val="tx1"/>
            </w14:solidFill>
          </w14:textFill>
        </w:rPr>
        <w:t>挖损</w:t>
      </w:r>
      <w:r>
        <w:rPr>
          <w:rFonts w:hint="eastAsia" w:ascii="Times New Roman" w:hAnsi="Times New Roman"/>
          <w:color w:val="000000" w:themeColor="text1"/>
          <w:sz w:val="28"/>
          <w:szCs w:val="21"/>
          <w:lang w:val="en-US" w:eastAsia="zh-CN"/>
          <w14:textFill>
            <w14:solidFill>
              <w14:schemeClr w14:val="tx1"/>
            </w14:solidFill>
          </w14:textFill>
        </w:rPr>
        <w:t>面积</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1.6606hm</w:t>
      </w:r>
      <w:r>
        <w:rPr>
          <w:rFonts w:hint="default" w:ascii="Times New Roman" w:hAnsi="Times New Roman" w:eastAsia="宋体" w:cs="Times New Roman"/>
          <w:b w:val="0"/>
          <w:bCs w:val="0"/>
          <w:color w:val="000000" w:themeColor="text1"/>
          <w:sz w:val="28"/>
          <w:szCs w:val="28"/>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。根据《开发与治理综合方案》设计，现状露天采场1为设计的拟建露天采场1，故以下将不再重复赘述现状露天采场1的相关内容。</w:t>
      </w:r>
    </w:p>
    <w:p w14:paraId="18EB9DFE">
      <w:pPr>
        <w:spacing w:line="360" w:lineRule="auto"/>
        <w:ind w:firstLine="560" w:firstLineChars="200"/>
        <w:rPr>
          <w:rFonts w:hint="eastAsia"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（5）露天采场2</w:t>
      </w:r>
    </w:p>
    <w:p w14:paraId="66F7E8C3">
      <w:pPr>
        <w:spacing w:line="360" w:lineRule="auto"/>
        <w:ind w:firstLine="560" w:firstLineChars="200"/>
        <w:rPr>
          <w:rFonts w:hint="default" w:ascii="Times New Roman" w:hAnsi="Times New Roman" w:cs="Times New Roman"/>
          <w:color w:val="000000" w:themeColor="text1"/>
          <w:sz w:val="28"/>
          <w:szCs w:val="28"/>
          <w:highlight w:val="none"/>
          <w14:textFill>
            <w14:solidFill>
              <w14:schemeClr w14:val="tx1"/>
            </w14:solidFill>
          </w14:textFill>
        </w:rPr>
      </w:pPr>
      <w:r>
        <w:rPr>
          <w:rFonts w:hint="eastAsia"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矿山前期开采已形成露天采场2，</w:t>
      </w:r>
      <w:r>
        <w:rPr>
          <w:rFonts w:hint="eastAsia"/>
          <w:color w:val="000000" w:themeColor="text1"/>
          <w:sz w:val="28"/>
          <w:szCs w:val="21"/>
          <w:lang w:val="en-US" w:eastAsia="zh-CN"/>
          <w14:textFill>
            <w14:solidFill>
              <w14:schemeClr w14:val="tx1"/>
            </w14:solidFill>
          </w14:textFill>
        </w:rPr>
        <w:t>挖损</w:t>
      </w:r>
      <w:r>
        <w:rPr>
          <w:rFonts w:hint="eastAsia" w:ascii="Times New Roman" w:hAnsi="Times New Roman"/>
          <w:color w:val="000000" w:themeColor="text1"/>
          <w:sz w:val="28"/>
          <w:szCs w:val="21"/>
          <w:lang w:val="en-US" w:eastAsia="zh-CN"/>
          <w14:textFill>
            <w14:solidFill>
              <w14:schemeClr w14:val="tx1"/>
            </w14:solidFill>
          </w14:textFill>
        </w:rPr>
        <w:t>面积</w:t>
      </w:r>
      <w:r>
        <w:rPr>
          <w:rFonts w:hint="eastAsia"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1.5431hm</w:t>
      </w:r>
      <w:r>
        <w:rPr>
          <w:rFonts w:hint="eastAsia" w:ascii="Times New Roman" w:hAnsi="Times New Roman" w:eastAsia="宋体" w:cs="Times New Roman"/>
          <w:b w:val="0"/>
          <w:bCs w:val="0"/>
          <w:color w:val="000000" w:themeColor="text1"/>
          <w:sz w:val="28"/>
          <w:szCs w:val="28"/>
          <w:highlight w:val="none"/>
          <w:vertAlign w:val="superscript"/>
          <w:lang w:val="en-US" w:eastAsia="zh-CN"/>
          <w14:textFill>
            <w14:solidFill>
              <w14:schemeClr w14:val="tx1"/>
            </w14:solidFill>
          </w14:textFill>
        </w:rPr>
        <w:t>2</w:t>
      </w:r>
      <w:r>
        <w:rPr>
          <w:rFonts w:hint="eastAsia"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采场呈不规则状，采场长171m，宽64-126m，边坡高度约1～6m，采场边坡角为20°～65°，开采标高为约480.22～488.87m。根据《开发与治理综合方案》设计，现状露天采场2为设计的拟建露天采场2，但采场南部局部（0.0756hm</w:t>
      </w:r>
      <w:r>
        <w:rPr>
          <w:rFonts w:hint="eastAsia" w:ascii="Times New Roman" w:hAnsi="Times New Roman" w:eastAsia="宋体" w:cs="Times New Roman"/>
          <w:b w:val="0"/>
          <w:bCs w:val="0"/>
          <w:color w:val="000000" w:themeColor="text1"/>
          <w:sz w:val="28"/>
          <w:szCs w:val="28"/>
          <w:highlight w:val="none"/>
          <w:vertAlign w:val="superscript"/>
          <w:lang w:val="en-US" w:eastAsia="zh-CN"/>
          <w14:textFill>
            <w14:solidFill>
              <w14:schemeClr w14:val="tx1"/>
            </w14:solidFill>
          </w14:textFill>
        </w:rPr>
        <w:t>2</w:t>
      </w:r>
      <w:r>
        <w:rPr>
          <w:rFonts w:hint="eastAsia"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）不在拟建露天采场2设计的开采境界内，故露天采场2最终占地面积为0.0756hm</w:t>
      </w:r>
      <w:r>
        <w:rPr>
          <w:rFonts w:hint="eastAsia" w:ascii="Times New Roman" w:hAnsi="Times New Roman" w:eastAsia="宋体" w:cs="Times New Roman"/>
          <w:b w:val="0"/>
          <w:bCs w:val="0"/>
          <w:color w:val="000000" w:themeColor="text1"/>
          <w:sz w:val="28"/>
          <w:szCs w:val="28"/>
          <w:highlight w:val="none"/>
          <w:vertAlign w:val="superscript"/>
          <w:lang w:val="en-US" w:eastAsia="zh-CN"/>
          <w14:textFill>
            <w14:solidFill>
              <w14:schemeClr w14:val="tx1"/>
            </w14:solidFill>
          </w14:textFill>
        </w:rPr>
        <w:t>2</w:t>
      </w:r>
      <w:r>
        <w:rPr>
          <w:rFonts w:hint="eastAsia"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，将在近三年对其进行治理，故场地的建设破坏了地形地貌景观和地表植被，对矿区地形地貌景观破坏程度为</w:t>
      </w:r>
      <w:r>
        <w:rPr>
          <w:rFonts w:hint="eastAsia" w:cs="Times New Roman"/>
          <w:b w:val="0"/>
          <w:bCs w:val="0"/>
          <w:color w:val="000000" w:themeColor="text1"/>
          <w:sz w:val="28"/>
          <w:szCs w:val="28"/>
          <w:highlight w:val="none"/>
          <w:lang w:val="en-US" w:eastAsia="zh-CN"/>
          <w14:textFill>
            <w14:solidFill>
              <w14:schemeClr w14:val="tx1"/>
            </w14:solidFill>
          </w14:textFill>
        </w:rPr>
        <w:t>较</w:t>
      </w:r>
      <w:r>
        <w:rPr>
          <w:rFonts w:hint="eastAsia"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严重。</w:t>
      </w:r>
    </w:p>
    <w:p w14:paraId="3D8FBE43">
      <w:pPr>
        <w:keepNext w:val="0"/>
        <w:keepLines w:val="0"/>
        <w:pageBreakBefore w:val="0"/>
        <w:widowControl/>
        <w:kinsoku/>
        <w:wordWrap/>
        <w:overflowPunct/>
        <w:topLinePunct w:val="0"/>
        <w:autoSpaceDE/>
        <w:autoSpaceDN/>
        <w:bidi w:val="0"/>
        <w:adjustRightInd/>
        <w:snapToGrid/>
        <w:spacing w:after="0" w:line="360" w:lineRule="auto"/>
        <w:ind w:firstLine="480" w:firstLineChars="200"/>
        <w:contextualSpacing/>
        <w:jc w:val="center"/>
        <w:textAlignment w:val="auto"/>
        <w:rPr>
          <w:rFonts w:hint="default" w:ascii="Times New Roman" w:hAnsi="Times New Roman" w:eastAsia="黑体" w:cs="Times New Roman"/>
          <w:color w:val="000000" w:themeColor="text1"/>
          <w:sz w:val="24"/>
          <w:highlight w:val="none"/>
          <w14:textFill>
            <w14:solidFill>
              <w14:schemeClr w14:val="tx1"/>
            </w14:solidFill>
          </w14:textFill>
        </w:rPr>
      </w:pPr>
      <w:r>
        <w:rPr>
          <w:rFonts w:hint="default" w:ascii="Times New Roman" w:hAnsi="Times New Roman" w:eastAsia="黑体" w:cs="Times New Roman"/>
          <w:color w:val="000000" w:themeColor="text1"/>
          <w:sz w:val="24"/>
          <w:highlight w:val="none"/>
          <w14:textFill>
            <w14:solidFill>
              <w14:schemeClr w14:val="tx1"/>
            </w14:solidFill>
          </w14:textFill>
        </w:rPr>
        <w:t>表3-</w:t>
      </w:r>
      <w:r>
        <w:rPr>
          <w:rFonts w:hint="eastAsia" w:eastAsia="黑体" w:cs="Times New Roman"/>
          <w:color w:val="000000" w:themeColor="text1"/>
          <w:sz w:val="24"/>
          <w:highlight w:val="none"/>
          <w:lang w:val="en-US" w:eastAsia="zh-CN"/>
          <w14:textFill>
            <w14:solidFill>
              <w14:schemeClr w14:val="tx1"/>
            </w14:solidFill>
          </w14:textFill>
        </w:rPr>
        <w:t>29</w:t>
      </w:r>
      <w:r>
        <w:rPr>
          <w:rFonts w:hint="default" w:ascii="Times New Roman" w:hAnsi="Times New Roman" w:eastAsia="黑体" w:cs="Times New Roman"/>
          <w:color w:val="000000" w:themeColor="text1"/>
          <w:sz w:val="24"/>
          <w:highlight w:val="none"/>
          <w14:textFill>
            <w14:solidFill>
              <w14:schemeClr w14:val="tx1"/>
            </w14:solidFill>
          </w14:textFill>
        </w:rPr>
        <w:t xml:space="preserve">  地形地貌景观破坏程度评价表</w:t>
      </w:r>
      <w:r>
        <w:rPr>
          <w:rFonts w:hint="eastAsia" w:ascii="Times New Roman" w:hAnsi="Times New Roman" w:eastAsia="黑体" w:cs="Times New Roman"/>
          <w:color w:val="000000" w:themeColor="text1"/>
          <w:sz w:val="24"/>
          <w:lang w:eastAsia="zh-CN"/>
          <w14:textFill>
            <w14:solidFill>
              <w14:schemeClr w14:val="tx1"/>
            </w14:solidFill>
          </w14:textFill>
        </w:rPr>
        <w:t>（</w:t>
      </w:r>
      <w:r>
        <w:rPr>
          <w:rFonts w:hint="eastAsia" w:eastAsia="黑体" w:cs="Times New Roman"/>
          <w:color w:val="000000" w:themeColor="text1"/>
          <w:sz w:val="24"/>
          <w:lang w:val="en-US" w:eastAsia="zh-CN"/>
          <w14:textFill>
            <w14:solidFill>
              <w14:schemeClr w14:val="tx1"/>
            </w14:solidFill>
          </w14:textFill>
        </w:rPr>
        <w:t>挖损</w:t>
      </w:r>
      <w:r>
        <w:rPr>
          <w:rFonts w:hint="eastAsia" w:ascii="Times New Roman" w:hAnsi="Times New Roman" w:eastAsia="黑体" w:cs="Times New Roman"/>
          <w:color w:val="000000" w:themeColor="text1"/>
          <w:sz w:val="24"/>
          <w:lang w:eastAsia="zh-CN"/>
          <w14:textFill>
            <w14:solidFill>
              <w14:schemeClr w14:val="tx1"/>
            </w14:solidFill>
          </w14:textFill>
        </w:rPr>
        <w:t>）</w:t>
      </w:r>
    </w:p>
    <w:tbl>
      <w:tblPr>
        <w:tblStyle w:val="30"/>
        <w:tblW w:w="863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871"/>
        <w:gridCol w:w="2385"/>
        <w:gridCol w:w="1935"/>
        <w:gridCol w:w="1125"/>
        <w:gridCol w:w="1316"/>
      </w:tblGrid>
      <w:tr w14:paraId="59B3DD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blHeader/>
          <w:jc w:val="center"/>
        </w:trPr>
        <w:tc>
          <w:tcPr>
            <w:tcW w:w="1871" w:type="dxa"/>
            <w:noWrap w:val="0"/>
            <w:vAlign w:val="center"/>
          </w:tcPr>
          <w:p w14:paraId="6FF24776">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评价单元</w:t>
            </w:r>
          </w:p>
        </w:tc>
        <w:tc>
          <w:tcPr>
            <w:tcW w:w="2385" w:type="dxa"/>
            <w:noWrap w:val="0"/>
            <w:vAlign w:val="center"/>
          </w:tcPr>
          <w:p w14:paraId="0072CBC9">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评价因子</w:t>
            </w:r>
          </w:p>
        </w:tc>
        <w:tc>
          <w:tcPr>
            <w:tcW w:w="1935" w:type="dxa"/>
            <w:noWrap w:val="0"/>
            <w:vAlign w:val="center"/>
          </w:tcPr>
          <w:p w14:paraId="536CACE7">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损毁程度</w:t>
            </w:r>
          </w:p>
        </w:tc>
        <w:tc>
          <w:tcPr>
            <w:tcW w:w="1125" w:type="dxa"/>
            <w:tcBorders>
              <w:right w:val="single" w:color="auto" w:sz="4" w:space="0"/>
            </w:tcBorders>
            <w:noWrap w:val="0"/>
            <w:vAlign w:val="center"/>
          </w:tcPr>
          <w:p w14:paraId="553E9F86">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得分</w:t>
            </w:r>
          </w:p>
        </w:tc>
        <w:tc>
          <w:tcPr>
            <w:tcW w:w="1316" w:type="dxa"/>
            <w:tcBorders>
              <w:right w:val="single" w:color="auto" w:sz="4" w:space="0"/>
            </w:tcBorders>
            <w:noWrap w:val="0"/>
            <w:vAlign w:val="center"/>
          </w:tcPr>
          <w:p w14:paraId="6E40E417">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评价结果</w:t>
            </w:r>
          </w:p>
        </w:tc>
      </w:tr>
      <w:tr w14:paraId="282359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1871" w:type="dxa"/>
            <w:vMerge w:val="restart"/>
            <w:noWrap w:val="0"/>
            <w:vAlign w:val="center"/>
          </w:tcPr>
          <w:p w14:paraId="35473F0C">
            <w:pPr>
              <w:keepNext w:val="0"/>
              <w:keepLines w:val="0"/>
              <w:suppressLineNumbers w:val="0"/>
              <w:spacing w:before="0" w:beforeAutospacing="0" w:after="0" w:afterAutospacing="0" w:line="240" w:lineRule="auto"/>
              <w:ind w:left="0" w:right="0"/>
              <w:contextualSpacing/>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露天采场2</w:t>
            </w:r>
          </w:p>
        </w:tc>
        <w:tc>
          <w:tcPr>
            <w:tcW w:w="2385" w:type="dxa"/>
            <w:noWrap w:val="0"/>
            <w:vAlign w:val="center"/>
          </w:tcPr>
          <w:p w14:paraId="25B4E4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区位条件</w:t>
            </w:r>
          </w:p>
        </w:tc>
        <w:tc>
          <w:tcPr>
            <w:tcW w:w="1935" w:type="dxa"/>
            <w:noWrap w:val="0"/>
            <w:vAlign w:val="center"/>
          </w:tcPr>
          <w:p w14:paraId="4643DA67">
            <w:pPr>
              <w:keepNext w:val="0"/>
              <w:keepLines w:val="0"/>
              <w:suppressLineNumbers w:val="0"/>
              <w:spacing w:before="0" w:beforeAutospacing="0" w:after="0" w:afterAutospacing="0" w:line="240" w:lineRule="auto"/>
              <w:ind w:left="0" w:leftChars="0" w:right="0" w:rightChars="0" w:firstLine="0" w:firstLineChars="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人类活动中等区</w:t>
            </w:r>
          </w:p>
        </w:tc>
        <w:tc>
          <w:tcPr>
            <w:tcW w:w="1125" w:type="dxa"/>
            <w:vMerge w:val="restart"/>
            <w:tcBorders>
              <w:right w:val="single" w:color="auto" w:sz="4" w:space="0"/>
            </w:tcBorders>
            <w:noWrap w:val="0"/>
            <w:vAlign w:val="center"/>
          </w:tcPr>
          <w:p w14:paraId="1486E2AA">
            <w:pPr>
              <w:keepNext w:val="0"/>
              <w:keepLines w:val="0"/>
              <w:suppressLineNumbers w:val="0"/>
              <w:spacing w:before="0" w:beforeAutospacing="0" w:after="0" w:afterAutospacing="0" w:line="240" w:lineRule="auto"/>
              <w:ind w:left="0" w:leftChars="0" w:right="0" w:rightChars="0"/>
              <w:contextualSpacing/>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1.9</w:t>
            </w:r>
          </w:p>
        </w:tc>
        <w:tc>
          <w:tcPr>
            <w:tcW w:w="1316" w:type="dxa"/>
            <w:vMerge w:val="restart"/>
            <w:tcBorders>
              <w:left w:val="single" w:color="auto" w:sz="4" w:space="0"/>
            </w:tcBorders>
            <w:noWrap w:val="0"/>
            <w:vAlign w:val="center"/>
          </w:tcPr>
          <w:p w14:paraId="069A9826">
            <w:pPr>
              <w:keepNext w:val="0"/>
              <w:keepLines w:val="0"/>
              <w:suppressLineNumbers w:val="0"/>
              <w:spacing w:before="0" w:beforeAutospacing="0" w:after="0" w:afterAutospacing="0" w:line="240" w:lineRule="auto"/>
              <w:ind w:left="0" w:leftChars="0" w:right="0" w:rightChars="0"/>
              <w:contextualSpacing/>
              <w:jc w:val="center"/>
              <w:rPr>
                <w:rFonts w:hint="default" w:ascii="Times New Roman" w:hAnsi="Times New Roman"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较</w:t>
            </w:r>
            <w:r>
              <w:rPr>
                <w:rFonts w:hint="eastAsia" w:ascii="Times New Roman" w:hAnsi="Times New Roman" w:cs="Times New Roman"/>
                <w:color w:val="000000" w:themeColor="text1"/>
                <w:sz w:val="21"/>
                <w:szCs w:val="21"/>
                <w:lang w:val="en-US" w:eastAsia="zh-CN"/>
                <w14:textFill>
                  <w14:solidFill>
                    <w14:schemeClr w14:val="tx1"/>
                  </w14:solidFill>
                </w14:textFill>
              </w:rPr>
              <w:t>严重</w:t>
            </w:r>
          </w:p>
        </w:tc>
      </w:tr>
      <w:tr w14:paraId="1B5B4B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1871" w:type="dxa"/>
            <w:vMerge w:val="continue"/>
            <w:noWrap w:val="0"/>
            <w:vAlign w:val="center"/>
          </w:tcPr>
          <w:p w14:paraId="57D0C6B5">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85" w:type="dxa"/>
            <w:noWrap w:val="0"/>
            <w:vAlign w:val="center"/>
          </w:tcPr>
          <w:p w14:paraId="1A3958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可视程度</w:t>
            </w:r>
          </w:p>
        </w:tc>
        <w:tc>
          <w:tcPr>
            <w:tcW w:w="1935" w:type="dxa"/>
            <w:noWrap w:val="0"/>
            <w:vAlign w:val="center"/>
          </w:tcPr>
          <w:p w14:paraId="594CF5F2">
            <w:pPr>
              <w:keepNext w:val="0"/>
              <w:keepLines w:val="0"/>
              <w:suppressLineNumbers w:val="0"/>
              <w:spacing w:before="0" w:beforeAutospacing="0" w:after="0" w:afterAutospacing="0" w:line="240" w:lineRule="auto"/>
              <w:ind w:left="0" w:leftChars="0" w:right="0" w:rightChars="0" w:firstLine="0" w:firstLineChars="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局部可视</w:t>
            </w:r>
          </w:p>
        </w:tc>
        <w:tc>
          <w:tcPr>
            <w:tcW w:w="1125" w:type="dxa"/>
            <w:vMerge w:val="continue"/>
            <w:tcBorders>
              <w:right w:val="single" w:color="auto" w:sz="4" w:space="0"/>
            </w:tcBorders>
            <w:noWrap w:val="0"/>
            <w:vAlign w:val="center"/>
          </w:tcPr>
          <w:p w14:paraId="3A471FFC">
            <w:pPr>
              <w:keepNext w:val="0"/>
              <w:keepLines w:val="0"/>
              <w:suppressLineNumbers w:val="0"/>
              <w:spacing w:before="0" w:beforeAutospacing="0" w:after="0" w:afterAutospacing="0" w:line="240" w:lineRule="auto"/>
              <w:ind w:left="0" w:leftChars="0" w:right="0" w:rightChars="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316" w:type="dxa"/>
            <w:vMerge w:val="continue"/>
            <w:tcBorders>
              <w:left w:val="single" w:color="auto" w:sz="4" w:space="0"/>
            </w:tcBorders>
            <w:noWrap w:val="0"/>
            <w:vAlign w:val="center"/>
          </w:tcPr>
          <w:p w14:paraId="20C85CD7">
            <w:pPr>
              <w:keepNext w:val="0"/>
              <w:keepLines w:val="0"/>
              <w:suppressLineNumbers w:val="0"/>
              <w:spacing w:before="0" w:beforeAutospacing="0" w:after="0" w:afterAutospacing="0" w:line="240" w:lineRule="auto"/>
              <w:ind w:left="0" w:leftChars="0" w:right="0" w:rightChars="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581508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1871" w:type="dxa"/>
            <w:vMerge w:val="continue"/>
            <w:noWrap w:val="0"/>
            <w:vAlign w:val="center"/>
          </w:tcPr>
          <w:p w14:paraId="64D0CDC9">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85" w:type="dxa"/>
            <w:noWrap w:val="0"/>
            <w:vAlign w:val="center"/>
          </w:tcPr>
          <w:p w14:paraId="688EBE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0"/>
                <w:lang w:val="en-US" w:eastAsia="zh-CN"/>
                <w14:textFill>
                  <w14:solidFill>
                    <w14:schemeClr w14:val="tx1"/>
                  </w14:solidFill>
                </w14:textFill>
              </w:rPr>
              <w:t>破坏</w:t>
            </w:r>
            <w:r>
              <w:rPr>
                <w:rFonts w:hint="default" w:ascii="Times New Roman" w:hAnsi="Times New Roman" w:cs="Times New Roman"/>
                <w:color w:val="000000" w:themeColor="text1"/>
                <w:sz w:val="21"/>
                <w:szCs w:val="20"/>
                <w14:textFill>
                  <w14:solidFill>
                    <w14:schemeClr w14:val="tx1"/>
                  </w14:solidFill>
                </w14:textFill>
              </w:rPr>
              <w:t>面积</w:t>
            </w:r>
          </w:p>
        </w:tc>
        <w:tc>
          <w:tcPr>
            <w:tcW w:w="1935" w:type="dxa"/>
            <w:noWrap w:val="0"/>
            <w:vAlign w:val="center"/>
          </w:tcPr>
          <w:p w14:paraId="3B89894A">
            <w:pPr>
              <w:keepNext w:val="0"/>
              <w:keepLines w:val="0"/>
              <w:suppressLineNumbers w:val="0"/>
              <w:spacing w:before="0" w:beforeAutospacing="0" w:after="0" w:afterAutospacing="0" w:line="240" w:lineRule="auto"/>
              <w:ind w:left="0" w:leftChars="0" w:right="0" w:rightChars="0" w:firstLine="0" w:firstLineChars="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&lt;0.5hm</w:t>
            </w:r>
            <w:r>
              <w:rPr>
                <w:rFonts w:hint="default" w:ascii="Times New Roman" w:hAnsi="Times New Roman" w:cs="Times New Roman"/>
                <w:color w:val="000000" w:themeColor="text1"/>
                <w:sz w:val="21"/>
                <w:szCs w:val="20"/>
                <w:vertAlign w:val="superscript"/>
                <w14:textFill>
                  <w14:solidFill>
                    <w14:schemeClr w14:val="tx1"/>
                  </w14:solidFill>
                </w14:textFill>
              </w:rPr>
              <w:t>2</w:t>
            </w:r>
          </w:p>
        </w:tc>
        <w:tc>
          <w:tcPr>
            <w:tcW w:w="1125" w:type="dxa"/>
            <w:vMerge w:val="continue"/>
            <w:tcBorders>
              <w:right w:val="single" w:color="auto" w:sz="4" w:space="0"/>
            </w:tcBorders>
            <w:noWrap w:val="0"/>
            <w:vAlign w:val="center"/>
          </w:tcPr>
          <w:p w14:paraId="5D917E12">
            <w:pPr>
              <w:keepNext w:val="0"/>
              <w:keepLines w:val="0"/>
              <w:suppressLineNumbers w:val="0"/>
              <w:spacing w:before="0" w:beforeAutospacing="0" w:after="0" w:afterAutospacing="0" w:line="240" w:lineRule="auto"/>
              <w:ind w:left="0" w:leftChars="0" w:right="0" w:rightChars="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316" w:type="dxa"/>
            <w:vMerge w:val="continue"/>
            <w:tcBorders>
              <w:left w:val="single" w:color="auto" w:sz="4" w:space="0"/>
            </w:tcBorders>
            <w:noWrap w:val="0"/>
            <w:vAlign w:val="center"/>
          </w:tcPr>
          <w:p w14:paraId="3F589C3A">
            <w:pPr>
              <w:keepNext w:val="0"/>
              <w:keepLines w:val="0"/>
              <w:suppressLineNumbers w:val="0"/>
              <w:spacing w:before="0" w:beforeAutospacing="0" w:after="0" w:afterAutospacing="0" w:line="240" w:lineRule="auto"/>
              <w:ind w:left="0" w:leftChars="0" w:right="0" w:rightChars="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226970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1871" w:type="dxa"/>
            <w:vMerge w:val="continue"/>
            <w:noWrap w:val="0"/>
            <w:vAlign w:val="center"/>
          </w:tcPr>
          <w:p w14:paraId="35B84AE6">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85" w:type="dxa"/>
            <w:noWrap w:val="0"/>
            <w:vAlign w:val="center"/>
          </w:tcPr>
          <w:p w14:paraId="5BB62D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eastAsia" w:ascii="Times New Roman" w:hAnsi="Times New Roman" w:cs="Times New Roman"/>
                <w:color w:val="000000" w:themeColor="text1"/>
                <w:sz w:val="21"/>
                <w:szCs w:val="20"/>
                <w:lang w:val="en-US" w:eastAsia="zh-CN"/>
                <w14:textFill>
                  <w14:solidFill>
                    <w14:schemeClr w14:val="tx1"/>
                  </w14:solidFill>
                </w14:textFill>
              </w:rPr>
              <w:t>最大深度</w:t>
            </w:r>
          </w:p>
        </w:tc>
        <w:tc>
          <w:tcPr>
            <w:tcW w:w="1935" w:type="dxa"/>
            <w:noWrap w:val="0"/>
            <w:vAlign w:val="center"/>
          </w:tcPr>
          <w:p w14:paraId="0CB18533">
            <w:pPr>
              <w:keepNext w:val="0"/>
              <w:keepLines w:val="0"/>
              <w:suppressLineNumbers w:val="0"/>
              <w:spacing w:before="0" w:beforeAutospacing="0" w:after="0" w:afterAutospacing="0" w:line="240" w:lineRule="auto"/>
              <w:ind w:left="0" w:leftChars="0" w:right="0" w:rightChars="0" w:firstLine="0" w:firstLineChars="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10-20m</w:t>
            </w:r>
          </w:p>
        </w:tc>
        <w:tc>
          <w:tcPr>
            <w:tcW w:w="1125" w:type="dxa"/>
            <w:vMerge w:val="continue"/>
            <w:tcBorders>
              <w:right w:val="single" w:color="auto" w:sz="4" w:space="0"/>
            </w:tcBorders>
            <w:noWrap w:val="0"/>
            <w:vAlign w:val="center"/>
          </w:tcPr>
          <w:p w14:paraId="43B5847C">
            <w:pPr>
              <w:keepNext w:val="0"/>
              <w:keepLines w:val="0"/>
              <w:suppressLineNumbers w:val="0"/>
              <w:spacing w:before="0" w:beforeAutospacing="0" w:after="0" w:afterAutospacing="0" w:line="240" w:lineRule="auto"/>
              <w:ind w:left="0" w:leftChars="0" w:right="0" w:rightChars="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316" w:type="dxa"/>
            <w:vMerge w:val="continue"/>
            <w:tcBorders>
              <w:left w:val="single" w:color="auto" w:sz="4" w:space="0"/>
            </w:tcBorders>
            <w:noWrap w:val="0"/>
            <w:vAlign w:val="center"/>
          </w:tcPr>
          <w:p w14:paraId="25F1FDC0">
            <w:pPr>
              <w:keepNext w:val="0"/>
              <w:keepLines w:val="0"/>
              <w:suppressLineNumbers w:val="0"/>
              <w:spacing w:before="0" w:beforeAutospacing="0" w:after="0" w:afterAutospacing="0" w:line="240" w:lineRule="auto"/>
              <w:ind w:left="0" w:leftChars="0" w:right="0" w:rightChars="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r w14:paraId="52908C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1871" w:type="dxa"/>
            <w:vMerge w:val="continue"/>
            <w:noWrap w:val="0"/>
            <w:vAlign w:val="center"/>
          </w:tcPr>
          <w:p w14:paraId="7CA466C7">
            <w:pPr>
              <w:keepNext w:val="0"/>
              <w:keepLines w:val="0"/>
              <w:suppressLineNumbers w:val="0"/>
              <w:spacing w:before="0" w:beforeAutospacing="0" w:after="0" w:afterAutospacing="0" w:line="240" w:lineRule="auto"/>
              <w:ind w:left="0" w:right="0"/>
              <w:contextualSpacing/>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2385" w:type="dxa"/>
            <w:noWrap w:val="0"/>
            <w:vAlign w:val="center"/>
          </w:tcPr>
          <w:p w14:paraId="12758E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边坡规整情况</w:t>
            </w:r>
          </w:p>
        </w:tc>
        <w:tc>
          <w:tcPr>
            <w:tcW w:w="1935" w:type="dxa"/>
            <w:noWrap w:val="0"/>
            <w:vAlign w:val="center"/>
          </w:tcPr>
          <w:p w14:paraId="191504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0"/>
                <w14:textFill>
                  <w14:solidFill>
                    <w14:schemeClr w14:val="tx1"/>
                  </w14:solidFill>
                </w14:textFill>
              </w:rPr>
              <w:t>欠规整</w:t>
            </w:r>
          </w:p>
        </w:tc>
        <w:tc>
          <w:tcPr>
            <w:tcW w:w="1125" w:type="dxa"/>
            <w:vMerge w:val="continue"/>
            <w:tcBorders>
              <w:right w:val="single" w:color="auto" w:sz="4" w:space="0"/>
            </w:tcBorders>
            <w:noWrap w:val="0"/>
            <w:vAlign w:val="center"/>
          </w:tcPr>
          <w:p w14:paraId="4E159B5F">
            <w:pPr>
              <w:keepNext w:val="0"/>
              <w:keepLines w:val="0"/>
              <w:suppressLineNumbers w:val="0"/>
              <w:spacing w:before="0" w:beforeAutospacing="0" w:after="0" w:afterAutospacing="0" w:line="240" w:lineRule="auto"/>
              <w:ind w:left="0" w:leftChars="0" w:right="0" w:rightChars="0"/>
              <w:contextualSpacing/>
              <w:jc w:val="center"/>
              <w:rPr>
                <w:rFonts w:hint="default" w:ascii="Times New Roman" w:hAnsi="Times New Roman" w:cs="Times New Roman"/>
                <w:color w:val="000000" w:themeColor="text1"/>
                <w:sz w:val="21"/>
                <w:szCs w:val="21"/>
                <w14:textFill>
                  <w14:solidFill>
                    <w14:schemeClr w14:val="tx1"/>
                  </w14:solidFill>
                </w14:textFill>
              </w:rPr>
            </w:pPr>
          </w:p>
        </w:tc>
        <w:tc>
          <w:tcPr>
            <w:tcW w:w="1316" w:type="dxa"/>
            <w:vMerge w:val="continue"/>
            <w:tcBorders>
              <w:left w:val="single" w:color="auto" w:sz="4" w:space="0"/>
            </w:tcBorders>
            <w:noWrap w:val="0"/>
            <w:vAlign w:val="center"/>
          </w:tcPr>
          <w:p w14:paraId="20BCB0C0">
            <w:pPr>
              <w:keepNext w:val="0"/>
              <w:keepLines w:val="0"/>
              <w:suppressLineNumbers w:val="0"/>
              <w:spacing w:before="0" w:beforeAutospacing="0" w:after="0" w:afterAutospacing="0" w:line="240" w:lineRule="auto"/>
              <w:ind w:left="0" w:leftChars="0" w:right="0" w:rightChars="0"/>
              <w:contextualSpacing/>
              <w:jc w:val="center"/>
              <w:rPr>
                <w:rFonts w:hint="default" w:ascii="Times New Roman" w:hAnsi="Times New Roman" w:cs="Times New Roman"/>
                <w:color w:val="000000" w:themeColor="text1"/>
                <w:sz w:val="21"/>
                <w:szCs w:val="21"/>
                <w14:textFill>
                  <w14:solidFill>
                    <w14:schemeClr w14:val="tx1"/>
                  </w14:solidFill>
                </w14:textFill>
              </w:rPr>
            </w:pPr>
          </w:p>
        </w:tc>
      </w:tr>
    </w:tbl>
    <w:p w14:paraId="03A69EE8">
      <w:pPr>
        <w:keepNext w:val="0"/>
        <w:keepLines w:val="0"/>
        <w:pageBreakBefore w:val="0"/>
        <w:widowControl w:val="0"/>
        <w:kinsoku/>
        <w:wordWrap/>
        <w:overflowPunct/>
        <w:topLinePunct w:val="0"/>
        <w:autoSpaceDE/>
        <w:autoSpaceDN/>
        <w:bidi w:val="0"/>
        <w:adjustRightInd/>
        <w:snapToGrid/>
        <w:spacing w:before="157" w:beforeLines="50" w:line="360" w:lineRule="auto"/>
        <w:ind w:firstLine="560" w:firstLineChars="200"/>
        <w:contextualSpacing/>
        <w:textAlignment w:val="auto"/>
        <w:rPr>
          <w:rFonts w:hint="default" w:ascii="Times New Roman" w:hAnsi="Times New Roman" w:eastAsia="宋体" w:cs="Times New Roman"/>
          <w:b w:val="0"/>
          <w:bCs w:val="0"/>
          <w:color w:val="000000" w:themeColor="text1"/>
          <w:sz w:val="28"/>
          <w:szCs w:val="28"/>
          <w14:textFill>
            <w14:solidFill>
              <w14:schemeClr w14:val="tx1"/>
            </w14:solidFill>
          </w14:textFill>
        </w:rPr>
      </w:pPr>
      <w:r>
        <w:rPr>
          <w:rFonts w:hint="default" w:ascii="Times New Roman" w:hAnsi="Times New Roman" w:eastAsia="宋体" w:cs="Times New Roman"/>
          <w:b w:val="0"/>
          <w:bCs w:val="0"/>
          <w:color w:val="000000" w:themeColor="text1"/>
          <w:sz w:val="28"/>
          <w:szCs w:val="28"/>
          <w:lang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6</w:t>
      </w:r>
      <w:r>
        <w:rPr>
          <w:rFonts w:hint="default" w:ascii="Times New Roman" w:hAnsi="Times New Roman" w:eastAsia="宋体" w:cs="Times New Roman"/>
          <w:b w:val="0"/>
          <w:bCs w:val="0"/>
          <w:color w:val="000000" w:themeColor="text1"/>
          <w:sz w:val="28"/>
          <w:szCs w:val="28"/>
          <w:lang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8"/>
          <w14:textFill>
            <w14:solidFill>
              <w14:schemeClr w14:val="tx1"/>
            </w14:solidFill>
          </w14:textFill>
        </w:rPr>
        <w:t>工业场地</w:t>
      </w:r>
    </w:p>
    <w:p w14:paraId="3B530269">
      <w:pPr>
        <w:tabs>
          <w:tab w:val="left" w:pos="1300"/>
        </w:tabs>
        <w:spacing w:line="360" w:lineRule="auto"/>
        <w:ind w:firstLine="560" w:firstLineChars="200"/>
        <w:rPr>
          <w:rFonts w:hint="default" w:ascii="Times New Roman" w:hAnsi="Times New Roman" w:eastAsia="宋体" w:cs="Times New Roman"/>
          <w:color w:val="000000" w:themeColor="text1"/>
          <w:sz w:val="28"/>
          <w:szCs w:val="28"/>
          <w:highlight w:val="none"/>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工业场地位于矿区</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西</w:t>
      </w:r>
      <w:r>
        <w:rPr>
          <w:rFonts w:hint="default" w:ascii="Times New Roman" w:hAnsi="Times New Roman" w:eastAsia="宋体" w:cs="Times New Roman"/>
          <w:color w:val="000000" w:themeColor="text1"/>
          <w:sz w:val="28"/>
          <w:szCs w:val="28"/>
          <w14:textFill>
            <w14:solidFill>
              <w14:schemeClr w14:val="tx1"/>
            </w14:solidFill>
          </w14:textFill>
        </w:rPr>
        <w:t>侧，占地面积</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2.8341h</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场地内含、</w:t>
      </w:r>
      <w:r>
        <w:rPr>
          <w:rFonts w:hint="default" w:ascii="Times New Roman" w:hAnsi="Times New Roman" w:eastAsia="宋体" w:cs="Times New Roman"/>
          <w:color w:val="000000" w:themeColor="text1"/>
          <w:sz w:val="28"/>
          <w:szCs w:val="21"/>
          <w:highlight w:val="none"/>
          <w14:textFill>
            <w14:solidFill>
              <w14:schemeClr w14:val="tx1"/>
            </w14:solidFill>
          </w14:textFill>
        </w:rPr>
        <w:t>加工场地</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隧道</w:t>
      </w:r>
      <w:r>
        <w:rPr>
          <w:rFonts w:hint="default" w:ascii="Times New Roman" w:hAnsi="Times New Roman" w:eastAsia="宋体" w:cs="Times New Roman"/>
          <w:bCs/>
          <w:color w:val="000000" w:themeColor="text1"/>
          <w:sz w:val="28"/>
          <w:szCs w:val="21"/>
          <w:highlight w:val="none"/>
          <w14:textFill>
            <w14:solidFill>
              <w14:schemeClr w14:val="tx1"/>
            </w14:solidFill>
          </w14:textFill>
        </w:rPr>
        <w:t>窑</w:t>
      </w:r>
      <w:r>
        <w:rPr>
          <w:rFonts w:hint="default" w:ascii="Times New Roman" w:hAnsi="Times New Roman" w:eastAsia="宋体" w:cs="Times New Roman"/>
          <w:bCs/>
          <w:color w:val="000000" w:themeColor="text1"/>
          <w:sz w:val="28"/>
          <w:szCs w:val="21"/>
          <w:highlight w:val="none"/>
          <w:lang w:eastAsia="zh-CN"/>
          <w14:textFill>
            <w14:solidFill>
              <w14:schemeClr w14:val="tx1"/>
            </w14:solidFill>
          </w14:textFill>
        </w:rPr>
        <w:t>、成品砖中转站、</w:t>
      </w:r>
      <w:r>
        <w:rPr>
          <w:rFonts w:hint="default" w:ascii="Times New Roman" w:hAnsi="Times New Roman" w:eastAsia="宋体" w:cs="Times New Roman"/>
          <w:bCs/>
          <w:color w:val="000000" w:themeColor="text1"/>
          <w:sz w:val="28"/>
          <w:szCs w:val="21"/>
          <w:highlight w:val="none"/>
          <w:lang w:val="en-US" w:eastAsia="zh-CN"/>
          <w14:textFill>
            <w14:solidFill>
              <w14:schemeClr w14:val="tx1"/>
            </w14:solidFill>
          </w14:textFill>
        </w:rPr>
        <w:t>仓库等</w:t>
      </w:r>
      <w:r>
        <w:rPr>
          <w:rFonts w:hint="default" w:ascii="Times New Roman" w:hAnsi="Times New Roman" w:eastAsia="宋体" w:cs="Times New Roman"/>
          <w:bCs/>
          <w:color w:val="000000" w:themeColor="text1"/>
          <w:sz w:val="28"/>
          <w:szCs w:val="21"/>
          <w:highlight w:val="none"/>
          <w14:textFill>
            <w14:solidFill>
              <w14:schemeClr w14:val="tx1"/>
            </w14:solidFill>
          </w14:textFill>
        </w:rPr>
        <w:t>，均为彩钢结构</w:t>
      </w:r>
      <w:r>
        <w:rPr>
          <w:rFonts w:hint="default" w:ascii="Times New Roman" w:hAnsi="Times New Roman" w:eastAsia="宋体" w:cs="Times New Roman"/>
          <w:bCs/>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bCs/>
          <w:color w:val="000000" w:themeColor="text1"/>
          <w:sz w:val="28"/>
          <w:szCs w:val="21"/>
          <w:highlight w:val="none"/>
          <w14:textFill>
            <w14:solidFill>
              <w14:schemeClr w14:val="tx1"/>
            </w14:solidFill>
          </w14:textFill>
        </w:rPr>
        <w:t>长2</w:t>
      </w:r>
      <w:r>
        <w:rPr>
          <w:rFonts w:hint="default" w:ascii="Times New Roman" w:hAnsi="Times New Roman" w:eastAsia="宋体" w:cs="Times New Roman"/>
          <w:bCs/>
          <w:color w:val="000000" w:themeColor="text1"/>
          <w:sz w:val="28"/>
          <w:szCs w:val="21"/>
          <w:highlight w:val="none"/>
          <w:lang w:val="en-US" w:eastAsia="zh-CN"/>
          <w14:textFill>
            <w14:solidFill>
              <w14:schemeClr w14:val="tx1"/>
            </w14:solidFill>
          </w14:textFill>
        </w:rPr>
        <w:t>12</w:t>
      </w:r>
      <w:r>
        <w:rPr>
          <w:rFonts w:hint="default" w:ascii="Times New Roman" w:hAnsi="Times New Roman" w:eastAsia="宋体" w:cs="Times New Roman"/>
          <w:bCs/>
          <w:color w:val="000000" w:themeColor="text1"/>
          <w:sz w:val="28"/>
          <w:szCs w:val="21"/>
          <w:highlight w:val="none"/>
          <w14:textFill>
            <w14:solidFill>
              <w14:schemeClr w14:val="tx1"/>
            </w14:solidFill>
          </w14:textFill>
        </w:rPr>
        <w:t>m，宽58m，</w:t>
      </w:r>
      <w:r>
        <w:rPr>
          <w:rFonts w:hint="default" w:ascii="Times New Roman" w:hAnsi="Times New Roman" w:eastAsia="宋体" w:cs="Times New Roman"/>
          <w:bCs/>
          <w:color w:val="000000" w:themeColor="text1"/>
          <w:sz w:val="28"/>
          <w:szCs w:val="21"/>
          <w:highlight w:val="none"/>
          <w:lang w:val="en-US" w:eastAsia="zh-CN"/>
          <w14:textFill>
            <w14:solidFill>
              <w14:schemeClr w14:val="tx1"/>
            </w14:solidFill>
          </w14:textFill>
        </w:rPr>
        <w:t>平均</w:t>
      </w:r>
      <w:r>
        <w:rPr>
          <w:rFonts w:hint="default" w:ascii="Times New Roman" w:hAnsi="Times New Roman" w:eastAsia="宋体" w:cs="Times New Roman"/>
          <w:bCs/>
          <w:color w:val="000000" w:themeColor="text1"/>
          <w:sz w:val="28"/>
          <w:szCs w:val="21"/>
          <w:highlight w:val="none"/>
          <w14:textFill>
            <w14:solidFill>
              <w14:schemeClr w14:val="tx1"/>
            </w14:solidFill>
          </w14:textFill>
        </w:rPr>
        <w:t>高</w:t>
      </w:r>
      <w:r>
        <w:rPr>
          <w:rFonts w:hint="default" w:ascii="Times New Roman" w:hAnsi="Times New Roman" w:eastAsia="宋体" w:cs="Times New Roman"/>
          <w:bCs/>
          <w:color w:val="000000" w:themeColor="text1"/>
          <w:sz w:val="28"/>
          <w:szCs w:val="21"/>
          <w:highlight w:val="none"/>
          <w:lang w:val="en-US" w:eastAsia="zh-CN"/>
          <w14:textFill>
            <w14:solidFill>
              <w14:schemeClr w14:val="tx1"/>
            </w14:solidFill>
          </w14:textFill>
        </w:rPr>
        <w:t>度5</w:t>
      </w:r>
      <w:r>
        <w:rPr>
          <w:rFonts w:hint="default" w:ascii="Times New Roman" w:hAnsi="Times New Roman" w:eastAsia="宋体" w:cs="Times New Roman"/>
          <w:bCs/>
          <w:color w:val="000000" w:themeColor="text1"/>
          <w:sz w:val="28"/>
          <w:szCs w:val="21"/>
          <w:highlight w:val="none"/>
          <w14:textFill>
            <w14:solidFill>
              <w14:schemeClr w14:val="tx1"/>
            </w14:solidFill>
          </w14:textFill>
        </w:rPr>
        <w:t>m，</w:t>
      </w:r>
      <w:r>
        <w:rPr>
          <w:rFonts w:hint="default" w:ascii="Times New Roman" w:hAnsi="Times New Roman" w:eastAsia="宋体" w:cs="Times New Roman"/>
          <w:bCs/>
          <w:color w:val="000000" w:themeColor="text1"/>
          <w:sz w:val="28"/>
          <w:szCs w:val="21"/>
          <w:highlight w:val="none"/>
          <w:lang w:val="en-US" w:eastAsia="zh-CN"/>
          <w14:textFill>
            <w14:solidFill>
              <w14:schemeClr w14:val="tx1"/>
            </w14:solidFill>
          </w14:textFill>
        </w:rPr>
        <w:t>建筑</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占地面积1.2926h</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该场地为</w:t>
      </w:r>
      <w:r>
        <w:rPr>
          <w:rFonts w:hint="default" w:ascii="Times New Roman" w:hAnsi="Times New Roman" w:eastAsia="宋体" w:cs="Times New Roman"/>
          <w:color w:val="000000" w:themeColor="text1"/>
          <w:kern w:val="0"/>
          <w:sz w:val="28"/>
          <w:szCs w:val="28"/>
          <w:highlight w:val="none"/>
          <w:lang w:val="en-US" w:eastAsia="zh-CN" w:bidi="ar"/>
          <w14:textFill>
            <w14:solidFill>
              <w14:schemeClr w14:val="tx1"/>
            </w14:solidFill>
          </w14:textFill>
        </w:rPr>
        <w:t>《开发与治理综合方案》设计场地，后期将继续利用，但东南侧将被拟建露天采场2占用部分（占用面积：0.1026</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h</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kern w:val="0"/>
          <w:sz w:val="28"/>
          <w:szCs w:val="28"/>
          <w:highlight w:val="none"/>
          <w:lang w:val="en-US" w:eastAsia="zh-CN" w:bidi="ar"/>
          <w14:textFill>
            <w14:solidFill>
              <w14:schemeClr w14:val="tx1"/>
            </w14:solidFill>
          </w14:textFill>
        </w:rPr>
        <w:t>），故该场地最终占地面积为</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2.7315h</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w:t>
      </w:r>
      <w:r>
        <w:rPr>
          <w:rStyle w:val="168"/>
          <w:rFonts w:hint="default" w:ascii="Times New Roman" w:hAnsi="Times New Roman" w:eastAsia="宋体" w:cs="Times New Roman"/>
          <w:color w:val="000000" w:themeColor="text1"/>
          <w:sz w:val="28"/>
          <w:szCs w:val="28"/>
          <w:lang w:val="en-US" w:eastAsia="zh-CN"/>
          <w14:textFill>
            <w14:solidFill>
              <w14:schemeClr w14:val="tx1"/>
            </w14:solidFill>
          </w14:textFill>
        </w:rPr>
        <w:t>场地的建设破坏了地形地貌景观和地表植被，预测场地与现状一致，对矿区地形地貌景观破坏程度为较严重</w:t>
      </w:r>
      <w:r>
        <w:rPr>
          <w:rFonts w:hint="default" w:ascii="Times New Roman" w:hAnsi="Times New Roman" w:eastAsia="宋体" w:cs="Times New Roman"/>
          <w:color w:val="000000" w:themeColor="text1"/>
          <w:sz w:val="28"/>
          <w:szCs w:val="28"/>
          <w:highlight w:val="none"/>
          <w14:textFill>
            <w14:solidFill>
              <w14:schemeClr w14:val="tx1"/>
            </w14:solidFill>
          </w14:textFill>
        </w:rPr>
        <w:t>。</w:t>
      </w:r>
    </w:p>
    <w:p w14:paraId="47B0AE13">
      <w:pPr>
        <w:spacing w:line="360" w:lineRule="auto"/>
        <w:ind w:firstLine="560" w:firstLineChars="200"/>
        <w:contextualSpacing/>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8"/>
          <w:szCs w:val="28"/>
          <w:lang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7</w:t>
      </w:r>
      <w:r>
        <w:rPr>
          <w:rFonts w:hint="default" w:ascii="Times New Roman" w:hAnsi="Times New Roman" w:eastAsia="宋体" w:cs="Times New Roman"/>
          <w:b w:val="0"/>
          <w:bCs w:val="0"/>
          <w:color w:val="000000" w:themeColor="text1"/>
          <w:sz w:val="28"/>
          <w:szCs w:val="28"/>
          <w:lang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成品砖堆放场</w:t>
      </w:r>
    </w:p>
    <w:p w14:paraId="1A7A0006">
      <w:pPr>
        <w:tabs>
          <w:tab w:val="left" w:pos="1300"/>
        </w:tabs>
        <w:spacing w:line="360" w:lineRule="auto"/>
        <w:ind w:firstLine="560" w:firstLineChars="200"/>
        <w:rPr>
          <w:rFonts w:hint="default" w:ascii="Times New Roman" w:hAnsi="Times New Roman" w:eastAsia="宋体" w:cs="Times New Roman"/>
          <w:color w:val="000000" w:themeColor="text1"/>
          <w:sz w:val="28"/>
          <w:szCs w:val="28"/>
          <w:highlight w:val="none"/>
          <w14:textFill>
            <w14:solidFill>
              <w14:schemeClr w14:val="tx1"/>
            </w14:solidFill>
          </w14:textFill>
        </w:rPr>
      </w:pP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成品砖堆放场位于工业场地北西侧</w:t>
      </w:r>
      <w:r>
        <w:rPr>
          <w:rFonts w:hint="default" w:ascii="Times New Roman" w:hAnsi="Times New Roman" w:eastAsia="宋体" w:cs="Times New Roman"/>
          <w:b w:val="0"/>
          <w:bCs w:val="0"/>
          <w:color w:val="000000" w:themeColor="text1"/>
          <w:sz w:val="28"/>
          <w:szCs w:val="28"/>
          <w14:textFill>
            <w14:solidFill>
              <w14:schemeClr w14:val="tx1"/>
            </w14:solidFill>
          </w14:textFill>
        </w:rPr>
        <w:t>，占地面积</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1.0550h</w:t>
      </w:r>
      <w:r>
        <w:rPr>
          <w:rFonts w:hint="default" w:ascii="Times New Roman" w:hAnsi="Times New Roman" w:eastAsia="宋体" w:cs="Times New Roman"/>
          <w:b w:val="0"/>
          <w:bCs w:val="0"/>
          <w:color w:val="000000" w:themeColor="text1"/>
          <w:sz w:val="28"/>
          <w:szCs w:val="28"/>
          <w14:textFill>
            <w14:solidFill>
              <w14:schemeClr w14:val="tx1"/>
            </w14:solidFill>
          </w14:textFill>
        </w:rPr>
        <w:t>m</w:t>
      </w:r>
      <w:r>
        <w:rPr>
          <w:rFonts w:hint="default" w:ascii="Times New Roman" w:hAnsi="Times New Roman" w:eastAsia="宋体" w:cs="Times New Roman"/>
          <w:b w:val="0"/>
          <w:bCs w:val="0"/>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b w:val="0"/>
          <w:bCs w:val="0"/>
          <w:color w:val="000000" w:themeColor="text1"/>
          <w:sz w:val="28"/>
          <w:szCs w:val="28"/>
          <w14:textFill>
            <w14:solidFill>
              <w14:schemeClr w14:val="tx1"/>
            </w14:solidFill>
          </w14:textFill>
        </w:rPr>
        <w:t>，</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该场地为</w:t>
      </w:r>
      <w:r>
        <w:rPr>
          <w:rFonts w:hint="default" w:ascii="Times New Roman" w:hAnsi="Times New Roman" w:eastAsia="宋体" w:cs="Times New Roman"/>
          <w:color w:val="000000" w:themeColor="text1"/>
          <w:kern w:val="0"/>
          <w:sz w:val="28"/>
          <w:szCs w:val="28"/>
          <w:highlight w:val="none"/>
          <w:lang w:val="en-US" w:eastAsia="zh-CN" w:bidi="ar"/>
          <w14:textFill>
            <w14:solidFill>
              <w14:schemeClr w14:val="tx1"/>
            </w14:solidFill>
          </w14:textFill>
        </w:rPr>
        <w:t>《开发与治理综合方案》设计场地，后期将继续利用，</w:t>
      </w:r>
      <w:r>
        <w:rPr>
          <w:rStyle w:val="168"/>
          <w:rFonts w:hint="default" w:ascii="Times New Roman" w:hAnsi="Times New Roman" w:eastAsia="宋体" w:cs="Times New Roman"/>
          <w:color w:val="000000" w:themeColor="text1"/>
          <w:sz w:val="28"/>
          <w:szCs w:val="28"/>
          <w:lang w:val="en-US" w:eastAsia="zh-CN"/>
          <w14:textFill>
            <w14:solidFill>
              <w14:schemeClr w14:val="tx1"/>
            </w14:solidFill>
          </w14:textFill>
        </w:rPr>
        <w:t>场地的建设破坏了地形地貌景观和地表植被，预测场地与现状一致，对矿区地形地貌景观破坏程度为较严重</w:t>
      </w:r>
      <w:r>
        <w:rPr>
          <w:rFonts w:hint="default" w:ascii="Times New Roman" w:hAnsi="Times New Roman" w:eastAsia="宋体" w:cs="Times New Roman"/>
          <w:color w:val="000000" w:themeColor="text1"/>
          <w:sz w:val="28"/>
          <w:szCs w:val="28"/>
          <w:highlight w:val="none"/>
          <w14:textFill>
            <w14:solidFill>
              <w14:schemeClr w14:val="tx1"/>
            </w14:solidFill>
          </w14:textFill>
        </w:rPr>
        <w:t>。</w:t>
      </w:r>
    </w:p>
    <w:p w14:paraId="7712539A">
      <w:pPr>
        <w:spacing w:line="360" w:lineRule="auto"/>
        <w:ind w:firstLine="560" w:firstLineChars="200"/>
        <w:contextualSpacing/>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8"/>
          <w:szCs w:val="28"/>
          <w:lang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8</w:t>
      </w:r>
      <w:r>
        <w:rPr>
          <w:rFonts w:hint="default" w:ascii="Times New Roman" w:hAnsi="Times New Roman" w:eastAsia="宋体" w:cs="Times New Roman"/>
          <w:b w:val="0"/>
          <w:bCs w:val="0"/>
          <w:color w:val="000000" w:themeColor="text1"/>
          <w:sz w:val="28"/>
          <w:szCs w:val="28"/>
          <w:lang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料堆</w:t>
      </w:r>
    </w:p>
    <w:p w14:paraId="02B0D6FE">
      <w:pPr>
        <w:tabs>
          <w:tab w:val="left" w:pos="1300"/>
        </w:tabs>
        <w:spacing w:line="360" w:lineRule="auto"/>
        <w:ind w:firstLine="560" w:firstLineChars="200"/>
        <w:rPr>
          <w:rFonts w:hint="default" w:ascii="Times New Roman" w:hAnsi="Times New Roman" w:eastAsia="宋体" w:cs="Times New Roman"/>
          <w:color w:val="000000" w:themeColor="text1"/>
          <w:sz w:val="28"/>
          <w:szCs w:val="28"/>
          <w:highlight w:val="none"/>
          <w14:textFill>
            <w14:solidFill>
              <w14:schemeClr w14:val="tx1"/>
            </w14:solidFill>
          </w14:textFill>
        </w:rPr>
      </w:pP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料堆位于工业场地南侧</w:t>
      </w:r>
      <w:r>
        <w:rPr>
          <w:rFonts w:hint="default" w:ascii="Times New Roman" w:hAnsi="Times New Roman" w:eastAsia="宋体" w:cs="Times New Roman"/>
          <w:b w:val="0"/>
          <w:bCs w:val="0"/>
          <w:color w:val="000000" w:themeColor="text1"/>
          <w:sz w:val="28"/>
          <w:szCs w:val="28"/>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现状</w:t>
      </w:r>
      <w:r>
        <w:rPr>
          <w:rFonts w:hint="default" w:ascii="Times New Roman" w:hAnsi="Times New Roman" w:eastAsia="宋体" w:cs="Times New Roman"/>
          <w:b w:val="0"/>
          <w:bCs w:val="0"/>
          <w:color w:val="000000" w:themeColor="text1"/>
          <w:sz w:val="28"/>
          <w:szCs w:val="28"/>
          <w14:textFill>
            <w14:solidFill>
              <w14:schemeClr w14:val="tx1"/>
            </w14:solidFill>
          </w14:textFill>
        </w:rPr>
        <w:t>占地面积</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0.7930h</w:t>
      </w:r>
      <w:r>
        <w:rPr>
          <w:rFonts w:hint="default" w:ascii="Times New Roman" w:hAnsi="Times New Roman" w:eastAsia="宋体" w:cs="Times New Roman"/>
          <w:b w:val="0"/>
          <w:bCs w:val="0"/>
          <w:color w:val="000000" w:themeColor="text1"/>
          <w:sz w:val="28"/>
          <w:szCs w:val="28"/>
          <w14:textFill>
            <w14:solidFill>
              <w14:schemeClr w14:val="tx1"/>
            </w14:solidFill>
          </w14:textFill>
        </w:rPr>
        <w:t>m</w:t>
      </w:r>
      <w:r>
        <w:rPr>
          <w:rFonts w:hint="default" w:ascii="Times New Roman" w:hAnsi="Times New Roman" w:eastAsia="宋体" w:cs="Times New Roman"/>
          <w:b w:val="0"/>
          <w:bCs w:val="0"/>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b w:val="0"/>
          <w:bCs w:val="0"/>
          <w:color w:val="000000" w:themeColor="text1"/>
          <w:sz w:val="28"/>
          <w:szCs w:val="28"/>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用于堆放生产所需粘土矿，堆</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积</w:t>
      </w:r>
      <w:r>
        <w:rPr>
          <w:rFonts w:hint="default" w:ascii="Times New Roman" w:hAnsi="Times New Roman" w:eastAsia="宋体" w:cs="Times New Roman"/>
          <w:color w:val="000000" w:themeColor="text1"/>
          <w:sz w:val="28"/>
          <w:szCs w:val="21"/>
          <w:highlight w:val="none"/>
          <w14:textFill>
            <w14:solidFill>
              <w14:schemeClr w14:val="tx1"/>
            </w14:solidFill>
          </w14:textFill>
        </w:rPr>
        <w:t>高2～</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8"/>
          <w:szCs w:val="21"/>
          <w:highlight w:val="none"/>
          <w14:textFill>
            <w14:solidFill>
              <w14:schemeClr w14:val="tx1"/>
            </w14:solidFill>
          </w14:textFill>
        </w:rPr>
        <w:t>m，边坡角20°～</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45</w:t>
      </w:r>
      <w:r>
        <w:rPr>
          <w:rFonts w:hint="default" w:ascii="Times New Roman" w:hAnsi="Times New Roman" w:eastAsia="宋体" w:cs="Times New Roman"/>
          <w:color w:val="000000" w:themeColor="text1"/>
          <w:sz w:val="28"/>
          <w:szCs w:val="21"/>
          <w:highlight w:val="none"/>
          <w14:textFill>
            <w14:solidFill>
              <w14:schemeClr w14:val="tx1"/>
            </w14:solidFill>
          </w14:textFill>
        </w:rPr>
        <w:t>°</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场地北侧将被拟建露天场地2占用部分（面积：0.3723hm</w:t>
      </w:r>
      <w:r>
        <w:rPr>
          <w:rFonts w:hint="default" w:ascii="Times New Roman" w:hAnsi="Times New Roman" w:eastAsia="宋体" w:cs="Times New Roman"/>
          <w:color w:val="000000" w:themeColor="text1"/>
          <w:sz w:val="28"/>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），预测该场地最终面积为0.4207hm</w:t>
      </w:r>
      <w:r>
        <w:rPr>
          <w:rFonts w:hint="default" w:ascii="Times New Roman" w:hAnsi="Times New Roman" w:eastAsia="宋体" w:cs="Times New Roman"/>
          <w:color w:val="000000" w:themeColor="text1"/>
          <w:sz w:val="28"/>
          <w:szCs w:val="21"/>
          <w:highlight w:val="none"/>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1"/>
          <w:highlight w:val="none"/>
          <w:vertAlign w:val="baseline"/>
          <w:lang w:val="en-US" w:eastAsia="zh-CN"/>
          <w14:textFill>
            <w14:solidFill>
              <w14:schemeClr w14:val="tx1"/>
            </w14:solidFill>
          </w14:textFill>
        </w:rPr>
        <w:t>，</w:t>
      </w:r>
      <w:r>
        <w:rPr>
          <w:rFonts w:hint="default" w:ascii="Times New Roman" w:hAnsi="Times New Roman" w:eastAsia="宋体" w:cs="Times New Roman"/>
          <w:b/>
          <w:bCs/>
          <w:color w:val="000000" w:themeColor="text1"/>
          <w:sz w:val="28"/>
          <w:szCs w:val="21"/>
          <w:highlight w:val="none"/>
          <w:lang w:val="en-US" w:eastAsia="zh-CN"/>
          <w14:textFill>
            <w14:solidFill>
              <w14:schemeClr w14:val="tx1"/>
            </w14:solidFill>
          </w14:textFill>
        </w:rPr>
        <w:t>需要说明的是：</w:t>
      </w:r>
      <w:r>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t>该场地为</w:t>
      </w:r>
      <w:r>
        <w:rPr>
          <w:rFonts w:hint="default" w:ascii="Times New Roman" w:hAnsi="Times New Roman" w:eastAsia="宋体" w:cs="Times New Roman"/>
          <w:b/>
          <w:bCs/>
          <w:color w:val="000000" w:themeColor="text1"/>
          <w:kern w:val="0"/>
          <w:sz w:val="28"/>
          <w:szCs w:val="28"/>
          <w:highlight w:val="none"/>
          <w:lang w:val="en-US" w:eastAsia="zh-CN" w:bidi="ar"/>
          <w14:textFill>
            <w14:solidFill>
              <w14:schemeClr w14:val="tx1"/>
            </w14:solidFill>
          </w14:textFill>
        </w:rPr>
        <w:t>《开发与治理综合方案》设计场地，设计场地面积远远大于现状场地，经与矿业权人沟通，后期矿山生产，现状场地面积能够满足生产需要，故不再扩大该场地面积，后期继续利用现状场地即可，</w:t>
      </w:r>
      <w:r>
        <w:rPr>
          <w:rStyle w:val="168"/>
          <w:rFonts w:hint="default" w:ascii="Times New Roman" w:hAnsi="Times New Roman" w:eastAsia="宋体" w:cs="Times New Roman"/>
          <w:color w:val="000000" w:themeColor="text1"/>
          <w:sz w:val="28"/>
          <w:szCs w:val="28"/>
          <w:lang w:val="en-US" w:eastAsia="zh-CN"/>
          <w14:textFill>
            <w14:solidFill>
              <w14:schemeClr w14:val="tx1"/>
            </w14:solidFill>
          </w14:textFill>
        </w:rPr>
        <w:t>场地的建设破坏了地形地貌景观和地表植被，对矿区地形地貌景观破坏程度为较严重</w:t>
      </w:r>
      <w:r>
        <w:rPr>
          <w:rFonts w:hint="default" w:ascii="Times New Roman" w:hAnsi="Times New Roman" w:eastAsia="宋体" w:cs="Times New Roman"/>
          <w:color w:val="000000" w:themeColor="text1"/>
          <w:sz w:val="28"/>
          <w:szCs w:val="28"/>
          <w:highlight w:val="none"/>
          <w14:textFill>
            <w14:solidFill>
              <w14:schemeClr w14:val="tx1"/>
            </w14:solidFill>
          </w14:textFill>
        </w:rPr>
        <w:t>。</w:t>
      </w:r>
    </w:p>
    <w:p w14:paraId="503FE9AC">
      <w:pPr>
        <w:spacing w:line="360" w:lineRule="auto"/>
        <w:ind w:firstLine="560" w:firstLineChars="200"/>
        <w:contextualSpacing/>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8"/>
          <w:szCs w:val="28"/>
          <w:lang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9</w:t>
      </w:r>
      <w:r>
        <w:rPr>
          <w:rFonts w:hint="default" w:ascii="Times New Roman" w:hAnsi="Times New Roman" w:eastAsia="宋体" w:cs="Times New Roman"/>
          <w:b w:val="0"/>
          <w:bCs w:val="0"/>
          <w:color w:val="000000" w:themeColor="text1"/>
          <w:sz w:val="28"/>
          <w:szCs w:val="28"/>
          <w:lang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表土存放场</w:t>
      </w:r>
    </w:p>
    <w:p w14:paraId="56A524B5">
      <w:pPr>
        <w:tabs>
          <w:tab w:val="left" w:pos="1300"/>
        </w:tabs>
        <w:spacing w:line="360" w:lineRule="auto"/>
        <w:ind w:firstLine="560" w:firstLineChars="200"/>
        <w:rPr>
          <w:rFonts w:hint="default" w:ascii="Times New Roman" w:hAnsi="Times New Roman" w:eastAsia="宋体" w:cs="Times New Roman"/>
          <w:color w:val="000000" w:themeColor="text1"/>
          <w:sz w:val="22"/>
          <w:szCs w:val="21"/>
          <w14:textFill>
            <w14:solidFill>
              <w14:schemeClr w14:val="tx1"/>
            </w14:solidFill>
          </w14:textFill>
        </w:rPr>
      </w:pPr>
      <w:r>
        <w:rPr>
          <w:rFonts w:hint="default" w:ascii="Times New Roman" w:hAnsi="Times New Roman" w:eastAsia="宋体" w:cs="Times New Roman"/>
          <w:color w:val="000000" w:themeColor="text1"/>
          <w:sz w:val="28"/>
          <w:szCs w:val="28"/>
          <w:lang w:val="en-US" w:eastAsia="zh-CN"/>
          <w14:textFill>
            <w14:solidFill>
              <w14:schemeClr w14:val="tx1"/>
            </w14:solidFill>
          </w14:textFill>
        </w:rPr>
        <w:t>表土存放场</w:t>
      </w:r>
      <w:r>
        <w:rPr>
          <w:rFonts w:hint="default" w:ascii="Times New Roman" w:hAnsi="Times New Roman" w:eastAsia="宋体" w:cs="Times New Roman"/>
          <w:color w:val="000000" w:themeColor="text1"/>
          <w:sz w:val="28"/>
          <w:szCs w:val="28"/>
          <w14:textFill>
            <w14:solidFill>
              <w14:schemeClr w14:val="tx1"/>
            </w14:solidFill>
          </w14:textFill>
        </w:rPr>
        <w:t>位于</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露天采场1西侧</w:t>
      </w:r>
      <w:r>
        <w:rPr>
          <w:rFonts w:hint="default" w:ascii="Times New Roman" w:hAnsi="Times New Roman" w:eastAsia="宋体" w:cs="Times New Roman"/>
          <w:color w:val="000000" w:themeColor="text1"/>
          <w:sz w:val="28"/>
          <w:szCs w:val="28"/>
          <w14:textFill>
            <w14:solidFill>
              <w14:schemeClr w14:val="tx1"/>
            </w14:solidFill>
          </w14:textFill>
        </w:rPr>
        <w:t>，</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占地面积1.8212h</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该场地用于存放临时的表土，</w:t>
      </w:r>
      <w:r>
        <w:rPr>
          <w:rFonts w:hint="default" w:ascii="Times New Roman" w:hAnsi="Times New Roman" w:cs="Times New Roman"/>
          <w:color w:val="000000" w:themeColor="text1"/>
          <w:sz w:val="28"/>
          <w:szCs w:val="28"/>
          <w:lang w:val="en-US" w:eastAsia="zh-CN"/>
          <w14:textFill>
            <w14:solidFill>
              <w14:schemeClr w14:val="tx1"/>
            </w14:solidFill>
          </w14:textFill>
        </w:rPr>
        <w:t>表土堆积高度</w:t>
      </w:r>
      <w:r>
        <w:rPr>
          <w:rFonts w:hint="eastAsia" w:ascii="Times New Roman" w:hAnsi="Times New Roman" w:cs="Times New Roman"/>
          <w:color w:val="000000" w:themeColor="text1"/>
          <w:sz w:val="28"/>
          <w:szCs w:val="28"/>
          <w:lang w:val="en-US" w:eastAsia="zh-CN"/>
          <w14:textFill>
            <w14:solidFill>
              <w14:schemeClr w14:val="tx1"/>
            </w14:solidFill>
          </w14:textFill>
        </w:rPr>
        <w:t>0.2</w:t>
      </w:r>
      <w:r>
        <w:rPr>
          <w:rFonts w:hint="default" w:ascii="Times New Roman" w:hAnsi="Times New Roman" w:cs="Times New Roman"/>
          <w:color w:val="000000" w:themeColor="text1"/>
          <w:sz w:val="28"/>
          <w:szCs w:val="28"/>
          <w:lang w:val="en-US" w:eastAsia="zh-CN"/>
          <w14:textFill>
            <w14:solidFill>
              <w14:schemeClr w14:val="tx1"/>
            </w14:solidFill>
          </w14:textFill>
        </w:rPr>
        <w:t>-3m，坡度10-25°，</w:t>
      </w:r>
      <w:r>
        <w:rPr>
          <w:rFonts w:hint="eastAsia" w:ascii="Times New Roman" w:hAnsi="Times New Roman" w:cs="Times New Roman"/>
          <w:color w:val="000000" w:themeColor="text1"/>
          <w:sz w:val="28"/>
          <w:szCs w:val="28"/>
          <w:lang w:val="en-US" w:eastAsia="zh-CN"/>
          <w14:textFill>
            <w14:solidFill>
              <w14:schemeClr w14:val="tx1"/>
            </w14:solidFill>
          </w14:textFill>
        </w:rPr>
        <w:t>现状表土堆积方量约5866m</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3</w:t>
      </w:r>
      <w:r>
        <w:rPr>
          <w:rFonts w:hint="eastAsia" w:ascii="Times New Roman" w:hAnsi="Times New Roman" w:cs="Times New Roman"/>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8"/>
          <w:szCs w:val="28"/>
          <w:highlight w:val="none"/>
          <w:lang w:val="en-US" w:eastAsia="zh-CN" w:bidi="ar"/>
          <w14:textFill>
            <w14:solidFill>
              <w14:schemeClr w14:val="tx1"/>
            </w14:solidFill>
          </w14:textFill>
        </w:rPr>
        <w:t>《开发与治理综合方案》设计该场地面积为0.3584</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h</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现状场地远远大于设计面积，另外，根据设计，场地北西侧将被拟建露天采场1占用，北东侧被拟建储水池占用部分，占用</w:t>
      </w:r>
      <w:r>
        <w:rPr>
          <w:rFonts w:hint="default" w:ascii="Times New Roman" w:hAnsi="Times New Roman" w:eastAsia="宋体" w:cs="Times New Roman"/>
          <w:bCs/>
          <w:color w:val="000000" w:themeColor="text1"/>
          <w:sz w:val="28"/>
          <w:szCs w:val="28"/>
          <w:highlight w:val="none"/>
          <w:lang w:eastAsia="zh-CN"/>
          <w14:textFill>
            <w14:solidFill>
              <w14:schemeClr w14:val="tx1"/>
            </w14:solidFill>
          </w14:textFill>
        </w:rPr>
        <w:t>面积</w:t>
      </w:r>
      <w:r>
        <w:rPr>
          <w:rFonts w:hint="default" w:ascii="Times New Roman" w:hAnsi="Times New Roman" w:eastAsia="宋体" w:cs="Times New Roman"/>
          <w:bCs/>
          <w:color w:val="000000" w:themeColor="text1"/>
          <w:sz w:val="28"/>
          <w:szCs w:val="28"/>
          <w:highlight w:val="none"/>
          <w:lang w:val="en-US" w:eastAsia="zh-CN"/>
          <w14:textFill>
            <w14:solidFill>
              <w14:schemeClr w14:val="tx1"/>
            </w14:solidFill>
          </w14:textFill>
        </w:rPr>
        <w:t>0.0150hm</w:t>
      </w:r>
      <w:r>
        <w:rPr>
          <w:rFonts w:hint="default" w:ascii="Times New Roman" w:hAnsi="Times New Roman" w:eastAsia="宋体" w:cs="Times New Roman"/>
          <w:bCs/>
          <w:color w:val="000000" w:themeColor="text1"/>
          <w:sz w:val="28"/>
          <w:szCs w:val="28"/>
          <w:highlight w:val="none"/>
          <w:vertAlign w:val="superscript"/>
          <w:lang w:val="en-US" w:eastAsia="zh-CN"/>
          <w14:textFill>
            <w14:solidFill>
              <w14:schemeClr w14:val="tx1"/>
            </w14:solidFill>
          </w14:textFill>
        </w:rPr>
        <w:t>2</w:t>
      </w:r>
      <w:r>
        <w:rPr>
          <w:rFonts w:hint="default" w:ascii="Times New Roman" w:hAnsi="Times New Roman" w:eastAsia="宋体" w:cs="Times New Roman"/>
          <w:bCs/>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故预测</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表土存放场</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最终占地面积为1.3346</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h</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。未来矿山需进行表土剥离的场地有：拟建露天采场1（2.2810hm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）、拟建露天采场2（2.3167hm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）、拟建储水池（0.0150hm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），在开采前用挖掘机剥离表土，剥离的表土集中堆放至表土存放场。剥离总面积4.6127hm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，剥离厚度1m，剥离工程量46127m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color w:val="000000" w:themeColor="text1"/>
          <w:sz w:val="28"/>
          <w:szCs w:val="28"/>
          <w14:textFill>
            <w14:solidFill>
              <w14:schemeClr w14:val="tx1"/>
            </w14:solidFill>
          </w14:textFill>
        </w:rPr>
        <w:t>。</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故预测堆放表土总量为51993m</w:t>
      </w:r>
      <w:r>
        <w:rPr>
          <w:rFonts w:hint="eastAsia" w:ascii="Times New Roman" w:hAnsi="Times New Roman" w:eastAsia="宋体" w:cs="Times New Roman"/>
          <w:color w:val="000000" w:themeColor="text1"/>
          <w:sz w:val="28"/>
          <w:szCs w:val="28"/>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w:t>
      </w:r>
      <w:r>
        <w:rPr>
          <w:rStyle w:val="168"/>
          <w:rFonts w:hint="default" w:ascii="Times New Roman" w:hAnsi="Times New Roman" w:eastAsia="宋体" w:cs="Times New Roman"/>
          <w:color w:val="000000" w:themeColor="text1"/>
          <w:sz w:val="28"/>
          <w:szCs w:val="28"/>
          <w:lang w:val="en-US" w:eastAsia="zh-CN"/>
          <w14:textFill>
            <w14:solidFill>
              <w14:schemeClr w14:val="tx1"/>
            </w14:solidFill>
          </w14:textFill>
        </w:rPr>
        <w:t>场地的建设破坏了地形地貌景观和地表植被，对矿区地形地貌景观破坏程度为较严重。</w:t>
      </w:r>
    </w:p>
    <w:p w14:paraId="038F6BEE">
      <w:pPr>
        <w:keepNext w:val="0"/>
        <w:keepLines w:val="0"/>
        <w:pageBreakBefore w:val="0"/>
        <w:widowControl w:val="0"/>
        <w:kinsoku/>
        <w:wordWrap/>
        <w:overflowPunct/>
        <w:topLinePunct w:val="0"/>
        <w:autoSpaceDE/>
        <w:autoSpaceDN/>
        <w:bidi w:val="0"/>
        <w:adjustRightInd/>
        <w:snapToGrid/>
        <w:spacing w:before="157" w:beforeLines="50" w:line="360" w:lineRule="auto"/>
        <w:ind w:firstLine="560" w:firstLineChars="200"/>
        <w:contextualSpacing/>
        <w:textAlignment w:val="auto"/>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8"/>
          <w:szCs w:val="28"/>
          <w:lang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10</w:t>
      </w:r>
      <w:r>
        <w:rPr>
          <w:rFonts w:hint="default" w:ascii="Times New Roman" w:hAnsi="Times New Roman" w:eastAsia="宋体" w:cs="Times New Roman"/>
          <w:b w:val="0"/>
          <w:bCs w:val="0"/>
          <w:color w:val="000000" w:themeColor="text1"/>
          <w:sz w:val="28"/>
          <w:szCs w:val="28"/>
          <w:lang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办公生活区</w:t>
      </w:r>
    </w:p>
    <w:p w14:paraId="1A17F52D">
      <w:pPr>
        <w:keepNext w:val="0"/>
        <w:keepLines w:val="0"/>
        <w:pageBreakBefore w:val="0"/>
        <w:widowControl w:val="0"/>
        <w:kinsoku/>
        <w:wordWrap/>
        <w:overflowPunct/>
        <w:topLinePunct w:val="0"/>
        <w:autoSpaceDE/>
        <w:autoSpaceDN/>
        <w:bidi w:val="0"/>
        <w:adjustRightInd/>
        <w:snapToGrid/>
        <w:spacing w:before="157" w:beforeLines="50" w:line="360" w:lineRule="auto"/>
        <w:ind w:firstLine="560" w:firstLineChars="200"/>
        <w:contextualSpacing/>
        <w:textAlignment w:val="auto"/>
        <w:rPr>
          <w:rFonts w:hint="default" w:ascii="Times New Roman" w:hAnsi="Times New Roman" w:eastAsia="宋体" w:cs="Times New Roman"/>
          <w:b w:val="0"/>
          <w:bCs w:val="0"/>
          <w:color w:val="000000" w:themeColor="text1"/>
          <w:sz w:val="28"/>
          <w:szCs w:val="28"/>
          <w:lang w:eastAsia="zh-CN"/>
          <w14:textFill>
            <w14:solidFill>
              <w14:schemeClr w14:val="tx1"/>
            </w14:solidFill>
          </w14:textFill>
        </w:rPr>
      </w:pP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办公生活区位于矿区西侧，占地面积0.2217hm</w:t>
      </w:r>
      <w:r>
        <w:rPr>
          <w:rFonts w:hint="default" w:ascii="Times New Roman" w:hAnsi="Times New Roman" w:eastAsia="宋体" w:cs="Times New Roman"/>
          <w:b w:val="0"/>
          <w:bCs w:val="0"/>
          <w:color w:val="000000" w:themeColor="text1"/>
          <w:sz w:val="28"/>
          <w:szCs w:val="28"/>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供矿山</w:t>
      </w:r>
      <w:r>
        <w:rPr>
          <w:rFonts w:hint="default" w:ascii="Times New Roman" w:hAnsi="Times New Roman" w:eastAsia="宋体" w:cs="Times New Roman"/>
          <w:b w:val="0"/>
          <w:bCs w:val="0"/>
          <w:color w:val="000000" w:themeColor="text1"/>
          <w:sz w:val="28"/>
          <w:szCs w:val="28"/>
          <w:lang w:eastAsia="zh-CN"/>
          <w14:textFill>
            <w14:solidFill>
              <w14:schemeClr w14:val="tx1"/>
            </w14:solidFill>
          </w14:textFill>
        </w:rPr>
        <w:t>工作人员生活居住</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及办公</w:t>
      </w:r>
      <w:r>
        <w:rPr>
          <w:rFonts w:hint="default" w:ascii="Times New Roman" w:hAnsi="Times New Roman" w:eastAsia="宋体" w:cs="Times New Roman"/>
          <w:b w:val="0"/>
          <w:bCs w:val="0"/>
          <w:color w:val="000000" w:themeColor="text1"/>
          <w:sz w:val="28"/>
          <w:szCs w:val="28"/>
          <w:lang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建筑占地面积0.0346hm</w:t>
      </w:r>
      <w:r>
        <w:rPr>
          <w:rFonts w:hint="default" w:ascii="Times New Roman" w:hAnsi="Times New Roman" w:eastAsia="宋体" w:cs="Times New Roman"/>
          <w:b w:val="0"/>
          <w:bCs w:val="0"/>
          <w:color w:val="000000" w:themeColor="text1"/>
          <w:sz w:val="28"/>
          <w:szCs w:val="28"/>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8"/>
          <w:szCs w:val="28"/>
          <w:vertAlign w:val="baseli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建筑为</w:t>
      </w:r>
      <w:r>
        <w:rPr>
          <w:rFonts w:hint="default" w:ascii="Times New Roman" w:hAnsi="Times New Roman" w:eastAsia="宋体" w:cs="Times New Roman"/>
          <w:b w:val="0"/>
          <w:bCs w:val="0"/>
          <w:color w:val="000000" w:themeColor="text1"/>
          <w:sz w:val="28"/>
          <w:szCs w:val="28"/>
          <w:lang w:eastAsia="zh-CN"/>
          <w14:textFill>
            <w14:solidFill>
              <w14:schemeClr w14:val="tx1"/>
            </w14:solidFill>
          </w14:textFill>
        </w:rPr>
        <w:t>砖混结构平房，</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平均高度4m</w:t>
      </w:r>
      <w:r>
        <w:rPr>
          <w:rFonts w:hint="default" w:ascii="Times New Roman" w:hAnsi="Times New Roman" w:eastAsia="宋体" w:cs="Times New Roman"/>
          <w:b w:val="0"/>
          <w:bCs w:val="0"/>
          <w:color w:val="000000" w:themeColor="text1"/>
          <w:sz w:val="28"/>
          <w:szCs w:val="28"/>
          <w:lang w:eastAsia="zh-CN"/>
          <w14:textFill>
            <w14:solidFill>
              <w14:schemeClr w14:val="tx1"/>
            </w14:solidFill>
          </w14:textFill>
        </w:rPr>
        <w:t>，</w:t>
      </w:r>
      <w:r>
        <w:rPr>
          <w:rStyle w:val="168"/>
          <w:rFonts w:hint="default" w:ascii="Times New Roman" w:hAnsi="Times New Roman" w:eastAsia="宋体" w:cs="Times New Roman"/>
          <w:color w:val="000000" w:themeColor="text1"/>
          <w:sz w:val="28"/>
          <w:szCs w:val="28"/>
          <w:lang w:val="en-US" w:eastAsia="zh-CN"/>
          <w14:textFill>
            <w14:solidFill>
              <w14:schemeClr w14:val="tx1"/>
            </w14:solidFill>
          </w14:textFill>
        </w:rPr>
        <w:t>场地的建设破坏了地形地貌景观和地表植被，对矿区地形地貌景观破坏程度为较严重</w:t>
      </w:r>
      <w:r>
        <w:rPr>
          <w:rFonts w:hint="default" w:ascii="Times New Roman" w:hAnsi="Times New Roman" w:eastAsia="宋体" w:cs="Times New Roman"/>
          <w:color w:val="000000" w:themeColor="text1"/>
          <w:sz w:val="28"/>
          <w:szCs w:val="28"/>
          <w:highlight w:val="none"/>
          <w14:textFill>
            <w14:solidFill>
              <w14:schemeClr w14:val="tx1"/>
            </w14:solidFill>
          </w14:textFill>
        </w:rPr>
        <w:t>。</w:t>
      </w:r>
    </w:p>
    <w:p w14:paraId="083D95D9">
      <w:pPr>
        <w:keepNext w:val="0"/>
        <w:keepLines w:val="0"/>
        <w:pageBreakBefore w:val="0"/>
        <w:widowControl w:val="0"/>
        <w:kinsoku/>
        <w:wordWrap/>
        <w:overflowPunct/>
        <w:topLinePunct w:val="0"/>
        <w:autoSpaceDE/>
        <w:autoSpaceDN/>
        <w:bidi w:val="0"/>
        <w:adjustRightInd/>
        <w:snapToGrid/>
        <w:spacing w:before="157" w:beforeLines="50" w:line="360" w:lineRule="auto"/>
        <w:ind w:firstLine="560" w:firstLineChars="200"/>
        <w:contextualSpacing/>
        <w:textAlignment w:val="auto"/>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8"/>
          <w:szCs w:val="28"/>
          <w:lang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11</w:t>
      </w:r>
      <w:r>
        <w:rPr>
          <w:rFonts w:hint="default" w:ascii="Times New Roman" w:hAnsi="Times New Roman" w:eastAsia="宋体" w:cs="Times New Roman"/>
          <w:b w:val="0"/>
          <w:bCs w:val="0"/>
          <w:color w:val="000000" w:themeColor="text1"/>
          <w:sz w:val="28"/>
          <w:szCs w:val="28"/>
          <w:lang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矿区道路</w:t>
      </w:r>
    </w:p>
    <w:p w14:paraId="0F360F13">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现状</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矿山已开拓</w:t>
      </w:r>
      <w:r>
        <w:rPr>
          <w:rFonts w:hint="default" w:ascii="Times New Roman" w:hAnsi="Times New Roman" w:eastAsia="宋体" w:cs="Times New Roman"/>
          <w:color w:val="000000" w:themeColor="text1"/>
          <w:sz w:val="28"/>
          <w:szCs w:val="28"/>
          <w14:textFill>
            <w14:solidFill>
              <w14:schemeClr w14:val="tx1"/>
            </w14:solidFill>
          </w14:textFill>
        </w:rPr>
        <w:t>矿区道路长</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447</w:t>
      </w:r>
      <w:r>
        <w:rPr>
          <w:rFonts w:hint="default" w:ascii="Times New Roman" w:hAnsi="Times New Roman" w:eastAsia="宋体" w:cs="Times New Roman"/>
          <w:color w:val="000000" w:themeColor="text1"/>
          <w:sz w:val="28"/>
          <w:szCs w:val="28"/>
          <w14:textFill>
            <w14:solidFill>
              <w14:schemeClr w14:val="tx1"/>
            </w14:solidFill>
          </w14:textFill>
        </w:rPr>
        <w:t>m，平均宽</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6</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占地</w:t>
      </w:r>
      <w:r>
        <w:rPr>
          <w:rFonts w:hint="default" w:ascii="Times New Roman" w:hAnsi="Times New Roman" w:eastAsia="宋体" w:cs="Times New Roman"/>
          <w:color w:val="000000" w:themeColor="text1"/>
          <w:sz w:val="28"/>
          <w:szCs w:val="28"/>
          <w14:textFill>
            <w14:solidFill>
              <w14:schemeClr w14:val="tx1"/>
            </w14:solidFill>
          </w14:textFill>
        </w:rPr>
        <w:t>面积</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0.2682h</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，连接矿山各个功能单元所用</w:t>
      </w:r>
      <w:r>
        <w:rPr>
          <w:rFonts w:hint="default" w:ascii="Times New Roman" w:hAnsi="Times New Roman" w:eastAsia="宋体" w:cs="Times New Roman"/>
          <w:b w:val="0"/>
          <w:bCs w:val="0"/>
          <w:color w:val="000000" w:themeColor="text1"/>
          <w:sz w:val="28"/>
          <w:szCs w:val="28"/>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道路平整无切坡</w:t>
      </w:r>
      <w:r>
        <w:rPr>
          <w:rFonts w:hint="default" w:ascii="Times New Roman" w:hAnsi="Times New Roman" w:eastAsia="宋体" w:cs="Times New Roman"/>
          <w:b w:val="0"/>
          <w:bCs w:val="0"/>
          <w:color w:val="000000" w:themeColor="text1"/>
          <w:sz w:val="28"/>
          <w:szCs w:val="28"/>
          <w14:textFill>
            <w14:solidFill>
              <w14:schemeClr w14:val="tx1"/>
            </w14:solidFill>
          </w14:textFill>
        </w:rPr>
        <w:t>。</w:t>
      </w:r>
      <w:r>
        <w:rPr>
          <w:rFonts w:hint="default" w:ascii="Times New Roman" w:hAnsi="Times New Roman" w:eastAsia="宋体" w:cs="Times New Roman"/>
          <w:b w:val="0"/>
          <w:bCs w:val="0"/>
          <w:color w:val="000000" w:themeColor="text1"/>
          <w:sz w:val="28"/>
          <w:szCs w:val="28"/>
          <w:lang w:val="en-US" w:eastAsia="zh-CN" w:bidi="ar-SA"/>
          <w14:textFill>
            <w14:solidFill>
              <w14:schemeClr w14:val="tx1"/>
            </w14:solidFill>
          </w14:textFill>
        </w:rPr>
        <w:t>矿区道路为土石路，</w:t>
      </w:r>
      <w:r>
        <w:rPr>
          <w:rFonts w:hint="default" w:ascii="Times New Roman" w:hAnsi="Times New Roman" w:eastAsia="宋体" w:cs="Times New Roman"/>
          <w:b w:val="0"/>
          <w:bCs w:val="0"/>
          <w:color w:val="000000" w:themeColor="text1"/>
          <w:kern w:val="0"/>
          <w:sz w:val="28"/>
          <w:szCs w:val="28"/>
          <w:highlight w:val="none"/>
          <w:lang w:val="en-US" w:eastAsia="zh-CN" w:bidi="ar"/>
          <w14:textFill>
            <w14:solidFill>
              <w14:schemeClr w14:val="tx1"/>
            </w14:solidFill>
          </w14:textFill>
        </w:rPr>
        <w:t>经与矿业权人沟通，后期矿山生产，现状场地能够满足生产需要，故不再扩大该场地面积，后期继续利用现状场地即可，</w:t>
      </w:r>
      <w:r>
        <w:rPr>
          <w:rStyle w:val="168"/>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t>场</w:t>
      </w:r>
      <w:r>
        <w:rPr>
          <w:rStyle w:val="168"/>
          <w:rFonts w:hint="default" w:ascii="Times New Roman" w:hAnsi="Times New Roman" w:eastAsia="宋体" w:cs="Times New Roman"/>
          <w:color w:val="000000" w:themeColor="text1"/>
          <w:sz w:val="28"/>
          <w:szCs w:val="28"/>
          <w:lang w:val="en-US" w:eastAsia="zh-CN"/>
          <w14:textFill>
            <w14:solidFill>
              <w14:schemeClr w14:val="tx1"/>
            </w14:solidFill>
          </w14:textFill>
        </w:rPr>
        <w:t>地的建设破坏了地形地貌景观和地表植被，对矿区地形地貌景观破坏程度为较严重</w:t>
      </w:r>
      <w:r>
        <w:rPr>
          <w:rFonts w:hint="default" w:ascii="Times New Roman" w:hAnsi="Times New Roman" w:eastAsia="宋体" w:cs="Times New Roman"/>
          <w:b w:val="0"/>
          <w:bCs w:val="0"/>
          <w:color w:val="000000" w:themeColor="text1"/>
          <w:sz w:val="28"/>
          <w:szCs w:val="28"/>
          <w:lang w:val="en-US" w:eastAsia="zh-CN" w:bidi="ar-SA"/>
          <w14:textFill>
            <w14:solidFill>
              <w14:schemeClr w14:val="tx1"/>
            </w14:solidFill>
          </w14:textFill>
        </w:rPr>
        <w:t>。</w:t>
      </w:r>
    </w:p>
    <w:p w14:paraId="46DEED4E">
      <w:pPr>
        <w:tabs>
          <w:tab w:val="left" w:pos="1300"/>
        </w:tabs>
        <w:spacing w:line="360" w:lineRule="auto"/>
        <w:ind w:firstLine="560" w:firstLineChars="200"/>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12</w:t>
      </w: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其他区域</w:t>
      </w:r>
    </w:p>
    <w:p w14:paraId="4723B172">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auto"/>
        <w:rPr>
          <w:rFonts w:hint="default"/>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color w:val="000000" w:themeColor="text1"/>
          <w:sz w:val="28"/>
          <w:szCs w:val="28"/>
          <w:highlight w:val="none"/>
          <w:lang w:val="en-US" w:eastAsia="zh-CN" w:bidi="ar-SA"/>
          <w14:textFill>
            <w14:solidFill>
              <w14:schemeClr w14:val="tx1"/>
            </w14:solidFill>
          </w14:textFill>
        </w:rPr>
        <w:t>其他区域面积</w:t>
      </w:r>
      <w:r>
        <w:rPr>
          <w:rFonts w:hint="eastAsia" w:cs="Times New Roman"/>
          <w:color w:val="000000" w:themeColor="text1"/>
          <w:sz w:val="28"/>
          <w:szCs w:val="28"/>
          <w:highlight w:val="none"/>
          <w:lang w:val="en-US" w:eastAsia="zh-CN" w:bidi="ar-SA"/>
          <w14:textFill>
            <w14:solidFill>
              <w14:schemeClr w14:val="tx1"/>
            </w14:solidFill>
          </w14:textFill>
        </w:rPr>
        <w:t>8.4589h</w:t>
      </w:r>
      <w:r>
        <w:rPr>
          <w:rFonts w:hint="default" w:ascii="Times New Roman" w:hAnsi="Times New Roman" w:eastAsia="宋体" w:cs="Times New Roman"/>
          <w:color w:val="000000" w:themeColor="text1"/>
          <w:sz w:val="28"/>
          <w:szCs w:val="28"/>
          <w:highlight w:val="none"/>
          <w:lang w:val="en-US" w:eastAsia="zh-CN" w:bidi="ar-SA"/>
          <w14:textFill>
            <w14:solidFill>
              <w14:schemeClr w14:val="tx1"/>
            </w14:solidFill>
          </w14:textFill>
        </w:rPr>
        <w:t>m</w:t>
      </w:r>
      <w:r>
        <w:rPr>
          <w:rFonts w:hint="default" w:ascii="Times New Roman" w:hAnsi="Times New Roman" w:eastAsia="宋体" w:cs="Times New Roman"/>
          <w:color w:val="000000" w:themeColor="text1"/>
          <w:sz w:val="28"/>
          <w:szCs w:val="28"/>
          <w:highlight w:val="none"/>
          <w:vertAlign w:val="superscript"/>
          <w:lang w:val="en-US" w:eastAsia="zh-CN" w:bidi="ar-SA"/>
          <w14:textFill>
            <w14:solidFill>
              <w14:schemeClr w14:val="tx1"/>
            </w14:solidFill>
          </w14:textFill>
        </w:rPr>
        <w:t>2</w:t>
      </w:r>
      <w:r>
        <w:rPr>
          <w:rFonts w:hint="default" w:ascii="Times New Roman" w:hAnsi="Times New Roman" w:eastAsia="宋体" w:cs="Times New Roman"/>
          <w:color w:val="000000" w:themeColor="text1"/>
          <w:sz w:val="28"/>
          <w:szCs w:val="28"/>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矿业</w:t>
      </w:r>
      <w:r>
        <w:rPr>
          <w:rFonts w:hint="default" w:ascii="Times New Roman" w:hAnsi="Times New Roman" w:eastAsia="宋体" w:cs="Times New Roman"/>
          <w:color w:val="000000" w:themeColor="text1"/>
          <w:sz w:val="28"/>
          <w:szCs w:val="28"/>
          <w14:textFill>
            <w14:solidFill>
              <w14:schemeClr w14:val="tx1"/>
            </w14:solidFill>
          </w14:textFill>
        </w:rPr>
        <w:t>活动对地形地貌影响较轻，</w:t>
      </w:r>
      <w:r>
        <w:rPr>
          <w:rFonts w:hint="default" w:ascii="Times New Roman" w:hAnsi="Times New Roman" w:eastAsia="宋体" w:cs="Times New Roman"/>
          <w:bCs/>
          <w:color w:val="000000" w:themeColor="text1"/>
          <w:sz w:val="28"/>
          <w:szCs w:val="28"/>
          <w14:textFill>
            <w14:solidFill>
              <w14:schemeClr w14:val="tx1"/>
            </w14:solidFill>
          </w14:textFill>
        </w:rPr>
        <w:t>目前尚未受采矿活动影响</w:t>
      </w:r>
      <w:r>
        <w:rPr>
          <w:rFonts w:hint="default" w:ascii="Times New Roman" w:hAnsi="Times New Roman" w:eastAsia="宋体" w:cs="Times New Roman"/>
          <w:color w:val="000000" w:themeColor="text1"/>
          <w:sz w:val="28"/>
          <w:szCs w:val="28"/>
          <w14:textFill>
            <w14:solidFill>
              <w14:schemeClr w14:val="tx1"/>
            </w14:solidFill>
          </w14:textFill>
        </w:rPr>
        <w:t>，基本保持了原生的地形地貌状态。</w:t>
      </w:r>
    </w:p>
    <w:p w14:paraId="3E9ECBE4">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auto"/>
        <w:rPr>
          <w:rFonts w:hint="default" w:ascii="Times New Roman" w:hAnsi="Times New Roman" w:eastAsia="宋体" w:cs="Times New Roman"/>
          <w:color w:val="000000" w:themeColor="text1"/>
          <w:sz w:val="28"/>
          <w:szCs w:val="28"/>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8"/>
          <w:szCs w:val="28"/>
          <w:highlight w:val="none"/>
          <w:lang w:val="en-US" w:eastAsia="zh-CN" w:bidi="ar-SA"/>
          <w14:textFill>
            <w14:solidFill>
              <w14:schemeClr w14:val="tx1"/>
            </w14:solidFill>
          </w14:textFill>
        </w:rPr>
        <w:t>依</w:t>
      </w:r>
      <w:r>
        <w:rPr>
          <w:rFonts w:hint="default" w:ascii="Times New Roman" w:hAnsi="Times New Roman" w:eastAsia="宋体" w:cs="Times New Roman"/>
          <w:color w:val="000000" w:themeColor="text1"/>
          <w:sz w:val="28"/>
          <w:szCs w:val="28"/>
          <w:highlight w:val="none"/>
          <w:lang w:val="en-US" w:eastAsia="zh-CN" w:bidi="ar-SA"/>
          <w14:textFill>
            <w14:solidFill>
              <w14:schemeClr w14:val="tx1"/>
            </w14:solidFill>
          </w14:textFill>
        </w:rPr>
        <w:t>据各项评估因子对评估区内各场地</w:t>
      </w:r>
      <w:r>
        <w:rPr>
          <w:rFonts w:hint="eastAsia" w:ascii="Times New Roman" w:hAnsi="Times New Roman" w:eastAsia="宋体" w:cs="Times New Roman"/>
          <w:color w:val="000000" w:themeColor="text1"/>
          <w:sz w:val="28"/>
          <w:szCs w:val="28"/>
          <w:highlight w:val="none"/>
          <w:lang w:val="en-US" w:eastAsia="zh-CN" w:bidi="ar-SA"/>
          <w14:textFill>
            <w14:solidFill>
              <w14:schemeClr w14:val="tx1"/>
            </w14:solidFill>
          </w14:textFill>
        </w:rPr>
        <w:t>综合评分</w:t>
      </w:r>
      <w:r>
        <w:rPr>
          <w:rFonts w:hint="default" w:ascii="Times New Roman" w:hAnsi="Times New Roman" w:eastAsia="宋体" w:cs="Times New Roman"/>
          <w:color w:val="000000" w:themeColor="text1"/>
          <w:sz w:val="28"/>
          <w:szCs w:val="28"/>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sz w:val="28"/>
          <w:szCs w:val="28"/>
          <w:highlight w:val="none"/>
          <w:lang w:val="en-US" w:eastAsia="zh-CN" w:bidi="ar-SA"/>
          <w14:textFill>
            <w14:solidFill>
              <w14:schemeClr w14:val="tx1"/>
            </w14:solidFill>
          </w14:textFill>
        </w:rPr>
        <w:t>对各</w:t>
      </w:r>
      <w:r>
        <w:rPr>
          <w:rFonts w:hint="default" w:ascii="Times New Roman" w:hAnsi="Times New Roman" w:eastAsia="宋体" w:cs="Times New Roman"/>
          <w:color w:val="000000" w:themeColor="text1"/>
          <w:sz w:val="28"/>
          <w:szCs w:val="28"/>
          <w:highlight w:val="none"/>
          <w:lang w:val="en-US" w:eastAsia="zh-CN" w:bidi="ar-SA"/>
          <w14:textFill>
            <w14:solidFill>
              <w14:schemeClr w14:val="tx1"/>
            </w14:solidFill>
          </w14:textFill>
        </w:rPr>
        <w:t>场地的地形地貌景观</w:t>
      </w:r>
      <w:r>
        <w:rPr>
          <w:rFonts w:hint="eastAsia" w:ascii="Times New Roman" w:hAnsi="Times New Roman" w:eastAsia="宋体" w:cs="Times New Roman"/>
          <w:color w:val="000000" w:themeColor="text1"/>
          <w:sz w:val="28"/>
          <w:szCs w:val="28"/>
          <w:highlight w:val="none"/>
          <w:lang w:val="en-US" w:eastAsia="zh-CN" w:bidi="ar-SA"/>
          <w14:textFill>
            <w14:solidFill>
              <w14:schemeClr w14:val="tx1"/>
            </w14:solidFill>
          </w14:textFill>
        </w:rPr>
        <w:t>影响预测</w:t>
      </w:r>
      <w:r>
        <w:rPr>
          <w:rFonts w:hint="default" w:ascii="Times New Roman" w:hAnsi="Times New Roman" w:eastAsia="宋体" w:cs="Times New Roman"/>
          <w:color w:val="000000" w:themeColor="text1"/>
          <w:sz w:val="28"/>
          <w:szCs w:val="28"/>
          <w:highlight w:val="none"/>
          <w:lang w:val="en-US" w:eastAsia="zh-CN" w:bidi="ar-SA"/>
          <w14:textFill>
            <w14:solidFill>
              <w14:schemeClr w14:val="tx1"/>
            </w14:solidFill>
          </w14:textFill>
        </w:rPr>
        <w:t>评估</w:t>
      </w:r>
      <w:r>
        <w:rPr>
          <w:rFonts w:hint="eastAsia" w:ascii="Times New Roman" w:hAnsi="Times New Roman" w:eastAsia="宋体" w:cs="Times New Roman"/>
          <w:color w:val="000000" w:themeColor="text1"/>
          <w:sz w:val="28"/>
          <w:szCs w:val="28"/>
          <w:highlight w:val="none"/>
          <w:lang w:val="en-US" w:eastAsia="zh-CN" w:bidi="ar-SA"/>
          <w14:textFill>
            <w14:solidFill>
              <w14:schemeClr w14:val="tx1"/>
            </w14:solidFill>
          </w14:textFill>
        </w:rPr>
        <w:t>如下，详见表3-</w:t>
      </w:r>
      <w:r>
        <w:rPr>
          <w:rFonts w:hint="eastAsia" w:cs="Times New Roman"/>
          <w:color w:val="000000" w:themeColor="text1"/>
          <w:sz w:val="28"/>
          <w:szCs w:val="28"/>
          <w:highlight w:val="none"/>
          <w:lang w:val="en-US" w:eastAsia="zh-CN" w:bidi="ar-SA"/>
          <w14:textFill>
            <w14:solidFill>
              <w14:schemeClr w14:val="tx1"/>
            </w14:solidFill>
          </w14:textFill>
        </w:rPr>
        <w:t>30</w:t>
      </w:r>
      <w:r>
        <w:rPr>
          <w:rFonts w:hint="eastAsia" w:ascii="Times New Roman" w:hAnsi="Times New Roman" w:eastAsia="宋体" w:cs="Times New Roman"/>
          <w:color w:val="000000" w:themeColor="text1"/>
          <w:sz w:val="28"/>
          <w:szCs w:val="28"/>
          <w:highlight w:val="none"/>
          <w:lang w:val="en-US" w:eastAsia="zh-CN" w:bidi="ar-SA"/>
          <w14:textFill>
            <w14:solidFill>
              <w14:schemeClr w14:val="tx1"/>
            </w14:solidFill>
          </w14:textFill>
        </w:rPr>
        <w:t>。</w:t>
      </w:r>
    </w:p>
    <w:p w14:paraId="5526E77F">
      <w:pPr>
        <w:rPr>
          <w:rFonts w:eastAsia="黑体"/>
          <w:bCs/>
          <w:color w:val="000000" w:themeColor="text1"/>
          <w:sz w:val="24"/>
          <w:szCs w:val="24"/>
          <w14:textFill>
            <w14:solidFill>
              <w14:schemeClr w14:val="tx1"/>
            </w14:solidFill>
          </w14:textFill>
        </w:rPr>
      </w:pPr>
      <w:r>
        <w:rPr>
          <w:rFonts w:eastAsia="黑体"/>
          <w:bCs/>
          <w:color w:val="000000" w:themeColor="text1"/>
          <w:sz w:val="24"/>
          <w:szCs w:val="24"/>
          <w14:textFill>
            <w14:solidFill>
              <w14:schemeClr w14:val="tx1"/>
            </w14:solidFill>
          </w14:textFill>
        </w:rPr>
        <w:br w:type="page"/>
      </w:r>
    </w:p>
    <w:p w14:paraId="0E61EF7C">
      <w:pPr>
        <w:pStyle w:val="164"/>
        <w:snapToGrid w:val="0"/>
        <w:spacing w:line="360" w:lineRule="auto"/>
        <w:jc w:val="center"/>
        <w:rPr>
          <w:rFonts w:eastAsia="黑体"/>
          <w:bCs/>
          <w:color w:val="000000" w:themeColor="text1"/>
          <w:sz w:val="24"/>
          <w:szCs w:val="24"/>
          <w14:textFill>
            <w14:solidFill>
              <w14:schemeClr w14:val="tx1"/>
            </w14:solidFill>
          </w14:textFill>
        </w:rPr>
      </w:pPr>
      <w:r>
        <w:rPr>
          <w:rFonts w:eastAsia="黑体"/>
          <w:bCs/>
          <w:color w:val="000000" w:themeColor="text1"/>
          <w:sz w:val="24"/>
          <w:szCs w:val="24"/>
          <w14:textFill>
            <w14:solidFill>
              <w14:schemeClr w14:val="tx1"/>
            </w14:solidFill>
          </w14:textFill>
        </w:rPr>
        <w:t>表3-</w:t>
      </w:r>
      <w:r>
        <w:rPr>
          <w:rFonts w:hint="eastAsia" w:eastAsia="黑体"/>
          <w:bCs/>
          <w:color w:val="000000" w:themeColor="text1"/>
          <w:sz w:val="24"/>
          <w:szCs w:val="24"/>
          <w:lang w:val="en-US" w:eastAsia="zh-CN"/>
          <w14:textFill>
            <w14:solidFill>
              <w14:schemeClr w14:val="tx1"/>
            </w14:solidFill>
          </w14:textFill>
        </w:rPr>
        <w:t>30</w:t>
      </w:r>
      <w:r>
        <w:rPr>
          <w:rFonts w:eastAsia="黑体"/>
          <w:bCs/>
          <w:color w:val="000000" w:themeColor="text1"/>
          <w:sz w:val="24"/>
          <w:szCs w:val="24"/>
          <w14:textFill>
            <w14:solidFill>
              <w14:schemeClr w14:val="tx1"/>
            </w14:solidFill>
          </w14:textFill>
        </w:rPr>
        <w:t xml:space="preserve">  </w:t>
      </w:r>
      <w:r>
        <w:rPr>
          <w:rFonts w:hint="eastAsia" w:eastAsia="黑体"/>
          <w:bCs/>
          <w:color w:val="000000" w:themeColor="text1"/>
          <w:sz w:val="24"/>
          <w:szCs w:val="24"/>
          <w:lang w:val="en-US" w:eastAsia="zh-CN"/>
          <w14:textFill>
            <w14:solidFill>
              <w14:schemeClr w14:val="tx1"/>
            </w14:solidFill>
          </w14:textFill>
        </w:rPr>
        <w:t>预测</w:t>
      </w:r>
      <w:r>
        <w:rPr>
          <w:rFonts w:eastAsia="黑体"/>
          <w:bCs/>
          <w:color w:val="000000" w:themeColor="text1"/>
          <w:sz w:val="24"/>
          <w:szCs w:val="24"/>
          <w14:textFill>
            <w14:solidFill>
              <w14:schemeClr w14:val="tx1"/>
            </w14:solidFill>
          </w14:textFill>
        </w:rPr>
        <w:t>地形地貌景观破坏程度评分</w:t>
      </w:r>
      <w:r>
        <w:rPr>
          <w:rFonts w:hint="eastAsia" w:eastAsia="黑体"/>
          <w:bCs/>
          <w:color w:val="000000" w:themeColor="text1"/>
          <w:sz w:val="24"/>
          <w:szCs w:val="24"/>
          <w:lang w:val="en-US" w:eastAsia="zh-CN"/>
          <w14:textFill>
            <w14:solidFill>
              <w14:schemeClr w14:val="tx1"/>
            </w14:solidFill>
          </w14:textFill>
        </w:rPr>
        <w:t>结果</w:t>
      </w:r>
      <w:r>
        <w:rPr>
          <w:rFonts w:eastAsia="黑体"/>
          <w:bCs/>
          <w:color w:val="000000" w:themeColor="text1"/>
          <w:sz w:val="24"/>
          <w:szCs w:val="24"/>
          <w14:textFill>
            <w14:solidFill>
              <w14:schemeClr w14:val="tx1"/>
            </w14:solidFill>
          </w14:textFill>
        </w:rPr>
        <w:t>表</w:t>
      </w:r>
    </w:p>
    <w:p w14:paraId="63FA149C">
      <w:pPr>
        <w:keepNext w:val="0"/>
        <w:keepLines w:val="0"/>
        <w:pageBreakBefore w:val="0"/>
        <w:widowControl/>
        <w:kinsoku/>
        <w:wordWrap/>
        <w:overflowPunct/>
        <w:topLinePunct w:val="0"/>
        <w:autoSpaceDE/>
        <w:autoSpaceDN/>
        <w:bidi w:val="0"/>
        <w:adjustRightInd/>
        <w:snapToGrid/>
        <w:spacing w:before="157" w:beforeLines="50" w:after="0" w:line="360" w:lineRule="auto"/>
        <w:ind w:firstLine="560" w:firstLineChars="200"/>
        <w:textAlignment w:val="auto"/>
        <w:rPr>
          <w:rFonts w:hint="default" w:ascii="Times New Roman" w:hAnsi="Times New Roman" w:eastAsia="宋体" w:cs="Times New Roman"/>
          <w:color w:val="000000" w:themeColor="text1"/>
          <w:sz w:val="28"/>
          <w:szCs w:val="21"/>
          <w14:textFill>
            <w14:solidFill>
              <w14:schemeClr w14:val="tx1"/>
            </w14:solidFill>
          </w14:textFill>
        </w:rPr>
      </w:pPr>
      <w:r>
        <w:rPr>
          <w:rFonts w:hint="default" w:ascii="Times New Roman" w:hAnsi="Times New Roman" w:eastAsia="宋体" w:cs="Times New Roman"/>
          <w:color w:val="000000" w:themeColor="text1"/>
          <w:sz w:val="28"/>
          <w:szCs w:val="21"/>
          <w:lang w:val="en-US" w:eastAsia="zh-CN"/>
          <w14:textFill>
            <w14:solidFill>
              <w14:schemeClr w14:val="tx1"/>
            </w14:solidFill>
          </w14:textFill>
        </w:rPr>
        <w:t>综上所述，拟建露天采场1、拟建露天采场2对地形地貌影响严重；露天采场2、工业场地、成品砖堆放场、料堆、表土存放场、办公生活区及矿区道路等对地形地貌影响较严重，拟建储水池及修复区内其他区域对地形地貌影响较轻。</w:t>
      </w:r>
    </w:p>
    <w:p w14:paraId="5FC6C772">
      <w:pPr>
        <w:widowControl/>
        <w:spacing w:line="360" w:lineRule="auto"/>
        <w:ind w:firstLine="560" w:firstLineChars="200"/>
        <w:outlineLvl w:val="3"/>
        <w:rPr>
          <w:rFonts w:hint="default" w:ascii="Times New Roman" w:hAnsi="Times New Roman" w:eastAsia="宋体" w:cs="Times New Roman"/>
          <w:snapToGrid w:val="0"/>
          <w:color w:val="000000" w:themeColor="text1"/>
          <w:sz w:val="28"/>
          <w:szCs w:val="28"/>
          <w:lang w:eastAsia="zh-CN"/>
          <w14:textFill>
            <w14:solidFill>
              <w14:schemeClr w14:val="tx1"/>
            </w14:solidFill>
          </w14:textFill>
        </w:rPr>
      </w:pPr>
      <w:r>
        <w:rPr>
          <w:rFonts w:hint="eastAsia" w:ascii="Times New Roman" w:hAnsi="Times New Roman" w:eastAsia="宋体" w:cs="Times New Roman"/>
          <w:snapToGrid w:val="0"/>
          <w:color w:val="000000" w:themeColor="text1"/>
          <w:sz w:val="28"/>
          <w:szCs w:val="28"/>
          <w:lang w:val="en-US" w:eastAsia="zh-CN"/>
          <w14:textFill>
            <w14:solidFill>
              <w14:schemeClr w14:val="tx1"/>
            </w14:solidFill>
          </w14:textFill>
        </w:rPr>
        <w:t>3、</w:t>
      </w:r>
      <w:r>
        <w:rPr>
          <w:rFonts w:hint="default" w:ascii="Times New Roman" w:hAnsi="Times New Roman" w:eastAsia="宋体" w:cs="Times New Roman"/>
          <w:snapToGrid w:val="0"/>
          <w:color w:val="000000" w:themeColor="text1"/>
          <w:sz w:val="28"/>
          <w:szCs w:val="28"/>
          <w:lang w:eastAsia="zh-CN"/>
          <w14:textFill>
            <w14:solidFill>
              <w14:schemeClr w14:val="tx1"/>
            </w14:solidFill>
          </w14:textFill>
        </w:rPr>
        <w:t>矿区含水层破坏预测</w:t>
      </w:r>
    </w:p>
    <w:p w14:paraId="509F7F24">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ascii="Times New Roman" w:hAnsi="Times New Roman" w:cs="Times New Roman"/>
          <w:color w:val="000000" w:themeColor="text1"/>
          <w:sz w:val="28"/>
          <w:szCs w:val="28"/>
          <w:lang w:eastAsia="zh-CN"/>
          <w14:textFill>
            <w14:solidFill>
              <w14:schemeClr w14:val="tx1"/>
            </w14:solidFill>
          </w14:textFill>
        </w:rPr>
        <w:t>（</w:t>
      </w:r>
      <w:r>
        <w:rPr>
          <w:rFonts w:hint="eastAsia" w:ascii="Times New Roman" w:hAnsi="Times New Roman" w:cs="Times New Roman"/>
          <w:color w:val="000000" w:themeColor="text1"/>
          <w:sz w:val="28"/>
          <w:szCs w:val="28"/>
          <w:lang w:val="en-US" w:eastAsia="zh-CN"/>
          <w14:textFill>
            <w14:solidFill>
              <w14:schemeClr w14:val="tx1"/>
            </w14:solidFill>
          </w14:textFill>
        </w:rPr>
        <w:t>1</w:t>
      </w:r>
      <w:r>
        <w:rPr>
          <w:rFonts w:hint="eastAsia"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含水层结构破坏</w:t>
      </w:r>
    </w:p>
    <w:p w14:paraId="6B6CC1C1">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依据《开发与治理综合方案》矿区地下水类型为第四系松散岩层孔隙水。矿区内水位埋深35～40m，水位标高458m以下，拟建露天采场1最低开采标高460m，露天采场2最低开采标高位465m，均位于地下水位之上，露天采场未来开采均不会揭露含水层，未破坏含水层结构。对含水层结构破坏影响较轻。</w:t>
      </w:r>
    </w:p>
    <w:p w14:paraId="386DDC18">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（2）采坑排水对含水层影响</w:t>
      </w:r>
    </w:p>
    <w:p w14:paraId="30D46D70">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矿山未来开采均不会揭露含水层，未破坏含水层结构。不会产生疏干排水，矿井疏干对含水层的影响较轻。</w:t>
      </w:r>
    </w:p>
    <w:p w14:paraId="36DF9A57">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（3）对矿区及附近水源的影响</w:t>
      </w:r>
    </w:p>
    <w:p w14:paraId="68734CD0">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矿区及周围无地表水体，矿山未来生产未破坏含水层，无需大量抽取地下水，且不产生疏干排水，对矿区及附近村庄居民生产生活用水无影响。</w:t>
      </w:r>
    </w:p>
    <w:p w14:paraId="19AB388D">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（4）对地下水水质的影响</w:t>
      </w:r>
    </w:p>
    <w:p w14:paraId="61BFB0AC">
      <w:pPr>
        <w:keepNext w:val="0"/>
        <w:keepLines w:val="0"/>
        <w:pageBreakBefore w:val="0"/>
        <w:widowControl/>
        <w:kinsoku/>
        <w:wordWrap/>
        <w:overflowPunct/>
        <w:topLinePunct w:val="0"/>
        <w:autoSpaceDE/>
        <w:autoSpaceDN/>
        <w:bidi w:val="0"/>
        <w:adjustRightInd/>
        <w:snapToGrid/>
        <w:spacing w:after="0" w:line="360" w:lineRule="auto"/>
        <w:ind w:left="0" w:right="0" w:firstLine="560" w:firstLineChars="200"/>
        <w:jc w:val="left"/>
        <w:textAlignment w:val="auto"/>
        <w:rPr>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根据</w:t>
      </w:r>
      <w:r>
        <w:rPr>
          <w:rFonts w:hint="eastAsia" w:cs="Times New Roman"/>
          <w:color w:val="000000" w:themeColor="text1"/>
          <w:kern w:val="0"/>
          <w:sz w:val="28"/>
          <w:szCs w:val="28"/>
          <w:highlight w:val="none"/>
          <w:lang w:val="en-US" w:eastAsia="zh-CN"/>
          <w14:textFill>
            <w14:solidFill>
              <w14:schemeClr w14:val="tx1"/>
            </w14:solidFill>
          </w14:textFill>
        </w:rPr>
        <w:t>2022年7</w:t>
      </w:r>
      <w:r>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月，由</w:t>
      </w: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内蒙古</w:t>
      </w:r>
      <w:r>
        <w:rPr>
          <w:rFonts w:hint="eastAsia" w:cs="Times New Roman"/>
          <w:color w:val="000000" w:themeColor="text1"/>
          <w:kern w:val="0"/>
          <w:sz w:val="28"/>
          <w:szCs w:val="28"/>
          <w:highlight w:val="none"/>
          <w:lang w:val="en-US" w:eastAsia="zh-CN"/>
          <w14:textFill>
            <w14:solidFill>
              <w14:schemeClr w14:val="tx1"/>
            </w14:solidFill>
          </w14:textFill>
        </w:rPr>
        <w:t>绿美佳环境职业技术</w:t>
      </w: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有限公司出具</w:t>
      </w:r>
      <w:r>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的</w:t>
      </w:r>
      <w:r>
        <w:rPr>
          <w:rFonts w:hint="default" w:ascii="Times New Roman" w:hAnsi="Times New Roman" w:eastAsia="宋体" w:cs="Times New Roman"/>
          <w:color w:val="000000" w:themeColor="text1"/>
          <w:kern w:val="0"/>
          <w:sz w:val="28"/>
          <w:szCs w:val="28"/>
          <w:highlight w:val="none"/>
          <w:lang w:val="zh-CN" w:eastAsia="zh-CN"/>
          <w14:textFill>
            <w14:solidFill>
              <w14:schemeClr w14:val="tx1"/>
            </w14:solidFill>
          </w14:textFill>
        </w:rPr>
        <w:t>《</w:t>
      </w: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检测</w:t>
      </w:r>
      <w:r>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报告</w:t>
      </w:r>
      <w:r>
        <w:rPr>
          <w:rFonts w:hint="default" w:ascii="Times New Roman" w:hAnsi="Times New Roman" w:eastAsia="宋体" w:cs="Times New Roman"/>
          <w:color w:val="000000" w:themeColor="text1"/>
          <w:kern w:val="0"/>
          <w:sz w:val="28"/>
          <w:szCs w:val="28"/>
          <w:highlight w:val="none"/>
          <w:lang w:val="zh-CN" w:eastAsia="zh-CN"/>
          <w14:textFill>
            <w14:solidFill>
              <w14:schemeClr w14:val="tx1"/>
            </w14:solidFill>
          </w14:textFill>
        </w:rPr>
        <w:t>》</w:t>
      </w:r>
      <w:r>
        <w:rPr>
          <w:rFonts w:hint="eastAsia" w:cs="Times New Roman"/>
          <w:color w:val="000000" w:themeColor="text1"/>
          <w:kern w:val="0"/>
          <w:sz w:val="28"/>
          <w:szCs w:val="28"/>
          <w:highlight w:val="none"/>
          <w:lang w:val="zh-CN" w:eastAsia="zh-CN"/>
          <w14:textFill>
            <w14:solidFill>
              <w14:schemeClr w14:val="tx1"/>
            </w14:solidFill>
          </w14:textFill>
        </w:rPr>
        <w:t>（</w:t>
      </w:r>
      <w:r>
        <w:rPr>
          <w:rFonts w:hint="eastAsia" w:cs="Times New Roman"/>
          <w:color w:val="000000" w:themeColor="text1"/>
          <w:kern w:val="0"/>
          <w:sz w:val="28"/>
          <w:szCs w:val="28"/>
          <w:highlight w:val="none"/>
          <w:lang w:val="en-US" w:eastAsia="zh-CN"/>
          <w14:textFill>
            <w14:solidFill>
              <w14:schemeClr w14:val="tx1"/>
            </w14:solidFill>
          </w14:textFill>
        </w:rPr>
        <w:t>LMJ-S-2022-483</w:t>
      </w:r>
      <w:r>
        <w:rPr>
          <w:rFonts w:hint="eastAsia" w:cs="Times New Roman"/>
          <w:color w:val="000000" w:themeColor="text1"/>
          <w:kern w:val="0"/>
          <w:sz w:val="28"/>
          <w:szCs w:val="28"/>
          <w:highlight w:val="none"/>
          <w:lang w:val="zh-CN"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对</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矿山</w:t>
      </w:r>
      <w:r>
        <w:rPr>
          <w:rFonts w:hint="eastAsia" w:cs="Times New Roman"/>
          <w:color w:val="000000" w:themeColor="text1"/>
          <w:sz w:val="28"/>
          <w:szCs w:val="28"/>
          <w:highlight w:val="none"/>
          <w:lang w:val="en-US" w:eastAsia="zh-CN"/>
          <w14:textFill>
            <w14:solidFill>
              <w14:schemeClr w14:val="tx1"/>
            </w14:solidFill>
          </w14:textFill>
        </w:rPr>
        <w:t>厂区内水井</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分别取样</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进行检测，</w:t>
      </w:r>
      <w:r>
        <w:rPr>
          <w:rFonts w:hint="eastAsia" w:cs="Times New Roman"/>
          <w:color w:val="000000" w:themeColor="text1"/>
          <w:sz w:val="28"/>
          <w:szCs w:val="28"/>
          <w:highlight w:val="none"/>
          <w:lang w:val="en-US" w:eastAsia="zh-CN"/>
          <w14:textFill>
            <w14:solidFill>
              <w14:schemeClr w14:val="tx1"/>
            </w14:solidFill>
          </w14:textFill>
        </w:rPr>
        <w:t>检测项目为：浊度、PH、氨氮、COD，</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结果显示，矿山厂区内水井</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各项检测指标均符合《</w:t>
      </w:r>
      <w:r>
        <w:rPr>
          <w:rFonts w:hint="eastAsia" w:cs="Times New Roman"/>
          <w:color w:val="000000" w:themeColor="text1"/>
          <w:sz w:val="28"/>
          <w:szCs w:val="28"/>
          <w:highlight w:val="none"/>
          <w:lang w:val="en-US" w:eastAsia="zh-CN"/>
          <w14:textFill>
            <w14:solidFill>
              <w14:schemeClr w14:val="tx1"/>
            </w14:solidFill>
          </w14:textFill>
        </w:rPr>
        <w:t>地下水质量</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标准》（GB</w:t>
      </w:r>
      <w:r>
        <w:rPr>
          <w:rFonts w:hint="eastAsia" w:cs="Times New Roman"/>
          <w:color w:val="000000" w:themeColor="text1"/>
          <w:sz w:val="28"/>
          <w:szCs w:val="28"/>
          <w:highlight w:val="none"/>
          <w:lang w:val="en-US" w:eastAsia="zh-CN"/>
          <w14:textFill>
            <w14:solidFill>
              <w14:schemeClr w14:val="tx1"/>
            </w14:solidFill>
          </w14:textFill>
        </w:rPr>
        <w:t>/T 14848-2017</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III类标准</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矿山生产未破坏含水层，</w:t>
      </w:r>
      <w:r>
        <w:rPr>
          <w:rFonts w:hint="eastAsia"/>
          <w:color w:val="000000" w:themeColor="text1"/>
          <w:sz w:val="28"/>
          <w:szCs w:val="28"/>
          <w:lang w:val="en-US" w:eastAsia="zh-CN"/>
          <w14:textFill>
            <w14:solidFill>
              <w14:schemeClr w14:val="tx1"/>
            </w14:solidFill>
          </w14:textFill>
        </w:rPr>
        <w:t>矿山对地下水质的影响主要为</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矿山</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生活污水</w:t>
      </w:r>
      <w:r>
        <w:rPr>
          <w:rFonts w:hint="eastAsia" w:cs="Times New Roman"/>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生活污水经防渗化粪池处理后</w:t>
      </w:r>
      <w:r>
        <w:rPr>
          <w:rFonts w:hint="eastAsia" w:ascii="宋体" w:hAnsi="宋体" w:cs="宋体"/>
          <w:color w:val="000000" w:themeColor="text1"/>
          <w:sz w:val="28"/>
          <w:szCs w:val="28"/>
          <w14:textFill>
            <w14:solidFill>
              <w14:schemeClr w14:val="tx1"/>
            </w14:solidFill>
          </w14:textFill>
        </w:rPr>
        <w:t>用于选厂工业区的绿化</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，不外排</w:t>
      </w:r>
      <w:r>
        <w:rPr>
          <w:rFonts w:hint="eastAsia" w:cs="Times New Roman"/>
          <w:color w:val="000000" w:themeColor="text1"/>
          <w:sz w:val="28"/>
          <w:szCs w:val="28"/>
          <w:lang w:val="en-US" w:eastAsia="zh-CN"/>
          <w14:textFill>
            <w14:solidFill>
              <w14:schemeClr w14:val="tx1"/>
            </w14:solidFill>
          </w14:textFill>
        </w:rPr>
        <w:t>，</w:t>
      </w:r>
      <w:r>
        <w:rPr>
          <w:color w:val="000000" w:themeColor="text1"/>
          <w:sz w:val="28"/>
          <w:szCs w:val="28"/>
          <w14:textFill>
            <w14:solidFill>
              <w14:schemeClr w14:val="tx1"/>
            </w14:solidFill>
          </w14:textFill>
        </w:rPr>
        <w:t>对地下水水质影响较轻。预测矿山开采对地下水水质影响程度为</w:t>
      </w:r>
      <w:r>
        <w:rPr>
          <w:rFonts w:hint="eastAsia"/>
          <w:color w:val="000000" w:themeColor="text1"/>
          <w:sz w:val="28"/>
          <w:szCs w:val="28"/>
          <w:lang w:eastAsia="zh-CN"/>
          <w14:textFill>
            <w14:solidFill>
              <w14:schemeClr w14:val="tx1"/>
            </w14:solidFill>
          </w14:textFill>
        </w:rPr>
        <w:t>“</w:t>
      </w:r>
      <w:r>
        <w:rPr>
          <w:color w:val="000000" w:themeColor="text1"/>
          <w:sz w:val="28"/>
          <w:szCs w:val="28"/>
          <w14:textFill>
            <w14:solidFill>
              <w14:schemeClr w14:val="tx1"/>
            </w14:solidFill>
          </w14:textFill>
        </w:rPr>
        <w:t>较轻</w:t>
      </w:r>
      <w:r>
        <w:rPr>
          <w:rFonts w:hint="eastAsia"/>
          <w:color w:val="000000" w:themeColor="text1"/>
          <w:sz w:val="28"/>
          <w:szCs w:val="28"/>
          <w:lang w:eastAsia="zh-CN"/>
          <w14:textFill>
            <w14:solidFill>
              <w14:schemeClr w14:val="tx1"/>
            </w14:solidFill>
          </w14:textFill>
        </w:rPr>
        <w:t>”</w:t>
      </w:r>
      <w:r>
        <w:rPr>
          <w:color w:val="000000" w:themeColor="text1"/>
          <w:sz w:val="28"/>
          <w:szCs w:val="28"/>
          <w14:textFill>
            <w14:solidFill>
              <w14:schemeClr w14:val="tx1"/>
            </w14:solidFill>
          </w14:textFill>
        </w:rPr>
        <w:t>。</w:t>
      </w:r>
    </w:p>
    <w:p w14:paraId="4E8FA06E">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综上所述，</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预测</w:t>
      </w:r>
      <w:r>
        <w:rPr>
          <w:rFonts w:hint="default" w:ascii="Times New Roman" w:hAnsi="Times New Roman" w:eastAsia="宋体" w:cs="Times New Roman"/>
          <w:color w:val="000000" w:themeColor="text1"/>
          <w:sz w:val="28"/>
          <w:szCs w:val="28"/>
          <w14:textFill>
            <w14:solidFill>
              <w14:schemeClr w14:val="tx1"/>
            </w14:solidFill>
          </w14:textFill>
        </w:rPr>
        <w:t>矿山开采对含水层结构、含水层水位影响</w:t>
      </w:r>
      <w:r>
        <w:rPr>
          <w:rFonts w:hint="default" w:ascii="Times New Roman" w:hAnsi="Times New Roman" w:eastAsia="宋体" w:cs="Times New Roman"/>
          <w:color w:val="000000" w:themeColor="text1"/>
          <w:sz w:val="28"/>
          <w:szCs w:val="28"/>
          <w:lang w:eastAsia="zh-CN"/>
          <w14:textFill>
            <w14:solidFill>
              <w14:schemeClr w14:val="tx1"/>
            </w14:solidFill>
          </w14:textFill>
        </w:rPr>
        <w:t>较轻</w:t>
      </w:r>
      <w:r>
        <w:rPr>
          <w:rFonts w:hint="default" w:ascii="Times New Roman" w:hAnsi="Times New Roman" w:eastAsia="宋体" w:cs="Times New Roman"/>
          <w:color w:val="000000" w:themeColor="text1"/>
          <w:sz w:val="28"/>
          <w:szCs w:val="28"/>
          <w14:textFill>
            <w14:solidFill>
              <w14:schemeClr w14:val="tx1"/>
            </w14:solidFill>
          </w14:textFill>
        </w:rPr>
        <w:t>，对矿区及附近水源的影响较轻，对含水层水质影响较轻。根据《编制规范》，预测矿山开采对含水层破坏影响程度较</w:t>
      </w:r>
      <w:r>
        <w:rPr>
          <w:rFonts w:hint="default" w:ascii="Times New Roman" w:hAnsi="Times New Roman" w:eastAsia="宋体" w:cs="Times New Roman"/>
          <w:color w:val="000000" w:themeColor="text1"/>
          <w:sz w:val="28"/>
          <w:szCs w:val="28"/>
          <w:lang w:eastAsia="zh-CN"/>
          <w14:textFill>
            <w14:solidFill>
              <w14:schemeClr w14:val="tx1"/>
            </w14:solidFill>
          </w14:textFill>
        </w:rPr>
        <w:t>轻</w:t>
      </w:r>
      <w:r>
        <w:rPr>
          <w:rFonts w:hint="default" w:ascii="Times New Roman" w:hAnsi="Times New Roman" w:eastAsia="宋体" w:cs="Times New Roman"/>
          <w:color w:val="000000" w:themeColor="text1"/>
          <w:sz w:val="28"/>
          <w:szCs w:val="28"/>
          <w14:textFill>
            <w14:solidFill>
              <w14:schemeClr w14:val="tx1"/>
            </w14:solidFill>
          </w14:textFill>
        </w:rPr>
        <w:t>。</w:t>
      </w:r>
    </w:p>
    <w:p w14:paraId="307ABF94">
      <w:pPr>
        <w:spacing w:line="360" w:lineRule="auto"/>
        <w:ind w:firstLine="560" w:firstLineChars="200"/>
        <w:rPr>
          <w:rFonts w:hint="default" w:cs="Times New Roman"/>
          <w:snapToGrid w:val="0"/>
          <w:color w:val="000000" w:themeColor="text1"/>
          <w:sz w:val="28"/>
          <w:szCs w:val="28"/>
          <w:highlight w:val="none"/>
          <w:lang w:val="en-US" w:eastAsia="zh-CN"/>
          <w14:textFill>
            <w14:solidFill>
              <w14:schemeClr w14:val="tx1"/>
            </w14:solidFill>
          </w14:textFill>
        </w:rPr>
      </w:pPr>
      <w:r>
        <w:rPr>
          <w:rFonts w:hint="eastAsia" w:cs="Times New Roman"/>
          <w:snapToGrid w:val="0"/>
          <w:color w:val="000000" w:themeColor="text1"/>
          <w:sz w:val="28"/>
          <w:szCs w:val="28"/>
          <w:highlight w:val="none"/>
          <w:lang w:val="en-US" w:eastAsia="zh-CN"/>
          <w14:textFill>
            <w14:solidFill>
              <w14:schemeClr w14:val="tx1"/>
            </w14:solidFill>
          </w14:textFill>
        </w:rPr>
        <w:t>4、预测地质环境问题小结</w:t>
      </w:r>
    </w:p>
    <w:p w14:paraId="3776C850">
      <w:pPr>
        <w:spacing w:line="360" w:lineRule="auto"/>
        <w:ind w:firstLine="560" w:firstLineChars="200"/>
        <w:rPr>
          <w:rFonts w:hint="default" w:cs="Times New Roman"/>
          <w:snapToGrid w:val="0"/>
          <w:color w:val="000000" w:themeColor="text1"/>
          <w:sz w:val="28"/>
          <w:szCs w:val="28"/>
          <w:highlight w:val="none"/>
          <w:lang w:val="en-US" w:eastAsia="zh-CN"/>
          <w14:textFill>
            <w14:solidFill>
              <w14:schemeClr w14:val="tx1"/>
            </w14:solidFill>
          </w14:textFill>
        </w:rPr>
      </w:pPr>
      <w:r>
        <w:rPr>
          <w:rFonts w:hint="eastAsia" w:cs="Times New Roman"/>
          <w:snapToGrid w:val="0"/>
          <w:color w:val="000000" w:themeColor="text1"/>
          <w:sz w:val="28"/>
          <w:szCs w:val="28"/>
          <w:highlight w:val="none"/>
          <w:lang w:val="en-US" w:eastAsia="zh-CN"/>
          <w14:textFill>
            <w14:solidFill>
              <w14:schemeClr w14:val="tx1"/>
            </w14:solidFill>
          </w14:textFill>
        </w:rPr>
        <w:t>通过上述对矿山不稳定地质体、地形地貌景观破坏、矿区含水层破坏三点进行评估，预测对矿山地质环境问题评价如下表：</w:t>
      </w:r>
    </w:p>
    <w:p w14:paraId="5CF1D2C1">
      <w:pPr>
        <w:rPr>
          <w:rFonts w:hint="default" w:ascii="Times New Roman" w:hAnsi="Times New Roman" w:eastAsia="宋体" w:cs="Times New Roman"/>
          <w:b w:val="0"/>
          <w:bCs w:val="0"/>
          <w:snapToGrid w:val="0"/>
          <w:color w:val="000000" w:themeColor="text1"/>
          <w:sz w:val="28"/>
          <w:szCs w:val="28"/>
          <w:lang w:eastAsia="zh-CN"/>
          <w14:textFill>
            <w14:solidFill>
              <w14:schemeClr w14:val="tx1"/>
            </w14:solidFill>
          </w14:textFill>
        </w:rPr>
      </w:pPr>
    </w:p>
    <w:p w14:paraId="14C57F8B">
      <w:pPr>
        <w:widowControl/>
        <w:spacing w:line="360" w:lineRule="auto"/>
        <w:ind w:firstLine="560" w:firstLineChars="200"/>
        <w:outlineLvl w:val="2"/>
        <w:rPr>
          <w:rFonts w:hint="default" w:ascii="Times New Roman" w:hAnsi="Times New Roman" w:eastAsia="宋体" w:cs="Times New Roman"/>
          <w:b w:val="0"/>
          <w:bCs w:val="0"/>
          <w:snapToGrid w:val="0"/>
          <w:color w:val="000000" w:themeColor="text1"/>
          <w:sz w:val="28"/>
          <w:szCs w:val="28"/>
          <w:lang w:eastAsia="zh-CN"/>
          <w14:textFill>
            <w14:solidFill>
              <w14:schemeClr w14:val="tx1"/>
            </w14:solidFill>
          </w14:textFill>
        </w:rPr>
      </w:pPr>
      <w:r>
        <w:rPr>
          <w:rFonts w:hint="default" w:ascii="Times New Roman" w:hAnsi="Times New Roman" w:eastAsia="宋体" w:cs="Times New Roman"/>
          <w:b w:val="0"/>
          <w:bCs w:val="0"/>
          <w:snapToGrid w:val="0"/>
          <w:color w:val="000000" w:themeColor="text1"/>
          <w:sz w:val="28"/>
          <w:szCs w:val="28"/>
          <w:lang w:eastAsia="zh-CN"/>
          <w14:textFill>
            <w14:solidFill>
              <w14:schemeClr w14:val="tx1"/>
            </w14:solidFill>
          </w14:textFill>
        </w:rPr>
        <w:t>（</w:t>
      </w:r>
      <w:r>
        <w:rPr>
          <w:rFonts w:hint="eastAsia" w:ascii="Times New Roman" w:hAnsi="Times New Roman" w:eastAsia="宋体" w:cs="Times New Roman"/>
          <w:b w:val="0"/>
          <w:bCs w:val="0"/>
          <w:snapToGrid w:val="0"/>
          <w:color w:val="000000" w:themeColor="text1"/>
          <w:sz w:val="28"/>
          <w:szCs w:val="28"/>
          <w:lang w:val="en-US" w:eastAsia="zh-CN"/>
          <w14:textFill>
            <w14:solidFill>
              <w14:schemeClr w14:val="tx1"/>
            </w14:solidFill>
          </w14:textFill>
        </w:rPr>
        <w:t>三</w:t>
      </w:r>
      <w:r>
        <w:rPr>
          <w:rFonts w:hint="default" w:ascii="Times New Roman" w:hAnsi="Times New Roman" w:eastAsia="宋体" w:cs="Times New Roman"/>
          <w:b w:val="0"/>
          <w:bCs w:val="0"/>
          <w:snapToGrid w:val="0"/>
          <w:color w:val="000000" w:themeColor="text1"/>
          <w:sz w:val="28"/>
          <w:szCs w:val="28"/>
          <w:lang w:eastAsia="zh-CN"/>
          <w14:textFill>
            <w14:solidFill>
              <w14:schemeClr w14:val="tx1"/>
            </w14:solidFill>
          </w14:textFill>
        </w:rPr>
        <w:t>）土地资源受损预测</w:t>
      </w:r>
    </w:p>
    <w:p w14:paraId="31200368">
      <w:pPr>
        <w:widowControl/>
        <w:spacing w:line="360" w:lineRule="auto"/>
        <w:ind w:firstLine="560" w:firstLineChars="200"/>
        <w:outlineLvl w:val="3"/>
        <w:rPr>
          <w:rFonts w:hint="default" w:ascii="Times New Roman" w:hAnsi="Times New Roman" w:cs="Times New Roman"/>
          <w:color w:val="000000" w:themeColor="text1"/>
          <w:kern w:val="0"/>
          <w:sz w:val="28"/>
          <w:szCs w:val="28"/>
          <w14:textFill>
            <w14:solidFill>
              <w14:schemeClr w14:val="tx1"/>
            </w14:solidFill>
          </w14:textFill>
        </w:rPr>
      </w:pPr>
      <w:r>
        <w:rPr>
          <w:rFonts w:hint="eastAsia" w:cs="Times New Roman"/>
          <w:snapToGrid w:val="0"/>
          <w:color w:val="000000" w:themeColor="text1"/>
          <w:sz w:val="28"/>
          <w:szCs w:val="28"/>
          <w:lang w:val="en-US" w:eastAsia="zh-CN"/>
          <w14:textFill>
            <w14:solidFill>
              <w14:schemeClr w14:val="tx1"/>
            </w14:solidFill>
          </w14:textFill>
        </w:rPr>
        <w:t>1、</w:t>
      </w:r>
      <w:r>
        <w:rPr>
          <w:rFonts w:hint="default" w:ascii="Times New Roman" w:hAnsi="Times New Roman" w:cs="Times New Roman"/>
          <w:color w:val="000000" w:themeColor="text1"/>
          <w:kern w:val="0"/>
          <w:sz w:val="28"/>
          <w:szCs w:val="28"/>
          <w14:textFill>
            <w14:solidFill>
              <w14:schemeClr w14:val="tx1"/>
            </w14:solidFill>
          </w14:textFill>
        </w:rPr>
        <w:t>土地损毁环节与时序</w:t>
      </w:r>
    </w:p>
    <w:p w14:paraId="5F5CABF5">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cs="Times New Roman"/>
          <w:color w:val="000000" w:themeColor="text1"/>
          <w:kern w:val="0"/>
          <w:sz w:val="28"/>
          <w:szCs w:val="28"/>
          <w:lang w:val="en-US" w:eastAsia="zh-CN"/>
          <w14:textFill>
            <w14:solidFill>
              <w14:schemeClr w14:val="tx1"/>
            </w14:solidFill>
          </w14:textFill>
        </w:rPr>
        <w:t>（1）</w:t>
      </w:r>
      <w:r>
        <w:rPr>
          <w:rFonts w:hint="default" w:ascii="Times New Roman" w:hAnsi="Times New Roman" w:cs="Times New Roman"/>
          <w:color w:val="000000" w:themeColor="text1"/>
          <w:kern w:val="0"/>
          <w:sz w:val="28"/>
          <w:szCs w:val="28"/>
          <w14:textFill>
            <w14:solidFill>
              <w14:schemeClr w14:val="tx1"/>
            </w14:solidFill>
          </w14:textFill>
        </w:rPr>
        <w:t>损毁环节</w:t>
      </w:r>
    </w:p>
    <w:p w14:paraId="3DED6B53">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根据矿山生产工艺流程，并结合现场实际调查了解，矿山开采对土地的损毁形式主要包括以下几个方面：</w:t>
      </w:r>
    </w:p>
    <w:p w14:paraId="16C3A2AF">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cs="Times New Roman"/>
          <w:color w:val="000000" w:themeColor="text1"/>
          <w:kern w:val="0"/>
          <w:sz w:val="28"/>
          <w:szCs w:val="28"/>
          <w:lang w:eastAsia="zh-CN"/>
          <w14:textFill>
            <w14:solidFill>
              <w14:schemeClr w14:val="tx1"/>
            </w14:solidFill>
          </w14:textFill>
        </w:rPr>
        <w:t>①、</w:t>
      </w:r>
      <w:r>
        <w:rPr>
          <w:rFonts w:hint="default" w:ascii="Times New Roman" w:hAnsi="Times New Roman" w:cs="Times New Roman"/>
          <w:color w:val="000000" w:themeColor="text1"/>
          <w:kern w:val="0"/>
          <w:sz w:val="28"/>
          <w:szCs w:val="28"/>
          <w14:textFill>
            <w14:solidFill>
              <w14:schemeClr w14:val="tx1"/>
            </w14:solidFill>
          </w14:textFill>
        </w:rPr>
        <w:t>矿山前期已开采多年，地面设施基本完善，但后期还需拟建新单元，预测最终场地包括：拟建露天采场1、拟建露天采场2、拟建储水池、工业场地、成品砖堆放场、料堆、表土存放场、办公生活区与矿区道路等挖损或压占利用土地；</w:t>
      </w:r>
    </w:p>
    <w:p w14:paraId="653F9E4B">
      <w:pPr>
        <w:widowControl/>
        <w:spacing w:line="360" w:lineRule="auto"/>
        <w:ind w:firstLine="560" w:firstLineChars="200"/>
        <w:rPr>
          <w:rFonts w:hint="eastAsia" w:ascii="Times New Roman" w:hAnsi="Times New Roman" w:eastAsia="宋体" w:cs="Times New Roman"/>
          <w:color w:val="000000" w:themeColor="text1"/>
          <w:sz w:val="28"/>
          <w:szCs w:val="28"/>
          <w:lang w:eastAsia="zh-CN"/>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②、</w:t>
      </w:r>
      <w:r>
        <w:rPr>
          <w:rFonts w:hint="default" w:ascii="Times New Roman" w:hAnsi="Times New Roman" w:cs="Times New Roman"/>
          <w:color w:val="000000" w:themeColor="text1"/>
          <w:sz w:val="28"/>
          <w:szCs w:val="28"/>
          <w14:textFill>
            <w14:solidFill>
              <w14:schemeClr w14:val="tx1"/>
            </w14:solidFill>
          </w14:textFill>
        </w:rPr>
        <w:t>矿山在正常生产过程中，场地开挖将破坏土地资源，损毁形式主要为挖损。所产生的固体废弃物包括：剥离的表土、生活垃圾等，损毁形式主要为压占。如不及时处理，将会压占一定数量的土地。</w:t>
      </w:r>
    </w:p>
    <w:p w14:paraId="61BC1638">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ascii="Times New Roman" w:hAnsi="Times New Roman" w:cs="Times New Roman"/>
          <w:color w:val="000000" w:themeColor="text1"/>
          <w:kern w:val="0"/>
          <w:sz w:val="28"/>
          <w:szCs w:val="28"/>
          <w:lang w:val="en-US" w:eastAsia="zh-CN"/>
          <w14:textFill>
            <w14:solidFill>
              <w14:schemeClr w14:val="tx1"/>
            </w14:solidFill>
          </w14:textFill>
        </w:rPr>
        <w:t>③</w:t>
      </w:r>
      <w:r>
        <w:rPr>
          <w:rFonts w:hint="eastAsia" w:cs="Times New Roman"/>
          <w:color w:val="000000" w:themeColor="text1"/>
          <w:kern w:val="0"/>
          <w:sz w:val="28"/>
          <w:szCs w:val="28"/>
          <w:lang w:val="en-US"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露天</w:t>
      </w:r>
      <w:r>
        <w:rPr>
          <w:rFonts w:hint="default" w:ascii="Times New Roman" w:hAnsi="Times New Roman" w:cs="Times New Roman"/>
          <w:color w:val="000000" w:themeColor="text1"/>
          <w:kern w:val="0"/>
          <w:sz w:val="28"/>
          <w:szCs w:val="28"/>
          <w14:textFill>
            <w14:solidFill>
              <w14:schemeClr w14:val="tx1"/>
            </w14:solidFill>
          </w14:textFill>
        </w:rPr>
        <w:t>开采，可能引起</w:t>
      </w:r>
      <w:r>
        <w:rPr>
          <w:rFonts w:hint="eastAsia" w:ascii="Times New Roman" w:hAnsi="Times New Roman" w:cs="Times New Roman"/>
          <w:color w:val="000000" w:themeColor="text1"/>
          <w:kern w:val="0"/>
          <w:sz w:val="28"/>
          <w:szCs w:val="28"/>
          <w:lang w:val="en-US" w:eastAsia="zh-CN"/>
          <w14:textFill>
            <w14:solidFill>
              <w14:schemeClr w14:val="tx1"/>
            </w14:solidFill>
          </w14:textFill>
        </w:rPr>
        <w:t>边帮崩塌</w:t>
      </w:r>
      <w:r>
        <w:rPr>
          <w:rFonts w:hint="default" w:ascii="Times New Roman" w:hAnsi="Times New Roman" w:cs="Times New Roman"/>
          <w:color w:val="000000" w:themeColor="text1"/>
          <w:kern w:val="0"/>
          <w:sz w:val="28"/>
          <w:szCs w:val="28"/>
          <w14:textFill>
            <w14:solidFill>
              <w14:schemeClr w14:val="tx1"/>
            </w14:solidFill>
          </w14:textFill>
        </w:rPr>
        <w:t>等</w:t>
      </w:r>
      <w:r>
        <w:rPr>
          <w:rFonts w:hint="eastAsia" w:ascii="Times New Roman" w:hAnsi="Times New Roman" w:cs="Times New Roman"/>
          <w:color w:val="000000" w:themeColor="text1"/>
          <w:kern w:val="0"/>
          <w:sz w:val="28"/>
          <w:szCs w:val="28"/>
          <w:lang w:val="en-US" w:eastAsia="zh-CN"/>
          <w14:textFill>
            <w14:solidFill>
              <w14:schemeClr w14:val="tx1"/>
            </w14:solidFill>
          </w14:textFill>
        </w:rPr>
        <w:t>地质灾害</w:t>
      </w:r>
      <w:r>
        <w:rPr>
          <w:rFonts w:hint="default" w:ascii="Times New Roman" w:hAnsi="Times New Roman" w:cs="Times New Roman"/>
          <w:color w:val="000000" w:themeColor="text1"/>
          <w:kern w:val="0"/>
          <w:sz w:val="28"/>
          <w:szCs w:val="28"/>
          <w14:textFill>
            <w14:solidFill>
              <w14:schemeClr w14:val="tx1"/>
            </w14:solidFill>
          </w14:textFill>
        </w:rPr>
        <w:t>。</w:t>
      </w:r>
    </w:p>
    <w:p w14:paraId="02446EB5">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cs="Times New Roman"/>
          <w:color w:val="000000" w:themeColor="text1"/>
          <w:kern w:val="0"/>
          <w:sz w:val="28"/>
          <w:szCs w:val="28"/>
          <w:lang w:val="en-US" w:eastAsia="zh-CN"/>
          <w14:textFill>
            <w14:solidFill>
              <w14:schemeClr w14:val="tx1"/>
            </w14:solidFill>
          </w14:textFill>
        </w:rPr>
        <w:t>（2）</w:t>
      </w:r>
      <w:r>
        <w:rPr>
          <w:rFonts w:hint="default" w:ascii="Times New Roman" w:hAnsi="Times New Roman" w:cs="Times New Roman"/>
          <w:color w:val="000000" w:themeColor="text1"/>
          <w:kern w:val="0"/>
          <w:sz w:val="28"/>
          <w:szCs w:val="28"/>
          <w14:textFill>
            <w14:solidFill>
              <w14:schemeClr w14:val="tx1"/>
            </w14:solidFill>
          </w14:textFill>
        </w:rPr>
        <w:t>损毁时序</w:t>
      </w:r>
    </w:p>
    <w:p w14:paraId="6F79BFD7">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根据现场调查，该矿山已投产数年，现状形成的各工程单元大部分依据矿山开发利用方案设计建设，后期生产还需拟建部分场地。因此，矿山土地损毁环节与损毁时序均集中于生产期阶段。</w:t>
      </w:r>
    </w:p>
    <w:p w14:paraId="54A10166">
      <w:pPr>
        <w:widowControl/>
        <w:spacing w:line="360" w:lineRule="auto"/>
        <w:ind w:firstLine="560" w:firstLineChars="200"/>
        <w:rPr>
          <w:rFonts w:hint="default" w:ascii="Times New Roman" w:hAnsi="Times New Roman" w:cs="Times New Roman"/>
          <w:b w:val="0"/>
          <w:bCs w:val="0"/>
          <w:color w:val="000000" w:themeColor="text1"/>
          <w:sz w:val="28"/>
          <w:szCs w:val="28"/>
          <w14:textFill>
            <w14:solidFill>
              <w14:schemeClr w14:val="tx1"/>
            </w14:solidFill>
          </w14:textFill>
        </w:rPr>
      </w:pPr>
      <w:r>
        <w:rPr>
          <w:rFonts w:hint="eastAsia" w:cs="Times New Roman"/>
          <w:b w:val="0"/>
          <w:bCs w:val="0"/>
          <w:color w:val="000000" w:themeColor="text1"/>
          <w:kern w:val="0"/>
          <w:sz w:val="28"/>
          <w:szCs w:val="28"/>
          <w:lang w:eastAsia="zh-CN"/>
          <w14:textFill>
            <w14:solidFill>
              <w14:schemeClr w14:val="tx1"/>
            </w14:solidFill>
          </w14:textFill>
        </w:rPr>
        <w:t>①、</w:t>
      </w:r>
      <w:r>
        <w:rPr>
          <w:rFonts w:hint="default" w:ascii="Times New Roman" w:hAnsi="Times New Roman" w:cs="Times New Roman"/>
          <w:b w:val="0"/>
          <w:bCs w:val="0"/>
          <w:color w:val="000000" w:themeColor="text1"/>
          <w:kern w:val="0"/>
          <w:sz w:val="28"/>
          <w:szCs w:val="28"/>
          <w14:textFill>
            <w14:solidFill>
              <w14:schemeClr w14:val="tx1"/>
            </w14:solidFill>
          </w14:textFill>
        </w:rPr>
        <w:t>生产期</w:t>
      </w:r>
    </w:p>
    <w:p w14:paraId="3F3CEF97">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矿山采用露天开采方式，生产过程中各类场地（如露天采场、工业设施、表土堆放等）的挖损与压占活动将持续对土地造成破坏。同时，随着生产期表土堆积量的不断增加，堆积高度逐渐上升，进一步加剧土地资源的占压与地形改变。各损毁单元在不同时段对土地的具体损毁情况详见下表3-</w:t>
      </w:r>
      <w:r>
        <w:rPr>
          <w:rFonts w:hint="eastAsia" w:cs="Times New Roman"/>
          <w:color w:val="000000" w:themeColor="text1"/>
          <w:kern w:val="0"/>
          <w:sz w:val="28"/>
          <w:szCs w:val="28"/>
          <w:lang w:val="en-US" w:eastAsia="zh-CN"/>
          <w14:textFill>
            <w14:solidFill>
              <w14:schemeClr w14:val="tx1"/>
            </w14:solidFill>
          </w14:textFill>
        </w:rPr>
        <w:t>32</w:t>
      </w:r>
      <w:r>
        <w:rPr>
          <w:rFonts w:hint="default" w:ascii="Times New Roman" w:hAnsi="Times New Roman" w:cs="Times New Roman"/>
          <w:color w:val="000000" w:themeColor="text1"/>
          <w:kern w:val="0"/>
          <w:sz w:val="28"/>
          <w:szCs w:val="28"/>
          <w14:textFill>
            <w14:solidFill>
              <w14:schemeClr w14:val="tx1"/>
            </w14:solidFill>
          </w14:textFill>
        </w:rPr>
        <w:t>。</w:t>
      </w:r>
    </w:p>
    <w:p w14:paraId="3DB02193">
      <w:pPr>
        <w:rPr>
          <w:rFonts w:hint="eastAsia" w:ascii="黑体" w:hAnsi="黑体" w:eastAsia="黑体" w:cs="黑体"/>
          <w:b w:val="0"/>
          <w:bCs w:val="0"/>
          <w:color w:val="000000" w:themeColor="text1"/>
          <w:kern w:val="0"/>
          <w:sz w:val="24"/>
          <w:szCs w:val="24"/>
          <w:highlight w:val="none"/>
          <w14:textFill>
            <w14:solidFill>
              <w14:schemeClr w14:val="tx1"/>
            </w14:solidFill>
          </w14:textFill>
        </w:rPr>
      </w:pPr>
      <w:r>
        <w:rPr>
          <w:rFonts w:hint="eastAsia" w:ascii="黑体" w:hAnsi="黑体" w:eastAsia="黑体" w:cs="黑体"/>
          <w:b w:val="0"/>
          <w:bCs w:val="0"/>
          <w:color w:val="000000" w:themeColor="text1"/>
          <w:kern w:val="0"/>
          <w:sz w:val="24"/>
          <w:szCs w:val="24"/>
          <w:highlight w:val="none"/>
          <w14:textFill>
            <w14:solidFill>
              <w14:schemeClr w14:val="tx1"/>
            </w14:solidFill>
          </w14:textFill>
        </w:rPr>
        <w:br w:type="page"/>
      </w:r>
    </w:p>
    <w:p w14:paraId="6CC10165">
      <w:pPr>
        <w:widowControl/>
        <w:spacing w:line="360" w:lineRule="auto"/>
        <w:jc w:val="center"/>
        <w:rPr>
          <w:rFonts w:hint="eastAsia" w:ascii="黑体" w:hAnsi="黑体" w:eastAsia="黑体" w:cs="黑体"/>
          <w:b w:val="0"/>
          <w:bCs w:val="0"/>
          <w:color w:val="000000" w:themeColor="text1"/>
          <w:sz w:val="24"/>
          <w:szCs w:val="24"/>
          <w:highlight w:val="none"/>
          <w:lang w:eastAsia="zh-CN"/>
          <w14:textFill>
            <w14:solidFill>
              <w14:schemeClr w14:val="tx1"/>
            </w14:solidFill>
          </w14:textFill>
        </w:rPr>
      </w:pPr>
      <w:r>
        <w:rPr>
          <w:rFonts w:hint="eastAsia" w:ascii="黑体" w:hAnsi="黑体" w:eastAsia="黑体" w:cs="黑体"/>
          <w:b w:val="0"/>
          <w:bCs w:val="0"/>
          <w:color w:val="000000" w:themeColor="text1"/>
          <w:kern w:val="0"/>
          <w:sz w:val="24"/>
          <w:szCs w:val="24"/>
          <w:highlight w:val="none"/>
          <w14:textFill>
            <w14:solidFill>
              <w14:schemeClr w14:val="tx1"/>
            </w14:solidFill>
          </w14:textFill>
        </w:rPr>
        <w:t>表3-</w:t>
      </w:r>
      <w:r>
        <w:rPr>
          <w:rFonts w:hint="eastAsia" w:ascii="黑体" w:hAnsi="黑体" w:eastAsia="黑体" w:cs="黑体"/>
          <w:b w:val="0"/>
          <w:bCs w:val="0"/>
          <w:color w:val="000000" w:themeColor="text1"/>
          <w:kern w:val="0"/>
          <w:sz w:val="24"/>
          <w:szCs w:val="24"/>
          <w:highlight w:val="none"/>
          <w:lang w:val="en-US" w:eastAsia="zh-CN"/>
          <w14:textFill>
            <w14:solidFill>
              <w14:schemeClr w14:val="tx1"/>
            </w14:solidFill>
          </w14:textFill>
        </w:rPr>
        <w:t>32</w:t>
      </w:r>
      <w:r>
        <w:rPr>
          <w:rFonts w:hint="eastAsia" w:ascii="黑体" w:hAnsi="黑体" w:eastAsia="黑体" w:cs="黑体"/>
          <w:b w:val="0"/>
          <w:bCs w:val="0"/>
          <w:color w:val="000000" w:themeColor="text1"/>
          <w:kern w:val="0"/>
          <w:sz w:val="24"/>
          <w:szCs w:val="24"/>
          <w:highlight w:val="none"/>
          <w14:textFill>
            <w14:solidFill>
              <w14:schemeClr w14:val="tx1"/>
            </w14:solidFill>
          </w14:textFill>
        </w:rPr>
        <w:t xml:space="preserve">  土地损毁时序表</w:t>
      </w:r>
    </w:p>
    <w:p w14:paraId="7F64489E">
      <w:pPr>
        <w:widowControl/>
        <w:spacing w:line="360" w:lineRule="auto"/>
        <w:ind w:firstLine="560" w:firstLineChars="200"/>
        <w:outlineLvl w:val="3"/>
        <w:rPr>
          <w:rFonts w:hint="default" w:ascii="Times New Roman" w:hAnsi="Times New Roman" w:eastAsia="宋体" w:cs="Times New Roman"/>
          <w:snapToGrid w:val="0"/>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8"/>
          <w:szCs w:val="28"/>
          <w:lang w:val="en-US" w:eastAsia="zh-CN"/>
          <w14:textFill>
            <w14:solidFill>
              <w14:schemeClr w14:val="tx1"/>
            </w14:solidFill>
          </w14:textFill>
        </w:rPr>
        <w:t>2、拟损毁土地预测评估</w:t>
      </w:r>
    </w:p>
    <w:p w14:paraId="110E36D6">
      <w:pPr>
        <w:keepNext w:val="0"/>
        <w:keepLines w:val="0"/>
        <w:pageBreakBefore w:val="0"/>
        <w:widowControl/>
        <w:tabs>
          <w:tab w:val="left" w:pos="1300"/>
        </w:tabs>
        <w:kinsoku/>
        <w:wordWrap/>
        <w:overflowPunct/>
        <w:topLinePunct w:val="0"/>
        <w:autoSpaceDE/>
        <w:autoSpaceDN/>
        <w:bidi w:val="0"/>
        <w:adjustRightInd/>
        <w:snapToGrid/>
        <w:spacing w:after="0" w:line="360" w:lineRule="auto"/>
        <w:ind w:firstLine="560" w:firstLineChars="200"/>
        <w:jc w:val="left"/>
        <w:textAlignment w:val="auto"/>
        <w:outlineLvl w:val="3"/>
        <w:rPr>
          <w:rFonts w:hint="default" w:ascii="Times New Roman" w:hAnsi="Times New Roman" w:eastAsia="宋体" w:cs="Times New Roman"/>
          <w:color w:val="000000" w:themeColor="text1"/>
          <w:kern w:val="2"/>
          <w:sz w:val="28"/>
          <w:szCs w:val="21"/>
          <w:lang w:val="en-US" w:eastAsia="zh-CN" w:bidi="ar-SA"/>
          <w14:textFill>
            <w14:solidFill>
              <w14:schemeClr w14:val="tx1"/>
            </w14:solidFill>
          </w14:textFill>
        </w:rPr>
      </w:pPr>
      <w:r>
        <w:rPr>
          <w:rFonts w:hint="eastAsia" w:cs="Times New Roman"/>
          <w:color w:val="000000" w:themeColor="text1"/>
          <w:kern w:val="2"/>
          <w:sz w:val="28"/>
          <w:szCs w:val="21"/>
          <w:lang w:val="en-US" w:eastAsia="zh-CN" w:bidi="ar-SA"/>
          <w14:textFill>
            <w14:solidFill>
              <w14:schemeClr w14:val="tx1"/>
            </w14:solidFill>
          </w14:textFill>
        </w:rPr>
        <w:t>（1）</w:t>
      </w:r>
      <w:r>
        <w:rPr>
          <w:rFonts w:hint="default" w:ascii="Times New Roman" w:hAnsi="Times New Roman" w:eastAsia="宋体" w:cs="Times New Roman"/>
          <w:color w:val="000000" w:themeColor="text1"/>
          <w:kern w:val="2"/>
          <w:sz w:val="28"/>
          <w:szCs w:val="21"/>
          <w:lang w:val="en-US" w:eastAsia="zh-CN" w:bidi="ar-SA"/>
          <w14:textFill>
            <w14:solidFill>
              <w14:schemeClr w14:val="tx1"/>
            </w14:solidFill>
          </w14:textFill>
        </w:rPr>
        <w:t>损毁土地的利用类型及权属</w:t>
      </w:r>
      <w:r>
        <w:rPr>
          <w:rFonts w:hint="eastAsia" w:cs="Times New Roman"/>
          <w:color w:val="000000" w:themeColor="text1"/>
          <w:kern w:val="2"/>
          <w:sz w:val="28"/>
          <w:szCs w:val="21"/>
          <w:lang w:val="en-US" w:eastAsia="zh-CN" w:bidi="ar-SA"/>
          <w14:textFill>
            <w14:solidFill>
              <w14:schemeClr w14:val="tx1"/>
            </w14:solidFill>
          </w14:textFill>
        </w:rPr>
        <w:t>预测</w:t>
      </w:r>
    </w:p>
    <w:p w14:paraId="00A78A42">
      <w:pPr>
        <w:keepNext w:val="0"/>
        <w:keepLines w:val="0"/>
        <w:pageBreakBefore w:val="0"/>
        <w:widowControl/>
        <w:tabs>
          <w:tab w:val="left" w:pos="1300"/>
        </w:tabs>
        <w:kinsoku/>
        <w:wordWrap/>
        <w:overflowPunct/>
        <w:topLinePunct w:val="0"/>
        <w:autoSpaceDE/>
        <w:autoSpaceDN/>
        <w:bidi w:val="0"/>
        <w:adjustRightInd/>
        <w:snapToGrid/>
        <w:spacing w:after="0" w:line="360" w:lineRule="auto"/>
        <w:ind w:firstLine="560" w:firstLineChars="200"/>
        <w:jc w:val="left"/>
        <w:textAlignment w:val="auto"/>
        <w:outlineLvl w:val="9"/>
        <w:rPr>
          <w:rFonts w:hint="default" w:ascii="Times New Roman" w:hAnsi="Times New Roman" w:eastAsia="宋体" w:cs="Times New Roman"/>
          <w:color w:val="000000" w:themeColor="text1"/>
          <w:kern w:val="2"/>
          <w:sz w:val="28"/>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8"/>
          <w:szCs w:val="21"/>
          <w:lang w:val="en-US" w:eastAsia="zh-CN" w:bidi="ar-SA"/>
          <w14:textFill>
            <w14:solidFill>
              <w14:schemeClr w14:val="tx1"/>
            </w14:solidFill>
          </w14:textFill>
        </w:rPr>
        <w:t>根据赤峰市自然资源局松山区分局提供的全国第三次土地利用现状调查数据，预测拟损毁的土地资源利用类型二级地类主要包括：水浇地、乔木林地、采矿用地、农村道路等，损毁土地总面积10.7</w:t>
      </w:r>
      <w:r>
        <w:rPr>
          <w:rFonts w:hint="eastAsia" w:cs="Times New Roman"/>
          <w:color w:val="000000" w:themeColor="text1"/>
          <w:kern w:val="2"/>
          <w:sz w:val="28"/>
          <w:szCs w:val="21"/>
          <w:lang w:val="en-US" w:eastAsia="zh-CN" w:bidi="ar-SA"/>
          <w14:textFill>
            <w14:solidFill>
              <w14:schemeClr w14:val="tx1"/>
            </w14:solidFill>
          </w14:textFill>
        </w:rPr>
        <w:t>20</w:t>
      </w:r>
      <w:r>
        <w:rPr>
          <w:rFonts w:hint="default" w:ascii="Times New Roman" w:hAnsi="Times New Roman" w:eastAsia="宋体" w:cs="Times New Roman"/>
          <w:color w:val="000000" w:themeColor="text1"/>
          <w:kern w:val="2"/>
          <w:sz w:val="28"/>
          <w:szCs w:val="21"/>
          <w:lang w:val="en-US" w:eastAsia="zh-CN" w:bidi="ar-SA"/>
          <w14:textFill>
            <w14:solidFill>
              <w14:schemeClr w14:val="tx1"/>
            </w14:solidFill>
          </w14:textFill>
        </w:rPr>
        <w:t>0hm</w:t>
      </w:r>
      <w:r>
        <w:rPr>
          <w:rFonts w:hint="default" w:ascii="Times New Roman" w:hAnsi="Times New Roman" w:eastAsia="宋体" w:cs="Times New Roman"/>
          <w:color w:val="000000" w:themeColor="text1"/>
          <w:kern w:val="2"/>
          <w:sz w:val="28"/>
          <w:szCs w:val="21"/>
          <w:vertAlign w:val="superscript"/>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8"/>
          <w:szCs w:val="21"/>
          <w:lang w:val="en-US" w:eastAsia="zh-CN" w:bidi="ar-SA"/>
          <w14:textFill>
            <w14:solidFill>
              <w14:schemeClr w14:val="tx1"/>
            </w14:solidFill>
          </w14:textFill>
        </w:rPr>
        <w:t>。土地权属归赤峰市松山区五十家子村集体所有，权属明确，无争议。</w:t>
      </w:r>
    </w:p>
    <w:p w14:paraId="5220FA54">
      <w:pPr>
        <w:keepNext w:val="0"/>
        <w:keepLines w:val="0"/>
        <w:pageBreakBefore w:val="0"/>
        <w:widowControl/>
        <w:tabs>
          <w:tab w:val="left" w:pos="1300"/>
        </w:tabs>
        <w:kinsoku/>
        <w:wordWrap/>
        <w:overflowPunct/>
        <w:topLinePunct w:val="0"/>
        <w:autoSpaceDE/>
        <w:autoSpaceDN/>
        <w:bidi w:val="0"/>
        <w:adjustRightInd/>
        <w:snapToGrid/>
        <w:spacing w:after="0" w:line="360" w:lineRule="auto"/>
        <w:ind w:firstLine="560" w:firstLineChars="200"/>
        <w:jc w:val="left"/>
        <w:textAlignment w:val="auto"/>
        <w:outlineLvl w:val="3"/>
        <w:rPr>
          <w:rFonts w:hint="default" w:ascii="Times New Roman" w:hAnsi="Times New Roman" w:eastAsia="宋体" w:cs="Times New Roman"/>
          <w:color w:val="000000" w:themeColor="text1"/>
          <w:kern w:val="2"/>
          <w:sz w:val="28"/>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8"/>
          <w:szCs w:val="21"/>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8"/>
          <w:szCs w:val="21"/>
          <w:lang w:val="en-US" w:eastAsia="zh-CN" w:bidi="ar-SA"/>
          <w14:textFill>
            <w14:solidFill>
              <w14:schemeClr w14:val="tx1"/>
            </w14:solidFill>
          </w14:textFill>
        </w:rPr>
        <w:t>损毁土地程度评价等级标准</w:t>
      </w:r>
    </w:p>
    <w:p w14:paraId="1E542D97">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根据《中华人民共和国土地管理法》和《土地复垦条例》，土地损毁程度预测等级确定为三级标准，分别为：轻度破坏，中度破坏，重度破坏。</w:t>
      </w:r>
    </w:p>
    <w:p w14:paraId="3AA5C285">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关于土地损毁程度的划分指标，除了煤矿井工开采有确切的评价指标和评价体系外，对于其他损毁土地的评价因子尚没有具体的评价指标体系。参考以往众多单位编写的土地复垦方案，选用如下划分标准。</w:t>
      </w:r>
    </w:p>
    <w:p w14:paraId="3068AB7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color w:val="000000" w:themeColor="text1"/>
          <w:spacing w:val="0"/>
          <w:sz w:val="28"/>
          <w:szCs w:val="28"/>
          <w:highlight w:val="none"/>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压占土地按照压占面积、边坡坡度</w:t>
      </w:r>
      <w:r>
        <w:rPr>
          <w:rFonts w:hint="eastAsia"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堆积高度、复垦难度等</w:t>
      </w:r>
      <w:r>
        <w:rPr>
          <w:rFonts w:hint="eastAsia"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挖损损毁按照</w:t>
      </w:r>
      <w:r>
        <w:rPr>
          <w:rFonts w:hint="eastAsia" w:ascii="Times New Roman" w:hAnsi="Times New Roman" w:cs="Times New Roman"/>
          <w:color w:val="000000" w:themeColor="text1"/>
          <w:kern w:val="0"/>
          <w:sz w:val="28"/>
          <w:szCs w:val="28"/>
          <w:lang w:val="en-US" w:eastAsia="zh-CN"/>
          <w14:textFill>
            <w14:solidFill>
              <w14:schemeClr w14:val="tx1"/>
            </w14:solidFill>
          </w14:textFill>
        </w:rPr>
        <w:t>挖损面积、挖损深度、挖损边坡角、积水情况等进行</w:t>
      </w:r>
      <w:r>
        <w:rPr>
          <w:rFonts w:hint="default" w:ascii="Times New Roman" w:hAnsi="Times New Roman" w:cs="Times New Roman"/>
          <w:color w:val="000000" w:themeColor="text1"/>
          <w:kern w:val="0"/>
          <w:sz w:val="28"/>
          <w:szCs w:val="28"/>
          <w14:textFill>
            <w14:solidFill>
              <w14:schemeClr w14:val="tx1"/>
            </w14:solidFill>
          </w14:textFill>
        </w:rPr>
        <w:t>土地程度分级，</w:t>
      </w:r>
      <w:r>
        <w:rPr>
          <w:rFonts w:hint="default" w:ascii="Times New Roman" w:hAnsi="Times New Roman" w:eastAsia="宋体" w:cs="Times New Roman"/>
          <w:color w:val="000000" w:themeColor="text1"/>
          <w:spacing w:val="0"/>
          <w:sz w:val="28"/>
          <w:szCs w:val="28"/>
          <w:highlight w:val="none"/>
          <w14:textFill>
            <w14:solidFill>
              <w14:schemeClr w14:val="tx1"/>
            </w14:solidFill>
          </w14:textFill>
        </w:rPr>
        <w:t>影响因素的等级标准划分见表3-</w:t>
      </w:r>
      <w:r>
        <w:rPr>
          <w:rFonts w:hint="eastAsia" w:cs="Times New Roman"/>
          <w:color w:val="000000" w:themeColor="text1"/>
          <w:spacing w:val="0"/>
          <w:sz w:val="28"/>
          <w:szCs w:val="28"/>
          <w:highlight w:val="none"/>
          <w:lang w:val="en-US" w:eastAsia="zh-CN"/>
          <w14:textFill>
            <w14:solidFill>
              <w14:schemeClr w14:val="tx1"/>
            </w14:solidFill>
          </w14:textFill>
        </w:rPr>
        <w:t>33</w:t>
      </w:r>
      <w:r>
        <w:rPr>
          <w:rFonts w:hint="default" w:ascii="Times New Roman" w:hAnsi="Times New Roman" w:eastAsia="宋体" w:cs="Times New Roman"/>
          <w:color w:val="000000" w:themeColor="text1"/>
          <w:spacing w:val="0"/>
          <w:sz w:val="28"/>
          <w:szCs w:val="28"/>
          <w:highlight w:val="none"/>
          <w14:textFill>
            <w14:solidFill>
              <w14:schemeClr w14:val="tx1"/>
            </w14:solidFill>
          </w14:textFill>
        </w:rPr>
        <w:t>。</w:t>
      </w:r>
    </w:p>
    <w:p w14:paraId="234D9ED6">
      <w:pPr>
        <w:rPr>
          <w:rFonts w:hint="default" w:ascii="黑体" w:hAnsi="黑体" w:eastAsia="黑体" w:cs="黑体"/>
          <w:b w:val="0"/>
          <w:bCs w:val="0"/>
          <w:color w:val="000000" w:themeColor="text1"/>
          <w:kern w:val="2"/>
          <w:sz w:val="24"/>
          <w:szCs w:val="24"/>
          <w:lang w:val="en-US" w:eastAsia="zh-CN" w:bidi="ar-SA"/>
          <w14:textFill>
            <w14:solidFill>
              <w14:schemeClr w14:val="tx1"/>
            </w14:solidFill>
          </w14:textFill>
        </w:rPr>
      </w:pPr>
      <w:r>
        <w:rPr>
          <w:rFonts w:hint="default" w:ascii="黑体" w:hAnsi="黑体" w:eastAsia="黑体" w:cs="黑体"/>
          <w:b w:val="0"/>
          <w:bCs w:val="0"/>
          <w:color w:val="000000" w:themeColor="text1"/>
          <w:kern w:val="2"/>
          <w:sz w:val="24"/>
          <w:szCs w:val="24"/>
          <w:lang w:val="en-US" w:eastAsia="zh-CN" w:bidi="ar-SA"/>
          <w14:textFill>
            <w14:solidFill>
              <w14:schemeClr w14:val="tx1"/>
            </w14:solidFill>
          </w14:textFill>
        </w:rPr>
        <w:br w:type="page"/>
      </w:r>
    </w:p>
    <w:p w14:paraId="78A7DFCB">
      <w:pPr>
        <w:keepNext w:val="0"/>
        <w:keepLines w:val="0"/>
        <w:pageBreakBefore w:val="0"/>
        <w:widowControl w:val="0"/>
        <w:tabs>
          <w:tab w:val="left" w:pos="6120"/>
        </w:tabs>
        <w:kinsoku/>
        <w:wordWrap/>
        <w:overflowPunct/>
        <w:topLinePunct w:val="0"/>
        <w:autoSpaceDE/>
        <w:autoSpaceDN/>
        <w:bidi w:val="0"/>
        <w:spacing w:line="360" w:lineRule="auto"/>
        <w:ind w:left="0" w:leftChars="0" w:firstLine="0" w:firstLineChars="0"/>
        <w:jc w:val="center"/>
        <w:textAlignment w:val="auto"/>
        <w:rPr>
          <w:rFonts w:hint="default" w:ascii="黑体" w:hAnsi="黑体" w:eastAsia="黑体" w:cs="黑体"/>
          <w:b w:val="0"/>
          <w:bCs w:val="0"/>
          <w:color w:val="000000" w:themeColor="text1"/>
          <w:kern w:val="2"/>
          <w:sz w:val="24"/>
          <w:szCs w:val="24"/>
          <w:lang w:val="en-US" w:eastAsia="zh-CN" w:bidi="ar-SA"/>
          <w14:textFill>
            <w14:solidFill>
              <w14:schemeClr w14:val="tx1"/>
            </w14:solidFill>
          </w14:textFill>
        </w:rPr>
      </w:pPr>
      <w:r>
        <w:rPr>
          <w:rFonts w:hint="default" w:ascii="黑体" w:hAnsi="黑体" w:eastAsia="黑体" w:cs="黑体"/>
          <w:b w:val="0"/>
          <w:bCs w:val="0"/>
          <w:color w:val="000000" w:themeColor="text1"/>
          <w:kern w:val="2"/>
          <w:sz w:val="24"/>
          <w:szCs w:val="24"/>
          <w:lang w:val="en-US" w:eastAsia="zh-CN" w:bidi="ar-SA"/>
          <w14:textFill>
            <w14:solidFill>
              <w14:schemeClr w14:val="tx1"/>
            </w14:solidFill>
          </w14:textFill>
        </w:rPr>
        <w:t>表3-</w:t>
      </w:r>
      <w:r>
        <w:rPr>
          <w:rFonts w:hint="eastAsia" w:ascii="黑体" w:hAnsi="黑体" w:eastAsia="黑体" w:cs="黑体"/>
          <w:b w:val="0"/>
          <w:bCs w:val="0"/>
          <w:color w:val="000000" w:themeColor="text1"/>
          <w:kern w:val="2"/>
          <w:sz w:val="24"/>
          <w:szCs w:val="24"/>
          <w:lang w:val="en-US" w:eastAsia="zh-CN" w:bidi="ar-SA"/>
          <w14:textFill>
            <w14:solidFill>
              <w14:schemeClr w14:val="tx1"/>
            </w14:solidFill>
          </w14:textFill>
        </w:rPr>
        <w:t>33</w:t>
      </w:r>
      <w:r>
        <w:rPr>
          <w:rFonts w:hint="default" w:ascii="黑体" w:hAnsi="黑体" w:eastAsia="黑体" w:cs="黑体"/>
          <w:b w:val="0"/>
          <w:bCs w:val="0"/>
          <w:color w:val="000000" w:themeColor="text1"/>
          <w:kern w:val="2"/>
          <w:sz w:val="24"/>
          <w:szCs w:val="24"/>
          <w:lang w:val="en-US" w:eastAsia="zh-CN" w:bidi="ar-SA"/>
          <w14:textFill>
            <w14:solidFill>
              <w14:schemeClr w14:val="tx1"/>
            </w14:solidFill>
          </w14:textFill>
        </w:rPr>
        <w:t xml:space="preserve">  土地损毁分级参考标准表</w:t>
      </w:r>
    </w:p>
    <w:p w14:paraId="408F8EEC">
      <w:pPr>
        <w:keepNext w:val="0"/>
        <w:keepLines w:val="0"/>
        <w:pageBreakBefore w:val="0"/>
        <w:widowControl w:val="0"/>
        <w:tabs>
          <w:tab w:val="left" w:pos="6120"/>
        </w:tabs>
        <w:kinsoku/>
        <w:wordWrap/>
        <w:overflowPunct/>
        <w:topLinePunct w:val="0"/>
        <w:autoSpaceDE/>
        <w:autoSpaceDN/>
        <w:bidi w:val="0"/>
        <w:adjustRightInd/>
        <w:snapToGrid/>
        <w:spacing w:before="157" w:beforeLines="50" w:after="157" w:afterLines="50" w:line="240" w:lineRule="atLeast"/>
        <w:ind w:left="0" w:leftChars="0" w:firstLine="0" w:firstLineChars="0"/>
        <w:jc w:val="center"/>
        <w:textAlignment w:val="auto"/>
        <w:rPr>
          <w:rFonts w:hint="default" w:ascii="黑体" w:hAnsi="黑体" w:eastAsia="黑体" w:cs="黑体"/>
          <w:b w:val="0"/>
          <w:bCs w:val="0"/>
          <w:color w:val="000000" w:themeColor="text1"/>
          <w:kern w:val="2"/>
          <w:sz w:val="24"/>
          <w:szCs w:val="24"/>
          <w:lang w:val="en-US" w:eastAsia="zh-CN" w:bidi="ar-SA"/>
          <w14:textFill>
            <w14:solidFill>
              <w14:schemeClr w14:val="tx1"/>
            </w14:solidFill>
          </w14:textFill>
        </w:rPr>
      </w:pPr>
      <w:r>
        <w:rPr>
          <w:rFonts w:hint="default" w:ascii="黑体" w:hAnsi="黑体" w:eastAsia="黑体" w:cs="黑体"/>
          <w:b w:val="0"/>
          <w:bCs w:val="0"/>
          <w:color w:val="000000" w:themeColor="text1"/>
          <w:kern w:val="2"/>
          <w:sz w:val="24"/>
          <w:szCs w:val="24"/>
          <w:lang w:val="en-US" w:eastAsia="zh-CN" w:bidi="ar-SA"/>
          <w14:textFill>
            <w14:solidFill>
              <w14:schemeClr w14:val="tx1"/>
            </w14:solidFill>
          </w14:textFill>
        </w:rPr>
        <w:t>表3-</w:t>
      </w:r>
      <w:r>
        <w:rPr>
          <w:rFonts w:hint="eastAsia" w:ascii="黑体" w:hAnsi="黑体" w:eastAsia="黑体" w:cs="黑体"/>
          <w:b w:val="0"/>
          <w:bCs w:val="0"/>
          <w:color w:val="000000" w:themeColor="text1"/>
          <w:kern w:val="2"/>
          <w:sz w:val="24"/>
          <w:szCs w:val="24"/>
          <w:lang w:val="en-US" w:eastAsia="zh-CN" w:bidi="ar-SA"/>
          <w14:textFill>
            <w14:solidFill>
              <w14:schemeClr w14:val="tx1"/>
            </w14:solidFill>
          </w14:textFill>
        </w:rPr>
        <w:t>34</w:t>
      </w:r>
      <w:r>
        <w:rPr>
          <w:rFonts w:hint="default" w:ascii="黑体" w:hAnsi="黑体" w:eastAsia="黑体" w:cs="黑体"/>
          <w:b w:val="0"/>
          <w:bCs w:val="0"/>
          <w:color w:val="000000" w:themeColor="text1"/>
          <w:kern w:val="2"/>
          <w:sz w:val="24"/>
          <w:szCs w:val="24"/>
          <w:lang w:val="en-US" w:eastAsia="zh-CN" w:bidi="ar-SA"/>
          <w14:textFill>
            <w14:solidFill>
              <w14:schemeClr w14:val="tx1"/>
            </w14:solidFill>
          </w14:textFill>
        </w:rPr>
        <w:t xml:space="preserve">  土地损毁程度评分界线表</w:t>
      </w:r>
    </w:p>
    <w:tbl>
      <w:tblPr>
        <w:tblStyle w:val="139"/>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644"/>
        <w:gridCol w:w="1693"/>
        <w:gridCol w:w="3045"/>
        <w:gridCol w:w="1694"/>
      </w:tblGrid>
      <w:tr w14:paraId="7C7234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1456" w:type="pct"/>
            <w:noWrap w:val="0"/>
            <w:vAlign w:val="center"/>
          </w:tcPr>
          <w:p w14:paraId="285174C6">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损毁程度</w:t>
            </w:r>
          </w:p>
        </w:tc>
        <w:tc>
          <w:tcPr>
            <w:tcW w:w="932" w:type="pct"/>
            <w:noWrap w:val="0"/>
            <w:vAlign w:val="center"/>
          </w:tcPr>
          <w:p w14:paraId="2F360D1F">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轻度损毁</w:t>
            </w:r>
          </w:p>
        </w:tc>
        <w:tc>
          <w:tcPr>
            <w:tcW w:w="1677" w:type="pct"/>
            <w:noWrap w:val="0"/>
            <w:vAlign w:val="center"/>
          </w:tcPr>
          <w:p w14:paraId="708E02C7">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中度损毁</w:t>
            </w:r>
          </w:p>
        </w:tc>
        <w:tc>
          <w:tcPr>
            <w:tcW w:w="933" w:type="pct"/>
            <w:noWrap w:val="0"/>
            <w:vAlign w:val="center"/>
          </w:tcPr>
          <w:p w14:paraId="52A3C6D2">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重度损毁</w:t>
            </w:r>
          </w:p>
        </w:tc>
      </w:tr>
      <w:tr w14:paraId="0A6014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1456" w:type="pct"/>
            <w:noWrap w:val="0"/>
            <w:vAlign w:val="center"/>
          </w:tcPr>
          <w:p w14:paraId="381273A2">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评分级别</w:t>
            </w:r>
          </w:p>
        </w:tc>
        <w:tc>
          <w:tcPr>
            <w:tcW w:w="1551" w:type="dxa"/>
            <w:noWrap w:val="0"/>
            <w:vAlign w:val="center"/>
          </w:tcPr>
          <w:p w14:paraId="6DB3542B">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Σ≤1.0</w:t>
            </w:r>
          </w:p>
        </w:tc>
        <w:tc>
          <w:tcPr>
            <w:tcW w:w="2790" w:type="dxa"/>
            <w:noWrap w:val="0"/>
            <w:vAlign w:val="center"/>
          </w:tcPr>
          <w:p w14:paraId="67042812">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1.0＜Σ≤2.0</w:t>
            </w:r>
          </w:p>
        </w:tc>
        <w:tc>
          <w:tcPr>
            <w:tcW w:w="1553" w:type="dxa"/>
            <w:noWrap w:val="0"/>
            <w:vAlign w:val="center"/>
          </w:tcPr>
          <w:p w14:paraId="72C1DF9E">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14:textFill>
                  <w14:solidFill>
                    <w14:schemeClr w14:val="tx1"/>
                  </w14:solidFill>
                </w14:textFill>
              </w:rPr>
              <w:t>Σ＞2.0</w:t>
            </w:r>
          </w:p>
        </w:tc>
      </w:tr>
    </w:tbl>
    <w:p w14:paraId="4977ED27">
      <w:pPr>
        <w:keepNext w:val="0"/>
        <w:keepLines w:val="0"/>
        <w:pageBreakBefore w:val="0"/>
        <w:widowControl/>
        <w:kinsoku/>
        <w:wordWrap/>
        <w:overflowPunct/>
        <w:topLinePunct w:val="0"/>
        <w:autoSpaceDE/>
        <w:autoSpaceDN/>
        <w:bidi w:val="0"/>
        <w:adjustRightInd/>
        <w:snapToGrid/>
        <w:spacing w:before="157" w:beforeLines="50" w:line="360" w:lineRule="auto"/>
        <w:ind w:firstLine="560" w:firstLineChars="200"/>
        <w:textAlignment w:val="auto"/>
        <w:outlineLvl w:val="3"/>
        <w:rPr>
          <w:rFonts w:hint="default" w:ascii="Times New Roman" w:hAnsi="Times New Roman" w:eastAsia="宋体" w:cs="Times New Roman"/>
          <w:snapToGrid w:val="0"/>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snapToGrid w:val="0"/>
          <w:color w:val="000000" w:themeColor="text1"/>
          <w:sz w:val="28"/>
          <w:szCs w:val="28"/>
          <w:lang w:val="en-US" w:eastAsia="zh-CN"/>
          <w14:textFill>
            <w14:solidFill>
              <w14:schemeClr w14:val="tx1"/>
            </w14:solidFill>
          </w14:textFill>
        </w:rPr>
        <w:t>（3）土地损毁程度评价预测</w:t>
      </w:r>
    </w:p>
    <w:p w14:paraId="4AB52F34">
      <w:pPr>
        <w:widowControl/>
        <w:spacing w:line="360" w:lineRule="auto"/>
        <w:ind w:firstLine="560" w:firstLineChars="200"/>
        <w:rPr>
          <w:rFonts w:hint="eastAsia" w:cs="Times New Roman"/>
          <w:color w:val="000000" w:themeColor="text1"/>
          <w:kern w:val="0"/>
          <w:sz w:val="28"/>
          <w:szCs w:val="28"/>
          <w:lang w:eastAsia="zh-CN"/>
          <w14:textFill>
            <w14:solidFill>
              <w14:schemeClr w14:val="tx1"/>
            </w14:solidFill>
          </w14:textFill>
        </w:rPr>
      </w:pPr>
      <w:r>
        <w:rPr>
          <w:rFonts w:hint="eastAsia" w:cs="Times New Roman"/>
          <w:color w:val="000000" w:themeColor="text1"/>
          <w:kern w:val="0"/>
          <w:sz w:val="28"/>
          <w:szCs w:val="28"/>
          <w:lang w:val="en-US" w:eastAsia="zh-CN"/>
          <w14:textFill>
            <w14:solidFill>
              <w14:schemeClr w14:val="tx1"/>
            </w14:solidFill>
          </w14:textFill>
        </w:rPr>
        <w:t>1</w:t>
      </w:r>
      <w:r>
        <w:rPr>
          <w:rFonts w:hint="eastAsia" w:cs="Times New Roman"/>
          <w:color w:val="000000" w:themeColor="text1"/>
          <w:kern w:val="0"/>
          <w:sz w:val="28"/>
          <w:szCs w:val="28"/>
          <w:lang w:eastAsia="zh-CN"/>
          <w14:textFill>
            <w14:solidFill>
              <w14:schemeClr w14:val="tx1"/>
            </w14:solidFill>
          </w14:textFill>
        </w:rPr>
        <w:t>）土地损毁程度评价</w:t>
      </w:r>
    </w:p>
    <w:p w14:paraId="48DBD3C9">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预测矿山损毁单元包括：拟建露天采场1、拟建露天采场2、拟建储水池、露天采场2、工业场地、成品砖堆放场、料堆、表土存放场、办公生活区与矿区道路等。各单元损毁土地程度评价如下：</w:t>
      </w:r>
    </w:p>
    <w:p w14:paraId="24C0A1EB">
      <w:pPr>
        <w:keepNext w:val="0"/>
        <w:keepLines w:val="0"/>
        <w:pageBreakBefore w:val="0"/>
        <w:widowControl w:val="0"/>
        <w:tabs>
          <w:tab w:val="left" w:pos="6120"/>
        </w:tabs>
        <w:kinsoku/>
        <w:wordWrap/>
        <w:overflowPunct/>
        <w:topLinePunct w:val="0"/>
        <w:autoSpaceDE/>
        <w:autoSpaceDN/>
        <w:bidi w:val="0"/>
        <w:adjustRightInd/>
        <w:snapToGrid/>
        <w:spacing w:line="360" w:lineRule="auto"/>
        <w:ind w:left="0" w:leftChars="0" w:firstLine="0" w:firstLineChars="0"/>
        <w:jc w:val="center"/>
        <w:textAlignment w:val="auto"/>
        <w:rPr>
          <w:rFonts w:hint="default" w:ascii="黑体" w:hAnsi="黑体" w:eastAsia="黑体" w:cs="黑体"/>
          <w:b w:val="0"/>
          <w:bCs w:val="0"/>
          <w:color w:val="000000" w:themeColor="text1"/>
          <w:kern w:val="2"/>
          <w:sz w:val="24"/>
          <w:szCs w:val="24"/>
          <w:lang w:val="en-US" w:eastAsia="zh-CN" w:bidi="ar-SA"/>
          <w14:textFill>
            <w14:solidFill>
              <w14:schemeClr w14:val="tx1"/>
            </w14:solidFill>
          </w14:textFill>
        </w:rPr>
      </w:pPr>
      <w:r>
        <w:rPr>
          <w:rFonts w:hint="default" w:ascii="黑体" w:hAnsi="黑体" w:eastAsia="黑体" w:cs="黑体"/>
          <w:b w:val="0"/>
          <w:bCs w:val="0"/>
          <w:color w:val="000000" w:themeColor="text1"/>
          <w:kern w:val="2"/>
          <w:sz w:val="24"/>
          <w:szCs w:val="24"/>
          <w:lang w:val="en-US" w:eastAsia="zh-CN" w:bidi="ar-SA"/>
          <w14:textFill>
            <w14:solidFill>
              <w14:schemeClr w14:val="tx1"/>
            </w14:solidFill>
          </w14:textFill>
        </w:rPr>
        <w:t>表3-</w:t>
      </w:r>
      <w:r>
        <w:rPr>
          <w:rFonts w:hint="eastAsia" w:ascii="黑体" w:hAnsi="黑体" w:eastAsia="黑体" w:cs="黑体"/>
          <w:b w:val="0"/>
          <w:bCs w:val="0"/>
          <w:color w:val="000000" w:themeColor="text1"/>
          <w:kern w:val="2"/>
          <w:sz w:val="24"/>
          <w:szCs w:val="24"/>
          <w:lang w:val="en-US" w:eastAsia="zh-CN" w:bidi="ar-SA"/>
          <w14:textFill>
            <w14:solidFill>
              <w14:schemeClr w14:val="tx1"/>
            </w14:solidFill>
          </w14:textFill>
        </w:rPr>
        <w:t>35</w:t>
      </w:r>
      <w:r>
        <w:rPr>
          <w:rFonts w:hint="default" w:ascii="黑体" w:hAnsi="黑体" w:eastAsia="黑体" w:cs="黑体"/>
          <w:b w:val="0"/>
          <w:bCs w:val="0"/>
          <w:color w:val="000000" w:themeColor="text1"/>
          <w:kern w:val="2"/>
          <w:sz w:val="24"/>
          <w:szCs w:val="24"/>
          <w:lang w:val="en-US" w:eastAsia="zh-CN" w:bidi="ar-SA"/>
          <w14:textFill>
            <w14:solidFill>
              <w14:schemeClr w14:val="tx1"/>
            </w14:solidFill>
          </w14:textFill>
        </w:rPr>
        <w:t xml:space="preserve">  压占土地损毁程度评价表</w:t>
      </w:r>
    </w:p>
    <w:p w14:paraId="281513D3">
      <w:pPr>
        <w:keepNext w:val="0"/>
        <w:keepLines w:val="0"/>
        <w:pageBreakBefore w:val="0"/>
        <w:widowControl/>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黑体" w:hAnsi="黑体" w:eastAsia="黑体" w:cs="黑体"/>
          <w:b w:val="0"/>
          <w:bCs/>
          <w:color w:val="000000" w:themeColor="text1"/>
          <w:kern w:val="2"/>
          <w:sz w:val="24"/>
          <w:szCs w:val="24"/>
          <w:highlight w:val="none"/>
          <w:lang w:val="en-US" w:eastAsia="zh-CN" w:bidi="ar-SA"/>
          <w14:textFill>
            <w14:solidFill>
              <w14:schemeClr w14:val="tx1"/>
            </w14:solidFill>
          </w14:textFill>
        </w:rPr>
      </w:pPr>
      <w:r>
        <w:rPr>
          <w:rFonts w:hint="eastAsia" w:ascii="黑体" w:hAnsi="黑体" w:eastAsia="黑体" w:cs="黑体"/>
          <w:b w:val="0"/>
          <w:bCs/>
          <w:color w:val="000000" w:themeColor="text1"/>
          <w:kern w:val="2"/>
          <w:sz w:val="24"/>
          <w:szCs w:val="24"/>
          <w:highlight w:val="none"/>
          <w:lang w:val="en-US" w:eastAsia="zh-CN" w:bidi="ar-SA"/>
          <w14:textFill>
            <w14:solidFill>
              <w14:schemeClr w14:val="tx1"/>
            </w14:solidFill>
          </w14:textFill>
        </w:rPr>
        <w:t>表3-36  挖损土地损毁程度评价表</w:t>
      </w:r>
    </w:p>
    <w:p w14:paraId="588B18BD">
      <w:pPr>
        <w:rPr>
          <w:rFonts w:hint="eastAsia" w:cs="Times New Roman"/>
          <w:color w:val="000000" w:themeColor="text1"/>
          <w:kern w:val="0"/>
          <w:sz w:val="28"/>
          <w:szCs w:val="28"/>
          <w:lang w:val="en-US" w:eastAsia="zh-CN"/>
          <w14:textFill>
            <w14:solidFill>
              <w14:schemeClr w14:val="tx1"/>
            </w14:solidFill>
          </w14:textFill>
        </w:rPr>
      </w:pPr>
      <w:r>
        <w:rPr>
          <w:rFonts w:hint="eastAsia" w:cs="Times New Roman"/>
          <w:color w:val="000000" w:themeColor="text1"/>
          <w:kern w:val="0"/>
          <w:sz w:val="28"/>
          <w:szCs w:val="28"/>
          <w:lang w:val="en-US" w:eastAsia="zh-CN"/>
          <w14:textFill>
            <w14:solidFill>
              <w14:schemeClr w14:val="tx1"/>
            </w14:solidFill>
          </w14:textFill>
        </w:rPr>
        <w:br w:type="page"/>
      </w:r>
    </w:p>
    <w:p w14:paraId="31E799B4">
      <w:pPr>
        <w:keepNext w:val="0"/>
        <w:keepLines w:val="0"/>
        <w:pageBreakBefore w:val="0"/>
        <w:widowControl/>
        <w:kinsoku/>
        <w:wordWrap/>
        <w:overflowPunct/>
        <w:topLinePunct w:val="0"/>
        <w:autoSpaceDE/>
        <w:autoSpaceDN/>
        <w:bidi w:val="0"/>
        <w:adjustRightInd/>
        <w:snapToGrid/>
        <w:spacing w:before="157" w:beforeLines="50" w:line="360" w:lineRule="auto"/>
        <w:ind w:firstLine="560" w:firstLineChars="200"/>
        <w:textAlignment w:val="auto"/>
        <w:rPr>
          <w:rFonts w:hint="default" w:ascii="Times New Roman" w:hAnsi="Times New Roman" w:eastAsia="宋体" w:cs="Times New Roman"/>
          <w:color w:val="000000" w:themeColor="text1"/>
          <w:kern w:val="0"/>
          <w:sz w:val="28"/>
          <w:szCs w:val="28"/>
          <w:lang w:val="en-US" w:eastAsia="zh-CN"/>
          <w14:textFill>
            <w14:solidFill>
              <w14:schemeClr w14:val="tx1"/>
            </w14:solidFill>
          </w14:textFill>
        </w:rPr>
      </w:pPr>
      <w:r>
        <w:rPr>
          <w:rFonts w:hint="eastAsia" w:cs="Times New Roman"/>
          <w:color w:val="000000" w:themeColor="text1"/>
          <w:kern w:val="0"/>
          <w:sz w:val="28"/>
          <w:szCs w:val="28"/>
          <w:lang w:val="en-US" w:eastAsia="zh-CN"/>
          <w14:textFill>
            <w14:solidFill>
              <w14:schemeClr w14:val="tx1"/>
            </w14:solidFill>
          </w14:textFill>
        </w:rPr>
        <w:t>2</w:t>
      </w:r>
      <w:r>
        <w:rPr>
          <w:rFonts w:hint="eastAsia" w:cs="Times New Roman"/>
          <w:color w:val="000000" w:themeColor="text1"/>
          <w:kern w:val="0"/>
          <w:sz w:val="28"/>
          <w:szCs w:val="28"/>
          <w:lang w:eastAsia="zh-CN"/>
          <w14:textFill>
            <w14:solidFill>
              <w14:schemeClr w14:val="tx1"/>
            </w14:solidFill>
          </w14:textFill>
        </w:rPr>
        <w:t>）土地损毁程度评价</w:t>
      </w:r>
      <w:r>
        <w:rPr>
          <w:rFonts w:hint="eastAsia" w:cs="Times New Roman"/>
          <w:color w:val="000000" w:themeColor="text1"/>
          <w:kern w:val="0"/>
          <w:sz w:val="28"/>
          <w:szCs w:val="28"/>
          <w:lang w:val="en-US" w:eastAsia="zh-CN"/>
          <w14:textFill>
            <w14:solidFill>
              <w14:schemeClr w14:val="tx1"/>
            </w14:solidFill>
          </w14:textFill>
        </w:rPr>
        <w:t>结果</w:t>
      </w:r>
    </w:p>
    <w:p w14:paraId="39C1FB6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①</w:t>
      </w:r>
      <w:r>
        <w:rPr>
          <w:rFonts w:hint="default" w:ascii="Times New Roman" w:hAnsi="Times New Roman"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拟建露天采场1</w:t>
      </w:r>
    </w:p>
    <w:p w14:paraId="18A9FB3B">
      <w:pPr>
        <w:spacing w:line="360" w:lineRule="auto"/>
        <w:ind w:firstLine="560" w:firstLineChars="200"/>
        <w:contextualSpacing/>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占地面积</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2.2810hm</w:t>
      </w:r>
      <w:r>
        <w:rPr>
          <w:rFonts w:hint="default" w:ascii="Times New Roman" w:hAnsi="Times New Roman" w:eastAsia="宋体" w:cs="Times New Roman"/>
          <w:b w:val="0"/>
          <w:bCs w:val="0"/>
          <w:color w:val="000000" w:themeColor="text1"/>
          <w:sz w:val="28"/>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，损毁土地类型为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乔木林地、采矿用地</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挖损</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，损毁程度为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重</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度</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损毁</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w:t>
      </w:r>
    </w:p>
    <w:p w14:paraId="5F58F94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②</w:t>
      </w:r>
      <w:r>
        <w:rPr>
          <w:rFonts w:hint="default" w:ascii="Times New Roman" w:hAnsi="Times New Roman"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拟建露天采场2</w:t>
      </w:r>
    </w:p>
    <w:p w14:paraId="649FBBC5">
      <w:pPr>
        <w:spacing w:line="360" w:lineRule="auto"/>
        <w:ind w:firstLine="560" w:firstLineChars="200"/>
        <w:contextualSpacing/>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占地面积</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2.3167hm</w:t>
      </w:r>
      <w:r>
        <w:rPr>
          <w:rFonts w:hint="default" w:ascii="Times New Roman" w:hAnsi="Times New Roman" w:eastAsia="宋体" w:cs="Times New Roman"/>
          <w:b w:val="0"/>
          <w:bCs w:val="0"/>
          <w:color w:val="000000" w:themeColor="text1"/>
          <w:sz w:val="28"/>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，损毁土地类型为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乔木林地、采矿用地</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挖损</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，损毁程度为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重</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度</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损毁</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w:t>
      </w:r>
    </w:p>
    <w:p w14:paraId="38875E5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③</w:t>
      </w:r>
      <w:r>
        <w:rPr>
          <w:rFonts w:hint="default" w:ascii="Times New Roman" w:hAnsi="Times New Roman"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拟建储水池</w:t>
      </w:r>
    </w:p>
    <w:p w14:paraId="500D5209">
      <w:pPr>
        <w:tabs>
          <w:tab w:val="left" w:pos="1300"/>
        </w:tabs>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占地面积</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0.0150hm</w:t>
      </w:r>
      <w:r>
        <w:rPr>
          <w:rFonts w:hint="default" w:ascii="Times New Roman" w:hAnsi="Times New Roman" w:eastAsia="宋体" w:cs="Times New Roman"/>
          <w:b w:val="0"/>
          <w:bCs w:val="0"/>
          <w:color w:val="000000" w:themeColor="text1"/>
          <w:sz w:val="28"/>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，损毁土地类型为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采矿用地</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，损毁类型为</w:t>
      </w:r>
      <w:r>
        <w:rPr>
          <w:rFonts w:hint="eastAsia" w:cs="Times New Roman"/>
          <w:b w:val="0"/>
          <w:bCs w:val="0"/>
          <w:color w:val="000000" w:themeColor="text1"/>
          <w:sz w:val="28"/>
          <w:szCs w:val="28"/>
          <w:highlight w:val="none"/>
          <w:lang w:val="en-US" w:eastAsia="zh-CN"/>
          <w14:textFill>
            <w14:solidFill>
              <w14:schemeClr w14:val="tx1"/>
            </w14:solidFill>
          </w14:textFill>
        </w:rPr>
        <w:t>挖损</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，损毁程度为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轻</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度</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损毁</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w:t>
      </w:r>
    </w:p>
    <w:p w14:paraId="697923D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④、</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露天采场2</w:t>
      </w:r>
    </w:p>
    <w:p w14:paraId="40FBAC02">
      <w:pPr>
        <w:spacing w:line="360" w:lineRule="auto"/>
        <w:ind w:firstLine="560" w:firstLineChars="200"/>
        <w:contextualSpacing/>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占地面积</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0.0756hm</w:t>
      </w:r>
      <w:r>
        <w:rPr>
          <w:rFonts w:hint="default" w:ascii="Times New Roman" w:hAnsi="Times New Roman" w:eastAsia="宋体" w:cs="Times New Roman"/>
          <w:b w:val="0"/>
          <w:bCs w:val="0"/>
          <w:color w:val="000000" w:themeColor="text1"/>
          <w:sz w:val="28"/>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，损毁土地类型为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乔木林地</w:t>
      </w:r>
      <w:r>
        <w:rPr>
          <w:rFonts w:hint="default" w:ascii="Times New Roman" w:hAnsi="Times New Roman" w:eastAsia="宋体" w:cs="Times New Roman"/>
          <w:b w:val="0"/>
          <w:bCs w:val="0"/>
          <w:color w:val="000000" w:themeColor="text1"/>
          <w:sz w:val="28"/>
          <w:szCs w:val="28"/>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采矿用地</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压占</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，损毁程度为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中</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度</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损毁</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w:t>
      </w:r>
    </w:p>
    <w:p w14:paraId="16EDD3E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8"/>
          <w:szCs w:val="28"/>
          <w14:textFill>
            <w14:solidFill>
              <w14:schemeClr w14:val="tx1"/>
            </w14:solidFill>
          </w14:textFill>
        </w:rPr>
        <w:t>⑤</w:t>
      </w:r>
      <w:r>
        <w:rPr>
          <w:rFonts w:hint="default" w:ascii="Times New Roman" w:hAnsi="Times New Roman" w:eastAsia="宋体" w:cs="Times New Roman"/>
          <w:color w:val="000000" w:themeColor="text1"/>
          <w:sz w:val="28"/>
          <w:szCs w:val="28"/>
          <w14:textFill>
            <w14:solidFill>
              <w14:schemeClr w14:val="tx1"/>
            </w14:solidFill>
          </w14:textFill>
        </w:rPr>
        <w:t>、</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工业场地</w:t>
      </w:r>
    </w:p>
    <w:p w14:paraId="14668065">
      <w:pPr>
        <w:spacing w:line="360" w:lineRule="auto"/>
        <w:ind w:firstLine="560" w:firstLineChars="200"/>
        <w:contextualSpacing/>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占地面积</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2.7315hm</w:t>
      </w:r>
      <w:r>
        <w:rPr>
          <w:rFonts w:hint="default" w:ascii="Times New Roman" w:hAnsi="Times New Roman" w:eastAsia="宋体" w:cs="Times New Roman"/>
          <w:b w:val="0"/>
          <w:bCs w:val="0"/>
          <w:color w:val="000000" w:themeColor="text1"/>
          <w:sz w:val="28"/>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，损毁土地类型为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采矿用地、农村道路</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压占</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，损毁程度为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中</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度</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损毁</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w:t>
      </w:r>
    </w:p>
    <w:p w14:paraId="2B4F4D0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8"/>
          <w:szCs w:val="28"/>
          <w14:textFill>
            <w14:solidFill>
              <w14:schemeClr w14:val="tx1"/>
            </w14:solidFill>
          </w14:textFill>
        </w:rPr>
        <w:t>⑥</w:t>
      </w:r>
      <w:r>
        <w:rPr>
          <w:rFonts w:hint="default" w:ascii="Times New Roman" w:hAnsi="Times New Roman" w:eastAsia="宋体" w:cs="Times New Roman"/>
          <w:color w:val="000000" w:themeColor="text1"/>
          <w:sz w:val="28"/>
          <w:szCs w:val="28"/>
          <w14:textFill>
            <w14:solidFill>
              <w14:schemeClr w14:val="tx1"/>
            </w14:solidFill>
          </w14:textFill>
        </w:rPr>
        <w:t>、</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成品砖堆放场</w:t>
      </w:r>
    </w:p>
    <w:p w14:paraId="6505C12F">
      <w:pPr>
        <w:pStyle w:val="69"/>
        <w:ind w:firstLine="56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占地面积</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1.0550hm</w:t>
      </w:r>
      <w:r>
        <w:rPr>
          <w:rFonts w:hint="default" w:ascii="Times New Roman" w:hAnsi="Times New Roman" w:eastAsia="宋体" w:cs="Times New Roman"/>
          <w:b w:val="0"/>
          <w:bCs w:val="0"/>
          <w:color w:val="000000" w:themeColor="text1"/>
          <w:sz w:val="28"/>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，损毁土地类型为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采矿用地</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压占</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，损毁程度为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中</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度</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损毁</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w:t>
      </w:r>
    </w:p>
    <w:p w14:paraId="3C6B11B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⑦、</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料堆</w:t>
      </w:r>
    </w:p>
    <w:p w14:paraId="3A4A5C10">
      <w:pPr>
        <w:pStyle w:val="12"/>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占地面积</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0.4207hm</w:t>
      </w:r>
      <w:r>
        <w:rPr>
          <w:rFonts w:hint="default" w:ascii="Times New Roman" w:hAnsi="Times New Roman" w:eastAsia="宋体" w:cs="Times New Roman"/>
          <w:b w:val="0"/>
          <w:bCs w:val="0"/>
          <w:color w:val="000000" w:themeColor="text1"/>
          <w:sz w:val="28"/>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，损毁土地类型为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水浇地、采矿用地</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压占</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，损毁程度为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中</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度</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损毁</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w:t>
      </w:r>
    </w:p>
    <w:p w14:paraId="7AAC968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8"/>
          <w:szCs w:val="21"/>
          <w:lang w:val="en-US" w:eastAsia="zh-CN"/>
          <w14:textFill>
            <w14:solidFill>
              <w14:schemeClr w14:val="tx1"/>
            </w14:solidFill>
          </w14:textFill>
        </w:rPr>
        <w:t>⑧</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表土存放场</w:t>
      </w:r>
    </w:p>
    <w:p w14:paraId="660398A1">
      <w:pPr>
        <w:pStyle w:val="69"/>
        <w:keepNext w:val="0"/>
        <w:keepLines w:val="0"/>
        <w:pageBreakBefore w:val="0"/>
        <w:kinsoku/>
        <w:wordWrap/>
        <w:overflowPunct/>
        <w:topLinePunct w:val="0"/>
        <w:autoSpaceDE/>
        <w:autoSpaceDN/>
        <w:bidi w:val="0"/>
        <w:adjustRightInd w:val="0"/>
        <w:snapToGrid w:val="0"/>
        <w:spacing w:line="360" w:lineRule="auto"/>
        <w:ind w:firstLine="560"/>
        <w:textAlignment w:val="auto"/>
        <w:rPr>
          <w:rFonts w:hint="default" w:ascii="Times New Roman" w:hAnsi="Times New Roman" w:eastAsia="宋体" w:cs="Times New Roman"/>
          <w:b w:val="0"/>
          <w:bCs w:val="0"/>
          <w:color w:val="000000" w:themeColor="text1"/>
          <w:sz w:val="28"/>
          <w:szCs w:val="28"/>
          <w14:textFill>
            <w14:solidFill>
              <w14:schemeClr w14:val="tx1"/>
            </w14:solidFill>
          </w14:textFill>
        </w:rPr>
      </w:pP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占地面积</w:t>
      </w:r>
      <w:r>
        <w:rPr>
          <w:rFonts w:hint="default" w:ascii="Times New Roman" w:hAnsi="Times New Roman" w:eastAsia="宋体" w:cs="Times New Roman"/>
          <w:color w:val="000000" w:themeColor="text1"/>
          <w:kern w:val="2"/>
          <w:sz w:val="28"/>
          <w:szCs w:val="21"/>
          <w:lang w:val="en-US" w:eastAsia="zh-CN" w:bidi="ar-SA"/>
          <w14:textFill>
            <w14:solidFill>
              <w14:schemeClr w14:val="tx1"/>
            </w14:solidFill>
          </w14:textFill>
        </w:rPr>
        <w:t>1.3346</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hm</w:t>
      </w:r>
      <w:r>
        <w:rPr>
          <w:rFonts w:hint="default" w:ascii="Times New Roman" w:hAnsi="Times New Roman" w:eastAsia="宋体" w:cs="Times New Roman"/>
          <w:b w:val="0"/>
          <w:bCs w:val="0"/>
          <w:color w:val="000000" w:themeColor="text1"/>
          <w:sz w:val="28"/>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，损毁土地类型为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乔木林地、采矿用地、农村道路</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压占</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，损毁程度为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中</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度</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损毁</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w:t>
      </w:r>
    </w:p>
    <w:p w14:paraId="7975F488">
      <w:pP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br w:type="page"/>
      </w:r>
    </w:p>
    <w:p w14:paraId="187140F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⑨</w:t>
      </w:r>
      <w:r>
        <w:rPr>
          <w:rFonts w:hint="default" w:ascii="Times New Roman" w:hAnsi="Times New Roman"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办公生活区</w:t>
      </w:r>
    </w:p>
    <w:p w14:paraId="5B1144A6">
      <w:pPr>
        <w:pStyle w:val="69"/>
        <w:ind w:firstLine="56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占地面积</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0.2217hm</w:t>
      </w:r>
      <w:r>
        <w:rPr>
          <w:rFonts w:hint="default" w:ascii="Times New Roman" w:hAnsi="Times New Roman" w:eastAsia="宋体" w:cs="Times New Roman"/>
          <w:b w:val="0"/>
          <w:bCs w:val="0"/>
          <w:color w:val="000000" w:themeColor="text1"/>
          <w:sz w:val="28"/>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，损毁土地类型为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采矿用地</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压占</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，损毁程度为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中</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度</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损毁</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w:t>
      </w:r>
    </w:p>
    <w:p w14:paraId="2F4DCB5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8"/>
          <w:szCs w:val="21"/>
          <w:lang w:val="en-US" w:eastAsia="zh-CN"/>
          <w14:textFill>
            <w14:solidFill>
              <w14:schemeClr w14:val="tx1"/>
            </w14:solidFill>
          </w14:textFill>
        </w:rPr>
        <w:t>⑩、</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矿区道路</w:t>
      </w:r>
    </w:p>
    <w:p w14:paraId="4FC6B2C7">
      <w:pPr>
        <w:pStyle w:val="66"/>
        <w:spacing w:line="360" w:lineRule="auto"/>
        <w:ind w:firstLine="560" w:firstLineChars="200"/>
        <w:jc w:val="left"/>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占地面积</w:t>
      </w:r>
      <w:r>
        <w:rPr>
          <w:rFonts w:hint="default" w:ascii="Times New Roman" w:hAnsi="Times New Roman" w:eastAsia="宋体" w:cs="Times New Roman"/>
          <w:b w:val="0"/>
          <w:bCs w:val="0"/>
          <w:color w:val="000000" w:themeColor="text1"/>
          <w:sz w:val="28"/>
          <w:szCs w:val="24"/>
          <w:highlight w:val="none"/>
          <w:lang w:val="en-US" w:eastAsia="zh-CN"/>
          <w14:textFill>
            <w14:solidFill>
              <w14:schemeClr w14:val="tx1"/>
            </w14:solidFill>
          </w14:textFill>
        </w:rPr>
        <w:t>0.2682hm</w:t>
      </w:r>
      <w:r>
        <w:rPr>
          <w:rFonts w:hint="default" w:ascii="Times New Roman" w:hAnsi="Times New Roman" w:eastAsia="宋体" w:cs="Times New Roman"/>
          <w:b w:val="0"/>
          <w:bCs w:val="0"/>
          <w:color w:val="000000" w:themeColor="text1"/>
          <w:sz w:val="28"/>
          <w:szCs w:val="24"/>
          <w:highlight w:val="none"/>
          <w:vertAlign w:val="superscript"/>
          <w:lang w:val="en-US" w:eastAsia="zh-CN"/>
          <w14:textFill>
            <w14:solidFill>
              <w14:schemeClr w14:val="tx1"/>
            </w14:solidFill>
          </w14:textFill>
        </w:rPr>
        <w:t>2</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，损毁土地类型为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采矿用地</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，损毁类型为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压占</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，损毁程度为</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轻</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度</w:t>
      </w:r>
      <w:r>
        <w:rPr>
          <w:rFonts w:hint="default" w:ascii="Times New Roman" w:hAnsi="Times New Roman" w:eastAsia="宋体" w:cs="Times New Roman"/>
          <w:b w:val="0"/>
          <w:bCs w:val="0"/>
          <w:color w:val="000000" w:themeColor="text1"/>
          <w:sz w:val="28"/>
          <w:szCs w:val="28"/>
          <w:highlight w:val="none"/>
          <w:lang w:val="en-US" w:eastAsia="zh-CN"/>
          <w14:textFill>
            <w14:solidFill>
              <w14:schemeClr w14:val="tx1"/>
            </w14:solidFill>
          </w14:textFill>
        </w:rPr>
        <w:t>损毁</w:t>
      </w:r>
      <w:r>
        <w:rPr>
          <w:rFonts w:hint="default" w:ascii="Times New Roman" w:hAnsi="Times New Roman" w:eastAsia="宋体" w:cs="Times New Roman"/>
          <w:b w:val="0"/>
          <w:bCs w:val="0"/>
          <w:color w:val="000000" w:themeColor="text1"/>
          <w:sz w:val="28"/>
          <w:szCs w:val="28"/>
          <w:highlight w:val="none"/>
          <w14:textFill>
            <w14:solidFill>
              <w14:schemeClr w14:val="tx1"/>
            </w14:solidFill>
          </w14:textFill>
        </w:rPr>
        <w:t>。</w:t>
      </w:r>
    </w:p>
    <w:p w14:paraId="555CDB6B">
      <w:pPr>
        <w:spacing w:line="360" w:lineRule="auto"/>
        <w:jc w:val="center"/>
        <w:rPr>
          <w:rFonts w:hint="eastAsia" w:ascii="黑体" w:hAnsi="黑体" w:eastAsia="黑体" w:cs="黑体"/>
          <w:b w:val="0"/>
          <w:bCs w:val="0"/>
          <w:color w:val="000000" w:themeColor="text1"/>
          <w:sz w:val="24"/>
          <w:szCs w:val="24"/>
          <w:highlight w:val="yellow"/>
          <w14:textFill>
            <w14:solidFill>
              <w14:schemeClr w14:val="tx1"/>
            </w14:solidFill>
          </w14:textFill>
        </w:rPr>
        <w:sectPr>
          <w:pgSz w:w="11906" w:h="16838"/>
          <w:pgMar w:top="1417" w:right="1417" w:bottom="1417" w:left="1417" w:header="851" w:footer="992" w:gutter="0"/>
          <w:pgNumType w:fmt="decimal"/>
          <w:cols w:space="0" w:num="1"/>
          <w:rtlGutter w:val="0"/>
          <w:docGrid w:linePitch="312" w:charSpace="0"/>
        </w:sectPr>
      </w:pPr>
    </w:p>
    <w:p w14:paraId="4055A235">
      <w:pPr>
        <w:widowControl/>
        <w:spacing w:line="360" w:lineRule="auto"/>
        <w:ind w:firstLine="560" w:firstLineChars="200"/>
        <w:outlineLvl w:val="2"/>
        <w:rPr>
          <w:rFonts w:hint="default" w:ascii="Times New Roman" w:hAnsi="Times New Roman" w:eastAsia="宋体" w:cs="Times New Roman"/>
          <w:b w:val="0"/>
          <w:bCs w:val="0"/>
          <w:snapToGrid w:val="0"/>
          <w:color w:val="000000" w:themeColor="text1"/>
          <w:sz w:val="28"/>
          <w:szCs w:val="28"/>
          <w:lang w:eastAsia="zh-CN"/>
          <w14:textFill>
            <w14:solidFill>
              <w14:schemeClr w14:val="tx1"/>
            </w14:solidFill>
          </w14:textFill>
        </w:rPr>
      </w:pPr>
      <w:r>
        <w:rPr>
          <w:rFonts w:hint="default" w:ascii="Times New Roman" w:hAnsi="Times New Roman" w:eastAsia="宋体" w:cs="Times New Roman"/>
          <w:b w:val="0"/>
          <w:bCs w:val="0"/>
          <w:snapToGrid w:val="0"/>
          <w:color w:val="000000" w:themeColor="text1"/>
          <w:sz w:val="28"/>
          <w:szCs w:val="28"/>
          <w:lang w:eastAsia="zh-CN"/>
          <w14:textFill>
            <w14:solidFill>
              <w14:schemeClr w14:val="tx1"/>
            </w14:solidFill>
          </w14:textFill>
        </w:rPr>
        <w:t>（四）矿区生态受损与退化预测</w:t>
      </w:r>
    </w:p>
    <w:p w14:paraId="5798D7E7">
      <w:pPr>
        <w:widowControl/>
        <w:spacing w:line="360" w:lineRule="auto"/>
        <w:ind w:firstLine="560" w:firstLineChars="200"/>
        <w:outlineLvl w:val="3"/>
        <w:rPr>
          <w:rFonts w:hint="default"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1、矿区生态受损与退化预测评价</w:t>
      </w:r>
    </w:p>
    <w:p w14:paraId="303CB401">
      <w:pPr>
        <w:widowControl/>
        <w:spacing w:line="360" w:lineRule="auto"/>
        <w:ind w:firstLine="560" w:firstLineChars="200"/>
        <w:outlineLvl w:val="3"/>
        <w:rPr>
          <w:rFonts w:hint="default"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（1）植被损毁预测</w:t>
      </w:r>
    </w:p>
    <w:p w14:paraId="0D2F674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矿山建设对矿区植被损毁方式包括：根系挖掘破坏、表土机械碾压和废弃物覆盖掩埋、化学污染、水文干扰五大类。</w:t>
      </w:r>
    </w:p>
    <w:p w14:paraId="4D45397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黑体" w:hAnsi="黑体" w:eastAsia="黑体" w:cs="黑体"/>
          <w:b w:val="0"/>
          <w:bCs/>
          <w:color w:val="000000" w:themeColor="text1"/>
          <w:kern w:val="0"/>
          <w:sz w:val="24"/>
          <w:szCs w:val="24"/>
          <w:highlight w:val="none"/>
          <w:lang w:val="en-US" w:eastAsia="zh-CN" w:bidi="ar-SA"/>
          <w14:textFill>
            <w14:solidFill>
              <w14:schemeClr w14:val="tx1"/>
            </w14:solidFill>
          </w14:textFill>
        </w:rPr>
      </w:pPr>
      <w:r>
        <w:rPr>
          <w:rFonts w:hint="eastAsia" w:ascii="黑体" w:hAnsi="黑体" w:eastAsia="黑体" w:cs="黑体"/>
          <w:b w:val="0"/>
          <w:bCs/>
          <w:color w:val="000000" w:themeColor="text1"/>
          <w:kern w:val="0"/>
          <w:sz w:val="24"/>
          <w:szCs w:val="24"/>
          <w:highlight w:val="none"/>
          <w:lang w:val="en-US" w:eastAsia="zh-CN" w:bidi="ar-SA"/>
          <w14:textFill>
            <w14:solidFill>
              <w14:schemeClr w14:val="tx1"/>
            </w14:solidFill>
          </w14:textFill>
        </w:rPr>
        <w:t>表3-38  植被损毁因素标准表</w:t>
      </w:r>
    </w:p>
    <w:p w14:paraId="1D44A6FF">
      <w:pPr>
        <w:keepNext w:val="0"/>
        <w:keepLines w:val="0"/>
        <w:pageBreakBefore w:val="0"/>
        <w:widowControl/>
        <w:kinsoku/>
        <w:wordWrap/>
        <w:overflowPunct/>
        <w:topLinePunct w:val="0"/>
        <w:autoSpaceDE/>
        <w:autoSpaceDN/>
        <w:bidi w:val="0"/>
        <w:adjustRightInd/>
        <w:snapToGrid/>
        <w:spacing w:before="157" w:beforeLines="50" w:after="0" w:line="360" w:lineRule="auto"/>
        <w:jc w:val="center"/>
        <w:textAlignment w:val="auto"/>
        <w:rPr>
          <w:rFonts w:hint="default" w:ascii="黑体" w:hAnsi="黑体" w:eastAsia="黑体" w:cs="黑体"/>
          <w:b w:val="0"/>
          <w:bCs/>
          <w:color w:val="000000" w:themeColor="text1"/>
          <w:kern w:val="0"/>
          <w:sz w:val="24"/>
          <w:szCs w:val="24"/>
          <w:highlight w:val="none"/>
          <w:lang w:val="en-US" w:eastAsia="zh-CN" w:bidi="ar-SA"/>
          <w14:textFill>
            <w14:solidFill>
              <w14:schemeClr w14:val="tx1"/>
            </w14:solidFill>
          </w14:textFill>
        </w:rPr>
      </w:pPr>
      <w:r>
        <w:rPr>
          <w:rFonts w:hint="default" w:ascii="黑体" w:hAnsi="黑体" w:eastAsia="黑体" w:cs="黑体"/>
          <w:b w:val="0"/>
          <w:bCs/>
          <w:color w:val="000000" w:themeColor="text1"/>
          <w:kern w:val="0"/>
          <w:sz w:val="24"/>
          <w:szCs w:val="24"/>
          <w:highlight w:val="none"/>
          <w:lang w:val="en-US" w:eastAsia="zh-CN" w:bidi="ar-SA"/>
          <w14:textFill>
            <w14:solidFill>
              <w14:schemeClr w14:val="tx1"/>
            </w14:solidFill>
          </w14:textFill>
        </w:rPr>
        <w:t>表3-</w:t>
      </w:r>
      <w:r>
        <w:rPr>
          <w:rFonts w:hint="eastAsia" w:ascii="黑体" w:hAnsi="黑体" w:eastAsia="黑体" w:cs="黑体"/>
          <w:b w:val="0"/>
          <w:bCs/>
          <w:color w:val="000000" w:themeColor="text1"/>
          <w:kern w:val="0"/>
          <w:sz w:val="24"/>
          <w:szCs w:val="24"/>
          <w:highlight w:val="none"/>
          <w:lang w:val="en-US" w:eastAsia="zh-CN" w:bidi="ar-SA"/>
          <w14:textFill>
            <w14:solidFill>
              <w14:schemeClr w14:val="tx1"/>
            </w14:solidFill>
          </w14:textFill>
        </w:rPr>
        <w:t>39</w:t>
      </w:r>
      <w:r>
        <w:rPr>
          <w:rFonts w:hint="default" w:ascii="黑体" w:hAnsi="黑体" w:eastAsia="黑体" w:cs="黑体"/>
          <w:b w:val="0"/>
          <w:bCs/>
          <w:color w:val="000000" w:themeColor="text1"/>
          <w:kern w:val="0"/>
          <w:sz w:val="24"/>
          <w:szCs w:val="24"/>
          <w:highlight w:val="none"/>
          <w:lang w:val="en-US" w:eastAsia="zh-CN" w:bidi="ar-SA"/>
          <w14:textFill>
            <w14:solidFill>
              <w14:schemeClr w14:val="tx1"/>
            </w14:solidFill>
          </w14:textFill>
        </w:rPr>
        <w:t xml:space="preserve">  植被损毁程度评分界线表</w:t>
      </w:r>
    </w:p>
    <w:tbl>
      <w:tblPr>
        <w:tblStyle w:val="139"/>
        <w:tblW w:w="509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054"/>
        <w:gridCol w:w="2220"/>
        <w:gridCol w:w="2079"/>
        <w:gridCol w:w="2115"/>
      </w:tblGrid>
      <w:tr w14:paraId="2583D6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jc w:val="center"/>
        </w:trPr>
        <w:tc>
          <w:tcPr>
            <w:tcW w:w="1212" w:type="pct"/>
            <w:noWrap w:val="0"/>
            <w:vAlign w:val="center"/>
          </w:tcPr>
          <w:p w14:paraId="56F1D3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en-US" w:bidi="ar-SA"/>
                <w14:textFill>
                  <w14:solidFill>
                    <w14:schemeClr w14:val="tx1"/>
                  </w14:solidFill>
                </w14:textFill>
              </w:rPr>
            </w:pPr>
            <w:r>
              <w:rPr>
                <w:rFonts w:hint="default" w:ascii="Times New Roman" w:hAnsi="Times New Roman" w:eastAsia="宋体" w:cs="Times New Roman"/>
                <w:color w:val="000000" w:themeColor="text1"/>
                <w:spacing w:val="-2"/>
                <w:kern w:val="2"/>
                <w:sz w:val="21"/>
                <w:szCs w:val="21"/>
                <w:highlight w:val="none"/>
                <w:lang w:val="en-US" w:eastAsia="en-US" w:bidi="ar-SA"/>
                <w14:textFill>
                  <w14:solidFill>
                    <w14:schemeClr w14:val="tx1"/>
                  </w14:solidFill>
                </w14:textFill>
              </w:rPr>
              <w:t>损毁程度</w:t>
            </w:r>
          </w:p>
        </w:tc>
        <w:tc>
          <w:tcPr>
            <w:tcW w:w="1310" w:type="pct"/>
            <w:noWrap w:val="0"/>
            <w:vAlign w:val="center"/>
          </w:tcPr>
          <w:p w14:paraId="5ECF4C5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en-US" w:bidi="ar-SA"/>
                <w14:textFill>
                  <w14:solidFill>
                    <w14:schemeClr w14:val="tx1"/>
                  </w14:solidFill>
                </w14:textFill>
              </w:rPr>
            </w:pPr>
            <w:r>
              <w:rPr>
                <w:rFonts w:hint="default" w:ascii="Times New Roman" w:hAnsi="Times New Roman" w:eastAsia="宋体" w:cs="Times New Roman"/>
                <w:color w:val="000000" w:themeColor="text1"/>
                <w:spacing w:val="-2"/>
                <w:kern w:val="2"/>
                <w:sz w:val="21"/>
                <w:szCs w:val="21"/>
                <w:highlight w:val="none"/>
                <w:lang w:val="en-US" w:eastAsia="en-US" w:bidi="ar-SA"/>
                <w14:textFill>
                  <w14:solidFill>
                    <w14:schemeClr w14:val="tx1"/>
                  </w14:solidFill>
                </w14:textFill>
              </w:rPr>
              <w:t>轻度损毁</w:t>
            </w:r>
          </w:p>
        </w:tc>
        <w:tc>
          <w:tcPr>
            <w:tcW w:w="1227" w:type="pct"/>
            <w:noWrap w:val="0"/>
            <w:vAlign w:val="center"/>
          </w:tcPr>
          <w:p w14:paraId="7640859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en-US" w:bidi="ar-SA"/>
                <w14:textFill>
                  <w14:solidFill>
                    <w14:schemeClr w14:val="tx1"/>
                  </w14:solidFill>
                </w14:textFill>
              </w:rPr>
            </w:pPr>
            <w:r>
              <w:rPr>
                <w:rFonts w:hint="default" w:ascii="Times New Roman" w:hAnsi="Times New Roman" w:eastAsia="宋体" w:cs="Times New Roman"/>
                <w:color w:val="000000" w:themeColor="text1"/>
                <w:spacing w:val="-7"/>
                <w:kern w:val="2"/>
                <w:sz w:val="21"/>
                <w:szCs w:val="21"/>
                <w:highlight w:val="none"/>
                <w:lang w:val="en-US" w:eastAsia="en-US" w:bidi="ar-SA"/>
                <w14:textFill>
                  <w14:solidFill>
                    <w14:schemeClr w14:val="tx1"/>
                  </w14:solidFill>
                </w14:textFill>
              </w:rPr>
              <w:t>中度损毁</w:t>
            </w:r>
          </w:p>
        </w:tc>
        <w:tc>
          <w:tcPr>
            <w:tcW w:w="1248" w:type="pct"/>
            <w:noWrap w:val="0"/>
            <w:vAlign w:val="center"/>
          </w:tcPr>
          <w:p w14:paraId="32A436E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en-US" w:bidi="ar-SA"/>
                <w14:textFill>
                  <w14:solidFill>
                    <w14:schemeClr w14:val="tx1"/>
                  </w14:solidFill>
                </w14:textFill>
              </w:rPr>
            </w:pPr>
            <w:r>
              <w:rPr>
                <w:rFonts w:hint="default" w:ascii="Times New Roman" w:hAnsi="Times New Roman" w:eastAsia="宋体" w:cs="Times New Roman"/>
                <w:color w:val="000000" w:themeColor="text1"/>
                <w:spacing w:val="-2"/>
                <w:kern w:val="2"/>
                <w:sz w:val="21"/>
                <w:szCs w:val="21"/>
                <w:highlight w:val="none"/>
                <w:lang w:val="en-US" w:eastAsia="en-US" w:bidi="ar-SA"/>
                <w14:textFill>
                  <w14:solidFill>
                    <w14:schemeClr w14:val="tx1"/>
                  </w14:solidFill>
                </w14:textFill>
              </w:rPr>
              <w:t>重度损毁</w:t>
            </w:r>
          </w:p>
        </w:tc>
      </w:tr>
      <w:tr w14:paraId="151B20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jc w:val="center"/>
        </w:trPr>
        <w:tc>
          <w:tcPr>
            <w:tcW w:w="1212" w:type="pct"/>
            <w:noWrap w:val="0"/>
            <w:vAlign w:val="center"/>
          </w:tcPr>
          <w:p w14:paraId="4F8A52D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en-US" w:bidi="ar-SA"/>
                <w14:textFill>
                  <w14:solidFill>
                    <w14:schemeClr w14:val="tx1"/>
                  </w14:solidFill>
                </w14:textFill>
              </w:rPr>
            </w:pPr>
            <w:r>
              <w:rPr>
                <w:rFonts w:hint="default" w:ascii="Times New Roman" w:hAnsi="Times New Roman" w:eastAsia="宋体" w:cs="Times New Roman"/>
                <w:color w:val="000000" w:themeColor="text1"/>
                <w:spacing w:val="-1"/>
                <w:kern w:val="2"/>
                <w:sz w:val="21"/>
                <w:szCs w:val="21"/>
                <w:highlight w:val="none"/>
                <w:lang w:val="en-US" w:eastAsia="en-US" w:bidi="ar-SA"/>
                <w14:textFill>
                  <w14:solidFill>
                    <w14:schemeClr w14:val="tx1"/>
                  </w14:solidFill>
                </w14:textFill>
              </w:rPr>
              <w:t>评分级别</w:t>
            </w:r>
          </w:p>
        </w:tc>
        <w:tc>
          <w:tcPr>
            <w:tcW w:w="1310" w:type="pct"/>
            <w:noWrap w:val="0"/>
            <w:vAlign w:val="center"/>
          </w:tcPr>
          <w:p w14:paraId="4C10CD2E">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Σ≤40</w:t>
            </w:r>
          </w:p>
        </w:tc>
        <w:tc>
          <w:tcPr>
            <w:tcW w:w="1227" w:type="pct"/>
            <w:noWrap w:val="0"/>
            <w:vAlign w:val="center"/>
          </w:tcPr>
          <w:p w14:paraId="1B4DD36E">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en-US"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40&lt;Σ≤70</w:t>
            </w:r>
          </w:p>
        </w:tc>
        <w:tc>
          <w:tcPr>
            <w:tcW w:w="1248" w:type="pct"/>
            <w:noWrap w:val="0"/>
            <w:vAlign w:val="center"/>
          </w:tcPr>
          <w:p w14:paraId="626567E1">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en-US"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Σ&gt;70</w:t>
            </w:r>
          </w:p>
        </w:tc>
      </w:tr>
    </w:tbl>
    <w:p w14:paraId="433FDE78">
      <w:pPr>
        <w:keepNext w:val="0"/>
        <w:keepLines w:val="0"/>
        <w:pageBreakBefore w:val="0"/>
        <w:widowControl/>
        <w:kinsoku/>
        <w:wordWrap/>
        <w:overflowPunct/>
        <w:topLinePunct w:val="0"/>
        <w:autoSpaceDE/>
        <w:autoSpaceDN/>
        <w:bidi w:val="0"/>
        <w:adjustRightInd/>
        <w:snapToGrid/>
        <w:spacing w:before="157" w:beforeLines="50" w:line="360" w:lineRule="auto"/>
        <w:ind w:firstLine="560" w:firstLineChars="200"/>
        <w:textAlignment w:val="auto"/>
        <w:rPr>
          <w:rFonts w:hint="default" w:ascii="Times New Roman" w:hAnsi="Times New Roman"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预测对矿区植被功能造成损毁的单元包括：拟建露天采场1、拟建露天采场2、拟建储水池、露天采场2、工业场地、成品砖堆放场、料堆、表土存放场、办公生活区与矿区道路等。</w:t>
      </w:r>
    </w:p>
    <w:p w14:paraId="11F1D1A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黑体" w:hAnsi="黑体" w:eastAsia="黑体" w:cs="黑体"/>
          <w:b w:val="0"/>
          <w:bCs/>
          <w:color w:val="000000" w:themeColor="text1"/>
          <w:kern w:val="0"/>
          <w:sz w:val="24"/>
          <w:szCs w:val="24"/>
          <w:highlight w:val="none"/>
          <w:lang w:val="en-US" w:eastAsia="zh-CN" w:bidi="ar-SA"/>
          <w14:textFill>
            <w14:solidFill>
              <w14:schemeClr w14:val="tx1"/>
            </w14:solidFill>
          </w14:textFill>
        </w:rPr>
      </w:pPr>
      <w:r>
        <w:rPr>
          <w:rFonts w:hint="default" w:ascii="黑体" w:hAnsi="黑体" w:eastAsia="黑体" w:cs="黑体"/>
          <w:b w:val="0"/>
          <w:bCs/>
          <w:color w:val="000000" w:themeColor="text1"/>
          <w:kern w:val="0"/>
          <w:sz w:val="24"/>
          <w:szCs w:val="24"/>
          <w:highlight w:val="none"/>
          <w:lang w:val="en-US" w:eastAsia="zh-CN" w:bidi="ar-SA"/>
          <w14:textFill>
            <w14:solidFill>
              <w14:schemeClr w14:val="tx1"/>
            </w14:solidFill>
          </w14:textFill>
        </w:rPr>
        <w:t>表3-</w:t>
      </w:r>
      <w:r>
        <w:rPr>
          <w:rFonts w:hint="eastAsia" w:ascii="黑体" w:hAnsi="黑体" w:eastAsia="黑体" w:cs="黑体"/>
          <w:b w:val="0"/>
          <w:bCs/>
          <w:color w:val="000000" w:themeColor="text1"/>
          <w:kern w:val="0"/>
          <w:sz w:val="24"/>
          <w:szCs w:val="24"/>
          <w:highlight w:val="none"/>
          <w:lang w:val="en-US" w:eastAsia="zh-CN" w:bidi="ar-SA"/>
          <w14:textFill>
            <w14:solidFill>
              <w14:schemeClr w14:val="tx1"/>
            </w14:solidFill>
          </w14:textFill>
        </w:rPr>
        <w:t>40</w:t>
      </w:r>
      <w:r>
        <w:rPr>
          <w:rFonts w:hint="default" w:ascii="黑体" w:hAnsi="黑体" w:eastAsia="黑体" w:cs="黑体"/>
          <w:b w:val="0"/>
          <w:bCs/>
          <w:color w:val="000000" w:themeColor="text1"/>
          <w:kern w:val="0"/>
          <w:sz w:val="24"/>
          <w:szCs w:val="24"/>
          <w:highlight w:val="none"/>
          <w:lang w:val="en-US" w:eastAsia="zh-CN" w:bidi="ar-SA"/>
          <w14:textFill>
            <w14:solidFill>
              <w14:schemeClr w14:val="tx1"/>
            </w14:solidFill>
          </w14:textFill>
        </w:rPr>
        <w:t xml:space="preserve">  植被损毁程度</w:t>
      </w:r>
      <w:r>
        <w:rPr>
          <w:rFonts w:hint="eastAsia" w:ascii="黑体" w:hAnsi="黑体" w:eastAsia="黑体" w:cs="黑体"/>
          <w:b w:val="0"/>
          <w:bCs/>
          <w:color w:val="000000" w:themeColor="text1"/>
          <w:kern w:val="0"/>
          <w:sz w:val="24"/>
          <w:szCs w:val="24"/>
          <w:highlight w:val="none"/>
          <w:lang w:val="en-US" w:eastAsia="zh-CN" w:bidi="ar-SA"/>
          <w14:textFill>
            <w14:solidFill>
              <w14:schemeClr w14:val="tx1"/>
            </w14:solidFill>
          </w14:textFill>
        </w:rPr>
        <w:t>预测评分</w:t>
      </w:r>
      <w:r>
        <w:rPr>
          <w:rFonts w:hint="default" w:ascii="黑体" w:hAnsi="黑体" w:eastAsia="黑体" w:cs="黑体"/>
          <w:b w:val="0"/>
          <w:bCs/>
          <w:color w:val="000000" w:themeColor="text1"/>
          <w:kern w:val="0"/>
          <w:sz w:val="24"/>
          <w:szCs w:val="24"/>
          <w:highlight w:val="none"/>
          <w:lang w:val="en-US" w:eastAsia="zh-CN" w:bidi="ar-SA"/>
          <w14:textFill>
            <w14:solidFill>
              <w14:schemeClr w14:val="tx1"/>
            </w14:solidFill>
          </w14:textFill>
        </w:rPr>
        <w:t>表</w:t>
      </w:r>
    </w:p>
    <w:p w14:paraId="303A3891">
      <w:pPr>
        <w:keepNext w:val="0"/>
        <w:keepLines w:val="0"/>
        <w:pageBreakBefore w:val="0"/>
        <w:widowControl/>
        <w:kinsoku/>
        <w:wordWrap/>
        <w:overflowPunct/>
        <w:topLinePunct w:val="0"/>
        <w:autoSpaceDE/>
        <w:autoSpaceDN/>
        <w:bidi w:val="0"/>
        <w:adjustRightInd/>
        <w:snapToGrid/>
        <w:spacing w:before="157" w:beforeLines="50" w:line="360" w:lineRule="auto"/>
        <w:ind w:firstLine="560" w:firstLineChars="200"/>
        <w:textAlignment w:val="auto"/>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综上所述，</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经比对植被损毁因素标准表计算后得出：</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拟建露天采场1、拟建露天采场2、</w:t>
      </w:r>
      <w:r>
        <w:rPr>
          <w:rFonts w:hint="eastAsia" w:cs="Times New Roman"/>
          <w:color w:val="000000" w:themeColor="text1"/>
          <w:sz w:val="28"/>
          <w:szCs w:val="28"/>
          <w:highlight w:val="none"/>
          <w:lang w:val="en-US" w:eastAsia="zh-CN"/>
          <w14:textFill>
            <w14:solidFill>
              <w14:schemeClr w14:val="tx1"/>
            </w14:solidFill>
          </w14:textFill>
        </w:rPr>
        <w:t>露天采场2植被损毁程度为重度受损；</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拟建储水池</w:t>
      </w:r>
      <w:r>
        <w:rPr>
          <w:rFonts w:hint="default" w:ascii="Times New Roman" w:hAnsi="Times New Roman" w:cs="Times New Roman"/>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工业场地、成品砖堆放场、料堆、表土存放场、办公生活区</w:t>
      </w:r>
      <w:r>
        <w:rPr>
          <w:rFonts w:hint="eastAsia" w:cs="Times New Roman"/>
          <w:color w:val="000000" w:themeColor="text1"/>
          <w:sz w:val="28"/>
          <w:szCs w:val="28"/>
          <w:highlight w:val="none"/>
          <w:lang w:val="en-US" w:eastAsia="zh-CN"/>
          <w14:textFill>
            <w14:solidFill>
              <w14:schemeClr w14:val="tx1"/>
            </w14:solidFill>
          </w14:textFill>
        </w:rPr>
        <w:t>及</w:t>
      </w:r>
      <w:r>
        <w:rPr>
          <w:rFonts w:hint="default" w:ascii="Times New Roman" w:hAnsi="Times New Roman" w:cs="Times New Roman"/>
          <w:color w:val="000000" w:themeColor="text1"/>
          <w:sz w:val="28"/>
          <w:szCs w:val="28"/>
          <w14:textFill>
            <w14:solidFill>
              <w14:schemeClr w14:val="tx1"/>
            </w14:solidFill>
          </w14:textFill>
        </w:rPr>
        <w:t>矿区道路</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植被损毁程度均为中度受损</w:t>
      </w:r>
      <w:r>
        <w:rPr>
          <w:rFonts w:hint="eastAsia" w:cs="Times New Roman"/>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其他未破坏场地植被损毁程度为轻度受损。</w:t>
      </w:r>
    </w:p>
    <w:p w14:paraId="011FB3CA">
      <w:pPr>
        <w:widowControl/>
        <w:spacing w:line="360" w:lineRule="auto"/>
        <w:ind w:firstLine="560" w:firstLineChars="200"/>
        <w:outlineLvl w:val="3"/>
        <w:rPr>
          <w:rFonts w:hint="eastAsia" w:ascii="Times New Roman" w:hAnsi="Times New Roman" w:eastAsia="宋体"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宋体" w:cs="Times New Roman"/>
          <w:color w:val="000000" w:themeColor="text1"/>
          <w:kern w:val="0"/>
          <w:sz w:val="28"/>
          <w:szCs w:val="28"/>
          <w14:textFill>
            <w14:solidFill>
              <w14:schemeClr w14:val="tx1"/>
            </w14:solidFill>
          </w14:textFill>
        </w:rPr>
        <w:t>（2）生物多样性丧失</w:t>
      </w:r>
      <w:r>
        <w:rPr>
          <w:rFonts w:hint="eastAsia" w:ascii="Times New Roman" w:hAnsi="Times New Roman" w:eastAsia="宋体" w:cs="Times New Roman"/>
          <w:color w:val="000000" w:themeColor="text1"/>
          <w:kern w:val="0"/>
          <w:sz w:val="28"/>
          <w:szCs w:val="28"/>
          <w:lang w:val="en-US" w:eastAsia="zh-CN"/>
          <w14:textFill>
            <w14:solidFill>
              <w14:schemeClr w14:val="tx1"/>
            </w14:solidFill>
          </w14:textFill>
        </w:rPr>
        <w:t>预测</w:t>
      </w:r>
    </w:p>
    <w:p w14:paraId="2E4E877F">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1"/>
          <w:highlight w:val="none"/>
          <w:lang w:val="en-US" w:eastAsia="zh-CN"/>
          <w14:textFill>
            <w14:solidFill>
              <w14:schemeClr w14:val="tx1"/>
            </w14:solidFill>
          </w14:textFill>
        </w:rPr>
        <w:t>预测矿山未来工程活动造成的植被损毁面积共计10.7200hm</w:t>
      </w:r>
      <w:r>
        <w:rPr>
          <w:rFonts w:hint="eastAsia" w:ascii="Times New Roman" w:hAnsi="Times New Roman" w:eastAsia="宋体" w:cs="Times New Roman"/>
          <w:color w:val="000000" w:themeColor="text1"/>
          <w:sz w:val="28"/>
          <w:szCs w:val="21"/>
          <w:highlight w:val="none"/>
          <w:vertAlign w:val="superscript"/>
          <w:lang w:val="en-US" w:eastAsia="zh-CN"/>
          <w14:textFill>
            <w14:solidFill>
              <w14:schemeClr w14:val="tx1"/>
            </w14:solidFill>
          </w14:textFill>
        </w:rPr>
        <w:t>2</w:t>
      </w:r>
      <w:r>
        <w:rPr>
          <w:rFonts w:hint="eastAsia" w:ascii="Times New Roman" w:hAnsi="Times New Roman" w:eastAsia="宋体" w:cs="Times New Roman"/>
          <w:color w:val="000000" w:themeColor="text1"/>
          <w:sz w:val="28"/>
          <w:szCs w:val="21"/>
          <w:highlight w:val="none"/>
          <w:lang w:val="en-US" w:eastAsia="zh-CN"/>
          <w14:textFill>
            <w14:solidFill>
              <w14:schemeClr w14:val="tx1"/>
            </w14:solidFill>
          </w14:textFill>
        </w:rPr>
        <w:t>，损毁土地类型涵盖水浇地、乔木林地、采矿用地农村道路等，矿山未来开采对区域生物多样性局部产生影响。原生植被群落的破坏与生境碎片化，导致依赖林地生态系统的小型哺乳动物、鸟类及昆虫种群数量减少。但因影响范围有限，预测评估矿山后期生产建设使生物多样性的损毁程度为轻度受损。</w:t>
      </w:r>
    </w:p>
    <w:p w14:paraId="588101C4">
      <w:pPr>
        <w:widowControl/>
        <w:spacing w:line="360" w:lineRule="auto"/>
        <w:ind w:firstLine="560" w:firstLineChars="200"/>
        <w:outlineLvl w:val="3"/>
        <w:rPr>
          <w:rFonts w:hint="default" w:ascii="Times New Roman" w:hAnsi="Times New Roman" w:eastAsia="宋体" w:cs="Times New Roman"/>
          <w:color w:val="000000" w:themeColor="text1"/>
          <w:kern w:val="0"/>
          <w:sz w:val="28"/>
          <w:szCs w:val="28"/>
          <w:lang w:val="en-US" w:eastAsia="zh-CN"/>
          <w14:textFill>
            <w14:solidFill>
              <w14:schemeClr w14:val="tx1"/>
            </w14:solidFill>
          </w14:textFill>
        </w:rPr>
      </w:pPr>
      <w:r>
        <w:rPr>
          <w:rFonts w:hint="eastAsia" w:ascii="Times New Roman" w:hAnsi="Times New Roman" w:eastAsia="宋体" w:cs="Times New Roman"/>
          <w:color w:val="000000" w:themeColor="text1"/>
          <w:kern w:val="0"/>
          <w:sz w:val="28"/>
          <w:szCs w:val="28"/>
          <w:lang w:val="en-US" w:eastAsia="zh-CN"/>
          <w14:textFill>
            <w14:solidFill>
              <w14:schemeClr w14:val="tx1"/>
            </w14:solidFill>
          </w14:textFill>
        </w:rPr>
        <w:t>（3）水土流失预测</w:t>
      </w:r>
    </w:p>
    <w:p w14:paraId="5E5642E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8"/>
          <w:szCs w:val="21"/>
          <w:highlight w:val="none"/>
          <w:lang w:val="en-US" w:eastAsia="zh-CN"/>
          <w14:textFill>
            <w14:solidFill>
              <w14:schemeClr w14:val="tx1"/>
            </w14:solidFill>
          </w14:textFill>
        </w:rPr>
        <w:t>随着未来矿山的不断开采，</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受植被损毁、裸露地表增加及土壤理化性质恶化等问题叠加影响，矿区水土流失问题较为突出，以水力侵蚀和风力侵蚀为主。</w:t>
      </w:r>
      <w:r>
        <w:rPr>
          <w:rFonts w:hint="eastAsia" w:ascii="Times New Roman" w:hAnsi="Times New Roman" w:eastAsia="宋体" w:cs="Times New Roman"/>
          <w:color w:val="000000" w:themeColor="text1"/>
          <w:sz w:val="28"/>
          <w:szCs w:val="21"/>
          <w:highlight w:val="none"/>
          <w:lang w:val="en-US" w:eastAsia="zh-CN"/>
          <w14:textFill>
            <w14:solidFill>
              <w14:schemeClr w14:val="tx1"/>
            </w14:solidFill>
          </w14:textFill>
        </w:rPr>
        <w:t>预测矿区</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水土流失以水力侵蚀为主，兼有风力侵蚀。裸露地表及未防护的</w:t>
      </w:r>
      <w:r>
        <w:rPr>
          <w:rFonts w:hint="eastAsia" w:cs="Times New Roman"/>
          <w:color w:val="000000" w:themeColor="text1"/>
          <w:sz w:val="28"/>
          <w:szCs w:val="21"/>
          <w:highlight w:val="none"/>
          <w:lang w:val="en-US" w:eastAsia="zh-CN"/>
          <w14:textFill>
            <w14:solidFill>
              <w14:schemeClr w14:val="tx1"/>
            </w14:solidFill>
          </w14:textFill>
        </w:rPr>
        <w:t>料堆</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w:t>
      </w:r>
      <w:r>
        <w:rPr>
          <w:rFonts w:hint="eastAsia" w:cs="Times New Roman"/>
          <w:color w:val="000000" w:themeColor="text1"/>
          <w:sz w:val="28"/>
          <w:szCs w:val="21"/>
          <w:highlight w:val="none"/>
          <w:lang w:val="en-US" w:eastAsia="zh-CN"/>
          <w14:textFill>
            <w14:solidFill>
              <w14:schemeClr w14:val="tx1"/>
            </w14:solidFill>
          </w14:textFill>
        </w:rPr>
        <w:t>表土场等；</w:t>
      </w:r>
      <w:r>
        <w:rPr>
          <w:rFonts w:hint="eastAsia" w:ascii="Times New Roman" w:hAnsi="Times New Roman" w:eastAsia="宋体" w:cs="Times New Roman"/>
          <w:color w:val="000000" w:themeColor="text1"/>
          <w:sz w:val="28"/>
          <w:szCs w:val="21"/>
          <w:highlight w:val="none"/>
          <w:lang w:val="en-US" w:eastAsia="zh-CN"/>
          <w14:textFill>
            <w14:solidFill>
              <w14:schemeClr w14:val="tx1"/>
            </w14:solidFill>
          </w14:textFill>
        </w:rPr>
        <w:t>场地建设</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边坡等区域为水土流失重点区域。其中，雨季时坡面径流冲刷裸露地表及</w:t>
      </w:r>
      <w:r>
        <w:rPr>
          <w:rFonts w:hint="eastAsia" w:ascii="Times New Roman" w:hAnsi="Times New Roman" w:eastAsia="宋体" w:cs="Times New Roman"/>
          <w:color w:val="000000" w:themeColor="text1"/>
          <w:sz w:val="28"/>
          <w:szCs w:val="21"/>
          <w:highlight w:val="none"/>
          <w:lang w:val="en-US" w:eastAsia="zh-CN"/>
          <w14:textFill>
            <w14:solidFill>
              <w14:schemeClr w14:val="tx1"/>
            </w14:solidFill>
          </w14:textFill>
        </w:rPr>
        <w:t>废渣</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坡，局部已形成浅冲沟，泥沙流失量较大；旱季时，裸露表土及松散弃渣易被大风扬起，形成扬尘，不仅加剧土地沙化风险，还对周边植被生长产生覆盖性干扰。随着矿区开发进程推进，地表扰动范围将进一步扩大，植被覆盖度难以快速恢复，土壤抗侵蚀能力持续弱化，水力侵蚀与风力侵蚀的强度将逐步提升，水土流失范围将向周边区域蔓延</w:t>
      </w:r>
      <w:r>
        <w:rPr>
          <w:rFonts w:hint="eastAsia" w:cs="Times New Roman"/>
          <w:color w:val="000000" w:themeColor="text1"/>
          <w:sz w:val="28"/>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预测</w:t>
      </w:r>
      <w:r>
        <w:rPr>
          <w:rFonts w:hint="eastAsia" w:ascii="Times New Roman" w:cs="Times New Roman"/>
          <w:color w:val="000000" w:themeColor="text1"/>
          <w:sz w:val="28"/>
          <w:szCs w:val="28"/>
          <w:lang w:val="en-US" w:eastAsia="zh-CN"/>
          <w14:textFill>
            <w14:solidFill>
              <w14:schemeClr w14:val="tx1"/>
            </w14:solidFill>
          </w14:textFill>
        </w:rPr>
        <w:t>拟建露天采场1</w:t>
      </w:r>
      <w:r>
        <w:rPr>
          <w:rFonts w:hint="eastAsia" w:cs="Times New Roman"/>
          <w:color w:val="000000" w:themeColor="text1"/>
          <w:sz w:val="28"/>
          <w:szCs w:val="28"/>
          <w:lang w:val="en-US" w:eastAsia="zh-CN"/>
          <w14:textFill>
            <w14:solidFill>
              <w14:schemeClr w14:val="tx1"/>
            </w14:solidFill>
          </w14:textFill>
        </w:rPr>
        <w:t>、</w:t>
      </w:r>
      <w:r>
        <w:rPr>
          <w:rFonts w:hint="eastAsia" w:ascii="Times New Roman" w:cs="Times New Roman"/>
          <w:color w:val="000000" w:themeColor="text1"/>
          <w:sz w:val="28"/>
          <w:szCs w:val="28"/>
          <w:lang w:val="en-US" w:eastAsia="zh-CN"/>
          <w14:textFill>
            <w14:solidFill>
              <w14:schemeClr w14:val="tx1"/>
            </w14:solidFill>
          </w14:textFill>
        </w:rPr>
        <w:t>拟建露天采场2、</w:t>
      </w:r>
      <w:r>
        <w:rPr>
          <w:rFonts w:hint="default" w:ascii="Times New Roman" w:hAnsi="Times New Roman" w:cs="Times New Roman"/>
          <w:color w:val="000000" w:themeColor="text1"/>
          <w:sz w:val="28"/>
          <w:szCs w:val="28"/>
          <w:lang w:val="en-US" w:eastAsia="zh-CN"/>
          <w14:textFill>
            <w14:solidFill>
              <w14:schemeClr w14:val="tx1"/>
            </w14:solidFill>
          </w14:textFill>
        </w:rPr>
        <w:t>露天采场</w:t>
      </w:r>
      <w:r>
        <w:rPr>
          <w:rFonts w:hint="eastAsia" w:cs="Times New Roman"/>
          <w:color w:val="000000" w:themeColor="text1"/>
          <w:sz w:val="28"/>
          <w:szCs w:val="28"/>
          <w:lang w:val="en-US" w:eastAsia="zh-CN"/>
          <w14:textFill>
            <w14:solidFill>
              <w14:schemeClr w14:val="tx1"/>
            </w14:solidFill>
          </w14:textFill>
        </w:rPr>
        <w:t>2</w:t>
      </w:r>
      <w:r>
        <w:rPr>
          <w:rFonts w:hint="eastAsia" w:ascii="Times New Roman" w:cs="Times New Roman"/>
          <w:color w:val="000000" w:themeColor="text1"/>
          <w:sz w:val="28"/>
          <w:szCs w:val="28"/>
          <w:lang w:val="en-US" w:eastAsia="zh-CN"/>
          <w14:textFill>
            <w14:solidFill>
              <w14:schemeClr w14:val="tx1"/>
            </w14:solidFill>
          </w14:textFill>
        </w:rPr>
        <w:t>影响严重：</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拟建储水池</w:t>
      </w:r>
      <w:r>
        <w:rPr>
          <w:rFonts w:hint="default" w:ascii="Times New Roman" w:hAnsi="Times New Roman" w:cs="Times New Roman"/>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工业场地、成品砖堆放场、料堆、表土存放场、办公生活区</w:t>
      </w:r>
      <w:r>
        <w:rPr>
          <w:rFonts w:hint="eastAsia" w:cs="Times New Roman"/>
          <w:color w:val="000000" w:themeColor="text1"/>
          <w:sz w:val="28"/>
          <w:szCs w:val="28"/>
          <w:highlight w:val="none"/>
          <w:lang w:val="en-US" w:eastAsia="zh-CN"/>
          <w14:textFill>
            <w14:solidFill>
              <w14:schemeClr w14:val="tx1"/>
            </w14:solidFill>
          </w14:textFill>
        </w:rPr>
        <w:t>及</w:t>
      </w:r>
      <w:r>
        <w:rPr>
          <w:rFonts w:hint="default" w:ascii="Times New Roman" w:hAnsi="Times New Roman" w:cs="Times New Roman"/>
          <w:color w:val="000000" w:themeColor="text1"/>
          <w:sz w:val="28"/>
          <w:szCs w:val="28"/>
          <w14:textFill>
            <w14:solidFill>
              <w14:schemeClr w14:val="tx1"/>
            </w14:solidFill>
          </w14:textFill>
        </w:rPr>
        <w:t>矿区道路</w:t>
      </w:r>
      <w:r>
        <w:rPr>
          <w:rFonts w:hint="eastAsia" w:ascii="Times New Roman" w:cs="Times New Roman"/>
          <w:color w:val="000000" w:themeColor="text1"/>
          <w:sz w:val="28"/>
          <w:szCs w:val="28"/>
          <w:highlight w:val="none"/>
          <w:lang w:val="en-US" w:eastAsia="zh-CN"/>
          <w14:textFill>
            <w14:solidFill>
              <w14:schemeClr w14:val="tx1"/>
            </w14:solidFill>
          </w14:textFill>
        </w:rPr>
        <w:t>影响较严重</w:t>
      </w:r>
      <w:r>
        <w:rPr>
          <w:rFonts w:hint="eastAsia" w:cs="Times New Roman"/>
          <w:color w:val="000000" w:themeColor="text1"/>
          <w:sz w:val="28"/>
          <w:szCs w:val="28"/>
          <w:highlight w:val="none"/>
          <w:lang w:val="en-US"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其他场地对水土流失影响较轻。</w:t>
      </w:r>
    </w:p>
    <w:p w14:paraId="33D1CE2D">
      <w:pPr>
        <w:widowControl/>
        <w:spacing w:line="360" w:lineRule="auto"/>
        <w:ind w:firstLine="560" w:firstLineChars="200"/>
        <w:outlineLvl w:val="3"/>
        <w:rPr>
          <w:rFonts w:hint="default" w:ascii="Times New Roman" w:hAnsi="Times New Roman" w:eastAsia="宋体" w:cs="Times New Roman"/>
          <w:color w:val="000000" w:themeColor="text1"/>
          <w:kern w:val="0"/>
          <w:sz w:val="28"/>
          <w:szCs w:val="28"/>
          <w:lang w:val="en-US" w:eastAsia="zh-CN"/>
          <w14:textFill>
            <w14:solidFill>
              <w14:schemeClr w14:val="tx1"/>
            </w14:solidFill>
          </w14:textFill>
        </w:rPr>
      </w:pPr>
      <w:r>
        <w:rPr>
          <w:rFonts w:hint="eastAsia" w:ascii="Times New Roman" w:hAnsi="Times New Roman" w:eastAsia="宋体" w:cs="Times New Roman"/>
          <w:color w:val="000000" w:themeColor="text1"/>
          <w:kern w:val="0"/>
          <w:sz w:val="28"/>
          <w:szCs w:val="28"/>
          <w:lang w:val="en-US" w:eastAsia="zh-CN"/>
          <w14:textFill>
            <w14:solidFill>
              <w14:schemeClr w14:val="tx1"/>
            </w14:solidFill>
          </w14:textFill>
        </w:rPr>
        <w:t>（4）水土环境</w:t>
      </w:r>
      <w:r>
        <w:rPr>
          <w:rFonts w:hint="default" w:ascii="Times New Roman" w:hAnsi="Times New Roman" w:eastAsia="宋体" w:cs="Times New Roman"/>
          <w:color w:val="000000" w:themeColor="text1"/>
          <w:kern w:val="0"/>
          <w:sz w:val="28"/>
          <w:szCs w:val="28"/>
          <w:lang w:val="en-US" w:eastAsia="zh-CN"/>
          <w14:textFill>
            <w14:solidFill>
              <w14:schemeClr w14:val="tx1"/>
            </w14:solidFill>
          </w14:textFill>
        </w:rPr>
        <w:t>污染</w:t>
      </w:r>
      <w:r>
        <w:rPr>
          <w:rFonts w:hint="eastAsia" w:ascii="Times New Roman" w:hAnsi="Times New Roman" w:eastAsia="宋体" w:cs="Times New Roman"/>
          <w:color w:val="000000" w:themeColor="text1"/>
          <w:kern w:val="0"/>
          <w:sz w:val="28"/>
          <w:szCs w:val="28"/>
          <w:lang w:val="en-US" w:eastAsia="zh-CN"/>
          <w14:textFill>
            <w14:solidFill>
              <w14:schemeClr w14:val="tx1"/>
            </w14:solidFill>
          </w14:textFill>
        </w:rPr>
        <w:t>预测</w:t>
      </w:r>
    </w:p>
    <w:p w14:paraId="3C68866E">
      <w:pPr>
        <w:keepNext w:val="0"/>
        <w:keepLines w:val="0"/>
        <w:pageBreakBefore w:val="0"/>
        <w:widowControl/>
        <w:kinsoku/>
        <w:wordWrap/>
        <w:overflowPunct/>
        <w:topLinePunct w:val="0"/>
        <w:autoSpaceDE/>
        <w:autoSpaceDN/>
        <w:bidi w:val="0"/>
        <w:adjustRightInd/>
        <w:snapToGrid/>
        <w:spacing w:after="0" w:line="360" w:lineRule="auto"/>
        <w:ind w:left="0" w:firstLine="560" w:firstLineChars="200"/>
        <w:jc w:val="left"/>
        <w:textAlignment w:val="auto"/>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t>根据《开发与治理综合方案》开发篇，矿山未来生产废水主要为生产及生活废水。生产废水通过沉降作用除去淤泥和悬浮物，清水可返回工业场地进行采掘、除尘作业，部分污水经处理达标后用于厂区绿化等，对环境基本无影响。</w:t>
      </w:r>
    </w:p>
    <w:p w14:paraId="5F0E788A">
      <w:pPr>
        <w:keepNext w:val="0"/>
        <w:keepLines w:val="0"/>
        <w:pageBreakBefore w:val="0"/>
        <w:widowControl/>
        <w:kinsoku/>
        <w:wordWrap/>
        <w:overflowPunct/>
        <w:topLinePunct w:val="0"/>
        <w:autoSpaceDE/>
        <w:autoSpaceDN/>
        <w:bidi w:val="0"/>
        <w:adjustRightInd/>
        <w:snapToGrid/>
        <w:spacing w:after="0" w:line="360" w:lineRule="auto"/>
        <w:ind w:left="0" w:firstLine="560" w:firstLineChars="200"/>
        <w:jc w:val="left"/>
        <w:textAlignment w:val="auto"/>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t>矿山主要生活污水为洗漱废水及排泄物所组成。企业将建设防渗化粪池，生活污水经防渗化粪池处理后企业委托环卫部门定期清掏，不外排。预测矿山后期开采对矿区及周边地表水造成影响程度较轻。</w:t>
      </w:r>
    </w:p>
    <w:p w14:paraId="48004CE5">
      <w:pPr>
        <w:keepNext w:val="0"/>
        <w:keepLines w:val="0"/>
        <w:pageBreakBefore w:val="0"/>
        <w:widowControl/>
        <w:kinsoku/>
        <w:wordWrap/>
        <w:overflowPunct/>
        <w:topLinePunct w:val="0"/>
        <w:autoSpaceDE/>
        <w:autoSpaceDN/>
        <w:bidi w:val="0"/>
        <w:adjustRightInd/>
        <w:snapToGrid/>
        <w:spacing w:after="0" w:line="360" w:lineRule="auto"/>
        <w:ind w:left="0" w:firstLine="560" w:firstLineChars="200"/>
        <w:jc w:val="left"/>
        <w:textAlignment w:val="auto"/>
        <w:rPr>
          <w:rFonts w:hint="default" w:ascii="Times New Roman" w:hAnsi="Times New Roman" w:eastAsia="宋体" w:cs="Times New Roman"/>
          <w:color w:val="000000" w:themeColor="text1"/>
          <w:spacing w:val="-3"/>
          <w:kern w:val="0"/>
          <w:sz w:val="28"/>
          <w:szCs w:val="28"/>
          <w:highlight w:val="none"/>
          <w14:textFill>
            <w14:solidFill>
              <w14:schemeClr w14:val="tx1"/>
            </w14:solidFill>
          </w14:textFill>
        </w:rPr>
      </w:pPr>
      <w:r>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t>综上所述，预测矿山正常开采活动对水环境污染为轻度损毁。</w:t>
      </w:r>
    </w:p>
    <w:p w14:paraId="16E9B586">
      <w:pPr>
        <w:widowControl/>
        <w:spacing w:line="360" w:lineRule="auto"/>
        <w:ind w:firstLine="560" w:firstLineChars="200"/>
        <w:outlineLvl w:val="3"/>
        <w:rPr>
          <w:rFonts w:hint="default" w:ascii="Times New Roman" w:hAnsi="Times New Roman" w:eastAsia="宋体" w:cs="Times New Roman"/>
          <w:color w:val="000000" w:themeColor="text1"/>
          <w:kern w:val="0"/>
          <w:sz w:val="28"/>
          <w:szCs w:val="28"/>
          <w:lang w:val="en-US" w:eastAsia="zh-CN"/>
          <w14:textFill>
            <w14:solidFill>
              <w14:schemeClr w14:val="tx1"/>
            </w14:solidFill>
          </w14:textFill>
        </w:rPr>
      </w:pPr>
      <w:r>
        <w:rPr>
          <w:rFonts w:hint="eastAsia" w:ascii="Times New Roman" w:hAnsi="Times New Roman" w:eastAsia="宋体" w:cs="Times New Roman"/>
          <w:color w:val="000000" w:themeColor="text1"/>
          <w:kern w:val="0"/>
          <w:sz w:val="28"/>
          <w:szCs w:val="28"/>
          <w:lang w:val="en-US" w:eastAsia="zh-CN"/>
          <w14:textFill>
            <w14:solidFill>
              <w14:schemeClr w14:val="tx1"/>
            </w14:solidFill>
          </w14:textFill>
        </w:rPr>
        <w:t>2</w:t>
      </w:r>
      <w:r>
        <w:rPr>
          <w:rFonts w:hint="default" w:ascii="Times New Roman" w:hAnsi="Times New Roman" w:eastAsia="宋体" w:cs="Times New Roman"/>
          <w:color w:val="000000" w:themeColor="text1"/>
          <w:kern w:val="0"/>
          <w:sz w:val="28"/>
          <w:szCs w:val="28"/>
          <w:lang w:val="en-US" w:eastAsia="zh-CN"/>
          <w14:textFill>
            <w14:solidFill>
              <w14:schemeClr w14:val="tx1"/>
            </w14:solidFill>
          </w14:textFill>
        </w:rPr>
        <w:t>、生态系统受损</w:t>
      </w:r>
      <w:r>
        <w:rPr>
          <w:rFonts w:hint="eastAsia" w:ascii="Times New Roman" w:hAnsi="Times New Roman" w:eastAsia="宋体" w:cs="Times New Roman"/>
          <w:color w:val="000000" w:themeColor="text1"/>
          <w:kern w:val="0"/>
          <w:sz w:val="28"/>
          <w:szCs w:val="28"/>
          <w:lang w:val="en-US" w:eastAsia="zh-CN"/>
          <w14:textFill>
            <w14:solidFill>
              <w14:schemeClr w14:val="tx1"/>
            </w14:solidFill>
          </w14:textFill>
        </w:rPr>
        <w:t>预测</w:t>
      </w:r>
      <w:r>
        <w:rPr>
          <w:rFonts w:hint="default" w:ascii="Times New Roman" w:hAnsi="Times New Roman" w:eastAsia="宋体" w:cs="Times New Roman"/>
          <w:color w:val="000000" w:themeColor="text1"/>
          <w:kern w:val="0"/>
          <w:sz w:val="28"/>
          <w:szCs w:val="28"/>
          <w:lang w:val="en-US" w:eastAsia="zh-CN"/>
          <w14:textFill>
            <w14:solidFill>
              <w14:schemeClr w14:val="tx1"/>
            </w14:solidFill>
          </w14:textFill>
        </w:rPr>
        <w:t>综合评价</w:t>
      </w:r>
    </w:p>
    <w:p w14:paraId="53BAF71D">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t>参照</w:t>
      </w:r>
      <w:r>
        <w:rPr>
          <w:rFonts w:hint="eastAsia" w:cs="Times New Roman"/>
          <w:b w:val="0"/>
          <w:bCs w:val="0"/>
          <w:color w:val="000000" w:themeColor="text1"/>
          <w:kern w:val="0"/>
          <w:sz w:val="28"/>
          <w:szCs w:val="28"/>
          <w:highlight w:val="none"/>
          <w:lang w:val="en-US" w:eastAsia="zh-CN" w:bidi="ar-SA"/>
          <w14:textFill>
            <w14:solidFill>
              <w14:schemeClr w14:val="tx1"/>
            </w14:solidFill>
          </w14:textFill>
        </w:rPr>
        <w:t>《生态环境状况评价技术规范》（HJ 192-2015）</w:t>
      </w:r>
      <w:r>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t>相关规范，</w:t>
      </w:r>
      <w:r>
        <w:rPr>
          <w:rFonts w:hint="eastAsia" w:cs="Times New Roman"/>
          <w:b w:val="0"/>
          <w:bCs w:val="0"/>
          <w:color w:val="000000" w:themeColor="text1"/>
          <w:kern w:val="0"/>
          <w:sz w:val="28"/>
          <w:szCs w:val="28"/>
          <w:highlight w:val="none"/>
          <w:lang w:val="en-US" w:eastAsia="zh-CN" w:bidi="ar-SA"/>
          <w14:textFill>
            <w14:solidFill>
              <w14:schemeClr w14:val="tx1"/>
            </w14:solidFill>
          </w14:textFill>
        </w:rPr>
        <w:t>预测矿区</w:t>
      </w:r>
      <w:r>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t>生态受损与退化问题评价见表3</w:t>
      </w:r>
      <w:r>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noBreakHyphen/>
      </w:r>
      <w:r>
        <w:rPr>
          <w:rFonts w:hint="eastAsia" w:cs="Times New Roman"/>
          <w:b w:val="0"/>
          <w:bCs w:val="0"/>
          <w:color w:val="000000" w:themeColor="text1"/>
          <w:kern w:val="0"/>
          <w:sz w:val="28"/>
          <w:szCs w:val="28"/>
          <w:highlight w:val="none"/>
          <w:lang w:val="en-US" w:eastAsia="zh-CN" w:bidi="ar-SA"/>
          <w14:textFill>
            <w14:solidFill>
              <w14:schemeClr w14:val="tx1"/>
            </w14:solidFill>
          </w14:textFill>
        </w:rPr>
        <w:t>41</w:t>
      </w:r>
      <w:r>
        <w:rPr>
          <w:rFonts w:hint="default" w:ascii="Times New Roman" w:hAnsi="Times New Roman" w:eastAsia="宋体" w:cs="Times New Roman"/>
          <w:b w:val="0"/>
          <w:bCs w:val="0"/>
          <w:color w:val="000000" w:themeColor="text1"/>
          <w:kern w:val="0"/>
          <w:sz w:val="28"/>
          <w:szCs w:val="28"/>
          <w:highlight w:val="none"/>
          <w:lang w:val="en-US" w:eastAsia="zh-CN" w:bidi="ar-SA"/>
          <w14:textFill>
            <w14:solidFill>
              <w14:schemeClr w14:val="tx1"/>
            </w14:solidFill>
          </w14:textFill>
        </w:rPr>
        <w:t>。</w:t>
      </w:r>
    </w:p>
    <w:p w14:paraId="1654AF2E">
      <w:pPr>
        <w:pStyle w:val="5"/>
        <w:bidi w:val="0"/>
        <w:spacing w:line="360" w:lineRule="auto"/>
        <w:ind w:firstLine="562" w:firstLineChars="200"/>
        <w:rPr>
          <w:rFonts w:hint="default"/>
          <w:b/>
          <w:bCs/>
          <w:color w:val="000000" w:themeColor="text1"/>
          <w:sz w:val="28"/>
          <w:szCs w:val="24"/>
          <w14:textFill>
            <w14:solidFill>
              <w14:schemeClr w14:val="tx1"/>
            </w14:solidFill>
          </w14:textFill>
        </w:rPr>
      </w:pPr>
      <w:r>
        <w:rPr>
          <w:rFonts w:hint="eastAsia"/>
          <w:b/>
          <w:bCs/>
          <w:color w:val="000000" w:themeColor="text1"/>
          <w:sz w:val="28"/>
          <w:szCs w:val="24"/>
          <w:lang w:val="en-US" w:eastAsia="zh-CN"/>
          <w14:textFill>
            <w14:solidFill>
              <w14:schemeClr w14:val="tx1"/>
            </w14:solidFill>
          </w14:textFill>
        </w:rPr>
        <w:t>四、</w:t>
      </w:r>
      <w:r>
        <w:rPr>
          <w:rFonts w:hint="default"/>
          <w:b/>
          <w:bCs/>
          <w:color w:val="000000" w:themeColor="text1"/>
          <w:sz w:val="28"/>
          <w:szCs w:val="24"/>
          <w14:textFill>
            <w14:solidFill>
              <w14:schemeClr w14:val="tx1"/>
            </w14:solidFill>
          </w14:textFill>
        </w:rPr>
        <w:t>问题诊断评价结论</w:t>
      </w:r>
    </w:p>
    <w:p w14:paraId="381C62A9">
      <w:pPr>
        <w:pStyle w:val="38"/>
        <w:spacing w:line="360" w:lineRule="auto"/>
        <w:ind w:firstLine="560" w:firstLineChars="200"/>
        <w:jc w:val="both"/>
        <w:rPr>
          <w:rFonts w:hint="default" w:ascii="Times New Roman" w:hAnsi="Times New Roman" w:cs="Times New Roman"/>
          <w:color w:val="000000" w:themeColor="text1"/>
          <w:sz w:val="28"/>
          <w:szCs w:val="28"/>
          <w:shd w:val="clear" w:color="auto" w:fill="FFFFFF"/>
          <w14:textFill>
            <w14:solidFill>
              <w14:schemeClr w14:val="tx1"/>
            </w14:solidFill>
          </w14:textFill>
        </w:rPr>
      </w:pPr>
      <w:r>
        <w:rPr>
          <w:rFonts w:hint="default" w:ascii="Times New Roman" w:hAnsi="Times New Roman" w:cs="Times New Roman"/>
          <w:color w:val="000000" w:themeColor="text1"/>
          <w:sz w:val="28"/>
          <w:szCs w:val="28"/>
          <w:shd w:val="clear" w:color="auto" w:fill="FFFFFF"/>
          <w14:textFill>
            <w14:solidFill>
              <w14:schemeClr w14:val="tx1"/>
            </w14:solidFill>
          </w14:textFill>
        </w:rPr>
        <w:t>（一）矿区生态破坏程度评价原则</w:t>
      </w:r>
    </w:p>
    <w:p w14:paraId="7EDB6172">
      <w:pPr>
        <w:pStyle w:val="38"/>
        <w:spacing w:line="360" w:lineRule="auto"/>
        <w:ind w:firstLine="560" w:firstLineChars="200"/>
        <w:jc w:val="both"/>
        <w:rPr>
          <w:rFonts w:hint="default" w:ascii="Times New Roman" w:hAnsi="Times New Roman" w:cs="Times New Roman"/>
          <w:color w:val="000000" w:themeColor="text1"/>
          <w:sz w:val="28"/>
          <w:szCs w:val="28"/>
          <w:shd w:val="clear" w:color="auto" w:fill="FFFFFF"/>
          <w14:textFill>
            <w14:solidFill>
              <w14:schemeClr w14:val="tx1"/>
            </w14:solidFill>
          </w14:textFill>
        </w:rPr>
      </w:pPr>
      <w:r>
        <w:rPr>
          <w:rFonts w:hint="default" w:ascii="Times New Roman" w:hAnsi="Times New Roman" w:cs="Times New Roman"/>
          <w:color w:val="000000" w:themeColor="text1"/>
          <w:sz w:val="28"/>
          <w:szCs w:val="28"/>
          <w:shd w:val="clear" w:color="auto" w:fill="FFFFFF"/>
          <w14:textFill>
            <w14:solidFill>
              <w14:schemeClr w14:val="tx1"/>
            </w14:solidFill>
          </w14:textFill>
        </w:rPr>
        <w:t>本次矿区生态修复主要侧重于矿山开采后对矿区地质环境、生态环境有影响的场地等重点部位进行恢复治理或保护，根据矿山开采设计、规划、矿区地质环境及生态环境问题的类型、规模和危害程度，矿区生态修复受损程度评价遵循以下原则：</w:t>
      </w:r>
    </w:p>
    <w:p w14:paraId="00E3B6E0">
      <w:pPr>
        <w:pStyle w:val="38"/>
        <w:spacing w:line="360" w:lineRule="auto"/>
        <w:ind w:firstLine="560" w:firstLineChars="200"/>
        <w:jc w:val="both"/>
        <w:rPr>
          <w:rFonts w:hint="default" w:ascii="Times New Roman" w:hAnsi="Times New Roman" w:cs="Times New Roman"/>
          <w:color w:val="000000" w:themeColor="text1"/>
          <w:sz w:val="28"/>
          <w:szCs w:val="28"/>
          <w:shd w:val="clear" w:color="auto" w:fill="FFFFFF"/>
          <w14:textFill>
            <w14:solidFill>
              <w14:schemeClr w14:val="tx1"/>
            </w14:solidFill>
          </w14:textFill>
        </w:rPr>
      </w:pPr>
      <w:r>
        <w:rPr>
          <w:rFonts w:hint="eastAsia" w:ascii="Times New Roman" w:cs="Times New Roman"/>
          <w:color w:val="000000" w:themeColor="text1"/>
          <w:sz w:val="28"/>
          <w:szCs w:val="28"/>
          <w:shd w:val="clear" w:color="auto" w:fill="FFFFFF"/>
          <w:lang w:val="en-US" w:eastAsia="zh-CN"/>
          <w14:textFill>
            <w14:solidFill>
              <w14:schemeClr w14:val="tx1"/>
            </w14:solidFill>
          </w14:textFill>
        </w:rPr>
        <w:t>1、</w:t>
      </w:r>
      <w:r>
        <w:rPr>
          <w:rFonts w:hint="default" w:ascii="Times New Roman" w:hAnsi="Times New Roman" w:cs="Times New Roman"/>
          <w:color w:val="000000" w:themeColor="text1"/>
          <w:sz w:val="28"/>
          <w:szCs w:val="28"/>
          <w:shd w:val="clear" w:color="auto" w:fill="FFFFFF"/>
          <w14:textFill>
            <w14:solidFill>
              <w14:schemeClr w14:val="tx1"/>
            </w14:solidFill>
          </w14:textFill>
        </w:rPr>
        <w:t>矿区生态修复受损程度评价包括整个矿区地质环境、土地资源问题、生态环境影响的评价范围；</w:t>
      </w:r>
    </w:p>
    <w:p w14:paraId="66B7E241">
      <w:pPr>
        <w:pStyle w:val="38"/>
        <w:spacing w:line="360" w:lineRule="auto"/>
        <w:ind w:firstLine="560" w:firstLineChars="200"/>
        <w:jc w:val="both"/>
        <w:rPr>
          <w:rFonts w:hint="default" w:ascii="Times New Roman" w:hAnsi="Times New Roman" w:cs="Times New Roman"/>
          <w:color w:val="000000" w:themeColor="text1"/>
          <w:sz w:val="28"/>
          <w:szCs w:val="28"/>
          <w:shd w:val="clear" w:color="auto" w:fill="FFFFFF"/>
          <w14:textFill>
            <w14:solidFill>
              <w14:schemeClr w14:val="tx1"/>
            </w14:solidFill>
          </w14:textFill>
        </w:rPr>
      </w:pPr>
      <w:r>
        <w:rPr>
          <w:rFonts w:hint="eastAsia" w:ascii="Times New Roman" w:cs="Times New Roman"/>
          <w:color w:val="000000" w:themeColor="text1"/>
          <w:sz w:val="28"/>
          <w:szCs w:val="28"/>
          <w:shd w:val="clear" w:color="auto" w:fill="FFFFFF"/>
          <w:lang w:val="en-US" w:eastAsia="zh-CN"/>
          <w14:textFill>
            <w14:solidFill>
              <w14:schemeClr w14:val="tx1"/>
            </w14:solidFill>
          </w14:textFill>
        </w:rPr>
        <w:t>2、</w:t>
      </w:r>
      <w:r>
        <w:rPr>
          <w:rFonts w:hint="default" w:ascii="Times New Roman" w:hAnsi="Times New Roman" w:cs="Times New Roman"/>
          <w:color w:val="000000" w:themeColor="text1"/>
          <w:sz w:val="28"/>
          <w:szCs w:val="28"/>
          <w:shd w:val="clear" w:color="auto" w:fill="FFFFFF"/>
          <w14:textFill>
            <w14:solidFill>
              <w14:schemeClr w14:val="tx1"/>
            </w14:solidFill>
          </w14:textFill>
        </w:rPr>
        <w:t>矿区生态修复因素包括矿山地质灾害、采矿活动对含水层的影响、采矿活动对地形地貌景观的破坏、土地损毁、采矿活动对水土环境污染的影响、采矿活动对生态破坏等，依据上述因素的危害或影响程度进行分区评价；</w:t>
      </w:r>
    </w:p>
    <w:p w14:paraId="02362702">
      <w:pPr>
        <w:pStyle w:val="38"/>
        <w:spacing w:line="360" w:lineRule="auto"/>
        <w:ind w:firstLine="560" w:firstLineChars="200"/>
        <w:jc w:val="both"/>
        <w:rPr>
          <w:rFonts w:hint="default" w:ascii="Times New Roman" w:hAnsi="Times New Roman" w:cs="Times New Roman"/>
          <w:color w:val="000000" w:themeColor="text1"/>
          <w:sz w:val="28"/>
          <w:szCs w:val="28"/>
          <w:shd w:val="clear" w:color="auto" w:fill="FFFFFF"/>
          <w14:textFill>
            <w14:solidFill>
              <w14:schemeClr w14:val="tx1"/>
            </w14:solidFill>
          </w14:textFill>
        </w:rPr>
      </w:pPr>
      <w:r>
        <w:rPr>
          <w:rFonts w:hint="eastAsia" w:ascii="Times New Roman" w:cs="Times New Roman"/>
          <w:color w:val="000000" w:themeColor="text1"/>
          <w:sz w:val="28"/>
          <w:szCs w:val="28"/>
          <w:shd w:val="clear" w:color="auto" w:fill="FFFFFF"/>
          <w:lang w:val="en-US" w:eastAsia="zh-CN"/>
          <w14:textFill>
            <w14:solidFill>
              <w14:schemeClr w14:val="tx1"/>
            </w14:solidFill>
          </w14:textFill>
        </w:rPr>
        <w:t>3、</w:t>
      </w:r>
      <w:r>
        <w:rPr>
          <w:rFonts w:hint="default" w:ascii="Times New Roman" w:hAnsi="Times New Roman" w:cs="Times New Roman"/>
          <w:color w:val="000000" w:themeColor="text1"/>
          <w:sz w:val="28"/>
          <w:szCs w:val="28"/>
          <w:shd w:val="clear" w:color="auto" w:fill="FFFFFF"/>
          <w14:textFill>
            <w14:solidFill>
              <w14:schemeClr w14:val="tx1"/>
            </w14:solidFill>
          </w14:textFill>
        </w:rPr>
        <w:t>坚持以矿区地质环境及矿区生态环境现状评估结果、预测评估结果作为分区主导因素的原则；</w:t>
      </w:r>
    </w:p>
    <w:p w14:paraId="73CE5D98">
      <w:pPr>
        <w:pStyle w:val="38"/>
        <w:spacing w:line="360" w:lineRule="auto"/>
        <w:ind w:firstLine="560" w:firstLineChars="200"/>
        <w:jc w:val="both"/>
        <w:rPr>
          <w:rFonts w:hint="default" w:ascii="Times New Roman" w:hAnsi="Times New Roman" w:cs="Times New Roman"/>
          <w:color w:val="000000" w:themeColor="text1"/>
          <w:sz w:val="28"/>
          <w:szCs w:val="28"/>
          <w:shd w:val="clear" w:color="auto" w:fill="FFFFFF"/>
          <w14:textFill>
            <w14:solidFill>
              <w14:schemeClr w14:val="tx1"/>
            </w14:solidFill>
          </w14:textFill>
        </w:rPr>
      </w:pPr>
      <w:r>
        <w:rPr>
          <w:rFonts w:hint="eastAsia" w:ascii="Times New Roman" w:cs="Times New Roman"/>
          <w:color w:val="000000" w:themeColor="text1"/>
          <w:sz w:val="28"/>
          <w:szCs w:val="28"/>
          <w:shd w:val="clear" w:color="auto" w:fill="FFFFFF"/>
          <w:lang w:val="en-US" w:eastAsia="zh-CN"/>
          <w14:textFill>
            <w14:solidFill>
              <w14:schemeClr w14:val="tx1"/>
            </w14:solidFill>
          </w14:textFill>
        </w:rPr>
        <w:t>4、</w:t>
      </w:r>
      <w:r>
        <w:rPr>
          <w:rFonts w:hint="default" w:ascii="Times New Roman" w:hAnsi="Times New Roman" w:cs="Times New Roman"/>
          <w:color w:val="000000" w:themeColor="text1"/>
          <w:sz w:val="28"/>
          <w:szCs w:val="28"/>
          <w:shd w:val="clear" w:color="auto" w:fill="FFFFFF"/>
          <w14:textFill>
            <w14:solidFill>
              <w14:schemeClr w14:val="tx1"/>
            </w14:solidFill>
          </w14:textFill>
        </w:rPr>
        <w:t>坚持</w:t>
      </w:r>
      <w:r>
        <w:rPr>
          <w:rFonts w:hint="eastAsia" w:ascii="Times New Roman" w:cs="Times New Roman"/>
          <w:color w:val="000000" w:themeColor="text1"/>
          <w:sz w:val="28"/>
          <w:szCs w:val="28"/>
          <w:shd w:val="clear" w:color="auto" w:fill="FFFFFF"/>
          <w:lang w:eastAsia="zh-CN"/>
          <w14:textFill>
            <w14:solidFill>
              <w14:schemeClr w14:val="tx1"/>
            </w14:solidFill>
          </w14:textFill>
        </w:rPr>
        <w:t>“</w:t>
      </w:r>
      <w:r>
        <w:rPr>
          <w:rFonts w:hint="default" w:ascii="Times New Roman" w:hAnsi="Times New Roman" w:cs="Times New Roman"/>
          <w:color w:val="000000" w:themeColor="text1"/>
          <w:sz w:val="28"/>
          <w:szCs w:val="28"/>
          <w:shd w:val="clear" w:color="auto" w:fill="FFFFFF"/>
          <w14:textFill>
            <w14:solidFill>
              <w14:schemeClr w14:val="tx1"/>
            </w14:solidFill>
          </w14:textFill>
        </w:rPr>
        <w:t>就大不就小、就高不就低、区内相似、区间相异</w:t>
      </w:r>
      <w:r>
        <w:rPr>
          <w:rFonts w:hint="eastAsia" w:ascii="Times New Roman" w:cs="Times New Roman"/>
          <w:color w:val="000000" w:themeColor="text1"/>
          <w:sz w:val="28"/>
          <w:szCs w:val="28"/>
          <w:shd w:val="clear" w:color="auto" w:fill="FFFFFF"/>
          <w:lang w:eastAsia="zh-CN"/>
          <w14:textFill>
            <w14:solidFill>
              <w14:schemeClr w14:val="tx1"/>
            </w14:solidFill>
          </w14:textFill>
        </w:rPr>
        <w:t>”</w:t>
      </w:r>
      <w:r>
        <w:rPr>
          <w:rFonts w:hint="default" w:ascii="Times New Roman" w:hAnsi="Times New Roman" w:cs="Times New Roman"/>
          <w:color w:val="000000" w:themeColor="text1"/>
          <w:sz w:val="28"/>
          <w:szCs w:val="28"/>
          <w:shd w:val="clear" w:color="auto" w:fill="FFFFFF"/>
          <w14:textFill>
            <w14:solidFill>
              <w14:schemeClr w14:val="tx1"/>
            </w14:solidFill>
          </w14:textFill>
        </w:rPr>
        <w:t>的原则；</w:t>
      </w:r>
    </w:p>
    <w:p w14:paraId="767159A8">
      <w:pPr>
        <w:pStyle w:val="38"/>
        <w:spacing w:line="360" w:lineRule="auto"/>
        <w:ind w:firstLine="560" w:firstLineChars="200"/>
        <w:jc w:val="both"/>
        <w:rPr>
          <w:rFonts w:hint="default" w:ascii="Times New Roman" w:hAnsi="Times New Roman" w:cs="Times New Roman"/>
          <w:color w:val="000000" w:themeColor="text1"/>
          <w:sz w:val="28"/>
          <w:szCs w:val="28"/>
          <w:shd w:val="clear" w:color="auto" w:fill="FFFFFF"/>
          <w14:textFill>
            <w14:solidFill>
              <w14:schemeClr w14:val="tx1"/>
            </w14:solidFill>
          </w14:textFill>
        </w:rPr>
      </w:pPr>
      <w:r>
        <w:rPr>
          <w:rFonts w:hint="eastAsia" w:ascii="Times New Roman" w:cs="Times New Roman"/>
          <w:color w:val="000000" w:themeColor="text1"/>
          <w:sz w:val="28"/>
          <w:szCs w:val="28"/>
          <w:shd w:val="clear" w:color="auto" w:fill="FFFFFF"/>
          <w:lang w:val="en-US" w:eastAsia="zh-CN"/>
          <w14:textFill>
            <w14:solidFill>
              <w14:schemeClr w14:val="tx1"/>
            </w14:solidFill>
          </w14:textFill>
        </w:rPr>
        <w:t>5、</w:t>
      </w:r>
      <w:r>
        <w:rPr>
          <w:rFonts w:hint="default" w:ascii="Times New Roman" w:hAnsi="Times New Roman" w:cs="Times New Roman"/>
          <w:color w:val="000000" w:themeColor="text1"/>
          <w:sz w:val="28"/>
          <w:szCs w:val="28"/>
          <w:shd w:val="clear" w:color="auto" w:fill="FFFFFF"/>
          <w14:textFill>
            <w14:solidFill>
              <w14:schemeClr w14:val="tx1"/>
            </w14:solidFill>
          </w14:textFill>
        </w:rPr>
        <w:t>坚持</w:t>
      </w:r>
      <w:r>
        <w:rPr>
          <w:rFonts w:hint="eastAsia" w:ascii="Times New Roman" w:cs="Times New Roman"/>
          <w:color w:val="000000" w:themeColor="text1"/>
          <w:sz w:val="28"/>
          <w:szCs w:val="28"/>
          <w:shd w:val="clear" w:color="auto" w:fill="FFFFFF"/>
          <w:lang w:eastAsia="zh-CN"/>
          <w14:textFill>
            <w14:solidFill>
              <w14:schemeClr w14:val="tx1"/>
            </w14:solidFill>
          </w14:textFill>
        </w:rPr>
        <w:t>“</w:t>
      </w:r>
      <w:r>
        <w:rPr>
          <w:rFonts w:hint="default" w:ascii="Times New Roman" w:hAnsi="Times New Roman" w:cs="Times New Roman"/>
          <w:color w:val="000000" w:themeColor="text1"/>
          <w:sz w:val="28"/>
          <w:szCs w:val="28"/>
          <w:shd w:val="clear" w:color="auto" w:fill="FFFFFF"/>
          <w14:textFill>
            <w14:solidFill>
              <w14:schemeClr w14:val="tx1"/>
            </w14:solidFill>
          </w14:textFill>
        </w:rPr>
        <w:t>以人为本</w:t>
      </w:r>
      <w:r>
        <w:rPr>
          <w:rFonts w:hint="eastAsia" w:ascii="Times New Roman" w:cs="Times New Roman"/>
          <w:color w:val="000000" w:themeColor="text1"/>
          <w:sz w:val="28"/>
          <w:szCs w:val="28"/>
          <w:shd w:val="clear" w:color="auto" w:fill="FFFFFF"/>
          <w:lang w:eastAsia="zh-CN"/>
          <w14:textFill>
            <w14:solidFill>
              <w14:schemeClr w14:val="tx1"/>
            </w14:solidFill>
          </w14:textFill>
        </w:rPr>
        <w:t>”</w:t>
      </w:r>
      <w:r>
        <w:rPr>
          <w:rFonts w:hint="default" w:ascii="Times New Roman" w:hAnsi="Times New Roman" w:cs="Times New Roman"/>
          <w:color w:val="000000" w:themeColor="text1"/>
          <w:sz w:val="28"/>
          <w:szCs w:val="28"/>
          <w:shd w:val="clear" w:color="auto" w:fill="FFFFFF"/>
          <w14:textFill>
            <w14:solidFill>
              <w14:schemeClr w14:val="tx1"/>
            </w14:solidFill>
          </w14:textFill>
        </w:rPr>
        <w:t>搬迁避让与防治工程建设相结合的原则；</w:t>
      </w:r>
    </w:p>
    <w:p w14:paraId="2841A1E2">
      <w:pPr>
        <w:pStyle w:val="38"/>
        <w:spacing w:line="360" w:lineRule="auto"/>
        <w:ind w:firstLine="560" w:firstLineChars="200"/>
        <w:jc w:val="both"/>
        <w:rPr>
          <w:rFonts w:hint="default" w:ascii="Times New Roman" w:hAnsi="Times New Roman" w:cs="Times New Roman"/>
          <w:color w:val="000000" w:themeColor="text1"/>
          <w:sz w:val="28"/>
          <w:szCs w:val="28"/>
          <w:shd w:val="clear" w:color="auto" w:fill="FFFFFF"/>
          <w14:textFill>
            <w14:solidFill>
              <w14:schemeClr w14:val="tx1"/>
            </w14:solidFill>
          </w14:textFill>
        </w:rPr>
      </w:pPr>
      <w:r>
        <w:rPr>
          <w:rFonts w:hint="eastAsia" w:ascii="Times New Roman" w:cs="Times New Roman"/>
          <w:color w:val="000000" w:themeColor="text1"/>
          <w:sz w:val="28"/>
          <w:szCs w:val="28"/>
          <w:shd w:val="clear" w:color="auto" w:fill="FFFFFF"/>
          <w:lang w:val="en-US" w:eastAsia="zh-CN"/>
          <w14:textFill>
            <w14:solidFill>
              <w14:schemeClr w14:val="tx1"/>
            </w14:solidFill>
          </w14:textFill>
        </w:rPr>
        <w:t>6、</w:t>
      </w:r>
      <w:r>
        <w:rPr>
          <w:rFonts w:hint="default" w:ascii="Times New Roman" w:hAnsi="Times New Roman" w:cs="Times New Roman"/>
          <w:color w:val="000000" w:themeColor="text1"/>
          <w:sz w:val="28"/>
          <w:szCs w:val="28"/>
          <w:shd w:val="clear" w:color="auto" w:fill="FFFFFF"/>
          <w14:textFill>
            <w14:solidFill>
              <w14:schemeClr w14:val="tx1"/>
            </w14:solidFill>
          </w14:textFill>
        </w:rPr>
        <w:t>坚持定性和定量相结合的原则；</w:t>
      </w:r>
    </w:p>
    <w:p w14:paraId="682DA071">
      <w:pPr>
        <w:pStyle w:val="38"/>
        <w:spacing w:line="360" w:lineRule="auto"/>
        <w:ind w:firstLine="560" w:firstLineChars="200"/>
        <w:jc w:val="both"/>
        <w:rPr>
          <w:rFonts w:hint="default" w:ascii="Times New Roman" w:hAnsi="Times New Roman" w:cs="Times New Roman"/>
          <w:color w:val="000000" w:themeColor="text1"/>
          <w:sz w:val="28"/>
          <w:szCs w:val="28"/>
          <w:shd w:val="clear" w:color="auto" w:fill="FFFFFF"/>
          <w14:textFill>
            <w14:solidFill>
              <w14:schemeClr w14:val="tx1"/>
            </w14:solidFill>
          </w14:textFill>
        </w:rPr>
      </w:pPr>
      <w:r>
        <w:rPr>
          <w:rFonts w:hint="default" w:ascii="Times New Roman" w:hAnsi="Times New Roman" w:cs="Times New Roman"/>
          <w:color w:val="000000" w:themeColor="text1"/>
          <w:sz w:val="28"/>
          <w:szCs w:val="28"/>
          <w:shd w:val="clear" w:color="auto" w:fill="FFFFFF"/>
          <w14:textFill>
            <w14:solidFill>
              <w14:schemeClr w14:val="tx1"/>
            </w14:solidFill>
          </w14:textFill>
        </w:rPr>
        <w:t>（二）矿区生态破坏程度综合评价结果</w:t>
      </w:r>
    </w:p>
    <w:p w14:paraId="4AFBF670">
      <w:pPr>
        <w:pStyle w:val="38"/>
        <w:spacing w:line="360" w:lineRule="auto"/>
        <w:ind w:firstLine="560" w:firstLineChars="200"/>
        <w:jc w:val="both"/>
        <w:rPr>
          <w:rFonts w:hint="default" w:ascii="Times New Roman" w:hAnsi="Times New Roman" w:cs="Times New Roman"/>
          <w:color w:val="000000" w:themeColor="text1"/>
          <w:sz w:val="28"/>
          <w:szCs w:val="28"/>
          <w:shd w:val="clear" w:color="auto" w:fill="FFFFFF"/>
          <w14:textFill>
            <w14:solidFill>
              <w14:schemeClr w14:val="tx1"/>
            </w14:solidFill>
          </w14:textFill>
        </w:rPr>
      </w:pPr>
      <w:r>
        <w:rPr>
          <w:rFonts w:hint="default" w:ascii="Times New Roman" w:hAnsi="Times New Roman" w:cs="Times New Roman"/>
          <w:color w:val="000000" w:themeColor="text1"/>
          <w:sz w:val="28"/>
          <w:szCs w:val="28"/>
          <w:shd w:val="clear" w:color="auto" w:fill="FFFFFF"/>
          <w14:textFill>
            <w14:solidFill>
              <w14:schemeClr w14:val="tx1"/>
            </w14:solidFill>
          </w14:textFill>
        </w:rPr>
        <w:t>矿区生态修复分区应根据矿区地质环境影响与生态环境影响现状评估和预测评估结果，参照《矿区生态修复方案编制指南》，划分重度、中度、轻度。</w:t>
      </w:r>
    </w:p>
    <w:p w14:paraId="74F9D7BD">
      <w:pPr>
        <w:pStyle w:val="38"/>
        <w:spacing w:line="360" w:lineRule="auto"/>
        <w:ind w:firstLine="560" w:firstLineChars="200"/>
        <w:jc w:val="both"/>
        <w:rPr>
          <w:rFonts w:hint="default" w:ascii="Times New Roman" w:hAnsi="Times New Roman" w:cs="Times New Roman"/>
          <w:color w:val="000000" w:themeColor="text1"/>
          <w:sz w:val="28"/>
          <w:szCs w:val="28"/>
          <w:shd w:val="clear" w:color="auto" w:fill="FFFFFF"/>
          <w14:textFill>
            <w14:solidFill>
              <w14:schemeClr w14:val="tx1"/>
            </w14:solidFill>
          </w14:textFill>
        </w:rPr>
      </w:pPr>
      <w:r>
        <w:rPr>
          <w:rFonts w:hint="default" w:ascii="Times New Roman" w:hAnsi="Times New Roman" w:cs="Times New Roman"/>
          <w:color w:val="000000" w:themeColor="text1"/>
          <w:sz w:val="28"/>
          <w:szCs w:val="28"/>
          <w:shd w:val="clear" w:color="auto" w:fill="FFFFFF"/>
          <w14:textFill>
            <w14:solidFill>
              <w14:schemeClr w14:val="tx1"/>
            </w14:solidFill>
          </w14:textFill>
        </w:rPr>
        <w:t>通过对矿山现状及预测问题识别诊断，对拟建露天采场1、拟建露天采场2、拟建储水池、露天采场2、工业场地、成品砖堆放场、料堆、表土存放场、办公生活区与矿区道路等10个场地单元进行问题识别诊断分区。叙述如下：</w:t>
      </w:r>
    </w:p>
    <w:p w14:paraId="14E7B46C">
      <w:pPr>
        <w:rPr>
          <w:rFonts w:hint="eastAsia" w:cs="Times New Roman"/>
          <w:b/>
          <w:bCs/>
          <w:color w:val="000000" w:themeColor="text1"/>
          <w:kern w:val="0"/>
          <w:sz w:val="24"/>
          <w:szCs w:val="24"/>
          <w:highlight w:val="none"/>
          <w:lang w:val="en-US" w:eastAsia="zh-CN" w:bidi="ar"/>
          <w14:textFill>
            <w14:solidFill>
              <w14:schemeClr w14:val="tx1"/>
            </w14:solidFill>
          </w14:textFill>
        </w:rPr>
      </w:pPr>
      <w:r>
        <w:rPr>
          <w:rFonts w:hint="eastAsia" w:cs="Times New Roman"/>
          <w:b/>
          <w:bCs/>
          <w:color w:val="000000" w:themeColor="text1"/>
          <w:kern w:val="0"/>
          <w:sz w:val="24"/>
          <w:szCs w:val="24"/>
          <w:highlight w:val="none"/>
          <w:lang w:val="en-US" w:eastAsia="zh-CN" w:bidi="ar"/>
          <w14:textFill>
            <w14:solidFill>
              <w14:schemeClr w14:val="tx1"/>
            </w14:solidFill>
          </w14:textFill>
        </w:rPr>
        <w:br w:type="page"/>
      </w:r>
    </w:p>
    <w:p w14:paraId="389E40A9">
      <w:pPr>
        <w:keepNext w:val="0"/>
        <w:keepLines w:val="0"/>
        <w:pageBreakBefore w:val="0"/>
        <w:widowControl/>
        <w:kinsoku/>
        <w:wordWrap/>
        <w:bidi w:val="0"/>
        <w:adjustRightInd/>
        <w:snapToGrid/>
        <w:spacing w:line="360" w:lineRule="auto"/>
        <w:ind w:firstLine="560" w:firstLineChars="200"/>
        <w:jc w:val="left"/>
        <w:textAlignment w:val="auto"/>
        <w:rPr>
          <w:rFonts w:hint="default" w:ascii="Times New Roman" w:hAnsi="Times New Roman" w:eastAsia="宋体" w:cs="Times New Roman"/>
          <w:b w:val="0"/>
          <w:bCs w:val="0"/>
          <w:color w:val="000000" w:themeColor="text1"/>
          <w:kern w:val="0"/>
          <w:sz w:val="28"/>
          <w:szCs w:val="28"/>
          <w:highlight w:val="none"/>
          <w:lang w:eastAsia="zh-CN" w:bidi="ar"/>
          <w14:textFill>
            <w14:solidFill>
              <w14:schemeClr w14:val="tx1"/>
            </w14:solidFill>
          </w14:textFill>
        </w:rPr>
      </w:pPr>
      <w:r>
        <w:rPr>
          <w:rFonts w:hint="eastAsia" w:cs="Times New Roman"/>
          <w:b w:val="0"/>
          <w:bCs w:val="0"/>
          <w:color w:val="000000" w:themeColor="text1"/>
          <w:kern w:val="0"/>
          <w:sz w:val="28"/>
          <w:szCs w:val="28"/>
          <w:highlight w:val="none"/>
          <w:lang w:val="en-US" w:eastAsia="zh-CN" w:bidi="ar"/>
          <w14:textFill>
            <w14:solidFill>
              <w14:schemeClr w14:val="tx1"/>
            </w14:solidFill>
          </w14:textFill>
        </w:rPr>
        <w:t>1、</w:t>
      </w:r>
      <w:r>
        <w:rPr>
          <w:rFonts w:hint="eastAsia" w:cs="Times New Roman"/>
          <w:color w:val="000000" w:themeColor="text1"/>
          <w:kern w:val="2"/>
          <w:sz w:val="28"/>
          <w:szCs w:val="28"/>
          <w:highlight w:val="none"/>
          <w:lang w:val="en-US" w:eastAsia="zh-CN" w:bidi="ar-SA"/>
          <w14:textFill>
            <w14:solidFill>
              <w14:schemeClr w14:val="tx1"/>
            </w14:solidFill>
          </w14:textFill>
        </w:rPr>
        <w:t>拟建露天采场1</w:t>
      </w:r>
    </w:p>
    <w:p w14:paraId="3D5CE8A8">
      <w:pPr>
        <w:widowControl w:val="0"/>
        <w:spacing w:line="360" w:lineRule="auto"/>
        <w:ind w:firstLine="560" w:firstLineChars="200"/>
        <w:jc w:val="both"/>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pP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预测</w:t>
      </w:r>
      <w:r>
        <w:rPr>
          <w:rFonts w:hint="eastAsia" w:cs="Times New Roman"/>
          <w:color w:val="000000" w:themeColor="text1"/>
          <w:kern w:val="2"/>
          <w:sz w:val="28"/>
          <w:szCs w:val="28"/>
          <w:highlight w:val="none"/>
          <w:lang w:val="en-US" w:eastAsia="zh-CN" w:bidi="ar-SA"/>
          <w14:textFill>
            <w14:solidFill>
              <w14:schemeClr w14:val="tx1"/>
            </w14:solidFill>
          </w14:textFill>
        </w:rPr>
        <w:t>拟建露天采场1</w:t>
      </w:r>
      <w:r>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t>可能引发</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边坡崩塌滑坡</w:t>
      </w:r>
      <w:r>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t>灾害</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；地质环境问题损坏程度为重度受损；预测土地损毁程度为重度受损；预测生态受损与退化为重度受损；综合评价结果为重度。</w:t>
      </w:r>
    </w:p>
    <w:p w14:paraId="5474B375">
      <w:pPr>
        <w:widowControl w:val="0"/>
        <w:spacing w:line="360" w:lineRule="auto"/>
        <w:ind w:firstLine="560" w:firstLineChars="200"/>
        <w:jc w:val="both"/>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pPr>
      <w:r>
        <w:rPr>
          <w:rFonts w:hint="eastAsia" w:cs="Times New Roman"/>
          <w:b w:val="0"/>
          <w:bCs w:val="0"/>
          <w:color w:val="000000" w:themeColor="text1"/>
          <w:kern w:val="2"/>
          <w:sz w:val="28"/>
          <w:szCs w:val="24"/>
          <w:highlight w:val="none"/>
          <w:lang w:val="en-US" w:eastAsia="zh-CN" w:bidi="ar-SA"/>
          <w14:textFill>
            <w14:solidFill>
              <w14:schemeClr w14:val="tx1"/>
            </w14:solidFill>
          </w14:textFill>
        </w:rPr>
        <w:t>2、</w:t>
      </w:r>
      <w:r>
        <w:rPr>
          <w:rFonts w:hint="eastAsia" w:cs="Times New Roman"/>
          <w:color w:val="000000" w:themeColor="text1"/>
          <w:kern w:val="2"/>
          <w:sz w:val="28"/>
          <w:szCs w:val="28"/>
          <w:highlight w:val="none"/>
          <w:lang w:val="en-US" w:eastAsia="zh-CN" w:bidi="ar-SA"/>
          <w14:textFill>
            <w14:solidFill>
              <w14:schemeClr w14:val="tx1"/>
            </w14:solidFill>
          </w14:textFill>
        </w:rPr>
        <w:t>拟建露天采场2</w:t>
      </w:r>
    </w:p>
    <w:p w14:paraId="44A0BF29">
      <w:pPr>
        <w:widowControl w:val="0"/>
        <w:spacing w:line="360" w:lineRule="auto"/>
        <w:ind w:firstLine="560" w:firstLineChars="200"/>
        <w:jc w:val="both"/>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pP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预测</w:t>
      </w:r>
      <w:r>
        <w:rPr>
          <w:rFonts w:hint="eastAsia" w:cs="Times New Roman"/>
          <w:color w:val="000000" w:themeColor="text1"/>
          <w:kern w:val="2"/>
          <w:sz w:val="28"/>
          <w:szCs w:val="28"/>
          <w:highlight w:val="none"/>
          <w:lang w:val="en-US" w:eastAsia="zh-CN" w:bidi="ar-SA"/>
          <w14:textFill>
            <w14:solidFill>
              <w14:schemeClr w14:val="tx1"/>
            </w14:solidFill>
          </w14:textFill>
        </w:rPr>
        <w:t>拟建露天采场2</w:t>
      </w:r>
      <w:r>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t>可能引发</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边坡崩塌滑坡</w:t>
      </w:r>
      <w:r>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t>灾害</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；地质环境问题损坏程度为重度受损；预测土地损毁程度为重度受损；预测生态受损与退化为重度受损；综合评价结果为重度。</w:t>
      </w:r>
    </w:p>
    <w:p w14:paraId="373F7428">
      <w:pPr>
        <w:widowControl w:val="0"/>
        <w:spacing w:line="360" w:lineRule="auto"/>
        <w:ind w:firstLine="560" w:firstLineChars="200"/>
        <w:jc w:val="both"/>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pP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3、</w:t>
      </w:r>
      <w:r>
        <w:rPr>
          <w:rFonts w:hint="eastAsia" w:cs="Times New Roman"/>
          <w:color w:val="000000" w:themeColor="text1"/>
          <w:kern w:val="2"/>
          <w:sz w:val="28"/>
          <w:szCs w:val="28"/>
          <w:highlight w:val="none"/>
          <w:lang w:val="en-US" w:eastAsia="zh-CN" w:bidi="ar-SA"/>
          <w14:textFill>
            <w14:solidFill>
              <w14:schemeClr w14:val="tx1"/>
            </w14:solidFill>
          </w14:textFill>
        </w:rPr>
        <w:t>露天采场2</w:t>
      </w:r>
    </w:p>
    <w:p w14:paraId="7744AD26">
      <w:pPr>
        <w:widowControl w:val="0"/>
        <w:spacing w:line="360" w:lineRule="auto"/>
        <w:ind w:firstLine="560" w:firstLineChars="200"/>
        <w:jc w:val="both"/>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pP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预测</w:t>
      </w:r>
      <w:r>
        <w:rPr>
          <w:rFonts w:hint="eastAsia" w:cs="Times New Roman"/>
          <w:color w:val="000000" w:themeColor="text1"/>
          <w:kern w:val="2"/>
          <w:sz w:val="28"/>
          <w:szCs w:val="28"/>
          <w:highlight w:val="none"/>
          <w:lang w:val="en-US" w:eastAsia="zh-CN" w:bidi="ar-SA"/>
          <w14:textFill>
            <w14:solidFill>
              <w14:schemeClr w14:val="tx1"/>
            </w14:solidFill>
          </w14:textFill>
        </w:rPr>
        <w:t>露天采场2</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地质环境问题损坏程度为中度受损；预测土地损毁程度为中度受损；预测生态受损与退化为重度受损；综合评价结果为重度。</w:t>
      </w:r>
    </w:p>
    <w:p w14:paraId="6CEF15B1">
      <w:pPr>
        <w:widowControl w:val="0"/>
        <w:tabs>
          <w:tab w:val="left" w:pos="854"/>
        </w:tabs>
        <w:spacing w:line="360" w:lineRule="auto"/>
        <w:ind w:firstLine="560" w:firstLineChars="200"/>
        <w:jc w:val="both"/>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pP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4、</w:t>
      </w:r>
      <w:r>
        <w:rPr>
          <w:rFonts w:hint="default" w:ascii="Times New Roman" w:hAnsi="Times New Roman" w:cs="Times New Roman"/>
          <w:color w:val="000000" w:themeColor="text1"/>
          <w:sz w:val="28"/>
          <w:szCs w:val="28"/>
          <w14:textFill>
            <w14:solidFill>
              <w14:schemeClr w14:val="tx1"/>
            </w14:solidFill>
          </w14:textFill>
        </w:rPr>
        <w:t>工业场地</w:t>
      </w:r>
    </w:p>
    <w:p w14:paraId="3EBABC9D">
      <w:pPr>
        <w:widowControl w:val="0"/>
        <w:spacing w:line="360" w:lineRule="auto"/>
        <w:ind w:firstLine="560" w:firstLineChars="200"/>
        <w:jc w:val="both"/>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pP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预测</w:t>
      </w:r>
      <w:r>
        <w:rPr>
          <w:rFonts w:hint="default" w:ascii="Times New Roman" w:hAnsi="Times New Roman" w:cs="Times New Roman"/>
          <w:color w:val="000000" w:themeColor="text1"/>
          <w:sz w:val="28"/>
          <w:szCs w:val="28"/>
          <w14:textFill>
            <w14:solidFill>
              <w14:schemeClr w14:val="tx1"/>
            </w14:solidFill>
          </w14:textFill>
        </w:rPr>
        <w:t>工业场地</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地质环境问题损坏程度为中度受损；预测土地损毁程度为中度受损；预测生态受损与退化为中度受损；综合评价结果为中度。</w:t>
      </w:r>
    </w:p>
    <w:p w14:paraId="3194084D">
      <w:pPr>
        <w:widowControl w:val="0"/>
        <w:spacing w:line="360" w:lineRule="auto"/>
        <w:ind w:firstLine="560" w:firstLineChars="200"/>
        <w:jc w:val="both"/>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5</w:t>
      </w: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kern w:val="2"/>
          <w:sz w:val="28"/>
          <w:szCs w:val="28"/>
          <w:highlight w:val="none"/>
          <w:lang w:val="en-US" w:eastAsia="zh-CN" w:bidi="ar-SA"/>
          <w14:textFill>
            <w14:solidFill>
              <w14:schemeClr w14:val="tx1"/>
            </w14:solidFill>
          </w14:textFill>
        </w:rPr>
        <w:t>成品砖堆放场</w:t>
      </w:r>
    </w:p>
    <w:p w14:paraId="78DDEF0D">
      <w:pPr>
        <w:widowControl w:val="0"/>
        <w:spacing w:line="360" w:lineRule="auto"/>
        <w:ind w:firstLine="560" w:firstLineChars="200"/>
        <w:jc w:val="both"/>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pP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预测</w:t>
      </w:r>
      <w:r>
        <w:rPr>
          <w:rFonts w:hint="eastAsia" w:cs="Times New Roman"/>
          <w:color w:val="000000" w:themeColor="text1"/>
          <w:kern w:val="2"/>
          <w:sz w:val="28"/>
          <w:szCs w:val="28"/>
          <w:highlight w:val="none"/>
          <w:lang w:val="en-US" w:eastAsia="zh-CN" w:bidi="ar-SA"/>
          <w14:textFill>
            <w14:solidFill>
              <w14:schemeClr w14:val="tx1"/>
            </w14:solidFill>
          </w14:textFill>
        </w:rPr>
        <w:t>成品砖堆放场</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地质环境问题损坏程度为中度受损；预测土地损毁程度为中度受损；预测生态受损与退化为中度受损；综合评价结果为中度。</w:t>
      </w:r>
    </w:p>
    <w:p w14:paraId="0EAD3860">
      <w:pPr>
        <w:widowControl w:val="0"/>
        <w:spacing w:line="360" w:lineRule="auto"/>
        <w:ind w:firstLine="560" w:firstLineChars="200"/>
        <w:jc w:val="both"/>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6</w:t>
      </w: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kern w:val="2"/>
          <w:sz w:val="28"/>
          <w:szCs w:val="28"/>
          <w:highlight w:val="none"/>
          <w:lang w:val="en-US" w:eastAsia="zh-CN" w:bidi="ar-SA"/>
          <w14:textFill>
            <w14:solidFill>
              <w14:schemeClr w14:val="tx1"/>
            </w14:solidFill>
          </w14:textFill>
        </w:rPr>
        <w:t>料堆</w:t>
      </w:r>
    </w:p>
    <w:p w14:paraId="2D28BCB7">
      <w:pPr>
        <w:widowControl w:val="0"/>
        <w:spacing w:line="360" w:lineRule="auto"/>
        <w:ind w:firstLine="560" w:firstLineChars="200"/>
        <w:jc w:val="both"/>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pP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预测</w:t>
      </w:r>
      <w:r>
        <w:rPr>
          <w:rFonts w:hint="eastAsia" w:cs="Times New Roman"/>
          <w:color w:val="000000" w:themeColor="text1"/>
          <w:kern w:val="2"/>
          <w:sz w:val="28"/>
          <w:szCs w:val="28"/>
          <w:highlight w:val="none"/>
          <w:lang w:val="en-US" w:eastAsia="zh-CN" w:bidi="ar-SA"/>
          <w14:textFill>
            <w14:solidFill>
              <w14:schemeClr w14:val="tx1"/>
            </w14:solidFill>
          </w14:textFill>
        </w:rPr>
        <w:t>料堆</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地质环境问题损坏程度为中度受损；预测土地损毁程度为中度受损；预测生态受损与退化为中度受损；综合评价结果为中度。</w:t>
      </w:r>
    </w:p>
    <w:p w14:paraId="32422B4B">
      <w:pPr>
        <w:widowControl w:val="0"/>
        <w:spacing w:line="360" w:lineRule="auto"/>
        <w:ind w:firstLine="560" w:firstLineChars="200"/>
        <w:jc w:val="both"/>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7</w:t>
      </w: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kern w:val="2"/>
          <w:sz w:val="28"/>
          <w:szCs w:val="28"/>
          <w:highlight w:val="none"/>
          <w:lang w:val="en-US" w:eastAsia="zh-CN" w:bidi="ar-SA"/>
          <w14:textFill>
            <w14:solidFill>
              <w14:schemeClr w14:val="tx1"/>
            </w14:solidFill>
          </w14:textFill>
        </w:rPr>
        <w:t>办公生活区</w:t>
      </w:r>
    </w:p>
    <w:p w14:paraId="358C45E2">
      <w:pPr>
        <w:widowControl w:val="0"/>
        <w:spacing w:line="360" w:lineRule="auto"/>
        <w:ind w:firstLine="560" w:firstLineChars="200"/>
        <w:jc w:val="both"/>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pP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预测</w:t>
      </w:r>
      <w:r>
        <w:rPr>
          <w:rFonts w:hint="eastAsia" w:cs="Times New Roman"/>
          <w:color w:val="000000" w:themeColor="text1"/>
          <w:kern w:val="2"/>
          <w:sz w:val="28"/>
          <w:szCs w:val="28"/>
          <w:highlight w:val="none"/>
          <w:lang w:val="en-US" w:eastAsia="zh-CN" w:bidi="ar-SA"/>
          <w14:textFill>
            <w14:solidFill>
              <w14:schemeClr w14:val="tx1"/>
            </w14:solidFill>
          </w14:textFill>
        </w:rPr>
        <w:t>办公生活区</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地质环境问题损坏程度为中度受损；预测土地损毁程度为中度受损；预测生态受损与退化为中度受损；综合评价结果为中度。</w:t>
      </w:r>
    </w:p>
    <w:p w14:paraId="3A4FBE61">
      <w:pPr>
        <w:widowControl w:val="0"/>
        <w:spacing w:line="360" w:lineRule="auto"/>
        <w:ind w:firstLine="560" w:firstLineChars="200"/>
        <w:jc w:val="both"/>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8、</w:t>
      </w:r>
      <w:r>
        <w:rPr>
          <w:rFonts w:hint="eastAsia" w:cs="Times New Roman"/>
          <w:color w:val="000000" w:themeColor="text1"/>
          <w:kern w:val="2"/>
          <w:sz w:val="28"/>
          <w:szCs w:val="28"/>
          <w:highlight w:val="none"/>
          <w:lang w:val="en-US" w:eastAsia="zh-CN" w:bidi="ar-SA"/>
          <w14:textFill>
            <w14:solidFill>
              <w14:schemeClr w14:val="tx1"/>
            </w14:solidFill>
          </w14:textFill>
        </w:rPr>
        <w:t>表土存放场</w:t>
      </w:r>
    </w:p>
    <w:p w14:paraId="37DE2839">
      <w:pPr>
        <w:widowControl w:val="0"/>
        <w:spacing w:line="360" w:lineRule="auto"/>
        <w:ind w:firstLine="560" w:firstLineChars="200"/>
        <w:jc w:val="both"/>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pP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预测</w:t>
      </w:r>
      <w:r>
        <w:rPr>
          <w:rFonts w:hint="eastAsia" w:cs="Times New Roman"/>
          <w:color w:val="000000" w:themeColor="text1"/>
          <w:kern w:val="2"/>
          <w:sz w:val="28"/>
          <w:szCs w:val="28"/>
          <w:highlight w:val="none"/>
          <w:lang w:val="en-US" w:eastAsia="zh-CN" w:bidi="ar-SA"/>
          <w14:textFill>
            <w14:solidFill>
              <w14:schemeClr w14:val="tx1"/>
            </w14:solidFill>
          </w14:textFill>
        </w:rPr>
        <w:t>表土存放场</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地质环境问题损坏程度为中度受损；预测土地损毁程度为中度受损；预测生态受损与退化为中度受损；综合评价结果为中度。</w:t>
      </w:r>
    </w:p>
    <w:p w14:paraId="4229584F">
      <w:pPr>
        <w:widowControl w:val="0"/>
        <w:spacing w:line="360" w:lineRule="auto"/>
        <w:ind w:firstLine="560" w:firstLineChars="200"/>
        <w:jc w:val="both"/>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9、</w:t>
      </w:r>
      <w:r>
        <w:rPr>
          <w:rFonts w:hint="eastAsia" w:cs="Times New Roman"/>
          <w:color w:val="000000" w:themeColor="text1"/>
          <w:kern w:val="2"/>
          <w:sz w:val="28"/>
          <w:szCs w:val="28"/>
          <w:highlight w:val="none"/>
          <w:lang w:val="en-US" w:eastAsia="zh-CN" w:bidi="ar-SA"/>
          <w14:textFill>
            <w14:solidFill>
              <w14:schemeClr w14:val="tx1"/>
            </w14:solidFill>
          </w14:textFill>
        </w:rPr>
        <w:t>拟建储水池</w:t>
      </w:r>
    </w:p>
    <w:p w14:paraId="1CAECE4D">
      <w:pPr>
        <w:widowControl w:val="0"/>
        <w:spacing w:line="360" w:lineRule="auto"/>
        <w:ind w:firstLine="560" w:firstLineChars="200"/>
        <w:jc w:val="both"/>
        <w:rPr>
          <w:rFonts w:hint="eastAsia" w:cs="Times New Roman"/>
          <w:b w:val="0"/>
          <w:bCs w:val="0"/>
          <w:color w:val="000000" w:themeColor="text1"/>
          <w:kern w:val="2"/>
          <w:sz w:val="28"/>
          <w:szCs w:val="28"/>
          <w:highlight w:val="none"/>
          <w:lang w:val="en-US" w:eastAsia="zh-CN" w:bidi="ar-SA"/>
          <w14:textFill>
            <w14:solidFill>
              <w14:schemeClr w14:val="tx1"/>
            </w14:solidFill>
          </w14:textFill>
        </w:rPr>
      </w:pP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预测</w:t>
      </w:r>
      <w:r>
        <w:rPr>
          <w:rFonts w:hint="eastAsia" w:cs="Times New Roman"/>
          <w:color w:val="000000" w:themeColor="text1"/>
          <w:kern w:val="2"/>
          <w:sz w:val="28"/>
          <w:szCs w:val="28"/>
          <w:highlight w:val="none"/>
          <w:lang w:val="en-US" w:eastAsia="zh-CN" w:bidi="ar-SA"/>
          <w14:textFill>
            <w14:solidFill>
              <w14:schemeClr w14:val="tx1"/>
            </w14:solidFill>
          </w14:textFill>
        </w:rPr>
        <w:t>拟建储水池</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地质环境问题损坏程度为轻度受损；预测土地损毁程度为轻度受损；预测生态受损与退化为中度受损；综合评价结果为中度。</w:t>
      </w:r>
    </w:p>
    <w:p w14:paraId="20DDF6FD">
      <w:pPr>
        <w:widowControl w:val="0"/>
        <w:spacing w:line="360" w:lineRule="auto"/>
        <w:ind w:firstLine="560" w:firstLineChars="200"/>
        <w:jc w:val="both"/>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10、</w:t>
      </w:r>
      <w:r>
        <w:rPr>
          <w:rFonts w:hint="eastAsia" w:cs="Times New Roman"/>
          <w:color w:val="000000" w:themeColor="text1"/>
          <w:kern w:val="2"/>
          <w:sz w:val="28"/>
          <w:szCs w:val="28"/>
          <w:highlight w:val="none"/>
          <w:lang w:val="en-US" w:eastAsia="zh-CN" w:bidi="ar-SA"/>
          <w14:textFill>
            <w14:solidFill>
              <w14:schemeClr w14:val="tx1"/>
            </w14:solidFill>
          </w14:textFill>
        </w:rPr>
        <w:t>矿区道路</w:t>
      </w:r>
    </w:p>
    <w:p w14:paraId="1051567E">
      <w:pPr>
        <w:widowControl w:val="0"/>
        <w:spacing w:line="360" w:lineRule="auto"/>
        <w:ind w:firstLine="560" w:firstLineChars="200"/>
        <w:jc w:val="both"/>
        <w:rPr>
          <w:rFonts w:hint="eastAsia" w:cs="Times New Roman"/>
          <w:b w:val="0"/>
          <w:bCs w:val="0"/>
          <w:color w:val="000000" w:themeColor="text1"/>
          <w:kern w:val="2"/>
          <w:sz w:val="28"/>
          <w:szCs w:val="28"/>
          <w:highlight w:val="none"/>
          <w:lang w:val="en-US" w:eastAsia="zh-CN" w:bidi="ar-SA"/>
          <w14:textFill>
            <w14:solidFill>
              <w14:schemeClr w14:val="tx1"/>
            </w14:solidFill>
          </w14:textFill>
        </w:rPr>
      </w:pP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预测</w:t>
      </w:r>
      <w:r>
        <w:rPr>
          <w:rFonts w:hint="eastAsia" w:cs="Times New Roman"/>
          <w:color w:val="000000" w:themeColor="text1"/>
          <w:kern w:val="2"/>
          <w:sz w:val="28"/>
          <w:szCs w:val="28"/>
          <w:highlight w:val="none"/>
          <w:lang w:val="en-US" w:eastAsia="zh-CN" w:bidi="ar-SA"/>
          <w14:textFill>
            <w14:solidFill>
              <w14:schemeClr w14:val="tx1"/>
            </w14:solidFill>
          </w14:textFill>
        </w:rPr>
        <w:t>矿区道路</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地质环境问题损坏程度为中度受损；预测土地损毁程度为中度受损；预测生态受损与退化为中度受损；综合评价结果为中度。</w:t>
      </w:r>
    </w:p>
    <w:p w14:paraId="24FFFA39">
      <w:pPr>
        <w:widowControl w:val="0"/>
        <w:spacing w:line="360" w:lineRule="auto"/>
        <w:ind w:firstLine="560" w:firstLineChars="200"/>
        <w:jc w:val="both"/>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pP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11、</w:t>
      </w:r>
      <w:r>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t>其他区域</w:t>
      </w:r>
    </w:p>
    <w:p w14:paraId="5F01C8D2">
      <w:pPr>
        <w:widowControl w:val="0"/>
        <w:spacing w:line="360" w:lineRule="auto"/>
        <w:ind w:firstLine="560" w:firstLineChars="200"/>
        <w:jc w:val="both"/>
        <w:rPr>
          <w:rFonts w:hint="eastAsia" w:cs="Times New Roman"/>
          <w:b w:val="0"/>
          <w:bCs w:val="0"/>
          <w:color w:val="000000" w:themeColor="text1"/>
          <w:kern w:val="2"/>
          <w:sz w:val="28"/>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t>矿区其他区域暂时未进行采矿活动，</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地质环境问题损坏程度为轻度受损；预测土地损毁程度为轻度受损；预测生态受损与退化为轻度受损；综合评价结果为轻度。总面积为8.4589hm</w:t>
      </w:r>
      <w:r>
        <w:rPr>
          <w:rFonts w:hint="eastAsia" w:cs="Times New Roman"/>
          <w:b w:val="0"/>
          <w:bCs w:val="0"/>
          <w:color w:val="000000" w:themeColor="text1"/>
          <w:kern w:val="2"/>
          <w:sz w:val="28"/>
          <w:szCs w:val="28"/>
          <w:highlight w:val="none"/>
          <w:vertAlign w:val="superscript"/>
          <w:lang w:val="en-US" w:eastAsia="zh-CN" w:bidi="ar-SA"/>
          <w14:textFill>
            <w14:solidFill>
              <w14:schemeClr w14:val="tx1"/>
            </w14:solidFill>
          </w14:textFill>
        </w:rPr>
        <w:t>2</w:t>
      </w:r>
      <w:r>
        <w:rPr>
          <w:rFonts w:hint="eastAsia" w:cs="Times New Roman"/>
          <w:color w:val="000000" w:themeColor="text1"/>
          <w:sz w:val="28"/>
          <w:szCs w:val="28"/>
          <w:highlight w:val="none"/>
          <w:lang w:val="en-US" w:eastAsia="zh-CN"/>
          <w14:textFill>
            <w14:solidFill>
              <w14:schemeClr w14:val="tx1"/>
            </w14:solidFill>
          </w14:textFill>
        </w:rPr>
        <w:t>。</w:t>
      </w:r>
    </w:p>
    <w:p w14:paraId="7BC592D4">
      <w:pPr>
        <w:pStyle w:val="38"/>
        <w:spacing w:line="360" w:lineRule="auto"/>
        <w:ind w:firstLine="560" w:firstLineChars="200"/>
        <w:jc w:val="both"/>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在采矿权范围内及采矿活动影响范围内，综合诊断地质环境影响、土地损毁、生态受损与退化分区，矿区生态损毁程度综合评价为</w:t>
      </w:r>
      <w:r>
        <w:rPr>
          <w:rFonts w:hint="default" w:ascii="Times New Roman" w:hAnsi="Times New Roman" w:cs="Times New Roman"/>
          <w:color w:val="000000" w:themeColor="text1"/>
          <w:sz w:val="28"/>
          <w:szCs w:val="28"/>
          <w:shd w:val="clear" w:color="auto" w:fill="FFFFFF"/>
          <w14:textFill>
            <w14:solidFill>
              <w14:schemeClr w14:val="tx1"/>
            </w14:solidFill>
          </w14:textFill>
        </w:rPr>
        <w:t>重度</w:t>
      </w:r>
      <w:r>
        <w:rPr>
          <w:rFonts w:hint="eastAsia" w:ascii="Times New Roman" w:cs="Times New Roman"/>
          <w:color w:val="000000" w:themeColor="text1"/>
          <w:sz w:val="28"/>
          <w:szCs w:val="28"/>
          <w:shd w:val="clear" w:color="auto" w:fill="FFFFFF"/>
          <w:lang w:val="en-US" w:eastAsia="zh-CN"/>
          <w14:textFill>
            <w14:solidFill>
              <w14:schemeClr w14:val="tx1"/>
            </w14:solidFill>
          </w14:textFill>
        </w:rPr>
        <w:t>受损</w:t>
      </w:r>
      <w:r>
        <w:rPr>
          <w:rFonts w:hint="default" w:ascii="Times New Roman" w:hAnsi="Times New Roman" w:cs="Times New Roman"/>
          <w:color w:val="000000" w:themeColor="text1"/>
          <w:sz w:val="28"/>
          <w:szCs w:val="28"/>
          <w:shd w:val="clear" w:color="auto" w:fill="FFFFFF"/>
          <w14:textFill>
            <w14:solidFill>
              <w14:schemeClr w14:val="tx1"/>
            </w14:solidFill>
          </w14:textFill>
        </w:rPr>
        <w:t>、中度</w:t>
      </w:r>
      <w:r>
        <w:rPr>
          <w:rFonts w:hint="eastAsia" w:ascii="Times New Roman" w:cs="Times New Roman"/>
          <w:color w:val="000000" w:themeColor="text1"/>
          <w:sz w:val="28"/>
          <w:szCs w:val="28"/>
          <w:shd w:val="clear" w:color="auto" w:fill="FFFFFF"/>
          <w:lang w:val="en-US" w:eastAsia="zh-CN"/>
          <w14:textFill>
            <w14:solidFill>
              <w14:schemeClr w14:val="tx1"/>
            </w14:solidFill>
          </w14:textFill>
        </w:rPr>
        <w:t>受损</w:t>
      </w:r>
      <w:r>
        <w:rPr>
          <w:rFonts w:hint="default" w:ascii="Times New Roman" w:hAnsi="Times New Roman" w:cs="Times New Roman"/>
          <w:color w:val="000000" w:themeColor="text1"/>
          <w:sz w:val="28"/>
          <w:szCs w:val="28"/>
          <w:shd w:val="clear" w:color="auto" w:fill="FFFFFF"/>
          <w14:textFill>
            <w14:solidFill>
              <w14:schemeClr w14:val="tx1"/>
            </w14:solidFill>
          </w14:textFill>
        </w:rPr>
        <w:t>、轻度</w:t>
      </w:r>
      <w:r>
        <w:rPr>
          <w:rFonts w:hint="eastAsia" w:ascii="Times New Roman" w:cs="Times New Roman"/>
          <w:color w:val="000000" w:themeColor="text1"/>
          <w:sz w:val="28"/>
          <w:szCs w:val="28"/>
          <w:shd w:val="clear" w:color="auto" w:fill="FFFFFF"/>
          <w:lang w:val="en-US" w:eastAsia="zh-CN"/>
          <w14:textFill>
            <w14:solidFill>
              <w14:schemeClr w14:val="tx1"/>
            </w14:solidFill>
          </w14:textFill>
        </w:rPr>
        <w:t>受损</w:t>
      </w:r>
      <w:r>
        <w:rPr>
          <w:rFonts w:hint="eastAsia" w:ascii="Times New Roman" w:cs="Times New Roman"/>
          <w:color w:val="000000" w:themeColor="text1"/>
          <w:sz w:val="28"/>
          <w:szCs w:val="28"/>
          <w:lang w:val="en-US" w:eastAsia="zh-CN"/>
          <w14:textFill>
            <w14:solidFill>
              <w14:schemeClr w14:val="tx1"/>
            </w14:solidFill>
          </w14:textFill>
        </w:rPr>
        <w:t>三</w:t>
      </w:r>
      <w:r>
        <w:rPr>
          <w:rFonts w:hint="default" w:ascii="Times New Roman" w:hAnsi="Times New Roman" w:cs="Times New Roman"/>
          <w:color w:val="000000" w:themeColor="text1"/>
          <w:sz w:val="28"/>
          <w:szCs w:val="28"/>
          <w14:textFill>
            <w14:solidFill>
              <w14:schemeClr w14:val="tx1"/>
            </w14:solidFill>
          </w14:textFill>
        </w:rPr>
        <w:t>个等级（见表3-</w:t>
      </w:r>
      <w:r>
        <w:rPr>
          <w:rFonts w:hint="eastAsia" w:ascii="Times New Roman" w:cs="Times New Roman"/>
          <w:color w:val="000000" w:themeColor="text1"/>
          <w:sz w:val="28"/>
          <w:szCs w:val="28"/>
          <w:lang w:val="en-US" w:eastAsia="zh-CN"/>
          <w14:textFill>
            <w14:solidFill>
              <w14:schemeClr w14:val="tx1"/>
            </w14:solidFill>
          </w14:textFill>
        </w:rPr>
        <w:t>42</w:t>
      </w:r>
      <w:r>
        <w:rPr>
          <w:rFonts w:hint="default" w:ascii="Times New Roman" w:hAnsi="Times New Roman" w:cs="Times New Roman"/>
          <w:color w:val="000000" w:themeColor="text1"/>
          <w:sz w:val="28"/>
          <w:szCs w:val="28"/>
          <w14:textFill>
            <w14:solidFill>
              <w14:schemeClr w14:val="tx1"/>
            </w14:solidFill>
          </w14:textFill>
        </w:rPr>
        <w:t>）。</w:t>
      </w:r>
    </w:p>
    <w:p w14:paraId="2A068453">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cs="Times New Roman"/>
          <w:b/>
          <w:bCs/>
          <w:snapToGrid w:val="0"/>
          <w:color w:val="000000" w:themeColor="text1"/>
          <w:sz w:val="24"/>
          <w:szCs w:val="24"/>
          <w:lang w:val="en-US" w:eastAsia="zh-CN"/>
          <w14:textFill>
            <w14:solidFill>
              <w14:schemeClr w14:val="tx1"/>
            </w14:solidFill>
          </w14:textFill>
        </w:rPr>
        <w:t xml:space="preserve">    </w:t>
      </w:r>
    </w:p>
    <w:p w14:paraId="06C4B15E">
      <w:pPr>
        <w:pStyle w:val="3"/>
        <w:spacing w:before="0" w:beforeLines="0"/>
        <w:jc w:val="center"/>
        <w:rPr>
          <w:color w:val="000000" w:themeColor="text1"/>
          <w14:textFill>
            <w14:solidFill>
              <w14:schemeClr w14:val="tx1"/>
            </w14:solidFill>
          </w14:textFill>
        </w:rPr>
      </w:pPr>
      <w:bookmarkStart w:id="48" w:name="_Toc17903"/>
      <w:r>
        <w:rPr>
          <w:rFonts w:hint="eastAsia"/>
          <w:color w:val="000000" w:themeColor="text1"/>
          <w:lang w:val="en-US" w:eastAsia="zh-CN"/>
          <w14:textFill>
            <w14:solidFill>
              <w14:schemeClr w14:val="tx1"/>
            </w14:solidFill>
          </w14:textFill>
        </w:rPr>
        <w:t xml:space="preserve">第二节  </w:t>
      </w:r>
      <w:r>
        <w:rPr>
          <w:rFonts w:hint="eastAsia"/>
          <w:color w:val="000000" w:themeColor="text1"/>
          <w14:textFill>
            <w14:solidFill>
              <w14:schemeClr w14:val="tx1"/>
            </w14:solidFill>
          </w14:textFill>
        </w:rPr>
        <w:t>生态修复可行性分析</w:t>
      </w:r>
      <w:bookmarkEnd w:id="48"/>
    </w:p>
    <w:p w14:paraId="42D50EFB">
      <w:pPr>
        <w:pStyle w:val="5"/>
        <w:bidi w:val="0"/>
        <w:spacing w:line="360" w:lineRule="auto"/>
        <w:ind w:firstLine="562" w:firstLineChars="200"/>
        <w:rPr>
          <w:b/>
          <w:bCs/>
          <w:color w:val="000000" w:themeColor="text1"/>
          <w:sz w:val="28"/>
          <w:szCs w:val="24"/>
          <w14:textFill>
            <w14:solidFill>
              <w14:schemeClr w14:val="tx1"/>
            </w14:solidFill>
          </w14:textFill>
        </w:rPr>
      </w:pPr>
      <w:bookmarkStart w:id="49" w:name="_bookmark19"/>
      <w:bookmarkEnd w:id="49"/>
      <w:bookmarkStart w:id="50" w:name="第一节__矿山地质环境治理可行性分析"/>
      <w:bookmarkEnd w:id="50"/>
      <w:r>
        <w:rPr>
          <w:rFonts w:hint="eastAsia"/>
          <w:b/>
          <w:bCs/>
          <w:color w:val="000000" w:themeColor="text1"/>
          <w:sz w:val="28"/>
          <w:szCs w:val="24"/>
          <w:lang w:val="en-US" w:eastAsia="zh-CN"/>
          <w14:textFill>
            <w14:solidFill>
              <w14:schemeClr w14:val="tx1"/>
            </w14:solidFill>
          </w14:textFill>
        </w:rPr>
        <w:t>一、</w:t>
      </w:r>
      <w:r>
        <w:rPr>
          <w:rFonts w:hint="eastAsia"/>
          <w:b/>
          <w:bCs/>
          <w:color w:val="000000" w:themeColor="text1"/>
          <w:sz w:val="28"/>
          <w:szCs w:val="24"/>
          <w14:textFill>
            <w14:solidFill>
              <w14:schemeClr w14:val="tx1"/>
            </w14:solidFill>
          </w14:textFill>
        </w:rPr>
        <w:t>技术经济可行性分析</w:t>
      </w:r>
    </w:p>
    <w:p w14:paraId="2283F1C3">
      <w:pPr>
        <w:spacing w:line="360" w:lineRule="auto"/>
        <w:ind w:firstLine="562" w:firstLineChars="200"/>
        <w:rPr>
          <w:rFonts w:hint="eastAsia" w:asciiTheme="minorEastAsia" w:hAnsiTheme="minorEastAsia" w:eastAsiaTheme="minorEastAsia" w:cstheme="minorEastAsia"/>
          <w:b/>
          <w:bCs/>
          <w:color w:val="000000" w:themeColor="text1"/>
          <w:sz w:val="28"/>
          <w:szCs w:val="28"/>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14:textFill>
            <w14:solidFill>
              <w14:schemeClr w14:val="tx1"/>
            </w14:solidFill>
          </w14:textFill>
        </w:rPr>
        <w:t>（一）地质环境治理可行性分析</w:t>
      </w:r>
    </w:p>
    <w:p w14:paraId="36F91CAA">
      <w:pPr>
        <w:spacing w:line="360" w:lineRule="auto"/>
        <w:ind w:firstLine="560" w:firstLineChars="200"/>
        <w:outlineLvl w:val="4"/>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1、地质灾害防治可行性分析</w:t>
      </w:r>
    </w:p>
    <w:p w14:paraId="63BCA06F">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矿山《开发与治理综合方案》开发篇设计开采方式为露天开采，现状矿山已形成两个露天采场，随着未来矿山开采，采场面积将继续扩大，可能出现崩塌、滑坡地质灾害。</w:t>
      </w:r>
    </w:p>
    <w:p w14:paraId="00320120">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针对露天采场可能发生的崩塌、滑坡灾害，其防治在技术、经济与管理层面整体可行。防治体系以精细化勘察与监测预警为前提，可依据灾害主控因素，采取分级、组合式措施：通过优化边坡设计、完善截排水系统等主动预防手段从源头控制风险；对不稳定区域，采用锚固、支挡等成熟工程技术进行针对性治理，并结合开采工艺优化与智慧监测实现动态管控。关键在于开展全生命周期成本效益分析，确保防治方案在安全、经济与生产可持续性之间取得最优平衡。</w:t>
      </w:r>
    </w:p>
    <w:p w14:paraId="4B16E611">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因此从经济性看，防治投入可有效避免灾害导致的生产中断与安全风险，长期效益显著，符合技术可靠、经济合理、管理可行的综合要求。矿山地质灾害预防、治理、监测、预警技术成熟可行，在技术上是有保障的、可行的。</w:t>
      </w:r>
    </w:p>
    <w:p w14:paraId="488501E0">
      <w:pPr>
        <w:spacing w:line="360" w:lineRule="auto"/>
        <w:ind w:firstLine="560" w:firstLineChars="200"/>
        <w:outlineLvl w:val="4"/>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2、含水层防治技术可行性分析</w:t>
      </w:r>
    </w:p>
    <w:p w14:paraId="31A5D733">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矿山设计最低开采标高460m，第四系松散岩类孔隙水含水层水位标高458m以下，未来采矿将不会对含水层结构产生破坏。矿山生产废水和生活污水集中存放，统一处理。含水层破坏预防和治理措施切实可行，并可达到实施的目标。</w:t>
      </w:r>
    </w:p>
    <w:p w14:paraId="423D9DCA">
      <w:pPr>
        <w:spacing w:line="360" w:lineRule="auto"/>
        <w:ind w:firstLine="560" w:firstLineChars="200"/>
        <w:outlineLvl w:val="4"/>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3、地形地貌景观防治技术可行性分析</w:t>
      </w:r>
    </w:p>
    <w:p w14:paraId="0B84163B">
      <w:pPr>
        <w:widowControl/>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根据前文叙述，修复区不涉及各类自然保护区、人文景观和风景旅游区。矿山生产活动对原生的地形地貌景观影响和破坏程度较大，</w:t>
      </w:r>
    </w:p>
    <w:p w14:paraId="01FA760C">
      <w:pPr>
        <w:widowControl/>
        <w:spacing w:line="360" w:lineRule="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开采区对现有地表地形地貌景观影响严重。</w:t>
      </w:r>
    </w:p>
    <w:p w14:paraId="4BFD5B65">
      <w:pPr>
        <w:widowControl/>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本方案对地形地貌景观的修复措施为：</w:t>
      </w:r>
    </w:p>
    <w:p w14:paraId="150FF1FE">
      <w:pPr>
        <w:widowControl/>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1</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对露天采场进行回填、边坡整形、整平</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垫坡等工程措施；</w:t>
      </w:r>
    </w:p>
    <w:p w14:paraId="38694407">
      <w:pPr>
        <w:widowControl/>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2</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对拟建储水池、工业场地、办公生活区采取建筑物拆除、清理建筑垃圾、清除地基、场地整平、翻耕等工程措施；</w:t>
      </w:r>
    </w:p>
    <w:p w14:paraId="78F81BBE">
      <w:pPr>
        <w:widowControl/>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3</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对成品砖堆放场、料堆、表土存放场采取清运、翻耕等工程措施；</w:t>
      </w:r>
    </w:p>
    <w:p w14:paraId="4B0A2F15">
      <w:pPr>
        <w:widowControl/>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3</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对矿区道路采取翻耕等措施。</w:t>
      </w:r>
    </w:p>
    <w:p w14:paraId="67E755FB">
      <w:pPr>
        <w:widowControl/>
        <w:spacing w:line="360" w:lineRule="auto"/>
        <w:ind w:firstLine="560" w:firstLineChars="200"/>
        <w:rPr>
          <w:rFonts w:hint="default" w:ascii="Times New Roman" w:hAnsi="Times New Roman" w:eastAsia="宋体" w:cs="Times New Roman"/>
          <w:color w:val="000000" w:themeColor="text1"/>
          <w:kern w:val="0"/>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上述地形地貌景观损毁防治措施切实可行，工程措施技术成熟、操作性强，在同类矿山生态修复中已有广泛应用。通过系统实施上述工程，可有效恢复地表形态、改善与周边地貌的协调性，控制水土流失，实现景观与生态功能的逐步恢复。</w:t>
      </w:r>
    </w:p>
    <w:p w14:paraId="30DA6A88">
      <w:pPr>
        <w:spacing w:line="360" w:lineRule="auto"/>
        <w:ind w:firstLine="560" w:firstLineChars="200"/>
        <w:outlineLvl w:val="4"/>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4、地质环境治理经济可行性分析</w:t>
      </w:r>
    </w:p>
    <w:p w14:paraId="4635AFE8">
      <w:pPr>
        <w:widowControl/>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kern w:val="0"/>
          <w:sz w:val="28"/>
          <w:szCs w:val="28"/>
          <w14:textFill>
            <w14:solidFill>
              <w14:schemeClr w14:val="tx1"/>
            </w14:solidFill>
          </w14:textFill>
        </w:rPr>
        <w:t>通过上述地质环境治理工程，经估算，矿山地质环境治理总费用为</w:t>
      </w:r>
      <w:r>
        <w:rPr>
          <w:rFonts w:hint="eastAsia" w:cs="Times New Roman"/>
          <w:color w:val="000000" w:themeColor="text1"/>
          <w:kern w:val="0"/>
          <w:sz w:val="28"/>
          <w:szCs w:val="28"/>
          <w:lang w:val="en-US" w:eastAsia="zh-CN"/>
          <w14:textFill>
            <w14:solidFill>
              <w14:schemeClr w14:val="tx1"/>
            </w14:solidFill>
          </w14:textFill>
        </w:rPr>
        <w:t>197.07</w:t>
      </w:r>
      <w:r>
        <w:rPr>
          <w:rFonts w:hint="default" w:ascii="Times New Roman" w:hAnsi="Times New Roman" w:eastAsia="宋体" w:cs="Times New Roman"/>
          <w:color w:val="000000" w:themeColor="text1"/>
          <w:kern w:val="0"/>
          <w:sz w:val="28"/>
          <w:szCs w:val="28"/>
          <w14:textFill>
            <w14:solidFill>
              <w14:schemeClr w14:val="tx1"/>
            </w14:solidFill>
          </w14:textFill>
        </w:rPr>
        <w:t>万元，</w:t>
      </w:r>
      <w:r>
        <w:rPr>
          <w:rFonts w:hint="default" w:ascii="Times New Roman" w:hAnsi="Times New Roman" w:eastAsia="宋体" w:cs="Times New Roman"/>
          <w:color w:val="000000" w:themeColor="text1"/>
          <w:sz w:val="28"/>
          <w:szCs w:val="28"/>
          <w14:textFill>
            <w14:solidFill>
              <w14:schemeClr w14:val="tx1"/>
            </w14:solidFill>
          </w14:textFill>
        </w:rPr>
        <w:t>经费全部由矿山企业自筹。根据《</w:t>
      </w:r>
      <w:r>
        <w:rPr>
          <w:rFonts w:hint="eastAsia" w:cs="Times New Roman"/>
          <w:color w:val="000000" w:themeColor="text1"/>
          <w:sz w:val="28"/>
          <w:szCs w:val="28"/>
          <w:lang w:val="en-US" w:eastAsia="zh-CN"/>
          <w14:textFill>
            <w14:solidFill>
              <w14:schemeClr w14:val="tx1"/>
            </w14:solidFill>
          </w14:textFill>
        </w:rPr>
        <w:t>开发与治理综合方案</w:t>
      </w:r>
      <w:r>
        <w:rPr>
          <w:rFonts w:hint="default" w:ascii="Times New Roman" w:hAnsi="Times New Roman" w:eastAsia="宋体" w:cs="Times New Roman"/>
          <w:color w:val="000000" w:themeColor="text1"/>
          <w:sz w:val="28"/>
          <w:szCs w:val="28"/>
          <w14:textFill>
            <w14:solidFill>
              <w14:schemeClr w14:val="tx1"/>
            </w14:solidFill>
          </w14:textFill>
        </w:rPr>
        <w:t>》，矿山达产年利税总额</w:t>
      </w:r>
      <w:r>
        <w:rPr>
          <w:rFonts w:hint="eastAsia" w:cs="Times New Roman"/>
          <w:color w:val="000000" w:themeColor="text1"/>
          <w:sz w:val="28"/>
          <w:szCs w:val="28"/>
          <w:lang w:val="en-US" w:eastAsia="zh-CN"/>
          <w14:textFill>
            <w14:solidFill>
              <w14:schemeClr w14:val="tx1"/>
            </w14:solidFill>
          </w14:textFill>
        </w:rPr>
        <w:t>258.63</w:t>
      </w:r>
      <w:r>
        <w:rPr>
          <w:rFonts w:hint="default" w:ascii="Times New Roman" w:hAnsi="Times New Roman" w:eastAsia="宋体" w:cs="Times New Roman"/>
          <w:color w:val="000000" w:themeColor="text1"/>
          <w:sz w:val="28"/>
          <w:szCs w:val="28"/>
          <w14:textFill>
            <w14:solidFill>
              <w14:schemeClr w14:val="tx1"/>
            </w14:solidFill>
          </w14:textFill>
        </w:rPr>
        <w:t>万元/a，实现利润总额</w:t>
      </w:r>
      <w:r>
        <w:rPr>
          <w:rFonts w:hint="eastAsia" w:cs="Times New Roman"/>
          <w:color w:val="000000" w:themeColor="text1"/>
          <w:sz w:val="28"/>
          <w:szCs w:val="28"/>
          <w:lang w:val="en-US" w:eastAsia="zh-CN"/>
          <w14:textFill>
            <w14:solidFill>
              <w14:schemeClr w14:val="tx1"/>
            </w14:solidFill>
          </w14:textFill>
        </w:rPr>
        <w:t>192.19</w:t>
      </w:r>
      <w:r>
        <w:rPr>
          <w:rFonts w:hint="default" w:ascii="Times New Roman" w:hAnsi="Times New Roman" w:eastAsia="宋体" w:cs="Times New Roman"/>
          <w:color w:val="000000" w:themeColor="text1"/>
          <w:sz w:val="28"/>
          <w:szCs w:val="28"/>
          <w14:textFill>
            <w14:solidFill>
              <w14:schemeClr w14:val="tx1"/>
            </w14:solidFill>
          </w14:textFill>
        </w:rPr>
        <w:t>万元/a，税后利润</w:t>
      </w:r>
      <w:r>
        <w:rPr>
          <w:rFonts w:hint="eastAsia" w:cs="Times New Roman"/>
          <w:color w:val="000000" w:themeColor="text1"/>
          <w:sz w:val="28"/>
          <w:szCs w:val="28"/>
          <w:lang w:val="en-US" w:eastAsia="zh-CN"/>
          <w14:textFill>
            <w14:solidFill>
              <w14:schemeClr w14:val="tx1"/>
            </w14:solidFill>
          </w14:textFill>
        </w:rPr>
        <w:t>144.14</w:t>
      </w:r>
      <w:r>
        <w:rPr>
          <w:rFonts w:hint="default" w:ascii="Times New Roman" w:hAnsi="Times New Roman" w:eastAsia="宋体" w:cs="Times New Roman"/>
          <w:color w:val="000000" w:themeColor="text1"/>
          <w:sz w:val="28"/>
          <w:szCs w:val="28"/>
          <w14:textFill>
            <w14:solidFill>
              <w14:schemeClr w14:val="tx1"/>
            </w14:solidFill>
          </w14:textFill>
        </w:rPr>
        <w:t>万元/a。矿山地质环境治理工程在项目总投资中占比不大，建设投资回收期较短，矿山企业有能力实施该工程。</w:t>
      </w:r>
    </w:p>
    <w:p w14:paraId="14AA4295">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outlineLvl w:val="3"/>
        <w:rPr>
          <w:rFonts w:hint="default" w:ascii="Times New Roman" w:hAnsi="Times New Roman" w:eastAsia="宋体" w:cs="Times New Roman"/>
          <w:b/>
          <w:bCs/>
          <w:color w:val="000000" w:themeColor="text1"/>
          <w:sz w:val="28"/>
          <w:szCs w:val="28"/>
          <w14:textFill>
            <w14:solidFill>
              <w14:schemeClr w14:val="tx1"/>
            </w14:solidFill>
          </w14:textFill>
        </w:rPr>
      </w:pPr>
      <w:r>
        <w:rPr>
          <w:rFonts w:hint="default" w:ascii="Times New Roman" w:hAnsi="Times New Roman" w:eastAsia="宋体" w:cs="Times New Roman"/>
          <w:b/>
          <w:bCs/>
          <w:color w:val="000000" w:themeColor="text1"/>
          <w:sz w:val="28"/>
          <w:szCs w:val="28"/>
          <w14:textFill>
            <w14:solidFill>
              <w14:schemeClr w14:val="tx1"/>
            </w14:solidFill>
          </w14:textFill>
        </w:rPr>
        <w:t>（二）土地复垦可行性分析</w:t>
      </w:r>
    </w:p>
    <w:p w14:paraId="62C905CD">
      <w:pPr>
        <w:spacing w:line="360" w:lineRule="auto"/>
        <w:ind w:firstLine="560" w:firstLineChars="200"/>
        <w:rPr>
          <w:rFonts w:hint="default" w:ascii="Times New Roman" w:hAnsi="Times New Roman" w:eastAsia="宋体" w:cs="Times New Roman"/>
          <w:color w:val="000000" w:themeColor="text1"/>
          <w:sz w:val="24"/>
          <w:szCs w:val="24"/>
          <w14:textFill>
            <w14:solidFill>
              <w14:schemeClr w14:val="tx1"/>
            </w14:solidFill>
          </w14:textFill>
        </w:rPr>
      </w:pPr>
      <w:bookmarkStart w:id="51" w:name="_Hlk221370182"/>
      <w:r>
        <w:rPr>
          <w:rFonts w:hint="default" w:ascii="Times New Roman" w:hAnsi="Times New Roman" w:eastAsia="宋体" w:cs="Times New Roman"/>
          <w:color w:val="000000" w:themeColor="text1"/>
          <w:sz w:val="28"/>
          <w:szCs w:val="28"/>
          <w14:textFill>
            <w14:solidFill>
              <w14:schemeClr w14:val="tx1"/>
            </w14:solidFill>
          </w14:textFill>
        </w:rPr>
        <w:t>根据前文土地损毁问题诊断评价结果，</w:t>
      </w:r>
      <w:r>
        <w:rPr>
          <w:rFonts w:hint="eastAsia" w:cs="Times New Roman"/>
          <w:color w:val="000000" w:themeColor="text1"/>
          <w:sz w:val="28"/>
          <w:szCs w:val="28"/>
          <w:lang w:val="en-US" w:eastAsia="zh-CN"/>
          <w14:textFill>
            <w14:solidFill>
              <w14:schemeClr w14:val="tx1"/>
            </w14:solidFill>
          </w14:textFill>
        </w:rPr>
        <w:t>拟建露天采场1、拟建露天采场2、拟建储水池、露天采场2、工业场地、成品砖堆放场、料堆、表土存放场、办公生活区与矿区道路</w:t>
      </w:r>
      <w:r>
        <w:rPr>
          <w:rFonts w:hint="default" w:ascii="Times New Roman" w:hAnsi="Times New Roman" w:eastAsia="宋体" w:cs="Times New Roman"/>
          <w:color w:val="000000" w:themeColor="text1"/>
          <w:sz w:val="28"/>
          <w:szCs w:val="28"/>
          <w14:textFill>
            <w14:solidFill>
              <w14:schemeClr w14:val="tx1"/>
            </w14:solidFill>
          </w14:textFill>
        </w:rPr>
        <w:t>等对土地</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资源</w:t>
      </w:r>
      <w:r>
        <w:rPr>
          <w:rFonts w:hint="default" w:ascii="Times New Roman" w:hAnsi="Times New Roman" w:eastAsia="宋体" w:cs="Times New Roman"/>
          <w:color w:val="000000" w:themeColor="text1"/>
          <w:sz w:val="28"/>
          <w:szCs w:val="28"/>
          <w14:textFill>
            <w14:solidFill>
              <w14:schemeClr w14:val="tx1"/>
            </w14:solidFill>
          </w14:textFill>
        </w:rPr>
        <w:t>造成了损毁，表层土壤结构被破坏，对损毁区域进行修复的主要工程为土壤重构、植被重建。</w:t>
      </w:r>
    </w:p>
    <w:p w14:paraId="6B51DB9D">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lang w:val="en-US" w:eastAsia="zh-CN"/>
          <w14:textFill>
            <w14:solidFill>
              <w14:schemeClr w14:val="tx1"/>
            </w14:solidFill>
          </w14:textFill>
        </w:rPr>
        <w:t>因该矿山为粘土矿，故</w:t>
      </w:r>
      <w:r>
        <w:rPr>
          <w:rFonts w:hint="default" w:ascii="Times New Roman" w:hAnsi="Times New Roman" w:eastAsia="宋体" w:cs="Times New Roman"/>
          <w:color w:val="000000" w:themeColor="text1"/>
          <w:sz w:val="28"/>
          <w:szCs w:val="28"/>
          <w14:textFill>
            <w14:solidFill>
              <w14:schemeClr w14:val="tx1"/>
            </w14:solidFill>
          </w14:textFill>
        </w:rPr>
        <w:t>土壤重构工程针对表层土壤破坏的区域</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主要</w:t>
      </w:r>
      <w:r>
        <w:rPr>
          <w:rFonts w:hint="default" w:ascii="Times New Roman" w:hAnsi="Times New Roman" w:eastAsia="宋体" w:cs="Times New Roman"/>
          <w:color w:val="000000" w:themeColor="text1"/>
          <w:sz w:val="28"/>
          <w:szCs w:val="28"/>
          <w14:textFill>
            <w14:solidFill>
              <w14:schemeClr w14:val="tx1"/>
            </w14:solidFill>
          </w14:textFill>
        </w:rPr>
        <w:t>措施为</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翻耕</w:t>
      </w:r>
      <w:r>
        <w:rPr>
          <w:rFonts w:hint="default" w:ascii="Times New Roman" w:hAnsi="Times New Roman" w:eastAsia="宋体" w:cs="Times New Roman"/>
          <w:color w:val="000000" w:themeColor="text1"/>
          <w:sz w:val="28"/>
          <w:szCs w:val="28"/>
          <w14:textFill>
            <w14:solidFill>
              <w14:schemeClr w14:val="tx1"/>
            </w14:solidFill>
          </w14:textFill>
        </w:rPr>
        <w:t>工程，</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通过对压实的土层进行翻耕，</w:t>
      </w:r>
      <w:r>
        <w:rPr>
          <w:rFonts w:hint="default" w:ascii="Times New Roman" w:hAnsi="Times New Roman" w:eastAsia="宋体" w:cs="Times New Roman"/>
          <w:color w:val="000000" w:themeColor="text1"/>
          <w:sz w:val="28"/>
          <w:szCs w:val="28"/>
          <w14:textFill>
            <w14:solidFill>
              <w14:schemeClr w14:val="tx1"/>
            </w14:solidFill>
          </w14:textFill>
        </w:rPr>
        <w:t>并对土层进行施肥，有利于改善土壤的理化性质以及土壤圈的生态环境，创造植被恢复的条件。</w:t>
      </w:r>
    </w:p>
    <w:p w14:paraId="1CCDE6FC">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植被重建工程对土壤表面设计恢复植被，植被类型参照损毁区域原生的植被种类及周边区域的植被种类设计，并结合当地自然气候条件，土地利用现状及国土空间规划等相关规划实施，选择成活率高、易于管理、植种简单、适合当地植被生长的植被类型，方案设计以耐旱耐寒树苗、草籽采用人工撒播的方式进行植被重建。</w:t>
      </w:r>
    </w:p>
    <w:p w14:paraId="222317E8">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上述土地复垦技术中土壤重构工程与植被恢复措施均为常规施工项目，技术上比较成熟，应用比较普遍，操作难度简单，较容易达到治理目的，实施相对切实可行。</w:t>
      </w:r>
    </w:p>
    <w:p w14:paraId="62746BCD">
      <w:pPr>
        <w:spacing w:line="360" w:lineRule="auto"/>
        <w:ind w:firstLine="560" w:firstLineChars="200"/>
        <w:outlineLvl w:val="9"/>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kern w:val="0"/>
          <w:sz w:val="28"/>
          <w:szCs w:val="28"/>
          <w14:textFill>
            <w14:solidFill>
              <w14:schemeClr w14:val="tx1"/>
            </w14:solidFill>
          </w14:textFill>
        </w:rPr>
        <w:t>通过上述土地复垦工程，经估算，矿山土地复垦工程总费用为</w:t>
      </w:r>
      <w:r>
        <w:rPr>
          <w:rFonts w:hint="eastAsia" w:cs="Times New Roman"/>
          <w:color w:val="000000" w:themeColor="text1"/>
          <w:kern w:val="0"/>
          <w:sz w:val="28"/>
          <w:szCs w:val="28"/>
          <w:lang w:val="en-US" w:eastAsia="zh-CN"/>
          <w14:textFill>
            <w14:solidFill>
              <w14:schemeClr w14:val="tx1"/>
            </w14:solidFill>
          </w14:textFill>
        </w:rPr>
        <w:t>62.8</w:t>
      </w:r>
      <w:r>
        <w:rPr>
          <w:rFonts w:hint="default" w:ascii="Times New Roman" w:hAnsi="Times New Roman" w:eastAsia="宋体" w:cs="Times New Roman"/>
          <w:color w:val="000000" w:themeColor="text1"/>
          <w:kern w:val="0"/>
          <w:sz w:val="28"/>
          <w:szCs w:val="28"/>
          <w14:textFill>
            <w14:solidFill>
              <w14:schemeClr w14:val="tx1"/>
            </w14:solidFill>
          </w14:textFill>
        </w:rPr>
        <w:t>万元，</w:t>
      </w:r>
      <w:r>
        <w:rPr>
          <w:rFonts w:hint="default" w:ascii="Times New Roman" w:hAnsi="Times New Roman" w:eastAsia="宋体" w:cs="Times New Roman"/>
          <w:color w:val="000000" w:themeColor="text1"/>
          <w:sz w:val="28"/>
          <w:szCs w:val="28"/>
          <w14:textFill>
            <w14:solidFill>
              <w14:schemeClr w14:val="tx1"/>
            </w14:solidFill>
          </w14:textFill>
        </w:rPr>
        <w:t>经费全部由矿山企业自筹。根据矿山提供的《</w:t>
      </w:r>
      <w:r>
        <w:rPr>
          <w:rFonts w:hint="eastAsia" w:cs="Times New Roman"/>
          <w:color w:val="000000" w:themeColor="text1"/>
          <w:sz w:val="28"/>
          <w:szCs w:val="28"/>
          <w:lang w:val="en-US" w:eastAsia="zh-CN"/>
          <w14:textFill>
            <w14:solidFill>
              <w14:schemeClr w14:val="tx1"/>
            </w14:solidFill>
          </w14:textFill>
        </w:rPr>
        <w:t>开发与治理综合方案</w:t>
      </w:r>
      <w:r>
        <w:rPr>
          <w:rFonts w:hint="default" w:ascii="Times New Roman" w:hAnsi="Times New Roman" w:eastAsia="宋体" w:cs="Times New Roman"/>
          <w:color w:val="000000" w:themeColor="text1"/>
          <w:sz w:val="28"/>
          <w:szCs w:val="28"/>
          <w14:textFill>
            <w14:solidFill>
              <w14:schemeClr w14:val="tx1"/>
            </w14:solidFill>
          </w14:textFill>
        </w:rPr>
        <w:t>》资料，矿山达产年利税总额</w:t>
      </w:r>
      <w:r>
        <w:rPr>
          <w:rFonts w:hint="eastAsia" w:cs="Times New Roman"/>
          <w:color w:val="000000" w:themeColor="text1"/>
          <w:sz w:val="28"/>
          <w:szCs w:val="28"/>
          <w:lang w:val="en-US" w:eastAsia="zh-CN"/>
          <w14:textFill>
            <w14:solidFill>
              <w14:schemeClr w14:val="tx1"/>
            </w14:solidFill>
          </w14:textFill>
        </w:rPr>
        <w:t>258.63</w:t>
      </w:r>
      <w:r>
        <w:rPr>
          <w:rFonts w:hint="default" w:ascii="Times New Roman" w:hAnsi="Times New Roman" w:eastAsia="宋体" w:cs="Times New Roman"/>
          <w:color w:val="000000" w:themeColor="text1"/>
          <w:sz w:val="28"/>
          <w:szCs w:val="28"/>
          <w14:textFill>
            <w14:solidFill>
              <w14:schemeClr w14:val="tx1"/>
            </w14:solidFill>
          </w14:textFill>
        </w:rPr>
        <w:t>万元/</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年</w:t>
      </w:r>
      <w:r>
        <w:rPr>
          <w:rFonts w:hint="default" w:ascii="Times New Roman" w:hAnsi="Times New Roman" w:eastAsia="宋体" w:cs="Times New Roman"/>
          <w:color w:val="000000" w:themeColor="text1"/>
          <w:sz w:val="28"/>
          <w:szCs w:val="28"/>
          <w14:textFill>
            <w14:solidFill>
              <w14:schemeClr w14:val="tx1"/>
            </w14:solidFill>
          </w14:textFill>
        </w:rPr>
        <w:t>，实现利润总额</w:t>
      </w:r>
      <w:r>
        <w:rPr>
          <w:rFonts w:hint="eastAsia" w:cs="Times New Roman"/>
          <w:color w:val="000000" w:themeColor="text1"/>
          <w:sz w:val="28"/>
          <w:szCs w:val="28"/>
          <w:lang w:val="en-US" w:eastAsia="zh-CN"/>
          <w14:textFill>
            <w14:solidFill>
              <w14:schemeClr w14:val="tx1"/>
            </w14:solidFill>
          </w14:textFill>
        </w:rPr>
        <w:t>192.19</w:t>
      </w:r>
      <w:r>
        <w:rPr>
          <w:rFonts w:hint="default" w:ascii="Times New Roman" w:hAnsi="Times New Roman" w:eastAsia="宋体" w:cs="Times New Roman"/>
          <w:color w:val="000000" w:themeColor="text1"/>
          <w:sz w:val="28"/>
          <w:szCs w:val="28"/>
          <w14:textFill>
            <w14:solidFill>
              <w14:schemeClr w14:val="tx1"/>
            </w14:solidFill>
          </w14:textFill>
        </w:rPr>
        <w:t>万元/</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年</w:t>
      </w:r>
      <w:r>
        <w:rPr>
          <w:rFonts w:hint="default" w:ascii="Times New Roman" w:hAnsi="Times New Roman" w:eastAsia="宋体" w:cs="Times New Roman"/>
          <w:color w:val="000000" w:themeColor="text1"/>
          <w:sz w:val="28"/>
          <w:szCs w:val="28"/>
          <w14:textFill>
            <w14:solidFill>
              <w14:schemeClr w14:val="tx1"/>
            </w14:solidFill>
          </w14:textFill>
        </w:rPr>
        <w:t>，税后利润</w:t>
      </w:r>
      <w:r>
        <w:rPr>
          <w:rFonts w:hint="eastAsia" w:cs="Times New Roman"/>
          <w:color w:val="000000" w:themeColor="text1"/>
          <w:sz w:val="28"/>
          <w:szCs w:val="28"/>
          <w:lang w:val="en-US" w:eastAsia="zh-CN"/>
          <w14:textFill>
            <w14:solidFill>
              <w14:schemeClr w14:val="tx1"/>
            </w14:solidFill>
          </w14:textFill>
        </w:rPr>
        <w:t>144.14</w:t>
      </w:r>
      <w:r>
        <w:rPr>
          <w:rFonts w:hint="default" w:ascii="Times New Roman" w:hAnsi="Times New Roman" w:eastAsia="宋体" w:cs="Times New Roman"/>
          <w:color w:val="000000" w:themeColor="text1"/>
          <w:sz w:val="28"/>
          <w:szCs w:val="28"/>
          <w14:textFill>
            <w14:solidFill>
              <w14:schemeClr w14:val="tx1"/>
            </w14:solidFill>
          </w14:textFill>
        </w:rPr>
        <w:t>万元/</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年</w:t>
      </w:r>
      <w:r>
        <w:rPr>
          <w:rFonts w:hint="default" w:ascii="Times New Roman" w:hAnsi="Times New Roman" w:eastAsia="宋体" w:cs="Times New Roman"/>
          <w:color w:val="000000" w:themeColor="text1"/>
          <w:sz w:val="28"/>
          <w:szCs w:val="28"/>
          <w14:textFill>
            <w14:solidFill>
              <w14:schemeClr w14:val="tx1"/>
            </w14:solidFill>
          </w14:textFill>
        </w:rPr>
        <w:t>。矿山土地复垦工程在项目总投资中占比不大，建设投资回收期较短，矿山企业有能力实施该工程。</w:t>
      </w:r>
    </w:p>
    <w:p w14:paraId="68D32908">
      <w:pPr>
        <w:spacing w:line="360" w:lineRule="auto"/>
        <w:ind w:firstLine="562" w:firstLineChars="200"/>
        <w:outlineLvl w:val="3"/>
        <w:rPr>
          <w:rFonts w:hint="default" w:ascii="Times New Roman" w:hAnsi="Times New Roman" w:eastAsia="宋体" w:cs="Times New Roman"/>
          <w:b/>
          <w:bCs/>
          <w:color w:val="000000" w:themeColor="text1"/>
          <w:sz w:val="28"/>
          <w:szCs w:val="28"/>
          <w14:textFill>
            <w14:solidFill>
              <w14:schemeClr w14:val="tx1"/>
            </w14:solidFill>
          </w14:textFill>
        </w:rPr>
      </w:pPr>
      <w:r>
        <w:rPr>
          <w:rFonts w:hint="default" w:ascii="Times New Roman" w:hAnsi="Times New Roman" w:eastAsia="宋体" w:cs="Times New Roman"/>
          <w:b/>
          <w:bCs/>
          <w:color w:val="000000" w:themeColor="text1"/>
          <w:sz w:val="28"/>
          <w:szCs w:val="28"/>
          <w14:textFill>
            <w14:solidFill>
              <w14:schemeClr w14:val="tx1"/>
            </w14:solidFill>
          </w14:textFill>
        </w:rPr>
        <w:t>（三）生态系统修复</w:t>
      </w:r>
      <w:bookmarkEnd w:id="51"/>
      <w:r>
        <w:rPr>
          <w:rFonts w:hint="default" w:ascii="Times New Roman" w:hAnsi="Times New Roman" w:eastAsia="宋体" w:cs="Times New Roman"/>
          <w:b/>
          <w:bCs/>
          <w:color w:val="000000" w:themeColor="text1"/>
          <w:sz w:val="28"/>
          <w:szCs w:val="28"/>
          <w14:textFill>
            <w14:solidFill>
              <w14:schemeClr w14:val="tx1"/>
            </w14:solidFill>
          </w14:textFill>
        </w:rPr>
        <w:t>可行性分析</w:t>
      </w:r>
    </w:p>
    <w:p w14:paraId="07D9F7D1">
      <w:pPr>
        <w:spacing w:line="360" w:lineRule="auto"/>
        <w:ind w:firstLine="560" w:firstLineChars="200"/>
        <w:outlineLvl w:val="4"/>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1、植被恢复技术可行性分析</w:t>
      </w:r>
    </w:p>
    <w:p w14:paraId="5004D395">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评估区损毁地类主要为耕地、林地、采矿用地及交通运输用地，结合矿山及周边矿山生态修复案例、周边地形地貌综合分析，矿山开采结束后，修复区经地貌重塑、土壤重构工程后，可以满足恢复耕地、林地、草地的要求，植被恢复技术可行。</w:t>
      </w:r>
    </w:p>
    <w:p w14:paraId="5162DEC1">
      <w:pPr>
        <w:spacing w:line="360" w:lineRule="auto"/>
        <w:ind w:firstLine="560" w:firstLineChars="200"/>
        <w:outlineLvl w:val="4"/>
        <w:rPr>
          <w:rFonts w:hint="eastAsia" w:ascii="Times New Roman" w:hAnsi="Times New Roman" w:eastAsia="宋体" w:cs="Times New Roman"/>
          <w:color w:val="000000" w:themeColor="text1"/>
          <w:sz w:val="28"/>
          <w:szCs w:val="28"/>
          <w:lang w:val="en-US"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2、土壤重构工程可行性分析</w:t>
      </w:r>
    </w:p>
    <w:p w14:paraId="7A2FD29D">
      <w:pPr>
        <w:spacing w:line="360" w:lineRule="auto"/>
        <w:ind w:firstLine="560" w:firstLineChars="200"/>
        <w:outlineLvl w:val="9"/>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土壤重构旨在解决矿区土壤贫瘠、理化性质恶化、重金属污染等问题，为植被恢复提供生境基础。技术上，可通过客土覆盖、土壤改良剂施用（如有机肥、黏土矿物、微生物菌剂）、深耕翻培及植物-微生物联合修复等方法，逐步恢复土壤肥力与生态功能。经济可行性上，土壤重构的成本主要来源于客土来源、改良材料及人工投入，但可通过就地消纳矿区污泥、城市绿化废弃土、有机固废等资源降低客土成本，同时结合修复后土地的农业或生态产出实现价值回流。土壤重构虽前期投入较高，但通过因地制宜、循环利用当地资源，并匹配适宜的土地再利用模式，其长期生态与经济效益显著，具备经济可行性。</w:t>
      </w:r>
    </w:p>
    <w:p w14:paraId="6435DFFB">
      <w:pPr>
        <w:spacing w:line="360" w:lineRule="auto"/>
        <w:ind w:firstLine="560" w:firstLineChars="200"/>
        <w:outlineLvl w:val="4"/>
        <w:rPr>
          <w:rFonts w:hint="default" w:ascii="Times New Roman" w:hAnsi="Times New Roman" w:eastAsia="宋体"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3</w:t>
      </w:r>
      <w:r>
        <w:rPr>
          <w:rFonts w:hint="default" w:ascii="Times New Roman" w:hAnsi="Times New Roman" w:eastAsia="宋体" w:cs="Times New Roman"/>
          <w:color w:val="000000" w:themeColor="text1"/>
          <w:sz w:val="28"/>
          <w:szCs w:val="28"/>
          <w14:textFill>
            <w14:solidFill>
              <w14:schemeClr w14:val="tx1"/>
            </w14:solidFill>
          </w14:textFill>
        </w:rPr>
        <w:t>、生物多样性恢复可行性</w:t>
      </w:r>
    </w:p>
    <w:p w14:paraId="587804C7">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通过矿区植被重建，优先选择本地耐贫瘠的乡土乔木、灌木和草本植物，预计可在3-5年内形成稳定的植被覆盖层，逐步提升物种多样性。构建生态廊道，通过设置野生动物通道如涵洞，连接被道路或矿坑隔断的栖息地，促进物种迁移和交流，降低栖息地隔离的负面效应。土壤改良是植被恢复的基础，可通过施加有机肥改善土壤肥力，使用石灰中和酸性土壤，并种植特定的超富集植物，为后续植物定植创造有利条件。建立完善的监测体系是保障恢复效果的关键，利用红外相机监测野生动物活动，布设水质传感器跟踪污染变化，并定期评估物种丰富度、群落结构等生态指标，以便根据实际情况动态调整修复策略，确保生态系统恢复的稳定性和可持续性。</w:t>
      </w:r>
    </w:p>
    <w:p w14:paraId="51CAA985">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以上技术较成熟、可操作性强，因此，矿区生物多样性的恢复是可行的。</w:t>
      </w:r>
    </w:p>
    <w:p w14:paraId="66D63240">
      <w:pPr>
        <w:spacing w:line="360" w:lineRule="auto"/>
        <w:ind w:firstLine="560" w:firstLineChars="200"/>
        <w:outlineLvl w:val="4"/>
        <w:rPr>
          <w:rFonts w:hint="default" w:ascii="Times New Roman" w:hAnsi="Times New Roman" w:eastAsia="宋体"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4</w:t>
      </w:r>
      <w:r>
        <w:rPr>
          <w:rFonts w:hint="default" w:ascii="Times New Roman" w:hAnsi="Times New Roman" w:eastAsia="宋体" w:cs="Times New Roman"/>
          <w:color w:val="000000" w:themeColor="text1"/>
          <w:sz w:val="28"/>
          <w:szCs w:val="28"/>
          <w14:textFill>
            <w14:solidFill>
              <w14:schemeClr w14:val="tx1"/>
            </w14:solidFill>
          </w14:textFill>
        </w:rPr>
        <w:t>、水土流失恢复可行性</w:t>
      </w:r>
    </w:p>
    <w:p w14:paraId="78CE5E02">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针对水土流失问题，主要的工程措施为快速控制侵蚀的基础，包括对不稳定边坡进行加固，以及对边坡绿化覆盖。同时，建设完善的排水系统能有效减少地表径流对土壤的冲刷，引导水流有序排放。生物措施的核心在于利用植被固土保水，种植具有发达深根系的植物能有效增强土壤的抗侵蚀能力。在地表覆盖枯枝落叶或秸秆等有机物，可以减少水分蒸发，缓冲雨滴对土壤的直接冲击，并抑制土壤流失。管理措施强调科学规划和长期维护，需要划分生态恢复的优先区域，并建立长效的维护机制，定期巡查工程设施的有效性，及时进行维护。</w:t>
      </w:r>
    </w:p>
    <w:p w14:paraId="7A532224">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以上技术较成熟、可操作性强，同时也是也是矿山日常生产工作不可分割部分因此，矿区水土流失恢复是可行的。</w:t>
      </w:r>
    </w:p>
    <w:p w14:paraId="6251A79A">
      <w:pPr>
        <w:spacing w:line="360" w:lineRule="auto"/>
        <w:ind w:firstLine="560" w:firstLineChars="200"/>
        <w:outlineLvl w:val="4"/>
        <w:rPr>
          <w:rFonts w:hint="default" w:ascii="Times New Roman" w:hAnsi="Times New Roman" w:eastAsia="宋体"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5</w:t>
      </w:r>
      <w:r>
        <w:rPr>
          <w:rFonts w:hint="default" w:ascii="Times New Roman" w:hAnsi="Times New Roman" w:eastAsia="宋体" w:cs="Times New Roman"/>
          <w:color w:val="000000" w:themeColor="text1"/>
          <w:sz w:val="28"/>
          <w:szCs w:val="28"/>
          <w14:textFill>
            <w14:solidFill>
              <w14:schemeClr w14:val="tx1"/>
            </w14:solidFill>
          </w14:textFill>
        </w:rPr>
        <w:t>、水土环境污染防治可行性</w:t>
      </w:r>
    </w:p>
    <w:p w14:paraId="0E2324F2">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由前文所述可知，矿山未来生产废水主要为生产生活废水。生产废水通过沉降作用除去淤泥和悬浮物，清水可返回采场进行采掘、除尘作业，部分污水经处理达标后用于厂区绿化等，对环境基本无影响。</w:t>
      </w:r>
    </w:p>
    <w:p w14:paraId="3B0963B1">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该矿山主要生活污水为洗漱废水及排泄物所组成。企业将建设防渗化粪池，生活污水经防渗化粪池处理后企业委托环卫部门定期清掏，不外排。采矿采出的废石集中堆放至废石堆内，根据本次方案的土壤检测报告以及水质检测报告，矿山各项检测指标均符合《地下水质量标准》（GB/T 14848-2017）Ⅲ类标准。矿山周边居民地下水取水井距离矿山距离较远，矿山污水经处理妥善后，不会对周边居民水源井水质造成影响。</w:t>
      </w:r>
    </w:p>
    <w:p w14:paraId="096472B6">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以上技术较成熟、可操作性强，对矿区水土环境污染进行监测也是矿山日常生产工作不可分割部分。水土环境污染防治主要强调预防及监测。所采取的废水处理等保护措施属于矿山主体工程，技术可行。</w:t>
      </w:r>
    </w:p>
    <w:p w14:paraId="6ACFA7D1">
      <w:pPr>
        <w:spacing w:line="360" w:lineRule="auto"/>
        <w:ind w:firstLine="560" w:firstLineChars="200"/>
        <w:outlineLvl w:val="4"/>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color w:val="000000" w:themeColor="text1"/>
          <w:sz w:val="28"/>
          <w:szCs w:val="28"/>
          <w:lang w:val="en-US" w:eastAsia="zh-CN"/>
          <w14:textFill>
            <w14:solidFill>
              <w14:schemeClr w14:val="tx1"/>
            </w14:solidFill>
          </w14:textFill>
        </w:rPr>
        <w:t>6</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、矿区生态系统恢复经济可行性</w:t>
      </w:r>
    </w:p>
    <w:p w14:paraId="735783DA">
      <w:pPr>
        <w:spacing w:line="360" w:lineRule="auto"/>
        <w:ind w:firstLine="560" w:firstLineChars="200"/>
        <w:rPr>
          <w:rFonts w:hint="default" w:ascii="Times New Roman" w:hAnsi="Times New Roman" w:cs="Times New Roman" w:eastAsiaTheme="minorEastAsia"/>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经调查询问，参考同类矿山生态修复恢复成本，矿区生态系统恢复总面积</w:t>
      </w:r>
      <w:r>
        <w:rPr>
          <w:rFonts w:hint="eastAsia" w:cs="Times New Roman"/>
          <w:color w:val="000000" w:themeColor="text1"/>
          <w:sz w:val="28"/>
          <w:szCs w:val="28"/>
          <w:lang w:val="en-US" w:eastAsia="zh-CN"/>
          <w14:textFill>
            <w14:solidFill>
              <w14:schemeClr w14:val="tx1"/>
            </w14:solidFill>
          </w14:textFill>
        </w:rPr>
        <w:t>10.72h</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，矿区生态系统恢复总费用为</w:t>
      </w:r>
      <w:r>
        <w:rPr>
          <w:rFonts w:hint="eastAsia" w:cs="Times New Roman"/>
          <w:color w:val="000000" w:themeColor="text1"/>
          <w:sz w:val="28"/>
          <w:szCs w:val="28"/>
          <w:lang w:val="en-US" w:eastAsia="zh-CN"/>
          <w14:textFill>
            <w14:solidFill>
              <w14:schemeClr w14:val="tx1"/>
            </w14:solidFill>
          </w14:textFill>
        </w:rPr>
        <w:t>29.40</w:t>
      </w:r>
      <w:r>
        <w:rPr>
          <w:rFonts w:hint="default" w:ascii="Times New Roman" w:hAnsi="Times New Roman" w:eastAsia="宋体" w:cs="Times New Roman"/>
          <w:color w:val="000000" w:themeColor="text1"/>
          <w:sz w:val="28"/>
          <w:szCs w:val="28"/>
          <w14:textFill>
            <w14:solidFill>
              <w14:schemeClr w14:val="tx1"/>
            </w14:solidFill>
          </w14:textFill>
        </w:rPr>
        <w:t>万元，经费全部由矿山企业自筹。根据《</w:t>
      </w:r>
      <w:r>
        <w:rPr>
          <w:rFonts w:hint="eastAsia" w:cs="Times New Roman"/>
          <w:color w:val="000000" w:themeColor="text1"/>
          <w:sz w:val="28"/>
          <w:szCs w:val="28"/>
          <w:lang w:val="en-US" w:eastAsia="zh-CN"/>
          <w14:textFill>
            <w14:solidFill>
              <w14:schemeClr w14:val="tx1"/>
            </w14:solidFill>
          </w14:textFill>
        </w:rPr>
        <w:t>开发与治理综合方案</w:t>
      </w:r>
      <w:r>
        <w:rPr>
          <w:rFonts w:hint="default" w:ascii="Times New Roman" w:hAnsi="Times New Roman" w:eastAsia="宋体" w:cs="Times New Roman"/>
          <w:color w:val="000000" w:themeColor="text1"/>
          <w:sz w:val="28"/>
          <w:szCs w:val="28"/>
          <w14:textFill>
            <w14:solidFill>
              <w14:schemeClr w14:val="tx1"/>
            </w14:solidFill>
          </w14:textFill>
        </w:rPr>
        <w:t>》，矿山达产年利税总额</w:t>
      </w:r>
      <w:r>
        <w:rPr>
          <w:rFonts w:hint="eastAsia" w:cs="Times New Roman"/>
          <w:color w:val="000000" w:themeColor="text1"/>
          <w:sz w:val="28"/>
          <w:szCs w:val="28"/>
          <w:lang w:val="en-US" w:eastAsia="zh-CN"/>
          <w14:textFill>
            <w14:solidFill>
              <w14:schemeClr w14:val="tx1"/>
            </w14:solidFill>
          </w14:textFill>
        </w:rPr>
        <w:t>258.63</w:t>
      </w:r>
      <w:r>
        <w:rPr>
          <w:rFonts w:hint="default" w:ascii="Times New Roman" w:hAnsi="Times New Roman" w:eastAsia="宋体" w:cs="Times New Roman"/>
          <w:color w:val="000000" w:themeColor="text1"/>
          <w:sz w:val="28"/>
          <w:szCs w:val="28"/>
          <w14:textFill>
            <w14:solidFill>
              <w14:schemeClr w14:val="tx1"/>
            </w14:solidFill>
          </w14:textFill>
        </w:rPr>
        <w:t>万元/a。实现利润总额</w:t>
      </w:r>
      <w:r>
        <w:rPr>
          <w:rFonts w:hint="eastAsia" w:cs="Times New Roman"/>
          <w:color w:val="000000" w:themeColor="text1"/>
          <w:sz w:val="28"/>
          <w:szCs w:val="28"/>
          <w:lang w:val="en-US" w:eastAsia="zh-CN"/>
          <w14:textFill>
            <w14:solidFill>
              <w14:schemeClr w14:val="tx1"/>
            </w14:solidFill>
          </w14:textFill>
        </w:rPr>
        <w:t>192.19</w:t>
      </w:r>
      <w:r>
        <w:rPr>
          <w:rFonts w:hint="default" w:ascii="Times New Roman" w:hAnsi="Times New Roman" w:eastAsia="宋体" w:cs="Times New Roman"/>
          <w:color w:val="000000" w:themeColor="text1"/>
          <w:sz w:val="28"/>
          <w:szCs w:val="28"/>
          <w14:textFill>
            <w14:solidFill>
              <w14:schemeClr w14:val="tx1"/>
            </w14:solidFill>
          </w14:textFill>
        </w:rPr>
        <w:t>万元/</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年</w:t>
      </w:r>
      <w:r>
        <w:rPr>
          <w:rFonts w:hint="default" w:ascii="Times New Roman" w:hAnsi="Times New Roman" w:eastAsia="宋体" w:cs="Times New Roman"/>
          <w:color w:val="000000" w:themeColor="text1"/>
          <w:sz w:val="28"/>
          <w:szCs w:val="28"/>
          <w14:textFill>
            <w14:solidFill>
              <w14:schemeClr w14:val="tx1"/>
            </w14:solidFill>
          </w14:textFill>
        </w:rPr>
        <w:t>，税后利润</w:t>
      </w:r>
      <w:r>
        <w:rPr>
          <w:rFonts w:hint="eastAsia" w:cs="Times New Roman"/>
          <w:color w:val="000000" w:themeColor="text1"/>
          <w:sz w:val="28"/>
          <w:szCs w:val="28"/>
          <w:lang w:val="en-US" w:eastAsia="zh-CN"/>
          <w14:textFill>
            <w14:solidFill>
              <w14:schemeClr w14:val="tx1"/>
            </w14:solidFill>
          </w14:textFill>
        </w:rPr>
        <w:t>144.14</w:t>
      </w:r>
      <w:r>
        <w:rPr>
          <w:rFonts w:hint="default" w:ascii="Times New Roman" w:hAnsi="Times New Roman" w:eastAsia="宋体" w:cs="Times New Roman"/>
          <w:color w:val="000000" w:themeColor="text1"/>
          <w:sz w:val="28"/>
          <w:szCs w:val="28"/>
          <w14:textFill>
            <w14:solidFill>
              <w14:schemeClr w14:val="tx1"/>
            </w14:solidFill>
          </w14:textFill>
        </w:rPr>
        <w:t>万元/</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年</w:t>
      </w:r>
      <w:r>
        <w:rPr>
          <w:rFonts w:hint="default" w:ascii="Times New Roman" w:hAnsi="Times New Roman" w:eastAsia="宋体" w:cs="Times New Roman"/>
          <w:color w:val="000000" w:themeColor="text1"/>
          <w:sz w:val="28"/>
          <w:szCs w:val="28"/>
          <w14:textFill>
            <w14:solidFill>
              <w14:schemeClr w14:val="tx1"/>
            </w14:solidFill>
          </w14:textFill>
        </w:rPr>
        <w:t>。矿区生态系统恢复工程在项目总投资中占比不大，建设投资回收期较短，矿山企业有能力实施该工程。</w:t>
      </w:r>
    </w:p>
    <w:p w14:paraId="7296CAF6">
      <w:pPr>
        <w:pStyle w:val="5"/>
        <w:bidi w:val="0"/>
        <w:spacing w:line="360" w:lineRule="auto"/>
        <w:ind w:firstLine="562" w:firstLineChars="200"/>
        <w:rPr>
          <w:rFonts w:hint="default"/>
          <w:b/>
          <w:bCs/>
          <w:color w:val="000000" w:themeColor="text1"/>
          <w:sz w:val="28"/>
          <w:szCs w:val="24"/>
          <w:lang w:val="en-US" w:eastAsia="zh-CN"/>
          <w14:textFill>
            <w14:solidFill>
              <w14:schemeClr w14:val="tx1"/>
            </w14:solidFill>
          </w14:textFill>
        </w:rPr>
      </w:pPr>
      <w:r>
        <w:rPr>
          <w:rFonts w:hint="eastAsia"/>
          <w:b/>
          <w:bCs/>
          <w:color w:val="000000" w:themeColor="text1"/>
          <w:sz w:val="28"/>
          <w:szCs w:val="24"/>
          <w:lang w:val="en-US" w:eastAsia="zh-CN"/>
          <w14:textFill>
            <w14:solidFill>
              <w14:schemeClr w14:val="tx1"/>
            </w14:solidFill>
          </w14:textFill>
        </w:rPr>
        <w:t>二、</w:t>
      </w:r>
      <w:r>
        <w:rPr>
          <w:rFonts w:hint="default"/>
          <w:b/>
          <w:bCs/>
          <w:color w:val="000000" w:themeColor="text1"/>
          <w:sz w:val="28"/>
          <w:szCs w:val="24"/>
          <w:lang w:val="en-US" w:eastAsia="zh-CN"/>
          <w14:textFill>
            <w14:solidFill>
              <w14:schemeClr w14:val="tx1"/>
            </w14:solidFill>
          </w14:textFill>
        </w:rPr>
        <w:t>目标方向可行性分析</w:t>
      </w:r>
    </w:p>
    <w:p w14:paraId="31ABF160">
      <w:pPr>
        <w:spacing w:line="360" w:lineRule="auto"/>
        <w:ind w:firstLine="562" w:firstLineChars="200"/>
        <w:outlineLvl w:val="3"/>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b/>
          <w:bCs/>
          <w:color w:val="000000" w:themeColor="text1"/>
          <w:sz w:val="28"/>
          <w:szCs w:val="28"/>
          <w14:textFill>
            <w14:solidFill>
              <w14:schemeClr w14:val="tx1"/>
            </w14:solidFill>
          </w14:textFill>
        </w:rPr>
        <w:t>（一）参照生态系统确定</w:t>
      </w:r>
    </w:p>
    <w:p w14:paraId="2C57C538">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1、矿区自然条件分析</w:t>
      </w:r>
    </w:p>
    <w:p w14:paraId="3E35CAEA">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（1）气候与地形</w:t>
      </w:r>
    </w:p>
    <w:p w14:paraId="5EF92E26">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lang w:val="en-US" w:eastAsia="zh-CN"/>
          <w14:textFill>
            <w14:solidFill>
              <w14:schemeClr w14:val="tx1"/>
            </w14:solidFill>
          </w14:textFill>
        </w:rPr>
        <w:t>矿区</w:t>
      </w:r>
      <w:r>
        <w:rPr>
          <w:rFonts w:hint="default" w:ascii="Times New Roman" w:hAnsi="Times New Roman" w:eastAsia="宋体" w:cs="Times New Roman"/>
          <w:color w:val="000000" w:themeColor="text1"/>
          <w:sz w:val="28"/>
          <w:szCs w:val="28"/>
          <w14:textFill>
            <w14:solidFill>
              <w14:schemeClr w14:val="tx1"/>
            </w14:solidFill>
          </w14:textFill>
        </w:rPr>
        <w:t>属北温带半干旱大陆性季风气候区，冬季寒冷，夏季燥热，春秋多风沙。多年平均降水量为</w:t>
      </w:r>
      <w:r>
        <w:rPr>
          <w:rFonts w:hint="eastAsia" w:cs="Times New Roman"/>
          <w:color w:val="000000" w:themeColor="text1"/>
          <w:sz w:val="28"/>
          <w:szCs w:val="28"/>
          <w:lang w:val="en-US" w:eastAsia="zh-CN"/>
          <w14:textFill>
            <w14:solidFill>
              <w14:schemeClr w14:val="tx1"/>
            </w14:solidFill>
          </w14:textFill>
        </w:rPr>
        <w:t>401.9</w:t>
      </w:r>
      <w:r>
        <w:rPr>
          <w:rFonts w:hint="default" w:ascii="Times New Roman" w:hAnsi="Times New Roman" w:eastAsia="宋体" w:cs="Times New Roman"/>
          <w:color w:val="000000" w:themeColor="text1"/>
          <w:sz w:val="28"/>
          <w:szCs w:val="28"/>
          <w14:textFill>
            <w14:solidFill>
              <w14:schemeClr w14:val="tx1"/>
            </w14:solidFill>
          </w14:textFill>
        </w:rPr>
        <w:t>mm，降水多集中在6～8月份，占全年降水量的66%。</w:t>
      </w:r>
      <w:r>
        <w:rPr>
          <w:rFonts w:hint="default" w:ascii="Times New Roman" w:hAnsi="Times New Roman" w:cs="Times New Roman"/>
          <w:color w:val="000000" w:themeColor="text1"/>
          <w:kern w:val="0"/>
          <w:sz w:val="28"/>
          <w:szCs w:val="28"/>
          <w14:textFill>
            <w14:solidFill>
              <w14:schemeClr w14:val="tx1"/>
            </w14:solidFill>
          </w14:textFill>
        </w:rPr>
        <w:t>矿区属于</w:t>
      </w:r>
      <w:r>
        <w:rPr>
          <w:rFonts w:hint="eastAsia" w:cs="Times New Roman"/>
          <w:color w:val="000000" w:themeColor="text1"/>
          <w:kern w:val="0"/>
          <w:sz w:val="28"/>
          <w:szCs w:val="28"/>
          <w:lang w:val="en-US" w:eastAsia="zh-CN"/>
          <w14:textFill>
            <w14:solidFill>
              <w14:schemeClr w14:val="tx1"/>
            </w14:solidFill>
          </w14:textFill>
        </w:rPr>
        <w:t>丘陵</w:t>
      </w:r>
      <w:r>
        <w:rPr>
          <w:rFonts w:hint="default" w:ascii="Times New Roman" w:hAnsi="Times New Roman" w:cs="Times New Roman"/>
          <w:color w:val="000000" w:themeColor="text1"/>
          <w:kern w:val="0"/>
          <w:sz w:val="28"/>
          <w:szCs w:val="28"/>
          <w14:textFill>
            <w14:solidFill>
              <w14:schemeClr w14:val="tx1"/>
            </w14:solidFill>
          </w14:textFill>
        </w:rPr>
        <w:t>区。矿区</w:t>
      </w:r>
      <w:r>
        <w:rPr>
          <w:rFonts w:hint="default" w:ascii="Times New Roman" w:hAnsi="Times New Roman" w:cs="Times New Roman"/>
          <w:color w:val="000000" w:themeColor="text1"/>
          <w:kern w:val="0"/>
          <w:sz w:val="28"/>
          <w:szCs w:val="28"/>
          <w:lang w:val="en-US" w:eastAsia="zh-CN"/>
          <w14:textFill>
            <w14:solidFill>
              <w14:schemeClr w14:val="tx1"/>
            </w14:solidFill>
          </w14:textFill>
        </w:rPr>
        <w:t>内最高海拔标高489.06m，最低海拔标高478m，相对高差11.06m。</w:t>
      </w:r>
      <w:r>
        <w:rPr>
          <w:rFonts w:hint="default" w:ascii="Times New Roman" w:hAnsi="Times New Roman" w:eastAsia="宋体" w:cs="Times New Roman"/>
          <w:color w:val="000000" w:themeColor="text1"/>
          <w:sz w:val="28"/>
          <w:szCs w:val="28"/>
          <w14:textFill>
            <w14:solidFill>
              <w14:schemeClr w14:val="tx1"/>
            </w14:solidFill>
          </w14:textFill>
        </w:rPr>
        <w:t>矿区地势较缓，坡角一般</w:t>
      </w:r>
      <w:r>
        <w:rPr>
          <w:rFonts w:hint="eastAsia" w:cs="Times New Roman"/>
          <w:color w:val="000000" w:themeColor="text1"/>
          <w:sz w:val="28"/>
          <w:szCs w:val="28"/>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5</w:t>
      </w:r>
      <w:r>
        <w:rPr>
          <w:rFonts w:hint="default" w:ascii="Times New Roman" w:hAnsi="Times New Roman" w:eastAsia="宋体" w:cs="Times New Roman"/>
          <w:color w:val="000000" w:themeColor="text1"/>
          <w:sz w:val="28"/>
          <w:szCs w:val="28"/>
          <w14:textFill>
            <w14:solidFill>
              <w14:schemeClr w14:val="tx1"/>
            </w14:solidFill>
          </w14:textFill>
        </w:rPr>
        <w:t>°。</w:t>
      </w:r>
    </w:p>
    <w:p w14:paraId="596D5802">
      <w:pPr>
        <w:spacing w:line="36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ascii="Times New Roman" w:hAnsi="Times New Roman" w:eastAsia="宋体" w:cs="Times New Roman"/>
          <w:color w:val="000000" w:themeColor="text1"/>
          <w:sz w:val="28"/>
          <w:szCs w:val="28"/>
          <w14:textFill>
            <w14:solidFill>
              <w14:schemeClr w14:val="tx1"/>
            </w14:solidFill>
          </w14:textFill>
        </w:rPr>
        <w:t>（2）矿区植被</w:t>
      </w:r>
    </w:p>
    <w:p w14:paraId="52D623F6">
      <w:pPr>
        <w:spacing w:line="36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矿区植被覆盖度为40%。以草本植物为主，主要有羊草、针茅、沙蒿等；乔木植被以人工栽培的杨树、松树为主。</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这些是典型的草原生态系统物种，适应贫瘠土壤和低降水环境。</w:t>
      </w:r>
    </w:p>
    <w:p w14:paraId="7C2E6908">
      <w:pPr>
        <w:spacing w:line="360" w:lineRule="auto"/>
        <w:ind w:firstLine="560" w:firstLineChars="200"/>
        <w:rPr>
          <w:rFonts w:hint="default" w:ascii="Times New Roman" w:hAnsi="Times New Roman" w:cs="Times New Roman"/>
          <w:color w:val="000000" w:themeColor="text1"/>
          <w:sz w:val="28"/>
          <w:szCs w:val="28"/>
          <w:lang w:val="en-US" w:eastAsia="zh-CN"/>
          <w14:textFill>
            <w14:solidFill>
              <w14:schemeClr w14:val="tx1"/>
            </w14:solidFill>
          </w14:textFill>
        </w:rPr>
      </w:pPr>
      <w:r>
        <w:rPr>
          <w:rFonts w:hint="default" w:ascii="Times New Roman" w:hAnsi="Times New Roman" w:cs="Times New Roman"/>
          <w:color w:val="000000" w:themeColor="text1"/>
          <w:sz w:val="28"/>
          <w:szCs w:val="28"/>
          <w:lang w:val="en-US" w:eastAsia="zh-CN"/>
          <w14:textFill>
            <w14:solidFill>
              <w14:schemeClr w14:val="tx1"/>
            </w14:solidFill>
          </w14:textFill>
        </w:rPr>
        <w:t>（3）土壤环境</w:t>
      </w:r>
    </w:p>
    <w:p w14:paraId="555654D1">
      <w:pPr>
        <w:spacing w:line="360" w:lineRule="auto"/>
        <w:ind w:firstLine="560" w:firstLineChars="200"/>
        <w:rPr>
          <w:rFonts w:hint="default" w:ascii="Times New Roman" w:hAnsi="Times New Roman" w:eastAsia="宋体" w:cs="Times New Roman"/>
          <w:color w:val="000000" w:themeColor="text1"/>
          <w:kern w:val="0"/>
          <w:sz w:val="28"/>
          <w:szCs w:val="28"/>
          <w:lang w:val="en-US" w:eastAsia="zh-CN" w:bidi="ar"/>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矿区土壤主要为粘土和腐殖土，表层为腐殖土，土层厚0.5-1m，土壤质地为轻壤，土质较为疏松，土壤结构以团聚体形式存在，团聚化程度不高，呈颗粒状或块状，结构性差。土壤容重在1.35g/m</w:t>
      </w:r>
      <w:r>
        <w:rPr>
          <w:rFonts w:hint="default" w:ascii="Times New Roman" w:hAnsi="Times New Roman" w:cs="Times New Roman"/>
          <w:color w:val="000000" w:themeColor="text1"/>
          <w:sz w:val="28"/>
          <w:szCs w:val="28"/>
          <w:vertAlign w:val="superscript"/>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左右，有机质含量</w:t>
      </w:r>
      <w:r>
        <w:rPr>
          <w:rFonts w:hint="eastAsia" w:cs="Times New Roman"/>
          <w:color w:val="000000" w:themeColor="text1"/>
          <w:sz w:val="28"/>
          <w:szCs w:val="28"/>
          <w:lang w:val="en-US" w:eastAsia="zh-CN"/>
          <w14:textFill>
            <w14:solidFill>
              <w14:schemeClr w14:val="tx1"/>
            </w14:solidFill>
          </w14:textFill>
        </w:rPr>
        <w:t>3-5</w:t>
      </w:r>
      <w:r>
        <w:rPr>
          <w:rFonts w:hint="eastAsia" w:ascii="Times New Roman" w:hAnsi="Times New Roman" w:cs="Times New Roman"/>
          <w:color w:val="000000" w:themeColor="text1"/>
          <w:sz w:val="28"/>
          <w:szCs w:val="28"/>
          <w:lang w:val="en-US"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，PH在6.8左右，粘土颜色为浅黄色、褐黄色，土质均匀，具有不十分明显的垂直节理</w:t>
      </w:r>
      <w:r>
        <w:rPr>
          <w:rFonts w:hint="eastAsia" w:cs="Times New Roman"/>
          <w:color w:val="000000" w:themeColor="text1"/>
          <w:sz w:val="28"/>
          <w:szCs w:val="28"/>
          <w:lang w:eastAsia="zh-CN"/>
          <w14:textFill>
            <w14:solidFill>
              <w14:schemeClr w14:val="tx1"/>
            </w14:solidFill>
          </w14:textFill>
        </w:rPr>
        <w:t>。</w:t>
      </w:r>
    </w:p>
    <w:p w14:paraId="2E9FF866">
      <w:pPr>
        <w:spacing w:line="360" w:lineRule="auto"/>
        <w:ind w:firstLine="560" w:firstLineChars="200"/>
        <w:rPr>
          <w:rFonts w:hint="default" w:ascii="Times New Roman" w:hAnsi="Times New Roman" w:cs="Times New Roman"/>
          <w:color w:val="000000" w:themeColor="text1"/>
          <w:sz w:val="28"/>
          <w:szCs w:val="28"/>
          <w:lang w:val="en-US" w:eastAsia="zh-CN"/>
          <w14:textFill>
            <w14:solidFill>
              <w14:schemeClr w14:val="tx1"/>
            </w14:solidFill>
          </w14:textFill>
        </w:rPr>
      </w:pPr>
      <w:r>
        <w:rPr>
          <w:rFonts w:hint="default" w:ascii="Times New Roman" w:hAnsi="Times New Roman" w:cs="Times New Roman"/>
          <w:color w:val="000000" w:themeColor="text1"/>
          <w:sz w:val="28"/>
          <w:szCs w:val="28"/>
          <w:lang w:val="en-US" w:eastAsia="zh-CN"/>
          <w14:textFill>
            <w14:solidFill>
              <w14:schemeClr w14:val="tx1"/>
            </w14:solidFill>
          </w14:textFill>
        </w:rPr>
        <w:t>2、矿区周边的生态系统</w:t>
      </w:r>
    </w:p>
    <w:p w14:paraId="2F982CBB">
      <w:pPr>
        <w:spacing w:line="360" w:lineRule="auto"/>
        <w:ind w:firstLine="560" w:firstLineChars="200"/>
        <w:rPr>
          <w:rFonts w:hint="default" w:ascii="Times New Roman" w:hAnsi="Times New Roman" w:cs="Times New Roman"/>
          <w:color w:val="000000" w:themeColor="text1"/>
          <w:sz w:val="28"/>
          <w:szCs w:val="28"/>
          <w:lang w:val="en-US" w:eastAsia="zh-CN"/>
          <w14:textFill>
            <w14:solidFill>
              <w14:schemeClr w14:val="tx1"/>
            </w14:solidFill>
          </w14:textFill>
        </w:rPr>
      </w:pPr>
      <w:r>
        <w:rPr>
          <w:rFonts w:hint="default" w:ascii="Times New Roman" w:hAnsi="Times New Roman" w:cs="Times New Roman"/>
          <w:color w:val="000000" w:themeColor="text1"/>
          <w:sz w:val="28"/>
          <w:szCs w:val="28"/>
          <w:lang w:val="en-US" w:eastAsia="zh-CN"/>
          <w14:textFill>
            <w14:solidFill>
              <w14:schemeClr w14:val="tx1"/>
            </w14:solidFill>
          </w14:textFill>
        </w:rPr>
        <w:t>矿区周边未受损生态系统主要为农田生态系统及温带典型草原生态系统，根据《赤峰市国土空间总体规划（2021-2035年）》、《赤峰市生态环境保护</w:t>
      </w:r>
      <w:r>
        <w:rPr>
          <w:rFonts w:hint="eastAsia" w:cs="Times New Roman"/>
          <w:color w:val="000000" w:themeColor="text1"/>
          <w:sz w:val="28"/>
          <w:szCs w:val="28"/>
          <w:lang w:val="en-US"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十四五</w:t>
      </w:r>
      <w:r>
        <w:rPr>
          <w:rFonts w:hint="eastAsia" w:cs="Times New Roman"/>
          <w:color w:val="000000" w:themeColor="text1"/>
          <w:sz w:val="28"/>
          <w:szCs w:val="28"/>
          <w:lang w:val="en-US"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规划》等相关规划，矿山及周边为矿业生产活动区，土地类型以耕地、林地、草地为主，根据季节变化主要植物群落相应变化，生态结构较为单一。区内无珍贵动物栖息地，无动物迁徙路线途经本区。</w:t>
      </w:r>
    </w:p>
    <w:p w14:paraId="5D7BC801">
      <w:pPr>
        <w:spacing w:line="360" w:lineRule="auto"/>
        <w:ind w:firstLine="560" w:firstLineChars="200"/>
        <w:rPr>
          <w:rFonts w:hint="default" w:ascii="Times New Roman" w:hAnsi="Times New Roman" w:cs="Times New Roman"/>
          <w:color w:val="000000" w:themeColor="text1"/>
          <w:sz w:val="28"/>
          <w:szCs w:val="28"/>
          <w:lang w:val="en-US" w:eastAsia="zh-CN"/>
          <w14:textFill>
            <w14:solidFill>
              <w14:schemeClr w14:val="tx1"/>
            </w14:solidFill>
          </w14:textFill>
        </w:rPr>
      </w:pPr>
      <w:r>
        <w:rPr>
          <w:rFonts w:hint="default" w:ascii="Times New Roman" w:hAnsi="Times New Roman" w:cs="Times New Roman"/>
          <w:color w:val="000000" w:themeColor="text1"/>
          <w:sz w:val="28"/>
          <w:szCs w:val="28"/>
          <w:lang w:val="en-US" w:eastAsia="zh-CN"/>
          <w14:textFill>
            <w14:solidFill>
              <w14:schemeClr w14:val="tx1"/>
            </w14:solidFill>
          </w14:textFill>
        </w:rPr>
        <w:t>经现场调查，矿区周边未受损的生态系统主要为农田生态系统。</w:t>
      </w:r>
    </w:p>
    <w:p w14:paraId="77E1540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3"/>
        <w:rPr>
          <w:rFonts w:hint="eastAsia"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（1）农田生态系统</w:t>
      </w:r>
    </w:p>
    <w:p w14:paraId="410E662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矿区周边分布由当地居民所有的农田生态系统，主要种植玉米、谷子、大豆、高粱等适应当地气候的农作物为主。</w:t>
      </w:r>
    </w:p>
    <w:p w14:paraId="53B01D8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3"/>
        <w:rPr>
          <w:rFonts w:hint="eastAsia"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（2）温带典型草原生态系统​</w:t>
      </w:r>
    </w:p>
    <w:p w14:paraId="3C90767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Times New Roman" w:hAnsi="Times New Roman" w:eastAsia="宋体" w:cs="Times New Roman"/>
          <w:b/>
          <w:bCs/>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14:textFill>
            <w14:solidFill>
              <w14:schemeClr w14:val="tx1"/>
            </w14:solidFill>
          </w14:textFill>
        </w:rPr>
        <w:t>矿区周边分布自然生长的草原生态系统。草本植物多以针茅、羊草、冷蒿等旱生草本为主，同时栖息着鸟类、林下昆虫等动物，发挥着保持水土、净化空气的生态作用。损毁土地复垦修复为林地、草地后，发达的根系能固定土壤、减少水土流失，还能可净化周边空气，修复矿区自身生态，形成生态屏障。</w:t>
      </w:r>
    </w:p>
    <w:p w14:paraId="66939C45">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outlineLvl w:val="3"/>
        <w:rPr>
          <w:rFonts w:hint="eastAsia" w:ascii="Times New Roman" w:hAnsi="Times New Roman" w:eastAsia="宋体" w:cs="Times New Roman"/>
          <w:b/>
          <w:bCs/>
          <w:color w:val="000000" w:themeColor="text1"/>
          <w:sz w:val="28"/>
          <w:szCs w:val="28"/>
          <w14:textFill>
            <w14:solidFill>
              <w14:schemeClr w14:val="tx1"/>
            </w14:solidFill>
          </w14:textFill>
        </w:rPr>
      </w:pPr>
      <w:r>
        <w:rPr>
          <w:rFonts w:hint="eastAsia" w:ascii="Times New Roman" w:hAnsi="Times New Roman" w:eastAsia="宋体" w:cs="Times New Roman"/>
          <w:b/>
          <w:bCs/>
          <w:color w:val="000000" w:themeColor="text1"/>
          <w:sz w:val="28"/>
          <w:szCs w:val="28"/>
          <w14:textFill>
            <w14:solidFill>
              <w14:schemeClr w14:val="tx1"/>
            </w14:solidFill>
          </w14:textFill>
        </w:rPr>
        <w:t>（</w:t>
      </w:r>
      <w:r>
        <w:rPr>
          <w:rFonts w:hint="eastAsia" w:cs="Times New Roman"/>
          <w:b/>
          <w:bCs/>
          <w:color w:val="000000" w:themeColor="text1"/>
          <w:sz w:val="28"/>
          <w:szCs w:val="28"/>
          <w:lang w:val="en-US" w:eastAsia="zh-CN"/>
          <w14:textFill>
            <w14:solidFill>
              <w14:schemeClr w14:val="tx1"/>
            </w14:solidFill>
          </w14:textFill>
        </w:rPr>
        <w:t>二</w:t>
      </w:r>
      <w:r>
        <w:rPr>
          <w:rFonts w:hint="eastAsia" w:ascii="Times New Roman" w:hAnsi="Times New Roman" w:eastAsia="宋体" w:cs="Times New Roman"/>
          <w:b/>
          <w:bCs/>
          <w:color w:val="000000" w:themeColor="text1"/>
          <w:sz w:val="28"/>
          <w:szCs w:val="28"/>
          <w14:textFill>
            <w14:solidFill>
              <w14:schemeClr w14:val="tx1"/>
            </w14:solidFill>
          </w14:textFill>
        </w:rPr>
        <w:t>）复垦修复方向</w:t>
      </w:r>
    </w:p>
    <w:p w14:paraId="47DEF615">
      <w:pPr>
        <w:spacing w:line="360" w:lineRule="auto"/>
        <w:ind w:firstLine="560" w:firstLineChars="200"/>
        <w:outlineLvl w:val="4"/>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1、土地复垦适宜性评价</w:t>
      </w:r>
    </w:p>
    <w:p w14:paraId="4F935680">
      <w:pPr>
        <w:spacing w:line="360" w:lineRule="auto"/>
        <w:ind w:firstLine="560" w:firstLineChars="200"/>
        <w:outlineLvl w:val="4"/>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（1）评价原则</w:t>
      </w:r>
    </w:p>
    <w:p w14:paraId="626A424B">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①</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符合国土空间规划，并与其他规划相协调</w:t>
      </w:r>
    </w:p>
    <w:p w14:paraId="217E1043">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复垦修复应符合《</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赤峰市</w:t>
      </w:r>
      <w:r>
        <w:rPr>
          <w:rFonts w:hint="default" w:ascii="Times New Roman" w:hAnsi="Times New Roman" w:eastAsia="宋体" w:cs="Times New Roman"/>
          <w:color w:val="000000" w:themeColor="text1"/>
          <w:sz w:val="28"/>
          <w:szCs w:val="28"/>
          <w14:textFill>
            <w14:solidFill>
              <w14:schemeClr w14:val="tx1"/>
            </w14:solidFill>
          </w14:textFill>
        </w:rPr>
        <w:t>国土空间规划（2021-2035年）》，避免盲目投资、过度超前浪费土地资源，符合规划分区管控。</w:t>
      </w:r>
    </w:p>
    <w:p w14:paraId="7C42AC15">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②</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因地制宜、农用地优先的原则</w:t>
      </w:r>
    </w:p>
    <w:p w14:paraId="24D0A85A">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土地利用方式必须与周边生态环境特征相适应。根据被损毁前后土地拥有的基础设施，因地制宜，宜农则农，宜林则林，宜牧则牧，宜渔则渔。</w:t>
      </w:r>
    </w:p>
    <w:p w14:paraId="73D74EF2">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③</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综合效益最佳原则</w:t>
      </w:r>
    </w:p>
    <w:p w14:paraId="25FC9A58">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在确定生态修复方向时，首先考虑可行性和综合效益，选择最佳的生态修复方向，根据生态状况是否适宜修复为某种用途的土地，或以最小的投入取得最佳的经济效益、社会效益和生态效益。考虑到生产建设项目对评估区及周围环境造成的影响，重点考虑生态效益，以恢复生态环境功能为主。</w:t>
      </w:r>
    </w:p>
    <w:p w14:paraId="4CBA149A">
      <w:pPr>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br w:type="page"/>
      </w:r>
    </w:p>
    <w:p w14:paraId="66B9E255">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④</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主导限制因素与综合平衡原则</w:t>
      </w:r>
    </w:p>
    <w:p w14:paraId="042CB1D9">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影响损毁土地生态修复的因素很多，如积水、土源、土壤肥力、坡度以及灌排条件等。根据评估区自然环境、土地利用现状和土地损毁情况，分析影响损毁土地生态修复的主导性限制因素，同时也应兼顾其他限制因素。</w:t>
      </w:r>
    </w:p>
    <w:p w14:paraId="41AF7293">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⑤</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生态修复后土地可持续利用原则</w:t>
      </w:r>
    </w:p>
    <w:p w14:paraId="02CB59B5">
      <w:pPr>
        <w:spacing w:line="360" w:lineRule="auto"/>
        <w:ind w:firstLine="560" w:firstLineChars="200"/>
        <w:rPr>
          <w:rFonts w:ascii="Times New Roman" w:hAnsi="Times New Roman" w:cs="Times New Roman" w:eastAsiaTheme="minorEastAsia"/>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土地损毁是一个动态过程，复垦修复的适宜性也随损毁等级与损毁过程而变化，具有动态性，在进行复垦修复土地的适宜性评价时，应考虑矿区工农业发展的前景、科技进步以及生产和生活水平所带来的社会需求的变化，确定复垦修复方向。复垦修复后的土地应既能满足保护生物多样性和生态环境的需要，又能满足人类对土地的需求，应保证生态安全和人类社会可持续发展。</w:t>
      </w:r>
    </w:p>
    <w:p w14:paraId="4E3D223C">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⑥</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经济可行与技术合理性原则</w:t>
      </w:r>
    </w:p>
    <w:p w14:paraId="1A573B75">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复垦修复所需的费用应在保证修复目标完整、效果达到复垦修复标准的前提下，兼顾复垦修复成本，尽可能减轻企业负担。复垦修复技术应能满足复垦修复工作顺利开展、效果达到复垦修复标准的要求。</w:t>
      </w:r>
    </w:p>
    <w:p w14:paraId="1F90B1F3">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⑦</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社会因素和经济因素相结合原则</w:t>
      </w:r>
    </w:p>
    <w:p w14:paraId="0D0784D5">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在进行生态修复适宜性评价时，既要考虑它的自然属性（如土壤、气候、地貌、水资源等），也要考虑它的社会经济属性（如种植习惯、业主意愿、社会需求、生产力水平和生产布局等）。</w:t>
      </w:r>
    </w:p>
    <w:p w14:paraId="747F92C7">
      <w:pPr>
        <w:spacing w:line="360" w:lineRule="auto"/>
        <w:ind w:firstLine="560" w:firstLineChars="200"/>
        <w:outlineLvl w:val="4"/>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（2）复垦修复单元的划分</w:t>
      </w:r>
    </w:p>
    <w:p w14:paraId="0B864501">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复垦修复单元是适宜性评价的基本单元，同一评价单元内的土地特征、复垦修复利用方向、复垦修复措施应基本一致。对农林牧业利用类型的适宜性和适宜程度及其地域分布状况，都是通过评价单元及其组合状况来反映的。评价单元的划分与确定应在遵循评价原则的前提下，根据评价区的具体情况来决定。</w:t>
      </w:r>
    </w:p>
    <w:p w14:paraId="78F6C85F">
      <w:pPr>
        <w:spacing w:line="360" w:lineRule="auto"/>
        <w:ind w:firstLine="560" w:firstLineChars="200"/>
        <w:rPr>
          <w:rFonts w:hint="eastAsia" w:ascii="Times New Roman" w:hAnsi="Times New Roman" w:eastAsia="宋体" w:cs="Times New Roman"/>
          <w:color w:val="000000" w:themeColor="text1"/>
          <w:sz w:val="28"/>
          <w:szCs w:val="28"/>
          <w:lang w:eastAsia="zh-CN"/>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根据矿山实际情况，本项目复垦修复单元包括：拟建露天采场1、拟建露天采场2、拟建储水池、露天采场2、工业场地、成品砖堆放场、料堆、表土存放场、办公生活区与矿区道路等10个评价单元</w:t>
      </w:r>
      <w:r>
        <w:rPr>
          <w:rFonts w:hint="eastAsia" w:cs="Times New Roman"/>
          <w:color w:val="000000" w:themeColor="text1"/>
          <w:sz w:val="28"/>
          <w:szCs w:val="28"/>
          <w:lang w:eastAsia="zh-CN"/>
          <w14:textFill>
            <w14:solidFill>
              <w14:schemeClr w14:val="tx1"/>
            </w14:solidFill>
          </w14:textFill>
        </w:rPr>
        <w:t>。</w:t>
      </w:r>
    </w:p>
    <w:p w14:paraId="2D77F20F">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通过上述定性分析，可以确定土地复垦初步方向为水浇地、林地、草地。该复垦方向与当地自然生态环境相适应，与复垦区相关政策一致，具有经济、社会和群众基础，有利于最大限度的发挥该复垦项目的综合和长远效益，使经济效益、社会效益和环境效益相统一。评价单元的划分见表3-</w:t>
      </w:r>
      <w:r>
        <w:rPr>
          <w:rFonts w:hint="eastAsia" w:cs="Times New Roman"/>
          <w:color w:val="000000" w:themeColor="text1"/>
          <w:sz w:val="28"/>
          <w:szCs w:val="28"/>
          <w:lang w:val="en-US" w:eastAsia="zh-CN"/>
          <w14:textFill>
            <w14:solidFill>
              <w14:schemeClr w14:val="tx1"/>
            </w14:solidFill>
          </w14:textFill>
        </w:rPr>
        <w:t>44</w:t>
      </w:r>
      <w:r>
        <w:rPr>
          <w:rFonts w:hint="default" w:ascii="Times New Roman" w:hAnsi="Times New Roman" w:eastAsia="宋体" w:cs="Times New Roman"/>
          <w:color w:val="000000" w:themeColor="text1"/>
          <w:sz w:val="28"/>
          <w:szCs w:val="28"/>
          <w14:textFill>
            <w14:solidFill>
              <w14:schemeClr w14:val="tx1"/>
            </w14:solidFill>
          </w14:textFill>
        </w:rPr>
        <w:t>。</w:t>
      </w:r>
    </w:p>
    <w:p w14:paraId="6D8DF473">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ascii="Times New Roman" w:hAnsi="Times New Roman" w:eastAsia="黑体" w:cs="Times New Roman"/>
          <w:color w:val="000000" w:themeColor="text1"/>
          <w:kern w:val="2"/>
          <w:sz w:val="24"/>
          <w:szCs w:val="24"/>
          <w:lang w:val="en-US" w:eastAsia="zh-CN" w:bidi="ar-SA"/>
          <w14:textFill>
            <w14:solidFill>
              <w14:schemeClr w14:val="tx1"/>
            </w14:solidFill>
          </w14:textFill>
        </w:rPr>
      </w:pPr>
      <w:r>
        <w:rPr>
          <w:rFonts w:ascii="Times New Roman" w:hAnsi="Times New Roman" w:eastAsia="黑体" w:cs="Times New Roman"/>
          <w:color w:val="000000" w:themeColor="text1"/>
          <w:kern w:val="2"/>
          <w:sz w:val="24"/>
          <w:szCs w:val="24"/>
          <w:lang w:val="en-US" w:eastAsia="zh-CN" w:bidi="ar-SA"/>
          <w14:textFill>
            <w14:solidFill>
              <w14:schemeClr w14:val="tx1"/>
            </w14:solidFill>
          </w14:textFill>
        </w:rPr>
        <w:t>表3-</w:t>
      </w:r>
      <w:r>
        <w:rPr>
          <w:rFonts w:hint="eastAsia" w:eastAsia="黑体" w:cs="Times New Roman"/>
          <w:color w:val="000000" w:themeColor="text1"/>
          <w:kern w:val="2"/>
          <w:sz w:val="24"/>
          <w:szCs w:val="24"/>
          <w:lang w:val="en-US" w:eastAsia="zh-CN" w:bidi="ar-SA"/>
          <w14:textFill>
            <w14:solidFill>
              <w14:schemeClr w14:val="tx1"/>
            </w14:solidFill>
          </w14:textFill>
        </w:rPr>
        <w:t>44</w:t>
      </w:r>
      <w:r>
        <w:rPr>
          <w:rFonts w:ascii="Times New Roman" w:hAnsi="Times New Roman" w:eastAsia="黑体" w:cs="Times New Roman"/>
          <w:color w:val="000000" w:themeColor="text1"/>
          <w:kern w:val="2"/>
          <w:sz w:val="24"/>
          <w:szCs w:val="24"/>
          <w:lang w:val="en-US" w:eastAsia="zh-CN" w:bidi="ar-SA"/>
          <w14:textFill>
            <w14:solidFill>
              <w14:schemeClr w14:val="tx1"/>
            </w14:solidFill>
          </w14:textFill>
        </w:rPr>
        <w:t xml:space="preserve">  评价单元划分表</w:t>
      </w:r>
    </w:p>
    <w:p w14:paraId="69722E83">
      <w:pPr>
        <w:keepNext w:val="0"/>
        <w:keepLines w:val="0"/>
        <w:pageBreakBefore w:val="0"/>
        <w:widowControl w:val="0"/>
        <w:kinsoku/>
        <w:wordWrap/>
        <w:overflowPunct/>
        <w:topLinePunct w:val="0"/>
        <w:autoSpaceDE/>
        <w:autoSpaceDN/>
        <w:bidi w:val="0"/>
        <w:adjustRightInd/>
        <w:snapToGrid/>
        <w:spacing w:before="157" w:beforeLines="50" w:line="360" w:lineRule="auto"/>
        <w:ind w:firstLine="560" w:firstLineChars="200"/>
        <w:textAlignment w:val="auto"/>
        <w:outlineLvl w:val="4"/>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（3）评价因素等级标准的确定</w:t>
      </w:r>
    </w:p>
    <w:p w14:paraId="5C6F5671">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根据初步确定的复垦修复方向，结合复垦修复单元的特点，选取破坏后影响土地利用的主导因素，构建评价指标体系及标准。</w:t>
      </w:r>
    </w:p>
    <w:p w14:paraId="36541ABF">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根据评估区自然环境特征，结合矿山土地破坏特点、地类等有关指标，本方案复垦修复适宜性评价限制因子选取主要考虑以下几个方面指标：矿区土地破坏类型和破坏程度、土地破坏前的土地利用状况、破坏土地复垦修复的客观条件。</w:t>
      </w:r>
    </w:p>
    <w:p w14:paraId="5392E83A">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根据《土地复垦质量控制标准》（TD/T 1036-2013）和相关政策法规，同时借鉴同类矿山土地复垦适宜性评价中参评因素属性及权重的确定方法，把土地复垦适宜性评价等级数确定为4级标准，分别定为：一级（比较适宜）、二级（勉强适宜）、三级（不适宜）、四级（难利用）。参评因素应选择对土地利用影响明显且相对稳定的因素。通过将参评因素状态值对农、林、牧的影响状况及改良程度的难易与各地区的自然条件进行比照，进一步对复垦区的土地适宜性影响明显的因子进行等级划分，得出各因子权重。</w:t>
      </w:r>
    </w:p>
    <w:p w14:paraId="727C82B4">
      <w:pPr>
        <w:pStyle w:val="64"/>
        <w:spacing w:line="360" w:lineRule="auto"/>
        <w:ind w:firstLine="56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lang w:val="zh-CN" w:eastAsia="zh-CN"/>
          <w14:textFill>
            <w14:solidFill>
              <w14:schemeClr w14:val="tx1"/>
            </w14:solidFill>
          </w14:textFill>
        </w:rPr>
        <w:t>本方案选出7项参评因子，包括地形坡度、有效土层厚度、土壤有机质、土壤质地、损毁程度、降雨量、区位条件（道路设施）。各参评因素的分级指标见表</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3-</w:t>
      </w:r>
      <w:r>
        <w:rPr>
          <w:rFonts w:hint="eastAsia" w:eastAsia="宋体" w:cs="Times New Roman"/>
          <w:color w:val="000000" w:themeColor="text1"/>
          <w:sz w:val="28"/>
          <w:szCs w:val="28"/>
          <w:lang w:val="en-US" w:eastAsia="zh-CN"/>
          <w14:textFill>
            <w14:solidFill>
              <w14:schemeClr w14:val="tx1"/>
            </w14:solidFill>
          </w14:textFill>
        </w:rPr>
        <w:t>45</w:t>
      </w:r>
      <w:r>
        <w:rPr>
          <w:rFonts w:hint="default" w:ascii="Times New Roman" w:hAnsi="Times New Roman" w:eastAsia="宋体" w:cs="Times New Roman"/>
          <w:color w:val="000000" w:themeColor="text1"/>
          <w:sz w:val="28"/>
          <w:szCs w:val="28"/>
          <w:lang w:val="zh-CN" w:eastAsia="zh-CN"/>
          <w14:textFill>
            <w14:solidFill>
              <w14:schemeClr w14:val="tx1"/>
            </w14:solidFill>
          </w14:textFill>
        </w:rPr>
        <w:t>。</w:t>
      </w:r>
    </w:p>
    <w:p w14:paraId="1B3D7C92">
      <w:pPr>
        <w:pStyle w:val="66"/>
        <w:spacing w:line="360" w:lineRule="auto"/>
        <w:ind w:left="0" w:leftChars="0" w:firstLine="0" w:firstLineChars="0"/>
        <w:jc w:val="center"/>
        <w:rPr>
          <w:rFonts w:hint="eastAsia" w:ascii="黑体" w:hAnsi="黑体" w:eastAsia="黑体" w:cs="黑体"/>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表3-</w:t>
      </w:r>
      <w:r>
        <w:rPr>
          <w:rFonts w:hint="eastAsia" w:ascii="黑体" w:hAnsi="黑体" w:eastAsia="黑体" w:cs="黑体"/>
          <w:b w:val="0"/>
          <w:bCs w:val="0"/>
          <w:color w:val="000000" w:themeColor="text1"/>
          <w:sz w:val="24"/>
          <w:szCs w:val="24"/>
          <w:lang w:val="en-US" w:eastAsia="zh-CN"/>
          <w14:textFill>
            <w14:solidFill>
              <w14:schemeClr w14:val="tx1"/>
            </w14:solidFill>
          </w14:textFill>
        </w:rPr>
        <w:t>45</w:t>
      </w:r>
      <w:r>
        <w:rPr>
          <w:rFonts w:hint="eastAsia" w:ascii="黑体" w:hAnsi="黑体" w:eastAsia="黑体" w:cs="黑体"/>
          <w:b w:val="0"/>
          <w:bCs w:val="0"/>
          <w:color w:val="000000" w:themeColor="text1"/>
          <w:sz w:val="24"/>
          <w:szCs w:val="24"/>
          <w14:textFill>
            <w14:solidFill>
              <w14:schemeClr w14:val="tx1"/>
            </w14:solidFill>
          </w14:textFill>
        </w:rPr>
        <w:t xml:space="preserve">  拟复垦土地适宜性评价的参评因子、权重及等级表</w:t>
      </w:r>
    </w:p>
    <w:p w14:paraId="4E99CE1C">
      <w:pPr>
        <w:pStyle w:val="64"/>
        <w:spacing w:before="240" w:beforeLines="100" w:line="360" w:lineRule="auto"/>
        <w:ind w:firstLine="560"/>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设每一评价单元有</w:t>
      </w:r>
      <w:r>
        <w:rPr>
          <w:rFonts w:hint="default" w:ascii="Times New Roman" w:hAnsi="Times New Roman" w:eastAsia="宋体" w:cs="Times New Roman"/>
          <w:color w:val="000000" w:themeColor="text1"/>
          <w:sz w:val="28"/>
          <w:szCs w:val="28"/>
          <w14:textFill>
            <w14:solidFill>
              <w14:schemeClr w14:val="tx1"/>
            </w14:solidFill>
          </w14:textFill>
        </w:rPr>
        <w:t>n</w:t>
      </w:r>
      <w:r>
        <w:rPr>
          <w:rFonts w:hint="eastAsia" w:ascii="宋体" w:hAnsi="宋体" w:eastAsia="宋体" w:cs="宋体"/>
          <w:color w:val="000000" w:themeColor="text1"/>
          <w:sz w:val="28"/>
          <w:szCs w:val="28"/>
          <w14:textFill>
            <w14:solidFill>
              <w14:schemeClr w14:val="tx1"/>
            </w14:solidFill>
          </w14:textFill>
        </w:rPr>
        <w:t>个单因子加权评价指数，则加权指数和可表示为：</w:t>
      </w:r>
      <w:r>
        <w:rPr>
          <w:rFonts w:hint="eastAsia" w:ascii="宋体" w:hAnsi="宋体" w:eastAsia="宋体" w:cs="宋体"/>
          <w:color w:val="000000" w:themeColor="text1"/>
          <w:position w:val="-28"/>
          <w:sz w:val="28"/>
          <w:szCs w:val="28"/>
          <w:lang w:eastAsia="zh-CN"/>
          <w14:textFill>
            <w14:solidFill>
              <w14:schemeClr w14:val="tx1"/>
            </w14:solidFill>
          </w14:textFill>
        </w:rPr>
        <w:t xml:space="preserve">    </w:t>
      </w:r>
    </w:p>
    <w:p w14:paraId="7D84DEC9">
      <w:pPr>
        <w:pStyle w:val="120"/>
        <w:ind w:firstLine="560"/>
        <w:rPr>
          <w:rFonts w:cs="宋体"/>
          <w:color w:val="000000" w:themeColor="text1"/>
          <w:sz w:val="28"/>
          <w:szCs w:val="28"/>
          <w14:textFill>
            <w14:solidFill>
              <w14:schemeClr w14:val="tx1"/>
            </w14:solidFill>
          </w14:textFill>
        </w:rPr>
      </w:pPr>
      <w:r>
        <w:rPr>
          <w:rFonts w:hint="eastAsia" w:cs="宋体"/>
          <w:color w:val="000000" w:themeColor="text1"/>
          <w:sz w:val="28"/>
          <w:szCs w:val="28"/>
          <w14:textFill>
            <w14:solidFill>
              <w14:schemeClr w14:val="tx1"/>
            </w14:solidFill>
          </w14:textFill>
        </w:rPr>
        <w:t>其中：式中：</w:t>
      </w:r>
    </w:p>
    <w:p w14:paraId="6D63C452">
      <w:pPr>
        <w:pStyle w:val="120"/>
        <w:ind w:firstLine="560"/>
        <w:rPr>
          <w:rFonts w:cs="宋体"/>
          <w:color w:val="000000" w:themeColor="text1"/>
          <w:sz w:val="28"/>
          <w:szCs w:val="28"/>
          <w14:textFill>
            <w14:solidFill>
              <w14:schemeClr w14:val="tx1"/>
            </w14:solidFill>
          </w14:textFill>
        </w:rPr>
      </w:pPr>
      <w:r>
        <w:rPr>
          <w:rFonts w:hint="eastAsia" w:cs="宋体"/>
          <w:color w:val="000000" w:themeColor="text1"/>
          <w:sz w:val="28"/>
          <w:szCs w:val="28"/>
          <w:lang w:eastAsia="zh-CN"/>
          <w14:textFill>
            <w14:solidFill>
              <w14:schemeClr w14:val="tx1"/>
            </w14:solidFill>
          </w14:textFill>
        </w:rPr>
        <w:t xml:space="preserve">    </w:t>
      </w:r>
      <w:r>
        <w:rPr>
          <w:rFonts w:hint="eastAsia" w:cs="宋体"/>
          <w:color w:val="000000" w:themeColor="text1"/>
          <w:sz w:val="28"/>
          <w:szCs w:val="28"/>
          <w14:textFill>
            <w14:solidFill>
              <w14:schemeClr w14:val="tx1"/>
            </w14:solidFill>
          </w14:textFill>
        </w:rPr>
        <w:t>—第</w:t>
      </w:r>
      <w:r>
        <w:rPr>
          <w:rFonts w:hint="eastAsia" w:cs="宋体"/>
          <w:color w:val="000000" w:themeColor="text1"/>
          <w:sz w:val="28"/>
          <w:szCs w:val="28"/>
          <w:lang w:eastAsia="zh-CN"/>
          <w14:textFill>
            <w14:solidFill>
              <w14:schemeClr w14:val="tx1"/>
            </w14:solidFill>
          </w14:textFill>
        </w:rPr>
        <w:t xml:space="preserve">    </w:t>
      </w:r>
      <w:r>
        <w:rPr>
          <w:rFonts w:hint="eastAsia" w:cs="宋体"/>
          <w:color w:val="000000" w:themeColor="text1"/>
          <w:sz w:val="28"/>
          <w:szCs w:val="28"/>
          <w14:textFill>
            <w14:solidFill>
              <w14:schemeClr w14:val="tx1"/>
            </w14:solidFill>
          </w14:textFill>
        </w:rPr>
        <w:t>单元的综合得分；</w:t>
      </w:r>
    </w:p>
    <w:p w14:paraId="276F6F02">
      <w:pPr>
        <w:pStyle w:val="120"/>
        <w:ind w:firstLine="560"/>
        <w:rPr>
          <w:rFonts w:cs="宋体"/>
          <w:color w:val="000000" w:themeColor="text1"/>
          <w:sz w:val="28"/>
          <w:szCs w:val="28"/>
          <w14:textFill>
            <w14:solidFill>
              <w14:schemeClr w14:val="tx1"/>
            </w14:solidFill>
          </w14:textFill>
        </w:rPr>
      </w:pPr>
      <w:r>
        <w:rPr>
          <w:rFonts w:hint="eastAsia" w:cs="宋体"/>
          <w:color w:val="000000" w:themeColor="text1"/>
          <w:sz w:val="28"/>
          <w:szCs w:val="28"/>
          <w:lang w:eastAsia="zh-CN"/>
          <w14:textFill>
            <w14:solidFill>
              <w14:schemeClr w14:val="tx1"/>
            </w14:solidFill>
          </w14:textFill>
        </w:rPr>
        <w:t xml:space="preserve">    </w:t>
      </w:r>
      <w:r>
        <w:rPr>
          <w:rFonts w:hint="eastAsia" w:cs="宋体"/>
          <w:color w:val="000000" w:themeColor="text1"/>
          <w:sz w:val="28"/>
          <w:szCs w:val="28"/>
          <w14:textFill>
            <w14:solidFill>
              <w14:schemeClr w14:val="tx1"/>
            </w14:solidFill>
          </w14:textFill>
        </w:rPr>
        <w:t>—第</w:t>
      </w:r>
      <w:r>
        <w:rPr>
          <w:rFonts w:hint="eastAsia" w:cs="宋体"/>
          <w:color w:val="000000" w:themeColor="text1"/>
          <w:position w:val="-6"/>
          <w:sz w:val="28"/>
          <w:szCs w:val="28"/>
          <w:lang w:eastAsia="zh-CN"/>
          <w14:textFill>
            <w14:solidFill>
              <w14:schemeClr w14:val="tx1"/>
            </w14:solidFill>
          </w14:textFill>
        </w:rPr>
        <w:t xml:space="preserve">    </w:t>
      </w:r>
      <w:r>
        <w:rPr>
          <w:rFonts w:hint="eastAsia" w:cs="宋体"/>
          <w:color w:val="000000" w:themeColor="text1"/>
          <w:sz w:val="28"/>
          <w:szCs w:val="28"/>
          <w14:textFill>
            <w14:solidFill>
              <w14:schemeClr w14:val="tx1"/>
            </w14:solidFill>
          </w14:textFill>
        </w:rPr>
        <w:t>个参评因子的等级指数；</w:t>
      </w:r>
    </w:p>
    <w:p w14:paraId="790264E2">
      <w:pPr>
        <w:pStyle w:val="120"/>
        <w:ind w:firstLine="560"/>
        <w:rPr>
          <w:rFonts w:cs="宋体"/>
          <w:color w:val="000000" w:themeColor="text1"/>
          <w:sz w:val="28"/>
          <w:szCs w:val="28"/>
          <w14:textFill>
            <w14:solidFill>
              <w14:schemeClr w14:val="tx1"/>
            </w14:solidFill>
          </w14:textFill>
        </w:rPr>
      </w:pPr>
      <w:r>
        <w:rPr>
          <w:rFonts w:hint="eastAsia" w:cs="宋体"/>
          <w:color w:val="000000" w:themeColor="text1"/>
          <w:position w:val="-12"/>
          <w:sz w:val="28"/>
          <w:szCs w:val="28"/>
          <w:lang w:eastAsia="zh-CN"/>
          <w14:textFill>
            <w14:solidFill>
              <w14:schemeClr w14:val="tx1"/>
            </w14:solidFill>
          </w14:textFill>
        </w:rPr>
        <w:t xml:space="preserve">    </w:t>
      </w:r>
      <w:r>
        <w:rPr>
          <w:rFonts w:hint="eastAsia" w:cs="宋体"/>
          <w:color w:val="000000" w:themeColor="text1"/>
          <w:sz w:val="28"/>
          <w:szCs w:val="28"/>
          <w14:textFill>
            <w14:solidFill>
              <w14:schemeClr w14:val="tx1"/>
            </w14:solidFill>
          </w14:textFill>
        </w:rPr>
        <w:t>—第</w:t>
      </w:r>
      <w:r>
        <w:rPr>
          <w:rFonts w:hint="eastAsia" w:cs="宋体"/>
          <w:color w:val="000000" w:themeColor="text1"/>
          <w:position w:val="-6"/>
          <w:sz w:val="28"/>
          <w:szCs w:val="28"/>
          <w:lang w:eastAsia="zh-CN"/>
          <w14:textFill>
            <w14:solidFill>
              <w14:schemeClr w14:val="tx1"/>
            </w14:solidFill>
          </w14:textFill>
        </w:rPr>
        <w:t xml:space="preserve">    </w:t>
      </w:r>
      <w:r>
        <w:rPr>
          <w:rFonts w:hint="eastAsia" w:cs="宋体"/>
          <w:color w:val="000000" w:themeColor="text1"/>
          <w:sz w:val="28"/>
          <w:szCs w:val="28"/>
          <w14:textFill>
            <w14:solidFill>
              <w14:schemeClr w14:val="tx1"/>
            </w14:solidFill>
          </w14:textFill>
        </w:rPr>
        <w:t>个参评因子的权重值；</w:t>
      </w:r>
    </w:p>
    <w:p w14:paraId="6BE5250A">
      <w:pPr>
        <w:pStyle w:val="120"/>
        <w:ind w:firstLine="560"/>
        <w:rPr>
          <w:rFonts w:cs="宋体"/>
          <w:color w:val="000000" w:themeColor="text1"/>
          <w:sz w:val="28"/>
          <w:szCs w:val="28"/>
          <w14:textFill>
            <w14:solidFill>
              <w14:schemeClr w14:val="tx1"/>
            </w14:solidFill>
          </w14:textFill>
        </w:rPr>
      </w:pPr>
      <w:r>
        <w:rPr>
          <w:rFonts w:hint="eastAsia" w:cs="宋体"/>
          <w:color w:val="000000" w:themeColor="text1"/>
          <w:sz w:val="28"/>
          <w:szCs w:val="28"/>
          <w:lang w:eastAsia="zh-CN"/>
          <w14:textFill>
            <w14:solidFill>
              <w14:schemeClr w14:val="tx1"/>
            </w14:solidFill>
          </w14:textFill>
        </w:rPr>
        <w:t xml:space="preserve">    </w:t>
      </w:r>
      <w:r>
        <w:rPr>
          <w:rFonts w:hint="eastAsia" w:cs="宋体"/>
          <w:color w:val="000000" w:themeColor="text1"/>
          <w:sz w:val="28"/>
          <w:szCs w:val="28"/>
          <w14:textFill>
            <w14:solidFill>
              <w14:schemeClr w14:val="tx1"/>
            </w14:solidFill>
          </w14:textFill>
        </w:rPr>
        <w:t>—参评因子的个数。</w:t>
      </w:r>
    </w:p>
    <w:p w14:paraId="50CAE30C">
      <w:pPr>
        <w:pStyle w:val="64"/>
        <w:spacing w:line="360" w:lineRule="auto"/>
        <w:ind w:firstLine="56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根据加权值与复垦方向对照表，确定拟复垦土地的复垦方向，加权值与复垦方向见</w:t>
      </w:r>
      <w:r>
        <w:rPr>
          <w:rFonts w:hint="default" w:ascii="Times New Roman" w:hAnsi="Times New Roman" w:eastAsia="宋体" w:cs="Times New Roman"/>
          <w:color w:val="000000" w:themeColor="text1"/>
          <w:sz w:val="28"/>
          <w:szCs w:val="28"/>
          <w14:textFill>
            <w14:solidFill>
              <w14:schemeClr w14:val="tx1"/>
            </w14:solidFill>
          </w14:textFill>
        </w:rPr>
        <w:t>表</w:t>
      </w:r>
      <w:r>
        <w:rPr>
          <w:rFonts w:hint="default" w:ascii="Times New Roman" w:hAnsi="Times New Roman" w:eastAsia="宋体" w:cs="Times New Roman"/>
          <w:color w:val="000000" w:themeColor="text1"/>
          <w:sz w:val="28"/>
          <w:szCs w:val="28"/>
          <w:lang w:val="en-US"/>
          <w14:textFill>
            <w14:solidFill>
              <w14:schemeClr w14:val="tx1"/>
            </w14:solidFill>
          </w14:textFill>
        </w:rPr>
        <w:t>3-</w:t>
      </w:r>
      <w:r>
        <w:rPr>
          <w:rFonts w:hint="eastAsia" w:eastAsia="宋体" w:cs="Times New Roman"/>
          <w:color w:val="000000" w:themeColor="text1"/>
          <w:sz w:val="28"/>
          <w:szCs w:val="28"/>
          <w:lang w:val="en-US" w:eastAsia="zh-CN"/>
          <w14:textFill>
            <w14:solidFill>
              <w14:schemeClr w14:val="tx1"/>
            </w14:solidFill>
          </w14:textFill>
        </w:rPr>
        <w:t>46</w:t>
      </w:r>
      <w:r>
        <w:rPr>
          <w:rFonts w:hint="default" w:ascii="Times New Roman" w:hAnsi="Times New Roman" w:eastAsia="宋体" w:cs="Times New Roman"/>
          <w:color w:val="000000" w:themeColor="text1"/>
          <w:sz w:val="28"/>
          <w:szCs w:val="28"/>
          <w14:textFill>
            <w14:solidFill>
              <w14:schemeClr w14:val="tx1"/>
            </w14:solidFill>
          </w14:textFill>
        </w:rPr>
        <w:t>。</w:t>
      </w:r>
    </w:p>
    <w:p w14:paraId="3736426F">
      <w:pPr>
        <w:rPr>
          <w:rFonts w:hint="eastAsia" w:ascii="黑体" w:hAnsi="黑体" w:eastAsia="黑体" w:cs="黑体"/>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br w:type="page"/>
      </w:r>
    </w:p>
    <w:p w14:paraId="12752B4A">
      <w:pPr>
        <w:pStyle w:val="66"/>
        <w:spacing w:line="360" w:lineRule="auto"/>
        <w:ind w:left="0" w:leftChars="0" w:firstLine="0" w:firstLineChars="0"/>
        <w:jc w:val="center"/>
        <w:rPr>
          <w:rFonts w:hint="eastAsia" w:ascii="黑体" w:hAnsi="黑体" w:eastAsia="黑体" w:cs="黑体"/>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表3-</w:t>
      </w:r>
      <w:r>
        <w:rPr>
          <w:rFonts w:hint="eastAsia" w:ascii="黑体" w:hAnsi="黑体" w:eastAsia="黑体" w:cs="黑体"/>
          <w:b w:val="0"/>
          <w:bCs w:val="0"/>
          <w:color w:val="000000" w:themeColor="text1"/>
          <w:sz w:val="24"/>
          <w:szCs w:val="24"/>
          <w:lang w:val="en-US" w:eastAsia="zh-CN"/>
          <w14:textFill>
            <w14:solidFill>
              <w14:schemeClr w14:val="tx1"/>
            </w14:solidFill>
          </w14:textFill>
        </w:rPr>
        <w:t>46</w:t>
      </w:r>
      <w:r>
        <w:rPr>
          <w:rFonts w:hint="eastAsia" w:ascii="黑体" w:hAnsi="黑体" w:eastAsia="黑体" w:cs="黑体"/>
          <w:b w:val="0"/>
          <w:bCs w:val="0"/>
          <w:color w:val="000000" w:themeColor="text1"/>
          <w:sz w:val="24"/>
          <w:szCs w:val="24"/>
          <w14:textFill>
            <w14:solidFill>
              <w14:schemeClr w14:val="tx1"/>
            </w14:solidFill>
          </w14:textFill>
        </w:rPr>
        <w:t xml:space="preserve">  加权值与复垦方向对照表</w:t>
      </w:r>
    </w:p>
    <w:tbl>
      <w:tblPr>
        <w:tblStyle w:val="30"/>
        <w:tblW w:w="4897"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793"/>
        <w:gridCol w:w="2869"/>
        <w:gridCol w:w="2025"/>
        <w:gridCol w:w="1665"/>
      </w:tblGrid>
      <w:tr w14:paraId="6BFC93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073" w:type="pct"/>
            <w:tcBorders>
              <w:top w:val="single" w:color="auto" w:sz="2" w:space="0"/>
              <w:left w:val="single" w:color="auto" w:sz="2" w:space="0"/>
              <w:bottom w:val="single" w:color="auto" w:sz="2" w:space="0"/>
              <w:right w:val="single" w:color="auto" w:sz="2" w:space="0"/>
            </w:tcBorders>
            <w:vAlign w:val="center"/>
          </w:tcPr>
          <w:p w14:paraId="340A66E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lang w:val="zh-CN"/>
                <w14:textFill>
                  <w14:solidFill>
                    <w14:schemeClr w14:val="tx1"/>
                  </w14:solidFill>
                </w14:textFill>
              </w:rPr>
            </w:pPr>
            <w:r>
              <w:rPr>
                <w:rFonts w:hint="default" w:ascii="Times New Roman" w:hAnsi="Times New Roman" w:cs="Times New Roman"/>
                <w:color w:val="000000" w:themeColor="text1"/>
                <w:szCs w:val="21"/>
                <w:lang w:val="zh-CN"/>
                <w14:textFill>
                  <w14:solidFill>
                    <w14:schemeClr w14:val="tx1"/>
                  </w14:solidFill>
                </w14:textFill>
              </w:rPr>
              <w:t>复垦方向</w:t>
            </w:r>
          </w:p>
        </w:tc>
        <w:tc>
          <w:tcPr>
            <w:tcW w:w="1717" w:type="pct"/>
            <w:tcBorders>
              <w:top w:val="single" w:color="auto" w:sz="2" w:space="0"/>
              <w:left w:val="single" w:color="auto" w:sz="2" w:space="0"/>
              <w:bottom w:val="single" w:color="auto" w:sz="2" w:space="0"/>
              <w:right w:val="single" w:color="auto" w:sz="2" w:space="0"/>
            </w:tcBorders>
            <w:vAlign w:val="center"/>
          </w:tcPr>
          <w:p w14:paraId="0E19E45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lang w:val="zh-CN"/>
                <w14:textFill>
                  <w14:solidFill>
                    <w14:schemeClr w14:val="tx1"/>
                  </w14:solidFill>
                </w14:textFill>
              </w:rPr>
            </w:pPr>
            <w:r>
              <w:rPr>
                <w:rFonts w:hint="default" w:ascii="Times New Roman" w:hAnsi="Times New Roman" w:cs="Times New Roman"/>
                <w:color w:val="000000" w:themeColor="text1"/>
                <w:szCs w:val="21"/>
                <w:lang w:val="zh-CN"/>
                <w14:textFill>
                  <w14:solidFill>
                    <w14:schemeClr w14:val="tx1"/>
                  </w14:solidFill>
                </w14:textFill>
              </w:rPr>
              <w:t>耕地、林地、草地</w:t>
            </w:r>
          </w:p>
        </w:tc>
        <w:tc>
          <w:tcPr>
            <w:tcW w:w="1212" w:type="pct"/>
            <w:tcBorders>
              <w:top w:val="single" w:color="auto" w:sz="2" w:space="0"/>
              <w:left w:val="single" w:color="auto" w:sz="2" w:space="0"/>
              <w:bottom w:val="single" w:color="auto" w:sz="2" w:space="0"/>
              <w:right w:val="single" w:color="auto" w:sz="2" w:space="0"/>
            </w:tcBorders>
            <w:vAlign w:val="center"/>
          </w:tcPr>
          <w:p w14:paraId="125A8BB8">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lang w:val="zh-CN"/>
                <w14:textFill>
                  <w14:solidFill>
                    <w14:schemeClr w14:val="tx1"/>
                  </w14:solidFill>
                </w14:textFill>
              </w:rPr>
            </w:pPr>
            <w:r>
              <w:rPr>
                <w:rFonts w:hint="default" w:ascii="Times New Roman" w:hAnsi="Times New Roman" w:cs="Times New Roman"/>
                <w:color w:val="000000" w:themeColor="text1"/>
                <w:szCs w:val="21"/>
                <w:lang w:val="zh-CN"/>
                <w14:textFill>
                  <w14:solidFill>
                    <w14:schemeClr w14:val="tx1"/>
                  </w14:solidFill>
                </w14:textFill>
              </w:rPr>
              <w:t>林地、草地</w:t>
            </w:r>
          </w:p>
        </w:tc>
        <w:tc>
          <w:tcPr>
            <w:tcW w:w="996" w:type="pct"/>
            <w:tcBorders>
              <w:top w:val="single" w:color="auto" w:sz="2" w:space="0"/>
              <w:left w:val="single" w:color="auto" w:sz="2" w:space="0"/>
              <w:bottom w:val="single" w:color="auto" w:sz="2" w:space="0"/>
              <w:right w:val="single" w:color="auto" w:sz="2" w:space="0"/>
            </w:tcBorders>
            <w:vAlign w:val="center"/>
          </w:tcPr>
          <w:p w14:paraId="36AED3B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lang w:val="zh-CN"/>
                <w14:textFill>
                  <w14:solidFill>
                    <w14:schemeClr w14:val="tx1"/>
                  </w14:solidFill>
                </w14:textFill>
              </w:rPr>
            </w:pPr>
            <w:r>
              <w:rPr>
                <w:rFonts w:hint="default" w:ascii="Times New Roman" w:hAnsi="Times New Roman" w:cs="Times New Roman"/>
                <w:color w:val="000000" w:themeColor="text1"/>
                <w:szCs w:val="21"/>
                <w:lang w:val="zh-CN"/>
                <w14:textFill>
                  <w14:solidFill>
                    <w14:schemeClr w14:val="tx1"/>
                  </w14:solidFill>
                </w14:textFill>
              </w:rPr>
              <w:t>草地</w:t>
            </w:r>
          </w:p>
        </w:tc>
      </w:tr>
      <w:tr w14:paraId="31AD5B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073" w:type="pct"/>
            <w:tcBorders>
              <w:top w:val="single" w:color="auto" w:sz="2" w:space="0"/>
              <w:left w:val="single" w:color="auto" w:sz="2" w:space="0"/>
              <w:bottom w:val="single" w:color="auto" w:sz="2" w:space="0"/>
              <w:right w:val="single" w:color="auto" w:sz="2" w:space="0"/>
            </w:tcBorders>
            <w:vAlign w:val="center"/>
          </w:tcPr>
          <w:p w14:paraId="53B86F4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lang w:val="zh-CN"/>
                <w14:textFill>
                  <w14:solidFill>
                    <w14:schemeClr w14:val="tx1"/>
                  </w14:solidFill>
                </w14:textFill>
              </w:rPr>
            </w:pPr>
            <w:r>
              <w:rPr>
                <w:rFonts w:hint="default" w:ascii="Times New Roman" w:hAnsi="Times New Roman" w:cs="Times New Roman"/>
                <w:color w:val="000000" w:themeColor="text1"/>
                <w:szCs w:val="21"/>
                <w:lang w:val="zh-CN"/>
                <w14:textFill>
                  <w14:solidFill>
                    <w14:schemeClr w14:val="tx1"/>
                  </w14:solidFill>
                </w14:textFill>
              </w:rPr>
              <w:t>加权值</w:t>
            </w:r>
          </w:p>
        </w:tc>
        <w:tc>
          <w:tcPr>
            <w:tcW w:w="1717" w:type="pct"/>
            <w:tcBorders>
              <w:top w:val="single" w:color="auto" w:sz="2" w:space="0"/>
              <w:left w:val="single" w:color="auto" w:sz="2" w:space="0"/>
              <w:bottom w:val="single" w:color="auto" w:sz="2" w:space="0"/>
              <w:right w:val="single" w:color="auto" w:sz="2" w:space="0"/>
            </w:tcBorders>
            <w:vAlign w:val="center"/>
          </w:tcPr>
          <w:p w14:paraId="65914D35">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lang w:val="zh-CN"/>
                <w14:textFill>
                  <w14:solidFill>
                    <w14:schemeClr w14:val="tx1"/>
                  </w14:solidFill>
                </w14:textFill>
              </w:rPr>
            </w:pPr>
            <w:r>
              <w:rPr>
                <w:rFonts w:hint="default" w:ascii="Times New Roman" w:hAnsi="Times New Roman" w:cs="Times New Roman"/>
                <w:color w:val="000000" w:themeColor="text1"/>
                <w:szCs w:val="21"/>
                <w:lang w:val="zh-CN"/>
                <w14:textFill>
                  <w14:solidFill>
                    <w14:schemeClr w14:val="tx1"/>
                  </w14:solidFill>
                </w14:textFill>
              </w:rPr>
              <w:t>＞3.00</w:t>
            </w:r>
          </w:p>
        </w:tc>
        <w:tc>
          <w:tcPr>
            <w:tcW w:w="1212" w:type="pct"/>
            <w:tcBorders>
              <w:top w:val="single" w:color="auto" w:sz="2" w:space="0"/>
              <w:left w:val="single" w:color="auto" w:sz="2" w:space="0"/>
              <w:bottom w:val="single" w:color="auto" w:sz="2" w:space="0"/>
              <w:right w:val="single" w:color="auto" w:sz="2" w:space="0"/>
            </w:tcBorders>
            <w:vAlign w:val="center"/>
          </w:tcPr>
          <w:p w14:paraId="124BCB5D">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lang w:val="zh-CN"/>
                <w14:textFill>
                  <w14:solidFill>
                    <w14:schemeClr w14:val="tx1"/>
                  </w14:solidFill>
                </w14:textFill>
              </w:rPr>
            </w:pPr>
            <w:r>
              <w:rPr>
                <w:rFonts w:hint="default" w:ascii="Times New Roman" w:hAnsi="Times New Roman" w:cs="Times New Roman"/>
                <w:color w:val="000000" w:themeColor="text1"/>
                <w:szCs w:val="21"/>
                <w:lang w:val="zh-CN"/>
                <w14:textFill>
                  <w14:solidFill>
                    <w14:schemeClr w14:val="tx1"/>
                  </w14:solidFill>
                </w14:textFill>
              </w:rPr>
              <w:t>2.00-3.00</w:t>
            </w:r>
          </w:p>
        </w:tc>
        <w:tc>
          <w:tcPr>
            <w:tcW w:w="996" w:type="pct"/>
            <w:tcBorders>
              <w:top w:val="single" w:color="auto" w:sz="2" w:space="0"/>
              <w:left w:val="single" w:color="auto" w:sz="2" w:space="0"/>
              <w:bottom w:val="single" w:color="auto" w:sz="2" w:space="0"/>
              <w:right w:val="single" w:color="auto" w:sz="2" w:space="0"/>
            </w:tcBorders>
            <w:vAlign w:val="center"/>
          </w:tcPr>
          <w:p w14:paraId="00C571DA">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Cs w:val="21"/>
                <w:lang w:val="zh-CN"/>
                <w14:textFill>
                  <w14:solidFill>
                    <w14:schemeClr w14:val="tx1"/>
                  </w14:solidFill>
                </w14:textFill>
              </w:rPr>
            </w:pPr>
            <w:r>
              <w:rPr>
                <w:rFonts w:hint="default" w:ascii="Times New Roman" w:hAnsi="Times New Roman" w:cs="Times New Roman"/>
                <w:color w:val="000000" w:themeColor="text1"/>
                <w:szCs w:val="21"/>
                <w:lang w:val="zh-CN"/>
                <w14:textFill>
                  <w14:solidFill>
                    <w14:schemeClr w14:val="tx1"/>
                  </w14:solidFill>
                </w14:textFill>
              </w:rPr>
              <w:t>＜2.00</w:t>
            </w:r>
          </w:p>
        </w:tc>
      </w:tr>
    </w:tbl>
    <w:p w14:paraId="628D33BD">
      <w:pPr>
        <w:keepNext w:val="0"/>
        <w:keepLines w:val="0"/>
        <w:pageBreakBefore w:val="0"/>
        <w:widowControl w:val="0"/>
        <w:kinsoku/>
        <w:wordWrap/>
        <w:overflowPunct/>
        <w:topLinePunct w:val="0"/>
        <w:autoSpaceDE/>
        <w:autoSpaceDN/>
        <w:bidi w:val="0"/>
        <w:adjustRightInd/>
        <w:snapToGrid/>
        <w:spacing w:before="157" w:beforeLines="50" w:line="360" w:lineRule="auto"/>
        <w:ind w:firstLine="560" w:firstLineChars="200"/>
        <w:textAlignment w:val="auto"/>
        <w:outlineLvl w:val="4"/>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4</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评价单元土地质量状况</w:t>
      </w:r>
    </w:p>
    <w:p w14:paraId="5E06B496">
      <w:pPr>
        <w:spacing w:line="360" w:lineRule="auto"/>
        <w:ind w:firstLine="560" w:firstLineChars="200"/>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根据评价单元土地质量，对照拟复垦土地适宜性评价的参评因子、权重及等级表，计算出各评价单元的适宜性评价加权值，根据加权值对照表加权值与复垦方向对照表，确定各个评价单元的复垦方向。各评价单元土地质量见表3-</w:t>
      </w:r>
      <w:r>
        <w:rPr>
          <w:rFonts w:hint="eastAsia" w:cs="Times New Roman"/>
          <w:color w:val="000000" w:themeColor="text1"/>
          <w:sz w:val="28"/>
          <w:szCs w:val="28"/>
          <w:lang w:val="en-US" w:eastAsia="zh-CN"/>
          <w14:textFill>
            <w14:solidFill>
              <w14:schemeClr w14:val="tx1"/>
            </w14:solidFill>
          </w14:textFill>
        </w:rPr>
        <w:t>47</w:t>
      </w:r>
      <w:r>
        <w:rPr>
          <w:rFonts w:hint="default" w:ascii="Times New Roman" w:hAnsi="Times New Roman" w:cs="Times New Roman"/>
          <w:color w:val="000000" w:themeColor="text1"/>
          <w:sz w:val="28"/>
          <w:szCs w:val="28"/>
          <w14:textFill>
            <w14:solidFill>
              <w14:schemeClr w14:val="tx1"/>
            </w14:solidFill>
          </w14:textFill>
        </w:rPr>
        <w:t>。</w:t>
      </w:r>
    </w:p>
    <w:p w14:paraId="424AB542">
      <w:pPr>
        <w:pStyle w:val="66"/>
        <w:spacing w:line="360" w:lineRule="auto"/>
        <w:ind w:left="0" w:leftChars="0" w:firstLine="0" w:firstLineChars="0"/>
        <w:jc w:val="center"/>
        <w:rPr>
          <w:rFonts w:hint="default" w:ascii="黑体" w:hAnsi="黑体" w:eastAsia="黑体" w:cs="黑体"/>
          <w:b w:val="0"/>
          <w:bCs w:val="0"/>
          <w:color w:val="000000" w:themeColor="text1"/>
          <w:sz w:val="24"/>
          <w:szCs w:val="24"/>
          <w:lang w:val="en-US" w:eastAsia="zh-CN"/>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表3-</w:t>
      </w:r>
      <w:r>
        <w:rPr>
          <w:rFonts w:hint="eastAsia" w:ascii="黑体" w:hAnsi="黑体" w:eastAsia="黑体" w:cs="黑体"/>
          <w:b w:val="0"/>
          <w:bCs w:val="0"/>
          <w:color w:val="000000" w:themeColor="text1"/>
          <w:sz w:val="24"/>
          <w:szCs w:val="24"/>
          <w:lang w:val="en-US" w:eastAsia="zh-CN"/>
          <w14:textFill>
            <w14:solidFill>
              <w14:schemeClr w14:val="tx1"/>
            </w14:solidFill>
          </w14:textFill>
        </w:rPr>
        <w:t>47</w:t>
      </w:r>
      <w:r>
        <w:rPr>
          <w:rFonts w:hint="eastAsia" w:ascii="黑体" w:hAnsi="黑体" w:eastAsia="黑体" w:cs="黑体"/>
          <w:b w:val="0"/>
          <w:bCs w:val="0"/>
          <w:color w:val="000000" w:themeColor="text1"/>
          <w:sz w:val="24"/>
          <w:szCs w:val="24"/>
          <w14:textFill>
            <w14:solidFill>
              <w14:schemeClr w14:val="tx1"/>
            </w14:solidFill>
          </w14:textFill>
        </w:rPr>
        <w:t xml:space="preserve">  各评价单元土地质量表</w:t>
      </w:r>
    </w:p>
    <w:p w14:paraId="7866CBB5">
      <w:pPr>
        <w:keepNext w:val="0"/>
        <w:keepLines w:val="0"/>
        <w:pageBreakBefore w:val="0"/>
        <w:widowControl w:val="0"/>
        <w:kinsoku/>
        <w:wordWrap/>
        <w:overflowPunct/>
        <w:topLinePunct w:val="0"/>
        <w:autoSpaceDE/>
        <w:autoSpaceDN/>
        <w:bidi w:val="0"/>
        <w:adjustRightInd/>
        <w:snapToGrid/>
        <w:spacing w:before="157" w:beforeLines="50" w:line="360" w:lineRule="auto"/>
        <w:ind w:firstLine="560" w:firstLineChars="200"/>
        <w:textAlignment w:val="auto"/>
        <w:outlineLvl w:val="4"/>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5</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评价等级及土地复垦适宜性评价结果</w:t>
      </w:r>
    </w:p>
    <w:p w14:paraId="1AA1DE22">
      <w:pPr>
        <w:spacing w:line="360" w:lineRule="auto"/>
        <w:ind w:firstLine="548" w:firstLineChars="196"/>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根据评价单元土地质量，对照拟复垦土地适宜性评价的参评因子、权重及等级表，计算出各评价单元的适宜性评价加权指数和，对照加权值与复垦方向对照表，确定各个评价单元的复垦方向。再将各复垦土地评价单元的土地质量状况分别与复垦土地主要限制因素的农林牧等级标准对比，得到待复垦土地的农林草适宜性评价因素明细表。</w:t>
      </w:r>
    </w:p>
    <w:p w14:paraId="6F2A3DE4">
      <w:pPr>
        <w:rPr>
          <w:rFonts w:hint="eastAsia" w:ascii="黑体" w:hAnsi="黑体" w:eastAsia="黑体" w:cs="黑体"/>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br w:type="page"/>
      </w:r>
    </w:p>
    <w:p w14:paraId="0766A6AA">
      <w:pPr>
        <w:pStyle w:val="66"/>
        <w:spacing w:line="360" w:lineRule="auto"/>
        <w:ind w:left="0" w:leftChars="0" w:firstLine="0" w:firstLineChars="0"/>
        <w:jc w:val="center"/>
        <w:rPr>
          <w:rFonts w:hint="eastAsia" w:ascii="黑体" w:hAnsi="黑体" w:eastAsia="黑体" w:cs="黑体"/>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表3-</w:t>
      </w:r>
      <w:r>
        <w:rPr>
          <w:rFonts w:hint="eastAsia" w:ascii="黑体" w:hAnsi="黑体" w:eastAsia="黑体" w:cs="黑体"/>
          <w:b w:val="0"/>
          <w:bCs w:val="0"/>
          <w:color w:val="000000" w:themeColor="text1"/>
          <w:sz w:val="24"/>
          <w:szCs w:val="24"/>
          <w:lang w:val="en-US" w:eastAsia="zh-CN"/>
          <w14:textFill>
            <w14:solidFill>
              <w14:schemeClr w14:val="tx1"/>
            </w14:solidFill>
          </w14:textFill>
        </w:rPr>
        <w:t>48</w:t>
      </w:r>
      <w:r>
        <w:rPr>
          <w:rFonts w:hint="eastAsia" w:ascii="黑体" w:hAnsi="黑体" w:eastAsia="黑体" w:cs="黑体"/>
          <w:b w:val="0"/>
          <w:bCs w:val="0"/>
          <w:color w:val="000000" w:themeColor="text1"/>
          <w:sz w:val="24"/>
          <w:szCs w:val="24"/>
          <w14:textFill>
            <w14:solidFill>
              <w14:schemeClr w14:val="tx1"/>
            </w14:solidFill>
          </w14:textFill>
        </w:rPr>
        <w:t xml:space="preserve">  评价单元适宜性评价加权值及土地复垦结构调整表</w:t>
      </w:r>
    </w:p>
    <w:p w14:paraId="0D64C30E">
      <w:pPr>
        <w:pStyle w:val="64"/>
        <w:keepNext w:val="0"/>
        <w:keepLines w:val="0"/>
        <w:pageBreakBefore w:val="0"/>
        <w:widowControl w:val="0"/>
        <w:kinsoku/>
        <w:wordWrap/>
        <w:overflowPunct/>
        <w:topLinePunct w:val="0"/>
        <w:autoSpaceDE/>
        <w:autoSpaceDN/>
        <w:bidi w:val="0"/>
        <w:adjustRightInd/>
        <w:snapToGrid/>
        <w:spacing w:before="157" w:beforeLines="50" w:line="360" w:lineRule="auto"/>
        <w:ind w:firstLine="544"/>
        <w:textAlignment w:val="auto"/>
        <w:rPr>
          <w:rFonts w:hint="default" w:ascii="Times New Roman" w:hAnsi="Times New Roman" w:eastAsia="宋体" w:cs="Times New Roman"/>
          <w:color w:val="000000" w:themeColor="text1"/>
          <w:spacing w:val="-4"/>
          <w:sz w:val="28"/>
          <w:szCs w:val="28"/>
          <w14:textFill>
            <w14:solidFill>
              <w14:schemeClr w14:val="tx1"/>
            </w14:solidFill>
          </w14:textFill>
        </w:rPr>
      </w:pPr>
      <w:r>
        <w:rPr>
          <w:rFonts w:hint="default" w:ascii="Times New Roman" w:hAnsi="Times New Roman" w:eastAsia="宋体" w:cs="Times New Roman"/>
          <w:color w:val="000000" w:themeColor="text1"/>
          <w:spacing w:val="-4"/>
          <w:sz w:val="28"/>
          <w:szCs w:val="28"/>
          <w14:textFill>
            <w14:solidFill>
              <w14:schemeClr w14:val="tx1"/>
            </w14:solidFill>
          </w14:textFill>
        </w:rPr>
        <w:t>依据适宜性等级评定结果，对于多宜性的评价单元，综合分析复垦区自然条件和社会条件，结合公众意见和政策因素，并考虑工程施工难易程度以及技术可行性等方面的因素，结合采区的生态环境特点、植被类型，根据因地制宜的原则，复垦后土地可持续利用原则以及综合效益等原则，复垦方向为</w:t>
      </w:r>
      <w:r>
        <w:rPr>
          <w:rFonts w:hint="eastAsia" w:eastAsia="宋体" w:cs="Times New Roman"/>
          <w:color w:val="000000" w:themeColor="text1"/>
          <w:spacing w:val="-4"/>
          <w:sz w:val="28"/>
          <w:szCs w:val="28"/>
          <w:lang w:val="en-US" w:eastAsia="zh-CN"/>
          <w14:textFill>
            <w14:solidFill>
              <w14:schemeClr w14:val="tx1"/>
            </w14:solidFill>
          </w14:textFill>
        </w:rPr>
        <w:t>水浇地、</w:t>
      </w:r>
      <w:r>
        <w:rPr>
          <w:rFonts w:hint="default" w:ascii="Times New Roman" w:hAnsi="Times New Roman" w:eastAsia="宋体" w:cs="Times New Roman"/>
          <w:color w:val="000000" w:themeColor="text1"/>
          <w:spacing w:val="-4"/>
          <w:sz w:val="28"/>
          <w:szCs w:val="28"/>
          <w:lang w:val="en-US"/>
          <w14:textFill>
            <w14:solidFill>
              <w14:schemeClr w14:val="tx1"/>
            </w14:solidFill>
          </w14:textFill>
        </w:rPr>
        <w:t>乔木林地、灌木林地</w:t>
      </w:r>
      <w:r>
        <w:rPr>
          <w:rFonts w:hint="default" w:ascii="Times New Roman" w:hAnsi="Times New Roman" w:eastAsia="宋体" w:cs="Times New Roman"/>
          <w:color w:val="000000" w:themeColor="text1"/>
          <w:spacing w:val="-4"/>
          <w:sz w:val="28"/>
          <w:szCs w:val="28"/>
          <w14:textFill>
            <w14:solidFill>
              <w14:schemeClr w14:val="tx1"/>
            </w14:solidFill>
          </w14:textFill>
        </w:rPr>
        <w:t>和</w:t>
      </w:r>
      <w:r>
        <w:rPr>
          <w:rFonts w:hint="eastAsia" w:eastAsia="宋体" w:cs="Times New Roman"/>
          <w:color w:val="000000" w:themeColor="text1"/>
          <w:spacing w:val="-4"/>
          <w:sz w:val="28"/>
          <w:szCs w:val="28"/>
          <w:lang w:val="en-US" w:eastAsia="zh-CN"/>
          <w14:textFill>
            <w14:solidFill>
              <w14:schemeClr w14:val="tx1"/>
            </w14:solidFill>
          </w14:textFill>
        </w:rPr>
        <w:t>人工</w:t>
      </w:r>
      <w:r>
        <w:rPr>
          <w:rFonts w:hint="default" w:ascii="Times New Roman" w:hAnsi="Times New Roman" w:eastAsia="宋体" w:cs="Times New Roman"/>
          <w:color w:val="000000" w:themeColor="text1"/>
          <w:spacing w:val="-4"/>
          <w:sz w:val="28"/>
          <w:szCs w:val="28"/>
          <w:lang w:val="en-US"/>
          <w14:textFill>
            <w14:solidFill>
              <w14:schemeClr w14:val="tx1"/>
            </w14:solidFill>
          </w14:textFill>
        </w:rPr>
        <w:t>牧草地</w:t>
      </w:r>
      <w:r>
        <w:rPr>
          <w:rFonts w:hint="default" w:ascii="Times New Roman" w:hAnsi="Times New Roman" w:eastAsia="宋体" w:cs="Times New Roman"/>
          <w:color w:val="000000" w:themeColor="text1"/>
          <w:spacing w:val="-4"/>
          <w:sz w:val="28"/>
          <w:szCs w:val="28"/>
          <w14:textFill>
            <w14:solidFill>
              <w14:schemeClr w14:val="tx1"/>
            </w14:solidFill>
          </w14:textFill>
        </w:rPr>
        <w:t>，</w:t>
      </w:r>
      <w:r>
        <w:rPr>
          <w:rFonts w:hint="default" w:ascii="Times New Roman" w:hAnsi="Times New Roman" w:eastAsia="宋体" w:cs="Times New Roman"/>
          <w:color w:val="000000" w:themeColor="text1"/>
          <w:kern w:val="0"/>
          <w:sz w:val="28"/>
          <w:szCs w:val="28"/>
          <w14:textFill>
            <w14:solidFill>
              <w14:schemeClr w14:val="tx1"/>
            </w14:solidFill>
          </w14:textFill>
        </w:rPr>
        <w:t>复垦方向基本保持原地类不变</w:t>
      </w:r>
      <w:r>
        <w:rPr>
          <w:rFonts w:hint="default" w:ascii="Times New Roman" w:hAnsi="Times New Roman" w:eastAsia="宋体" w:cs="Times New Roman"/>
          <w:color w:val="000000" w:themeColor="text1"/>
          <w:spacing w:val="-4"/>
          <w:sz w:val="28"/>
          <w:szCs w:val="28"/>
          <w14:textFill>
            <w14:solidFill>
              <w14:schemeClr w14:val="tx1"/>
            </w14:solidFill>
          </w14:textFill>
        </w:rPr>
        <w:t>。</w:t>
      </w:r>
    </w:p>
    <w:p w14:paraId="07DC78B3">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ascii="Times New Roman"/>
          <w:color w:val="000000" w:themeColor="text1"/>
          <w:sz w:val="28"/>
          <w:szCs w:val="28"/>
          <w14:textFill>
            <w14:solidFill>
              <w14:schemeClr w14:val="tx1"/>
            </w14:solidFill>
          </w14:textFill>
        </w:rPr>
        <w:t>需要指出的是，矿山地质环境保护与土地复垦是一项综合性工程，涉及不同的行业部门。其中土地复垦方面，《方案》依据现有规范规程与土地利用“三调图”结果规划了矿山损毁与占用的土地复垦类型及相应的植被恢复工程。考虑到林业与草原行政主管部门“负责森林、草原、湿地资源的监督管理”的职能定位，矿山的植被恢复工程应该在林草行政主管部门的指导下实施，并在后期的植被管护、监测、成效评估等方面接受林草行政主管部门的监督与管理。</w:t>
      </w:r>
    </w:p>
    <w:p w14:paraId="6D9BBB76">
      <w:pPr>
        <w:spacing w:line="360" w:lineRule="auto"/>
        <w:ind w:firstLine="560" w:firstLineChars="200"/>
        <w:outlineLvl w:val="4"/>
        <w:rPr>
          <w:rFonts w:hint="default"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、水土资源平衡分析</w:t>
      </w:r>
    </w:p>
    <w:p w14:paraId="0A7393BC">
      <w:pPr>
        <w:spacing w:line="360" w:lineRule="auto"/>
        <w:ind w:firstLine="560" w:firstLineChars="200"/>
        <w:outlineLvl w:val="4"/>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lang w:val="en-US"/>
          <w14:textFill>
            <w14:solidFill>
              <w14:schemeClr w14:val="tx1"/>
            </w14:solidFill>
          </w14:textFill>
        </w:rPr>
        <w:t>（1）</w:t>
      </w:r>
      <w:r>
        <w:rPr>
          <w:rFonts w:hint="default" w:ascii="Times New Roman" w:hAnsi="Times New Roman" w:eastAsia="宋体" w:cs="Times New Roman"/>
          <w:color w:val="000000" w:themeColor="text1"/>
          <w:sz w:val="28"/>
          <w:szCs w:val="28"/>
          <w14:textFill>
            <w14:solidFill>
              <w14:schemeClr w14:val="tx1"/>
            </w14:solidFill>
          </w14:textFill>
        </w:rPr>
        <w:t>土源平衡分析</w:t>
      </w:r>
    </w:p>
    <w:p w14:paraId="3DCABDF7">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修复</w:t>
      </w:r>
      <w:r>
        <w:rPr>
          <w:rFonts w:hint="default" w:ascii="Times New Roman" w:hAnsi="Times New Roman" w:cs="Times New Roman"/>
          <w:color w:val="000000" w:themeColor="text1"/>
          <w:sz w:val="28"/>
          <w:szCs w:val="28"/>
          <w14:textFill>
            <w14:solidFill>
              <w14:schemeClr w14:val="tx1"/>
            </w14:solidFill>
          </w14:textFill>
        </w:rPr>
        <w:t>区复垦责任区面积</w:t>
      </w:r>
      <w:r>
        <w:rPr>
          <w:rFonts w:hint="eastAsia" w:cs="Times New Roman"/>
          <w:color w:val="000000" w:themeColor="text1"/>
          <w:sz w:val="28"/>
          <w:szCs w:val="28"/>
          <w:lang w:val="en-US" w:eastAsia="zh-CN"/>
          <w14:textFill>
            <w14:solidFill>
              <w14:schemeClr w14:val="tx1"/>
            </w14:solidFill>
          </w14:textFill>
        </w:rPr>
        <w:t>10.72h</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矿山生产时预计剥离表土</w:t>
      </w:r>
      <w:r>
        <w:rPr>
          <w:rFonts w:hint="default" w:ascii="Times New Roman" w:hAnsi="Times New Roman" w:eastAsia="宋体" w:cs="Times New Roman"/>
          <w:color w:val="000000" w:themeColor="text1"/>
          <w:sz w:val="28"/>
          <w:szCs w:val="28"/>
          <w14:textFill>
            <w14:solidFill>
              <w14:schemeClr w14:val="tx1"/>
            </w14:solidFill>
          </w14:textFill>
        </w:rPr>
        <w:t>46127</w:t>
      </w:r>
      <w:r>
        <w:rPr>
          <w:rFonts w:hint="eastAsia" w:ascii="Times New Roman" w:hAnsi="Times New Roman" w:cs="Times New Roman"/>
          <w:color w:val="000000" w:themeColor="text1"/>
          <w:sz w:val="28"/>
          <w:szCs w:val="28"/>
          <w:lang w:val="en-US" w:eastAsia="zh-CN"/>
          <w14:textFill>
            <w14:solidFill>
              <w14:schemeClr w14:val="tx1"/>
            </w14:solidFill>
          </w14:textFill>
        </w:rPr>
        <w:t>m</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3</w:t>
      </w:r>
      <w:r>
        <w:rPr>
          <w:rFonts w:hint="eastAsia" w:ascii="Times New Roman" w:hAnsi="Times New Roman" w:cs="Times New Roman"/>
          <w:color w:val="000000" w:themeColor="text1"/>
          <w:sz w:val="28"/>
          <w:szCs w:val="28"/>
          <w:lang w:val="en-US" w:eastAsia="zh-CN"/>
          <w14:textFill>
            <w14:solidFill>
              <w14:schemeClr w14:val="tx1"/>
            </w14:solidFill>
          </w14:textFill>
        </w:rPr>
        <w:t>，现状矿山表土堆积方量约5866m</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3</w:t>
      </w:r>
      <w:r>
        <w:rPr>
          <w:rFonts w:hint="eastAsia" w:ascii="Times New Roman" w:hAnsi="Times New Roman" w:cs="Times New Roman"/>
          <w:color w:val="000000" w:themeColor="text1"/>
          <w:sz w:val="28"/>
          <w:szCs w:val="28"/>
          <w:vertAlign w:val="baseline"/>
          <w:lang w:val="en-US" w:eastAsia="zh-CN"/>
          <w14:textFill>
            <w14:solidFill>
              <w14:schemeClr w14:val="tx1"/>
            </w14:solidFill>
          </w14:textFill>
        </w:rPr>
        <w:t>，总计表土方量为51993</w:t>
      </w:r>
      <w:r>
        <w:rPr>
          <w:rFonts w:hint="eastAsia" w:ascii="Times New Roman" w:hAnsi="Times New Roman" w:cs="Times New Roman"/>
          <w:color w:val="000000" w:themeColor="text1"/>
          <w:sz w:val="28"/>
          <w:szCs w:val="28"/>
          <w:lang w:val="en-US" w:eastAsia="zh-CN"/>
          <w14:textFill>
            <w14:solidFill>
              <w14:schemeClr w14:val="tx1"/>
            </w14:solidFill>
          </w14:textFill>
        </w:rPr>
        <w:t>m</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3</w:t>
      </w:r>
      <w:r>
        <w:rPr>
          <w:rFonts w:hint="eastAsia" w:ascii="Times New Roman" w:hAnsi="Times New Roman" w:cs="Times New Roman"/>
          <w:color w:val="000000" w:themeColor="text1"/>
          <w:sz w:val="28"/>
          <w:szCs w:val="28"/>
          <w:lang w:val="en-US"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因矿区开采矿种为粘土矿，故本方案设计复垦工程措施为翻耕，最终表土回填至露天采场内，故表土满足矿山复垦要求</w:t>
      </w:r>
      <w:r>
        <w:rPr>
          <w:rFonts w:hint="default" w:ascii="Times New Roman" w:hAnsi="Times New Roman" w:cs="Times New Roman"/>
          <w:color w:val="000000" w:themeColor="text1"/>
          <w:sz w:val="28"/>
          <w:szCs w:val="28"/>
          <w14:textFill>
            <w14:solidFill>
              <w14:schemeClr w14:val="tx1"/>
            </w14:solidFill>
          </w14:textFill>
        </w:rPr>
        <w:t>。</w:t>
      </w:r>
    </w:p>
    <w:p w14:paraId="76049ACB">
      <w:pPr>
        <w:spacing w:line="360" w:lineRule="auto"/>
        <w:ind w:firstLine="560" w:firstLineChars="200"/>
        <w:outlineLvl w:val="4"/>
        <w:rPr>
          <w:rFonts w:hint="default" w:ascii="Times New Roman" w:hAnsi="Times New Roman" w:eastAsia="宋体" w:cs="Times New Roman"/>
          <w:color w:val="000000" w:themeColor="text1"/>
          <w:sz w:val="28"/>
          <w:szCs w:val="28"/>
          <w:lang w:val="en-US"/>
          <w14:textFill>
            <w14:solidFill>
              <w14:schemeClr w14:val="tx1"/>
            </w14:solidFill>
          </w14:textFill>
        </w:rPr>
      </w:pPr>
      <w:r>
        <w:rPr>
          <w:rFonts w:hint="default" w:ascii="Times New Roman" w:hAnsi="Times New Roman" w:eastAsia="宋体" w:cs="Times New Roman"/>
          <w:color w:val="000000" w:themeColor="text1"/>
          <w:sz w:val="28"/>
          <w:szCs w:val="28"/>
          <w:lang w:val="en-US"/>
          <w14:textFill>
            <w14:solidFill>
              <w14:schemeClr w14:val="tx1"/>
            </w14:solidFill>
          </w14:textFill>
        </w:rPr>
        <w:t>（2）水资源平衡分析</w:t>
      </w:r>
    </w:p>
    <w:p w14:paraId="57668846">
      <w:pPr>
        <w:widowControl w:val="0"/>
        <w:spacing w:line="360" w:lineRule="auto"/>
        <w:ind w:firstLine="544" w:firstLineChars="200"/>
        <w:jc w:val="both"/>
        <w:rPr>
          <w:rFonts w:hint="eastAsia" w:eastAsia="宋体" w:cs="Times New Roman"/>
          <w:color w:val="000000" w:themeColor="text1"/>
          <w:spacing w:val="-4"/>
          <w:sz w:val="28"/>
          <w:szCs w:val="28"/>
          <w:lang w:val="en-US" w:eastAsia="zh-CN"/>
          <w14:textFill>
            <w14:solidFill>
              <w14:schemeClr w14:val="tx1"/>
            </w14:solidFill>
          </w14:textFill>
        </w:rPr>
      </w:pPr>
      <w:bookmarkStart w:id="52" w:name="_Toc37947574"/>
      <w:bookmarkStart w:id="53" w:name="_Toc18660176"/>
      <w:r>
        <w:rPr>
          <w:rFonts w:hint="eastAsia" w:eastAsia="宋体" w:cs="Times New Roman"/>
          <w:color w:val="000000" w:themeColor="text1"/>
          <w:spacing w:val="-4"/>
          <w:sz w:val="28"/>
          <w:szCs w:val="28"/>
          <w:lang w:val="en-US" w:eastAsia="zh-CN"/>
          <w14:textFill>
            <w14:solidFill>
              <w14:schemeClr w14:val="tx1"/>
            </w14:solidFill>
          </w14:textFill>
        </w:rPr>
        <w:t>①供水量分析</w:t>
      </w:r>
    </w:p>
    <w:p w14:paraId="3DB8BEE4">
      <w:pPr>
        <w:widowControl w:val="0"/>
        <w:spacing w:line="360" w:lineRule="auto"/>
        <w:ind w:firstLine="560" w:firstLineChars="200"/>
        <w:jc w:val="both"/>
        <w:rPr>
          <w:rFonts w:hint="eastAsia" w:eastAsia="宋体" w:cs="Times New Roman"/>
          <w:color w:val="000000" w:themeColor="text1"/>
          <w:spacing w:val="-4"/>
          <w:sz w:val="28"/>
          <w:szCs w:val="28"/>
          <w:lang w:val="en-US" w:eastAsia="zh-CN"/>
          <w14:textFill>
            <w14:solidFill>
              <w14:schemeClr w14:val="tx1"/>
            </w14:solidFill>
          </w14:textFill>
        </w:rPr>
      </w:pPr>
      <w:r>
        <w:rPr>
          <w:rFonts w:hint="default" w:ascii="Times New Roman" w:hAnsi="Times New Roman" w:cs="Times New Roman"/>
          <w:color w:val="000000" w:themeColor="text1"/>
          <w:sz w:val="28"/>
          <w:szCs w:val="28"/>
          <w:highlight w:val="none"/>
          <w14:textFill>
            <w14:solidFill>
              <w14:schemeClr w14:val="tx1"/>
            </w14:solidFill>
          </w14:textFill>
        </w:rPr>
        <w:t>矿山</w:t>
      </w:r>
      <w:r>
        <w:rPr>
          <w:rFonts w:hint="eastAsia" w:ascii="Times New Roman" w:hAnsi="Times New Roman" w:cs="Times New Roman"/>
          <w:color w:val="000000" w:themeColor="text1"/>
          <w:sz w:val="28"/>
          <w:szCs w:val="28"/>
          <w:highlight w:val="none"/>
          <w:lang w:val="en-US" w:eastAsia="zh-CN"/>
          <w14:textFill>
            <w14:solidFill>
              <w14:schemeClr w14:val="tx1"/>
            </w14:solidFill>
          </w14:textFill>
        </w:rPr>
        <w:t>建有</w:t>
      </w:r>
      <w:r>
        <w:rPr>
          <w:rFonts w:hint="default" w:ascii="Times New Roman" w:hAnsi="Times New Roman" w:cs="Times New Roman"/>
          <w:color w:val="000000" w:themeColor="text1"/>
          <w:sz w:val="28"/>
          <w:szCs w:val="28"/>
          <w:highlight w:val="none"/>
          <w14:textFill>
            <w14:solidFill>
              <w14:schemeClr w14:val="tx1"/>
            </w14:solidFill>
          </w14:textFill>
        </w:rPr>
        <w:t>机</w:t>
      </w:r>
      <w:r>
        <w:rPr>
          <w:rFonts w:hint="eastAsia" w:cs="Times New Roman"/>
          <w:color w:val="000000" w:themeColor="text1"/>
          <w:sz w:val="28"/>
          <w:szCs w:val="28"/>
          <w:highlight w:val="none"/>
          <w:lang w:val="en-US" w:eastAsia="zh-CN"/>
          <w14:textFill>
            <w14:solidFill>
              <w14:schemeClr w14:val="tx1"/>
            </w14:solidFill>
          </w14:textFill>
        </w:rPr>
        <w:t>电</w:t>
      </w:r>
      <w:r>
        <w:rPr>
          <w:rFonts w:hint="default" w:ascii="Times New Roman" w:hAnsi="Times New Roman" w:cs="Times New Roman"/>
          <w:color w:val="000000" w:themeColor="text1"/>
          <w:sz w:val="28"/>
          <w:szCs w:val="28"/>
          <w:highlight w:val="none"/>
          <w14:textFill>
            <w14:solidFill>
              <w14:schemeClr w14:val="tx1"/>
            </w14:solidFill>
          </w14:textFill>
        </w:rPr>
        <w:t>井，单井</w:t>
      </w:r>
      <w:r>
        <w:rPr>
          <w:rFonts w:hint="eastAsia" w:ascii="Times New Roman" w:hAnsi="Times New Roman" w:cs="Times New Roman"/>
          <w:color w:val="000000" w:themeColor="text1"/>
          <w:sz w:val="28"/>
          <w:szCs w:val="28"/>
          <w:highlight w:val="none"/>
          <w:lang w:val="en-US" w:eastAsia="zh-CN"/>
          <w14:textFill>
            <w14:solidFill>
              <w14:schemeClr w14:val="tx1"/>
            </w14:solidFill>
          </w14:textFill>
        </w:rPr>
        <w:t>涌水量40</w:t>
      </w:r>
      <w:r>
        <w:rPr>
          <w:rFonts w:hint="default" w:ascii="Times New Roman" w:hAnsi="Times New Roman" w:cs="Times New Roman"/>
          <w:color w:val="000000" w:themeColor="text1"/>
          <w:sz w:val="28"/>
          <w:szCs w:val="28"/>
          <w:highlight w:val="none"/>
          <w14:textFill>
            <w14:solidFill>
              <w14:schemeClr w14:val="tx1"/>
            </w14:solidFill>
          </w14:textFill>
        </w:rPr>
        <w:t>m</w:t>
      </w:r>
      <w:r>
        <w:rPr>
          <w:rFonts w:hint="eastAsia" w:ascii="Times New Roman" w:hAnsi="Times New Roman" w:cs="Times New Roman"/>
          <w:color w:val="000000" w:themeColor="text1"/>
          <w:sz w:val="28"/>
          <w:szCs w:val="28"/>
          <w:highlight w:val="none"/>
          <w:vertAlign w:val="superscript"/>
          <w:lang w:val="en-US" w:eastAsia="zh-CN"/>
          <w14:textFill>
            <w14:solidFill>
              <w14:schemeClr w14:val="tx1"/>
            </w14:solidFill>
          </w14:textFill>
        </w:rPr>
        <w:t>3</w:t>
      </w:r>
      <w:r>
        <w:rPr>
          <w:rFonts w:hint="eastAsia" w:ascii="Times New Roman" w:hAnsi="Times New Roman" w:cs="Times New Roman"/>
          <w:color w:val="000000" w:themeColor="text1"/>
          <w:sz w:val="28"/>
          <w:szCs w:val="28"/>
          <w:highlight w:val="none"/>
          <w:vertAlign w:val="baseline"/>
          <w:lang w:val="en-US" w:eastAsia="zh-CN"/>
          <w14:textFill>
            <w14:solidFill>
              <w14:schemeClr w14:val="tx1"/>
            </w14:solidFill>
          </w14:textFill>
        </w:rPr>
        <w:t>/d</w:t>
      </w:r>
      <w:r>
        <w:rPr>
          <w:rFonts w:hint="eastAsia" w:eastAsia="宋体" w:cs="Times New Roman"/>
          <w:color w:val="000000" w:themeColor="text1"/>
          <w:spacing w:val="-4"/>
          <w:sz w:val="28"/>
          <w:szCs w:val="28"/>
          <w:lang w:val="en-US" w:eastAsia="zh-CN"/>
          <w14:textFill>
            <w14:solidFill>
              <w14:schemeClr w14:val="tx1"/>
            </w14:solidFill>
          </w14:textFill>
        </w:rPr>
        <w:t>。年生产300d，年排水量总量预估</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12000</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/d</w:t>
      </w:r>
      <w:r>
        <w:rPr>
          <w:rFonts w:hint="eastAsia" w:eastAsia="宋体" w:cs="Times New Roman"/>
          <w:color w:val="000000" w:themeColor="text1"/>
          <w:spacing w:val="-4"/>
          <w:sz w:val="28"/>
          <w:szCs w:val="28"/>
          <w:lang w:val="en-US" w:eastAsia="zh-CN"/>
          <w14:textFill>
            <w14:solidFill>
              <w14:schemeClr w14:val="tx1"/>
            </w14:solidFill>
          </w14:textFill>
        </w:rPr>
        <w:t>。可供选矿与矿区绿化用水。</w:t>
      </w:r>
    </w:p>
    <w:p w14:paraId="7380057F">
      <w:pPr>
        <w:widowControl w:val="0"/>
        <w:spacing w:line="360" w:lineRule="auto"/>
        <w:ind w:firstLine="544" w:firstLineChars="200"/>
        <w:jc w:val="both"/>
        <w:rPr>
          <w:rFonts w:hint="eastAsia" w:eastAsia="宋体" w:cs="Times New Roman"/>
          <w:color w:val="000000" w:themeColor="text1"/>
          <w:spacing w:val="-4"/>
          <w:sz w:val="28"/>
          <w:szCs w:val="28"/>
          <w:lang w:val="en-US" w:eastAsia="zh-CN"/>
          <w14:textFill>
            <w14:solidFill>
              <w14:schemeClr w14:val="tx1"/>
            </w14:solidFill>
          </w14:textFill>
        </w:rPr>
      </w:pPr>
      <w:r>
        <w:rPr>
          <w:rFonts w:hint="eastAsia" w:eastAsia="宋体" w:cs="Times New Roman"/>
          <w:color w:val="000000" w:themeColor="text1"/>
          <w:spacing w:val="-4"/>
          <w:sz w:val="28"/>
          <w:szCs w:val="28"/>
          <w:lang w:val="en-US" w:eastAsia="zh-CN"/>
          <w14:textFill>
            <w14:solidFill>
              <w14:schemeClr w14:val="tx1"/>
            </w14:solidFill>
          </w14:textFill>
        </w:rPr>
        <w:t>②用水量分析</w:t>
      </w:r>
    </w:p>
    <w:p w14:paraId="115FBCB8">
      <w:pPr>
        <w:widowControl w:val="0"/>
        <w:spacing w:line="360" w:lineRule="auto"/>
        <w:ind w:firstLine="544" w:firstLineChars="200"/>
        <w:jc w:val="both"/>
        <w:rPr>
          <w:rFonts w:hint="eastAsia" w:eastAsia="宋体" w:cs="Times New Roman"/>
          <w:color w:val="000000" w:themeColor="text1"/>
          <w:spacing w:val="-4"/>
          <w:sz w:val="28"/>
          <w:szCs w:val="28"/>
          <w:lang w:val="en-US" w:eastAsia="zh-CN"/>
          <w14:textFill>
            <w14:solidFill>
              <w14:schemeClr w14:val="tx1"/>
            </w14:solidFill>
          </w14:textFill>
        </w:rPr>
      </w:pPr>
      <w:r>
        <w:rPr>
          <w:rFonts w:hint="eastAsia" w:eastAsia="宋体" w:cs="Times New Roman"/>
          <w:color w:val="000000" w:themeColor="text1"/>
          <w:spacing w:val="-4"/>
          <w:sz w:val="28"/>
          <w:szCs w:val="28"/>
          <w:lang w:val="en-US" w:eastAsia="zh-CN"/>
          <w14:textFill>
            <w14:solidFill>
              <w14:schemeClr w14:val="tx1"/>
            </w14:solidFill>
          </w14:textFill>
        </w:rPr>
        <w:t>本矿区复垦责任区内主要复垦单元为水浇地、林地、草地，矿区总复垦面积为10.72hm</w:t>
      </w:r>
      <w:r>
        <w:rPr>
          <w:rFonts w:hint="eastAsia" w:eastAsia="宋体" w:cs="Times New Roman"/>
          <w:color w:val="000000" w:themeColor="text1"/>
          <w:spacing w:val="-4"/>
          <w:sz w:val="28"/>
          <w:szCs w:val="28"/>
          <w:vertAlign w:val="superscript"/>
          <w:lang w:val="en-US" w:eastAsia="zh-CN"/>
          <w14:textFill>
            <w14:solidFill>
              <w14:schemeClr w14:val="tx1"/>
            </w14:solidFill>
          </w14:textFill>
        </w:rPr>
        <w:t>2</w:t>
      </w:r>
      <w:r>
        <w:rPr>
          <w:rFonts w:hint="eastAsia" w:eastAsia="宋体" w:cs="Times New Roman"/>
          <w:color w:val="000000" w:themeColor="text1"/>
          <w:spacing w:val="-4"/>
          <w:sz w:val="28"/>
          <w:szCs w:val="28"/>
          <w:lang w:val="en-US" w:eastAsia="zh-CN"/>
          <w14:textFill>
            <w14:solidFill>
              <w14:schemeClr w14:val="tx1"/>
            </w14:solidFill>
          </w14:textFill>
        </w:rPr>
        <w:t>，根据《内蒙古自治区行业用水定额》（DB15/T 385-2025），生态用水定额。矿区总灌溉保证率75%，赤峰市定额值为600m</w:t>
      </w:r>
      <w:r>
        <w:rPr>
          <w:rFonts w:hint="eastAsia" w:eastAsia="宋体" w:cs="Times New Roman"/>
          <w:color w:val="000000" w:themeColor="text1"/>
          <w:spacing w:val="-4"/>
          <w:sz w:val="28"/>
          <w:szCs w:val="28"/>
          <w:vertAlign w:val="superscript"/>
          <w:lang w:val="en-US" w:eastAsia="zh-CN"/>
          <w14:textFill>
            <w14:solidFill>
              <w14:schemeClr w14:val="tx1"/>
            </w14:solidFill>
          </w14:textFill>
        </w:rPr>
        <w:t>3</w:t>
      </w:r>
      <w:r>
        <w:rPr>
          <w:rFonts w:hint="eastAsia" w:eastAsia="宋体" w:cs="Times New Roman"/>
          <w:color w:val="000000" w:themeColor="text1"/>
          <w:spacing w:val="-4"/>
          <w:sz w:val="28"/>
          <w:szCs w:val="28"/>
          <w:lang w:val="en-US" w:eastAsia="zh-CN"/>
          <w14:textFill>
            <w14:solidFill>
              <w14:schemeClr w14:val="tx1"/>
            </w14:solidFill>
          </w14:textFill>
        </w:rPr>
        <w:t>/hm</w:t>
      </w:r>
      <w:r>
        <w:rPr>
          <w:rFonts w:hint="eastAsia" w:eastAsia="宋体" w:cs="Times New Roman"/>
          <w:color w:val="000000" w:themeColor="text1"/>
          <w:spacing w:val="-4"/>
          <w:sz w:val="28"/>
          <w:szCs w:val="28"/>
          <w:vertAlign w:val="superscript"/>
          <w:lang w:val="en-US" w:eastAsia="zh-CN"/>
          <w14:textFill>
            <w14:solidFill>
              <w14:schemeClr w14:val="tx1"/>
            </w14:solidFill>
          </w14:textFill>
        </w:rPr>
        <w:t>2</w:t>
      </w:r>
      <w:r>
        <w:rPr>
          <w:rFonts w:hint="eastAsia" w:eastAsia="宋体" w:cs="Times New Roman"/>
          <w:color w:val="000000" w:themeColor="text1"/>
          <w:spacing w:val="-4"/>
          <w:sz w:val="28"/>
          <w:szCs w:val="28"/>
          <w:lang w:val="en-US" w:eastAsia="zh-CN"/>
          <w14:textFill>
            <w14:solidFill>
              <w14:schemeClr w14:val="tx1"/>
            </w14:solidFill>
          </w14:textFill>
        </w:rPr>
        <w:t>。矿区总复垦面积为10.72hm</w:t>
      </w:r>
      <w:r>
        <w:rPr>
          <w:rFonts w:hint="eastAsia" w:eastAsia="宋体" w:cs="Times New Roman"/>
          <w:color w:val="000000" w:themeColor="text1"/>
          <w:spacing w:val="-4"/>
          <w:sz w:val="28"/>
          <w:szCs w:val="28"/>
          <w:vertAlign w:val="superscript"/>
          <w:lang w:val="en-US" w:eastAsia="zh-CN"/>
          <w14:textFill>
            <w14:solidFill>
              <w14:schemeClr w14:val="tx1"/>
            </w14:solidFill>
          </w14:textFill>
        </w:rPr>
        <w:t>2</w:t>
      </w:r>
      <w:r>
        <w:rPr>
          <w:rFonts w:hint="eastAsia" w:eastAsia="宋体" w:cs="Times New Roman"/>
          <w:color w:val="000000" w:themeColor="text1"/>
          <w:spacing w:val="-4"/>
          <w:sz w:val="28"/>
          <w:szCs w:val="28"/>
          <w:lang w:val="en-US" w:eastAsia="zh-CN"/>
          <w14:textFill>
            <w14:solidFill>
              <w14:schemeClr w14:val="tx1"/>
            </w14:solidFill>
          </w14:textFill>
        </w:rPr>
        <w:t>，总灌溉年数为13年，则每年灌溉需水量为6432m</w:t>
      </w:r>
      <w:r>
        <w:rPr>
          <w:rFonts w:hint="eastAsia" w:eastAsia="宋体" w:cs="Times New Roman"/>
          <w:color w:val="000000" w:themeColor="text1"/>
          <w:spacing w:val="-4"/>
          <w:sz w:val="28"/>
          <w:szCs w:val="28"/>
          <w:vertAlign w:val="superscript"/>
          <w:lang w:val="en-US" w:eastAsia="zh-CN"/>
          <w14:textFill>
            <w14:solidFill>
              <w14:schemeClr w14:val="tx1"/>
            </w14:solidFill>
          </w14:textFill>
        </w:rPr>
        <w:t>3</w:t>
      </w:r>
      <w:r>
        <w:rPr>
          <w:rFonts w:hint="eastAsia" w:eastAsia="宋体" w:cs="Times New Roman"/>
          <w:color w:val="000000" w:themeColor="text1"/>
          <w:spacing w:val="-4"/>
          <w:sz w:val="28"/>
          <w:szCs w:val="28"/>
          <w:lang w:val="en-US" w:eastAsia="zh-CN"/>
          <w14:textFill>
            <w14:solidFill>
              <w14:schemeClr w14:val="tx1"/>
            </w14:solidFill>
          </w14:textFill>
        </w:rPr>
        <w:t>，每年春季返青期及秋季各进行灌溉1次，每次灌溉需水量为12864m</w:t>
      </w:r>
      <w:r>
        <w:rPr>
          <w:rFonts w:hint="eastAsia" w:eastAsia="宋体" w:cs="Times New Roman"/>
          <w:color w:val="000000" w:themeColor="text1"/>
          <w:spacing w:val="-4"/>
          <w:sz w:val="28"/>
          <w:szCs w:val="28"/>
          <w:vertAlign w:val="superscript"/>
          <w:lang w:val="en-US" w:eastAsia="zh-CN"/>
          <w14:textFill>
            <w14:solidFill>
              <w14:schemeClr w14:val="tx1"/>
            </w14:solidFill>
          </w14:textFill>
        </w:rPr>
        <w:t>3</w:t>
      </w:r>
      <w:r>
        <w:rPr>
          <w:rFonts w:hint="eastAsia" w:eastAsia="宋体" w:cs="Times New Roman"/>
          <w:color w:val="000000" w:themeColor="text1"/>
          <w:spacing w:val="-4"/>
          <w:sz w:val="28"/>
          <w:szCs w:val="28"/>
          <w:lang w:val="en-US" w:eastAsia="zh-CN"/>
          <w14:textFill>
            <w14:solidFill>
              <w14:schemeClr w14:val="tx1"/>
            </w14:solidFill>
          </w14:textFill>
        </w:rPr>
        <w:t>，矿区生产水基本满足灌溉需水量。</w:t>
      </w:r>
    </w:p>
    <w:p w14:paraId="20D7A1C2">
      <w:pPr>
        <w:keepNext w:val="0"/>
        <w:keepLines w:val="0"/>
        <w:pageBreakBefore w:val="0"/>
        <w:widowControl w:val="0"/>
        <w:kinsoku/>
        <w:wordWrap/>
        <w:overflowPunct/>
        <w:topLinePunct w:val="0"/>
        <w:autoSpaceDE/>
        <w:autoSpaceDN/>
        <w:bidi w:val="0"/>
        <w:snapToGrid/>
        <w:spacing w:line="360" w:lineRule="auto"/>
        <w:ind w:firstLine="544" w:firstLineChars="200"/>
        <w:jc w:val="both"/>
        <w:textAlignment w:val="auto"/>
        <w:rPr>
          <w:rFonts w:hint="eastAsia" w:eastAsia="宋体" w:cs="Times New Roman"/>
          <w:color w:val="000000" w:themeColor="text1"/>
          <w:spacing w:val="-4"/>
          <w:sz w:val="28"/>
          <w:szCs w:val="28"/>
          <w:lang w:val="en-US" w:eastAsia="zh-CN"/>
          <w14:textFill>
            <w14:solidFill>
              <w14:schemeClr w14:val="tx1"/>
            </w14:solidFill>
          </w14:textFill>
        </w:rPr>
      </w:pPr>
      <w:r>
        <w:rPr>
          <w:rFonts w:hint="eastAsia" w:eastAsia="宋体" w:cs="Times New Roman"/>
          <w:color w:val="000000" w:themeColor="text1"/>
          <w:spacing w:val="-4"/>
          <w:sz w:val="28"/>
          <w:szCs w:val="28"/>
          <w:lang w:val="en-US" w:eastAsia="zh-CN"/>
          <w14:textFill>
            <w14:solidFill>
              <w14:schemeClr w14:val="tx1"/>
            </w14:solidFill>
          </w14:textFill>
        </w:rPr>
        <w:t>复垦季节选择春季，植物休眠期需水量少，有利于成活。鉴于林地、草地生长初期需要一定的灌溉措施来保证成活率，期间需经历3年时间，待复垦稳定后可转为依靠自然降水，所以初期灌溉用水均为矿区统一用水，灌溉方式为人工洒水。</w:t>
      </w:r>
    </w:p>
    <w:bookmarkEnd w:id="52"/>
    <w:bookmarkEnd w:id="53"/>
    <w:p w14:paraId="54F4B9CF">
      <w:pPr>
        <w:pStyle w:val="5"/>
        <w:bidi w:val="0"/>
        <w:spacing w:line="360" w:lineRule="auto"/>
        <w:ind w:firstLine="562" w:firstLineChars="200"/>
        <w:rPr>
          <w:b/>
          <w:bCs/>
          <w:color w:val="000000" w:themeColor="text1"/>
          <w:sz w:val="28"/>
          <w:szCs w:val="24"/>
          <w:lang w:val="en-US"/>
          <w14:textFill>
            <w14:solidFill>
              <w14:schemeClr w14:val="tx1"/>
            </w14:solidFill>
          </w14:textFill>
        </w:rPr>
      </w:pPr>
      <w:r>
        <w:rPr>
          <w:rFonts w:hint="eastAsia"/>
          <w:b/>
          <w:bCs/>
          <w:color w:val="000000" w:themeColor="text1"/>
          <w:sz w:val="28"/>
          <w:szCs w:val="24"/>
          <w:lang w:val="en-US" w:eastAsia="zh-CN"/>
          <w14:textFill>
            <w14:solidFill>
              <w14:schemeClr w14:val="tx1"/>
            </w14:solidFill>
          </w14:textFill>
        </w:rPr>
        <w:t>三、</w:t>
      </w:r>
      <w:r>
        <w:rPr>
          <w:rFonts w:hint="eastAsia"/>
          <w:b/>
          <w:bCs/>
          <w:color w:val="000000" w:themeColor="text1"/>
          <w:sz w:val="28"/>
          <w:szCs w:val="24"/>
          <w:lang w:val="en-US"/>
          <w14:textFill>
            <w14:solidFill>
              <w14:schemeClr w14:val="tx1"/>
            </w14:solidFill>
          </w14:textFill>
        </w:rPr>
        <w:t>边开采、边修复可行性分析</w:t>
      </w:r>
    </w:p>
    <w:p w14:paraId="6DAE09E3">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outlineLvl w:val="3"/>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t>（一）</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矿山开采设计、工艺流程与开采进度</w:t>
      </w:r>
    </w:p>
    <w:p w14:paraId="42DEBA5B">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1、开采范围与修复区域的空间适配</w:t>
      </w:r>
    </w:p>
    <w:p w14:paraId="64FD86F7">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根据《开发与治理综合方案》开发篇中明确的场地位置等核心参数，初步划定</w:t>
      </w:r>
      <w:r>
        <w:rPr>
          <w:rFonts w:hint="eastAsia" w:cs="Times New Roman"/>
          <w:b w:val="0"/>
          <w:bCs/>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开采区－待修复区－已修复区</w:t>
      </w:r>
      <w:r>
        <w:rPr>
          <w:rFonts w:hint="eastAsia" w:cs="Times New Roman"/>
          <w:b w:val="0"/>
          <w:bCs/>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的分区边界。本矿山开采方式为露天开采，矿山前期可按矿山采掘计划同步规划到界边坡及监测等工作，从而避免后期施工冲突。</w:t>
      </w:r>
    </w:p>
    <w:p w14:paraId="32F97F0B">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2、开采进度与修复节奏的时间同步</w:t>
      </w:r>
    </w:p>
    <w:p w14:paraId="0FF53B25">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根据《开发与治理综合方案》开发篇中明确的设计开采年限、设计生产规模，为项目区生态修复制定阶段目标。根据与矿业权人沟通，矿山分为生产期及修复管护期，在生产期要对生产完成的到界边坡及时进行整平、恢复植被，并对后期不在利用的场地及时进行地貌重塑、土壤重构、植被重建等，将避免修复滞后于开采过多。</w:t>
      </w:r>
    </w:p>
    <w:p w14:paraId="369A6449">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outlineLvl w:val="3"/>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t>（二）</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生态修复治理的技术方法分析</w:t>
      </w:r>
    </w:p>
    <w:p w14:paraId="5DC8DBA1">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1、开采流程的修复嵌入</w:t>
      </w:r>
    </w:p>
    <w:p w14:paraId="3E9FF762">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露天开采</w:t>
      </w:r>
      <w:r>
        <w:rPr>
          <w:rFonts w:hint="eastAsia" w:cs="Times New Roman"/>
          <w:b w:val="0"/>
          <w:bCs/>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采剥→表土排放→开挖→加工</w:t>
      </w:r>
      <w:r>
        <w:rPr>
          <w:rFonts w:hint="eastAsia" w:cs="Times New Roman"/>
          <w:b w:val="0"/>
          <w:bCs/>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流程中，可在开挖环节同步开展矿山到界边坡的植被重建工程，实现</w:t>
      </w:r>
      <w:r>
        <w:rPr>
          <w:rFonts w:hint="eastAsia" w:cs="Times New Roman"/>
          <w:b w:val="0"/>
          <w:bCs/>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边开采，边修复场地</w:t>
      </w:r>
      <w:r>
        <w:rPr>
          <w:rFonts w:hint="eastAsia" w:cs="Times New Roman"/>
          <w:b w:val="0"/>
          <w:bCs/>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w:t>
      </w:r>
    </w:p>
    <w:p w14:paraId="4757C38D">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2、开采后续流程的废弃物资源化支撑</w:t>
      </w:r>
    </w:p>
    <w:p w14:paraId="2AC5CC22">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pPr>
      <w:r>
        <w:rPr>
          <w:rFonts w:hint="eastAsia" w:cs="Times New Roman"/>
          <w:b w:val="0"/>
          <w:bCs/>
          <w:color w:val="000000" w:themeColor="text1"/>
          <w:sz w:val="28"/>
          <w:szCs w:val="28"/>
          <w:highlight w:val="none"/>
          <w:lang w:val="en-US" w:eastAsia="zh-CN"/>
          <w14:textFill>
            <w14:solidFill>
              <w14:schemeClr w14:val="tx1"/>
            </w14:solidFill>
          </w14:textFill>
        </w:rPr>
        <w:t>（1）</w:t>
      </w: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地形重塑技术方面</w:t>
      </w:r>
    </w:p>
    <w:p w14:paraId="48A4DA92">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针对已开采形成的场地，开采结束后对场地进行回填、拆除、清运、修复，实现边开采边修复。</w:t>
      </w:r>
    </w:p>
    <w:p w14:paraId="2F2BF44B">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pPr>
      <w:r>
        <w:rPr>
          <w:rFonts w:hint="eastAsia" w:cs="Times New Roman"/>
          <w:b w:val="0"/>
          <w:bCs/>
          <w:color w:val="000000" w:themeColor="text1"/>
          <w:sz w:val="28"/>
          <w:szCs w:val="28"/>
          <w:highlight w:val="none"/>
          <w:lang w:val="en-US" w:eastAsia="zh-CN"/>
          <w14:textFill>
            <w14:solidFill>
              <w14:schemeClr w14:val="tx1"/>
            </w14:solidFill>
          </w14:textFill>
        </w:rPr>
        <w:t>（2）</w:t>
      </w: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土壤重构技术方面</w:t>
      </w:r>
    </w:p>
    <w:p w14:paraId="2629A869">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对地貌重塑完成的场地进行覆土、翻耕后实施培肥工程，可对修复后的单元实现土壤重构。</w:t>
      </w:r>
    </w:p>
    <w:p w14:paraId="3EE3A6CA">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③植被重建技术方面</w:t>
      </w:r>
    </w:p>
    <w:p w14:paraId="6EE63B14">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pP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植被选择遵循</w:t>
      </w:r>
      <w:r>
        <w:rPr>
          <w:rFonts w:hint="eastAsia" w:cs="Times New Roman"/>
          <w:b w:val="0"/>
          <w:bCs/>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适地适树</w:t>
      </w:r>
      <w:r>
        <w:rPr>
          <w:rFonts w:hint="eastAsia" w:cs="Times New Roman"/>
          <w:b w:val="0"/>
          <w:bCs/>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原则，实行</w:t>
      </w:r>
      <w:r>
        <w:rPr>
          <w:rFonts w:hint="eastAsia" w:cs="Times New Roman"/>
          <w:b w:val="0"/>
          <w:bCs/>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栽植乔木、撒播种草</w:t>
      </w:r>
      <w:r>
        <w:rPr>
          <w:rFonts w:hint="eastAsia" w:cs="Times New Roman"/>
          <w:b w:val="0"/>
          <w:bCs/>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并选择适宜的草本苗木规格，并在穴间撒播草籽，可显著增加生态修复效果。</w:t>
      </w:r>
    </w:p>
    <w:p w14:paraId="7DEBDE94">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outlineLvl w:val="3"/>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t>（三）</w:t>
      </w:r>
      <w:r>
        <w:rPr>
          <w:rFonts w:hint="eastAsia" w:ascii="宋体" w:hAnsi="宋体" w:eastAsia="宋体" w:cs="宋体"/>
          <w:b/>
          <w:bCs/>
          <w:snapToGrid w:val="0"/>
          <w:color w:val="000000" w:themeColor="text1"/>
          <w:sz w:val="28"/>
          <w:szCs w:val="28"/>
          <w:lang w:val="en-US" w:eastAsia="zh-CN"/>
          <w14:textFill>
            <w14:solidFill>
              <w14:schemeClr w14:val="tx1"/>
            </w14:solidFill>
          </w14:textFill>
        </w:rPr>
        <w:t>边开采、边修复可行性综合分析</w:t>
      </w:r>
    </w:p>
    <w:p w14:paraId="10ACC0E5">
      <w:pPr>
        <w:spacing w:line="360" w:lineRule="auto"/>
        <w:ind w:firstLine="560" w:firstLineChars="200"/>
        <w:outlineLvl w:val="4"/>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color w:val="000000" w:themeColor="text1"/>
          <w:sz w:val="28"/>
          <w:szCs w:val="28"/>
          <w:lang w:val="en-US" w:eastAsia="zh-CN"/>
          <w14:textFill>
            <w14:solidFill>
              <w14:schemeClr w14:val="tx1"/>
            </w14:solidFill>
          </w14:textFill>
        </w:rPr>
        <w:t>1、技术可行性分析</w:t>
      </w:r>
    </w:p>
    <w:p w14:paraId="2BA518B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该矿山为粘土矿，采用露天开采，粘土矿具有相对稳定的边坡特性和成熟的快速复绿技术。开采过程中，可随着各台阶推进，即时对形成的到界边坡进行坡面修整、压实及修筑简易截排水沟，有效防止雨水冲刷与表层失稳。紧接着，利用粘土自身良好的保水保肥特性，同步开展土壤改良、直接播种或铺设植生毯/植生袋等生态修复工程，实现短期内植被覆盖。其技术核心在于将表土剥离、有序堆放、土壤重构与植被重建等治理工序，精准融入开采的时空序列，形成“剥离—开采—修复”一体化的流水作业模式。这不仅从源头控制了水土流失，也大幅降低了后期集中治理的难度与成本，是实现粘土矿山绿色、高效开采的可靠技术路径。</w:t>
      </w:r>
    </w:p>
    <w:p w14:paraId="6FD3DF11">
      <w:pPr>
        <w:spacing w:line="360" w:lineRule="auto"/>
        <w:ind w:firstLine="560" w:firstLineChars="200"/>
        <w:outlineLvl w:val="4"/>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color w:val="000000" w:themeColor="text1"/>
          <w:sz w:val="28"/>
          <w:szCs w:val="28"/>
          <w:lang w:val="en-US" w:eastAsia="zh-CN"/>
          <w14:textFill>
            <w14:solidFill>
              <w14:schemeClr w14:val="tx1"/>
            </w14:solidFill>
          </w14:textFill>
        </w:rPr>
        <w:t>2、经济可行性分析</w:t>
      </w:r>
    </w:p>
    <w:p w14:paraId="5403567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该矿山实施“边开采、边治理到界边坡”在经济上具备长期可行性，其核心在于将环境成本内部化并转化为长期收益。该模式虽增加了生产期的即时投入，但通过分摊治理费用、利用开采设备协同作业、就近利用剥离表土，显著降低了单位治理的直接成本。更重要的是，它前置性消除了因边坡长期裸露引发的地质灾害风险、生产安全损失及未来可能面临的环保罚金，大幅减少了隐性成本。从全生命周期看，它避免了闭坑时一次性投入巨额资金的现金流压力，并能将修复后的土地早期转化为农林用地或生态资产，创造潜在收益。因此，这不仅是合规要求，更是一项降低综合成本、提升矿山可持续经营能力的战略性投资。</w:t>
      </w:r>
    </w:p>
    <w:p w14:paraId="699A517B">
      <w:pPr>
        <w:spacing w:line="360" w:lineRule="auto"/>
        <w:ind w:firstLine="560" w:firstLineChars="200"/>
        <w:outlineLvl w:val="4"/>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color w:val="000000" w:themeColor="text1"/>
          <w:sz w:val="28"/>
          <w:szCs w:val="28"/>
          <w:lang w:val="en-US" w:eastAsia="zh-CN"/>
          <w14:textFill>
            <w14:solidFill>
              <w14:schemeClr w14:val="tx1"/>
            </w14:solidFill>
          </w14:textFill>
        </w:rPr>
        <w:t>3、</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生态</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可行性分析</w:t>
      </w:r>
    </w:p>
    <w:p w14:paraId="22992127">
      <w:pPr>
        <w:pStyle w:val="64"/>
        <w:spacing w:line="360" w:lineRule="auto"/>
        <w:ind w:firstLine="560"/>
        <w:rPr>
          <w:rFonts w:hint="default" w:ascii="Times New Roman" w:hAnsi="Times New Roman" w:eastAsia="宋体" w:cs="Times New Roman"/>
          <w:bCs/>
          <w:color w:val="000000" w:themeColor="text1"/>
          <w:sz w:val="28"/>
          <w:szCs w:val="28"/>
          <w14:textFill>
            <w14:solidFill>
              <w14:schemeClr w14:val="tx1"/>
            </w14:solidFill>
          </w14:textFill>
        </w:rPr>
      </w:pP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该矿山</w:t>
      </w:r>
      <w:r>
        <w:rPr>
          <w:rFonts w:hint="eastAsia" w:eastAsia="宋体" w:cs="Times New Roman"/>
          <w:b w:val="0"/>
          <w:bCs/>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边开采、边治理到界边坡</w:t>
      </w:r>
      <w:r>
        <w:rPr>
          <w:rFonts w:hint="eastAsia" w:eastAsia="宋体" w:cs="Times New Roman"/>
          <w:b w:val="0"/>
          <w:bCs/>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在生态层面具备高度可行性，其核心是实现了生态扰动的时空最小化与恢复过程的自然化协同。该模式通过紧跟开采作业面的即时修复，最大限度缩短了土体的裸露期，有效遏制了水土流失、粉尘释放与地表径流污染等次生生态问题。同时，新鲜开挖面为乡土植物种子着床与生长提供了更理想的基质，配合就近回覆的剥离表土，可快速重建与周边环境相协调的植被群落，显著提升了生态系统的原生性与连通性。这不仅打破了</w:t>
      </w:r>
      <w:r>
        <w:rPr>
          <w:rFonts w:hint="eastAsia" w:eastAsia="宋体" w:cs="Times New Roman"/>
          <w:b w:val="0"/>
          <w:bCs/>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先破坏、后补救</w:t>
      </w:r>
      <w:r>
        <w:rPr>
          <w:rFonts w:hint="eastAsia" w:eastAsia="宋体" w:cs="Times New Roman"/>
          <w:b w:val="0"/>
          <w:bCs/>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的传统路径，更通过</w:t>
      </w:r>
      <w:r>
        <w:rPr>
          <w:rFonts w:hint="eastAsia" w:eastAsia="宋体" w:cs="Times New Roman"/>
          <w:b w:val="0"/>
          <w:bCs/>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扰动-修复</w:t>
      </w:r>
      <w:r>
        <w:rPr>
          <w:rFonts w:hint="eastAsia" w:eastAsia="宋体" w:cs="Times New Roman"/>
          <w:b w:val="0"/>
          <w:bCs/>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b w:val="0"/>
          <w:bCs/>
          <w:color w:val="000000" w:themeColor="text1"/>
          <w:sz w:val="28"/>
          <w:szCs w:val="28"/>
          <w:highlight w:val="none"/>
          <w:lang w:val="en-US" w:eastAsia="zh-CN"/>
          <w14:textFill>
            <w14:solidFill>
              <w14:schemeClr w14:val="tx1"/>
            </w14:solidFill>
          </w14:textFill>
        </w:rPr>
        <w:t>的微循环将开采活动对区域水文、土壤及生物多样性的累积性影响降至最低，是推动矿山生态从末端治理转向过程控制、实现可持续自我恢复的关键路径。</w:t>
      </w:r>
    </w:p>
    <w:p w14:paraId="5CBC4C60">
      <w:pPr>
        <w:pStyle w:val="3"/>
        <w:spacing w:before="0" w:beforeLines="0"/>
        <w:jc w:val="center"/>
        <w:rPr>
          <w:color w:val="000000" w:themeColor="text1"/>
          <w14:textFill>
            <w14:solidFill>
              <w14:schemeClr w14:val="tx1"/>
            </w14:solidFill>
          </w14:textFill>
        </w:rPr>
      </w:pPr>
      <w:bookmarkStart w:id="54" w:name="_Toc21290"/>
      <w:r>
        <w:rPr>
          <w:rFonts w:hint="eastAsia"/>
          <w:color w:val="000000" w:themeColor="text1"/>
          <w:lang w:val="en-US" w:eastAsia="zh-CN"/>
          <w14:textFill>
            <w14:solidFill>
              <w14:schemeClr w14:val="tx1"/>
            </w14:solidFill>
          </w14:textFill>
        </w:rPr>
        <w:t xml:space="preserve">第三节  </w:t>
      </w:r>
      <w:r>
        <w:rPr>
          <w:rFonts w:hint="eastAsia"/>
          <w:color w:val="000000" w:themeColor="text1"/>
          <w14:textFill>
            <w14:solidFill>
              <w14:schemeClr w14:val="tx1"/>
            </w14:solidFill>
          </w14:textFill>
        </w:rPr>
        <w:t>生态修复分区及修复时序安排</w:t>
      </w:r>
      <w:bookmarkEnd w:id="54"/>
    </w:p>
    <w:p w14:paraId="3ECAE933">
      <w:pPr>
        <w:pStyle w:val="5"/>
        <w:bidi w:val="0"/>
        <w:spacing w:line="360" w:lineRule="auto"/>
        <w:ind w:firstLine="562" w:firstLineChars="200"/>
        <w:rPr>
          <w:rFonts w:hint="eastAsia"/>
          <w:b/>
          <w:bCs/>
          <w:color w:val="000000" w:themeColor="text1"/>
          <w:sz w:val="28"/>
          <w:szCs w:val="24"/>
          <w:lang w:val="en-US" w:eastAsia="zh-CN"/>
          <w14:textFill>
            <w14:solidFill>
              <w14:schemeClr w14:val="tx1"/>
            </w14:solidFill>
          </w14:textFill>
        </w:rPr>
      </w:pPr>
      <w:r>
        <w:rPr>
          <w:rFonts w:hint="eastAsia"/>
          <w:b/>
          <w:bCs/>
          <w:color w:val="000000" w:themeColor="text1"/>
          <w:sz w:val="28"/>
          <w:szCs w:val="24"/>
          <w:lang w:val="en-US" w:eastAsia="zh-CN"/>
          <w14:textFill>
            <w14:solidFill>
              <w14:schemeClr w14:val="tx1"/>
            </w14:solidFill>
          </w14:textFill>
        </w:rPr>
        <w:t>一、矿区生态修复分区</w:t>
      </w:r>
    </w:p>
    <w:p w14:paraId="717C667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3"/>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8"/>
          <w:szCs w:val="28"/>
          <w:lang w:val="en-US" w:eastAsia="zh-CN"/>
          <w14:textFill>
            <w14:solidFill>
              <w14:schemeClr w14:val="tx1"/>
            </w14:solidFill>
          </w14:textFill>
        </w:rPr>
        <w:t>（一）分区原则与方法</w:t>
      </w:r>
    </w:p>
    <w:p w14:paraId="34C1EE3A">
      <w:pPr>
        <w:pStyle w:val="38"/>
        <w:spacing w:line="360" w:lineRule="auto"/>
        <w:ind w:firstLine="560" w:firstLineChars="200"/>
        <w:jc w:val="both"/>
        <w:rPr>
          <w:rFonts w:hint="eastAsia" w:ascii="Times New Roman" w:hAnsi="Times New Roman" w:eastAsia="宋体" w:cs="Times New Roman"/>
          <w:color w:val="000000" w:themeColor="text1"/>
          <w:sz w:val="28"/>
          <w:szCs w:val="28"/>
          <w:lang w:eastAsia="zh-CN"/>
          <w14:textFill>
            <w14:solidFill>
              <w14:schemeClr w14:val="tx1"/>
            </w14:solidFill>
          </w14:textFill>
        </w:rPr>
      </w:pPr>
      <w:r>
        <w:rPr>
          <w:rFonts w:hint="eastAsia" w:ascii="Times New Roman" w:hAnsi="Times New Roman" w:eastAsia="宋体" w:cs="Times New Roman"/>
          <w:color w:val="000000" w:themeColor="text1"/>
          <w:sz w:val="28"/>
          <w:szCs w:val="28"/>
          <w:lang w:eastAsia="zh-CN"/>
          <w14:textFill>
            <w14:solidFill>
              <w14:schemeClr w14:val="tx1"/>
            </w14:solidFill>
          </w14:textFill>
        </w:rPr>
        <w:t>矿区生态环境具有自然、社会和资源三重属性，因此，矿区生态修复分区原则首先要坚持“以人为本”，根据矿山开发生态环境影响程度级别，充分考虑地质环境影响、土地损毁、生态受损与退化等现状和预测评估情况，结合矿山生产影响对象的重要程度及造成的损失大小，按照危害程度、轻重缓急，对矿区生态修复的问题分期、分阶段治理，进行分区、规划。</w:t>
      </w:r>
    </w:p>
    <w:p w14:paraId="0EDD076E">
      <w:pPr>
        <w:pStyle w:val="38"/>
        <w:spacing w:line="360" w:lineRule="auto"/>
        <w:ind w:firstLine="560" w:firstLineChars="200"/>
        <w:jc w:val="both"/>
        <w:rPr>
          <w:rFonts w:hint="eastAsia" w:ascii="Times New Roman" w:hAnsi="Times New Roman" w:eastAsia="宋体" w:cs="Times New Roman"/>
          <w:color w:val="000000" w:themeColor="text1"/>
          <w:sz w:val="28"/>
          <w:szCs w:val="28"/>
          <w:lang w:eastAsia="zh-CN"/>
          <w14:textFill>
            <w14:solidFill>
              <w14:schemeClr w14:val="tx1"/>
            </w14:solidFill>
          </w14:textFill>
        </w:rPr>
      </w:pPr>
      <w:r>
        <w:rPr>
          <w:rFonts w:hint="eastAsia" w:ascii="Times New Roman" w:hAnsi="Times New Roman" w:eastAsia="宋体" w:cs="Times New Roman"/>
          <w:color w:val="000000" w:themeColor="text1"/>
          <w:sz w:val="28"/>
          <w:szCs w:val="28"/>
          <w:lang w:eastAsia="zh-CN"/>
          <w14:textFill>
            <w14:solidFill>
              <w14:schemeClr w14:val="tx1"/>
            </w14:solidFill>
          </w14:textFill>
        </w:rPr>
        <w:t>本次矿区生态修复主要侧重于矿山开采后对矿区地质环境影响程度、土地只有损毁程度、生态系统受损程度等，根据矿山开采设计、规划、矿区地质环境及生态环境问题的类型、规模和危害程度，矿区生态修复分区遵循以下原则：</w:t>
      </w:r>
    </w:p>
    <w:p w14:paraId="5072D110">
      <w:pPr>
        <w:pStyle w:val="38"/>
        <w:spacing w:line="360" w:lineRule="auto"/>
        <w:ind w:firstLine="560" w:firstLineChars="200"/>
        <w:jc w:val="both"/>
        <w:rPr>
          <w:rFonts w:hint="eastAsia" w:ascii="Times New Roman" w:hAnsi="Times New Roman" w:eastAsia="宋体" w:cs="Times New Roman"/>
          <w:color w:val="000000" w:themeColor="text1"/>
          <w:sz w:val="28"/>
          <w:szCs w:val="28"/>
          <w:lang w:eastAsia="zh-CN"/>
          <w14:textFill>
            <w14:solidFill>
              <w14:schemeClr w14:val="tx1"/>
            </w14:solidFill>
          </w14:textFill>
        </w:rPr>
      </w:pPr>
      <w:r>
        <w:rPr>
          <w:rFonts w:hint="eastAsia" w:ascii="Times New Roman" w:cs="Times New Roman"/>
          <w:color w:val="000000" w:themeColor="text1"/>
          <w:sz w:val="28"/>
          <w:szCs w:val="28"/>
          <w:lang w:val="en-US" w:eastAsia="zh-CN"/>
          <w14:textFill>
            <w14:solidFill>
              <w14:schemeClr w14:val="tx1"/>
            </w14:solidFill>
          </w14:textFill>
        </w:rPr>
        <w:t>1</w:t>
      </w:r>
      <w:r>
        <w:rPr>
          <w:rFonts w:hint="eastAsia" w:ascii="Times New Roman" w:cs="Times New Roman"/>
          <w:color w:val="000000" w:themeColor="text1"/>
          <w:sz w:val="28"/>
          <w:szCs w:val="28"/>
          <w:lang w:eastAsia="zh-CN"/>
          <w14:textFill>
            <w14:solidFill>
              <w14:schemeClr w14:val="tx1"/>
            </w14:solidFill>
          </w14:textFill>
        </w:rPr>
        <w:t>、</w:t>
      </w:r>
      <w:r>
        <w:rPr>
          <w:rFonts w:hint="eastAsia" w:ascii="Times New Roman" w:hAnsi="Times New Roman" w:eastAsia="宋体" w:cs="Times New Roman"/>
          <w:color w:val="000000" w:themeColor="text1"/>
          <w:sz w:val="28"/>
          <w:szCs w:val="28"/>
          <w:lang w:eastAsia="zh-CN"/>
          <w14:textFill>
            <w14:solidFill>
              <w14:schemeClr w14:val="tx1"/>
            </w14:solidFill>
          </w14:textFill>
        </w:rPr>
        <w:t>矿区生态修复分区包括整个矿区生态修复影响范围；</w:t>
      </w:r>
    </w:p>
    <w:p w14:paraId="5FCB454D">
      <w:pPr>
        <w:pStyle w:val="38"/>
        <w:spacing w:line="360" w:lineRule="auto"/>
        <w:ind w:firstLine="560" w:firstLineChars="200"/>
        <w:jc w:val="both"/>
        <w:rPr>
          <w:rFonts w:hint="eastAsia" w:ascii="Times New Roman" w:hAnsi="Times New Roman" w:eastAsia="宋体" w:cs="Times New Roman"/>
          <w:color w:val="000000" w:themeColor="text1"/>
          <w:sz w:val="28"/>
          <w:szCs w:val="28"/>
          <w:lang w:eastAsia="zh-CN"/>
          <w14:textFill>
            <w14:solidFill>
              <w14:schemeClr w14:val="tx1"/>
            </w14:solidFill>
          </w14:textFill>
        </w:rPr>
      </w:pPr>
      <w:r>
        <w:rPr>
          <w:rFonts w:hint="eastAsia" w:ascii="Times New Roman" w:cs="Times New Roman"/>
          <w:color w:val="000000" w:themeColor="text1"/>
          <w:sz w:val="28"/>
          <w:szCs w:val="28"/>
          <w:lang w:val="en-US" w:eastAsia="zh-CN"/>
          <w14:textFill>
            <w14:solidFill>
              <w14:schemeClr w14:val="tx1"/>
            </w14:solidFill>
          </w14:textFill>
        </w:rPr>
        <w:t>2</w:t>
      </w:r>
      <w:r>
        <w:rPr>
          <w:rFonts w:hint="eastAsia" w:ascii="Times New Roman" w:cs="Times New Roman"/>
          <w:color w:val="000000" w:themeColor="text1"/>
          <w:sz w:val="28"/>
          <w:szCs w:val="28"/>
          <w:lang w:eastAsia="zh-CN"/>
          <w14:textFill>
            <w14:solidFill>
              <w14:schemeClr w14:val="tx1"/>
            </w14:solidFill>
          </w14:textFill>
        </w:rPr>
        <w:t>、</w:t>
      </w:r>
      <w:r>
        <w:rPr>
          <w:rFonts w:hint="eastAsia" w:ascii="Times New Roman" w:hAnsi="Times New Roman" w:eastAsia="宋体" w:cs="Times New Roman"/>
          <w:color w:val="000000" w:themeColor="text1"/>
          <w:sz w:val="28"/>
          <w:szCs w:val="28"/>
          <w:lang w:eastAsia="zh-CN"/>
          <w14:textFill>
            <w14:solidFill>
              <w14:schemeClr w14:val="tx1"/>
            </w14:solidFill>
          </w14:textFill>
        </w:rPr>
        <w:t>矿区生态修复方案分区因素包括矿山地质灾害、采矿活动对含水层的影响、采矿活动对地形地貌景观的破坏、土地损毁、采矿活动对水土环境污染的影响、采矿活动对生态破坏等，依据上述因素的危害或影响程度进行分区；</w:t>
      </w:r>
    </w:p>
    <w:p w14:paraId="142E89CB">
      <w:pPr>
        <w:pStyle w:val="38"/>
        <w:spacing w:line="360" w:lineRule="auto"/>
        <w:ind w:firstLine="560" w:firstLineChars="200"/>
        <w:jc w:val="both"/>
        <w:rPr>
          <w:rFonts w:hint="eastAsia" w:ascii="Times New Roman" w:hAnsi="Times New Roman" w:eastAsia="宋体" w:cs="Times New Roman"/>
          <w:color w:val="000000" w:themeColor="text1"/>
          <w:sz w:val="28"/>
          <w:szCs w:val="28"/>
          <w:lang w:eastAsia="zh-CN"/>
          <w14:textFill>
            <w14:solidFill>
              <w14:schemeClr w14:val="tx1"/>
            </w14:solidFill>
          </w14:textFill>
        </w:rPr>
      </w:pPr>
      <w:r>
        <w:rPr>
          <w:rFonts w:hint="eastAsia" w:ascii="Times New Roman" w:cs="Times New Roman"/>
          <w:color w:val="000000" w:themeColor="text1"/>
          <w:sz w:val="28"/>
          <w:szCs w:val="28"/>
          <w:lang w:val="en-US" w:eastAsia="zh-CN"/>
          <w14:textFill>
            <w14:solidFill>
              <w14:schemeClr w14:val="tx1"/>
            </w14:solidFill>
          </w14:textFill>
        </w:rPr>
        <w:t>3</w:t>
      </w:r>
      <w:r>
        <w:rPr>
          <w:rFonts w:hint="eastAsia" w:ascii="Times New Roman" w:cs="Times New Roman"/>
          <w:color w:val="000000" w:themeColor="text1"/>
          <w:sz w:val="28"/>
          <w:szCs w:val="28"/>
          <w:lang w:eastAsia="zh-CN"/>
          <w14:textFill>
            <w14:solidFill>
              <w14:schemeClr w14:val="tx1"/>
            </w14:solidFill>
          </w14:textFill>
        </w:rPr>
        <w:t>、</w:t>
      </w:r>
      <w:r>
        <w:rPr>
          <w:rFonts w:hint="eastAsia" w:ascii="Times New Roman" w:hAnsi="Times New Roman" w:eastAsia="宋体" w:cs="Times New Roman"/>
          <w:color w:val="000000" w:themeColor="text1"/>
          <w:sz w:val="28"/>
          <w:szCs w:val="28"/>
          <w:lang w:eastAsia="zh-CN"/>
          <w14:textFill>
            <w14:solidFill>
              <w14:schemeClr w14:val="tx1"/>
            </w14:solidFill>
          </w14:textFill>
        </w:rPr>
        <w:t>坚持以矿区地质环境及矿区生态环境现状评估结果、预测评估结果作为分区主导因素的原则；</w:t>
      </w:r>
    </w:p>
    <w:p w14:paraId="5868FD06">
      <w:pPr>
        <w:pStyle w:val="38"/>
        <w:spacing w:line="360" w:lineRule="auto"/>
        <w:ind w:firstLine="560" w:firstLineChars="200"/>
        <w:jc w:val="both"/>
        <w:rPr>
          <w:rFonts w:hint="eastAsia" w:ascii="Times New Roman" w:hAnsi="Times New Roman" w:eastAsia="宋体" w:cs="Times New Roman"/>
          <w:color w:val="000000" w:themeColor="text1"/>
          <w:sz w:val="28"/>
          <w:szCs w:val="28"/>
          <w:lang w:eastAsia="zh-CN"/>
          <w14:textFill>
            <w14:solidFill>
              <w14:schemeClr w14:val="tx1"/>
            </w14:solidFill>
          </w14:textFill>
        </w:rPr>
      </w:pPr>
      <w:r>
        <w:rPr>
          <w:rFonts w:hint="eastAsia" w:ascii="Times New Roman" w:cs="Times New Roman"/>
          <w:color w:val="000000" w:themeColor="text1"/>
          <w:sz w:val="28"/>
          <w:szCs w:val="28"/>
          <w:lang w:val="en-US" w:eastAsia="zh-CN"/>
          <w14:textFill>
            <w14:solidFill>
              <w14:schemeClr w14:val="tx1"/>
            </w14:solidFill>
          </w14:textFill>
        </w:rPr>
        <w:t>4</w:t>
      </w:r>
      <w:r>
        <w:rPr>
          <w:rFonts w:hint="eastAsia" w:ascii="Times New Roman" w:cs="Times New Roman"/>
          <w:color w:val="000000" w:themeColor="text1"/>
          <w:sz w:val="28"/>
          <w:szCs w:val="28"/>
          <w:lang w:eastAsia="zh-CN"/>
          <w14:textFill>
            <w14:solidFill>
              <w14:schemeClr w14:val="tx1"/>
            </w14:solidFill>
          </w14:textFill>
        </w:rPr>
        <w:t>、</w:t>
      </w:r>
      <w:r>
        <w:rPr>
          <w:rFonts w:hint="eastAsia" w:ascii="Times New Roman" w:hAnsi="Times New Roman" w:eastAsia="宋体" w:cs="Times New Roman"/>
          <w:color w:val="000000" w:themeColor="text1"/>
          <w:sz w:val="28"/>
          <w:szCs w:val="28"/>
          <w:lang w:eastAsia="zh-CN"/>
          <w14:textFill>
            <w14:solidFill>
              <w14:schemeClr w14:val="tx1"/>
            </w14:solidFill>
          </w14:textFill>
        </w:rPr>
        <w:t>坚持“就大不就小、就高不就低、区内相似、区间相异”的原则；</w:t>
      </w:r>
    </w:p>
    <w:p w14:paraId="4EBFA592">
      <w:pPr>
        <w:pStyle w:val="38"/>
        <w:spacing w:line="360" w:lineRule="auto"/>
        <w:ind w:firstLine="560" w:firstLineChars="200"/>
        <w:jc w:val="both"/>
        <w:rPr>
          <w:rFonts w:hint="eastAsia" w:ascii="Times New Roman" w:hAnsi="Times New Roman" w:eastAsia="宋体" w:cs="Times New Roman"/>
          <w:color w:val="000000" w:themeColor="text1"/>
          <w:sz w:val="28"/>
          <w:szCs w:val="28"/>
          <w:lang w:eastAsia="zh-CN"/>
          <w14:textFill>
            <w14:solidFill>
              <w14:schemeClr w14:val="tx1"/>
            </w14:solidFill>
          </w14:textFill>
        </w:rPr>
      </w:pPr>
      <w:r>
        <w:rPr>
          <w:rFonts w:hint="eastAsia" w:ascii="Times New Roman" w:cs="Times New Roman"/>
          <w:color w:val="000000" w:themeColor="text1"/>
          <w:sz w:val="28"/>
          <w:szCs w:val="28"/>
          <w:lang w:val="en-US" w:eastAsia="zh-CN"/>
          <w14:textFill>
            <w14:solidFill>
              <w14:schemeClr w14:val="tx1"/>
            </w14:solidFill>
          </w14:textFill>
        </w:rPr>
        <w:t>5</w:t>
      </w:r>
      <w:r>
        <w:rPr>
          <w:rFonts w:hint="eastAsia" w:ascii="Times New Roman" w:cs="Times New Roman"/>
          <w:color w:val="000000" w:themeColor="text1"/>
          <w:sz w:val="28"/>
          <w:szCs w:val="28"/>
          <w:lang w:eastAsia="zh-CN"/>
          <w14:textFill>
            <w14:solidFill>
              <w14:schemeClr w14:val="tx1"/>
            </w14:solidFill>
          </w14:textFill>
        </w:rPr>
        <w:t>、</w:t>
      </w:r>
      <w:r>
        <w:rPr>
          <w:rFonts w:hint="eastAsia" w:ascii="Times New Roman" w:hAnsi="Times New Roman" w:eastAsia="宋体" w:cs="Times New Roman"/>
          <w:color w:val="000000" w:themeColor="text1"/>
          <w:sz w:val="28"/>
          <w:szCs w:val="28"/>
          <w:lang w:eastAsia="zh-CN"/>
          <w14:textFill>
            <w14:solidFill>
              <w14:schemeClr w14:val="tx1"/>
            </w14:solidFill>
          </w14:textFill>
        </w:rPr>
        <w:t>坚持“以人为本”搬迁避让与防治工程建设相结合的原则；</w:t>
      </w:r>
    </w:p>
    <w:p w14:paraId="293FBC70">
      <w:pPr>
        <w:pStyle w:val="38"/>
        <w:spacing w:line="360" w:lineRule="auto"/>
        <w:ind w:firstLine="560" w:firstLineChars="200"/>
        <w:jc w:val="both"/>
        <w:rPr>
          <w:rFonts w:hint="eastAsia" w:ascii="Times New Roman" w:hAnsi="Times New Roman" w:eastAsia="宋体" w:cs="Times New Roman"/>
          <w:color w:val="000000" w:themeColor="text1"/>
          <w:sz w:val="28"/>
          <w:szCs w:val="28"/>
          <w:lang w:eastAsia="zh-CN"/>
          <w14:textFill>
            <w14:solidFill>
              <w14:schemeClr w14:val="tx1"/>
            </w14:solidFill>
          </w14:textFill>
        </w:rPr>
      </w:pPr>
      <w:r>
        <w:rPr>
          <w:rFonts w:hint="eastAsia" w:ascii="Times New Roman" w:cs="Times New Roman"/>
          <w:color w:val="000000" w:themeColor="text1"/>
          <w:sz w:val="28"/>
          <w:szCs w:val="28"/>
          <w:lang w:val="en-US" w:eastAsia="zh-CN"/>
          <w14:textFill>
            <w14:solidFill>
              <w14:schemeClr w14:val="tx1"/>
            </w14:solidFill>
          </w14:textFill>
        </w:rPr>
        <w:t>6</w:t>
      </w:r>
      <w:r>
        <w:rPr>
          <w:rFonts w:hint="eastAsia" w:ascii="Times New Roman" w:cs="Times New Roman"/>
          <w:color w:val="000000" w:themeColor="text1"/>
          <w:sz w:val="28"/>
          <w:szCs w:val="28"/>
          <w:lang w:eastAsia="zh-CN"/>
          <w14:textFill>
            <w14:solidFill>
              <w14:schemeClr w14:val="tx1"/>
            </w14:solidFill>
          </w14:textFill>
        </w:rPr>
        <w:t>、</w:t>
      </w:r>
      <w:r>
        <w:rPr>
          <w:rFonts w:hint="eastAsia" w:ascii="Times New Roman" w:hAnsi="Times New Roman" w:eastAsia="宋体" w:cs="Times New Roman"/>
          <w:color w:val="000000" w:themeColor="text1"/>
          <w:sz w:val="28"/>
          <w:szCs w:val="28"/>
          <w:lang w:eastAsia="zh-CN"/>
          <w14:textFill>
            <w14:solidFill>
              <w14:schemeClr w14:val="tx1"/>
            </w14:solidFill>
          </w14:textFill>
        </w:rPr>
        <w:t>坚持定性和定量相结合的原则。</w:t>
      </w:r>
    </w:p>
    <w:p w14:paraId="0D2CEBD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3"/>
        <w:rPr>
          <w:rFonts w:hint="eastAsia"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8"/>
          <w:szCs w:val="28"/>
          <w:lang w:val="en-US" w:eastAsia="zh-CN"/>
          <w14:textFill>
            <w14:solidFill>
              <w14:schemeClr w14:val="tx1"/>
            </w14:solidFill>
          </w14:textFill>
        </w:rPr>
        <w:t>（二）分区结果</w:t>
      </w:r>
    </w:p>
    <w:p w14:paraId="0F600760">
      <w:pPr>
        <w:pStyle w:val="38"/>
        <w:spacing w:line="360" w:lineRule="auto"/>
        <w:ind w:firstLine="560" w:firstLineChars="200"/>
        <w:jc w:val="both"/>
        <w:rPr>
          <w:rFonts w:hint="eastAsia" w:ascii="Times New Roman" w:hAnsi="Times New Roman" w:eastAsia="宋体" w:cs="Times New Roman"/>
          <w:color w:val="000000" w:themeColor="text1"/>
          <w:sz w:val="28"/>
          <w:szCs w:val="28"/>
          <w:lang w:eastAsia="zh-CN"/>
          <w14:textFill>
            <w14:solidFill>
              <w14:schemeClr w14:val="tx1"/>
            </w14:solidFill>
          </w14:textFill>
        </w:rPr>
      </w:pPr>
      <w:r>
        <w:rPr>
          <w:rFonts w:hint="eastAsia" w:ascii="Times New Roman" w:hAnsi="Times New Roman" w:eastAsia="宋体" w:cs="Times New Roman"/>
          <w:color w:val="000000" w:themeColor="text1"/>
          <w:sz w:val="28"/>
          <w:szCs w:val="28"/>
          <w:lang w:eastAsia="zh-CN"/>
          <w14:textFill>
            <w14:solidFill>
              <w14:schemeClr w14:val="tx1"/>
            </w14:solidFill>
          </w14:textFill>
        </w:rPr>
        <w:t>根据现状与预测的矿区地质环境影响程度、土地损毁程度、生态系统受损程度评价结果，对矿区生态修复分区如下</w:t>
      </w:r>
      <w:r>
        <w:rPr>
          <w:rFonts w:hint="eastAsia" w:ascii="Times New Roman" w:cs="Times New Roman"/>
          <w:color w:val="000000" w:themeColor="text1"/>
          <w:sz w:val="28"/>
          <w:szCs w:val="28"/>
          <w:lang w:val="en-US" w:eastAsia="zh-CN"/>
          <w14:textFill>
            <w14:solidFill>
              <w14:schemeClr w14:val="tx1"/>
            </w14:solidFill>
          </w14:textFill>
        </w:rPr>
        <w:t>表</w:t>
      </w:r>
      <w:r>
        <w:rPr>
          <w:rFonts w:hint="eastAsia" w:ascii="Times New Roman" w:hAnsi="Times New Roman" w:eastAsia="宋体" w:cs="Times New Roman"/>
          <w:color w:val="000000" w:themeColor="text1"/>
          <w:sz w:val="28"/>
          <w:szCs w:val="28"/>
          <w:lang w:eastAsia="zh-CN"/>
          <w14:textFill>
            <w14:solidFill>
              <w14:schemeClr w14:val="tx1"/>
            </w14:solidFill>
          </w14:textFill>
        </w:rPr>
        <w:t>：</w:t>
      </w:r>
    </w:p>
    <w:p w14:paraId="72079BCE">
      <w:pPr>
        <w:spacing w:line="360" w:lineRule="auto"/>
        <w:jc w:val="center"/>
        <w:rPr>
          <w:rFonts w:eastAsia="黑体"/>
          <w:color w:val="000000" w:themeColor="text1"/>
          <w:sz w:val="24"/>
          <w:szCs w:val="24"/>
          <w14:textFill>
            <w14:solidFill>
              <w14:schemeClr w14:val="tx1"/>
            </w14:solidFill>
          </w14:textFill>
        </w:rPr>
      </w:pPr>
      <w:r>
        <w:rPr>
          <w:rFonts w:hint="eastAsia" w:eastAsia="黑体"/>
          <w:color w:val="000000" w:themeColor="text1"/>
          <w:sz w:val="24"/>
          <w:szCs w:val="24"/>
          <w:lang w:val="en-US" w:eastAsia="zh-CN"/>
          <w14:textFill>
            <w14:solidFill>
              <w14:schemeClr w14:val="tx1"/>
            </w14:solidFill>
          </w14:textFill>
        </w:rPr>
        <w:t>3</w:t>
      </w:r>
      <w:r>
        <w:rPr>
          <w:rFonts w:eastAsia="黑体"/>
          <w:color w:val="000000" w:themeColor="text1"/>
          <w:sz w:val="24"/>
          <w:szCs w:val="24"/>
          <w14:textFill>
            <w14:solidFill>
              <w14:schemeClr w14:val="tx1"/>
            </w14:solidFill>
          </w14:textFill>
        </w:rPr>
        <w:t>-</w:t>
      </w:r>
      <w:r>
        <w:rPr>
          <w:rFonts w:hint="eastAsia" w:eastAsia="黑体"/>
          <w:color w:val="000000" w:themeColor="text1"/>
          <w:sz w:val="24"/>
          <w:szCs w:val="24"/>
          <w:lang w:val="en-US" w:eastAsia="zh-CN"/>
          <w14:textFill>
            <w14:solidFill>
              <w14:schemeClr w14:val="tx1"/>
            </w14:solidFill>
          </w14:textFill>
        </w:rPr>
        <w:t>49</w:t>
      </w:r>
      <w:r>
        <w:rPr>
          <w:rFonts w:eastAsia="黑体"/>
          <w:color w:val="000000" w:themeColor="text1"/>
          <w:sz w:val="24"/>
          <w:szCs w:val="24"/>
          <w14:textFill>
            <w14:solidFill>
              <w14:schemeClr w14:val="tx1"/>
            </w14:solidFill>
          </w14:textFill>
        </w:rPr>
        <w:t xml:space="preserve">  矿区生态修复分区表</w:t>
      </w:r>
    </w:p>
    <w:p w14:paraId="440220FA">
      <w:pPr>
        <w:keepNext w:val="0"/>
        <w:keepLines w:val="0"/>
        <w:pageBreakBefore w:val="0"/>
        <w:widowControl/>
        <w:kinsoku/>
        <w:wordWrap/>
        <w:overflowPunct/>
        <w:topLinePunct w:val="0"/>
        <w:autoSpaceDE/>
        <w:autoSpaceDN/>
        <w:bidi w:val="0"/>
        <w:adjustRightInd/>
        <w:snapToGrid/>
        <w:spacing w:before="157" w:beforeLines="50" w:line="360" w:lineRule="auto"/>
        <w:jc w:val="center"/>
        <w:textAlignment w:val="auto"/>
        <w:rPr>
          <w:rFonts w:hint="default" w:ascii="黑体" w:hAnsi="黑体" w:eastAsia="黑体" w:cs="黑体"/>
          <w:b w:val="0"/>
          <w:bCs w:val="0"/>
          <w:color w:val="000000" w:themeColor="text1"/>
          <w:kern w:val="0"/>
          <w:sz w:val="24"/>
          <w:szCs w:val="24"/>
          <w:lang w:val="en-US" w:eastAsia="zh-CN"/>
          <w14:textFill>
            <w14:solidFill>
              <w14:schemeClr w14:val="tx1"/>
            </w14:solidFill>
          </w14:textFill>
        </w:rPr>
      </w:pPr>
      <w:r>
        <w:rPr>
          <w:rFonts w:hint="eastAsia" w:ascii="黑体" w:hAnsi="黑体" w:eastAsia="黑体" w:cs="黑体"/>
          <w:b w:val="0"/>
          <w:bCs w:val="0"/>
          <w:color w:val="000000" w:themeColor="text1"/>
          <w:kern w:val="0"/>
          <w:sz w:val="24"/>
          <w:szCs w:val="24"/>
          <w14:textFill>
            <w14:solidFill>
              <w14:schemeClr w14:val="tx1"/>
            </w14:solidFill>
          </w14:textFill>
        </w:rPr>
        <w:t>表3-</w:t>
      </w:r>
      <w:r>
        <w:rPr>
          <w:rFonts w:hint="eastAsia" w:ascii="黑体" w:hAnsi="黑体" w:eastAsia="黑体" w:cs="黑体"/>
          <w:b w:val="0"/>
          <w:bCs w:val="0"/>
          <w:color w:val="000000" w:themeColor="text1"/>
          <w:kern w:val="0"/>
          <w:sz w:val="24"/>
          <w:szCs w:val="24"/>
          <w:lang w:val="en-US" w:eastAsia="zh-CN"/>
          <w14:textFill>
            <w14:solidFill>
              <w14:schemeClr w14:val="tx1"/>
            </w14:solidFill>
          </w14:textFill>
        </w:rPr>
        <w:t>50</w:t>
      </w:r>
      <w:r>
        <w:rPr>
          <w:rFonts w:hint="eastAsia" w:ascii="黑体" w:hAnsi="黑体" w:eastAsia="黑体" w:cs="黑体"/>
          <w:b w:val="0"/>
          <w:bCs w:val="0"/>
          <w:color w:val="000000" w:themeColor="text1"/>
          <w:kern w:val="0"/>
          <w:sz w:val="24"/>
          <w:szCs w:val="24"/>
          <w14:textFill>
            <w14:solidFill>
              <w14:schemeClr w14:val="tx1"/>
            </w14:solidFill>
          </w14:textFill>
        </w:rPr>
        <w:t xml:space="preserve">  复垦责任</w:t>
      </w:r>
      <w:r>
        <w:rPr>
          <w:rFonts w:hint="eastAsia" w:ascii="黑体" w:hAnsi="黑体" w:eastAsia="黑体" w:cs="黑体"/>
          <w:b w:val="0"/>
          <w:bCs w:val="0"/>
          <w:color w:val="000000" w:themeColor="text1"/>
          <w:kern w:val="0"/>
          <w:sz w:val="24"/>
          <w:szCs w:val="24"/>
          <w:lang w:val="en-US" w:eastAsia="zh-CN"/>
          <w14:textFill>
            <w14:solidFill>
              <w14:schemeClr w14:val="tx1"/>
            </w14:solidFill>
          </w14:textFill>
        </w:rPr>
        <w:t>区</w:t>
      </w:r>
      <w:r>
        <w:rPr>
          <w:rFonts w:hint="eastAsia" w:ascii="黑体" w:hAnsi="黑体" w:eastAsia="黑体" w:cs="黑体"/>
          <w:b w:val="0"/>
          <w:bCs w:val="0"/>
          <w:color w:val="000000" w:themeColor="text1"/>
          <w:kern w:val="0"/>
          <w:sz w:val="24"/>
          <w:szCs w:val="24"/>
          <w14:textFill>
            <w14:solidFill>
              <w14:schemeClr w14:val="tx1"/>
            </w14:solidFill>
          </w14:textFill>
        </w:rPr>
        <w:t>范围主要拐点坐标</w:t>
      </w:r>
      <w:r>
        <w:rPr>
          <w:rFonts w:hint="eastAsia" w:ascii="黑体" w:hAnsi="黑体" w:eastAsia="黑体" w:cs="黑体"/>
          <w:b w:val="0"/>
          <w:bCs w:val="0"/>
          <w:color w:val="000000" w:themeColor="text1"/>
          <w:kern w:val="0"/>
          <w:sz w:val="24"/>
          <w:szCs w:val="24"/>
          <w:lang w:val="en-US" w:eastAsia="zh-CN"/>
          <w14:textFill>
            <w14:solidFill>
              <w14:schemeClr w14:val="tx1"/>
            </w14:solidFill>
          </w14:textFill>
        </w:rPr>
        <w:t>表</w:t>
      </w:r>
    </w:p>
    <w:p w14:paraId="58308C50">
      <w:pPr>
        <w:pStyle w:val="5"/>
        <w:keepNext w:val="0"/>
        <w:keepLines w:val="0"/>
        <w:pageBreakBefore w:val="0"/>
        <w:widowControl w:val="0"/>
        <w:kinsoku/>
        <w:wordWrap/>
        <w:overflowPunct/>
        <w:topLinePunct w:val="0"/>
        <w:autoSpaceDE/>
        <w:autoSpaceDN/>
        <w:bidi w:val="0"/>
        <w:adjustRightInd/>
        <w:snapToGrid/>
        <w:spacing w:before="157" w:beforeLines="50" w:line="360" w:lineRule="auto"/>
        <w:ind w:firstLine="562" w:firstLineChars="200"/>
        <w:textAlignment w:val="auto"/>
        <w:rPr>
          <w:rFonts w:hint="eastAsia"/>
          <w:b/>
          <w:bCs/>
          <w:color w:val="000000" w:themeColor="text1"/>
          <w:sz w:val="28"/>
          <w:szCs w:val="24"/>
          <w:lang w:val="en-US" w:eastAsia="zh-CN"/>
          <w14:textFill>
            <w14:solidFill>
              <w14:schemeClr w14:val="tx1"/>
            </w14:solidFill>
          </w14:textFill>
        </w:rPr>
      </w:pPr>
      <w:r>
        <w:rPr>
          <w:rFonts w:hint="eastAsia"/>
          <w:b/>
          <w:bCs/>
          <w:color w:val="000000" w:themeColor="text1"/>
          <w:sz w:val="28"/>
          <w:szCs w:val="24"/>
          <w:lang w:val="en-US" w:eastAsia="zh-CN"/>
          <w14:textFill>
            <w14:solidFill>
              <w14:schemeClr w14:val="tx1"/>
            </w14:solidFill>
          </w14:textFill>
        </w:rPr>
        <w:t>二、修复时序安排</w:t>
      </w:r>
    </w:p>
    <w:p w14:paraId="5983B9DE">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1、时序安排</w:t>
      </w:r>
    </w:p>
    <w:p w14:paraId="5BBDA27D">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经现场调查了解，矿山前期已生产数年，现状已形成较为完善生产系统，根据《开发与治理综合方案》开发篇平面布置情况，矿山最终形成的工程单元如下：拟建露天采场1、拟建露天采场2、拟建储水池、露天采场2、工业场地、成品砖堆放场、料堆、表土存放场、办公生活区与矿区道路等。</w:t>
      </w:r>
    </w:p>
    <w:p w14:paraId="663E0713">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该矿山土地损毁环境和时序主要为生产期，根据</w:t>
      </w:r>
      <w:r>
        <w:rPr>
          <w:rFonts w:hint="eastAsia"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边开采、边修复</w:t>
      </w:r>
      <w:r>
        <w:rPr>
          <w:rFonts w:hint="eastAsia"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原则，将整个矿区生态修复工程划分为两个阶段，生产期和修复管护期，生产期（2026年1月-2035年12月），修复管护期（2036年1月-203</w:t>
      </w:r>
      <w:r>
        <w:rPr>
          <w:rFonts w:hint="eastAsia" w:cs="Times New Roman"/>
          <w:color w:val="000000" w:themeColor="text1"/>
          <w:kern w:val="0"/>
          <w:sz w:val="28"/>
          <w:szCs w:val="28"/>
          <w:lang w:val="en-US" w:eastAsia="zh-CN"/>
          <w14:textFill>
            <w14:solidFill>
              <w14:schemeClr w14:val="tx1"/>
            </w14:solidFill>
          </w14:textFill>
        </w:rPr>
        <w:t>8</w:t>
      </w:r>
      <w:r>
        <w:rPr>
          <w:rFonts w:hint="default" w:ascii="Times New Roman" w:hAnsi="Times New Roman" w:cs="Times New Roman"/>
          <w:color w:val="000000" w:themeColor="text1"/>
          <w:kern w:val="0"/>
          <w:sz w:val="28"/>
          <w:szCs w:val="28"/>
          <w14:textFill>
            <w14:solidFill>
              <w14:schemeClr w14:val="tx1"/>
            </w14:solidFill>
          </w14:textFill>
        </w:rPr>
        <w:t>年12月），矿区生态修复时序表见表3-</w:t>
      </w:r>
      <w:r>
        <w:rPr>
          <w:rFonts w:hint="eastAsia" w:cs="Times New Roman"/>
          <w:color w:val="000000" w:themeColor="text1"/>
          <w:kern w:val="0"/>
          <w:sz w:val="28"/>
          <w:szCs w:val="28"/>
          <w:lang w:val="en-US" w:eastAsia="zh-CN"/>
          <w14:textFill>
            <w14:solidFill>
              <w14:schemeClr w14:val="tx1"/>
            </w14:solidFill>
          </w14:textFill>
        </w:rPr>
        <w:t>51</w:t>
      </w:r>
      <w:r>
        <w:rPr>
          <w:rFonts w:hint="default" w:ascii="Times New Roman" w:hAnsi="Times New Roman" w:cs="Times New Roman"/>
          <w:color w:val="000000" w:themeColor="text1"/>
          <w:kern w:val="0"/>
          <w:sz w:val="28"/>
          <w:szCs w:val="28"/>
          <w14:textFill>
            <w14:solidFill>
              <w14:schemeClr w14:val="tx1"/>
            </w14:solidFill>
          </w14:textFill>
        </w:rPr>
        <w:t>。</w:t>
      </w:r>
    </w:p>
    <w:p w14:paraId="022C68CA">
      <w:pPr>
        <w:rPr>
          <w:rFonts w:hint="eastAsia" w:ascii="黑体" w:hAnsi="黑体" w:eastAsia="黑体" w:cs="黑体"/>
          <w:b w:val="0"/>
          <w:bCs w:val="0"/>
          <w:color w:val="000000" w:themeColor="text1"/>
          <w:kern w:val="0"/>
          <w:sz w:val="24"/>
          <w:szCs w:val="24"/>
          <w14:textFill>
            <w14:solidFill>
              <w14:schemeClr w14:val="tx1"/>
            </w14:solidFill>
          </w14:textFill>
        </w:rPr>
      </w:pPr>
      <w:r>
        <w:rPr>
          <w:rFonts w:hint="eastAsia" w:ascii="黑体" w:hAnsi="黑体" w:eastAsia="黑体" w:cs="黑体"/>
          <w:b w:val="0"/>
          <w:bCs w:val="0"/>
          <w:color w:val="000000" w:themeColor="text1"/>
          <w:kern w:val="0"/>
          <w:sz w:val="24"/>
          <w:szCs w:val="24"/>
          <w14:textFill>
            <w14:solidFill>
              <w14:schemeClr w14:val="tx1"/>
            </w14:solidFill>
          </w14:textFill>
        </w:rPr>
        <w:br w:type="page"/>
      </w:r>
    </w:p>
    <w:p w14:paraId="74A254F7">
      <w:pPr>
        <w:widowControl/>
        <w:spacing w:line="360" w:lineRule="auto"/>
        <w:jc w:val="center"/>
        <w:rPr>
          <w:rFonts w:hint="eastAsia" w:ascii="黑体" w:hAnsi="黑体" w:eastAsia="黑体" w:cs="黑体"/>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kern w:val="0"/>
          <w:sz w:val="24"/>
          <w:szCs w:val="24"/>
          <w14:textFill>
            <w14:solidFill>
              <w14:schemeClr w14:val="tx1"/>
            </w14:solidFill>
          </w14:textFill>
        </w:rPr>
        <w:t>表3-</w:t>
      </w:r>
      <w:r>
        <w:rPr>
          <w:rFonts w:hint="eastAsia" w:ascii="黑体" w:hAnsi="黑体" w:eastAsia="黑体" w:cs="黑体"/>
          <w:b w:val="0"/>
          <w:bCs w:val="0"/>
          <w:color w:val="000000" w:themeColor="text1"/>
          <w:kern w:val="0"/>
          <w:sz w:val="24"/>
          <w:szCs w:val="24"/>
          <w:lang w:val="en-US" w:eastAsia="zh-CN"/>
          <w14:textFill>
            <w14:solidFill>
              <w14:schemeClr w14:val="tx1"/>
            </w14:solidFill>
          </w14:textFill>
        </w:rPr>
        <w:t>51</w:t>
      </w:r>
      <w:r>
        <w:rPr>
          <w:rFonts w:hint="eastAsia" w:ascii="黑体" w:hAnsi="黑体" w:eastAsia="黑体" w:cs="黑体"/>
          <w:b w:val="0"/>
          <w:bCs w:val="0"/>
          <w:color w:val="000000" w:themeColor="text1"/>
          <w:kern w:val="0"/>
          <w:sz w:val="24"/>
          <w:szCs w:val="24"/>
          <w14:textFill>
            <w14:solidFill>
              <w14:schemeClr w14:val="tx1"/>
            </w14:solidFill>
          </w14:textFill>
        </w:rPr>
        <w:t xml:space="preserve">  矿区生态修复时序表</w:t>
      </w:r>
    </w:p>
    <w:p w14:paraId="38E73995">
      <w:pPr>
        <w:pStyle w:val="38"/>
        <w:keepNext w:val="0"/>
        <w:keepLines w:val="0"/>
        <w:pageBreakBefore w:val="0"/>
        <w:widowControl w:val="0"/>
        <w:kinsoku/>
        <w:wordWrap/>
        <w:overflowPunct/>
        <w:topLinePunct w:val="0"/>
        <w:autoSpaceDE w:val="0"/>
        <w:autoSpaceDN w:val="0"/>
        <w:bidi w:val="0"/>
        <w:adjustRightInd w:val="0"/>
        <w:snapToGrid/>
        <w:spacing w:before="157" w:beforeLines="50" w:line="360" w:lineRule="auto"/>
        <w:ind w:firstLine="560" w:firstLineChars="200"/>
        <w:jc w:val="both"/>
        <w:textAlignment w:val="auto"/>
        <w:rPr>
          <w:rFonts w:hint="default" w:ascii="Times New Roman" w:hAnsi="Times New Roman" w:cs="Times New Roman"/>
          <w:b w:val="0"/>
          <w:bCs w:val="0"/>
          <w:color w:val="000000" w:themeColor="text1"/>
          <w:sz w:val="28"/>
          <w:szCs w:val="28"/>
          <w14:textFill>
            <w14:solidFill>
              <w14:schemeClr w14:val="tx1"/>
            </w14:solidFill>
          </w14:textFill>
        </w:rPr>
      </w:pPr>
      <w:r>
        <w:rPr>
          <w:rFonts w:hint="default" w:ascii="Times New Roman" w:hAnsi="Times New Roman" w:cs="Times New Roman"/>
          <w:b w:val="0"/>
          <w:bCs w:val="0"/>
          <w:color w:val="000000" w:themeColor="text1"/>
          <w:sz w:val="28"/>
          <w:szCs w:val="28"/>
          <w14:textFill>
            <w14:solidFill>
              <w14:schemeClr w14:val="tx1"/>
            </w14:solidFill>
          </w14:textFill>
        </w:rPr>
        <w:t>2、土地复垦区与复垦责任范围</w:t>
      </w:r>
    </w:p>
    <w:p w14:paraId="1998CDD7">
      <w:pPr>
        <w:pStyle w:val="38"/>
        <w:spacing w:line="360" w:lineRule="auto"/>
        <w:ind w:firstLine="560" w:firstLineChars="200"/>
        <w:jc w:val="both"/>
        <w:rPr>
          <w:rFonts w:hint="default" w:ascii="Times New Roman" w:hAnsi="Times New Roman" w:cs="Times New Roman"/>
          <w:b w:val="0"/>
          <w:bCs w:val="0"/>
          <w:color w:val="000000" w:themeColor="text1"/>
          <w:sz w:val="28"/>
          <w:szCs w:val="28"/>
          <w14:textFill>
            <w14:solidFill>
              <w14:schemeClr w14:val="tx1"/>
            </w14:solidFill>
          </w14:textFill>
        </w:rPr>
      </w:pPr>
      <w:r>
        <w:rPr>
          <w:rFonts w:hint="default" w:ascii="Times New Roman" w:hAnsi="Times New Roman" w:cs="Times New Roman"/>
          <w:b w:val="0"/>
          <w:bCs w:val="0"/>
          <w:color w:val="000000" w:themeColor="text1"/>
          <w:sz w:val="28"/>
          <w:szCs w:val="28"/>
          <w14:textFill>
            <w14:solidFill>
              <w14:schemeClr w14:val="tx1"/>
            </w14:solidFill>
          </w14:textFill>
        </w:rPr>
        <w:t>（1）复垦区</w:t>
      </w:r>
    </w:p>
    <w:p w14:paraId="161D7A3D">
      <w:pPr>
        <w:pStyle w:val="38"/>
        <w:spacing w:line="360" w:lineRule="auto"/>
        <w:ind w:firstLine="560" w:firstLineChars="200"/>
        <w:jc w:val="both"/>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复垦区面积=损毁土地面积+占用土地面积，占用土地面积指永久性建筑物、构筑物占用土地的面积。</w:t>
      </w:r>
    </w:p>
    <w:p w14:paraId="03E7346E">
      <w:pPr>
        <w:pStyle w:val="38"/>
        <w:spacing w:line="360" w:lineRule="auto"/>
        <w:ind w:firstLine="560" w:firstLineChars="200"/>
        <w:jc w:val="both"/>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依据土地损毁分析与预测结果，本矿区已损毁土地面积</w:t>
      </w:r>
      <w:r>
        <w:rPr>
          <w:rFonts w:hint="eastAsia" w:ascii="Times New Roman" w:cs="Times New Roman"/>
          <w:color w:val="000000" w:themeColor="text1"/>
          <w:sz w:val="28"/>
          <w:szCs w:val="28"/>
          <w:lang w:val="en-US" w:eastAsia="zh-CN"/>
          <w14:textFill>
            <w14:solidFill>
              <w14:schemeClr w14:val="tx1"/>
            </w14:solidFill>
          </w14:textFill>
        </w:rPr>
        <w:t>10.1969h</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，拟损毁土地面积</w:t>
      </w:r>
      <w:r>
        <w:rPr>
          <w:rFonts w:hint="eastAsia" w:ascii="Times New Roman" w:cs="Times New Roman"/>
          <w:color w:val="000000" w:themeColor="text1"/>
          <w:sz w:val="28"/>
          <w:szCs w:val="28"/>
          <w:lang w:val="en-US" w:eastAsia="zh-CN"/>
          <w14:textFill>
            <w14:solidFill>
              <w14:schemeClr w14:val="tx1"/>
            </w14:solidFill>
          </w14:textFill>
        </w:rPr>
        <w:t>0.5231h</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，据此确定</w:t>
      </w:r>
      <w:r>
        <w:rPr>
          <w:rFonts w:hint="eastAsia" w:ascii="Times New Roman" w:cs="Times New Roman"/>
          <w:color w:val="000000" w:themeColor="text1"/>
          <w:sz w:val="28"/>
          <w:szCs w:val="28"/>
          <w:lang w:val="en-US" w:eastAsia="zh-CN"/>
          <w14:textFill>
            <w14:solidFill>
              <w14:schemeClr w14:val="tx1"/>
            </w14:solidFill>
          </w14:textFill>
        </w:rPr>
        <w:t>修复</w:t>
      </w:r>
      <w:r>
        <w:rPr>
          <w:rFonts w:hint="default" w:ascii="Times New Roman" w:hAnsi="Times New Roman" w:cs="Times New Roman"/>
          <w:color w:val="000000" w:themeColor="text1"/>
          <w:sz w:val="28"/>
          <w:szCs w:val="28"/>
          <w14:textFill>
            <w14:solidFill>
              <w14:schemeClr w14:val="tx1"/>
            </w14:solidFill>
          </w14:textFill>
        </w:rPr>
        <w:t>区土地复垦区面积</w:t>
      </w:r>
      <w:r>
        <w:rPr>
          <w:rFonts w:hint="eastAsia" w:ascii="Times New Roman" w:cs="Times New Roman"/>
          <w:color w:val="000000" w:themeColor="text1"/>
          <w:sz w:val="28"/>
          <w:szCs w:val="28"/>
          <w:lang w:val="en-US" w:eastAsia="zh-CN"/>
          <w14:textFill>
            <w14:solidFill>
              <w14:schemeClr w14:val="tx1"/>
            </w14:solidFill>
          </w14:textFill>
        </w:rPr>
        <w:t>10.72h</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p>
    <w:p w14:paraId="574A251C">
      <w:pPr>
        <w:pStyle w:val="38"/>
        <w:spacing w:line="360" w:lineRule="auto"/>
        <w:ind w:firstLine="560" w:firstLineChars="200"/>
        <w:jc w:val="both"/>
        <w:rPr>
          <w:rFonts w:hint="default" w:ascii="Times New Roman" w:hAnsi="Times New Roman" w:cs="Times New Roman"/>
          <w:b w:val="0"/>
          <w:bCs w:val="0"/>
          <w:color w:val="000000" w:themeColor="text1"/>
          <w:sz w:val="28"/>
          <w:szCs w:val="28"/>
          <w14:textFill>
            <w14:solidFill>
              <w14:schemeClr w14:val="tx1"/>
            </w14:solidFill>
          </w14:textFill>
        </w:rPr>
      </w:pPr>
      <w:r>
        <w:rPr>
          <w:rFonts w:hint="default" w:ascii="Times New Roman" w:hAnsi="Times New Roman" w:cs="Times New Roman"/>
          <w:b w:val="0"/>
          <w:bCs w:val="0"/>
          <w:color w:val="000000" w:themeColor="text1"/>
          <w:sz w:val="28"/>
          <w:szCs w:val="28"/>
          <w14:textFill>
            <w14:solidFill>
              <w14:schemeClr w14:val="tx1"/>
            </w14:solidFill>
          </w14:textFill>
        </w:rPr>
        <w:t>（2）复垦责任范围</w:t>
      </w:r>
    </w:p>
    <w:p w14:paraId="3250139D">
      <w:pPr>
        <w:pStyle w:val="38"/>
        <w:spacing w:line="360" w:lineRule="auto"/>
        <w:ind w:firstLine="560" w:firstLineChars="200"/>
        <w:jc w:val="both"/>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复垦责任范围</w:t>
      </w:r>
      <w:r>
        <w:rPr>
          <w:rFonts w:hint="eastAsia" w:ascii="Times New Roman" w:hAnsi="Times New Roman" w:cs="Times New Roman"/>
          <w:color w:val="000000" w:themeColor="text1"/>
          <w:sz w:val="28"/>
          <w:szCs w:val="28"/>
          <w:lang w:val="en-US" w:eastAsia="zh-CN"/>
          <w14:textFill>
            <w14:solidFill>
              <w14:schemeClr w14:val="tx1"/>
            </w14:solidFill>
          </w14:textFill>
        </w:rPr>
        <w:t>包括</w:t>
      </w:r>
      <w:r>
        <w:rPr>
          <w:rFonts w:hint="default" w:ascii="Times New Roman" w:hAnsi="Times New Roman" w:cs="Times New Roman"/>
          <w:color w:val="000000" w:themeColor="text1"/>
          <w:sz w:val="28"/>
          <w:szCs w:val="28"/>
          <w:lang w:val="en-US" w:eastAsia="zh-CN"/>
          <w14:textFill>
            <w14:solidFill>
              <w14:schemeClr w14:val="tx1"/>
            </w14:solidFill>
          </w14:textFill>
        </w:rPr>
        <w:t>：</w:t>
      </w:r>
      <w:r>
        <w:rPr>
          <w:rFonts w:hint="default" w:ascii="Times New Roman" w:hAnsi="Times New Roman" w:cs="Times New Roman"/>
          <w:color w:val="000000" w:themeColor="text1"/>
          <w:kern w:val="0"/>
          <w:sz w:val="28"/>
          <w:szCs w:val="28"/>
          <w:lang w:val="en-US" w:eastAsia="zh-CN"/>
          <w14:textFill>
            <w14:solidFill>
              <w14:schemeClr w14:val="tx1"/>
            </w14:solidFill>
          </w14:textFill>
        </w:rPr>
        <w:t>拟建露天采场1、拟建露天采场2、拟建储水池、露天采场2、工业场地、成品砖堆放场、料堆、表土存放场、办公生活区与矿区道路等</w:t>
      </w:r>
      <w:r>
        <w:rPr>
          <w:rFonts w:hint="default" w:ascii="Times New Roman" w:hAnsi="Times New Roman" w:cs="Times New Roman"/>
          <w:color w:val="000000" w:themeColor="text1"/>
          <w:sz w:val="28"/>
          <w:szCs w:val="28"/>
          <w:lang w:val="en-US" w:eastAsia="zh-CN"/>
          <w14:textFill>
            <w14:solidFill>
              <w14:schemeClr w14:val="tx1"/>
            </w14:solidFill>
          </w14:textFill>
        </w:rPr>
        <w:t>。</w:t>
      </w:r>
    </w:p>
    <w:p w14:paraId="0C0310E3">
      <w:pPr>
        <w:pStyle w:val="3"/>
        <w:keepNext/>
        <w:keepLines/>
        <w:pageBreakBefore w:val="0"/>
        <w:widowControl w:val="0"/>
        <w:kinsoku/>
        <w:wordWrap/>
        <w:overflowPunct/>
        <w:topLinePunct w:val="0"/>
        <w:autoSpaceDE/>
        <w:autoSpaceDN/>
        <w:bidi w:val="0"/>
        <w:adjustRightInd w:val="0"/>
        <w:snapToGrid w:val="0"/>
        <w:spacing w:before="0" w:beforeLines="0"/>
        <w:jc w:val="center"/>
        <w:textAlignment w:val="auto"/>
        <w:rPr>
          <w:rFonts w:ascii="Times New Roman" w:hAnsi="Times New Roman"/>
          <w:color w:val="000000" w:themeColor="text1"/>
          <w14:textFill>
            <w14:solidFill>
              <w14:schemeClr w14:val="tx1"/>
            </w14:solidFill>
          </w14:textFill>
        </w:rPr>
      </w:pPr>
      <w:bookmarkStart w:id="55" w:name="_Toc15741"/>
      <w:r>
        <w:rPr>
          <w:rFonts w:hint="eastAsia" w:ascii="Times New Roman" w:hAnsi="Times New Roman"/>
          <w:color w:val="000000" w:themeColor="text1"/>
          <w:lang w:val="en-US" w:eastAsia="zh-CN"/>
          <w14:textFill>
            <w14:solidFill>
              <w14:schemeClr w14:val="tx1"/>
            </w14:solidFill>
          </w14:textFill>
        </w:rPr>
        <w:t xml:space="preserve">第四节  </w:t>
      </w:r>
      <w:r>
        <w:rPr>
          <w:rFonts w:hint="eastAsia" w:ascii="Times New Roman" w:hAnsi="Times New Roman"/>
          <w:color w:val="000000" w:themeColor="text1"/>
          <w14:textFill>
            <w14:solidFill>
              <w14:schemeClr w14:val="tx1"/>
            </w14:solidFill>
          </w14:textFill>
        </w:rPr>
        <w:t>采矿用地与复垦修复安排</w:t>
      </w:r>
      <w:bookmarkEnd w:id="55"/>
    </w:p>
    <w:p w14:paraId="6CAB8ED5">
      <w:pPr>
        <w:pStyle w:val="5"/>
        <w:bidi w:val="0"/>
        <w:spacing w:line="360" w:lineRule="auto"/>
        <w:ind w:firstLine="562" w:firstLineChars="200"/>
        <w:rPr>
          <w:rFonts w:hint="eastAsia"/>
          <w:b/>
          <w:bCs/>
          <w:color w:val="000000" w:themeColor="text1"/>
          <w:sz w:val="28"/>
          <w:szCs w:val="24"/>
          <w:lang w:val="en-US" w:eastAsia="zh-CN"/>
          <w14:textFill>
            <w14:solidFill>
              <w14:schemeClr w14:val="tx1"/>
            </w14:solidFill>
          </w14:textFill>
        </w:rPr>
      </w:pPr>
      <w:r>
        <w:rPr>
          <w:rFonts w:hint="eastAsia"/>
          <w:b/>
          <w:bCs/>
          <w:color w:val="000000" w:themeColor="text1"/>
          <w:sz w:val="28"/>
          <w:szCs w:val="24"/>
          <w:lang w:val="en-US" w:eastAsia="zh-CN"/>
          <w14:textFill>
            <w14:solidFill>
              <w14:schemeClr w14:val="tx1"/>
            </w14:solidFill>
          </w14:textFill>
        </w:rPr>
        <w:t>一、</w:t>
      </w:r>
      <w:r>
        <w:rPr>
          <w:rFonts w:hint="default"/>
          <w:b/>
          <w:bCs/>
          <w:color w:val="000000" w:themeColor="text1"/>
          <w:sz w:val="28"/>
          <w:szCs w:val="24"/>
          <w:lang w:val="en-US" w:eastAsia="zh-CN"/>
          <w14:textFill>
            <w14:solidFill>
              <w14:schemeClr w14:val="tx1"/>
            </w14:solidFill>
          </w14:textFill>
        </w:rPr>
        <w:t>采矿用地安排复垦修复安排</w:t>
      </w:r>
    </w:p>
    <w:p w14:paraId="476AFC2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3"/>
        <w:rPr>
          <w:rFonts w:hint="eastAsia"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8"/>
          <w:szCs w:val="28"/>
          <w:lang w:val="en-US" w:eastAsia="zh-CN"/>
          <w14:textFill>
            <w14:solidFill>
              <w14:schemeClr w14:val="tx1"/>
            </w14:solidFill>
          </w14:textFill>
        </w:rPr>
        <w:t>（一）采矿用地情况</w:t>
      </w:r>
    </w:p>
    <w:p w14:paraId="0397C230">
      <w:pPr>
        <w:spacing w:line="360" w:lineRule="auto"/>
        <w:ind w:firstLine="560" w:firstLineChars="200"/>
        <w:rPr>
          <w:rFonts w:hint="default" w:ascii="Times New Roman" w:hAnsi="Times New Roman" w:eastAsia="宋体" w:cs="Times New Roman"/>
          <w:color w:val="000000" w:themeColor="text1"/>
          <w:kern w:val="2"/>
          <w:sz w:val="28"/>
          <w:szCs w:val="28"/>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8"/>
          <w:szCs w:val="28"/>
          <w:lang w:val="zh-CN" w:eastAsia="zh-CN" w:bidi="ar-SA"/>
          <w14:textFill>
            <w14:solidFill>
              <w14:schemeClr w14:val="tx1"/>
            </w14:solidFill>
          </w14:textFill>
        </w:rPr>
        <w:t>现状</w:t>
      </w:r>
      <w:r>
        <w:rPr>
          <w:rFonts w:hint="eastAsia" w:ascii="Times New Roman" w:hAnsi="Times New Roman" w:eastAsia="宋体" w:cs="Times New Roman"/>
          <w:color w:val="000000" w:themeColor="text1"/>
          <w:kern w:val="2"/>
          <w:sz w:val="28"/>
          <w:szCs w:val="28"/>
          <w:lang w:val="en-US" w:eastAsia="zh-CN" w:bidi="ar-SA"/>
          <w14:textFill>
            <w14:solidFill>
              <w14:schemeClr w14:val="tx1"/>
            </w14:solidFill>
          </w14:textFill>
        </w:rPr>
        <w:t>及预测矿山</w:t>
      </w:r>
      <w:r>
        <w:rPr>
          <w:rFonts w:hint="default" w:ascii="Times New Roman" w:hAnsi="Times New Roman" w:eastAsia="宋体" w:cs="Times New Roman"/>
          <w:color w:val="000000" w:themeColor="text1"/>
          <w:kern w:val="2"/>
          <w:sz w:val="28"/>
          <w:szCs w:val="28"/>
          <w:lang w:val="en-US" w:eastAsia="zh-CN" w:bidi="ar-SA"/>
          <w14:textFill>
            <w14:solidFill>
              <w14:schemeClr w14:val="tx1"/>
            </w14:solidFill>
          </w14:textFill>
        </w:rPr>
        <w:t>损毁</w:t>
      </w:r>
      <w:r>
        <w:rPr>
          <w:rFonts w:hint="default" w:ascii="Times New Roman" w:hAnsi="Times New Roman" w:eastAsia="宋体" w:cs="Times New Roman"/>
          <w:color w:val="000000" w:themeColor="text1"/>
          <w:kern w:val="2"/>
          <w:sz w:val="28"/>
          <w:szCs w:val="28"/>
          <w:lang w:val="zh-CN" w:eastAsia="zh-CN" w:bidi="ar-SA"/>
          <w14:textFill>
            <w14:solidFill>
              <w14:schemeClr w14:val="tx1"/>
            </w14:solidFill>
          </w14:textFill>
        </w:rPr>
        <w:t>工程单元</w:t>
      </w:r>
      <w:r>
        <w:rPr>
          <w:rFonts w:hint="default" w:ascii="Times New Roman" w:hAnsi="Times New Roman" w:eastAsia="宋体" w:cs="Times New Roman"/>
          <w:color w:val="000000" w:themeColor="text1"/>
          <w:kern w:val="2"/>
          <w:sz w:val="28"/>
          <w:szCs w:val="28"/>
          <w:lang w:val="en-US" w:eastAsia="zh-CN" w:bidi="ar-SA"/>
          <w14:textFill>
            <w14:solidFill>
              <w14:schemeClr w14:val="tx1"/>
            </w14:solidFill>
          </w14:textFill>
        </w:rPr>
        <w:t>包括：</w:t>
      </w:r>
      <w:r>
        <w:rPr>
          <w:rFonts w:hint="eastAsia" w:cs="Times New Roman"/>
          <w:color w:val="000000" w:themeColor="text1"/>
          <w:sz w:val="28"/>
          <w:szCs w:val="28"/>
          <w:lang w:val="en-US" w:eastAsia="zh-CN"/>
          <w14:textFill>
            <w14:solidFill>
              <w14:schemeClr w14:val="tx1"/>
            </w14:solidFill>
          </w14:textFill>
        </w:rPr>
        <w:t>拟建露天采场1、拟建露天采场2、拟建储水池、露天采场2、工业场地、成品砖堆放场、料堆、表土存放场、办公生活区与矿区道路等</w:t>
      </w:r>
      <w:r>
        <w:rPr>
          <w:rFonts w:hint="default" w:ascii="Times New Roman" w:hAnsi="Times New Roman" w:eastAsia="宋体" w:cs="Times New Roman"/>
          <w:color w:val="000000" w:themeColor="text1"/>
          <w:kern w:val="2"/>
          <w:sz w:val="28"/>
          <w:szCs w:val="28"/>
          <w:lang w:val="zh-CN" w:eastAsia="zh-CN" w:bidi="ar-SA"/>
          <w14:textFill>
            <w14:solidFill>
              <w14:schemeClr w14:val="tx1"/>
            </w14:solidFill>
          </w14:textFill>
        </w:rPr>
        <w:t>，</w:t>
      </w:r>
      <w:r>
        <w:rPr>
          <w:rFonts w:hint="default" w:ascii="Times New Roman" w:hAnsi="Times New Roman" w:eastAsia="宋体" w:cs="Times New Roman"/>
          <w:color w:val="000000" w:themeColor="text1"/>
          <w:kern w:val="2"/>
          <w:sz w:val="28"/>
          <w:szCs w:val="28"/>
          <w:lang w:val="en-US" w:eastAsia="zh-CN" w:bidi="ar-SA"/>
          <w14:textFill>
            <w14:solidFill>
              <w14:schemeClr w14:val="tx1"/>
            </w14:solidFill>
          </w14:textFill>
        </w:rPr>
        <w:t>以上场地为</w:t>
      </w:r>
      <w:r>
        <w:rPr>
          <w:rFonts w:hint="default" w:ascii="Times New Roman" w:hAnsi="Times New Roman" w:eastAsia="宋体" w:cs="Times New Roman"/>
          <w:color w:val="000000" w:themeColor="text1"/>
          <w:kern w:val="2"/>
          <w:sz w:val="28"/>
          <w:szCs w:val="28"/>
          <w:lang w:val="zh-CN" w:eastAsia="zh-CN" w:bidi="ar-SA"/>
          <w14:textFill>
            <w14:solidFill>
              <w14:schemeClr w14:val="tx1"/>
            </w14:solidFill>
          </w14:textFill>
        </w:rPr>
        <w:t>《</w:t>
      </w:r>
      <w:r>
        <w:rPr>
          <w:rFonts w:hint="default" w:ascii="Times New Roman" w:hAnsi="Times New Roman" w:eastAsia="宋体" w:cs="Times New Roman"/>
          <w:color w:val="000000" w:themeColor="text1"/>
          <w:kern w:val="2"/>
          <w:sz w:val="28"/>
          <w:szCs w:val="28"/>
          <w:lang w:val="en-US" w:eastAsia="zh-CN" w:bidi="ar-SA"/>
          <w14:textFill>
            <w14:solidFill>
              <w14:schemeClr w14:val="tx1"/>
            </w14:solidFill>
          </w14:textFill>
        </w:rPr>
        <w:t>开发与治理综合方案</w:t>
      </w:r>
      <w:r>
        <w:rPr>
          <w:rFonts w:hint="default" w:ascii="Times New Roman" w:hAnsi="Times New Roman" w:eastAsia="宋体" w:cs="Times New Roman"/>
          <w:color w:val="000000" w:themeColor="text1"/>
          <w:kern w:val="2"/>
          <w:sz w:val="28"/>
          <w:szCs w:val="28"/>
          <w:lang w:val="zh-CN" w:eastAsia="zh-CN" w:bidi="ar-SA"/>
          <w14:textFill>
            <w14:solidFill>
              <w14:schemeClr w14:val="tx1"/>
            </w14:solidFill>
          </w14:textFill>
        </w:rPr>
        <w:t>》设计利用</w:t>
      </w:r>
      <w:r>
        <w:rPr>
          <w:rFonts w:hint="default" w:ascii="Times New Roman" w:hAnsi="Times New Roman" w:eastAsia="宋体" w:cs="Times New Roman"/>
          <w:color w:val="000000" w:themeColor="text1"/>
          <w:kern w:val="2"/>
          <w:sz w:val="28"/>
          <w:szCs w:val="28"/>
          <w:lang w:val="en-US" w:eastAsia="zh-CN" w:bidi="ar-SA"/>
          <w14:textFill>
            <w14:solidFill>
              <w14:schemeClr w14:val="tx1"/>
            </w14:solidFill>
          </w14:textFill>
        </w:rPr>
        <w:t>场地</w:t>
      </w:r>
      <w:r>
        <w:rPr>
          <w:rFonts w:hint="default" w:ascii="Times New Roman" w:hAnsi="Times New Roman" w:eastAsia="宋体" w:cs="Times New Roman"/>
          <w:color w:val="000000" w:themeColor="text1"/>
          <w:kern w:val="2"/>
          <w:sz w:val="28"/>
          <w:szCs w:val="28"/>
          <w:lang w:val="zh-CN" w:eastAsia="zh-CN" w:bidi="ar-SA"/>
          <w14:textFill>
            <w14:solidFill>
              <w14:schemeClr w14:val="tx1"/>
            </w14:solidFill>
          </w14:textFill>
        </w:rPr>
        <w:t>，</w:t>
      </w:r>
      <w:r>
        <w:rPr>
          <w:rFonts w:hint="default" w:ascii="Times New Roman" w:hAnsi="Times New Roman" w:eastAsia="宋体" w:cs="Times New Roman"/>
          <w:color w:val="000000" w:themeColor="text1"/>
          <w:kern w:val="2"/>
          <w:sz w:val="28"/>
          <w:szCs w:val="28"/>
          <w:lang w:val="en-US" w:eastAsia="zh-CN" w:bidi="ar-SA"/>
          <w14:textFill>
            <w14:solidFill>
              <w14:schemeClr w14:val="tx1"/>
            </w14:solidFill>
          </w14:textFill>
        </w:rPr>
        <w:t>并</w:t>
      </w:r>
      <w:r>
        <w:rPr>
          <w:rFonts w:hint="default" w:ascii="Times New Roman" w:hAnsi="Times New Roman" w:eastAsia="宋体" w:cs="Times New Roman"/>
          <w:color w:val="000000" w:themeColor="text1"/>
          <w:kern w:val="2"/>
          <w:sz w:val="28"/>
          <w:szCs w:val="28"/>
          <w:lang w:val="zh-CN" w:eastAsia="zh-CN" w:bidi="ar-SA"/>
          <w14:textFill>
            <w14:solidFill>
              <w14:schemeClr w14:val="tx1"/>
            </w14:solidFill>
          </w14:textFill>
        </w:rPr>
        <w:t>已与当地村民签订征地补偿协议，但未办理采矿用地审批手续，建议矿山尽快办理采矿用地审批手续。</w:t>
      </w:r>
    </w:p>
    <w:p w14:paraId="766D950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3"/>
        <w:rPr>
          <w:rFonts w:hint="default" w:ascii="Times New Roman" w:hAnsi="Times New Roman" w:eastAsia="宋体" w:cs="Times New Roman"/>
          <w:b w:val="0"/>
          <w:bCs w:val="0"/>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8"/>
          <w:szCs w:val="28"/>
          <w:lang w:val="en-US" w:eastAsia="zh-CN"/>
          <w14:textFill>
            <w14:solidFill>
              <w14:schemeClr w14:val="tx1"/>
            </w14:solidFill>
          </w14:textFill>
        </w:rPr>
        <w:t>（二）复垦修复安排</w:t>
      </w:r>
    </w:p>
    <w:p w14:paraId="19124451">
      <w:pPr>
        <w:keepNext w:val="0"/>
        <w:keepLines w:val="0"/>
        <w:pageBreakBefore w:val="0"/>
        <w:widowControl w:val="0"/>
        <w:kinsoku/>
        <w:wordWrap/>
        <w:autoSpaceDE/>
        <w:autoSpaceDN/>
        <w:bidi w:val="0"/>
        <w:adjustRightInd/>
        <w:snapToGrid/>
        <w:spacing w:line="360" w:lineRule="auto"/>
        <w:ind w:firstLine="560" w:firstLineChars="200"/>
        <w:textAlignment w:val="auto"/>
        <w:rPr>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根据</w:t>
      </w:r>
      <w:r>
        <w:rPr>
          <w:color w:val="000000" w:themeColor="text1"/>
          <w:sz w:val="28"/>
          <w:szCs w:val="28"/>
          <w14:textFill>
            <w14:solidFill>
              <w14:schemeClr w14:val="tx1"/>
            </w14:solidFill>
          </w14:textFill>
        </w:rPr>
        <w:t>因地制宜、复垦后土地可持续利用原则以及综合效益等原则，复垦方向为</w:t>
      </w:r>
      <w:r>
        <w:rPr>
          <w:rFonts w:hint="eastAsia"/>
          <w:color w:val="000000" w:themeColor="text1"/>
          <w:sz w:val="28"/>
          <w:szCs w:val="28"/>
          <w:lang w:eastAsia="zh-CN"/>
          <w14:textFill>
            <w14:solidFill>
              <w14:schemeClr w14:val="tx1"/>
            </w14:solidFill>
          </w14:textFill>
        </w:rPr>
        <w:t>：</w:t>
      </w:r>
      <w:r>
        <w:rPr>
          <w:rFonts w:hint="eastAsia"/>
          <w:color w:val="000000" w:themeColor="text1"/>
          <w:sz w:val="28"/>
          <w:szCs w:val="28"/>
          <w:lang w:val="en-US" w:eastAsia="zh-CN"/>
          <w14:textFill>
            <w14:solidFill>
              <w14:schemeClr w14:val="tx1"/>
            </w14:solidFill>
          </w14:textFill>
        </w:rPr>
        <w:t>水浇地、</w:t>
      </w:r>
      <w:r>
        <w:rPr>
          <w:color w:val="000000" w:themeColor="text1"/>
          <w:sz w:val="28"/>
          <w:szCs w:val="28"/>
          <w14:textFill>
            <w14:solidFill>
              <w14:schemeClr w14:val="tx1"/>
            </w14:solidFill>
          </w14:textFill>
        </w:rPr>
        <w:t>乔木林地、人工牧草地；复垦</w:t>
      </w:r>
      <w:r>
        <w:rPr>
          <w:rFonts w:hint="eastAsia"/>
          <w:color w:val="000000" w:themeColor="text1"/>
          <w:sz w:val="28"/>
          <w:szCs w:val="28"/>
          <w:lang w:val="en-US" w:eastAsia="zh-CN"/>
          <w14:textFill>
            <w14:solidFill>
              <w14:schemeClr w14:val="tx1"/>
            </w14:solidFill>
          </w14:textFill>
        </w:rPr>
        <w:t>水浇地0.0926h</w:t>
      </w:r>
      <w:r>
        <w:rPr>
          <w:color w:val="000000" w:themeColor="text1"/>
          <w:sz w:val="28"/>
          <w:szCs w:val="28"/>
          <w14:textFill>
            <w14:solidFill>
              <w14:schemeClr w14:val="tx1"/>
            </w14:solidFill>
          </w14:textFill>
        </w:rPr>
        <w:t>m</w:t>
      </w:r>
      <w:r>
        <w:rPr>
          <w:color w:val="000000" w:themeColor="text1"/>
          <w:sz w:val="28"/>
          <w:szCs w:val="28"/>
          <w:vertAlign w:val="superscript"/>
          <w14:textFill>
            <w14:solidFill>
              <w14:schemeClr w14:val="tx1"/>
            </w14:solidFill>
          </w14:textFill>
        </w:rPr>
        <w:t>2</w:t>
      </w:r>
      <w:r>
        <w:rPr>
          <w:color w:val="000000" w:themeColor="text1"/>
          <w:sz w:val="28"/>
          <w:szCs w:val="28"/>
          <w14:textFill>
            <w14:solidFill>
              <w14:schemeClr w14:val="tx1"/>
            </w14:solidFill>
          </w14:textFill>
        </w:rPr>
        <w:t>，占复垦总面积的</w:t>
      </w:r>
      <w:r>
        <w:rPr>
          <w:rFonts w:hint="eastAsia"/>
          <w:color w:val="000000" w:themeColor="text1"/>
          <w:sz w:val="28"/>
          <w:szCs w:val="28"/>
          <w:lang w:val="en-US" w:eastAsia="zh-CN"/>
          <w14:textFill>
            <w14:solidFill>
              <w14:schemeClr w14:val="tx1"/>
            </w14:solidFill>
          </w14:textFill>
        </w:rPr>
        <w:t>0.86</w:t>
      </w:r>
      <w:r>
        <w:rPr>
          <w:color w:val="000000" w:themeColor="text1"/>
          <w:sz w:val="28"/>
          <w:szCs w:val="28"/>
          <w14:textFill>
            <w14:solidFill>
              <w14:schemeClr w14:val="tx1"/>
            </w14:solidFill>
          </w14:textFill>
        </w:rPr>
        <w:t>%，复垦</w:t>
      </w:r>
      <w:r>
        <w:rPr>
          <w:rFonts w:hint="eastAsia"/>
          <w:color w:val="000000" w:themeColor="text1"/>
          <w:sz w:val="28"/>
          <w:szCs w:val="28"/>
          <w:lang w:val="en-US" w:eastAsia="zh-CN"/>
          <w14:textFill>
            <w14:solidFill>
              <w14:schemeClr w14:val="tx1"/>
            </w14:solidFill>
          </w14:textFill>
        </w:rPr>
        <w:t>乔木</w:t>
      </w:r>
      <w:r>
        <w:rPr>
          <w:color w:val="000000" w:themeColor="text1"/>
          <w:sz w:val="28"/>
          <w:szCs w:val="28"/>
          <w14:textFill>
            <w14:solidFill>
              <w14:schemeClr w14:val="tx1"/>
            </w14:solidFill>
          </w14:textFill>
        </w:rPr>
        <w:t>林地</w:t>
      </w:r>
      <w:r>
        <w:rPr>
          <w:rFonts w:hint="eastAsia"/>
          <w:color w:val="000000" w:themeColor="text1"/>
          <w:sz w:val="28"/>
          <w:szCs w:val="28"/>
          <w:lang w:val="en-US" w:eastAsia="zh-CN"/>
          <w14:textFill>
            <w14:solidFill>
              <w14:schemeClr w14:val="tx1"/>
            </w14:solidFill>
          </w14:textFill>
        </w:rPr>
        <w:t>0.5357h</w:t>
      </w:r>
      <w:r>
        <w:rPr>
          <w:color w:val="000000" w:themeColor="text1"/>
          <w:sz w:val="28"/>
          <w:szCs w:val="28"/>
          <w14:textFill>
            <w14:solidFill>
              <w14:schemeClr w14:val="tx1"/>
            </w14:solidFill>
          </w14:textFill>
        </w:rPr>
        <w:t>m</w:t>
      </w:r>
      <w:r>
        <w:rPr>
          <w:color w:val="000000" w:themeColor="text1"/>
          <w:sz w:val="28"/>
          <w:szCs w:val="28"/>
          <w:vertAlign w:val="superscript"/>
          <w14:textFill>
            <w14:solidFill>
              <w14:schemeClr w14:val="tx1"/>
            </w14:solidFill>
          </w14:textFill>
        </w:rPr>
        <w:t>2</w:t>
      </w:r>
      <w:r>
        <w:rPr>
          <w:color w:val="000000" w:themeColor="text1"/>
          <w:sz w:val="28"/>
          <w:szCs w:val="28"/>
          <w14:textFill>
            <w14:solidFill>
              <w14:schemeClr w14:val="tx1"/>
            </w14:solidFill>
          </w14:textFill>
        </w:rPr>
        <w:t>，占复垦总面积的</w:t>
      </w:r>
      <w:r>
        <w:rPr>
          <w:rFonts w:hint="eastAsia"/>
          <w:color w:val="000000" w:themeColor="text1"/>
          <w:sz w:val="28"/>
          <w:szCs w:val="28"/>
          <w:lang w:val="en-US" w:eastAsia="zh-CN"/>
          <w14:textFill>
            <w14:solidFill>
              <w14:schemeClr w14:val="tx1"/>
            </w14:solidFill>
          </w14:textFill>
        </w:rPr>
        <w:t>0.56</w:t>
      </w:r>
      <w:r>
        <w:rPr>
          <w:color w:val="000000" w:themeColor="text1"/>
          <w:sz w:val="28"/>
          <w:szCs w:val="28"/>
          <w14:textFill>
            <w14:solidFill>
              <w14:schemeClr w14:val="tx1"/>
            </w14:solidFill>
          </w14:textFill>
        </w:rPr>
        <w:t>%，复垦</w:t>
      </w:r>
      <w:r>
        <w:rPr>
          <w:rFonts w:hint="eastAsia"/>
          <w:color w:val="000000" w:themeColor="text1"/>
          <w:sz w:val="28"/>
          <w:szCs w:val="28"/>
          <w:lang w:val="en-US" w:eastAsia="zh-CN"/>
          <w14:textFill>
            <w14:solidFill>
              <w14:schemeClr w14:val="tx1"/>
            </w14:solidFill>
          </w14:textFill>
        </w:rPr>
        <w:t>人工牧草地10.0917h</w:t>
      </w:r>
      <w:r>
        <w:rPr>
          <w:color w:val="000000" w:themeColor="text1"/>
          <w:sz w:val="28"/>
          <w:szCs w:val="28"/>
          <w14:textFill>
            <w14:solidFill>
              <w14:schemeClr w14:val="tx1"/>
            </w14:solidFill>
          </w14:textFill>
        </w:rPr>
        <w:t>m</w:t>
      </w:r>
      <w:r>
        <w:rPr>
          <w:color w:val="000000" w:themeColor="text1"/>
          <w:sz w:val="28"/>
          <w:szCs w:val="28"/>
          <w:vertAlign w:val="superscript"/>
          <w14:textFill>
            <w14:solidFill>
              <w14:schemeClr w14:val="tx1"/>
            </w14:solidFill>
          </w14:textFill>
        </w:rPr>
        <w:t>2</w:t>
      </w:r>
      <w:r>
        <w:rPr>
          <w:color w:val="000000" w:themeColor="text1"/>
          <w:sz w:val="28"/>
          <w:szCs w:val="28"/>
          <w14:textFill>
            <w14:solidFill>
              <w14:schemeClr w14:val="tx1"/>
            </w14:solidFill>
          </w14:textFill>
        </w:rPr>
        <w:t>，占复垦总面积的</w:t>
      </w:r>
      <w:r>
        <w:rPr>
          <w:rFonts w:hint="eastAsia"/>
          <w:color w:val="000000" w:themeColor="text1"/>
          <w:sz w:val="28"/>
          <w:szCs w:val="28"/>
          <w:lang w:val="en-US" w:eastAsia="zh-CN"/>
          <w14:textFill>
            <w14:solidFill>
              <w14:schemeClr w14:val="tx1"/>
            </w14:solidFill>
          </w14:textFill>
        </w:rPr>
        <w:t>98.58</w:t>
      </w:r>
      <w:r>
        <w:rPr>
          <w:color w:val="000000" w:themeColor="text1"/>
          <w:sz w:val="28"/>
          <w:szCs w:val="28"/>
          <w14:textFill>
            <w14:solidFill>
              <w14:schemeClr w14:val="tx1"/>
            </w14:solidFill>
          </w14:textFill>
        </w:rPr>
        <w:t>%，（复垦单元复垦大地类结构调整见表3-</w:t>
      </w:r>
      <w:r>
        <w:rPr>
          <w:rFonts w:hint="eastAsia"/>
          <w:color w:val="000000" w:themeColor="text1"/>
          <w:sz w:val="28"/>
          <w:szCs w:val="28"/>
          <w:lang w:val="en-US" w:eastAsia="zh-CN"/>
          <w14:textFill>
            <w14:solidFill>
              <w14:schemeClr w14:val="tx1"/>
            </w14:solidFill>
          </w14:textFill>
        </w:rPr>
        <w:t>52</w:t>
      </w:r>
      <w:r>
        <w:rPr>
          <w:color w:val="000000" w:themeColor="text1"/>
          <w:sz w:val="28"/>
          <w:szCs w:val="28"/>
          <w14:textFill>
            <w14:solidFill>
              <w14:schemeClr w14:val="tx1"/>
            </w14:solidFill>
          </w14:textFill>
        </w:rPr>
        <w:t>）。</w:t>
      </w:r>
    </w:p>
    <w:p w14:paraId="1B987DE2">
      <w:pPr>
        <w:keepNext w:val="0"/>
        <w:keepLines w:val="0"/>
        <w:pageBreakBefore w:val="0"/>
        <w:widowControl w:val="0"/>
        <w:numPr>
          <w:ilvl w:val="0"/>
          <w:numId w:val="0"/>
        </w:numPr>
        <w:kinsoku/>
        <w:wordWrap/>
        <w:overflowPunct w:val="0"/>
        <w:topLinePunct/>
        <w:autoSpaceDE/>
        <w:autoSpaceDN/>
        <w:bidi w:val="0"/>
        <w:adjustRightInd/>
        <w:snapToGrid/>
        <w:spacing w:line="360" w:lineRule="auto"/>
        <w:ind w:left="0" w:leftChars="0" w:firstLine="0" w:firstLineChars="0"/>
        <w:jc w:val="center"/>
        <w:textAlignment w:val="auto"/>
        <w:rPr>
          <w:rFonts w:hint="eastAsia" w:ascii="黑体" w:hAnsi="黑体" w:eastAsia="黑体" w:cs="黑体"/>
          <w:b w:val="0"/>
          <w:bCs/>
          <w:color w:val="000000" w:themeColor="text1"/>
          <w:kern w:val="2"/>
          <w:sz w:val="24"/>
          <w:szCs w:val="24"/>
          <w:highlight w:val="none"/>
          <w:lang w:val="en-US" w:eastAsia="zh-CN" w:bidi="ar-SA"/>
          <w14:textFill>
            <w14:solidFill>
              <w14:schemeClr w14:val="tx1"/>
            </w14:solidFill>
          </w14:textFill>
        </w:rPr>
      </w:pPr>
      <w:r>
        <w:rPr>
          <w:rFonts w:hint="eastAsia" w:ascii="黑体" w:hAnsi="黑体" w:eastAsia="黑体" w:cs="黑体"/>
          <w:b w:val="0"/>
          <w:bCs/>
          <w:color w:val="000000" w:themeColor="text1"/>
          <w:kern w:val="2"/>
          <w:sz w:val="24"/>
          <w:szCs w:val="24"/>
          <w:highlight w:val="none"/>
          <w:lang w:val="en-US" w:eastAsia="zh-CN" w:bidi="ar-SA"/>
          <w14:textFill>
            <w14:solidFill>
              <w14:schemeClr w14:val="tx1"/>
            </w14:solidFill>
          </w14:textFill>
        </w:rPr>
        <w:t>表3-52  矿区生态修复目标及土地利用变化表</w:t>
      </w:r>
    </w:p>
    <w:tbl>
      <w:tblPr>
        <w:tblStyle w:val="30"/>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83"/>
        <w:gridCol w:w="1578"/>
        <w:gridCol w:w="730"/>
        <w:gridCol w:w="1317"/>
        <w:gridCol w:w="931"/>
        <w:gridCol w:w="1477"/>
        <w:gridCol w:w="1709"/>
      </w:tblGrid>
      <w:tr w14:paraId="413AA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384" w:type="pct"/>
            <w:gridSpan w:val="2"/>
            <w:tcBorders>
              <w:top w:val="single" w:color="000000" w:sz="4" w:space="0"/>
              <w:left w:val="single" w:color="000000" w:sz="4" w:space="0"/>
              <w:bottom w:val="single" w:color="000000" w:sz="4" w:space="0"/>
              <w:right w:val="single" w:color="000000" w:sz="4" w:space="0"/>
            </w:tcBorders>
            <w:noWrap/>
            <w:vAlign w:val="center"/>
          </w:tcPr>
          <w:p w14:paraId="40618F3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一级地类</w:t>
            </w:r>
          </w:p>
        </w:tc>
        <w:tc>
          <w:tcPr>
            <w:tcW w:w="1200" w:type="pct"/>
            <w:gridSpan w:val="2"/>
            <w:tcBorders>
              <w:top w:val="single" w:color="000000" w:sz="4" w:space="0"/>
              <w:left w:val="single" w:color="000000" w:sz="4" w:space="0"/>
              <w:bottom w:val="single" w:color="000000" w:sz="4" w:space="0"/>
              <w:right w:val="single" w:color="000000" w:sz="4" w:space="0"/>
            </w:tcBorders>
            <w:noWrap/>
            <w:vAlign w:val="center"/>
          </w:tcPr>
          <w:p w14:paraId="5E79C9B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二级地类</w:t>
            </w:r>
          </w:p>
        </w:tc>
        <w:tc>
          <w:tcPr>
            <w:tcW w:w="1412" w:type="pct"/>
            <w:gridSpan w:val="2"/>
            <w:tcBorders>
              <w:top w:val="single" w:color="000000" w:sz="4" w:space="0"/>
              <w:left w:val="single" w:color="000000" w:sz="4" w:space="0"/>
              <w:bottom w:val="single" w:color="000000" w:sz="4" w:space="0"/>
              <w:right w:val="single" w:color="000000" w:sz="4" w:space="0"/>
            </w:tcBorders>
            <w:noWrap/>
            <w:vAlign w:val="center"/>
          </w:tcPr>
          <w:p w14:paraId="2742F64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面积（hm</w:t>
            </w:r>
            <w:r>
              <w:rPr>
                <w:rFonts w:hint="default" w:ascii="Times New Roman" w:hAnsi="Times New Roman" w:eastAsia="宋体" w:cs="Times New Roman"/>
                <w:b w:val="0"/>
                <w:bCs w:val="0"/>
                <w:i w:val="0"/>
                <w:iCs w:val="0"/>
                <w:color w:val="000000" w:themeColor="text1"/>
                <w:kern w:val="0"/>
                <w:sz w:val="21"/>
                <w:szCs w:val="21"/>
                <w:highlight w:val="none"/>
                <w:u w:val="none"/>
                <w:vertAlign w:val="superscript"/>
                <w:lang w:val="en-US" w:eastAsia="zh-CN" w:bidi="ar"/>
                <w14:textFill>
                  <w14:solidFill>
                    <w14:schemeClr w14:val="tx1"/>
                  </w14:solidFill>
                </w14:textFill>
              </w:rPr>
              <w:t>2</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w:t>
            </w:r>
          </w:p>
        </w:tc>
        <w:tc>
          <w:tcPr>
            <w:tcW w:w="1002" w:type="pct"/>
            <w:vMerge w:val="restart"/>
            <w:tcBorders>
              <w:top w:val="single" w:color="000000" w:sz="4" w:space="0"/>
              <w:left w:val="single" w:color="000000" w:sz="4" w:space="0"/>
              <w:bottom w:val="single" w:color="000000" w:sz="4" w:space="0"/>
              <w:right w:val="single" w:color="000000" w:sz="4" w:space="0"/>
            </w:tcBorders>
            <w:noWrap/>
            <w:vAlign w:val="center"/>
          </w:tcPr>
          <w:p w14:paraId="266740F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面积增减（m</w:t>
            </w:r>
            <w:r>
              <w:rPr>
                <w:rFonts w:hint="default" w:ascii="Times New Roman" w:hAnsi="Times New Roman" w:eastAsia="宋体" w:cs="Times New Roman"/>
                <w:b w:val="0"/>
                <w:bCs w:val="0"/>
                <w:i w:val="0"/>
                <w:iCs w:val="0"/>
                <w:color w:val="000000" w:themeColor="text1"/>
                <w:kern w:val="0"/>
                <w:sz w:val="21"/>
                <w:szCs w:val="21"/>
                <w:highlight w:val="none"/>
                <w:u w:val="none"/>
                <w:vertAlign w:val="superscript"/>
                <w:lang w:val="en-US" w:eastAsia="zh-CN" w:bidi="ar"/>
                <w14:textFill>
                  <w14:solidFill>
                    <w14:schemeClr w14:val="tx1"/>
                  </w14:solidFill>
                </w14:textFill>
              </w:rPr>
              <w:t>2</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w:t>
            </w:r>
          </w:p>
        </w:tc>
      </w:tr>
      <w:tr w14:paraId="4F4FA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59" w:type="pct"/>
            <w:tcBorders>
              <w:top w:val="single" w:color="000000" w:sz="4" w:space="0"/>
              <w:left w:val="single" w:color="000000" w:sz="4" w:space="0"/>
              <w:bottom w:val="single" w:color="000000" w:sz="4" w:space="0"/>
              <w:right w:val="single" w:color="000000" w:sz="4" w:space="0"/>
            </w:tcBorders>
            <w:noWrap/>
            <w:vAlign w:val="center"/>
          </w:tcPr>
          <w:p w14:paraId="0AA8F1A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代码</w:t>
            </w:r>
          </w:p>
        </w:tc>
        <w:tc>
          <w:tcPr>
            <w:tcW w:w="924" w:type="pct"/>
            <w:tcBorders>
              <w:top w:val="single" w:color="000000" w:sz="4" w:space="0"/>
              <w:left w:val="single" w:color="000000" w:sz="4" w:space="0"/>
              <w:bottom w:val="single" w:color="000000" w:sz="4" w:space="0"/>
              <w:right w:val="single" w:color="000000" w:sz="4" w:space="0"/>
            </w:tcBorders>
            <w:noWrap/>
            <w:vAlign w:val="center"/>
          </w:tcPr>
          <w:p w14:paraId="217F936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地类</w:t>
            </w:r>
          </w:p>
        </w:tc>
        <w:tc>
          <w:tcPr>
            <w:tcW w:w="428" w:type="pct"/>
            <w:tcBorders>
              <w:top w:val="single" w:color="000000" w:sz="4" w:space="0"/>
              <w:left w:val="single" w:color="000000" w:sz="4" w:space="0"/>
              <w:bottom w:val="single" w:color="000000" w:sz="4" w:space="0"/>
              <w:right w:val="single" w:color="000000" w:sz="4" w:space="0"/>
            </w:tcBorders>
            <w:noWrap/>
            <w:vAlign w:val="center"/>
          </w:tcPr>
          <w:p w14:paraId="2767DA0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代码</w:t>
            </w:r>
          </w:p>
        </w:tc>
        <w:tc>
          <w:tcPr>
            <w:tcW w:w="771" w:type="pct"/>
            <w:tcBorders>
              <w:top w:val="single" w:color="000000" w:sz="4" w:space="0"/>
              <w:left w:val="single" w:color="000000" w:sz="4" w:space="0"/>
              <w:bottom w:val="single" w:color="000000" w:sz="4" w:space="0"/>
              <w:right w:val="single" w:color="000000" w:sz="4" w:space="0"/>
            </w:tcBorders>
            <w:noWrap/>
            <w:vAlign w:val="center"/>
          </w:tcPr>
          <w:p w14:paraId="13BE9C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地类</w:t>
            </w:r>
          </w:p>
        </w:tc>
        <w:tc>
          <w:tcPr>
            <w:tcW w:w="546" w:type="pct"/>
            <w:tcBorders>
              <w:top w:val="single" w:color="000000" w:sz="4" w:space="0"/>
              <w:left w:val="single" w:color="000000" w:sz="4" w:space="0"/>
              <w:bottom w:val="single" w:color="000000" w:sz="4" w:space="0"/>
              <w:right w:val="single" w:color="000000" w:sz="4" w:space="0"/>
            </w:tcBorders>
            <w:noWrap/>
            <w:vAlign w:val="center"/>
          </w:tcPr>
          <w:p w14:paraId="1FDFCBF3">
            <w:pPr>
              <w:keepNext w:val="0"/>
              <w:keepLines w:val="0"/>
              <w:pageBreakBefore w:val="0"/>
              <w:widowControl w:val="0"/>
              <w:numPr>
                <w:ilvl w:val="0"/>
                <w:numId w:val="0"/>
              </w:numPr>
              <w:suppressLineNumbers w:val="0"/>
              <w:kinsoku/>
              <w:wordWrap/>
              <w:overflowPunct w:val="0"/>
              <w:topLinePunct/>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损毁前</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1F7BBA1F">
            <w:pPr>
              <w:keepNext w:val="0"/>
              <w:keepLines w:val="0"/>
              <w:pageBreakBefore w:val="0"/>
              <w:widowControl w:val="0"/>
              <w:numPr>
                <w:ilvl w:val="0"/>
                <w:numId w:val="0"/>
              </w:numPr>
              <w:suppressLineNumbers w:val="0"/>
              <w:kinsoku/>
              <w:wordWrap/>
              <w:overflowPunct w:val="0"/>
              <w:topLinePunct/>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生态修复目标</w:t>
            </w:r>
          </w:p>
        </w:tc>
        <w:tc>
          <w:tcPr>
            <w:tcW w:w="1002" w:type="pct"/>
            <w:vMerge w:val="continue"/>
            <w:tcBorders>
              <w:top w:val="single" w:color="000000" w:sz="4" w:space="0"/>
              <w:left w:val="single" w:color="000000" w:sz="4" w:space="0"/>
              <w:bottom w:val="single" w:color="000000" w:sz="4" w:space="0"/>
              <w:right w:val="single" w:color="000000" w:sz="4" w:space="0"/>
            </w:tcBorders>
            <w:noWrap/>
            <w:vAlign w:val="center"/>
          </w:tcPr>
          <w:p w14:paraId="350FAD4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p>
        </w:tc>
      </w:tr>
      <w:tr w14:paraId="76570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59" w:type="pct"/>
            <w:tcBorders>
              <w:top w:val="single" w:color="000000" w:sz="4" w:space="0"/>
              <w:left w:val="single" w:color="000000" w:sz="4" w:space="0"/>
              <w:bottom w:val="single" w:color="000000" w:sz="4" w:space="0"/>
              <w:right w:val="single" w:color="000000" w:sz="4" w:space="0"/>
            </w:tcBorders>
            <w:noWrap/>
            <w:vAlign w:val="center"/>
          </w:tcPr>
          <w:p w14:paraId="6B9620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01</w:t>
            </w:r>
          </w:p>
        </w:tc>
        <w:tc>
          <w:tcPr>
            <w:tcW w:w="924" w:type="pct"/>
            <w:tcBorders>
              <w:top w:val="single" w:color="000000" w:sz="4" w:space="0"/>
              <w:left w:val="single" w:color="000000" w:sz="4" w:space="0"/>
              <w:bottom w:val="single" w:color="000000" w:sz="4" w:space="0"/>
              <w:right w:val="single" w:color="000000" w:sz="4" w:space="0"/>
            </w:tcBorders>
            <w:noWrap/>
            <w:vAlign w:val="center"/>
          </w:tcPr>
          <w:p w14:paraId="194C119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耕地</w:t>
            </w:r>
          </w:p>
        </w:tc>
        <w:tc>
          <w:tcPr>
            <w:tcW w:w="428" w:type="pct"/>
            <w:tcBorders>
              <w:top w:val="single" w:color="000000" w:sz="4" w:space="0"/>
              <w:left w:val="single" w:color="000000" w:sz="4" w:space="0"/>
              <w:bottom w:val="single" w:color="000000" w:sz="4" w:space="0"/>
              <w:right w:val="single" w:color="000000" w:sz="4" w:space="0"/>
            </w:tcBorders>
            <w:noWrap/>
            <w:vAlign w:val="center"/>
          </w:tcPr>
          <w:p w14:paraId="3881E91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0102</w:t>
            </w:r>
          </w:p>
        </w:tc>
        <w:tc>
          <w:tcPr>
            <w:tcW w:w="771" w:type="pct"/>
            <w:tcBorders>
              <w:top w:val="single" w:color="000000" w:sz="4" w:space="0"/>
              <w:left w:val="single" w:color="000000" w:sz="4" w:space="0"/>
              <w:bottom w:val="single" w:color="000000" w:sz="4" w:space="0"/>
              <w:right w:val="single" w:color="000000" w:sz="4" w:space="0"/>
            </w:tcBorders>
            <w:noWrap/>
            <w:vAlign w:val="center"/>
          </w:tcPr>
          <w:p w14:paraId="783F3BD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水浇地</w:t>
            </w:r>
          </w:p>
        </w:tc>
        <w:tc>
          <w:tcPr>
            <w:tcW w:w="5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EA8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0.0926</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F61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2"/>
                <w:sz w:val="21"/>
                <w:szCs w:val="21"/>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0.0926</w:t>
            </w:r>
          </w:p>
        </w:tc>
        <w:tc>
          <w:tcPr>
            <w:tcW w:w="1002" w:type="pct"/>
            <w:tcBorders>
              <w:top w:val="single" w:color="000000" w:sz="4" w:space="0"/>
              <w:left w:val="single" w:color="000000" w:sz="4" w:space="0"/>
              <w:bottom w:val="single" w:color="000000" w:sz="4" w:space="0"/>
              <w:right w:val="single" w:color="000000" w:sz="4" w:space="0"/>
            </w:tcBorders>
            <w:noWrap/>
            <w:vAlign w:val="center"/>
          </w:tcPr>
          <w:p w14:paraId="5614B81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t>0</w:t>
            </w:r>
          </w:p>
        </w:tc>
      </w:tr>
      <w:tr w14:paraId="3BC6A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59" w:type="pct"/>
            <w:tcBorders>
              <w:top w:val="single" w:color="000000" w:sz="4" w:space="0"/>
              <w:left w:val="single" w:color="000000" w:sz="4" w:space="0"/>
              <w:right w:val="single" w:color="000000" w:sz="4" w:space="0"/>
            </w:tcBorders>
            <w:noWrap/>
            <w:vAlign w:val="center"/>
          </w:tcPr>
          <w:p w14:paraId="60EC659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03</w:t>
            </w:r>
          </w:p>
        </w:tc>
        <w:tc>
          <w:tcPr>
            <w:tcW w:w="924" w:type="pct"/>
            <w:tcBorders>
              <w:top w:val="single" w:color="000000" w:sz="4" w:space="0"/>
              <w:left w:val="single" w:color="000000" w:sz="4" w:space="0"/>
              <w:right w:val="single" w:color="000000" w:sz="4" w:space="0"/>
            </w:tcBorders>
            <w:noWrap/>
            <w:vAlign w:val="center"/>
          </w:tcPr>
          <w:p w14:paraId="2FB41A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林地</w:t>
            </w:r>
          </w:p>
        </w:tc>
        <w:tc>
          <w:tcPr>
            <w:tcW w:w="428" w:type="pct"/>
            <w:tcBorders>
              <w:top w:val="single" w:color="000000" w:sz="4" w:space="0"/>
              <w:left w:val="single" w:color="000000" w:sz="4" w:space="0"/>
              <w:bottom w:val="single" w:color="000000" w:sz="4" w:space="0"/>
              <w:right w:val="single" w:color="000000" w:sz="4" w:space="0"/>
            </w:tcBorders>
            <w:noWrap/>
            <w:vAlign w:val="center"/>
          </w:tcPr>
          <w:p w14:paraId="4BD331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0301</w:t>
            </w:r>
          </w:p>
        </w:tc>
        <w:tc>
          <w:tcPr>
            <w:tcW w:w="771" w:type="pct"/>
            <w:tcBorders>
              <w:top w:val="single" w:color="000000" w:sz="4" w:space="0"/>
              <w:left w:val="single" w:color="000000" w:sz="4" w:space="0"/>
              <w:bottom w:val="single" w:color="000000" w:sz="4" w:space="0"/>
              <w:right w:val="single" w:color="000000" w:sz="4" w:space="0"/>
            </w:tcBorders>
            <w:noWrap/>
            <w:vAlign w:val="center"/>
          </w:tcPr>
          <w:p w14:paraId="0E1B46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乔木林地</w:t>
            </w:r>
          </w:p>
        </w:tc>
        <w:tc>
          <w:tcPr>
            <w:tcW w:w="546" w:type="pct"/>
            <w:tcBorders>
              <w:top w:val="single" w:color="000000" w:sz="4" w:space="0"/>
              <w:left w:val="single" w:color="000000" w:sz="4" w:space="0"/>
              <w:bottom w:val="single" w:color="000000" w:sz="4" w:space="0"/>
              <w:right w:val="single" w:color="000000" w:sz="4" w:space="0"/>
            </w:tcBorders>
            <w:noWrap/>
            <w:vAlign w:val="center"/>
          </w:tcPr>
          <w:p w14:paraId="3DC4890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t>0.5383</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459E6D4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t>0.5357</w:t>
            </w:r>
          </w:p>
        </w:tc>
        <w:tc>
          <w:tcPr>
            <w:tcW w:w="1002" w:type="pct"/>
            <w:tcBorders>
              <w:top w:val="single" w:color="000000" w:sz="4" w:space="0"/>
              <w:left w:val="single" w:color="000000" w:sz="4" w:space="0"/>
              <w:bottom w:val="single" w:color="000000" w:sz="4" w:space="0"/>
              <w:right w:val="single" w:color="000000" w:sz="4" w:space="0"/>
            </w:tcBorders>
            <w:noWrap/>
            <w:vAlign w:val="center"/>
          </w:tcPr>
          <w:p w14:paraId="548591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t>-0.0026</w:t>
            </w:r>
          </w:p>
        </w:tc>
      </w:tr>
      <w:tr w14:paraId="1FB5A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59" w:type="pct"/>
            <w:tcBorders>
              <w:top w:val="single" w:color="000000" w:sz="4" w:space="0"/>
              <w:left w:val="single" w:color="000000" w:sz="4" w:space="0"/>
              <w:right w:val="single" w:color="000000" w:sz="4" w:space="0"/>
            </w:tcBorders>
            <w:noWrap/>
            <w:vAlign w:val="center"/>
          </w:tcPr>
          <w:p w14:paraId="51DA3C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04</w:t>
            </w:r>
          </w:p>
        </w:tc>
        <w:tc>
          <w:tcPr>
            <w:tcW w:w="924" w:type="pct"/>
            <w:tcBorders>
              <w:top w:val="single" w:color="000000" w:sz="4" w:space="0"/>
              <w:left w:val="single" w:color="000000" w:sz="4" w:space="0"/>
              <w:right w:val="single" w:color="000000" w:sz="4" w:space="0"/>
            </w:tcBorders>
            <w:noWrap/>
            <w:vAlign w:val="center"/>
          </w:tcPr>
          <w:p w14:paraId="6C3427C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草地</w:t>
            </w:r>
          </w:p>
        </w:tc>
        <w:tc>
          <w:tcPr>
            <w:tcW w:w="428" w:type="pct"/>
            <w:tcBorders>
              <w:top w:val="single" w:color="000000" w:sz="4" w:space="0"/>
              <w:left w:val="single" w:color="000000" w:sz="4" w:space="0"/>
              <w:bottom w:val="single" w:color="000000" w:sz="4" w:space="0"/>
              <w:right w:val="single" w:color="000000" w:sz="4" w:space="0"/>
            </w:tcBorders>
            <w:noWrap/>
            <w:vAlign w:val="center"/>
          </w:tcPr>
          <w:p w14:paraId="0488CAE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0401</w:t>
            </w:r>
          </w:p>
        </w:tc>
        <w:tc>
          <w:tcPr>
            <w:tcW w:w="771" w:type="pct"/>
            <w:tcBorders>
              <w:top w:val="single" w:color="000000" w:sz="4" w:space="0"/>
              <w:left w:val="single" w:color="000000" w:sz="4" w:space="0"/>
              <w:bottom w:val="single" w:color="000000" w:sz="4" w:space="0"/>
              <w:right w:val="single" w:color="000000" w:sz="4" w:space="0"/>
            </w:tcBorders>
            <w:noWrap/>
            <w:vAlign w:val="center"/>
          </w:tcPr>
          <w:p w14:paraId="1651543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人工牧草地</w:t>
            </w:r>
          </w:p>
        </w:tc>
        <w:tc>
          <w:tcPr>
            <w:tcW w:w="546" w:type="pct"/>
            <w:tcBorders>
              <w:top w:val="single" w:color="000000" w:sz="4" w:space="0"/>
              <w:left w:val="single" w:color="000000" w:sz="4" w:space="0"/>
              <w:bottom w:val="single" w:color="000000" w:sz="4" w:space="0"/>
              <w:right w:val="single" w:color="000000" w:sz="4" w:space="0"/>
            </w:tcBorders>
            <w:noWrap/>
            <w:vAlign w:val="center"/>
          </w:tcPr>
          <w:p w14:paraId="24682B2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t>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74893AD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t>10.0917</w:t>
            </w:r>
          </w:p>
        </w:tc>
        <w:tc>
          <w:tcPr>
            <w:tcW w:w="1002" w:type="pct"/>
            <w:tcBorders>
              <w:top w:val="single" w:color="000000" w:sz="4" w:space="0"/>
              <w:left w:val="single" w:color="000000" w:sz="4" w:space="0"/>
              <w:bottom w:val="single" w:color="000000" w:sz="4" w:space="0"/>
              <w:right w:val="single" w:color="000000" w:sz="4" w:space="0"/>
            </w:tcBorders>
            <w:noWrap/>
            <w:vAlign w:val="center"/>
          </w:tcPr>
          <w:p w14:paraId="69FEEA5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t>+10.0917</w:t>
            </w:r>
          </w:p>
        </w:tc>
      </w:tr>
      <w:tr w14:paraId="76F21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59" w:type="pct"/>
            <w:tcBorders>
              <w:top w:val="single" w:color="000000" w:sz="4" w:space="0"/>
              <w:left w:val="single" w:color="000000" w:sz="4" w:space="0"/>
              <w:bottom w:val="single" w:color="000000" w:sz="4" w:space="0"/>
              <w:right w:val="single" w:color="000000" w:sz="4" w:space="0"/>
            </w:tcBorders>
            <w:noWrap/>
            <w:vAlign w:val="center"/>
          </w:tcPr>
          <w:p w14:paraId="7AEDA20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06</w:t>
            </w:r>
          </w:p>
        </w:tc>
        <w:tc>
          <w:tcPr>
            <w:tcW w:w="924" w:type="pct"/>
            <w:tcBorders>
              <w:top w:val="single" w:color="000000" w:sz="4" w:space="0"/>
              <w:left w:val="single" w:color="000000" w:sz="4" w:space="0"/>
              <w:bottom w:val="single" w:color="000000" w:sz="4" w:space="0"/>
              <w:right w:val="single" w:color="000000" w:sz="4" w:space="0"/>
            </w:tcBorders>
            <w:noWrap/>
            <w:vAlign w:val="center"/>
          </w:tcPr>
          <w:p w14:paraId="29B948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工矿用地</w:t>
            </w:r>
          </w:p>
        </w:tc>
        <w:tc>
          <w:tcPr>
            <w:tcW w:w="428" w:type="pct"/>
            <w:tcBorders>
              <w:top w:val="single" w:color="000000" w:sz="4" w:space="0"/>
              <w:left w:val="single" w:color="000000" w:sz="4" w:space="0"/>
              <w:bottom w:val="single" w:color="000000" w:sz="4" w:space="0"/>
              <w:right w:val="single" w:color="000000" w:sz="4" w:space="0"/>
            </w:tcBorders>
            <w:noWrap/>
            <w:vAlign w:val="center"/>
          </w:tcPr>
          <w:p w14:paraId="6324D7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0602</w:t>
            </w:r>
          </w:p>
        </w:tc>
        <w:tc>
          <w:tcPr>
            <w:tcW w:w="771" w:type="pct"/>
            <w:tcBorders>
              <w:top w:val="single" w:color="000000" w:sz="4" w:space="0"/>
              <w:left w:val="single" w:color="000000" w:sz="4" w:space="0"/>
              <w:bottom w:val="single" w:color="000000" w:sz="4" w:space="0"/>
              <w:right w:val="single" w:color="000000" w:sz="4" w:space="0"/>
            </w:tcBorders>
            <w:noWrap/>
            <w:vAlign w:val="center"/>
          </w:tcPr>
          <w:p w14:paraId="48788F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采矿用地</w:t>
            </w:r>
          </w:p>
        </w:tc>
        <w:tc>
          <w:tcPr>
            <w:tcW w:w="546" w:type="pct"/>
            <w:tcBorders>
              <w:top w:val="single" w:color="000000" w:sz="4" w:space="0"/>
              <w:left w:val="single" w:color="000000" w:sz="4" w:space="0"/>
              <w:bottom w:val="single" w:color="000000" w:sz="4" w:space="0"/>
              <w:right w:val="single" w:color="000000" w:sz="4" w:space="0"/>
            </w:tcBorders>
            <w:noWrap/>
            <w:vAlign w:val="center"/>
          </w:tcPr>
          <w:p w14:paraId="535BCE6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10.0670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4E40D6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0</w:t>
            </w:r>
          </w:p>
        </w:tc>
        <w:tc>
          <w:tcPr>
            <w:tcW w:w="1002" w:type="pct"/>
            <w:tcBorders>
              <w:top w:val="single" w:color="000000" w:sz="4" w:space="0"/>
              <w:left w:val="single" w:color="000000" w:sz="4" w:space="0"/>
              <w:bottom w:val="single" w:color="000000" w:sz="4" w:space="0"/>
              <w:right w:val="single" w:color="000000" w:sz="4" w:space="0"/>
            </w:tcBorders>
            <w:noWrap/>
            <w:vAlign w:val="center"/>
          </w:tcPr>
          <w:p w14:paraId="572B24F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-10.0670</w:t>
            </w:r>
          </w:p>
        </w:tc>
      </w:tr>
      <w:tr w14:paraId="0F92F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59" w:type="pct"/>
            <w:tcBorders>
              <w:top w:val="single" w:color="000000" w:sz="4" w:space="0"/>
              <w:left w:val="single" w:color="000000" w:sz="4" w:space="0"/>
              <w:bottom w:val="single" w:color="000000" w:sz="4" w:space="0"/>
              <w:right w:val="single" w:color="000000" w:sz="4" w:space="0"/>
            </w:tcBorders>
            <w:noWrap/>
            <w:vAlign w:val="center"/>
          </w:tcPr>
          <w:p w14:paraId="239AFB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w:t>
            </w:r>
          </w:p>
        </w:tc>
        <w:tc>
          <w:tcPr>
            <w:tcW w:w="924" w:type="pct"/>
            <w:tcBorders>
              <w:top w:val="single" w:color="000000" w:sz="4" w:space="0"/>
              <w:left w:val="single" w:color="000000" w:sz="4" w:space="0"/>
              <w:bottom w:val="single" w:color="000000" w:sz="4" w:space="0"/>
              <w:right w:val="single" w:color="000000" w:sz="4" w:space="0"/>
            </w:tcBorders>
            <w:noWrap/>
            <w:vAlign w:val="center"/>
          </w:tcPr>
          <w:p w14:paraId="5BEDE2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交通运输用地</w:t>
            </w:r>
          </w:p>
        </w:tc>
        <w:tc>
          <w:tcPr>
            <w:tcW w:w="428" w:type="pct"/>
            <w:tcBorders>
              <w:top w:val="single" w:color="000000" w:sz="4" w:space="0"/>
              <w:left w:val="single" w:color="000000" w:sz="4" w:space="0"/>
              <w:bottom w:val="single" w:color="000000" w:sz="4" w:space="0"/>
              <w:right w:val="single" w:color="000000" w:sz="4" w:space="0"/>
            </w:tcBorders>
            <w:noWrap/>
            <w:vAlign w:val="center"/>
          </w:tcPr>
          <w:p w14:paraId="7E2CE7E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1006</w:t>
            </w:r>
          </w:p>
        </w:tc>
        <w:tc>
          <w:tcPr>
            <w:tcW w:w="771" w:type="pct"/>
            <w:tcBorders>
              <w:top w:val="single" w:color="000000" w:sz="4" w:space="0"/>
              <w:left w:val="single" w:color="000000" w:sz="4" w:space="0"/>
              <w:bottom w:val="single" w:color="000000" w:sz="4" w:space="0"/>
              <w:right w:val="single" w:color="000000" w:sz="4" w:space="0"/>
            </w:tcBorders>
            <w:noWrap/>
            <w:vAlign w:val="center"/>
          </w:tcPr>
          <w:p w14:paraId="7BF402A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农村道路</w:t>
            </w:r>
          </w:p>
        </w:tc>
        <w:tc>
          <w:tcPr>
            <w:tcW w:w="546" w:type="pct"/>
            <w:tcBorders>
              <w:top w:val="single" w:color="000000" w:sz="4" w:space="0"/>
              <w:left w:val="single" w:color="000000" w:sz="4" w:space="0"/>
              <w:bottom w:val="single" w:color="000000" w:sz="4" w:space="0"/>
              <w:right w:val="single" w:color="000000" w:sz="4" w:space="0"/>
            </w:tcBorders>
            <w:noWrap/>
            <w:vAlign w:val="center"/>
          </w:tcPr>
          <w:p w14:paraId="0CFD478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0.0221</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531CE24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0</w:t>
            </w:r>
          </w:p>
        </w:tc>
        <w:tc>
          <w:tcPr>
            <w:tcW w:w="1002" w:type="pct"/>
            <w:tcBorders>
              <w:top w:val="single" w:color="000000" w:sz="4" w:space="0"/>
              <w:left w:val="single" w:color="000000" w:sz="4" w:space="0"/>
              <w:bottom w:val="single" w:color="000000" w:sz="4" w:space="0"/>
              <w:right w:val="single" w:color="000000" w:sz="4" w:space="0"/>
            </w:tcBorders>
            <w:noWrap/>
            <w:vAlign w:val="center"/>
          </w:tcPr>
          <w:p w14:paraId="3C75746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-0.0221</w:t>
            </w:r>
          </w:p>
        </w:tc>
      </w:tr>
      <w:tr w14:paraId="77508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59" w:type="pct"/>
            <w:tcBorders>
              <w:top w:val="single" w:color="000000" w:sz="4" w:space="0"/>
              <w:left w:val="single" w:color="000000" w:sz="4" w:space="0"/>
              <w:bottom w:val="single" w:color="000000" w:sz="4" w:space="0"/>
              <w:right w:val="single" w:color="000000" w:sz="4" w:space="0"/>
            </w:tcBorders>
            <w:noWrap/>
            <w:vAlign w:val="center"/>
          </w:tcPr>
          <w:p w14:paraId="58D0EB4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合计</w:t>
            </w:r>
          </w:p>
        </w:tc>
        <w:tc>
          <w:tcPr>
            <w:tcW w:w="924" w:type="pct"/>
            <w:tcBorders>
              <w:top w:val="single" w:color="000000" w:sz="4" w:space="0"/>
              <w:left w:val="single" w:color="000000" w:sz="4" w:space="0"/>
              <w:bottom w:val="single" w:color="000000" w:sz="4" w:space="0"/>
              <w:right w:val="single" w:color="000000" w:sz="4" w:space="0"/>
            </w:tcBorders>
            <w:noWrap/>
            <w:vAlign w:val="center"/>
          </w:tcPr>
          <w:p w14:paraId="020D384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w:t>
            </w:r>
          </w:p>
        </w:tc>
        <w:tc>
          <w:tcPr>
            <w:tcW w:w="428" w:type="pct"/>
            <w:tcBorders>
              <w:top w:val="single" w:color="000000" w:sz="4" w:space="0"/>
              <w:left w:val="single" w:color="000000" w:sz="4" w:space="0"/>
              <w:bottom w:val="single" w:color="000000" w:sz="4" w:space="0"/>
              <w:right w:val="single" w:color="000000" w:sz="4" w:space="0"/>
            </w:tcBorders>
            <w:noWrap/>
            <w:vAlign w:val="center"/>
          </w:tcPr>
          <w:p w14:paraId="14FF608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w:t>
            </w:r>
          </w:p>
        </w:tc>
        <w:tc>
          <w:tcPr>
            <w:tcW w:w="771" w:type="pct"/>
            <w:tcBorders>
              <w:top w:val="single" w:color="000000" w:sz="4" w:space="0"/>
              <w:left w:val="single" w:color="000000" w:sz="4" w:space="0"/>
              <w:bottom w:val="single" w:color="000000" w:sz="4" w:space="0"/>
              <w:right w:val="single" w:color="000000" w:sz="4" w:space="0"/>
            </w:tcBorders>
            <w:noWrap/>
            <w:vAlign w:val="center"/>
          </w:tcPr>
          <w:p w14:paraId="1E4B0DD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w:t>
            </w:r>
          </w:p>
        </w:tc>
        <w:tc>
          <w:tcPr>
            <w:tcW w:w="546" w:type="pct"/>
            <w:tcBorders>
              <w:top w:val="single" w:color="000000" w:sz="4" w:space="0"/>
              <w:left w:val="single" w:color="000000" w:sz="4" w:space="0"/>
              <w:bottom w:val="single" w:color="000000" w:sz="4" w:space="0"/>
              <w:right w:val="single" w:color="000000" w:sz="4" w:space="0"/>
            </w:tcBorders>
            <w:noWrap/>
            <w:vAlign w:val="center"/>
          </w:tcPr>
          <w:p w14:paraId="226C0D4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sz w:val="21"/>
                <w:szCs w:val="21"/>
                <w:highlight w:val="none"/>
                <w:u w:val="none"/>
                <w:lang w:val="en-US" w:eastAsia="zh-CN"/>
                <w14:textFill>
                  <w14:solidFill>
                    <w14:schemeClr w14:val="tx1"/>
                  </w14:solidFill>
                </w14:textFill>
              </w:rPr>
              <w:t>10.72</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3369F4D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sz w:val="21"/>
                <w:szCs w:val="21"/>
                <w:highlight w:val="none"/>
                <w:u w:val="none"/>
                <w:lang w:val="en-US" w:eastAsia="zh-CN"/>
                <w14:textFill>
                  <w14:solidFill>
                    <w14:schemeClr w14:val="tx1"/>
                  </w14:solidFill>
                </w14:textFill>
              </w:rPr>
              <w:t>10.72</w:t>
            </w:r>
          </w:p>
        </w:tc>
        <w:tc>
          <w:tcPr>
            <w:tcW w:w="1002" w:type="pct"/>
            <w:tcBorders>
              <w:top w:val="single" w:color="000000" w:sz="4" w:space="0"/>
              <w:left w:val="single" w:color="000000" w:sz="4" w:space="0"/>
              <w:bottom w:val="single" w:color="000000" w:sz="4" w:space="0"/>
              <w:right w:val="single" w:color="000000" w:sz="4" w:space="0"/>
            </w:tcBorders>
            <w:noWrap/>
            <w:vAlign w:val="center"/>
          </w:tcPr>
          <w:p w14:paraId="520501D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color w:val="000000" w:themeColor="text1"/>
                <w:sz w:val="21"/>
                <w:szCs w:val="21"/>
                <w:highlight w:val="none"/>
                <w:u w:val="none"/>
                <w:lang w:val="en-US" w:eastAsia="zh-CN"/>
                <w14:textFill>
                  <w14:solidFill>
                    <w14:schemeClr w14:val="tx1"/>
                  </w14:solidFill>
                </w14:textFill>
              </w:rPr>
              <w:t>0</w:t>
            </w:r>
          </w:p>
        </w:tc>
      </w:tr>
    </w:tbl>
    <w:p w14:paraId="30AEF8A5">
      <w:pPr>
        <w:pStyle w:val="64"/>
        <w:spacing w:line="360" w:lineRule="auto"/>
        <w:ind w:firstLine="562"/>
        <w:rPr>
          <w:rFonts w:hint="eastAsia" w:ascii="宋体" w:hAnsi="宋体" w:eastAsia="宋体" w:cs="宋体"/>
          <w:b w:val="0"/>
          <w:bCs w:val="0"/>
          <w:color w:val="000000" w:themeColor="text1"/>
          <w:sz w:val="24"/>
          <w:szCs w:val="24"/>
          <w:lang w:val="en-US"/>
          <w14:textFill>
            <w14:solidFill>
              <w14:schemeClr w14:val="tx1"/>
            </w14:solidFill>
          </w14:textFill>
        </w:rPr>
      </w:pPr>
    </w:p>
    <w:p w14:paraId="19843498">
      <w:pPr>
        <w:pStyle w:val="64"/>
        <w:spacing w:line="360" w:lineRule="auto"/>
        <w:ind w:firstLine="562"/>
        <w:rPr>
          <w:rFonts w:hint="eastAsia" w:ascii="宋体" w:hAnsi="宋体" w:eastAsia="宋体" w:cs="宋体"/>
          <w:b/>
          <w:color w:val="000000" w:themeColor="text1"/>
          <w:sz w:val="24"/>
          <w:szCs w:val="24"/>
          <w:lang w:val="en-US"/>
          <w14:textFill>
            <w14:solidFill>
              <w14:schemeClr w14:val="tx1"/>
            </w14:solidFill>
          </w14:textFill>
        </w:rPr>
        <w:sectPr>
          <w:headerReference r:id="rId25" w:type="default"/>
          <w:pgSz w:w="11906" w:h="16838"/>
          <w:pgMar w:top="1219" w:right="1797" w:bottom="1440" w:left="1797" w:header="851" w:footer="992" w:gutter="0"/>
          <w:pgNumType w:fmt="decimal"/>
          <w:cols w:space="720" w:num="1"/>
          <w:docGrid w:linePitch="312" w:charSpace="0"/>
        </w:sectPr>
      </w:pPr>
    </w:p>
    <w:p w14:paraId="1440229D">
      <w:pPr>
        <w:pStyle w:val="5"/>
        <w:bidi w:val="0"/>
        <w:spacing w:line="360" w:lineRule="auto"/>
        <w:ind w:firstLine="562" w:firstLineChars="200"/>
        <w:rPr>
          <w:rFonts w:hint="default"/>
          <w:b/>
          <w:bCs/>
          <w:color w:val="000000" w:themeColor="text1"/>
          <w:sz w:val="28"/>
          <w:szCs w:val="24"/>
          <w:lang w:val="en-US" w:eastAsia="zh-CN"/>
          <w14:textFill>
            <w14:solidFill>
              <w14:schemeClr w14:val="tx1"/>
            </w14:solidFill>
          </w14:textFill>
        </w:rPr>
      </w:pPr>
      <w:r>
        <w:rPr>
          <w:rFonts w:hint="default"/>
          <w:b/>
          <w:bCs/>
          <w:color w:val="000000" w:themeColor="text1"/>
          <w:sz w:val="28"/>
          <w:szCs w:val="24"/>
          <w:lang w:val="en-US" w:eastAsia="zh-CN"/>
          <w14:textFill>
            <w14:solidFill>
              <w14:schemeClr w14:val="tx1"/>
            </w14:solidFill>
          </w14:textFill>
        </w:rPr>
        <w:t>二、复垦修复存量采矿用地</w:t>
      </w:r>
    </w:p>
    <w:p w14:paraId="5EB2ADC1">
      <w:pPr>
        <w:numPr>
          <w:ilvl w:val="0"/>
          <w:numId w:val="0"/>
        </w:numPr>
        <w:kinsoku/>
        <w:wordWrap/>
        <w:overflowPunct w:val="0"/>
        <w:topLinePunct/>
        <w:bidi w:val="0"/>
        <w:spacing w:line="360" w:lineRule="auto"/>
        <w:ind w:left="0" w:leftChars="0" w:firstLine="560" w:firstLineChars="200"/>
        <w:rPr>
          <w:rFonts w:hint="default" w:ascii="Times New Roman" w:hAnsi="Times New Roman" w:eastAsia="宋体" w:cs="Times New Roman"/>
          <w:b w:val="0"/>
          <w:bCs/>
          <w:color w:val="000000" w:themeColor="text1"/>
          <w:kern w:val="2"/>
          <w:sz w:val="28"/>
          <w:szCs w:val="28"/>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8"/>
          <w:szCs w:val="28"/>
          <w:highlight w:val="none"/>
          <w:lang w:val="en-US" w:eastAsia="zh-CN" w:bidi="ar-SA"/>
          <w14:textFill>
            <w14:solidFill>
              <w14:schemeClr w14:val="tx1"/>
            </w14:solidFill>
          </w14:textFill>
        </w:rPr>
        <w:t>本矿山无存量采矿用地，不涉及新增用地与复垦修复存量采矿用地挂钩事宜。后续若涉及相关挂钩工作，将严格按照国家及地方相关规定，明确挂钩存量采矿用地的范围、地类、面积及腾退指标使用计划，并另行报批。</w:t>
      </w:r>
    </w:p>
    <w:p w14:paraId="6A158150">
      <w:pPr>
        <w:pStyle w:val="5"/>
        <w:bidi w:val="0"/>
        <w:spacing w:line="360" w:lineRule="auto"/>
        <w:ind w:firstLine="562" w:firstLineChars="200"/>
        <w:rPr>
          <w:rFonts w:hint="default"/>
          <w:b/>
          <w:bCs/>
          <w:color w:val="000000" w:themeColor="text1"/>
          <w:sz w:val="28"/>
          <w:szCs w:val="24"/>
          <w:lang w:val="en-US" w:eastAsia="zh-CN"/>
          <w14:textFill>
            <w14:solidFill>
              <w14:schemeClr w14:val="tx1"/>
            </w14:solidFill>
          </w14:textFill>
        </w:rPr>
      </w:pPr>
      <w:r>
        <w:rPr>
          <w:rFonts w:hint="default"/>
          <w:b/>
          <w:bCs/>
          <w:color w:val="000000" w:themeColor="text1"/>
          <w:sz w:val="28"/>
          <w:szCs w:val="24"/>
          <w:lang w:val="en-US" w:eastAsia="zh-CN"/>
          <w14:textFill>
            <w14:solidFill>
              <w14:schemeClr w14:val="tx1"/>
            </w14:solidFill>
          </w14:textFill>
        </w:rPr>
        <w:t>三、临时用地复垦</w:t>
      </w:r>
    </w:p>
    <w:p w14:paraId="1A1B98C0">
      <w:pPr>
        <w:pStyle w:val="64"/>
        <w:spacing w:line="360" w:lineRule="auto"/>
        <w:ind w:firstLine="560"/>
        <w:rPr>
          <w:rFonts w:hint="default" w:ascii="Times New Roman" w:hAnsi="Times New Roman" w:eastAsia="宋体" w:cs="Times New Roman"/>
          <w:color w:val="000000" w:themeColor="text1"/>
          <w:sz w:val="28"/>
          <w:szCs w:val="28"/>
          <w:lang w:val="en-US"/>
          <w14:textFill>
            <w14:solidFill>
              <w14:schemeClr w14:val="tx1"/>
            </w14:solidFill>
          </w14:textFill>
        </w:rPr>
      </w:pPr>
      <w:r>
        <w:rPr>
          <w:rFonts w:hint="default" w:ascii="Times New Roman" w:hAnsi="Times New Roman" w:eastAsia="宋体" w:cs="Times New Roman"/>
          <w:b w:val="0"/>
          <w:bCs/>
          <w:color w:val="000000" w:themeColor="text1"/>
          <w:kern w:val="2"/>
          <w:sz w:val="28"/>
          <w:szCs w:val="28"/>
          <w:highlight w:val="none"/>
          <w:lang w:val="en-US" w:eastAsia="zh-CN" w:bidi="ar-SA"/>
          <w14:textFill>
            <w14:solidFill>
              <w14:schemeClr w14:val="tx1"/>
            </w14:solidFill>
          </w14:textFill>
        </w:rPr>
        <w:t>本方案不涉及到临时用地。</w:t>
      </w:r>
    </w:p>
    <w:p w14:paraId="2CADDE11">
      <w:pPr>
        <w:rPr>
          <w:rFonts w:ascii="宋体" w:hAnsi="宋体" w:eastAsia="宋体" w:cs="宋体"/>
          <w:color w:val="000000" w:themeColor="text1"/>
          <w:szCs w:val="28"/>
          <w14:textFill>
            <w14:solidFill>
              <w14:schemeClr w14:val="tx1"/>
            </w14:solidFill>
          </w14:textFill>
        </w:rPr>
      </w:pPr>
      <w:r>
        <w:rPr>
          <w:rFonts w:ascii="宋体" w:hAnsi="宋体" w:eastAsia="宋体" w:cs="宋体"/>
          <w:color w:val="000000" w:themeColor="text1"/>
          <w:szCs w:val="28"/>
          <w14:textFill>
            <w14:solidFill>
              <w14:schemeClr w14:val="tx1"/>
            </w14:solidFill>
          </w14:textFill>
        </w:rPr>
        <w:br w:type="page"/>
      </w:r>
    </w:p>
    <w:p w14:paraId="0E10A811">
      <w:pPr>
        <w:pStyle w:val="2"/>
        <w:spacing w:line="360" w:lineRule="auto"/>
        <w:jc w:val="center"/>
        <w:rPr>
          <w:rFonts w:ascii="黑体" w:hAnsi="黑体" w:eastAsia="黑体" w:cs="黑体"/>
          <w:bCs/>
          <w:color w:val="000000" w:themeColor="text1"/>
          <w14:textFill>
            <w14:solidFill>
              <w14:schemeClr w14:val="tx1"/>
            </w14:solidFill>
          </w14:textFill>
        </w:rPr>
      </w:pPr>
      <w:bookmarkStart w:id="56" w:name="_Toc5929"/>
      <w:r>
        <w:rPr>
          <w:rFonts w:hint="eastAsia" w:ascii="黑体" w:hAnsi="黑体" w:eastAsia="黑体" w:cs="黑体"/>
          <w:bCs/>
          <w:color w:val="000000" w:themeColor="text1"/>
          <w14:textFill>
            <w14:solidFill>
              <w14:schemeClr w14:val="tx1"/>
            </w14:solidFill>
          </w14:textFill>
        </w:rPr>
        <w:t>第四章  生态修复措施与工程内容</w:t>
      </w:r>
      <w:bookmarkEnd w:id="56"/>
    </w:p>
    <w:p w14:paraId="300C57C3">
      <w:pPr>
        <w:pStyle w:val="3"/>
        <w:spacing w:before="0" w:beforeLines="0"/>
        <w:jc w:val="center"/>
        <w:rPr>
          <w:color w:val="000000" w:themeColor="text1"/>
          <w14:textFill>
            <w14:solidFill>
              <w14:schemeClr w14:val="tx1"/>
            </w14:solidFill>
          </w14:textFill>
        </w:rPr>
      </w:pPr>
      <w:bookmarkStart w:id="57" w:name="第一节__矿山地质环境保护与土地损毁预防"/>
      <w:bookmarkEnd w:id="57"/>
      <w:bookmarkStart w:id="58" w:name="_bookmark22"/>
      <w:bookmarkEnd w:id="58"/>
      <w:bookmarkStart w:id="59" w:name="_Toc5162"/>
      <w:r>
        <w:rPr>
          <w:rFonts w:hint="eastAsia"/>
          <w:color w:val="000000" w:themeColor="text1"/>
          <w:lang w:val="en-US" w:eastAsia="zh-CN"/>
          <w14:textFill>
            <w14:solidFill>
              <w14:schemeClr w14:val="tx1"/>
            </w14:solidFill>
          </w14:textFill>
        </w:rPr>
        <w:t xml:space="preserve">第一节  </w:t>
      </w:r>
      <w:r>
        <w:rPr>
          <w:rFonts w:hint="eastAsia"/>
          <w:color w:val="000000" w:themeColor="text1"/>
          <w14:textFill>
            <w14:solidFill>
              <w14:schemeClr w14:val="tx1"/>
            </w14:solidFill>
          </w14:textFill>
        </w:rPr>
        <w:t>保护与预防控制措施</w:t>
      </w:r>
      <w:bookmarkEnd w:id="59"/>
    </w:p>
    <w:p w14:paraId="648FA788">
      <w:pPr>
        <w:pStyle w:val="5"/>
        <w:bidi w:val="0"/>
        <w:spacing w:line="360" w:lineRule="auto"/>
        <w:ind w:firstLine="562" w:firstLineChars="200"/>
        <w:rPr>
          <w:rFonts w:hint="default"/>
          <w:b/>
          <w:bCs/>
          <w:color w:val="000000" w:themeColor="text1"/>
          <w:sz w:val="28"/>
          <w:szCs w:val="24"/>
          <w:lang w:val="en-US" w:eastAsia="zh-CN"/>
          <w14:textFill>
            <w14:solidFill>
              <w14:schemeClr w14:val="tx1"/>
            </w14:solidFill>
          </w14:textFill>
        </w:rPr>
      </w:pPr>
      <w:r>
        <w:rPr>
          <w:rFonts w:hint="eastAsia"/>
          <w:b/>
          <w:bCs/>
          <w:color w:val="000000" w:themeColor="text1"/>
          <w:sz w:val="28"/>
          <w:szCs w:val="24"/>
          <w:lang w:val="en-US" w:eastAsia="zh-CN"/>
          <w14:textFill>
            <w14:solidFill>
              <w14:schemeClr w14:val="tx1"/>
            </w14:solidFill>
          </w14:textFill>
        </w:rPr>
        <w:t>一、敏感目标保护</w:t>
      </w:r>
    </w:p>
    <w:p w14:paraId="4F818C9D">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1、敏感目标识别</w:t>
      </w:r>
    </w:p>
    <w:p w14:paraId="401FA791">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经现场调查并</w:t>
      </w:r>
      <w:r>
        <w:rPr>
          <w:rFonts w:hint="eastAsia" w:cs="Times New Roman"/>
          <w:color w:val="000000" w:themeColor="text1"/>
          <w:sz w:val="28"/>
          <w:szCs w:val="28"/>
          <w:lang w:val="en-US" w:eastAsia="zh-CN"/>
          <w14:textFill>
            <w14:solidFill>
              <w14:schemeClr w14:val="tx1"/>
            </w14:solidFill>
          </w14:textFill>
        </w:rPr>
        <w:t>查</w:t>
      </w:r>
      <w:r>
        <w:rPr>
          <w:rFonts w:hint="default" w:ascii="Times New Roman" w:hAnsi="Times New Roman" w:cs="Times New Roman"/>
          <w:color w:val="000000" w:themeColor="text1"/>
          <w:sz w:val="28"/>
          <w:szCs w:val="28"/>
          <w14:textFill>
            <w14:solidFill>
              <w14:schemeClr w14:val="tx1"/>
            </w14:solidFill>
          </w14:textFill>
        </w:rPr>
        <w:t>验</w:t>
      </w:r>
      <w:r>
        <w:rPr>
          <w:rFonts w:hint="eastAsia" w:cs="Times New Roman"/>
          <w:color w:val="000000" w:themeColor="text1"/>
          <w:sz w:val="28"/>
          <w:szCs w:val="28"/>
          <w:lang w:val="en-US" w:eastAsia="zh-CN"/>
          <w14:textFill>
            <w14:solidFill>
              <w14:schemeClr w14:val="tx1"/>
            </w14:solidFill>
          </w14:textFill>
        </w:rPr>
        <w:t>赤峰市自然资源局松山区分局</w:t>
      </w:r>
      <w:r>
        <w:rPr>
          <w:rFonts w:hint="default" w:ascii="Times New Roman" w:hAnsi="Times New Roman" w:cs="Times New Roman"/>
          <w:color w:val="000000" w:themeColor="text1"/>
          <w:sz w:val="28"/>
          <w:szCs w:val="28"/>
          <w14:textFill>
            <w14:solidFill>
              <w14:schemeClr w14:val="tx1"/>
            </w14:solidFill>
          </w14:textFill>
        </w:rPr>
        <w:t>相关资料，确认矿区不涉及自然保护区、基本草原；套合“三区三线”划定成果，矿区与生态保护红线、城镇开发边界无重叠。同时，矿区与Ⅰ级和Ⅱ级保护林地、天然林保护重点区域、国际重要湿地、国家重要湿地、世界自然（自然与文化）遗产地、沙化土地封禁保护区、饮用水水源保护区亦不重叠。</w:t>
      </w:r>
    </w:p>
    <w:p w14:paraId="1B4C9C2F">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2、保护措施</w:t>
      </w:r>
    </w:p>
    <w:p w14:paraId="1F88B409">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lang w:val="en-US" w:eastAsia="zh-CN"/>
          <w14:textFill>
            <w14:solidFill>
              <w14:schemeClr w14:val="tx1"/>
            </w14:solidFill>
          </w14:textFill>
        </w:rPr>
        <w:t>针对矿区</w:t>
      </w:r>
      <w:r>
        <w:rPr>
          <w:rFonts w:hint="eastAsia" w:cs="Times New Roman"/>
          <w:color w:val="000000" w:themeColor="text1"/>
          <w:sz w:val="28"/>
          <w:szCs w:val="28"/>
          <w:lang w:val="en-US" w:eastAsia="zh-CN"/>
          <w14:textFill>
            <w14:solidFill>
              <w14:schemeClr w14:val="tx1"/>
            </w14:solidFill>
          </w14:textFill>
        </w:rPr>
        <w:t>周边有</w:t>
      </w:r>
      <w:r>
        <w:rPr>
          <w:rFonts w:hint="default" w:ascii="Times New Roman" w:hAnsi="Times New Roman" w:cs="Times New Roman"/>
          <w:color w:val="000000" w:themeColor="text1"/>
          <w:sz w:val="28"/>
          <w:szCs w:val="28"/>
          <w:lang w:val="en-US" w:eastAsia="zh-CN"/>
          <w14:textFill>
            <w14:solidFill>
              <w14:schemeClr w14:val="tx1"/>
            </w14:solidFill>
          </w14:textFill>
        </w:rPr>
        <w:t>永久基本农田的特殊情况，保护措施严格遵循</w:t>
      </w:r>
      <w:r>
        <w:rPr>
          <w:rFonts w:hint="eastAsia" w:cs="Times New Roman"/>
          <w:color w:val="000000" w:themeColor="text1"/>
          <w:sz w:val="28"/>
          <w:szCs w:val="28"/>
          <w:lang w:val="en-US"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避让优先、保护性开发、边采边复垦</w:t>
      </w:r>
      <w:r>
        <w:rPr>
          <w:rFonts w:hint="eastAsia" w:cs="Times New Roman"/>
          <w:color w:val="000000" w:themeColor="text1"/>
          <w:sz w:val="28"/>
          <w:szCs w:val="28"/>
          <w:lang w:val="en-US"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的原则。在空间管控上，优先优化开采布局，露天采场、排土场及工业广场严禁占用永久基本农田；确因战略性矿产难以避让的，必须依法办理重大建设项目用地审批并落实</w:t>
      </w:r>
      <w:r>
        <w:rPr>
          <w:rFonts w:hint="eastAsia" w:cs="Times New Roman"/>
          <w:color w:val="000000" w:themeColor="text1"/>
          <w:sz w:val="28"/>
          <w:szCs w:val="28"/>
          <w:lang w:val="en-US"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占优补优、等质等量</w:t>
      </w:r>
      <w:r>
        <w:rPr>
          <w:rFonts w:hint="eastAsia" w:cs="Times New Roman"/>
          <w:color w:val="000000" w:themeColor="text1"/>
          <w:sz w:val="28"/>
          <w:szCs w:val="28"/>
          <w:lang w:val="en-US"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补划，同时在农田周边设置不小于20</w:t>
      </w:r>
      <w:r>
        <w:rPr>
          <w:rFonts w:hint="eastAsia" w:cs="Times New Roman"/>
          <w:color w:val="000000" w:themeColor="text1"/>
          <w:sz w:val="28"/>
          <w:szCs w:val="28"/>
          <w:lang w:val="en-US" w:eastAsia="zh-CN"/>
          <w14:textFill>
            <w14:solidFill>
              <w14:schemeClr w14:val="tx1"/>
            </w14:solidFill>
          </w14:textFill>
        </w:rPr>
        <w:t>m</w:t>
      </w:r>
      <w:r>
        <w:rPr>
          <w:rFonts w:hint="default" w:ascii="Times New Roman" w:hAnsi="Times New Roman" w:cs="Times New Roman"/>
          <w:color w:val="000000" w:themeColor="text1"/>
          <w:sz w:val="28"/>
          <w:szCs w:val="28"/>
          <w:lang w:val="en-US" w:eastAsia="zh-CN"/>
          <w14:textFill>
            <w14:solidFill>
              <w14:schemeClr w14:val="tx1"/>
            </w14:solidFill>
          </w14:textFill>
        </w:rPr>
        <w:t>的物理隔离保护带，防止粉尘扩散及机械碾压。在开采工艺上，严格执行表土剥离制度，用于后期复垦；在动态修复上，建立</w:t>
      </w:r>
      <w:r>
        <w:rPr>
          <w:rFonts w:hint="eastAsia" w:cs="Times New Roman"/>
          <w:color w:val="000000" w:themeColor="text1"/>
          <w:sz w:val="28"/>
          <w:szCs w:val="28"/>
          <w:lang w:val="en-US"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边开采、边治理</w:t>
      </w:r>
      <w:r>
        <w:rPr>
          <w:rFonts w:hint="eastAsia" w:cs="Times New Roman"/>
          <w:color w:val="000000" w:themeColor="text1"/>
          <w:sz w:val="28"/>
          <w:szCs w:val="28"/>
          <w:lang w:val="en-US"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机制，确保服务期满后农田恢复原种植条件，实现矿区开发与粮食安全的协同保障</w:t>
      </w:r>
      <w:r>
        <w:rPr>
          <w:rFonts w:hint="eastAsia" w:cs="Times New Roman"/>
          <w:color w:val="000000" w:themeColor="text1"/>
          <w:sz w:val="28"/>
          <w:szCs w:val="28"/>
          <w:lang w:val="en-US" w:eastAsia="zh-CN"/>
          <w14:textFill>
            <w14:solidFill>
              <w14:schemeClr w14:val="tx1"/>
            </w14:solidFill>
          </w14:textFill>
        </w:rPr>
        <w:t>。</w:t>
      </w:r>
    </w:p>
    <w:p w14:paraId="4CA3DF72">
      <w:pPr>
        <w:pStyle w:val="5"/>
        <w:bidi w:val="0"/>
        <w:spacing w:line="360" w:lineRule="auto"/>
        <w:ind w:firstLine="562" w:firstLineChars="200"/>
        <w:rPr>
          <w:rFonts w:hint="eastAsia"/>
          <w:b/>
          <w:bCs/>
          <w:color w:val="000000" w:themeColor="text1"/>
          <w:sz w:val="28"/>
          <w:szCs w:val="24"/>
          <w:lang w:val="en-US" w:eastAsia="zh-CN"/>
          <w14:textFill>
            <w14:solidFill>
              <w14:schemeClr w14:val="tx1"/>
            </w14:solidFill>
          </w14:textFill>
        </w:rPr>
      </w:pPr>
      <w:r>
        <w:rPr>
          <w:rFonts w:hint="eastAsia"/>
          <w:b/>
          <w:bCs/>
          <w:color w:val="000000" w:themeColor="text1"/>
          <w:sz w:val="28"/>
          <w:szCs w:val="24"/>
          <w:lang w:val="en-US" w:eastAsia="zh-CN"/>
          <w14:textFill>
            <w14:solidFill>
              <w14:schemeClr w14:val="tx1"/>
            </w14:solidFill>
          </w14:textFill>
        </w:rPr>
        <w:t>二、表土剥离与植被移植利用</w:t>
      </w:r>
    </w:p>
    <w:p w14:paraId="32162834">
      <w:pPr>
        <w:widowControl/>
        <w:spacing w:line="360" w:lineRule="auto"/>
        <w:ind w:firstLine="560" w:firstLineChars="200"/>
        <w:rPr>
          <w:rFonts w:hint="default" w:ascii="Times New Roman" w:hAnsi="Times New Roman" w:cs="Times New Roman"/>
          <w:color w:val="000000" w:themeColor="text1"/>
          <w:kern w:val="0"/>
          <w:sz w:val="28"/>
          <w:szCs w:val="28"/>
          <w:lang w:val="en-US" w:eastAsia="zh-CN"/>
          <w14:textFill>
            <w14:solidFill>
              <w14:schemeClr w14:val="tx1"/>
            </w14:solidFill>
          </w14:textFill>
        </w:rPr>
      </w:pPr>
      <w:r>
        <w:rPr>
          <w:rFonts w:hint="eastAsia" w:cs="Times New Roman"/>
          <w:color w:val="000000" w:themeColor="text1"/>
          <w:kern w:val="0"/>
          <w:sz w:val="28"/>
          <w:szCs w:val="28"/>
          <w:lang w:val="en-US" w:eastAsia="zh-CN"/>
          <w14:textFill>
            <w14:solidFill>
              <w14:schemeClr w14:val="tx1"/>
            </w14:solidFill>
          </w14:textFill>
        </w:rPr>
        <w:t>1、表土剥离</w:t>
      </w:r>
    </w:p>
    <w:p w14:paraId="752D5CEB">
      <w:pPr>
        <w:widowControl/>
        <w:spacing w:line="360" w:lineRule="auto"/>
        <w:ind w:firstLine="560" w:firstLineChars="200"/>
        <w:rPr>
          <w:rFonts w:hint="default" w:ascii="Times New Roman" w:hAnsi="Times New Roman" w:eastAsia="宋体" w:cs="Times New Roman"/>
          <w:color w:val="000000" w:themeColor="text1"/>
          <w:kern w:val="0"/>
          <w:sz w:val="28"/>
          <w:szCs w:val="28"/>
          <w:lang w:val="en-US" w:eastAsia="zh-CN"/>
          <w14:textFill>
            <w14:solidFill>
              <w14:schemeClr w14:val="tx1"/>
            </w14:solidFill>
          </w14:textFill>
        </w:rPr>
      </w:pPr>
      <w:r>
        <w:rPr>
          <w:rFonts w:hint="default" w:ascii="Times New Roman" w:hAnsi="Times New Roman" w:cs="Times New Roman"/>
          <w:color w:val="000000" w:themeColor="text1"/>
          <w:kern w:val="0"/>
          <w:sz w:val="28"/>
          <w:szCs w:val="28"/>
          <w:lang w:val="en-US" w:eastAsia="zh-CN"/>
          <w14:textFill>
            <w14:solidFill>
              <w14:schemeClr w14:val="tx1"/>
            </w14:solidFill>
          </w14:textFill>
        </w:rPr>
        <w:t>根据</w:t>
      </w:r>
      <w:r>
        <w:rPr>
          <w:rFonts w:hint="default" w:ascii="Times New Roman" w:hAnsi="Times New Roman" w:cs="Times New Roman"/>
          <w:color w:val="000000" w:themeColor="text1"/>
          <w:kern w:val="0"/>
          <w:sz w:val="28"/>
          <w:szCs w:val="28"/>
          <w14:textFill>
            <w14:solidFill>
              <w14:schemeClr w14:val="tx1"/>
            </w14:solidFill>
          </w14:textFill>
        </w:rPr>
        <w:t>《开发与治理综合方案》，</w:t>
      </w:r>
      <w:r>
        <w:rPr>
          <w:rFonts w:hint="default" w:ascii="Times New Roman" w:hAnsi="Times New Roman" w:cs="Times New Roman"/>
          <w:color w:val="000000" w:themeColor="text1"/>
          <w:kern w:val="0"/>
          <w:sz w:val="28"/>
          <w:szCs w:val="28"/>
          <w:lang w:val="en-US" w:eastAsia="zh-CN"/>
          <w14:textFill>
            <w14:solidFill>
              <w14:schemeClr w14:val="tx1"/>
            </w14:solidFill>
          </w14:textFill>
        </w:rPr>
        <w:t>矿山还需拟建2处</w:t>
      </w:r>
      <w:r>
        <w:rPr>
          <w:rFonts w:hint="eastAsia" w:cs="Times New Roman"/>
          <w:color w:val="000000" w:themeColor="text1"/>
          <w:kern w:val="0"/>
          <w:sz w:val="28"/>
          <w:szCs w:val="28"/>
          <w:lang w:val="en-US" w:eastAsia="zh-CN"/>
          <w14:textFill>
            <w14:solidFill>
              <w14:schemeClr w14:val="tx1"/>
            </w14:solidFill>
          </w14:textFill>
        </w:rPr>
        <w:t>露天采场</w:t>
      </w:r>
      <w:r>
        <w:rPr>
          <w:rFonts w:hint="default" w:ascii="Times New Roman" w:hAnsi="Times New Roman" w:cs="Times New Roman"/>
          <w:color w:val="000000" w:themeColor="text1"/>
          <w:kern w:val="0"/>
          <w:sz w:val="28"/>
          <w:szCs w:val="28"/>
          <w:lang w:val="en-US" w:eastAsia="zh-CN"/>
          <w14:textFill>
            <w14:solidFill>
              <w14:schemeClr w14:val="tx1"/>
            </w14:solidFill>
          </w14:textFill>
        </w:rPr>
        <w:t>，</w:t>
      </w:r>
      <w:r>
        <w:rPr>
          <w:rFonts w:hint="eastAsia" w:cs="Times New Roman"/>
          <w:color w:val="000000" w:themeColor="text1"/>
          <w:kern w:val="0"/>
          <w:sz w:val="28"/>
          <w:szCs w:val="28"/>
          <w:lang w:val="en-US" w:eastAsia="zh-CN"/>
          <w14:textFill>
            <w14:solidFill>
              <w14:schemeClr w14:val="tx1"/>
            </w14:solidFill>
          </w14:textFill>
        </w:rPr>
        <w:t>1处储水池，</w:t>
      </w:r>
      <w:r>
        <w:rPr>
          <w:rFonts w:hint="default" w:ascii="Times New Roman" w:hAnsi="Times New Roman" w:cs="Times New Roman"/>
          <w:color w:val="000000" w:themeColor="text1"/>
          <w:kern w:val="0"/>
          <w:sz w:val="28"/>
          <w:szCs w:val="28"/>
          <w:lang w:val="en-US" w:eastAsia="zh-CN"/>
          <w14:textFill>
            <w14:solidFill>
              <w14:schemeClr w14:val="tx1"/>
            </w14:solidFill>
          </w14:textFill>
        </w:rPr>
        <w:t>需对场地进行表土剥离</w:t>
      </w:r>
      <w:r>
        <w:rPr>
          <w:rFonts w:hint="default" w:ascii="Times New Roman" w:hAnsi="Times New Roman" w:cs="Times New Roman"/>
          <w:color w:val="000000" w:themeColor="text1"/>
          <w:kern w:val="0"/>
          <w:sz w:val="28"/>
          <w:szCs w:val="28"/>
          <w14:textFill>
            <w14:solidFill>
              <w14:schemeClr w14:val="tx1"/>
            </w14:solidFill>
          </w14:textFill>
        </w:rPr>
        <w:t>。</w:t>
      </w:r>
      <w:r>
        <w:rPr>
          <w:rFonts w:hint="eastAsia" w:cs="Times New Roman"/>
          <w:color w:val="000000" w:themeColor="text1"/>
          <w:kern w:val="0"/>
          <w:sz w:val="28"/>
          <w:szCs w:val="28"/>
          <w:lang w:val="en-US" w:eastAsia="zh-CN"/>
          <w14:textFill>
            <w14:solidFill>
              <w14:schemeClr w14:val="tx1"/>
            </w14:solidFill>
          </w14:textFill>
        </w:rPr>
        <w:t>方案设计剥离厚度为1m，计算后得出</w:t>
      </w:r>
      <w:r>
        <w:rPr>
          <w:rFonts w:hint="eastAsia" w:cs="Times New Roman"/>
          <w:color w:val="000000" w:themeColor="text1"/>
          <w:sz w:val="28"/>
          <w:szCs w:val="21"/>
          <w:lang w:val="en-US" w:eastAsia="zh-CN"/>
          <w14:textFill>
            <w14:solidFill>
              <w14:schemeClr w14:val="tx1"/>
            </w14:solidFill>
          </w14:textFill>
        </w:rPr>
        <w:t>合计剥离量为：46127</w:t>
      </w:r>
      <w:r>
        <w:rPr>
          <w:rFonts w:hint="default" w:ascii="Times New Roman" w:hAnsi="Times New Roman" w:eastAsia="宋体" w:cs="Times New Roman"/>
          <w:color w:val="000000" w:themeColor="text1"/>
          <w:sz w:val="28"/>
          <w:szCs w:val="21"/>
          <w14:textFill>
            <w14:solidFill>
              <w14:schemeClr w14:val="tx1"/>
            </w14:solidFill>
          </w14:textFill>
        </w:rPr>
        <w:t>m</w:t>
      </w:r>
      <w:r>
        <w:rPr>
          <w:rFonts w:hint="default" w:ascii="Times New Roman" w:hAnsi="Times New Roman" w:eastAsia="宋体" w:cs="Times New Roman"/>
          <w:color w:val="000000" w:themeColor="text1"/>
          <w:sz w:val="28"/>
          <w:szCs w:val="21"/>
          <w:vertAlign w:val="superscript"/>
          <w14:textFill>
            <w14:solidFill>
              <w14:schemeClr w14:val="tx1"/>
            </w14:solidFill>
          </w14:textFill>
        </w:rPr>
        <w:t>3</w:t>
      </w:r>
      <w:r>
        <w:rPr>
          <w:rFonts w:hint="eastAsia" w:cs="Times New Roman"/>
          <w:color w:val="000000" w:themeColor="text1"/>
          <w:sz w:val="28"/>
          <w:szCs w:val="21"/>
          <w:lang w:val="en-US" w:eastAsia="zh-CN"/>
          <w14:textFill>
            <w14:solidFill>
              <w14:schemeClr w14:val="tx1"/>
            </w14:solidFill>
          </w14:textFill>
        </w:rPr>
        <w:t>。</w:t>
      </w:r>
    </w:p>
    <w:p w14:paraId="187E7008">
      <w:pPr>
        <w:widowControl/>
        <w:spacing w:line="360" w:lineRule="auto"/>
        <w:jc w:val="center"/>
        <w:rPr>
          <w:rFonts w:hint="eastAsia" w:ascii="黑体" w:hAnsi="黑体" w:eastAsia="黑体" w:cs="黑体"/>
          <w:color w:val="000000" w:themeColor="text1"/>
          <w:kern w:val="0"/>
          <w:sz w:val="24"/>
          <w:szCs w:val="24"/>
          <w:lang w:val="en-US" w:eastAsia="zh-CN"/>
          <w14:textFill>
            <w14:solidFill>
              <w14:schemeClr w14:val="tx1"/>
            </w14:solidFill>
          </w14:textFill>
        </w:rPr>
      </w:pPr>
    </w:p>
    <w:p w14:paraId="169B7854">
      <w:pPr>
        <w:widowControl/>
        <w:spacing w:line="360" w:lineRule="auto"/>
        <w:jc w:val="center"/>
        <w:rPr>
          <w:rFonts w:hint="eastAsia" w:ascii="黑体" w:hAnsi="黑体" w:eastAsia="黑体" w:cs="黑体"/>
          <w:color w:val="000000" w:themeColor="text1"/>
          <w:kern w:val="0"/>
          <w:sz w:val="24"/>
          <w:szCs w:val="24"/>
          <w:lang w:val="en-US" w:eastAsia="zh-CN"/>
          <w14:textFill>
            <w14:solidFill>
              <w14:schemeClr w14:val="tx1"/>
            </w14:solidFill>
          </w14:textFill>
        </w:rPr>
      </w:pPr>
      <w:r>
        <w:rPr>
          <w:rFonts w:hint="eastAsia" w:ascii="黑体" w:hAnsi="黑体" w:eastAsia="黑体" w:cs="黑体"/>
          <w:color w:val="000000" w:themeColor="text1"/>
          <w:kern w:val="0"/>
          <w:sz w:val="24"/>
          <w:szCs w:val="24"/>
          <w:lang w:val="en-US" w:eastAsia="zh-CN"/>
          <w14:textFill>
            <w14:solidFill>
              <w14:schemeClr w14:val="tx1"/>
            </w14:solidFill>
          </w14:textFill>
        </w:rPr>
        <w:t>表4-1  表土处置情况汇总表</w:t>
      </w:r>
    </w:p>
    <w:p w14:paraId="2A0C7AF6">
      <w:pPr>
        <w:keepNext w:val="0"/>
        <w:keepLines w:val="0"/>
        <w:pageBreakBefore w:val="0"/>
        <w:widowControl w:val="0"/>
        <w:kinsoku/>
        <w:wordWrap/>
        <w:overflowPunct/>
        <w:topLinePunct w:val="0"/>
        <w:autoSpaceDE/>
        <w:autoSpaceDN/>
        <w:bidi w:val="0"/>
        <w:adjustRightInd/>
        <w:snapToGrid/>
        <w:spacing w:before="157" w:beforeLines="50" w:line="360" w:lineRule="auto"/>
        <w:ind w:firstLine="560" w:firstLineChars="200"/>
        <w:textAlignment w:val="auto"/>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pPr>
      <w:bookmarkStart w:id="96" w:name="_GoBack"/>
      <w:bookmarkEnd w:id="96"/>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2、植被移植利用</w:t>
      </w:r>
    </w:p>
    <w:p w14:paraId="2DD380D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cs="宋体"/>
          <w:b/>
          <w:bCs/>
          <w:color w:val="000000" w:themeColor="text1"/>
          <w:kern w:val="0"/>
          <w:sz w:val="28"/>
          <w:szCs w:val="28"/>
          <w:lang w:val="en-US" w:eastAsia="zh-CN"/>
          <w14:textFill>
            <w14:solidFill>
              <w14:schemeClr w14:val="tx1"/>
            </w14:solidFill>
          </w14:textFill>
        </w:rPr>
      </w:pP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在系统查阅国家和地方动物志等资料，走访当地村民的基础上，结合现场调查，修复区内未发现国家林业和草原局农业农村部公告（2021年第15号）《国家重点保护野生植物名录》中列入的国家重点保护野生植物种。矿区内植被恢复均进行原址恢复，不进行植被移植利用。</w:t>
      </w:r>
    </w:p>
    <w:p w14:paraId="71B482A6">
      <w:pPr>
        <w:pStyle w:val="5"/>
        <w:bidi w:val="0"/>
        <w:spacing w:line="360" w:lineRule="auto"/>
        <w:ind w:firstLine="562" w:firstLineChars="200"/>
        <w:rPr>
          <w:rFonts w:hint="eastAsia"/>
          <w:b/>
          <w:bCs/>
          <w:color w:val="000000" w:themeColor="text1"/>
          <w:sz w:val="28"/>
          <w:szCs w:val="24"/>
          <w:lang w:val="en-US" w:eastAsia="zh-CN"/>
          <w14:textFill>
            <w14:solidFill>
              <w14:schemeClr w14:val="tx1"/>
            </w14:solidFill>
          </w14:textFill>
        </w:rPr>
      </w:pPr>
      <w:r>
        <w:rPr>
          <w:rFonts w:hint="eastAsia"/>
          <w:b/>
          <w:bCs/>
          <w:color w:val="000000" w:themeColor="text1"/>
          <w:sz w:val="28"/>
          <w:szCs w:val="24"/>
          <w:lang w:val="en-US" w:eastAsia="zh-CN"/>
          <w14:textFill>
            <w14:solidFill>
              <w14:schemeClr w14:val="tx1"/>
            </w14:solidFill>
          </w14:textFill>
        </w:rPr>
        <w:t>三、相关协同措施</w:t>
      </w:r>
    </w:p>
    <w:p w14:paraId="76DAC8F2">
      <w:pPr>
        <w:widowControl/>
        <w:spacing w:line="360" w:lineRule="auto"/>
        <w:ind w:firstLine="560" w:firstLineChars="200"/>
        <w:rPr>
          <w:rFonts w:hint="default" w:ascii="Times New Roman" w:hAnsi="Times New Roman" w:eastAsia="宋体" w:cs="Times New Roman"/>
          <w:color w:val="000000" w:themeColor="text1"/>
          <w:kern w:val="0"/>
          <w:sz w:val="28"/>
          <w:szCs w:val="28"/>
          <w14:textFill>
            <w14:solidFill>
              <w14:schemeClr w14:val="tx1"/>
            </w14:solidFill>
          </w14:textFill>
        </w:rPr>
      </w:pPr>
      <w:bookmarkStart w:id="60" w:name="_Toc37947542"/>
      <w:bookmarkStart w:id="61" w:name="_Toc18660150"/>
      <w:r>
        <w:rPr>
          <w:rFonts w:hint="default" w:ascii="Times New Roman" w:hAnsi="Times New Roman" w:eastAsia="宋体" w:cs="Times New Roman"/>
          <w:color w:val="000000" w:themeColor="text1"/>
          <w:kern w:val="0"/>
          <w:sz w:val="28"/>
          <w:szCs w:val="28"/>
          <w14:textFill>
            <w14:solidFill>
              <w14:schemeClr w14:val="tx1"/>
            </w14:solidFill>
          </w14:textFill>
        </w:rPr>
        <w:t>1、矿山地质灾害预防任务：加大矿山废石综合利用力度，积极做好固体废弃物堆放工作，减少对地形地貌景观破坏及复垦区土地的损毁，减少对人身财产的危害和经济损失。</w:t>
      </w:r>
    </w:p>
    <w:p w14:paraId="1D8DCB37">
      <w:pPr>
        <w:widowControl/>
        <w:spacing w:line="360" w:lineRule="auto"/>
        <w:ind w:firstLine="560" w:firstLineChars="200"/>
        <w:rPr>
          <w:rFonts w:hint="default" w:ascii="Times New Roman" w:hAnsi="Times New Roman" w:eastAsia="宋体" w:cs="Times New Roman"/>
          <w:color w:val="000000" w:themeColor="text1"/>
          <w:kern w:val="0"/>
          <w:sz w:val="28"/>
          <w:szCs w:val="28"/>
          <w14:textFill>
            <w14:solidFill>
              <w14:schemeClr w14:val="tx1"/>
            </w14:solidFill>
          </w14:textFill>
        </w:rPr>
      </w:pPr>
      <w:r>
        <w:rPr>
          <w:rFonts w:hint="default" w:ascii="Times New Roman" w:hAnsi="Times New Roman" w:eastAsia="宋体" w:cs="Times New Roman"/>
          <w:color w:val="000000" w:themeColor="text1"/>
          <w:kern w:val="0"/>
          <w:sz w:val="28"/>
          <w:szCs w:val="28"/>
          <w14:textFill>
            <w14:solidFill>
              <w14:schemeClr w14:val="tx1"/>
            </w14:solidFill>
          </w14:textFill>
        </w:rPr>
        <w:t>2、含水层破坏的预防保护任务：矿山开采过程中应定期对矿区含水层水位、水质进行动态监测。</w:t>
      </w:r>
    </w:p>
    <w:p w14:paraId="4127F136">
      <w:pPr>
        <w:widowControl/>
        <w:spacing w:line="360" w:lineRule="auto"/>
        <w:ind w:firstLine="560" w:firstLineChars="200"/>
        <w:rPr>
          <w:rFonts w:hint="default" w:ascii="Times New Roman" w:hAnsi="Times New Roman" w:eastAsia="宋体" w:cs="Times New Roman"/>
          <w:color w:val="000000" w:themeColor="text1"/>
          <w:kern w:val="0"/>
          <w:sz w:val="28"/>
          <w:szCs w:val="28"/>
          <w14:textFill>
            <w14:solidFill>
              <w14:schemeClr w14:val="tx1"/>
            </w14:solidFill>
          </w14:textFill>
        </w:rPr>
      </w:pPr>
      <w:r>
        <w:rPr>
          <w:rFonts w:hint="default" w:ascii="Times New Roman" w:hAnsi="Times New Roman" w:eastAsia="宋体" w:cs="Times New Roman"/>
          <w:color w:val="000000" w:themeColor="text1"/>
          <w:kern w:val="0"/>
          <w:sz w:val="28"/>
          <w:szCs w:val="28"/>
          <w14:textFill>
            <w14:solidFill>
              <w14:schemeClr w14:val="tx1"/>
            </w14:solidFill>
          </w14:textFill>
        </w:rPr>
        <w:t>3、地形地貌景观破坏的预防保护任务：尽量避免或减少固体废弃物堆放破坏地形地貌景观，做好边开采边治理工作，及时恢复矿区地形地貌景观。</w:t>
      </w:r>
    </w:p>
    <w:p w14:paraId="00B2D955">
      <w:pPr>
        <w:widowControl/>
        <w:spacing w:line="360" w:lineRule="auto"/>
        <w:ind w:firstLine="560" w:firstLineChars="200"/>
        <w:rPr>
          <w:rFonts w:hint="default" w:ascii="Times New Roman" w:hAnsi="Times New Roman" w:eastAsia="宋体" w:cs="Times New Roman"/>
          <w:color w:val="000000" w:themeColor="text1"/>
          <w:kern w:val="0"/>
          <w:sz w:val="28"/>
          <w:szCs w:val="28"/>
          <w14:textFill>
            <w14:solidFill>
              <w14:schemeClr w14:val="tx1"/>
            </w14:solidFill>
          </w14:textFill>
        </w:rPr>
      </w:pPr>
      <w:r>
        <w:rPr>
          <w:rFonts w:hint="default" w:ascii="Times New Roman" w:hAnsi="Times New Roman" w:eastAsia="宋体" w:cs="Times New Roman"/>
          <w:color w:val="000000" w:themeColor="text1"/>
          <w:kern w:val="0"/>
          <w:sz w:val="28"/>
          <w:szCs w:val="28"/>
          <w14:textFill>
            <w14:solidFill>
              <w14:schemeClr w14:val="tx1"/>
            </w14:solidFill>
          </w14:textFill>
        </w:rPr>
        <w:t>4、水土环境污染的预防控制任务：提高矿山废水综合利用率，减少有毒有害废水排放，防止水土环境污染；采取污染源阻断隔离工程，防止固体废物淋滤液污染地表水、地下水和土壤。</w:t>
      </w:r>
    </w:p>
    <w:p w14:paraId="54D8F547">
      <w:pPr>
        <w:widowControl/>
        <w:spacing w:line="360" w:lineRule="auto"/>
        <w:ind w:firstLine="560" w:firstLineChars="200"/>
        <w:rPr>
          <w:rFonts w:hint="default" w:ascii="Times New Roman" w:hAnsi="Times New Roman" w:eastAsia="宋体" w:cs="Times New Roman"/>
          <w:color w:val="000000" w:themeColor="text1"/>
          <w:kern w:val="0"/>
          <w:sz w:val="28"/>
          <w:szCs w:val="28"/>
          <w14:textFill>
            <w14:solidFill>
              <w14:schemeClr w14:val="tx1"/>
            </w14:solidFill>
          </w14:textFill>
        </w:rPr>
      </w:pPr>
      <w:r>
        <w:rPr>
          <w:rFonts w:hint="default" w:ascii="Times New Roman" w:hAnsi="Times New Roman" w:eastAsia="宋体" w:cs="Times New Roman"/>
          <w:color w:val="000000" w:themeColor="text1"/>
          <w:kern w:val="0"/>
          <w:sz w:val="28"/>
          <w:szCs w:val="28"/>
          <w14:textFill>
            <w14:solidFill>
              <w14:schemeClr w14:val="tx1"/>
            </w14:solidFill>
          </w14:textFill>
        </w:rPr>
        <w:t>5、矿区土地复垦预防任务：制定对矿业活动损毁土地、植被资源进行恢复治理的方案，并采取有针对性的工程措施及临时防护措施，减小和控制被损毁土。地的面积和程度，改善矿区生态环境，确保矿业开发与区域生态环境和人文环境的协调发展。</w:t>
      </w:r>
    </w:p>
    <w:p w14:paraId="2D01B8A1">
      <w:pPr>
        <w:widowControl/>
        <w:spacing w:line="360" w:lineRule="auto"/>
        <w:ind w:firstLine="560" w:firstLineChars="200"/>
        <w:rPr>
          <w:rFonts w:hint="default" w:ascii="Times New Roman" w:hAnsi="Times New Roman" w:eastAsia="宋体" w:cs="Times New Roman"/>
          <w:color w:val="000000" w:themeColor="text1"/>
          <w:kern w:val="0"/>
          <w:sz w:val="28"/>
          <w:szCs w:val="28"/>
          <w14:textFill>
            <w14:solidFill>
              <w14:schemeClr w14:val="tx1"/>
            </w14:solidFill>
          </w14:textFill>
        </w:rPr>
      </w:pPr>
      <w:r>
        <w:rPr>
          <w:rFonts w:hint="default" w:ascii="Times New Roman" w:hAnsi="Times New Roman" w:eastAsia="宋体" w:cs="Times New Roman"/>
          <w:color w:val="000000" w:themeColor="text1"/>
          <w:kern w:val="0"/>
          <w:sz w:val="28"/>
          <w:szCs w:val="28"/>
          <w14:textFill>
            <w14:solidFill>
              <w14:schemeClr w14:val="tx1"/>
            </w14:solidFill>
          </w14:textFill>
        </w:rPr>
        <w:t>6、固体废弃物处理</w:t>
      </w:r>
    </w:p>
    <w:p w14:paraId="291D58BB">
      <w:pPr>
        <w:widowControl/>
        <w:spacing w:line="360" w:lineRule="auto"/>
        <w:ind w:firstLine="560" w:firstLineChars="200"/>
        <w:rPr>
          <w:rFonts w:hint="default" w:ascii="Times New Roman" w:hAnsi="Times New Roman" w:eastAsia="宋体" w:cs="Times New Roman"/>
          <w:color w:val="000000" w:themeColor="text1"/>
          <w:sz w:val="28"/>
          <w:szCs w:val="28"/>
          <w:lang w:eastAsia="zh-CN"/>
          <w14:textFill>
            <w14:solidFill>
              <w14:schemeClr w14:val="tx1"/>
            </w14:solidFill>
          </w14:textFill>
        </w:rPr>
      </w:pPr>
      <w:r>
        <w:rPr>
          <w:rFonts w:hint="default" w:ascii="Times New Roman" w:hAnsi="Times New Roman" w:eastAsia="宋体" w:cs="Times New Roman"/>
          <w:color w:val="000000" w:themeColor="text1"/>
          <w:kern w:val="0"/>
          <w:sz w:val="28"/>
          <w:szCs w:val="28"/>
          <w14:textFill>
            <w14:solidFill>
              <w14:schemeClr w14:val="tx1"/>
            </w14:solidFill>
          </w14:textFill>
        </w:rPr>
        <w:t>表层土临时堆存，用于后期矿山生态修复，矿山产生的废弃物主要为矿山职工生产生活垃圾，定期清运至市政垃圾处理厂集中处理即可。</w:t>
      </w:r>
    </w:p>
    <w:bookmarkEnd w:id="60"/>
    <w:bookmarkEnd w:id="61"/>
    <w:p w14:paraId="3B5ADBA0">
      <w:pPr>
        <w:pStyle w:val="3"/>
        <w:spacing w:before="0" w:beforeLines="0"/>
        <w:jc w:val="center"/>
        <w:rPr>
          <w:color w:val="000000" w:themeColor="text1"/>
          <w14:textFill>
            <w14:solidFill>
              <w14:schemeClr w14:val="tx1"/>
            </w14:solidFill>
          </w14:textFill>
        </w:rPr>
      </w:pPr>
      <w:bookmarkStart w:id="62" w:name="_Toc17227"/>
      <w:r>
        <w:rPr>
          <w:rFonts w:hint="eastAsia"/>
          <w:color w:val="000000" w:themeColor="text1"/>
          <w:lang w:val="en-US" w:eastAsia="zh-CN"/>
          <w14:textFill>
            <w14:solidFill>
              <w14:schemeClr w14:val="tx1"/>
            </w14:solidFill>
          </w14:textFill>
        </w:rPr>
        <w:t xml:space="preserve">第二节  </w:t>
      </w:r>
      <w:r>
        <w:rPr>
          <w:rFonts w:hint="eastAsia"/>
          <w:color w:val="000000" w:themeColor="text1"/>
          <w14:textFill>
            <w14:solidFill>
              <w14:schemeClr w14:val="tx1"/>
            </w14:solidFill>
          </w14:textFill>
        </w:rPr>
        <w:t>修复措施</w:t>
      </w:r>
      <w:bookmarkEnd w:id="62"/>
    </w:p>
    <w:p w14:paraId="27A85148">
      <w:pPr>
        <w:pStyle w:val="5"/>
        <w:bidi w:val="0"/>
        <w:spacing w:line="360" w:lineRule="auto"/>
        <w:ind w:firstLine="562" w:firstLineChars="200"/>
        <w:rPr>
          <w:rFonts w:hint="eastAsia"/>
          <w:b/>
          <w:bCs/>
          <w:color w:val="000000" w:themeColor="text1"/>
          <w:sz w:val="28"/>
          <w:szCs w:val="24"/>
          <w:lang w:val="en-US" w:eastAsia="zh-CN"/>
          <w14:textFill>
            <w14:solidFill>
              <w14:schemeClr w14:val="tx1"/>
            </w14:solidFill>
          </w14:textFill>
        </w:rPr>
      </w:pPr>
      <w:r>
        <w:rPr>
          <w:rFonts w:hint="eastAsia"/>
          <w:b/>
          <w:bCs/>
          <w:color w:val="000000" w:themeColor="text1"/>
          <w:sz w:val="28"/>
          <w:szCs w:val="24"/>
          <w:lang w:val="en-US" w:eastAsia="zh-CN"/>
          <w14:textFill>
            <w14:solidFill>
              <w14:schemeClr w14:val="tx1"/>
            </w14:solidFill>
          </w14:textFill>
        </w:rPr>
        <w:t>一、地貌重塑</w:t>
      </w:r>
    </w:p>
    <w:p w14:paraId="24DC5E71">
      <w:pPr>
        <w:tabs>
          <w:tab w:val="left" w:pos="870"/>
        </w:tabs>
        <w:spacing w:line="360" w:lineRule="auto"/>
        <w:ind w:firstLine="560" w:firstLineChars="200"/>
        <w:rPr>
          <w:rFonts w:hint="eastAsia"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在推进地貌修复工程时，地貌重塑作业，避免分阶段施工导致的生态断档实现“地貌平整-土壤改良-保水固土”的区域化连续作业。</w:t>
      </w:r>
    </w:p>
    <w:p w14:paraId="48591F5B">
      <w:pPr>
        <w:tabs>
          <w:tab w:val="left" w:pos="870"/>
        </w:tabs>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针对露天采场内局部不稳定岩质边坡、浮石，进行危岩体清理。施工时尽量利用原有平台进行规整、减少坡度角，并对坡面松散堆积体进行清理，然后采取机械和人工相结合的办法，对不规则且坡度较大的土质斜坡进行降坡，增强坡体稳定性；对表层坑洼不平的区域进行场地平整，同时采用人工和机械相结合的方式对平整后的表面进行必要的碾压，平整坡度基本控制在2~10%之间，使平整后的地形坡度与当地地形坡度相协调。</w:t>
      </w:r>
    </w:p>
    <w:p w14:paraId="275F96AE">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auto"/>
        <w:rPr>
          <w:rFonts w:hint="default" w:ascii="Times New Roman" w:hAnsi="Times New Roman" w:eastAsia="宋体" w:cs="Times New Roman"/>
          <w:color w:val="000000" w:themeColor="text1"/>
          <w:sz w:val="28"/>
          <w:szCs w:val="28"/>
          <w:highlight w:val="none"/>
          <w14:textFill>
            <w14:solidFill>
              <w14:schemeClr w14:val="tx1"/>
            </w14:solidFill>
          </w14:textFill>
        </w:rPr>
      </w:pP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8"/>
          <w:szCs w:val="28"/>
          <w:highlight w:val="none"/>
          <w14:textFill>
            <w14:solidFill>
              <w14:schemeClr w14:val="tx1"/>
            </w14:solidFill>
          </w14:textFill>
        </w:rPr>
        <w:t>、危</w:t>
      </w:r>
      <w:r>
        <w:rPr>
          <w:rFonts w:hint="eastAsia" w:cs="Times New Roman"/>
          <w:color w:val="000000" w:themeColor="text1"/>
          <w:sz w:val="28"/>
          <w:szCs w:val="28"/>
          <w:highlight w:val="none"/>
          <w:lang w:val="en-US" w:eastAsia="zh-CN"/>
          <w14:textFill>
            <w14:solidFill>
              <w14:schemeClr w14:val="tx1"/>
            </w14:solidFill>
          </w14:textFill>
        </w:rPr>
        <w:t>土</w:t>
      </w:r>
      <w:r>
        <w:rPr>
          <w:rFonts w:hint="default" w:ascii="Times New Roman" w:hAnsi="Times New Roman" w:eastAsia="宋体" w:cs="Times New Roman"/>
          <w:color w:val="000000" w:themeColor="text1"/>
          <w:sz w:val="28"/>
          <w:szCs w:val="28"/>
          <w:highlight w:val="none"/>
          <w14:textFill>
            <w14:solidFill>
              <w14:schemeClr w14:val="tx1"/>
            </w14:solidFill>
          </w14:textFill>
        </w:rPr>
        <w:t>体清理</w:t>
      </w:r>
    </w:p>
    <w:p w14:paraId="64211D50">
      <w:pPr>
        <w:keepNext w:val="0"/>
        <w:keepLines w:val="0"/>
        <w:pageBreakBefore w:val="0"/>
        <w:widowControl/>
        <w:kinsoku/>
        <w:wordWrap/>
        <w:bidi w:val="0"/>
        <w:adjustRightInd/>
        <w:snapToGrid/>
        <w:spacing w:line="360" w:lineRule="auto"/>
        <w:ind w:firstLine="560" w:firstLineChars="200"/>
        <w:jc w:val="left"/>
        <w:textAlignment w:val="auto"/>
        <w:rPr>
          <w:rFonts w:hint="default" w:ascii="Times New Roman" w:hAnsi="Times New Roman" w:eastAsia="宋体" w:cs="Times New Roman"/>
          <w:b w:val="0"/>
          <w:bCs w:val="0"/>
          <w:color w:val="000000" w:themeColor="text1"/>
          <w:kern w:val="0"/>
          <w:sz w:val="28"/>
          <w:szCs w:val="28"/>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8"/>
          <w:szCs w:val="28"/>
          <w:highlight w:val="none"/>
          <w14:textFill>
            <w14:solidFill>
              <w14:schemeClr w14:val="tx1"/>
            </w14:solidFill>
          </w14:textFill>
        </w:rPr>
        <w:t>露天采场内局部不稳定</w:t>
      </w:r>
      <w:r>
        <w:rPr>
          <w:rFonts w:hint="eastAsia" w:cs="Times New Roman"/>
          <w:color w:val="000000" w:themeColor="text1"/>
          <w:sz w:val="28"/>
          <w:szCs w:val="28"/>
          <w:highlight w:val="none"/>
          <w:lang w:val="en-US" w:eastAsia="zh-CN"/>
          <w14:textFill>
            <w14:solidFill>
              <w14:schemeClr w14:val="tx1"/>
            </w14:solidFill>
          </w14:textFill>
        </w:rPr>
        <w:t>土</w:t>
      </w:r>
      <w:r>
        <w:rPr>
          <w:rFonts w:hint="default" w:ascii="Times New Roman" w:hAnsi="Times New Roman" w:eastAsia="宋体" w:cs="Times New Roman"/>
          <w:color w:val="000000" w:themeColor="text1"/>
          <w:sz w:val="28"/>
          <w:szCs w:val="28"/>
          <w:highlight w:val="none"/>
          <w14:textFill>
            <w14:solidFill>
              <w14:schemeClr w14:val="tx1"/>
            </w14:solidFill>
          </w14:textFill>
        </w:rPr>
        <w:t>质边坡，适宜采用局部清理</w:t>
      </w:r>
      <w:r>
        <w:rPr>
          <w:rFonts w:hint="eastAsia" w:cs="Times New Roman"/>
          <w:color w:val="000000" w:themeColor="text1"/>
          <w:sz w:val="28"/>
          <w:szCs w:val="28"/>
          <w:highlight w:val="none"/>
          <w:lang w:val="en-US" w:eastAsia="zh-CN"/>
          <w14:textFill>
            <w14:solidFill>
              <w14:schemeClr w14:val="tx1"/>
            </w14:solidFill>
          </w14:textFill>
        </w:rPr>
        <w:t>危土体的</w:t>
      </w:r>
      <w:r>
        <w:rPr>
          <w:rFonts w:hint="default" w:ascii="Times New Roman" w:hAnsi="Times New Roman" w:eastAsia="宋体" w:cs="Times New Roman"/>
          <w:color w:val="000000" w:themeColor="text1"/>
          <w:sz w:val="28"/>
          <w:szCs w:val="28"/>
          <w:highlight w:val="none"/>
          <w14:textFill>
            <w14:solidFill>
              <w14:schemeClr w14:val="tx1"/>
            </w14:solidFill>
          </w14:textFill>
        </w:rPr>
        <w:t>方式进行防治的工程。本次方案设计将其凌空危</w:t>
      </w:r>
      <w:r>
        <w:rPr>
          <w:rFonts w:hint="eastAsia" w:cs="Times New Roman"/>
          <w:color w:val="000000" w:themeColor="text1"/>
          <w:sz w:val="28"/>
          <w:szCs w:val="28"/>
          <w:highlight w:val="none"/>
          <w:lang w:val="en-US" w:eastAsia="zh-CN"/>
          <w14:textFill>
            <w14:solidFill>
              <w14:schemeClr w14:val="tx1"/>
            </w14:solidFill>
          </w14:textFill>
        </w:rPr>
        <w:t>土体</w:t>
      </w:r>
      <w:r>
        <w:rPr>
          <w:rFonts w:hint="default" w:ascii="Times New Roman" w:hAnsi="Times New Roman" w:eastAsia="宋体" w:cs="Times New Roman"/>
          <w:color w:val="000000" w:themeColor="text1"/>
          <w:sz w:val="28"/>
          <w:szCs w:val="28"/>
          <w:highlight w:val="none"/>
          <w14:textFill>
            <w14:solidFill>
              <w14:schemeClr w14:val="tx1"/>
            </w14:solidFill>
          </w14:textFill>
        </w:rPr>
        <w:t>进行机械</w:t>
      </w:r>
      <w:r>
        <w:rPr>
          <w:rFonts w:hint="eastAsia" w:cs="Times New Roman"/>
          <w:color w:val="000000" w:themeColor="text1"/>
          <w:sz w:val="28"/>
          <w:szCs w:val="28"/>
          <w:highlight w:val="none"/>
          <w:lang w:val="en-US" w:eastAsia="zh-CN"/>
          <w14:textFill>
            <w14:solidFill>
              <w14:schemeClr w14:val="tx1"/>
            </w14:solidFill>
          </w14:textFill>
        </w:rPr>
        <w:t>清理</w:t>
      </w:r>
      <w:r>
        <w:rPr>
          <w:rFonts w:hint="default" w:ascii="Times New Roman" w:hAnsi="Times New Roman" w:eastAsia="宋体" w:cs="Times New Roman"/>
          <w:color w:val="000000" w:themeColor="text1"/>
          <w:sz w:val="28"/>
          <w:szCs w:val="28"/>
          <w:highlight w:val="none"/>
          <w14:textFill>
            <w14:solidFill>
              <w14:schemeClr w14:val="tx1"/>
            </w14:solidFill>
          </w14:textFill>
        </w:rPr>
        <w:t>，减小其崩落的可能性。</w:t>
      </w:r>
    </w:p>
    <w:p w14:paraId="38104B99">
      <w:pPr>
        <w:tabs>
          <w:tab w:val="left" w:pos="870"/>
        </w:tabs>
        <w:spacing w:line="360" w:lineRule="auto"/>
        <w:ind w:firstLine="560" w:firstLineChars="200"/>
        <w:rPr>
          <w:rFonts w:hint="eastAsia" w:ascii="Times New Roman" w:hAnsi="Times New Roman" w:cs="Times New Roman"/>
          <w:color w:val="000000" w:themeColor="text1"/>
          <w:sz w:val="28"/>
          <w:szCs w:val="28"/>
          <w:lang w:val="en-US"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2</w:t>
      </w:r>
      <w:r>
        <w:rPr>
          <w:rFonts w:hint="eastAsia" w:ascii="Times New Roman" w:hAnsi="Times New Roman" w:cs="Times New Roman"/>
          <w:color w:val="000000" w:themeColor="text1"/>
          <w:sz w:val="28"/>
          <w:szCs w:val="28"/>
          <w:lang w:val="en-US" w:eastAsia="zh-CN"/>
          <w14:textFill>
            <w14:solidFill>
              <w14:schemeClr w14:val="tx1"/>
            </w14:solidFill>
          </w14:textFill>
        </w:rPr>
        <w:t>、回填</w:t>
      </w:r>
    </w:p>
    <w:p w14:paraId="162ADDD9">
      <w:pPr>
        <w:tabs>
          <w:tab w:val="left" w:pos="870"/>
        </w:tabs>
        <w:spacing w:line="360" w:lineRule="auto"/>
        <w:ind w:firstLine="560" w:firstLineChars="200"/>
        <w:rPr>
          <w:rFonts w:hint="eastAsia" w:ascii="Times New Roman" w:hAnsi="Times New Roman" w:cs="Times New Roman"/>
          <w:color w:val="000000" w:themeColor="text1"/>
          <w:sz w:val="28"/>
          <w:szCs w:val="28"/>
          <w:lang w:val="en-US" w:eastAsia="zh-CN"/>
          <w14:textFill>
            <w14:solidFill>
              <w14:schemeClr w14:val="tx1"/>
            </w14:solidFill>
          </w14:textFill>
        </w:rPr>
      </w:pPr>
      <w:r>
        <w:rPr>
          <w:rFonts w:hint="eastAsia" w:ascii="Times New Roman" w:hAnsi="Times New Roman" w:cs="Times New Roman"/>
          <w:color w:val="000000" w:themeColor="text1"/>
          <w:sz w:val="28"/>
          <w:szCs w:val="28"/>
          <w:lang w:val="en-US" w:eastAsia="zh-CN"/>
          <w14:textFill>
            <w14:solidFill>
              <w14:schemeClr w14:val="tx1"/>
            </w14:solidFill>
          </w14:textFill>
        </w:rPr>
        <w:t>矿山后期采矿活动产生的表土将集中堆放至拟建表土存放场内，待矿山终采后回填露天采场。</w:t>
      </w:r>
    </w:p>
    <w:p w14:paraId="74F11D53">
      <w:pPr>
        <w:tabs>
          <w:tab w:val="left" w:pos="870"/>
        </w:tabs>
        <w:spacing w:line="360" w:lineRule="auto"/>
        <w:ind w:firstLine="560" w:firstLineChars="200"/>
        <w:rPr>
          <w:rFonts w:hint="eastAsia" w:ascii="Times New Roman" w:hAnsi="Times New Roman" w:cs="Times New Roman"/>
          <w:color w:val="000000" w:themeColor="text1"/>
          <w:sz w:val="28"/>
          <w:szCs w:val="28"/>
          <w:lang w:val="en-US"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3</w:t>
      </w:r>
      <w:r>
        <w:rPr>
          <w:rFonts w:hint="eastAsia" w:ascii="Times New Roman" w:hAnsi="Times New Roman" w:cs="Times New Roman"/>
          <w:color w:val="000000" w:themeColor="text1"/>
          <w:sz w:val="28"/>
          <w:szCs w:val="28"/>
          <w:lang w:val="en-US" w:eastAsia="zh-CN"/>
          <w14:textFill>
            <w14:solidFill>
              <w14:schemeClr w14:val="tx1"/>
            </w14:solidFill>
          </w14:textFill>
        </w:rPr>
        <w:t>、拆除</w:t>
      </w:r>
    </w:p>
    <w:p w14:paraId="7AE2D3A6">
      <w:pPr>
        <w:tabs>
          <w:tab w:val="left" w:pos="870"/>
        </w:tabs>
        <w:spacing w:line="360" w:lineRule="auto"/>
        <w:ind w:firstLine="560" w:firstLineChars="200"/>
        <w:rPr>
          <w:rFonts w:hint="eastAsia" w:ascii="Times New Roman" w:hAnsi="Times New Roman" w:cs="Times New Roman"/>
          <w:color w:val="000000" w:themeColor="text1"/>
          <w:sz w:val="28"/>
          <w:szCs w:val="28"/>
          <w:lang w:val="en-US" w:eastAsia="zh-CN"/>
          <w14:textFill>
            <w14:solidFill>
              <w14:schemeClr w14:val="tx1"/>
            </w14:solidFill>
          </w14:textFill>
        </w:rPr>
      </w:pPr>
      <w:r>
        <w:rPr>
          <w:rFonts w:hint="eastAsia" w:ascii="Times New Roman" w:hAnsi="Times New Roman" w:cs="Times New Roman"/>
          <w:color w:val="000000" w:themeColor="text1"/>
          <w:sz w:val="28"/>
          <w:szCs w:val="28"/>
          <w:lang w:val="en-US" w:eastAsia="zh-CN"/>
          <w14:textFill>
            <w14:solidFill>
              <w14:schemeClr w14:val="tx1"/>
            </w14:solidFill>
          </w14:textFill>
        </w:rPr>
        <w:t>对矿山建筑物进行拆除，以及地表硬化层等废渣进行剥离，拆除后利用自卸汽车装运，清理出来的砌体、混凝土及废渣到指定的弃渣场统一处理。</w:t>
      </w:r>
    </w:p>
    <w:p w14:paraId="699ABF63">
      <w:pPr>
        <w:tabs>
          <w:tab w:val="left" w:pos="870"/>
        </w:tabs>
        <w:spacing w:line="360" w:lineRule="auto"/>
        <w:ind w:firstLine="560" w:firstLineChars="200"/>
        <w:rPr>
          <w:rFonts w:hint="eastAsia" w:ascii="Times New Roman" w:hAnsi="Times New Roman" w:cs="Times New Roman"/>
          <w:color w:val="000000" w:themeColor="text1"/>
          <w:sz w:val="28"/>
          <w:szCs w:val="28"/>
          <w:lang w:val="en-US"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4</w:t>
      </w:r>
      <w:r>
        <w:rPr>
          <w:rFonts w:hint="eastAsia" w:ascii="Times New Roman" w:hAnsi="Times New Roman" w:cs="Times New Roman"/>
          <w:color w:val="000000" w:themeColor="text1"/>
          <w:sz w:val="28"/>
          <w:szCs w:val="28"/>
          <w:lang w:val="en-US" w:eastAsia="zh-CN"/>
          <w14:textFill>
            <w14:solidFill>
              <w14:schemeClr w14:val="tx1"/>
            </w14:solidFill>
          </w14:textFill>
        </w:rPr>
        <w:t>、清运</w:t>
      </w:r>
    </w:p>
    <w:p w14:paraId="5442F5DE">
      <w:pPr>
        <w:tabs>
          <w:tab w:val="left" w:pos="870"/>
        </w:tabs>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ascii="Times New Roman" w:hAnsi="Times New Roman" w:cs="Times New Roman"/>
          <w:color w:val="000000" w:themeColor="text1"/>
          <w:sz w:val="28"/>
          <w:szCs w:val="28"/>
          <w:lang w:val="en-US" w:eastAsia="zh-CN"/>
          <w14:textFill>
            <w14:solidFill>
              <w14:schemeClr w14:val="tx1"/>
            </w14:solidFill>
          </w14:textFill>
        </w:rPr>
        <w:t>清运利用自卸汽车装运，清理过程中，要求地表清理平整干净，避免出现杂乱、高低不平的地段。</w:t>
      </w:r>
    </w:p>
    <w:p w14:paraId="352E4000">
      <w:pPr>
        <w:tabs>
          <w:tab w:val="left" w:pos="870"/>
        </w:tabs>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ascii="Times New Roman" w:hAnsi="Times New Roman" w:cs="Times New Roman"/>
          <w:color w:val="000000" w:themeColor="text1"/>
          <w:sz w:val="28"/>
          <w:szCs w:val="28"/>
          <w:lang w:val="en-US" w:eastAsia="zh-CN"/>
          <w14:textFill>
            <w14:solidFill>
              <w14:schemeClr w14:val="tx1"/>
            </w14:solidFill>
          </w14:textFill>
        </w:rPr>
        <w:t>5</w:t>
      </w:r>
      <w:r>
        <w:rPr>
          <w:rFonts w:hint="default" w:ascii="Times New Roman" w:hAnsi="Times New Roman" w:cs="Times New Roman"/>
          <w:color w:val="000000" w:themeColor="text1"/>
          <w:sz w:val="28"/>
          <w:szCs w:val="28"/>
          <w14:textFill>
            <w14:solidFill>
              <w14:schemeClr w14:val="tx1"/>
            </w14:solidFill>
          </w14:textFill>
        </w:rPr>
        <w:t>、垫坡整形</w:t>
      </w:r>
    </w:p>
    <w:p w14:paraId="3E4E0C03">
      <w:pPr>
        <w:keepNext w:val="0"/>
        <w:keepLines w:val="0"/>
        <w:pageBreakBefore w:val="0"/>
        <w:widowControl/>
        <w:kinsoku/>
        <w:wordWrap/>
        <w:bidi w:val="0"/>
        <w:adjustRightInd/>
        <w:snapToGrid/>
        <w:spacing w:line="360" w:lineRule="auto"/>
        <w:ind w:firstLine="560" w:firstLineChars="200"/>
        <w:jc w:val="left"/>
        <w:textAlignment w:val="auto"/>
        <w:rPr>
          <w:rFonts w:hint="default" w:ascii="Times New Roman" w:hAnsi="Times New Roman" w:eastAsia="宋体" w:cs="Times New Roman"/>
          <w:b w:val="0"/>
          <w:bCs w:val="0"/>
          <w:color w:val="000000" w:themeColor="text1"/>
          <w:kern w:val="0"/>
          <w:sz w:val="28"/>
          <w:szCs w:val="28"/>
          <w:highlight w:val="none"/>
          <w:lang w:val="en-US" w:eastAsia="zh-CN" w:bidi="ar"/>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采用削高垫低的整形方式使整形边坡降缓坡度，使整形后边坡角度≤25°确保治理后的场地最大限度的与周围地形地貌景观相协调，无凹凸、切坡和陡坎存在。</w:t>
      </w:r>
    </w:p>
    <w:p w14:paraId="26BAD024">
      <w:pPr>
        <w:pStyle w:val="5"/>
        <w:bidi w:val="0"/>
        <w:spacing w:line="360" w:lineRule="auto"/>
        <w:ind w:firstLine="562" w:firstLineChars="200"/>
        <w:rPr>
          <w:rFonts w:hint="eastAsia"/>
          <w:b/>
          <w:bCs/>
          <w:color w:val="000000" w:themeColor="text1"/>
          <w:sz w:val="28"/>
          <w:szCs w:val="24"/>
          <w:lang w:val="en-US" w:eastAsia="zh-CN"/>
          <w14:textFill>
            <w14:solidFill>
              <w14:schemeClr w14:val="tx1"/>
            </w14:solidFill>
          </w14:textFill>
        </w:rPr>
      </w:pPr>
      <w:r>
        <w:rPr>
          <w:rFonts w:hint="eastAsia"/>
          <w:b/>
          <w:bCs/>
          <w:color w:val="000000" w:themeColor="text1"/>
          <w:sz w:val="28"/>
          <w:szCs w:val="24"/>
          <w:lang w:val="en-US" w:eastAsia="zh-CN"/>
          <w14:textFill>
            <w14:solidFill>
              <w14:schemeClr w14:val="tx1"/>
            </w14:solidFill>
          </w14:textFill>
        </w:rPr>
        <w:t>二、土壤重构</w:t>
      </w:r>
    </w:p>
    <w:p w14:paraId="67CFB3A4">
      <w:pPr>
        <w:tabs>
          <w:tab w:val="left" w:pos="870"/>
        </w:tabs>
        <w:spacing w:line="360" w:lineRule="auto"/>
        <w:ind w:firstLine="560" w:firstLineChars="200"/>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土壤重构应在工程场地永久性场地或者边坡平台形成后开始实施，矿区前期剥离表土</w:t>
      </w:r>
      <w:r>
        <w:rPr>
          <w:rFonts w:hint="eastAsia" w:cs="Times New Roman"/>
          <w:color w:val="000000" w:themeColor="text1"/>
          <w:sz w:val="28"/>
          <w:szCs w:val="28"/>
          <w:lang w:val="en-US" w:eastAsia="zh-CN"/>
          <w14:textFill>
            <w14:solidFill>
              <w14:schemeClr w14:val="tx1"/>
            </w14:solidFill>
          </w14:textFill>
        </w:rPr>
        <w:t>及拟建设场地剥离表土作为</w:t>
      </w:r>
      <w:r>
        <w:rPr>
          <w:rFonts w:hint="default" w:ascii="Times New Roman" w:hAnsi="Times New Roman" w:cs="Times New Roman"/>
          <w:color w:val="000000" w:themeColor="text1"/>
          <w:sz w:val="28"/>
          <w:szCs w:val="28"/>
          <w14:textFill>
            <w14:solidFill>
              <w14:schemeClr w14:val="tx1"/>
            </w14:solidFill>
          </w14:textFill>
        </w:rPr>
        <w:t>复垦</w:t>
      </w:r>
      <w:r>
        <w:rPr>
          <w:rFonts w:hint="eastAsia" w:cs="Times New Roman"/>
          <w:color w:val="000000" w:themeColor="text1"/>
          <w:sz w:val="28"/>
          <w:szCs w:val="28"/>
          <w:lang w:val="en-US" w:eastAsia="zh-CN"/>
          <w14:textFill>
            <w14:solidFill>
              <w14:schemeClr w14:val="tx1"/>
            </w14:solidFill>
          </w14:textFill>
        </w:rPr>
        <w:t>土源</w:t>
      </w:r>
      <w:r>
        <w:rPr>
          <w:rFonts w:hint="default" w:ascii="Times New Roman" w:hAnsi="Times New Roman" w:cs="Times New Roman"/>
          <w:color w:val="000000" w:themeColor="text1"/>
          <w:sz w:val="28"/>
          <w:szCs w:val="28"/>
          <w14:textFill>
            <w14:solidFill>
              <w14:schemeClr w14:val="tx1"/>
            </w14:solidFill>
          </w14:textFill>
        </w:rPr>
        <w:t>使用</w:t>
      </w:r>
      <w:r>
        <w:rPr>
          <w:rFonts w:hint="eastAsia" w:cs="Times New Roman"/>
          <w:color w:val="000000" w:themeColor="text1"/>
          <w:sz w:val="28"/>
          <w:szCs w:val="28"/>
          <w:lang w:val="en-US" w:eastAsia="zh-CN"/>
          <w14:textFill>
            <w14:solidFill>
              <w14:schemeClr w14:val="tx1"/>
            </w14:solidFill>
          </w14:textFill>
        </w:rPr>
        <w:t>。</w:t>
      </w:r>
    </w:p>
    <w:p w14:paraId="5D58E1A6">
      <w:pPr>
        <w:spacing w:line="360" w:lineRule="auto"/>
        <w:ind w:firstLine="560" w:firstLineChars="200"/>
        <w:rPr>
          <w:rFonts w:hint="eastAsia" w:cs="Times New Roman"/>
          <w:snapToGrid w:val="0"/>
          <w:color w:val="000000" w:themeColor="text1"/>
          <w:sz w:val="28"/>
          <w:szCs w:val="28"/>
          <w:highlight w:val="none"/>
          <w:lang w:val="en-US" w:eastAsia="zh-CN"/>
          <w14:textFill>
            <w14:solidFill>
              <w14:schemeClr w14:val="tx1"/>
            </w14:solidFill>
          </w14:textFill>
        </w:rPr>
      </w:pPr>
      <w:r>
        <w:rPr>
          <w:rFonts w:hint="eastAsia" w:cs="Times New Roman"/>
          <w:snapToGrid w:val="0"/>
          <w:color w:val="000000" w:themeColor="text1"/>
          <w:sz w:val="28"/>
          <w:szCs w:val="28"/>
          <w:highlight w:val="none"/>
          <w:lang w:val="en-US" w:eastAsia="zh-CN"/>
          <w14:textFill>
            <w14:solidFill>
              <w14:schemeClr w14:val="tx1"/>
            </w14:solidFill>
          </w14:textFill>
        </w:rPr>
        <w:t>1、表土剥离</w:t>
      </w:r>
    </w:p>
    <w:p w14:paraId="7C95F46F">
      <w:pPr>
        <w:spacing w:line="360" w:lineRule="auto"/>
        <w:ind w:firstLine="560" w:firstLineChars="200"/>
        <w:rPr>
          <w:rFonts w:hint="eastAsia" w:cs="Times New Roman"/>
          <w:snapToGrid w:val="0"/>
          <w:color w:val="000000" w:themeColor="text1"/>
          <w:sz w:val="28"/>
          <w:szCs w:val="28"/>
          <w:highlight w:val="none"/>
          <w:lang w:val="en-US" w:eastAsia="zh-CN"/>
          <w14:textFill>
            <w14:solidFill>
              <w14:schemeClr w14:val="tx1"/>
            </w14:solidFill>
          </w14:textFill>
        </w:rPr>
      </w:pPr>
      <w:r>
        <w:rPr>
          <w:rFonts w:hint="eastAsia" w:cs="Times New Roman"/>
          <w:snapToGrid w:val="0"/>
          <w:color w:val="000000" w:themeColor="text1"/>
          <w:sz w:val="28"/>
          <w:szCs w:val="28"/>
          <w:highlight w:val="none"/>
          <w:lang w:val="en-US" w:eastAsia="zh-CN"/>
          <w14:textFill>
            <w14:solidFill>
              <w14:schemeClr w14:val="tx1"/>
            </w14:solidFill>
          </w14:textFill>
        </w:rPr>
        <w:t>表层土壤是经过多年作用形成的熟化土壤，是深层生土所不能替代的，对复垦后植被的成活以及复垦效果的好坏有着重要的影响。本项目表土剥离工程对拟建场地区域进行表土剥离，剥离的表土后期用于露天采场的回填。</w:t>
      </w:r>
    </w:p>
    <w:p w14:paraId="0004A2A7">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、翻耕</w:t>
      </w:r>
    </w:p>
    <w:p w14:paraId="45048EEF">
      <w:pPr>
        <w:spacing w:line="360" w:lineRule="auto"/>
        <w:ind w:firstLine="560" w:firstLineChars="200"/>
        <w:rPr>
          <w:rFonts w:hint="default" w:ascii="Times New Roman" w:hAnsi="Times New Roman" w:eastAsia="宋体" w:cs="Times New Roman"/>
          <w:snapToGrid w:val="0"/>
          <w:color w:val="000000" w:themeColor="text1"/>
          <w:sz w:val="28"/>
          <w:szCs w:val="28"/>
          <w:highlight w:val="none"/>
          <w:lang w:val="en-US" w:eastAsia="zh-CN"/>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土地平整造成一定的土壤压实，使土壤对降雨入渗能力降低。为了恢复土地的使用功能，翻松地表土地，翻耕采用拖拉机和三铧犁，打破紧实层，疏松土壤，增加透水透气性能，提高抗旱耐涝能力。</w:t>
      </w:r>
    </w:p>
    <w:p w14:paraId="7543E543">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、土地平整</w:t>
      </w:r>
    </w:p>
    <w:p w14:paraId="48BF3074">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土地平整工程主要是对场地进行机械平整，防止地面起伏、水土流失，改善土壤结构，为进一步的植被恢复工程创造良好的条件。用平地机对场地进行平整，使场地尽可能平坦避免出现高低不平的地段，最终使地面达到平整并达到植被立地条件。</w:t>
      </w:r>
    </w:p>
    <w:p w14:paraId="47F2757A">
      <w:pPr>
        <w:rPr>
          <w:rFonts w:hint="eastAsia" w:cs="Times New Roman"/>
          <w:color w:val="000000" w:themeColor="text1"/>
          <w:sz w:val="28"/>
          <w:szCs w:val="28"/>
          <w:lang w:val="en-US"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br w:type="page"/>
      </w:r>
    </w:p>
    <w:p w14:paraId="6FED6BFF">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4</w:t>
      </w:r>
      <w:r>
        <w:rPr>
          <w:rFonts w:hint="default" w:ascii="Times New Roman" w:hAnsi="Times New Roman" w:cs="Times New Roman"/>
          <w:color w:val="000000" w:themeColor="text1"/>
          <w:sz w:val="28"/>
          <w:szCs w:val="28"/>
          <w14:textFill>
            <w14:solidFill>
              <w14:schemeClr w14:val="tx1"/>
            </w14:solidFill>
          </w14:textFill>
        </w:rPr>
        <w:t>、陪肥改良</w:t>
      </w:r>
    </w:p>
    <w:p w14:paraId="50B9907C">
      <w:pPr>
        <w:widowControl/>
        <w:spacing w:line="360" w:lineRule="auto"/>
        <w:ind w:firstLine="560" w:firstLineChars="200"/>
        <w:rPr>
          <w:rFonts w:hint="eastAsia" w:cs="Times New Roman"/>
          <w:color w:val="000000" w:themeColor="text1"/>
          <w:sz w:val="28"/>
          <w:szCs w:val="28"/>
          <w:lang w:val="en-US" w:eastAsia="zh-CN"/>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通过物理改良工艺，增施腐熟有机肥，如羊粪、堆肥，通过有机质分解产生有机酸，缓慢调节pH值，消除其不良影响，良土壤的性质，施用量为每公顷500kg，施肥应选择阴雨天进行，施用方式草地为撒施，林木则将肥料拌合于填土中，土壤培肥工程计入管护费用中。</w:t>
      </w:r>
    </w:p>
    <w:p w14:paraId="6FF7F22E">
      <w:pPr>
        <w:pStyle w:val="5"/>
        <w:bidi w:val="0"/>
        <w:spacing w:line="360" w:lineRule="auto"/>
        <w:ind w:firstLine="562" w:firstLineChars="200"/>
        <w:rPr>
          <w:rFonts w:hint="eastAsia"/>
          <w:b/>
          <w:bCs/>
          <w:color w:val="000000" w:themeColor="text1"/>
          <w:sz w:val="28"/>
          <w:szCs w:val="24"/>
          <w:lang w:val="en-US" w:eastAsia="zh-CN"/>
          <w14:textFill>
            <w14:solidFill>
              <w14:schemeClr w14:val="tx1"/>
            </w14:solidFill>
          </w14:textFill>
        </w:rPr>
      </w:pPr>
      <w:r>
        <w:rPr>
          <w:rFonts w:hint="eastAsia"/>
          <w:b/>
          <w:bCs/>
          <w:color w:val="000000" w:themeColor="text1"/>
          <w:sz w:val="28"/>
          <w:szCs w:val="24"/>
          <w:lang w:val="en-US" w:eastAsia="zh-CN"/>
          <w14:textFill>
            <w14:solidFill>
              <w14:schemeClr w14:val="tx1"/>
            </w14:solidFill>
          </w14:textFill>
        </w:rPr>
        <w:t>三、植被重建</w:t>
      </w:r>
    </w:p>
    <w:p w14:paraId="38B64924">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一</w:t>
      </w:r>
      <w:r>
        <w:rPr>
          <w:rFonts w:hint="default" w:ascii="Times New Roman" w:hAnsi="Times New Roman" w:cs="Times New Roman"/>
          <w:color w:val="000000" w:themeColor="text1"/>
          <w:sz w:val="28"/>
          <w:szCs w:val="28"/>
          <w14:textFill>
            <w14:solidFill>
              <w14:schemeClr w14:val="tx1"/>
            </w14:solidFill>
          </w14:textFill>
        </w:rPr>
        <w:t>）乔木林地植被重建</w:t>
      </w:r>
    </w:p>
    <w:p w14:paraId="0CC24D11">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1、苗木选择</w:t>
      </w:r>
    </w:p>
    <w:p w14:paraId="0EA6DB74">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树种：松树（备选榆树），选用2-3年生实生容器苗或裸根苗，苗高控制在50-80cm，地径≥0.8cm，要求主干通直、顶芽饱满、须根发达，无机械损伤、无松材线虫病等病虫害侵染痕迹。松树为常绿针叶乔木，耐寒耐旱、耐贫瘠，根系深扎能力强，能有效稳固土壤、减少水土流失，且四季常绿，可提升林地生态景观持续性。</w:t>
      </w:r>
    </w:p>
    <w:p w14:paraId="489FA219">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2、苗木预处理</w:t>
      </w:r>
    </w:p>
    <w:p w14:paraId="266E72C4">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松树、榆树裸根苗栽植前，先修剪破损根系、枯根、烂根，修剪切口保持平滑，避免根系腐烂感染；随后将苗木根系放入清水浸泡3-5h，充分补水，捞出后蘸取生根粉泥浆（按说明书配比生根粉与黏土），包裹根系形成泥浆保护层，减少根系水分蒸发，促进栽植后快速生根。</w:t>
      </w:r>
    </w:p>
    <w:p w14:paraId="68FDF46E">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3、栽植前场地准备</w:t>
      </w:r>
    </w:p>
    <w:p w14:paraId="570FCCB2">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全面清理项目区石块、建筑垃圾、杂草、枯落物等杂物，清理范围覆盖栽植区域及周边1m范围，避免杂物影响根系扎根与土壤透气透水性。完成基底覆土作业，覆土厚度控制在0.5m，优于草本种植覆土标准，适配乔木深根生长需求；覆土后采用机械配合人工方式深耕整地，深耕深度30-40cm，整平地表，破碎土块，使土壤疏松细碎，提升土壤透气性与保水性。</w:t>
      </w:r>
    </w:p>
    <w:p w14:paraId="0A391248">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4、栽植方式</w:t>
      </w:r>
    </w:p>
    <w:p w14:paraId="25E2887A">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将预处理后的苗木放入栽植穴中心，保持树干直立端正，扶正苗木，舒展根系，避免根系窝团、弯折，确保根系与土壤充分接触；容器苗栽植时需去除容器，保留完整土球，放入穴内后调整位置，保证栽植端正。先回填表层熟土至穴深1/2处，轻轻向上提苗1-2cm，使根系充分舒展，随后分层回填剩余土壤，每回填10-15cm厚土壤，采用人工踩实或轻型设备压实，确保土壤与根系紧密贴合，不留空隙；覆土高度与苗木原土痕平齐，严禁深栽埋苗或浅栽露根，深栽易导致根系闷烂，浅栽易造成苗木倒伏、失水。覆土完成后，在栽植穴周边围筑10cm高土堰，随即浇灌足量定根水，采用慢浇、透浇方式，确保水分完全渗透至根系深层土壤，浇完后待水分下渗，及时补充覆土，填补土壤裂缝，减少水分蒸发，助力苗木快速缓苗。</w:t>
      </w:r>
    </w:p>
    <w:p w14:paraId="3FB23E61">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5、栽植密度</w:t>
      </w:r>
    </w:p>
    <w:p w14:paraId="4761C8F1">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栽植密度为1111株/hm²，株行距统一为3m×3m；备选榆树栽植密度与松树保持一致，便于后期林地管护与植被更替，保障乔木群落规整均匀，快速形成郁闭林地，发挥固土保水、生态修复作用。</w:t>
      </w:r>
    </w:p>
    <w:p w14:paraId="011C257D">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6、栽植时间</w:t>
      </w:r>
    </w:p>
    <w:p w14:paraId="3960DDCB">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优先选择春季（4月上旬至5月上旬）栽植，此时土壤完全解冻，地温回升，土壤墒情适宜，苗木处于萌芽前休眠期，树液流动缓慢，栽植后根系能快速适应土壤环境，萌芽后长势旺盛，成活率最高。</w:t>
      </w:r>
    </w:p>
    <w:p w14:paraId="0648A72F">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其次可选择秋季（10月下旬至11月上旬）栽植，此时气温下降、水分蒸发量小，苗木落叶后进入休眠期，养分回流至根系，栽植后根系能缓慢愈合生长，次年春季可快速萌芽；秋季栽植需做好冬季防寒措施，避免幼苗冻害。</w:t>
      </w:r>
    </w:p>
    <w:p w14:paraId="59FADD8E">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严禁夏季高温时段、冬季严寒封冻期栽植，防止苗木高温失水、根系冻害，导致栽植失败。</w:t>
      </w:r>
    </w:p>
    <w:p w14:paraId="4021181B">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7、苗期管护</w:t>
      </w:r>
    </w:p>
    <w:p w14:paraId="6261C76D">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栽植后1个月内为缓苗关键期，每隔7-10天检查土壤墒情，遇干旱天气及时补水，保持土壤湿润但不积水；雨季及时疏通排水，避免栽植穴积水烂根，缓苗成活后，依据自然降水情况适度补水，无需频繁浇灌，锻炼苗木抗旱能力。</w:t>
      </w:r>
    </w:p>
    <w:p w14:paraId="37324D79">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（二）人工牧草地植被重建</w:t>
      </w:r>
    </w:p>
    <w:p w14:paraId="2069D9CC">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1、种子选择</w:t>
      </w:r>
    </w:p>
    <w:p w14:paraId="457F9CC0">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草本种子：羊草（多年生乡土禾本科草种，耐干旱、耐贫瘠，适应性强）、紫花苜蓿（多年生豆科牧草，可固氮改良土壤，提升植被群落稳定性）。</w:t>
      </w:r>
    </w:p>
    <w:p w14:paraId="6CCF54C2">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2、种子预处理</w:t>
      </w:r>
    </w:p>
    <w:p w14:paraId="3C347829">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草本种子（羊草、苜蓿）：采用清水浸泡处理，浸泡时长控制在12～24h，浸泡完成后捞出，置于通风阴凉处自然晾干（忌暴晒），待种子表面无游离水分、呈松散状态时即可播种。</w:t>
      </w:r>
    </w:p>
    <w:p w14:paraId="63963AAE">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3、播种前场地准备</w:t>
      </w:r>
    </w:p>
    <w:p w14:paraId="0A5141FF">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需完成基底覆土作业，覆土厚度为0.3m，覆土后对场地整平，清除石块、建筑垃圾等杂物，使土壤疏松、地表平整，为种子萌发和根系生长创造良好条件。</w:t>
      </w:r>
    </w:p>
    <w:p w14:paraId="4A9FCEF9">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4、播种方式</w:t>
      </w:r>
    </w:p>
    <w:p w14:paraId="44574F73">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采用撒播结合浅覆土镇压的方式，兼顾播种效率与出苗效果。撒播：在完成覆土整治的地块上，将预处理后的草本种子均匀撒播，确保种子分布无遗漏、无堆积；播深控制：撒播后立即进行浅覆土作业，播种深度严格控制在2～3cm，避免过深导致种子萌发困难，过浅造成种子风干或被鸟兽取食；镇压保墒：覆土完成后，采用轻型镇压设备（或人工石碾）对播种区域进行均匀镇压，使种子与土壤紧密接触，减少土壤孔隙，提升土壤保水能力，助力种子萌发。</w:t>
      </w:r>
    </w:p>
    <w:p w14:paraId="62F8B7DE">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5、播种量</w:t>
      </w:r>
    </w:p>
    <w:p w14:paraId="423BE641">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结合项目区立地条件及混播植被群落构建目标，确定总播种量为</w:t>
      </w:r>
      <w:r>
        <w:rPr>
          <w:rFonts w:hint="eastAsia" w:cs="Times New Roman"/>
          <w:color w:val="000000" w:themeColor="text1"/>
          <w:sz w:val="28"/>
          <w:szCs w:val="28"/>
          <w:lang w:val="en-US" w:eastAsia="zh-CN"/>
          <w14:textFill>
            <w14:solidFill>
              <w14:schemeClr w14:val="tx1"/>
            </w14:solidFill>
          </w14:textFill>
        </w:rPr>
        <w:t>4</w:t>
      </w:r>
      <w:r>
        <w:rPr>
          <w:rFonts w:hint="default" w:ascii="Times New Roman" w:hAnsi="Times New Roman" w:cs="Times New Roman"/>
          <w:color w:val="000000" w:themeColor="text1"/>
          <w:sz w:val="28"/>
          <w:szCs w:val="28"/>
          <w14:textFill>
            <w14:solidFill>
              <w14:schemeClr w14:val="tx1"/>
            </w14:solidFill>
          </w14:textFill>
        </w:rPr>
        <w:t>0kg/hm²，草本种子（羊草+苜蓿）：</w:t>
      </w:r>
      <w:r>
        <w:rPr>
          <w:rFonts w:hint="eastAsia" w:cs="Times New Roman"/>
          <w:color w:val="000000" w:themeColor="text1"/>
          <w:sz w:val="28"/>
          <w:szCs w:val="28"/>
          <w:lang w:val="en-US" w:eastAsia="zh-CN"/>
          <w14:textFill>
            <w14:solidFill>
              <w14:schemeClr w14:val="tx1"/>
            </w14:solidFill>
          </w14:textFill>
        </w:rPr>
        <w:t>40</w:t>
      </w:r>
      <w:r>
        <w:rPr>
          <w:rFonts w:hint="default" w:ascii="Times New Roman" w:hAnsi="Times New Roman" w:cs="Times New Roman"/>
          <w:color w:val="000000" w:themeColor="text1"/>
          <w:sz w:val="28"/>
          <w:szCs w:val="28"/>
          <w14:textFill>
            <w14:solidFill>
              <w14:schemeClr w14:val="tx1"/>
            </w14:solidFill>
          </w14:textFill>
        </w:rPr>
        <w:t>kg/hm²（羊草2</w:t>
      </w:r>
      <w:r>
        <w:rPr>
          <w:rFonts w:hint="eastAsia" w:cs="Times New Roman"/>
          <w:color w:val="000000" w:themeColor="text1"/>
          <w:sz w:val="28"/>
          <w:szCs w:val="28"/>
          <w:lang w:val="en-US" w:eastAsia="zh-CN"/>
          <w14:textFill>
            <w14:solidFill>
              <w14:schemeClr w14:val="tx1"/>
            </w14:solidFill>
          </w14:textFill>
        </w:rPr>
        <w:t>4</w:t>
      </w:r>
      <w:r>
        <w:rPr>
          <w:rFonts w:hint="default" w:ascii="Times New Roman" w:hAnsi="Times New Roman" w:cs="Times New Roman"/>
          <w:color w:val="000000" w:themeColor="text1"/>
          <w:sz w:val="28"/>
          <w:szCs w:val="28"/>
          <w14:textFill>
            <w14:solidFill>
              <w14:schemeClr w14:val="tx1"/>
            </w14:solidFill>
          </w14:textFill>
        </w:rPr>
        <w:t>kg/hm²、苜蓿</w:t>
      </w:r>
      <w:r>
        <w:rPr>
          <w:rFonts w:hint="eastAsia" w:cs="Times New Roman"/>
          <w:color w:val="000000" w:themeColor="text1"/>
          <w:sz w:val="28"/>
          <w:szCs w:val="28"/>
          <w:lang w:val="en-US" w:eastAsia="zh-CN"/>
          <w14:textFill>
            <w14:solidFill>
              <w14:schemeClr w14:val="tx1"/>
            </w14:solidFill>
          </w14:textFill>
        </w:rPr>
        <w:t>16</w:t>
      </w:r>
      <w:r>
        <w:rPr>
          <w:rFonts w:hint="default" w:ascii="Times New Roman" w:hAnsi="Times New Roman" w:cs="Times New Roman"/>
          <w:color w:val="000000" w:themeColor="text1"/>
          <w:sz w:val="28"/>
          <w:szCs w:val="28"/>
          <w14:textFill>
            <w14:solidFill>
              <w14:schemeClr w14:val="tx1"/>
            </w14:solidFill>
          </w14:textFill>
        </w:rPr>
        <w:t>kg/hm²）。</w:t>
      </w:r>
    </w:p>
    <w:p w14:paraId="23B3FDAA">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6、播种时间</w:t>
      </w:r>
    </w:p>
    <w:p w14:paraId="73CF983F">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遵循</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适期播种、抢抓墒情</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原则，结合项目区气候规律，确定播种时间如下：优先选择春季（4月中下旬至5月上旬）播种，此时土壤解冻、墒情较好，利于种子萌发；亦可选择雨季来临前（6月下旬至7月中旬）播种，借助自然降水提升出苗率；最迟播种时间不得超过8月10日，避免播种过晚导致幼苗生长周期不足，无法形成健壮植株，难以安全越冬。</w:t>
      </w:r>
    </w:p>
    <w:p w14:paraId="76A25B1E">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7、苗期管理</w:t>
      </w:r>
    </w:p>
    <w:p w14:paraId="096CEDC6">
      <w:pPr>
        <w:widowControl/>
        <w:spacing w:line="360" w:lineRule="auto"/>
        <w:ind w:firstLine="560" w:firstLineChars="200"/>
        <w:rPr>
          <w:rFonts w:hint="eastAsia" w:ascii="Times New Roman" w:hAnsi="Times New Roman" w:eastAsia="宋体" w:cs="Times New Roman"/>
          <w:color w:val="000000" w:themeColor="text1"/>
          <w:sz w:val="28"/>
          <w:szCs w:val="28"/>
          <w:lang w:eastAsia="zh-CN"/>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播种后30天进行出苗情况核查，对缺苗率超过15%的地块，及时采用同批次、同处理的种子进行补播，补播时按原播种方式操作，确保补播区域与原有植被衔接一致</w:t>
      </w:r>
      <w:r>
        <w:rPr>
          <w:rFonts w:hint="eastAsia" w:cs="Times New Roman"/>
          <w:color w:val="000000" w:themeColor="text1"/>
          <w:sz w:val="28"/>
          <w:szCs w:val="28"/>
          <w:lang w:eastAsia="zh-CN"/>
          <w14:textFill>
            <w14:solidFill>
              <w14:schemeClr w14:val="tx1"/>
            </w14:solidFill>
          </w14:textFill>
        </w:rPr>
        <w:t>。</w:t>
      </w:r>
    </w:p>
    <w:p w14:paraId="3FCBDB8F">
      <w:pPr>
        <w:pStyle w:val="5"/>
        <w:bidi w:val="0"/>
        <w:spacing w:line="360" w:lineRule="auto"/>
        <w:ind w:firstLine="562" w:firstLineChars="200"/>
        <w:rPr>
          <w:rFonts w:hint="eastAsia"/>
          <w:b/>
          <w:bCs/>
          <w:color w:val="000000" w:themeColor="text1"/>
          <w:sz w:val="28"/>
          <w:szCs w:val="24"/>
          <w:lang w:val="en-US" w:eastAsia="zh-CN"/>
          <w14:textFill>
            <w14:solidFill>
              <w14:schemeClr w14:val="tx1"/>
            </w14:solidFill>
          </w14:textFill>
        </w:rPr>
      </w:pPr>
      <w:r>
        <w:rPr>
          <w:rFonts w:hint="eastAsia"/>
          <w:b/>
          <w:bCs/>
          <w:color w:val="000000" w:themeColor="text1"/>
          <w:sz w:val="28"/>
          <w:szCs w:val="24"/>
          <w:lang w:val="en-US" w:eastAsia="zh-CN"/>
          <w14:textFill>
            <w14:solidFill>
              <w14:schemeClr w14:val="tx1"/>
            </w14:solidFill>
          </w14:textFill>
        </w:rPr>
        <w:t>四、景观营造</w:t>
      </w:r>
    </w:p>
    <w:p w14:paraId="527ABE7E">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 xml:space="preserve">（一）优化矿区景观格局 </w:t>
      </w:r>
    </w:p>
    <w:p w14:paraId="6090A7C7">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以</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景观生态学</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理论为指导，打破矿区原有单一、破碎的景观基底，构建</w:t>
      </w:r>
      <w:r>
        <w:rPr>
          <w:rFonts w:hint="eastAsia" w:cs="Times New Roman"/>
          <w:color w:val="000000" w:themeColor="text1"/>
          <w:sz w:val="28"/>
          <w:szCs w:val="28"/>
          <w:lang w:eastAsia="zh-CN"/>
          <w14:textFill>
            <w14:solidFill>
              <w14:schemeClr w14:val="tx1"/>
            </w14:solidFill>
          </w14:textFill>
        </w:rPr>
        <w:t>“节点治理、廊道连通、功能整合”</w:t>
      </w:r>
      <w:r>
        <w:rPr>
          <w:rFonts w:hint="default" w:ascii="Times New Roman" w:hAnsi="Times New Roman" w:cs="Times New Roman"/>
          <w:color w:val="000000" w:themeColor="text1"/>
          <w:sz w:val="28"/>
          <w:szCs w:val="28"/>
          <w14:textFill>
            <w14:solidFill>
              <w14:schemeClr w14:val="tx1"/>
            </w14:solidFill>
          </w14:textFill>
        </w:rPr>
        <w:t>的复合型生态景观格局。</w:t>
      </w:r>
    </w:p>
    <w:p w14:paraId="33C82001">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1、</w:t>
      </w:r>
      <w:r>
        <w:rPr>
          <w:rFonts w:hint="default" w:ascii="Times New Roman" w:hAnsi="Times New Roman" w:cs="Times New Roman"/>
          <w:color w:val="000000" w:themeColor="text1"/>
          <w:sz w:val="28"/>
          <w:szCs w:val="28"/>
          <w14:textFill>
            <w14:solidFill>
              <w14:schemeClr w14:val="tx1"/>
            </w14:solidFill>
          </w14:textFill>
        </w:rPr>
        <w:t>风险斑块转化与锚定</w:t>
      </w:r>
    </w:p>
    <w:p w14:paraId="4F57B358">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料堆</w:t>
      </w:r>
      <w:r>
        <w:rPr>
          <w:rFonts w:hint="default" w:ascii="Times New Roman" w:hAnsi="Times New Roman" w:cs="Times New Roman"/>
          <w:color w:val="000000" w:themeColor="text1"/>
          <w:sz w:val="28"/>
          <w:szCs w:val="28"/>
          <w14:textFill>
            <w14:solidFill>
              <w14:schemeClr w14:val="tx1"/>
            </w14:solidFill>
          </w14:textFill>
        </w:rPr>
        <w:t>：作为最主要的地表扰动斑块，进行彻底地形整治（</w:t>
      </w:r>
      <w:r>
        <w:rPr>
          <w:rFonts w:hint="eastAsia" w:cs="Times New Roman"/>
          <w:color w:val="000000" w:themeColor="text1"/>
          <w:sz w:val="28"/>
          <w:szCs w:val="28"/>
          <w:lang w:val="en-US" w:eastAsia="zh-CN"/>
          <w14:textFill>
            <w14:solidFill>
              <w14:schemeClr w14:val="tx1"/>
            </w14:solidFill>
          </w14:textFill>
        </w:rPr>
        <w:t>修</w:t>
      </w:r>
      <w:r>
        <w:rPr>
          <w:rFonts w:hint="default" w:ascii="Times New Roman" w:hAnsi="Times New Roman" w:cs="Times New Roman"/>
          <w:color w:val="000000" w:themeColor="text1"/>
          <w:sz w:val="28"/>
          <w:szCs w:val="28"/>
          <w14:textFill>
            <w14:solidFill>
              <w14:schemeClr w14:val="tx1"/>
            </w14:solidFill>
          </w14:textFill>
        </w:rPr>
        <w:t>坡</w:t>
      </w:r>
      <w:r>
        <w:rPr>
          <w:rFonts w:hint="eastAsia" w:cs="Times New Roman"/>
          <w:color w:val="000000" w:themeColor="text1"/>
          <w:sz w:val="28"/>
          <w:szCs w:val="28"/>
          <w:lang w:val="en-US" w:eastAsia="zh-CN"/>
          <w14:textFill>
            <w14:solidFill>
              <w14:schemeClr w14:val="tx1"/>
            </w14:solidFill>
          </w14:textFill>
        </w:rPr>
        <w:t>降坡</w:t>
      </w:r>
      <w:r>
        <w:rPr>
          <w:rFonts w:hint="default" w:ascii="Times New Roman" w:hAnsi="Times New Roman" w:cs="Times New Roman"/>
          <w:color w:val="000000" w:themeColor="text1"/>
          <w:sz w:val="28"/>
          <w:szCs w:val="28"/>
          <w14:textFill>
            <w14:solidFill>
              <w14:schemeClr w14:val="tx1"/>
            </w14:solidFill>
          </w14:textFill>
        </w:rPr>
        <w:t>、梯台化）和植被重建，使其成为新的林地或灌草景观板块，并作为生态修复的核心展示区。</w:t>
      </w:r>
    </w:p>
    <w:p w14:paraId="62E4E8DF">
      <w:pPr>
        <w:rPr>
          <w:rFonts w:hint="eastAsia" w:cs="Times New Roman"/>
          <w:color w:val="000000" w:themeColor="text1"/>
          <w:sz w:val="28"/>
          <w:szCs w:val="28"/>
          <w:lang w:val="en-US"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br w:type="page"/>
      </w:r>
    </w:p>
    <w:p w14:paraId="19713C17">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廊道连接工业遗迹与自然</w:t>
      </w:r>
    </w:p>
    <w:p w14:paraId="59931B96">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以矿区道路、排水系统为骨架，建设生态廊道，将工业广场、办公生活区、周边自然山体有机连接起来，形成连续的生态与视觉通廊，缓解工业场地的生硬感。</w:t>
      </w:r>
    </w:p>
    <w:p w14:paraId="25BC92C4">
      <w:pPr>
        <w:widowControl/>
        <w:spacing w:line="360" w:lineRule="auto"/>
        <w:ind w:firstLine="560" w:firstLineChars="200"/>
        <w:rPr>
          <w:rFonts w:hint="default" w:cs="Times New Roman"/>
          <w:color w:val="000000" w:themeColor="text1"/>
          <w:sz w:val="28"/>
          <w:szCs w:val="28"/>
          <w:lang w:val="en-US"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3、</w:t>
      </w:r>
      <w:r>
        <w:rPr>
          <w:rFonts w:hint="default" w:cs="Times New Roman"/>
          <w:color w:val="000000" w:themeColor="text1"/>
          <w:sz w:val="28"/>
          <w:szCs w:val="28"/>
          <w:lang w:val="en-US" w:eastAsia="zh-CN"/>
          <w14:textFill>
            <w14:solidFill>
              <w14:schemeClr w14:val="tx1"/>
            </w14:solidFill>
          </w14:textFill>
        </w:rPr>
        <w:t>构建功能复合的景观网络</w:t>
      </w:r>
    </w:p>
    <w:p w14:paraId="0A1505BB">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cs="Times New Roman"/>
          <w:color w:val="000000" w:themeColor="text1"/>
          <w:sz w:val="28"/>
          <w:szCs w:val="28"/>
          <w:lang w:val="en-US" w:eastAsia="zh-CN"/>
          <w14:textFill>
            <w14:solidFill>
              <w14:schemeClr w14:val="tx1"/>
            </w14:solidFill>
          </w14:textFill>
        </w:rPr>
        <w:t>将矿区划分为</w:t>
      </w:r>
      <w:r>
        <w:rPr>
          <w:rFonts w:hint="eastAsia" w:cs="Times New Roman"/>
          <w:color w:val="000000" w:themeColor="text1"/>
          <w:sz w:val="28"/>
          <w:szCs w:val="28"/>
          <w:lang w:val="en-US" w:eastAsia="zh-CN"/>
          <w14:textFill>
            <w14:solidFill>
              <w14:schemeClr w14:val="tx1"/>
            </w14:solidFill>
          </w14:textFill>
        </w:rPr>
        <w:t>“</w:t>
      </w:r>
      <w:r>
        <w:rPr>
          <w:rFonts w:hint="default" w:cs="Times New Roman"/>
          <w:color w:val="000000" w:themeColor="text1"/>
          <w:sz w:val="28"/>
          <w:szCs w:val="28"/>
          <w:lang w:val="en-US" w:eastAsia="zh-CN"/>
          <w14:textFill>
            <w14:solidFill>
              <w14:schemeClr w14:val="tx1"/>
            </w14:solidFill>
          </w14:textFill>
        </w:rPr>
        <w:t>生态修复区、工业记忆区、综合服务区、自然缓冲区</w:t>
      </w:r>
      <w:r>
        <w:rPr>
          <w:rFonts w:hint="eastAsia" w:cs="Times New Roman"/>
          <w:color w:val="000000" w:themeColor="text1"/>
          <w:sz w:val="28"/>
          <w:szCs w:val="28"/>
          <w:lang w:val="en-US" w:eastAsia="zh-CN"/>
          <w14:textFill>
            <w14:solidFill>
              <w14:schemeClr w14:val="tx1"/>
            </w14:solidFill>
          </w14:textFill>
        </w:rPr>
        <w:t>”</w:t>
      </w:r>
      <w:r>
        <w:rPr>
          <w:rFonts w:hint="default" w:cs="Times New Roman"/>
          <w:color w:val="000000" w:themeColor="text1"/>
          <w:sz w:val="28"/>
          <w:szCs w:val="28"/>
          <w:lang w:val="en-US" w:eastAsia="zh-CN"/>
          <w14:textFill>
            <w14:solidFill>
              <w14:schemeClr w14:val="tx1"/>
            </w14:solidFill>
          </w14:textFill>
        </w:rPr>
        <w:t>等不同功能的景观板块，通过廊道网络实现功</w:t>
      </w:r>
      <w:r>
        <w:rPr>
          <w:rFonts w:hint="default" w:ascii="Times New Roman" w:hAnsi="Times New Roman" w:cs="Times New Roman"/>
          <w:color w:val="000000" w:themeColor="text1"/>
          <w:sz w:val="28"/>
          <w:szCs w:val="28"/>
          <w14:textFill>
            <w14:solidFill>
              <w14:schemeClr w14:val="tx1"/>
            </w14:solidFill>
          </w14:textFill>
        </w:rPr>
        <w:t>能互补与人流物流的有机组织。</w:t>
      </w:r>
    </w:p>
    <w:p w14:paraId="43FA6415">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（二）重建矿区植被群落</w:t>
      </w:r>
    </w:p>
    <w:p w14:paraId="2F5E2148">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根据矿区土地利用类型，</w:t>
      </w:r>
      <w:r>
        <w:rPr>
          <w:rFonts w:hint="default" w:ascii="Times New Roman" w:hAnsi="Times New Roman" w:cs="Times New Roman"/>
          <w:color w:val="000000" w:themeColor="text1"/>
          <w:sz w:val="28"/>
          <w:szCs w:val="28"/>
          <w14:textFill>
            <w14:solidFill>
              <w14:schemeClr w14:val="tx1"/>
            </w14:solidFill>
          </w14:textFill>
        </w:rPr>
        <w:t>建设多层次防护绿带，兼具降尘、降噪、隔离和观赏功能。</w:t>
      </w:r>
    </w:p>
    <w:p w14:paraId="7D4F1307">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在条件允许区域，采用</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种子库活化+人工播种+容器苗移植</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的综合方式，引入当地顶级群落的树种，加速其向稳定森林生态系统演替。</w:t>
      </w:r>
    </w:p>
    <w:p w14:paraId="01E87D58">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三</w:t>
      </w:r>
      <w:r>
        <w:rPr>
          <w:rFonts w:hint="default" w:ascii="Times New Roman" w:hAnsi="Times New Roman" w:cs="Times New Roman"/>
          <w:color w:val="000000" w:themeColor="text1"/>
          <w:sz w:val="28"/>
          <w:szCs w:val="28"/>
          <w14:textFill>
            <w14:solidFill>
              <w14:schemeClr w14:val="tx1"/>
            </w14:solidFill>
          </w14:textFill>
        </w:rPr>
        <w:t>）文化功能重构与提升</w:t>
      </w:r>
    </w:p>
    <w:p w14:paraId="62AF668D">
      <w:pPr>
        <w:widowControl/>
        <w:spacing w:line="360" w:lineRule="auto"/>
        <w:ind w:firstLine="560" w:firstLineChars="200"/>
        <w:rPr>
          <w:rFonts w:hint="eastAsia" w:ascii="Times New Roman" w:hAnsi="Times New Roman" w:eastAsia="宋体" w:cs="Times New Roman"/>
          <w:color w:val="000000" w:themeColor="text1"/>
          <w:sz w:val="28"/>
          <w:szCs w:val="28"/>
          <w:lang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1、</w:t>
      </w:r>
      <w:r>
        <w:rPr>
          <w:rFonts w:hint="default" w:ascii="Times New Roman" w:hAnsi="Times New Roman" w:cs="Times New Roman"/>
          <w:color w:val="000000" w:themeColor="text1"/>
          <w:sz w:val="28"/>
          <w:szCs w:val="28"/>
          <w14:textFill>
            <w14:solidFill>
              <w14:schemeClr w14:val="tx1"/>
            </w14:solidFill>
          </w14:textFill>
        </w:rPr>
        <w:t>绿色矿山建设的景观</w:t>
      </w:r>
      <w:r>
        <w:rPr>
          <w:rFonts w:hint="eastAsia" w:cs="Times New Roman"/>
          <w:color w:val="000000" w:themeColor="text1"/>
          <w:sz w:val="28"/>
          <w:szCs w:val="28"/>
          <w:lang w:val="en-US" w:eastAsia="zh-CN"/>
          <w14:textFill>
            <w14:solidFill>
              <w14:schemeClr w14:val="tx1"/>
            </w14:solidFill>
          </w14:textFill>
        </w:rPr>
        <w:t>设置</w:t>
      </w:r>
    </w:p>
    <w:p w14:paraId="21A9EA74">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将绿色技术可视化：对污水处理站、噪声治理设施等进行景观化包装和标识解说，使其成为绿色矿山理念的实体展品。</w:t>
      </w:r>
    </w:p>
    <w:p w14:paraId="209814AA">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循环经济场景展示：如将废石加工成建材用于铺路、造景，实现资源就地利用，并设立解说牌。</w:t>
      </w:r>
    </w:p>
    <w:p w14:paraId="7BEB5634">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生态保护与修复</w:t>
      </w:r>
    </w:p>
    <w:p w14:paraId="570C4E4C">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边生产边修复：对不再使用的</w:t>
      </w:r>
      <w:r>
        <w:rPr>
          <w:rFonts w:hint="eastAsia" w:cs="Times New Roman"/>
          <w:color w:val="000000" w:themeColor="text1"/>
          <w:sz w:val="28"/>
          <w:szCs w:val="28"/>
          <w:lang w:val="en-US" w:eastAsia="zh-CN"/>
          <w14:textFill>
            <w14:solidFill>
              <w14:schemeClr w14:val="tx1"/>
            </w14:solidFill>
          </w14:textFill>
        </w:rPr>
        <w:t>料堆</w:t>
      </w:r>
      <w:r>
        <w:rPr>
          <w:rFonts w:hint="default" w:ascii="Times New Roman" w:hAnsi="Times New Roman" w:cs="Times New Roman"/>
          <w:color w:val="000000" w:themeColor="text1"/>
          <w:sz w:val="28"/>
          <w:szCs w:val="28"/>
          <w14:textFill>
            <w14:solidFill>
              <w14:schemeClr w14:val="tx1"/>
            </w14:solidFill>
          </w14:textFill>
        </w:rPr>
        <w:t>、工业场地等，及时进行土地复垦和生态修复，绿化覆盖率应达到100%。</w:t>
      </w:r>
    </w:p>
    <w:p w14:paraId="49736FC7">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地貌景观协调：工业建筑、设施布局与周边自然环境相协调，通过绿化、美化措施，使矿区整体与周边景观融为一体。</w:t>
      </w:r>
    </w:p>
    <w:p w14:paraId="4CAD8213">
      <w:pPr>
        <w:rPr>
          <w:rFonts w:hint="eastAsia" w:cs="Times New Roman"/>
          <w:color w:val="000000" w:themeColor="text1"/>
          <w:sz w:val="28"/>
          <w:szCs w:val="28"/>
          <w:lang w:val="en-US"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br w:type="page"/>
      </w:r>
    </w:p>
    <w:p w14:paraId="0721A3BB">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企业管理规范化</w:t>
      </w:r>
    </w:p>
    <w:p w14:paraId="2790757C">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标准化体系建设：建立涵盖安全、环保、质量、资源管理的一体化管理体系（如质量、环境、职业健康安全管理体系认证）。</w:t>
      </w:r>
    </w:p>
    <w:p w14:paraId="10D84E49">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数字化矿山建设：建立矿山资源储量、生产计划、安全监测、设备状态、环境数据的三维可视化综合管控信息系统，实现智能化管理。</w:t>
      </w:r>
    </w:p>
    <w:p w14:paraId="7740F40F">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规范经营与社区关系：依法经营，诚实纳税。建立矿地矛盾协调机制，定期发布企业社会责任报告，支持社区公益。</w:t>
      </w:r>
    </w:p>
    <w:p w14:paraId="70205706">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4、</w:t>
      </w:r>
      <w:r>
        <w:rPr>
          <w:rFonts w:hint="default" w:ascii="Times New Roman" w:hAnsi="Times New Roman" w:cs="Times New Roman"/>
          <w:color w:val="000000" w:themeColor="text1"/>
          <w:sz w:val="28"/>
          <w:szCs w:val="28"/>
          <w14:textFill>
            <w14:solidFill>
              <w14:schemeClr w14:val="tx1"/>
            </w14:solidFill>
          </w14:textFill>
        </w:rPr>
        <w:t xml:space="preserve">科技创新与智能化 </w:t>
      </w:r>
    </w:p>
    <w:p w14:paraId="0BB347BC">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研发投入：设立研发机构，持续投入，开展绿色开采、资源综合利用、节能减排等技术攻关。</w:t>
      </w:r>
    </w:p>
    <w:p w14:paraId="07CC0F5F">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智能矿山：推进采掘工作面智能化、生产系统自动化、固定岗位无人化、管理信息集成化建设，提升本质安全与运行效率。</w:t>
      </w:r>
    </w:p>
    <w:p w14:paraId="537574C2">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5、</w:t>
      </w:r>
      <w:r>
        <w:rPr>
          <w:rFonts w:hint="default" w:ascii="Times New Roman" w:hAnsi="Times New Roman" w:cs="Times New Roman"/>
          <w:color w:val="000000" w:themeColor="text1"/>
          <w:sz w:val="28"/>
          <w:szCs w:val="28"/>
          <w14:textFill>
            <w14:solidFill>
              <w14:schemeClr w14:val="tx1"/>
            </w14:solidFill>
          </w14:textFill>
        </w:rPr>
        <w:t>节能减排高效化</w:t>
      </w:r>
    </w:p>
    <w:p w14:paraId="44BA3064">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能源管理：建立能耗核算体系，采用高效节能设备（如变频电机、高效风机），优化通风、排水、提升等系统运行，降低万吨原矿综合能耗。</w:t>
      </w:r>
    </w:p>
    <w:p w14:paraId="3B6EB4DC">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水资源循环：建设矿区水循环系统，提高生产废水的复用率，减少新水取用量。</w:t>
      </w:r>
    </w:p>
    <w:p w14:paraId="54AB25FF">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lang w:val="en-US" w:eastAsia="zh-CN"/>
          <w14:textFill>
            <w14:solidFill>
              <w14:schemeClr w14:val="tx1"/>
            </w14:solidFill>
          </w14:textFill>
        </w:rPr>
        <w:t>绿色矿山建设是一项系统工程，其终极目标是将传统的</w:t>
      </w:r>
      <w:r>
        <w:rPr>
          <w:rFonts w:hint="eastAsia" w:cs="Times New Roman"/>
          <w:color w:val="000000" w:themeColor="text1"/>
          <w:sz w:val="28"/>
          <w:szCs w:val="28"/>
          <w:lang w:val="en-US"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资源攫取型</w:t>
      </w:r>
      <w:r>
        <w:rPr>
          <w:rFonts w:hint="eastAsia" w:cs="Times New Roman"/>
          <w:color w:val="000000" w:themeColor="text1"/>
          <w:sz w:val="28"/>
          <w:szCs w:val="28"/>
          <w:lang w:val="en-US"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矿山，转变为在全生命周期内最小化环境足迹、最大化资源效益、最优化管理运营、最和谐社区关系的现代化企业。上述要求不仅是国家与行业的强制性规范，更是矿山企业实现长远发展的内在要求和核心竞争力所在。</w:t>
      </w:r>
    </w:p>
    <w:p w14:paraId="723AEA21">
      <w:pPr>
        <w:pStyle w:val="3"/>
        <w:spacing w:before="0" w:beforeLines="0"/>
        <w:jc w:val="center"/>
        <w:rPr>
          <w:color w:val="000000" w:themeColor="text1"/>
          <w14:textFill>
            <w14:solidFill>
              <w14:schemeClr w14:val="tx1"/>
            </w14:solidFill>
          </w14:textFill>
        </w:rPr>
      </w:pPr>
      <w:bookmarkStart w:id="63" w:name="_Toc14054"/>
      <w:r>
        <w:rPr>
          <w:rFonts w:hint="eastAsia"/>
          <w:color w:val="000000" w:themeColor="text1"/>
          <w:lang w:val="en-US" w:eastAsia="zh-CN"/>
          <w14:textFill>
            <w14:solidFill>
              <w14:schemeClr w14:val="tx1"/>
            </w14:solidFill>
          </w14:textFill>
        </w:rPr>
        <w:t xml:space="preserve">第三节  </w:t>
      </w:r>
      <w:r>
        <w:rPr>
          <w:rFonts w:hint="eastAsia"/>
          <w:color w:val="000000" w:themeColor="text1"/>
          <w14:textFill>
            <w14:solidFill>
              <w14:schemeClr w14:val="tx1"/>
            </w14:solidFill>
          </w14:textFill>
        </w:rPr>
        <w:t>工程内容</w:t>
      </w:r>
      <w:bookmarkEnd w:id="63"/>
    </w:p>
    <w:p w14:paraId="77DE9DB8">
      <w:pPr>
        <w:pStyle w:val="5"/>
        <w:bidi w:val="0"/>
        <w:spacing w:line="360" w:lineRule="auto"/>
        <w:ind w:firstLine="562" w:firstLineChars="200"/>
        <w:rPr>
          <w:rFonts w:hint="eastAsia"/>
          <w:b/>
          <w:bCs/>
          <w:color w:val="000000" w:themeColor="text1"/>
          <w:sz w:val="28"/>
          <w:szCs w:val="24"/>
          <w:lang w:val="en-US" w:eastAsia="zh-CN"/>
          <w14:textFill>
            <w14:solidFill>
              <w14:schemeClr w14:val="tx1"/>
            </w14:solidFill>
          </w14:textFill>
        </w:rPr>
      </w:pPr>
      <w:r>
        <w:rPr>
          <w:rFonts w:hint="eastAsia"/>
          <w:b/>
          <w:bCs/>
          <w:color w:val="000000" w:themeColor="text1"/>
          <w:sz w:val="28"/>
          <w:szCs w:val="24"/>
          <w:lang w:val="en-US" w:eastAsia="zh-CN"/>
          <w14:textFill>
            <w14:solidFill>
              <w14:schemeClr w14:val="tx1"/>
            </w14:solidFill>
          </w14:textFill>
        </w:rPr>
        <w:t>一、拟修复单元</w:t>
      </w:r>
    </w:p>
    <w:p w14:paraId="234504D5">
      <w:pPr>
        <w:spacing w:line="360" w:lineRule="auto"/>
        <w:ind w:firstLine="560" w:firstLineChars="200"/>
        <w:rPr>
          <w:rFonts w:hint="default" w:ascii="Times New Roman" w:hAnsi="Times New Roman" w:cs="Times New Roman"/>
          <w:b w:val="0"/>
          <w:bCs w:val="0"/>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根据以上确定的土地复垦方向和要求，拟修复的生态单元为：拟建露天采场1、拟建露天采场2、拟建储水池、露天采场2、工业场地、成品砖堆放场、料堆、表土存放场、办公生活区与矿区道路等。</w:t>
      </w:r>
    </w:p>
    <w:p w14:paraId="5934E8BA">
      <w:pPr>
        <w:pStyle w:val="5"/>
        <w:bidi w:val="0"/>
        <w:spacing w:line="360" w:lineRule="auto"/>
        <w:ind w:firstLine="562" w:firstLineChars="200"/>
        <w:rPr>
          <w:rFonts w:hint="eastAsia"/>
          <w:b/>
          <w:bCs/>
          <w:color w:val="000000" w:themeColor="text1"/>
          <w:sz w:val="28"/>
          <w:szCs w:val="24"/>
          <w:lang w:val="en-US" w:eastAsia="zh-CN"/>
          <w14:textFill>
            <w14:solidFill>
              <w14:schemeClr w14:val="tx1"/>
            </w14:solidFill>
          </w14:textFill>
        </w:rPr>
      </w:pPr>
      <w:r>
        <w:rPr>
          <w:rFonts w:hint="eastAsia"/>
          <w:b/>
          <w:bCs/>
          <w:color w:val="000000" w:themeColor="text1"/>
          <w:sz w:val="28"/>
          <w:szCs w:val="24"/>
          <w:lang w:val="en-US" w:eastAsia="zh-CN"/>
          <w14:textFill>
            <w14:solidFill>
              <w14:schemeClr w14:val="tx1"/>
            </w14:solidFill>
          </w14:textFill>
        </w:rPr>
        <w:t>二、工程设计</w:t>
      </w:r>
    </w:p>
    <w:p w14:paraId="45BEF676">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复垦责任范围内土地复垦后的主要利用方向为水浇地、林地、草地。针对复垦单元设计复垦工程，主要包括地貌重塑工程、土壤重构工程、植被重建工程等。本章工程设计针对不同复垦单元的复垦措施，分述如下：</w:t>
      </w:r>
    </w:p>
    <w:p w14:paraId="4A01E9DA">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outlineLvl w:val="3"/>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（一）</w:t>
      </w:r>
      <w:r>
        <w:rPr>
          <w:rFonts w:hint="eastAsia" w:cs="Times New Roman"/>
          <w:b/>
          <w:bCs/>
          <w:color w:val="000000" w:themeColor="text1"/>
          <w:sz w:val="28"/>
          <w:szCs w:val="28"/>
          <w:lang w:val="en-US" w:eastAsia="zh-CN"/>
          <w14:textFill>
            <w14:solidFill>
              <w14:schemeClr w14:val="tx1"/>
            </w14:solidFill>
          </w14:textFill>
        </w:rPr>
        <w:t>拟建露天采场1</w:t>
      </w:r>
    </w:p>
    <w:p w14:paraId="467539FE">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1、</w:t>
      </w:r>
      <w:r>
        <w:rPr>
          <w:rFonts w:hint="default" w:ascii="Times New Roman" w:hAnsi="Times New Roman" w:cs="Times New Roman"/>
          <w:color w:val="000000" w:themeColor="text1"/>
          <w:sz w:val="28"/>
          <w:szCs w:val="28"/>
          <w14:textFill>
            <w14:solidFill>
              <w14:schemeClr w14:val="tx1"/>
            </w14:solidFill>
          </w14:textFill>
        </w:rPr>
        <w:t>地质灾害防治工程</w:t>
      </w:r>
    </w:p>
    <w:p w14:paraId="11B69FEE">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auto"/>
        <w:rPr>
          <w:rFonts w:hint="default" w:ascii="Times New Roman" w:hAnsi="Times New Roman" w:eastAsia="宋体" w:cs="Times New Roman"/>
          <w:color w:val="000000" w:themeColor="text1"/>
          <w:sz w:val="28"/>
          <w:szCs w:val="28"/>
          <w:highlight w:val="none"/>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14:textFill>
            <w14:solidFill>
              <w14:schemeClr w14:val="tx1"/>
            </w14:solidFill>
          </w14:textFill>
        </w:rPr>
        <w:t>危</w:t>
      </w:r>
      <w:r>
        <w:rPr>
          <w:rFonts w:hint="eastAsia" w:cs="Times New Roman"/>
          <w:color w:val="000000" w:themeColor="text1"/>
          <w:sz w:val="28"/>
          <w:szCs w:val="28"/>
          <w:highlight w:val="none"/>
          <w:lang w:val="en-US" w:eastAsia="zh-CN"/>
          <w14:textFill>
            <w14:solidFill>
              <w14:schemeClr w14:val="tx1"/>
            </w14:solidFill>
          </w14:textFill>
        </w:rPr>
        <w:t>土</w:t>
      </w:r>
      <w:r>
        <w:rPr>
          <w:rFonts w:hint="default" w:ascii="Times New Roman" w:hAnsi="Times New Roman" w:eastAsia="宋体" w:cs="Times New Roman"/>
          <w:color w:val="000000" w:themeColor="text1"/>
          <w:sz w:val="28"/>
          <w:szCs w:val="28"/>
          <w:highlight w:val="none"/>
          <w14:textFill>
            <w14:solidFill>
              <w14:schemeClr w14:val="tx1"/>
            </w14:solidFill>
          </w14:textFill>
        </w:rPr>
        <w:t>体清理</w:t>
      </w:r>
    </w:p>
    <w:p w14:paraId="52E66FEB">
      <w:pPr>
        <w:spacing w:line="360" w:lineRule="auto"/>
        <w:ind w:firstLine="560" w:firstLineChars="200"/>
        <w:contextualSpacing/>
        <w:jc w:val="left"/>
        <w:rPr>
          <w:rFonts w:hint="default" w:ascii="Times New Roman" w:hAnsi="Times New Roman" w:eastAsia="宋体" w:cs="Times New Roman"/>
          <w:color w:val="000000" w:themeColor="text1"/>
          <w:sz w:val="28"/>
          <w:szCs w:val="28"/>
          <w:highlight w:val="none"/>
          <w14:textFill>
            <w14:solidFill>
              <w14:schemeClr w14:val="tx1"/>
            </w14:solidFill>
          </w14:textFill>
        </w:rPr>
      </w:pPr>
      <w:r>
        <w:rPr>
          <w:rFonts w:hint="eastAsia" w:cs="Times New Roman"/>
          <w:color w:val="000000" w:themeColor="text1"/>
          <w:sz w:val="28"/>
          <w:szCs w:val="28"/>
          <w:highlight w:val="none"/>
          <w:lang w:val="en-US" w:eastAsia="zh-CN"/>
          <w14:textFill>
            <w14:solidFill>
              <w14:schemeClr w14:val="tx1"/>
            </w14:solidFill>
          </w14:textFill>
        </w:rPr>
        <w:t>对拟建</w:t>
      </w:r>
      <w:r>
        <w:rPr>
          <w:rFonts w:hint="default" w:ascii="Times New Roman" w:hAnsi="Times New Roman" w:eastAsia="宋体" w:cs="Times New Roman"/>
          <w:color w:val="000000" w:themeColor="text1"/>
          <w:sz w:val="28"/>
          <w:szCs w:val="28"/>
          <w:highlight w:val="none"/>
          <w14:textFill>
            <w14:solidFill>
              <w14:schemeClr w14:val="tx1"/>
            </w14:solidFill>
          </w14:textFill>
        </w:rPr>
        <w:t>露天采场</w:t>
      </w:r>
      <w:r>
        <w:rPr>
          <w:rFonts w:hint="eastAsia" w:cs="Times New Roman"/>
          <w:color w:val="000000" w:themeColor="text1"/>
          <w:sz w:val="28"/>
          <w:szCs w:val="28"/>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8"/>
          <w:szCs w:val="28"/>
          <w:highlight w:val="none"/>
          <w14:textFill>
            <w14:solidFill>
              <w14:schemeClr w14:val="tx1"/>
            </w14:solidFill>
          </w14:textFill>
        </w:rPr>
        <w:t>内局部不稳定</w:t>
      </w:r>
      <w:r>
        <w:rPr>
          <w:rFonts w:hint="eastAsia" w:cs="Times New Roman"/>
          <w:color w:val="000000" w:themeColor="text1"/>
          <w:sz w:val="28"/>
          <w:szCs w:val="28"/>
          <w:highlight w:val="none"/>
          <w:lang w:val="en-US" w:eastAsia="zh-CN"/>
          <w14:textFill>
            <w14:solidFill>
              <w14:schemeClr w14:val="tx1"/>
            </w14:solidFill>
          </w14:textFill>
        </w:rPr>
        <w:t>土</w:t>
      </w:r>
      <w:r>
        <w:rPr>
          <w:rFonts w:hint="default" w:ascii="Times New Roman" w:hAnsi="Times New Roman" w:eastAsia="宋体" w:cs="Times New Roman"/>
          <w:color w:val="000000" w:themeColor="text1"/>
          <w:sz w:val="28"/>
          <w:szCs w:val="28"/>
          <w:highlight w:val="none"/>
          <w14:textFill>
            <w14:solidFill>
              <w14:schemeClr w14:val="tx1"/>
            </w14:solidFill>
          </w14:textFill>
        </w:rPr>
        <w:t>质边坡，采用局部削坡和清理</w:t>
      </w:r>
      <w:r>
        <w:rPr>
          <w:rFonts w:hint="eastAsia" w:cs="Times New Roman"/>
          <w:color w:val="000000" w:themeColor="text1"/>
          <w:sz w:val="28"/>
          <w:szCs w:val="28"/>
          <w:highlight w:val="none"/>
          <w:lang w:val="en-US" w:eastAsia="zh-CN"/>
          <w14:textFill>
            <w14:solidFill>
              <w14:schemeClr w14:val="tx1"/>
            </w14:solidFill>
          </w14:textFill>
        </w:rPr>
        <w:t>浮土的</w:t>
      </w:r>
      <w:r>
        <w:rPr>
          <w:rFonts w:hint="default" w:ascii="Times New Roman" w:hAnsi="Times New Roman" w:eastAsia="宋体" w:cs="Times New Roman"/>
          <w:color w:val="000000" w:themeColor="text1"/>
          <w:sz w:val="28"/>
          <w:szCs w:val="28"/>
          <w:highlight w:val="none"/>
          <w14:textFill>
            <w14:solidFill>
              <w14:schemeClr w14:val="tx1"/>
            </w14:solidFill>
          </w14:textFill>
        </w:rPr>
        <w:t>方式进行防治的工程。本次方案设计将其凌空危</w:t>
      </w:r>
      <w:r>
        <w:rPr>
          <w:rFonts w:hint="eastAsia" w:cs="Times New Roman"/>
          <w:color w:val="000000" w:themeColor="text1"/>
          <w:sz w:val="28"/>
          <w:szCs w:val="28"/>
          <w:highlight w:val="none"/>
          <w:lang w:val="en-US" w:eastAsia="zh-CN"/>
          <w14:textFill>
            <w14:solidFill>
              <w14:schemeClr w14:val="tx1"/>
            </w14:solidFill>
          </w14:textFill>
        </w:rPr>
        <w:t>土</w:t>
      </w:r>
      <w:r>
        <w:rPr>
          <w:rFonts w:hint="default" w:ascii="Times New Roman" w:hAnsi="Times New Roman" w:eastAsia="宋体" w:cs="Times New Roman"/>
          <w:color w:val="000000" w:themeColor="text1"/>
          <w:sz w:val="28"/>
          <w:szCs w:val="28"/>
          <w:highlight w:val="none"/>
          <w14:textFill>
            <w14:solidFill>
              <w14:schemeClr w14:val="tx1"/>
            </w14:solidFill>
          </w14:textFill>
        </w:rPr>
        <w:t>体进行机械削方，减小其崩落的可能性。清理后的</w:t>
      </w:r>
      <w:r>
        <w:rPr>
          <w:rFonts w:hint="eastAsia" w:cs="Times New Roman"/>
          <w:color w:val="000000" w:themeColor="text1"/>
          <w:sz w:val="28"/>
          <w:szCs w:val="28"/>
          <w:highlight w:val="none"/>
          <w:lang w:val="en-US" w:eastAsia="zh-CN"/>
          <w14:textFill>
            <w14:solidFill>
              <w14:schemeClr w14:val="tx1"/>
            </w14:solidFill>
          </w14:textFill>
        </w:rPr>
        <w:t>浮土</w:t>
      </w:r>
      <w:r>
        <w:rPr>
          <w:rFonts w:hint="default" w:ascii="Times New Roman" w:hAnsi="Times New Roman" w:eastAsia="宋体" w:cs="Times New Roman"/>
          <w:color w:val="000000" w:themeColor="text1"/>
          <w:sz w:val="28"/>
          <w:szCs w:val="28"/>
          <w:highlight w:val="none"/>
          <w14:textFill>
            <w14:solidFill>
              <w14:schemeClr w14:val="tx1"/>
            </w14:solidFill>
          </w14:textFill>
        </w:rPr>
        <w:t>运输至</w:t>
      </w:r>
      <w:r>
        <w:rPr>
          <w:rFonts w:hint="eastAsia" w:cs="Times New Roman"/>
          <w:color w:val="000000" w:themeColor="text1"/>
          <w:sz w:val="28"/>
          <w:szCs w:val="28"/>
          <w:highlight w:val="none"/>
          <w:lang w:val="en-US" w:eastAsia="zh-CN"/>
          <w14:textFill>
            <w14:solidFill>
              <w14:schemeClr w14:val="tx1"/>
            </w14:solidFill>
          </w14:textFill>
        </w:rPr>
        <w:t>拟建表土存放场</w:t>
      </w:r>
      <w:r>
        <w:rPr>
          <w:rFonts w:hint="default" w:ascii="Times New Roman" w:hAnsi="Times New Roman" w:eastAsia="宋体" w:cs="Times New Roman"/>
          <w:color w:val="000000" w:themeColor="text1"/>
          <w:sz w:val="28"/>
          <w:szCs w:val="28"/>
          <w:highlight w:val="none"/>
          <w14:textFill>
            <w14:solidFill>
              <w14:schemeClr w14:val="tx1"/>
            </w14:solidFill>
          </w14:textFill>
        </w:rPr>
        <w:t>。</w:t>
      </w:r>
      <w:r>
        <w:rPr>
          <w:rFonts w:hint="eastAsia" w:cs="Times New Roman"/>
          <w:color w:val="000000" w:themeColor="text1"/>
          <w:sz w:val="28"/>
          <w:szCs w:val="28"/>
          <w:highlight w:val="none"/>
          <w:lang w:val="en-US" w:eastAsia="zh-CN"/>
          <w14:textFill>
            <w14:solidFill>
              <w14:schemeClr w14:val="tx1"/>
            </w14:solidFill>
          </w14:textFill>
        </w:rPr>
        <w:t>计算</w:t>
      </w:r>
      <w:r>
        <w:rPr>
          <w:rFonts w:hint="default" w:ascii="Times New Roman" w:hAnsi="Times New Roman" w:eastAsia="宋体" w:cs="Times New Roman"/>
          <w:color w:val="000000" w:themeColor="text1"/>
          <w:sz w:val="28"/>
          <w:szCs w:val="28"/>
          <w:highlight w:val="none"/>
          <w14:textFill>
            <w14:solidFill>
              <w14:schemeClr w14:val="tx1"/>
            </w14:solidFill>
          </w14:textFill>
        </w:rPr>
        <w:t>公式</w:t>
      </w:r>
      <w:r>
        <w:rPr>
          <w:rFonts w:hint="eastAsia" w:cs="Times New Roman"/>
          <w:color w:val="000000" w:themeColor="text1"/>
          <w:sz w:val="28"/>
          <w:szCs w:val="28"/>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14:textFill>
            <w14:solidFill>
              <w14:schemeClr w14:val="tx1"/>
            </w14:solidFill>
          </w14:textFill>
        </w:rPr>
        <w:t>Qx=n×L</w:t>
      </w:r>
      <w:r>
        <w:rPr>
          <w:rFonts w:hint="default" w:ascii="Times New Roman" w:hAnsi="Times New Roman" w:eastAsia="宋体" w:cs="Times New Roman"/>
          <w:color w:val="000000" w:themeColor="text1"/>
          <w:sz w:val="28"/>
          <w:szCs w:val="28"/>
          <w:highlight w:val="none"/>
          <w:vertAlign w:val="subscript"/>
          <w14:textFill>
            <w14:solidFill>
              <w14:schemeClr w14:val="tx1"/>
            </w14:solidFill>
          </w14:textFill>
        </w:rPr>
        <w:t>l</w:t>
      </w:r>
      <w:r>
        <w:rPr>
          <w:rFonts w:hint="default" w:ascii="Times New Roman" w:hAnsi="Times New Roman" w:eastAsia="宋体" w:cs="Times New Roman"/>
          <w:color w:val="000000" w:themeColor="text1"/>
          <w:sz w:val="28"/>
          <w:szCs w:val="28"/>
          <w:highlight w:val="none"/>
          <w14:textFill>
            <w14:solidFill>
              <w14:schemeClr w14:val="tx1"/>
            </w14:solidFill>
          </w14:textFill>
        </w:rPr>
        <w:t>×v，式中：Qx为清理危</w:t>
      </w:r>
      <w:r>
        <w:rPr>
          <w:rFonts w:hint="eastAsia" w:cs="Times New Roman"/>
          <w:color w:val="000000" w:themeColor="text1"/>
          <w:sz w:val="28"/>
          <w:szCs w:val="28"/>
          <w:highlight w:val="none"/>
          <w:lang w:val="en-US" w:eastAsia="zh-CN"/>
          <w14:textFill>
            <w14:solidFill>
              <w14:schemeClr w14:val="tx1"/>
            </w14:solidFill>
          </w14:textFill>
        </w:rPr>
        <w:t>土</w:t>
      </w:r>
      <w:r>
        <w:rPr>
          <w:rFonts w:hint="default" w:ascii="Times New Roman" w:hAnsi="Times New Roman" w:eastAsia="宋体" w:cs="Times New Roman"/>
          <w:color w:val="000000" w:themeColor="text1"/>
          <w:sz w:val="28"/>
          <w:szCs w:val="28"/>
          <w:highlight w:val="none"/>
          <w14:textFill>
            <w14:solidFill>
              <w14:schemeClr w14:val="tx1"/>
            </w14:solidFill>
          </w14:textFill>
        </w:rPr>
        <w:t>体方量（</w:t>
      </w:r>
      <w:r>
        <w:rPr>
          <w:rFonts w:hint="eastAsia" w:ascii="Times New Roman" w:hAnsi="Times New Roman" w:eastAsia="宋体" w:cs="Times New Roman"/>
          <w:color w:val="000000" w:themeColor="text1"/>
          <w:sz w:val="28"/>
          <w:szCs w:val="28"/>
          <w:highlight w:val="none"/>
          <w:lang w:eastAsia="zh-CN"/>
          <w14:textFill>
            <w14:solidFill>
              <w14:schemeClr w14:val="tx1"/>
            </w14:solidFill>
          </w14:textFill>
        </w:rPr>
        <w:t>m</w:t>
      </w:r>
      <w:r>
        <w:rPr>
          <w:rFonts w:hint="eastAsia" w:ascii="Times New Roman" w:hAnsi="Times New Roman" w:eastAsia="宋体" w:cs="Times New Roman"/>
          <w:color w:val="000000" w:themeColor="text1"/>
          <w:sz w:val="28"/>
          <w:szCs w:val="28"/>
          <w:highlight w:val="none"/>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8"/>
          <w:szCs w:val="28"/>
          <w:highlight w:val="none"/>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8"/>
          <w:szCs w:val="28"/>
          <w:highlight w:val="none"/>
          <w14:textFill>
            <w14:solidFill>
              <w14:schemeClr w14:val="tx1"/>
            </w14:solidFill>
          </w14:textFill>
        </w:rPr>
        <w:t>根据周围矿山治理经验，</w:t>
      </w:r>
      <w:r>
        <w:rPr>
          <w:rFonts w:hint="default" w:ascii="Times New Roman" w:hAnsi="Times New Roman" w:eastAsia="宋体" w:cs="Times New Roman"/>
          <w:color w:val="000000" w:themeColor="text1"/>
          <w:sz w:val="28"/>
          <w:szCs w:val="28"/>
          <w:highlight w:val="none"/>
          <w14:textFill>
            <w14:solidFill>
              <w14:schemeClr w14:val="tx1"/>
            </w14:solidFill>
          </w14:textFill>
        </w:rPr>
        <w:t>n为边坡清理危</w:t>
      </w:r>
      <w:r>
        <w:rPr>
          <w:rFonts w:hint="eastAsia" w:cs="Times New Roman"/>
          <w:color w:val="000000" w:themeColor="text1"/>
          <w:sz w:val="28"/>
          <w:szCs w:val="28"/>
          <w:highlight w:val="none"/>
          <w:lang w:val="en-US" w:eastAsia="zh-CN"/>
          <w14:textFill>
            <w14:solidFill>
              <w14:schemeClr w14:val="tx1"/>
            </w14:solidFill>
          </w14:textFill>
        </w:rPr>
        <w:t>土</w:t>
      </w:r>
      <w:r>
        <w:rPr>
          <w:rFonts w:hint="default" w:ascii="Times New Roman" w:hAnsi="Times New Roman" w:eastAsia="宋体" w:cs="Times New Roman"/>
          <w:color w:val="000000" w:themeColor="text1"/>
          <w:sz w:val="28"/>
          <w:szCs w:val="28"/>
          <w:highlight w:val="none"/>
          <w14:textFill>
            <w14:solidFill>
              <w14:schemeClr w14:val="tx1"/>
            </w14:solidFill>
          </w14:textFill>
        </w:rPr>
        <w:t>体系数</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8"/>
          <w:highlight w:val="none"/>
          <w14:textFill>
            <w14:solidFill>
              <w14:schemeClr w14:val="tx1"/>
            </w14:solidFill>
          </w14:textFill>
        </w:rPr>
        <w:t>0</w:t>
      </w:r>
      <w:r>
        <w:rPr>
          <w:rFonts w:hint="eastAsia" w:ascii="Times New Roman" w:hAnsi="Times New Roman" w:cs="Times New Roman"/>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14:textFill>
            <w14:solidFill>
              <w14:schemeClr w14:val="tx1"/>
            </w14:solidFill>
          </w14:textFill>
        </w:rPr>
        <w:t>，L</w:t>
      </w:r>
      <w:r>
        <w:rPr>
          <w:rFonts w:hint="default" w:ascii="Times New Roman" w:hAnsi="Times New Roman" w:eastAsia="宋体" w:cs="Times New Roman"/>
          <w:color w:val="000000" w:themeColor="text1"/>
          <w:sz w:val="28"/>
          <w:szCs w:val="28"/>
          <w:highlight w:val="none"/>
          <w:vertAlign w:val="subscript"/>
          <w14:textFill>
            <w14:solidFill>
              <w14:schemeClr w14:val="tx1"/>
            </w14:solidFill>
          </w14:textFill>
        </w:rPr>
        <w:t>l</w:t>
      </w:r>
      <w:r>
        <w:rPr>
          <w:rFonts w:hint="default" w:ascii="Times New Roman" w:hAnsi="Times New Roman" w:eastAsia="宋体" w:cs="Times New Roman"/>
          <w:color w:val="000000" w:themeColor="text1"/>
          <w:sz w:val="28"/>
          <w:szCs w:val="28"/>
          <w:highlight w:val="none"/>
          <w14:textFill>
            <w14:solidFill>
              <w14:schemeClr w14:val="tx1"/>
            </w14:solidFill>
          </w14:textFill>
        </w:rPr>
        <w:t>为治理边坡长度</w:t>
      </w:r>
      <w:r>
        <w:rPr>
          <w:rFonts w:hint="eastAsia" w:cs="Times New Roman"/>
          <w:color w:val="000000" w:themeColor="text1"/>
          <w:sz w:val="28"/>
          <w:szCs w:val="28"/>
          <w:highlight w:val="none"/>
          <w:lang w:val="en-US" w:eastAsia="zh-CN"/>
          <w14:textFill>
            <w14:solidFill>
              <w14:schemeClr w14:val="tx1"/>
            </w14:solidFill>
          </w14:textFill>
        </w:rPr>
        <w:t>526</w:t>
      </w:r>
      <w:r>
        <w:rPr>
          <w:rFonts w:hint="default" w:ascii="Times New Roman" w:hAnsi="Times New Roman" w:eastAsia="宋体" w:cs="Times New Roman"/>
          <w:color w:val="000000" w:themeColor="text1"/>
          <w:sz w:val="28"/>
          <w:szCs w:val="28"/>
          <w:highlight w:val="none"/>
          <w14:textFill>
            <w14:solidFill>
              <w14:schemeClr w14:val="tx1"/>
            </w14:solidFill>
          </w14:textFill>
        </w:rPr>
        <w:t>（m），v为单位坡长清理方量（本方案取值</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0.</w:t>
      </w:r>
      <w:r>
        <w:rPr>
          <w:rFonts w:hint="eastAsia" w:cs="Times New Roman"/>
          <w:color w:val="000000" w:themeColor="text1"/>
          <w:sz w:val="28"/>
          <w:szCs w:val="28"/>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sz w:val="28"/>
          <w:szCs w:val="28"/>
          <w:highlight w:val="none"/>
          <w:lang w:eastAsia="zh-CN"/>
          <w14:textFill>
            <w14:solidFill>
              <w14:schemeClr w14:val="tx1"/>
            </w14:solidFill>
          </w14:textFill>
        </w:rPr>
        <w:t>m</w:t>
      </w:r>
      <w:r>
        <w:rPr>
          <w:rFonts w:hint="eastAsia" w:ascii="Times New Roman" w:hAnsi="Times New Roman" w:eastAsia="宋体" w:cs="Times New Roman"/>
          <w:color w:val="000000" w:themeColor="text1"/>
          <w:sz w:val="28"/>
          <w:szCs w:val="28"/>
          <w:highlight w:val="none"/>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8"/>
          <w:szCs w:val="28"/>
          <w:highlight w:val="none"/>
          <w14:textFill>
            <w14:solidFill>
              <w14:schemeClr w14:val="tx1"/>
            </w14:solidFill>
          </w14:textFill>
        </w:rPr>
        <w:t>/m）。</w:t>
      </w:r>
    </w:p>
    <w:p w14:paraId="0AB7F46F">
      <w:pPr>
        <w:keepNext w:val="0"/>
        <w:keepLines w:val="0"/>
        <w:pageBreakBefore w:val="0"/>
        <w:widowControl/>
        <w:kinsoku/>
        <w:wordWrap/>
        <w:bidi w:val="0"/>
        <w:adjustRightInd/>
        <w:snapToGrid/>
        <w:spacing w:line="360" w:lineRule="auto"/>
        <w:ind w:firstLine="560" w:firstLineChars="200"/>
        <w:jc w:val="left"/>
        <w:textAlignment w:val="auto"/>
        <w:rPr>
          <w:rFonts w:hint="default" w:ascii="Times New Roman" w:hAnsi="Times New Roman" w:eastAsia="宋体" w:cs="Times New Roman"/>
          <w:color w:val="000000" w:themeColor="text1"/>
          <w:kern w:val="0"/>
          <w:sz w:val="28"/>
          <w:szCs w:val="28"/>
          <w:highlight w:val="none"/>
          <w:lang w:bidi="ar"/>
          <w14:textFill>
            <w14:solidFill>
              <w14:schemeClr w14:val="tx1"/>
            </w14:solidFill>
          </w14:textFill>
        </w:rPr>
      </w:pP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拟建露天采场</w:t>
      </w:r>
      <w:r>
        <w:rPr>
          <w:rFonts w:hint="eastAsia" w:cs="Times New Roman"/>
          <w:color w:val="000000" w:themeColor="text1"/>
          <w:sz w:val="28"/>
          <w:szCs w:val="28"/>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8"/>
          <w:szCs w:val="28"/>
          <w:highlight w:val="none"/>
          <w14:textFill>
            <w14:solidFill>
              <w14:schemeClr w14:val="tx1"/>
            </w14:solidFill>
          </w14:textFill>
        </w:rPr>
        <w:t>清理危</w:t>
      </w:r>
      <w:r>
        <w:rPr>
          <w:rFonts w:hint="eastAsia" w:cs="Times New Roman"/>
          <w:color w:val="000000" w:themeColor="text1"/>
          <w:sz w:val="28"/>
          <w:szCs w:val="28"/>
          <w:highlight w:val="none"/>
          <w:lang w:val="en-US" w:eastAsia="zh-CN"/>
          <w14:textFill>
            <w14:solidFill>
              <w14:schemeClr w14:val="tx1"/>
            </w14:solidFill>
          </w14:textFill>
        </w:rPr>
        <w:t>土</w:t>
      </w:r>
      <w:r>
        <w:rPr>
          <w:rFonts w:hint="default" w:ascii="Times New Roman" w:hAnsi="Times New Roman" w:eastAsia="宋体" w:cs="Times New Roman"/>
          <w:color w:val="000000" w:themeColor="text1"/>
          <w:sz w:val="28"/>
          <w:szCs w:val="28"/>
          <w:highlight w:val="none"/>
          <w14:textFill>
            <w14:solidFill>
              <w14:schemeClr w14:val="tx1"/>
            </w14:solidFill>
          </w14:textFill>
        </w:rPr>
        <w:t>体工量Qx=0.</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8"/>
          <w:highlight w:val="none"/>
          <w14:textFill>
            <w14:solidFill>
              <w14:schemeClr w14:val="tx1"/>
            </w14:solidFill>
          </w14:textFill>
        </w:rPr>
        <w:t>×</w:t>
      </w:r>
      <w:r>
        <w:rPr>
          <w:rFonts w:hint="eastAsia" w:cs="Times New Roman"/>
          <w:color w:val="000000" w:themeColor="text1"/>
          <w:sz w:val="28"/>
          <w:szCs w:val="28"/>
          <w:highlight w:val="none"/>
          <w:lang w:val="en-US" w:eastAsia="zh-CN"/>
          <w14:textFill>
            <w14:solidFill>
              <w14:schemeClr w14:val="tx1"/>
            </w14:solidFill>
          </w14:textFill>
        </w:rPr>
        <w:t>526</w:t>
      </w:r>
      <w:r>
        <w:rPr>
          <w:rFonts w:hint="default" w:ascii="Times New Roman" w:hAnsi="Times New Roman" w:eastAsia="宋体" w:cs="Times New Roman"/>
          <w:color w:val="000000" w:themeColor="text1"/>
          <w:sz w:val="28"/>
          <w:szCs w:val="28"/>
          <w:highlight w:val="none"/>
          <w14:textFill>
            <w14:solidFill>
              <w14:schemeClr w14:val="tx1"/>
            </w14:solidFill>
          </w14:textFill>
        </w:rPr>
        <w:t>m×</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0.</w:t>
      </w:r>
      <w:r>
        <w:rPr>
          <w:rFonts w:hint="eastAsia" w:cs="Times New Roman"/>
          <w:color w:val="000000" w:themeColor="text1"/>
          <w:sz w:val="28"/>
          <w:szCs w:val="28"/>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sz w:val="28"/>
          <w:szCs w:val="28"/>
          <w:highlight w:val="none"/>
          <w:lang w:eastAsia="zh-CN"/>
          <w14:textFill>
            <w14:solidFill>
              <w14:schemeClr w14:val="tx1"/>
            </w14:solidFill>
          </w14:textFill>
        </w:rPr>
        <w:t>m</w:t>
      </w:r>
      <w:r>
        <w:rPr>
          <w:rFonts w:hint="eastAsia" w:ascii="Times New Roman" w:hAnsi="Times New Roman" w:eastAsia="宋体" w:cs="Times New Roman"/>
          <w:color w:val="000000" w:themeColor="text1"/>
          <w:sz w:val="28"/>
          <w:szCs w:val="28"/>
          <w:highlight w:val="none"/>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8"/>
          <w:szCs w:val="28"/>
          <w:highlight w:val="none"/>
          <w14:textFill>
            <w14:solidFill>
              <w14:schemeClr w14:val="tx1"/>
            </w14:solidFill>
          </w14:textFill>
        </w:rPr>
        <w:t>/m=</w:t>
      </w:r>
      <w:r>
        <w:rPr>
          <w:rFonts w:hint="eastAsia" w:cs="Times New Roman"/>
          <w:color w:val="000000" w:themeColor="text1"/>
          <w:sz w:val="28"/>
          <w:szCs w:val="28"/>
          <w:highlight w:val="none"/>
          <w:lang w:val="en-US" w:eastAsia="zh-CN"/>
          <w14:textFill>
            <w14:solidFill>
              <w14:schemeClr w14:val="tx1"/>
            </w14:solidFill>
          </w14:textFill>
        </w:rPr>
        <w:t>53</w:t>
      </w:r>
      <w:r>
        <w:rPr>
          <w:rFonts w:hint="eastAsia" w:ascii="Times New Roman" w:hAnsi="Times New Roman" w:eastAsia="宋体" w:cs="Times New Roman"/>
          <w:color w:val="000000" w:themeColor="text1"/>
          <w:sz w:val="28"/>
          <w:szCs w:val="28"/>
          <w:highlight w:val="none"/>
          <w:lang w:eastAsia="zh-CN"/>
          <w14:textFill>
            <w14:solidFill>
              <w14:schemeClr w14:val="tx1"/>
            </w14:solidFill>
          </w14:textFill>
        </w:rPr>
        <w:t>m</w:t>
      </w:r>
      <w:r>
        <w:rPr>
          <w:rFonts w:hint="eastAsia" w:ascii="Times New Roman" w:hAnsi="Times New Roman" w:eastAsia="宋体" w:cs="Times New Roman"/>
          <w:color w:val="000000" w:themeColor="text1"/>
          <w:sz w:val="28"/>
          <w:szCs w:val="28"/>
          <w:highlight w:val="none"/>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8"/>
          <w:szCs w:val="28"/>
          <w:highlight w:val="none"/>
          <w14:textFill>
            <w14:solidFill>
              <w14:schemeClr w14:val="tx1"/>
            </w14:solidFill>
          </w14:textFill>
        </w:rPr>
        <w:t>。</w:t>
      </w:r>
    </w:p>
    <w:p w14:paraId="0F37D0F8">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2</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警示牌</w:t>
      </w:r>
    </w:p>
    <w:p w14:paraId="3AFF90C4">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在</w:t>
      </w:r>
      <w:r>
        <w:rPr>
          <w:rFonts w:hint="eastAsia" w:cs="Times New Roman"/>
          <w:color w:val="000000" w:themeColor="text1"/>
          <w:kern w:val="0"/>
          <w:sz w:val="28"/>
          <w:szCs w:val="28"/>
          <w:lang w:val="en-US" w:eastAsia="zh-CN"/>
          <w14:textFill>
            <w14:solidFill>
              <w14:schemeClr w14:val="tx1"/>
            </w14:solidFill>
          </w14:textFill>
        </w:rPr>
        <w:t>采场</w:t>
      </w:r>
      <w:r>
        <w:rPr>
          <w:rFonts w:hint="default" w:ascii="Times New Roman" w:hAnsi="Times New Roman" w:cs="Times New Roman"/>
          <w:color w:val="000000" w:themeColor="text1"/>
          <w:kern w:val="0"/>
          <w:sz w:val="28"/>
          <w:szCs w:val="28"/>
          <w14:textFill>
            <w14:solidFill>
              <w14:schemeClr w14:val="tx1"/>
            </w14:solidFill>
          </w14:textFill>
        </w:rPr>
        <w:t>外围布设一定数量的警示牌，一来可以提醒矿山工作人员注意生产安全；二来提醒外来人员提高警惕，以免发生意外。警示牌材质及规格大小严格执行国家工矿企业现行《矿山安全标志》（GB14161-2008）相关规定要求，进行制作和设置。牌面尺寸为0.8m×0.5m。板面3mm厚。确定安装位置后，支柱采用0.1m×0.1m×2m混凝土桩或铁柱，警示牌埋深0.5m，不得倾斜；文字大小适中清晰，采用蒙汉双语标示，安装完成后应对警示牌标志板进行清扫，保持版面清洁。</w:t>
      </w:r>
    </w:p>
    <w:p w14:paraId="44FC5322">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具体设置警示牌时，布设位置应根据矿山开采进度而定，及时在外围进行布设，布设时应兼顾区内已有的乡间道路及其他行人小路，尽量使警示牌的警示效果更加明显。警示牌示意图见图</w:t>
      </w:r>
      <w:r>
        <w:rPr>
          <w:rFonts w:hint="eastAsia" w:cs="Times New Roman"/>
          <w:color w:val="000000" w:themeColor="text1"/>
          <w:kern w:val="0"/>
          <w:sz w:val="28"/>
          <w:szCs w:val="28"/>
          <w:lang w:val="en-US" w:eastAsia="zh-CN"/>
          <w14:textFill>
            <w14:solidFill>
              <w14:schemeClr w14:val="tx1"/>
            </w14:solidFill>
          </w14:textFill>
        </w:rPr>
        <w:t>4</w:t>
      </w:r>
      <w:r>
        <w:rPr>
          <w:rFonts w:hint="default" w:ascii="Times New Roman" w:hAnsi="Times New Roman" w:cs="Times New Roman"/>
          <w:color w:val="000000" w:themeColor="text1"/>
          <w:kern w:val="0"/>
          <w:sz w:val="28"/>
          <w:szCs w:val="28"/>
          <w14:textFill>
            <w14:solidFill>
              <w14:schemeClr w14:val="tx1"/>
            </w14:solidFill>
          </w14:textFill>
        </w:rPr>
        <w:t>-</w:t>
      </w:r>
      <w:r>
        <w:rPr>
          <w:rFonts w:hint="eastAsia" w:cs="Times New Roman"/>
          <w:color w:val="000000" w:themeColor="text1"/>
          <w:kern w:val="0"/>
          <w:sz w:val="28"/>
          <w:szCs w:val="28"/>
          <w:lang w:val="en-US" w:eastAsia="zh-CN"/>
          <w14:textFill>
            <w14:solidFill>
              <w14:schemeClr w14:val="tx1"/>
            </w14:solidFill>
          </w14:textFill>
        </w:rPr>
        <w:t>1</w:t>
      </w:r>
      <w:r>
        <w:rPr>
          <w:rFonts w:hint="default" w:ascii="Times New Roman" w:hAnsi="Times New Roman" w:cs="Times New Roman"/>
          <w:color w:val="000000" w:themeColor="text1"/>
          <w:sz w:val="28"/>
          <w:szCs w:val="28"/>
          <w14:textFill>
            <w14:solidFill>
              <w14:schemeClr w14:val="tx1"/>
            </w14:solidFill>
          </w14:textFill>
        </w:rPr>
        <w:t>（警示牌位置坐标见表4-</w:t>
      </w:r>
      <w:r>
        <w:rPr>
          <w:rFonts w:hint="eastAsia" w:cs="Times New Roman"/>
          <w:color w:val="000000" w:themeColor="text1"/>
          <w:sz w:val="28"/>
          <w:szCs w:val="28"/>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p>
    <w:p w14:paraId="017FDFB1">
      <w:pPr>
        <w:pStyle w:val="8"/>
        <w:spacing w:line="360" w:lineRule="auto"/>
        <w:ind w:left="0" w:leftChars="0" w:firstLine="0" w:firstLineChars="0"/>
        <w:jc w:val="center"/>
        <w:rPr>
          <w:rFonts w:hint="eastAsia" w:ascii="黑体" w:hAnsi="黑体" w:eastAsia="黑体" w:cs="黑体"/>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表4-</w:t>
      </w:r>
      <w:r>
        <w:rPr>
          <w:rFonts w:hint="eastAsia" w:ascii="黑体" w:hAnsi="黑体" w:eastAsia="黑体" w:cs="黑体"/>
          <w:b w:val="0"/>
          <w:bCs w:val="0"/>
          <w:color w:val="000000" w:themeColor="text1"/>
          <w:sz w:val="24"/>
          <w:szCs w:val="24"/>
          <w:lang w:val="en-US" w:eastAsia="zh-CN"/>
          <w14:textFill>
            <w14:solidFill>
              <w14:schemeClr w14:val="tx1"/>
            </w14:solidFill>
          </w14:textFill>
        </w:rPr>
        <w:t>2</w:t>
      </w:r>
      <w:r>
        <w:rPr>
          <w:rFonts w:hint="eastAsia" w:ascii="黑体" w:hAnsi="黑体" w:eastAsia="黑体" w:cs="黑体"/>
          <w:b w:val="0"/>
          <w:bCs w:val="0"/>
          <w:color w:val="000000" w:themeColor="text1"/>
          <w:sz w:val="24"/>
          <w:szCs w:val="24"/>
          <w14:textFill>
            <w14:solidFill>
              <w14:schemeClr w14:val="tx1"/>
            </w14:solidFill>
          </w14:textFill>
        </w:rPr>
        <w:t xml:space="preserve">  警示牌位置坐标表（2000大地坐标系）</w:t>
      </w:r>
    </w:p>
    <w:tbl>
      <w:tblPr>
        <w:tblStyle w:val="30"/>
        <w:tblW w:w="4913" w:type="pct"/>
        <w:jc w:val="center"/>
        <w:tblLayout w:type="fixed"/>
        <w:tblCellMar>
          <w:top w:w="0" w:type="dxa"/>
          <w:left w:w="108" w:type="dxa"/>
          <w:bottom w:w="0" w:type="dxa"/>
          <w:right w:w="108" w:type="dxa"/>
        </w:tblCellMar>
      </w:tblPr>
      <w:tblGrid>
        <w:gridCol w:w="786"/>
        <w:gridCol w:w="1690"/>
        <w:gridCol w:w="1764"/>
        <w:gridCol w:w="813"/>
        <w:gridCol w:w="1616"/>
        <w:gridCol w:w="1711"/>
      </w:tblGrid>
      <w:tr w14:paraId="0FBC68A9">
        <w:tblPrEx>
          <w:tblCellMar>
            <w:top w:w="0" w:type="dxa"/>
            <w:left w:w="108" w:type="dxa"/>
            <w:bottom w:w="0" w:type="dxa"/>
            <w:right w:w="108" w:type="dxa"/>
          </w:tblCellMar>
        </w:tblPrEx>
        <w:trPr>
          <w:trHeight w:val="340" w:hRule="atLeast"/>
          <w:jc w:val="center"/>
        </w:trPr>
        <w:tc>
          <w:tcPr>
            <w:tcW w:w="468" w:type="pct"/>
            <w:tcBorders>
              <w:top w:val="single" w:color="000000" w:sz="4" w:space="0"/>
              <w:left w:val="single" w:color="000000" w:sz="4" w:space="0"/>
              <w:bottom w:val="single" w:color="000000" w:sz="4" w:space="0"/>
              <w:right w:val="single" w:color="000000" w:sz="4" w:space="0"/>
            </w:tcBorders>
            <w:noWrap/>
            <w:vAlign w:val="center"/>
          </w:tcPr>
          <w:p w14:paraId="7E7FD755">
            <w:pPr>
              <w:pStyle w:val="154"/>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编号</w:t>
            </w:r>
          </w:p>
        </w:tc>
        <w:tc>
          <w:tcPr>
            <w:tcW w:w="1008" w:type="pct"/>
            <w:tcBorders>
              <w:top w:val="single" w:color="000000" w:sz="4" w:space="0"/>
              <w:left w:val="single" w:color="000000" w:sz="4" w:space="0"/>
              <w:bottom w:val="single" w:color="000000" w:sz="4" w:space="0"/>
              <w:right w:val="single" w:color="000000" w:sz="4" w:space="0"/>
            </w:tcBorders>
            <w:noWrap/>
            <w:vAlign w:val="center"/>
          </w:tcPr>
          <w:p w14:paraId="1D1282B5">
            <w:pPr>
              <w:pStyle w:val="154"/>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X</w:t>
            </w:r>
          </w:p>
        </w:tc>
        <w:tc>
          <w:tcPr>
            <w:tcW w:w="1052" w:type="pct"/>
            <w:tcBorders>
              <w:top w:val="single" w:color="000000" w:sz="4" w:space="0"/>
              <w:left w:val="single" w:color="000000" w:sz="4" w:space="0"/>
              <w:bottom w:val="single" w:color="000000" w:sz="4" w:space="0"/>
              <w:right w:val="single" w:color="000000" w:sz="4" w:space="0"/>
            </w:tcBorders>
            <w:noWrap/>
            <w:vAlign w:val="center"/>
          </w:tcPr>
          <w:p w14:paraId="233D93CE">
            <w:pPr>
              <w:pStyle w:val="154"/>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Y</w:t>
            </w:r>
          </w:p>
        </w:tc>
        <w:tc>
          <w:tcPr>
            <w:tcW w:w="485" w:type="pct"/>
            <w:tcBorders>
              <w:top w:val="single" w:color="000000" w:sz="4" w:space="0"/>
              <w:left w:val="single" w:color="000000" w:sz="4" w:space="0"/>
              <w:bottom w:val="single" w:color="000000" w:sz="4" w:space="0"/>
              <w:right w:val="single" w:color="000000" w:sz="4" w:space="0"/>
            </w:tcBorders>
            <w:noWrap/>
            <w:vAlign w:val="center"/>
          </w:tcPr>
          <w:p w14:paraId="5C669ACA">
            <w:pPr>
              <w:pStyle w:val="154"/>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编号</w:t>
            </w:r>
          </w:p>
        </w:tc>
        <w:tc>
          <w:tcPr>
            <w:tcW w:w="964" w:type="pct"/>
            <w:tcBorders>
              <w:top w:val="single" w:color="000000" w:sz="4" w:space="0"/>
              <w:left w:val="single" w:color="000000" w:sz="4" w:space="0"/>
              <w:bottom w:val="single" w:color="000000" w:sz="4" w:space="0"/>
              <w:right w:val="single" w:color="000000" w:sz="4" w:space="0"/>
            </w:tcBorders>
            <w:noWrap/>
            <w:vAlign w:val="center"/>
          </w:tcPr>
          <w:p w14:paraId="154F02DB">
            <w:pPr>
              <w:pStyle w:val="154"/>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X</w:t>
            </w:r>
          </w:p>
        </w:tc>
        <w:tc>
          <w:tcPr>
            <w:tcW w:w="1020" w:type="pct"/>
            <w:tcBorders>
              <w:top w:val="single" w:color="000000" w:sz="4" w:space="0"/>
              <w:left w:val="single" w:color="000000" w:sz="4" w:space="0"/>
              <w:bottom w:val="single" w:color="000000" w:sz="4" w:space="0"/>
              <w:right w:val="single" w:color="000000" w:sz="4" w:space="0"/>
            </w:tcBorders>
            <w:noWrap/>
            <w:vAlign w:val="center"/>
          </w:tcPr>
          <w:p w14:paraId="30C284E2">
            <w:pPr>
              <w:pStyle w:val="154"/>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Y</w:t>
            </w:r>
          </w:p>
        </w:tc>
      </w:tr>
      <w:tr w14:paraId="2C6DC02E">
        <w:tblPrEx>
          <w:tblCellMar>
            <w:top w:w="0" w:type="dxa"/>
            <w:left w:w="108" w:type="dxa"/>
            <w:bottom w:w="0" w:type="dxa"/>
            <w:right w:w="108" w:type="dxa"/>
          </w:tblCellMar>
        </w:tblPrEx>
        <w:trPr>
          <w:trHeight w:val="340" w:hRule="atLeast"/>
          <w:jc w:val="center"/>
        </w:trPr>
        <w:tc>
          <w:tcPr>
            <w:tcW w:w="468" w:type="pct"/>
            <w:tcBorders>
              <w:top w:val="single" w:color="000000" w:sz="4" w:space="0"/>
              <w:left w:val="single" w:color="000000" w:sz="4" w:space="0"/>
              <w:bottom w:val="single" w:color="000000" w:sz="4" w:space="0"/>
              <w:right w:val="single" w:color="000000" w:sz="4" w:space="0"/>
            </w:tcBorders>
            <w:noWrap/>
            <w:vAlign w:val="center"/>
          </w:tcPr>
          <w:p w14:paraId="3851B5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JS1</w:t>
            </w:r>
          </w:p>
        </w:tc>
        <w:tc>
          <w:tcPr>
            <w:tcW w:w="1008" w:type="pct"/>
            <w:tcBorders>
              <w:top w:val="single" w:color="000000" w:sz="4" w:space="0"/>
              <w:left w:val="single" w:color="000000" w:sz="4" w:space="0"/>
              <w:bottom w:val="single" w:color="000000" w:sz="4" w:space="0"/>
              <w:right w:val="single" w:color="000000" w:sz="4" w:space="0"/>
            </w:tcBorders>
            <w:noWrap/>
            <w:vAlign w:val="center"/>
          </w:tcPr>
          <w:p w14:paraId="5608BF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4707113.6393</w:t>
            </w:r>
          </w:p>
        </w:tc>
        <w:tc>
          <w:tcPr>
            <w:tcW w:w="1052" w:type="pct"/>
            <w:tcBorders>
              <w:top w:val="single" w:color="000000" w:sz="4" w:space="0"/>
              <w:left w:val="single" w:color="000000" w:sz="4" w:space="0"/>
              <w:bottom w:val="single" w:color="000000" w:sz="4" w:space="0"/>
              <w:right w:val="single" w:color="000000" w:sz="4" w:space="0"/>
            </w:tcBorders>
            <w:noWrap/>
            <w:vAlign w:val="center"/>
          </w:tcPr>
          <w:p w14:paraId="3D16C9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40453183.6811</w:t>
            </w:r>
          </w:p>
        </w:tc>
        <w:tc>
          <w:tcPr>
            <w:tcW w:w="485" w:type="pct"/>
            <w:tcBorders>
              <w:top w:val="single" w:color="000000" w:sz="4" w:space="0"/>
              <w:left w:val="single" w:color="000000" w:sz="4" w:space="0"/>
              <w:bottom w:val="single" w:color="000000" w:sz="4" w:space="0"/>
              <w:right w:val="single" w:color="000000" w:sz="4" w:space="0"/>
            </w:tcBorders>
            <w:noWrap/>
            <w:vAlign w:val="center"/>
          </w:tcPr>
          <w:p w14:paraId="20AA00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color w:val="000000" w:themeColor="text1"/>
                <w:kern w:val="0"/>
                <w:sz w:val="21"/>
                <w:szCs w:val="21"/>
                <w:lang w:eastAsia="zh-CN" w:bidi="ar"/>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JS4</w:t>
            </w:r>
          </w:p>
        </w:tc>
        <w:tc>
          <w:tcPr>
            <w:tcW w:w="964" w:type="pct"/>
            <w:tcBorders>
              <w:top w:val="single" w:color="000000" w:sz="4" w:space="0"/>
              <w:left w:val="single" w:color="000000" w:sz="4" w:space="0"/>
              <w:bottom w:val="single" w:color="000000" w:sz="4" w:space="0"/>
              <w:right w:val="single" w:color="000000" w:sz="4" w:space="0"/>
            </w:tcBorders>
            <w:noWrap/>
            <w:vAlign w:val="center"/>
          </w:tcPr>
          <w:p w14:paraId="5E0A0F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4707012.9326</w:t>
            </w:r>
          </w:p>
        </w:tc>
        <w:tc>
          <w:tcPr>
            <w:tcW w:w="1020" w:type="pct"/>
            <w:tcBorders>
              <w:top w:val="single" w:color="000000" w:sz="4" w:space="0"/>
              <w:left w:val="single" w:color="000000" w:sz="4" w:space="0"/>
              <w:bottom w:val="single" w:color="000000" w:sz="4" w:space="0"/>
              <w:right w:val="single" w:color="000000" w:sz="4" w:space="0"/>
            </w:tcBorders>
            <w:noWrap/>
            <w:vAlign w:val="center"/>
          </w:tcPr>
          <w:p w14:paraId="24E2C3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40453327.0645</w:t>
            </w:r>
          </w:p>
        </w:tc>
      </w:tr>
      <w:tr w14:paraId="07109016">
        <w:tblPrEx>
          <w:tblCellMar>
            <w:top w:w="0" w:type="dxa"/>
            <w:left w:w="108" w:type="dxa"/>
            <w:bottom w:w="0" w:type="dxa"/>
            <w:right w:w="108" w:type="dxa"/>
          </w:tblCellMar>
        </w:tblPrEx>
        <w:trPr>
          <w:trHeight w:val="340" w:hRule="atLeast"/>
          <w:jc w:val="center"/>
        </w:trPr>
        <w:tc>
          <w:tcPr>
            <w:tcW w:w="468" w:type="pct"/>
            <w:tcBorders>
              <w:top w:val="single" w:color="000000" w:sz="4" w:space="0"/>
              <w:left w:val="single" w:color="000000" w:sz="4" w:space="0"/>
              <w:bottom w:val="single" w:color="000000" w:sz="4" w:space="0"/>
              <w:right w:val="single" w:color="000000" w:sz="4" w:space="0"/>
            </w:tcBorders>
            <w:noWrap/>
            <w:vAlign w:val="center"/>
          </w:tcPr>
          <w:p w14:paraId="5D874D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JS2</w:t>
            </w:r>
          </w:p>
        </w:tc>
        <w:tc>
          <w:tcPr>
            <w:tcW w:w="1008" w:type="pct"/>
            <w:tcBorders>
              <w:top w:val="single" w:color="000000" w:sz="4" w:space="0"/>
              <w:left w:val="single" w:color="000000" w:sz="4" w:space="0"/>
              <w:bottom w:val="single" w:color="000000" w:sz="4" w:space="0"/>
              <w:right w:val="single" w:color="000000" w:sz="4" w:space="0"/>
            </w:tcBorders>
            <w:noWrap/>
            <w:vAlign w:val="center"/>
          </w:tcPr>
          <w:p w14:paraId="38297F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4707128.9590</w:t>
            </w:r>
          </w:p>
        </w:tc>
        <w:tc>
          <w:tcPr>
            <w:tcW w:w="1052" w:type="pct"/>
            <w:tcBorders>
              <w:top w:val="single" w:color="000000" w:sz="4" w:space="0"/>
              <w:left w:val="single" w:color="000000" w:sz="4" w:space="0"/>
              <w:bottom w:val="single" w:color="000000" w:sz="4" w:space="0"/>
              <w:right w:val="single" w:color="000000" w:sz="4" w:space="0"/>
            </w:tcBorders>
            <w:noWrap/>
            <w:vAlign w:val="center"/>
          </w:tcPr>
          <w:p w14:paraId="69295F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40453290.5453</w:t>
            </w:r>
          </w:p>
        </w:tc>
        <w:tc>
          <w:tcPr>
            <w:tcW w:w="485" w:type="pct"/>
            <w:tcBorders>
              <w:top w:val="single" w:color="000000" w:sz="4" w:space="0"/>
              <w:left w:val="single" w:color="000000" w:sz="4" w:space="0"/>
              <w:bottom w:val="single" w:color="000000" w:sz="4" w:space="0"/>
              <w:right w:val="single" w:color="000000" w:sz="4" w:space="0"/>
            </w:tcBorders>
            <w:noWrap/>
            <w:vAlign w:val="center"/>
          </w:tcPr>
          <w:p w14:paraId="281DB2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eastAsia="宋体" w:cs="Times New Roman"/>
                <w:color w:val="000000" w:themeColor="text1"/>
                <w:kern w:val="0"/>
                <w:sz w:val="21"/>
                <w:szCs w:val="21"/>
                <w:lang w:eastAsia="zh-CN" w:bidi="ar"/>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JS5</w:t>
            </w:r>
          </w:p>
        </w:tc>
        <w:tc>
          <w:tcPr>
            <w:tcW w:w="964" w:type="pct"/>
            <w:tcBorders>
              <w:top w:val="single" w:color="000000" w:sz="4" w:space="0"/>
              <w:left w:val="single" w:color="000000" w:sz="4" w:space="0"/>
              <w:bottom w:val="single" w:color="000000" w:sz="4" w:space="0"/>
              <w:right w:val="single" w:color="000000" w:sz="4" w:space="0"/>
            </w:tcBorders>
            <w:noWrap/>
            <w:vAlign w:val="center"/>
          </w:tcPr>
          <w:p w14:paraId="7AE8F4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4707000.5200</w:t>
            </w:r>
          </w:p>
        </w:tc>
        <w:tc>
          <w:tcPr>
            <w:tcW w:w="1020" w:type="pct"/>
            <w:tcBorders>
              <w:top w:val="single" w:color="000000" w:sz="4" w:space="0"/>
              <w:left w:val="single" w:color="000000" w:sz="4" w:space="0"/>
              <w:bottom w:val="single" w:color="000000" w:sz="4" w:space="0"/>
              <w:right w:val="single" w:color="000000" w:sz="4" w:space="0"/>
            </w:tcBorders>
            <w:noWrap/>
            <w:vAlign w:val="center"/>
          </w:tcPr>
          <w:p w14:paraId="434F28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40453236.8419</w:t>
            </w:r>
          </w:p>
        </w:tc>
      </w:tr>
      <w:tr w14:paraId="033E19DC">
        <w:tblPrEx>
          <w:tblCellMar>
            <w:top w:w="0" w:type="dxa"/>
            <w:left w:w="108" w:type="dxa"/>
            <w:bottom w:w="0" w:type="dxa"/>
            <w:right w:w="108" w:type="dxa"/>
          </w:tblCellMar>
        </w:tblPrEx>
        <w:trPr>
          <w:trHeight w:val="340" w:hRule="atLeast"/>
          <w:jc w:val="center"/>
        </w:trPr>
        <w:tc>
          <w:tcPr>
            <w:tcW w:w="468" w:type="pct"/>
            <w:tcBorders>
              <w:top w:val="single" w:color="000000" w:sz="4" w:space="0"/>
              <w:left w:val="single" w:color="000000" w:sz="4" w:space="0"/>
              <w:bottom w:val="single" w:color="000000" w:sz="4" w:space="0"/>
              <w:right w:val="single" w:color="000000" w:sz="4" w:space="0"/>
            </w:tcBorders>
            <w:noWrap/>
            <w:vAlign w:val="center"/>
          </w:tcPr>
          <w:p w14:paraId="7C6A9A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JS3</w:t>
            </w:r>
          </w:p>
        </w:tc>
        <w:tc>
          <w:tcPr>
            <w:tcW w:w="1008" w:type="pct"/>
            <w:tcBorders>
              <w:top w:val="single" w:color="000000" w:sz="4" w:space="0"/>
              <w:left w:val="single" w:color="000000" w:sz="4" w:space="0"/>
              <w:bottom w:val="single" w:color="000000" w:sz="4" w:space="0"/>
              <w:right w:val="single" w:color="000000" w:sz="4" w:space="0"/>
            </w:tcBorders>
            <w:noWrap/>
            <w:vAlign w:val="center"/>
          </w:tcPr>
          <w:p w14:paraId="441179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4707059.3947</w:t>
            </w:r>
          </w:p>
        </w:tc>
        <w:tc>
          <w:tcPr>
            <w:tcW w:w="1052" w:type="pct"/>
            <w:tcBorders>
              <w:top w:val="single" w:color="000000" w:sz="4" w:space="0"/>
              <w:left w:val="single" w:color="000000" w:sz="4" w:space="0"/>
              <w:bottom w:val="single" w:color="000000" w:sz="4" w:space="0"/>
              <w:right w:val="single" w:color="000000" w:sz="4" w:space="0"/>
            </w:tcBorders>
            <w:noWrap/>
            <w:vAlign w:val="center"/>
          </w:tcPr>
          <w:p w14:paraId="700077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40453376.7066</w:t>
            </w:r>
          </w:p>
        </w:tc>
        <w:tc>
          <w:tcPr>
            <w:tcW w:w="485" w:type="pct"/>
            <w:tcBorders>
              <w:top w:val="single" w:color="000000" w:sz="4" w:space="0"/>
              <w:left w:val="single" w:color="000000" w:sz="4" w:space="0"/>
              <w:bottom w:val="single" w:color="000000" w:sz="4" w:space="0"/>
              <w:right w:val="single" w:color="000000" w:sz="4" w:space="0"/>
            </w:tcBorders>
            <w:noWrap/>
            <w:vAlign w:val="center"/>
          </w:tcPr>
          <w:p w14:paraId="7CB987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JS6</w:t>
            </w:r>
          </w:p>
        </w:tc>
        <w:tc>
          <w:tcPr>
            <w:tcW w:w="964" w:type="pct"/>
            <w:tcBorders>
              <w:top w:val="single" w:color="000000" w:sz="4" w:space="0"/>
              <w:left w:val="single" w:color="000000" w:sz="4" w:space="0"/>
              <w:bottom w:val="single" w:color="000000" w:sz="4" w:space="0"/>
              <w:right w:val="single" w:color="000000" w:sz="4" w:space="0"/>
            </w:tcBorders>
            <w:noWrap/>
            <w:vAlign w:val="center"/>
          </w:tcPr>
          <w:p w14:paraId="348A93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4707012.5044</w:t>
            </w:r>
          </w:p>
        </w:tc>
        <w:tc>
          <w:tcPr>
            <w:tcW w:w="1020" w:type="pct"/>
            <w:tcBorders>
              <w:top w:val="single" w:color="000000" w:sz="4" w:space="0"/>
              <w:left w:val="single" w:color="000000" w:sz="4" w:space="0"/>
              <w:bottom w:val="single" w:color="000000" w:sz="4" w:space="0"/>
              <w:right w:val="single" w:color="000000" w:sz="4" w:space="0"/>
            </w:tcBorders>
            <w:noWrap/>
            <w:vAlign w:val="center"/>
          </w:tcPr>
          <w:p w14:paraId="0DEE29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40453185.5534</w:t>
            </w:r>
          </w:p>
        </w:tc>
      </w:tr>
    </w:tbl>
    <w:p w14:paraId="2D7BC8A3">
      <w:pPr>
        <w:widowControl/>
        <w:jc w:val="center"/>
        <w:rPr>
          <w:color w:val="000000" w:themeColor="text1"/>
          <w:sz w:val="28"/>
          <w:szCs w:val="28"/>
          <w14:textFill>
            <w14:solidFill>
              <w14:schemeClr w14:val="tx1"/>
            </w14:solidFill>
          </w14:textFill>
        </w:rPr>
      </w:pPr>
    </w:p>
    <w:p w14:paraId="06729FA5">
      <w:pPr>
        <w:widowControl/>
        <w:jc w:val="center"/>
        <w:rPr>
          <w:rFonts w:hint="eastAsia" w:ascii="宋体" w:hAnsi="宋体" w:eastAsia="宋体" w:cs="宋体"/>
          <w:color w:val="000000" w:themeColor="text1"/>
          <w:kern w:val="0"/>
          <w:sz w:val="28"/>
          <w:szCs w:val="28"/>
          <w:lang w:eastAsia="zh-CN"/>
          <w14:textFill>
            <w14:solidFill>
              <w14:schemeClr w14:val="tx1"/>
            </w14:solidFill>
          </w14:textFill>
        </w:rPr>
      </w:pPr>
      <w:r>
        <w:rPr>
          <w:rFonts w:hint="eastAsia" w:ascii="宋体" w:hAnsi="宋体" w:cs="宋体"/>
          <w:color w:val="000000" w:themeColor="text1"/>
          <w:kern w:val="0"/>
          <w:sz w:val="28"/>
          <w:szCs w:val="28"/>
          <w:lang w:eastAsia="zh-CN"/>
          <w14:textFill>
            <w14:solidFill>
              <w14:schemeClr w14:val="tx1"/>
            </w14:solidFill>
          </w14:textFill>
        </w:rPr>
        <w:t xml:space="preserve">    </w:t>
      </w:r>
    </w:p>
    <w:p w14:paraId="27666D35">
      <w:pPr>
        <w:pStyle w:val="8"/>
        <w:spacing w:line="360" w:lineRule="auto"/>
        <w:ind w:left="0" w:leftChars="0" w:firstLine="0" w:firstLineChars="0"/>
        <w:jc w:val="center"/>
        <w:rPr>
          <w:rFonts w:hint="eastAsia" w:ascii="黑体" w:hAnsi="黑体" w:eastAsia="黑体" w:cs="黑体"/>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图4-1  警示牌示意图</w:t>
      </w:r>
    </w:p>
    <w:p w14:paraId="495243D5">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cs="Times New Roman"/>
          <w:color w:val="000000" w:themeColor="text1"/>
          <w:kern w:val="0"/>
          <w:sz w:val="28"/>
          <w:szCs w:val="28"/>
          <w:lang w:eastAsia="zh-CN"/>
          <w14:textFill>
            <w14:solidFill>
              <w14:schemeClr w14:val="tx1"/>
            </w14:solidFill>
          </w14:textFill>
        </w:rPr>
        <w:t>（</w:t>
      </w:r>
      <w:r>
        <w:rPr>
          <w:rFonts w:hint="eastAsia" w:cs="Times New Roman"/>
          <w:color w:val="000000" w:themeColor="text1"/>
          <w:kern w:val="0"/>
          <w:sz w:val="28"/>
          <w:szCs w:val="28"/>
          <w:lang w:val="en-US" w:eastAsia="zh-CN"/>
          <w14:textFill>
            <w14:solidFill>
              <w14:schemeClr w14:val="tx1"/>
            </w14:solidFill>
          </w14:textFill>
        </w:rPr>
        <w:t>3</w:t>
      </w:r>
      <w:r>
        <w:rPr>
          <w:rFonts w:hint="eastAsia"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围栏网</w:t>
      </w:r>
    </w:p>
    <w:p w14:paraId="553A8189">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为防止人畜误入</w:t>
      </w:r>
      <w:r>
        <w:rPr>
          <w:rFonts w:hint="eastAsia" w:cs="Times New Roman"/>
          <w:color w:val="000000" w:themeColor="text1"/>
          <w:kern w:val="0"/>
          <w:sz w:val="28"/>
          <w:szCs w:val="28"/>
          <w:lang w:val="en-US" w:eastAsia="zh-CN"/>
          <w14:textFill>
            <w14:solidFill>
              <w14:schemeClr w14:val="tx1"/>
            </w14:solidFill>
          </w14:textFill>
        </w:rPr>
        <w:t>采场内</w:t>
      </w:r>
      <w:r>
        <w:rPr>
          <w:rFonts w:hint="default" w:ascii="Times New Roman" w:hAnsi="Times New Roman" w:cs="Times New Roman"/>
          <w:color w:val="000000" w:themeColor="text1"/>
          <w:kern w:val="0"/>
          <w:sz w:val="28"/>
          <w:szCs w:val="28"/>
          <w14:textFill>
            <w14:solidFill>
              <w14:schemeClr w14:val="tx1"/>
            </w14:solidFill>
          </w14:textFill>
        </w:rPr>
        <w:t>，</w:t>
      </w:r>
      <w:r>
        <w:rPr>
          <w:rFonts w:hint="eastAsia" w:cs="Times New Roman"/>
          <w:color w:val="000000" w:themeColor="text1"/>
          <w:kern w:val="0"/>
          <w:sz w:val="28"/>
          <w:szCs w:val="28"/>
          <w:lang w:val="en-US" w:eastAsia="zh-CN"/>
          <w14:textFill>
            <w14:solidFill>
              <w14:schemeClr w14:val="tx1"/>
            </w14:solidFill>
          </w14:textFill>
        </w:rPr>
        <w:t>露天采场</w:t>
      </w:r>
      <w:r>
        <w:rPr>
          <w:rFonts w:hint="default" w:ascii="Times New Roman" w:hAnsi="Times New Roman" w:cs="Times New Roman"/>
          <w:color w:val="000000" w:themeColor="text1"/>
          <w:kern w:val="0"/>
          <w:sz w:val="28"/>
          <w:szCs w:val="28"/>
          <w14:textFill>
            <w14:solidFill>
              <w14:schemeClr w14:val="tx1"/>
            </w14:solidFill>
          </w14:textFill>
        </w:rPr>
        <w:t>地表境界外围</w:t>
      </w:r>
      <w:r>
        <w:rPr>
          <w:rFonts w:hint="eastAsia" w:cs="Times New Roman"/>
          <w:color w:val="000000" w:themeColor="text1"/>
          <w:kern w:val="0"/>
          <w:sz w:val="28"/>
          <w:szCs w:val="28"/>
          <w:lang w:val="en-US" w:eastAsia="zh-CN"/>
          <w14:textFill>
            <w14:solidFill>
              <w14:schemeClr w14:val="tx1"/>
            </w14:solidFill>
          </w14:textFill>
        </w:rPr>
        <w:t>5</w:t>
      </w:r>
      <w:r>
        <w:rPr>
          <w:rFonts w:hint="default" w:ascii="Times New Roman" w:hAnsi="Times New Roman" w:cs="Times New Roman"/>
          <w:color w:val="000000" w:themeColor="text1"/>
          <w:kern w:val="0"/>
          <w:sz w:val="28"/>
          <w:szCs w:val="28"/>
          <w14:textFill>
            <w14:solidFill>
              <w14:schemeClr w14:val="tx1"/>
            </w14:solidFill>
          </w14:textFill>
        </w:rPr>
        <w:t>m设立钢丝围栏，铁刺防护网通过钢筋混凝土桩及刺绳相结合的方法进行拦挡，设计每隔4m设一根水泥桩，规格为0.1m×0.1m×2.0m（钢筋混凝土桩地下0.6m，地面外漏1.25m），然后沿水泥桩拉双股刺绳，距地面0.25m拉第一根，往上每隔0.25m拉一根（详见图4-2铁刺防护网工程示意图）。根据实际情况，设置围栏网</w:t>
      </w:r>
      <w:r>
        <w:rPr>
          <w:rFonts w:hint="eastAsia" w:cs="Times New Roman"/>
          <w:color w:val="000000" w:themeColor="text1"/>
          <w:kern w:val="0"/>
          <w:sz w:val="28"/>
          <w:szCs w:val="28"/>
          <w:lang w:val="en-US" w:eastAsia="zh-CN"/>
          <w14:textFill>
            <w14:solidFill>
              <w14:schemeClr w14:val="tx1"/>
            </w14:solidFill>
          </w14:textFill>
        </w:rPr>
        <w:t>140</w:t>
      </w:r>
      <w:r>
        <w:rPr>
          <w:rFonts w:hint="default" w:ascii="Times New Roman" w:hAnsi="Times New Roman" w:cs="Times New Roman"/>
          <w:color w:val="000000" w:themeColor="text1"/>
          <w:kern w:val="0"/>
          <w:sz w:val="28"/>
          <w:szCs w:val="28"/>
          <w14:textFill>
            <w14:solidFill>
              <w14:schemeClr w14:val="tx1"/>
            </w14:solidFill>
          </w14:textFill>
        </w:rPr>
        <w:t>m。</w:t>
      </w:r>
    </w:p>
    <w:p w14:paraId="264875C1">
      <w:pPr>
        <w:jc w:val="center"/>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cs="宋体"/>
          <w:b/>
          <w:color w:val="000000" w:themeColor="text1"/>
          <w:sz w:val="28"/>
          <w:szCs w:val="28"/>
          <w:lang w:eastAsia="zh-CN"/>
          <w14:textFill>
            <w14:solidFill>
              <w14:schemeClr w14:val="tx1"/>
            </w14:solidFill>
          </w14:textFill>
        </w:rPr>
        <w:t xml:space="preserve">    </w:t>
      </w:r>
    </w:p>
    <w:p w14:paraId="66919A10">
      <w:pPr>
        <w:pStyle w:val="8"/>
        <w:spacing w:line="360" w:lineRule="auto"/>
        <w:ind w:left="0" w:leftChars="0" w:firstLine="0" w:firstLineChars="0"/>
        <w:jc w:val="center"/>
        <w:rPr>
          <w:rFonts w:hint="eastAsia" w:ascii="黑体" w:hAnsi="黑体" w:eastAsia="黑体" w:cs="黑体"/>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图4-2  铁刺防护网工程示意图</w:t>
      </w:r>
    </w:p>
    <w:p w14:paraId="74874AE5">
      <w:pPr>
        <w:widowControl/>
        <w:spacing w:line="360" w:lineRule="auto"/>
        <w:ind w:firstLine="560" w:firstLineChars="200"/>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2、地貌重塑</w:t>
      </w:r>
    </w:p>
    <w:p w14:paraId="55B6B128">
      <w:pPr>
        <w:widowControl/>
        <w:spacing w:line="360" w:lineRule="auto"/>
        <w:ind w:firstLine="560" w:firstLineChars="200"/>
        <w:rPr>
          <w:rFonts w:hint="default" w:ascii="Times New Roman" w:hAnsi="Times New Roman" w:cs="Times New Roman"/>
          <w:color w:val="000000" w:themeColor="text1"/>
          <w:sz w:val="28"/>
          <w:szCs w:val="28"/>
          <w:highlight w:val="none"/>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highlight w:val="none"/>
          <w14:textFill>
            <w14:solidFill>
              <w14:schemeClr w14:val="tx1"/>
            </w14:solidFill>
          </w14:textFill>
        </w:rPr>
        <w:t>回填</w:t>
      </w:r>
    </w:p>
    <w:p w14:paraId="36D57B38">
      <w:pPr>
        <w:widowControl/>
        <w:spacing w:line="360" w:lineRule="auto"/>
        <w:ind w:firstLine="560" w:firstLineChars="200"/>
        <w:rPr>
          <w:rFonts w:hint="eastAsia" w:cs="Times New Roman"/>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终采后将</w:t>
      </w:r>
      <w:r>
        <w:rPr>
          <w:rFonts w:hint="eastAsia" w:cs="Times New Roman"/>
          <w:color w:val="000000" w:themeColor="text1"/>
          <w:sz w:val="28"/>
          <w:szCs w:val="28"/>
          <w:highlight w:val="none"/>
          <w:lang w:val="en-US" w:eastAsia="zh-CN"/>
          <w14:textFill>
            <w14:solidFill>
              <w14:schemeClr w14:val="tx1"/>
            </w14:solidFill>
          </w14:textFill>
        </w:rPr>
        <w:t>拆除的固体废弃物回填至露天采场坑底，上部回填剥离的表土</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回填至</w:t>
      </w:r>
      <w:r>
        <w:rPr>
          <w:rFonts w:hint="eastAsia" w:cs="Times New Roman"/>
          <w:color w:val="000000" w:themeColor="text1"/>
          <w:sz w:val="28"/>
          <w:szCs w:val="28"/>
          <w:highlight w:val="none"/>
          <w:lang w:val="en-US" w:eastAsia="zh-CN"/>
          <w14:textFill>
            <w14:solidFill>
              <w14:schemeClr w14:val="tx1"/>
            </w14:solidFill>
          </w14:textFill>
        </w:rPr>
        <w:t>470</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m水平标高，</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回填工程量为</w:t>
      </w:r>
      <w:r>
        <w:rPr>
          <w:rFonts w:hint="eastAsia" w:cs="Times New Roman"/>
          <w:color w:val="000000" w:themeColor="text1"/>
          <w:sz w:val="28"/>
          <w:szCs w:val="28"/>
          <w:highlight w:val="none"/>
          <w:lang w:val="en-US" w:eastAsia="zh-CN"/>
          <w14:textFill>
            <w14:solidFill>
              <w14:schemeClr w14:val="tx1"/>
            </w14:solidFill>
          </w14:textFill>
        </w:rPr>
        <w:t>21000</w:t>
      </w:r>
      <w:r>
        <w:rPr>
          <w:rFonts w:hint="eastAsia" w:ascii="Times New Roman" w:hAnsi="Times New Roman" w:eastAsia="宋体" w:cs="Times New Roman"/>
          <w:color w:val="000000" w:themeColor="text1"/>
          <w:kern w:val="0"/>
          <w:sz w:val="28"/>
          <w:szCs w:val="28"/>
          <w:highlight w:val="none"/>
          <w:lang w:eastAsia="zh-CN"/>
          <w14:textFill>
            <w14:solidFill>
              <w14:schemeClr w14:val="tx1"/>
            </w14:solidFill>
          </w14:textFill>
        </w:rPr>
        <w:t>m</w:t>
      </w:r>
      <w:r>
        <w:rPr>
          <w:rFonts w:hint="eastAsia" w:ascii="Times New Roman" w:hAnsi="Times New Roman" w:eastAsia="宋体" w:cs="Times New Roman"/>
          <w:color w:val="000000" w:themeColor="text1"/>
          <w:kern w:val="0"/>
          <w:sz w:val="28"/>
          <w:szCs w:val="28"/>
          <w:highlight w:val="none"/>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8"/>
          <w:szCs w:val="28"/>
          <w:highlight w:val="none"/>
          <w14:textFill>
            <w14:solidFill>
              <w14:schemeClr w14:val="tx1"/>
            </w14:solidFill>
          </w14:textFill>
        </w:rPr>
        <w:t>。</w:t>
      </w:r>
    </w:p>
    <w:p w14:paraId="53EB7E02">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3、</w:t>
      </w:r>
      <w:r>
        <w:rPr>
          <w:rFonts w:hint="default" w:ascii="Times New Roman" w:hAnsi="Times New Roman" w:cs="Times New Roman"/>
          <w:color w:val="000000" w:themeColor="text1"/>
          <w:kern w:val="0"/>
          <w:sz w:val="28"/>
          <w:szCs w:val="28"/>
          <w14:textFill>
            <w14:solidFill>
              <w14:schemeClr w14:val="tx1"/>
            </w14:solidFill>
          </w14:textFill>
        </w:rPr>
        <w:t>土壤重构</w:t>
      </w:r>
    </w:p>
    <w:p w14:paraId="300C7C9A">
      <w:pPr>
        <w:widowControl/>
        <w:spacing w:line="360" w:lineRule="auto"/>
        <w:ind w:firstLine="560" w:firstLineChars="200"/>
        <w:rPr>
          <w:rFonts w:hint="eastAsia" w:ascii="Times New Roman" w:hAnsi="Times New Roman" w:eastAsia="宋体" w:cs="Times New Roman"/>
          <w:color w:val="000000" w:themeColor="text1"/>
          <w:kern w:val="0"/>
          <w:sz w:val="28"/>
          <w:szCs w:val="28"/>
          <w:lang w:val="en-US" w:eastAsia="zh-CN"/>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cs="Times New Roman"/>
          <w:color w:val="000000" w:themeColor="text1"/>
          <w:kern w:val="0"/>
          <w:sz w:val="28"/>
          <w:szCs w:val="28"/>
          <w:lang w:val="en-US" w:eastAsia="zh-CN"/>
          <w14:textFill>
            <w14:solidFill>
              <w14:schemeClr w14:val="tx1"/>
            </w14:solidFill>
          </w14:textFill>
        </w:rPr>
        <w:t>翻耕</w:t>
      </w:r>
    </w:p>
    <w:p w14:paraId="6A14E900">
      <w:pPr>
        <w:widowControl/>
        <w:spacing w:line="360" w:lineRule="auto"/>
        <w:ind w:firstLine="560" w:firstLineChars="200"/>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对</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拟建露天采场</w:t>
      </w:r>
      <w:r>
        <w:rPr>
          <w:rFonts w:hint="eastAsia" w:cs="Times New Roman"/>
          <w:color w:val="000000" w:themeColor="text1"/>
          <w:sz w:val="28"/>
          <w:szCs w:val="28"/>
          <w:highlight w:val="none"/>
          <w:lang w:val="en-US" w:eastAsia="zh-CN"/>
          <w14:textFill>
            <w14:solidFill>
              <w14:schemeClr w14:val="tx1"/>
            </w14:solidFill>
          </w14:textFill>
        </w:rPr>
        <w:t>1</w:t>
      </w:r>
      <w:r>
        <w:rPr>
          <w:rFonts w:hint="eastAsia" w:cs="Times New Roman"/>
          <w:color w:val="000000" w:themeColor="text1"/>
          <w:sz w:val="28"/>
          <w:szCs w:val="28"/>
          <w:lang w:val="en-US" w:eastAsia="zh-CN"/>
          <w14:textFill>
            <w14:solidFill>
              <w14:schemeClr w14:val="tx1"/>
            </w14:solidFill>
          </w14:textFill>
        </w:rPr>
        <w:t>坑底进行翻耕</w:t>
      </w:r>
      <w:r>
        <w:rPr>
          <w:rFonts w:hint="default" w:ascii="Times New Roman" w:hAnsi="Times New Roman"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坑底境界78m×52m，翻耕厚度0.5m，翻耕面积</w:t>
      </w:r>
      <w:r>
        <w:rPr>
          <w:rFonts w:hint="eastAsia"/>
          <w:color w:val="000000" w:themeColor="text1"/>
          <w:kern w:val="0"/>
          <w:sz w:val="28"/>
          <w:szCs w:val="28"/>
          <w:lang w:val="en-US" w:eastAsia="zh-CN"/>
          <w14:textFill>
            <w14:solidFill>
              <w14:schemeClr w14:val="tx1"/>
            </w14:solidFill>
          </w14:textFill>
        </w:rPr>
        <w:t>4056</w:t>
      </w:r>
      <w:r>
        <w:rPr>
          <w:color w:val="000000" w:themeColor="text1"/>
          <w:kern w:val="0"/>
          <w:sz w:val="28"/>
          <w:szCs w:val="28"/>
          <w14:textFill>
            <w14:solidFill>
              <w14:schemeClr w14:val="tx1"/>
            </w14:solidFill>
          </w14:textFill>
        </w:rPr>
        <w:t>m</w:t>
      </w:r>
      <w:r>
        <w:rPr>
          <w:color w:val="000000" w:themeColor="text1"/>
          <w:kern w:val="0"/>
          <w:sz w:val="28"/>
          <w:szCs w:val="28"/>
          <w:vertAlign w:val="superscript"/>
          <w14:textFill>
            <w14:solidFill>
              <w14:schemeClr w14:val="tx1"/>
            </w14:solidFill>
          </w14:textFill>
        </w:rPr>
        <w:t>2</w:t>
      </w:r>
      <w:r>
        <w:rPr>
          <w:rFonts w:hint="eastAsia"/>
          <w:color w:val="000000" w:themeColor="text1"/>
          <w:kern w:val="0"/>
          <w:sz w:val="28"/>
          <w:szCs w:val="28"/>
          <w:vertAlign w:val="baseline"/>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翻耕</w:t>
      </w:r>
      <w:r>
        <w:rPr>
          <w:rFonts w:hint="eastAsia" w:ascii="Times New Roman" w:hAnsi="Times New Roman" w:cs="Times New Roman"/>
          <w:color w:val="000000" w:themeColor="text1"/>
          <w:kern w:val="0"/>
          <w:sz w:val="28"/>
          <w:szCs w:val="28"/>
          <w:lang w:val="en-US" w:eastAsia="zh-CN"/>
          <w14:textFill>
            <w14:solidFill>
              <w14:schemeClr w14:val="tx1"/>
            </w14:solidFill>
          </w14:textFill>
        </w:rPr>
        <w:t>工程量为2028</w:t>
      </w:r>
      <w:r>
        <w:rPr>
          <w:color w:val="000000" w:themeColor="text1"/>
          <w:kern w:val="0"/>
          <w:sz w:val="28"/>
          <w:szCs w:val="28"/>
          <w14:textFill>
            <w14:solidFill>
              <w14:schemeClr w14:val="tx1"/>
            </w14:solidFill>
          </w14:textFill>
        </w:rPr>
        <w:t>m</w:t>
      </w:r>
      <w:r>
        <w:rPr>
          <w:rFonts w:hint="eastAsia"/>
          <w:color w:val="000000" w:themeColor="text1"/>
          <w:kern w:val="0"/>
          <w:sz w:val="28"/>
          <w:szCs w:val="28"/>
          <w:vertAlign w:val="superscript"/>
          <w:lang w:val="en-US" w:eastAsia="zh-CN"/>
          <w14:textFill>
            <w14:solidFill>
              <w14:schemeClr w14:val="tx1"/>
            </w14:solidFill>
          </w14:textFill>
        </w:rPr>
        <w:t>3</w:t>
      </w:r>
      <w:r>
        <w:rPr>
          <w:rFonts w:hint="eastAsia"/>
          <w:color w:val="000000" w:themeColor="text1"/>
          <w:kern w:val="0"/>
          <w:sz w:val="28"/>
          <w:szCs w:val="28"/>
          <w:vertAlign w:val="baseline"/>
          <w:lang w:eastAsia="zh-CN"/>
          <w14:textFill>
            <w14:solidFill>
              <w14:schemeClr w14:val="tx1"/>
            </w14:solidFill>
          </w14:textFill>
        </w:rPr>
        <w:t>。</w:t>
      </w:r>
    </w:p>
    <w:p w14:paraId="3F3B82A9">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2</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土地平整</w:t>
      </w:r>
    </w:p>
    <w:p w14:paraId="4F46A75F">
      <w:pPr>
        <w:widowControl/>
        <w:spacing w:line="360" w:lineRule="auto"/>
        <w:ind w:firstLine="560" w:firstLineChars="200"/>
        <w:rPr>
          <w:rFonts w:hint="eastAsia" w:cs="Times New Roman"/>
          <w:color w:val="000000" w:themeColor="text1"/>
          <w:kern w:val="0"/>
          <w:sz w:val="28"/>
          <w:szCs w:val="28"/>
          <w:lang w:val="en-US" w:eastAsia="zh-CN"/>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场地</w:t>
      </w:r>
      <w:r>
        <w:rPr>
          <w:rFonts w:hint="eastAsia" w:cs="Times New Roman"/>
          <w:color w:val="000000" w:themeColor="text1"/>
          <w:sz w:val="28"/>
          <w:szCs w:val="28"/>
          <w:lang w:val="en-US" w:eastAsia="zh-CN"/>
          <w14:textFill>
            <w14:solidFill>
              <w14:schemeClr w14:val="tx1"/>
            </w14:solidFill>
          </w14:textFill>
        </w:rPr>
        <w:t>翻耕</w:t>
      </w:r>
      <w:r>
        <w:rPr>
          <w:rFonts w:hint="default" w:ascii="Times New Roman" w:hAnsi="Times New Roman" w:cs="Times New Roman"/>
          <w:color w:val="000000" w:themeColor="text1"/>
          <w:sz w:val="28"/>
          <w:szCs w:val="28"/>
          <w14:textFill>
            <w14:solidFill>
              <w14:schemeClr w14:val="tx1"/>
            </w14:solidFill>
          </w14:textFill>
        </w:rPr>
        <w:t>后开展平整工作，平整厚度0.</w:t>
      </w:r>
      <w:r>
        <w:rPr>
          <w:rFonts w:hint="eastAsia" w:cs="Times New Roman"/>
          <w:color w:val="000000" w:themeColor="text1"/>
          <w:sz w:val="28"/>
          <w:szCs w:val="28"/>
          <w:lang w:val="en-US" w:eastAsia="zh-CN"/>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m，平整面积</w:t>
      </w:r>
      <w:r>
        <w:rPr>
          <w:rFonts w:hint="eastAsia" w:cs="Times New Roman"/>
          <w:color w:val="000000" w:themeColor="text1"/>
          <w:sz w:val="28"/>
          <w:szCs w:val="28"/>
          <w:lang w:val="en-US" w:eastAsia="zh-CN"/>
          <w14:textFill>
            <w14:solidFill>
              <w14:schemeClr w14:val="tx1"/>
            </w14:solidFill>
          </w14:textFill>
        </w:rPr>
        <w:t>4056</w:t>
      </w:r>
      <w:r>
        <w:rPr>
          <w:rFonts w:hint="default" w:ascii="Times New Roman" w:hAnsi="Times New Roman" w:cs="Times New Roman"/>
          <w:color w:val="000000" w:themeColor="text1"/>
          <w:sz w:val="28"/>
          <w:szCs w:val="28"/>
          <w14:textFill>
            <w14:solidFill>
              <w14:schemeClr w14:val="tx1"/>
            </w14:solidFill>
          </w14:textFill>
        </w:rPr>
        <w:t>m</w:t>
      </w:r>
      <w:r>
        <w:rPr>
          <w:rFonts w:hint="eastAsia"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平整</w:t>
      </w:r>
      <w:r>
        <w:rPr>
          <w:rFonts w:hint="eastAsia" w:ascii="Times New Roman" w:hAnsi="Times New Roman" w:cs="Times New Roman"/>
          <w:color w:val="000000" w:themeColor="text1"/>
          <w:kern w:val="0"/>
          <w:sz w:val="28"/>
          <w:szCs w:val="28"/>
          <w:lang w:val="en-US" w:eastAsia="zh-CN"/>
          <w14:textFill>
            <w14:solidFill>
              <w14:schemeClr w14:val="tx1"/>
            </w14:solidFill>
          </w14:textFill>
        </w:rPr>
        <w:t>工作量为1217</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w:t>
      </w:r>
    </w:p>
    <w:p w14:paraId="02C919BF">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cs="Times New Roman"/>
          <w:color w:val="000000" w:themeColor="text1"/>
          <w:kern w:val="0"/>
          <w:sz w:val="28"/>
          <w:szCs w:val="28"/>
          <w:lang w:val="en-US" w:eastAsia="zh-CN"/>
          <w14:textFill>
            <w14:solidFill>
              <w14:schemeClr w14:val="tx1"/>
            </w14:solidFill>
          </w14:textFill>
        </w:rPr>
        <w:t>4、</w:t>
      </w:r>
      <w:r>
        <w:rPr>
          <w:rFonts w:hint="default" w:ascii="Times New Roman" w:hAnsi="Times New Roman" w:cs="Times New Roman"/>
          <w:color w:val="000000" w:themeColor="text1"/>
          <w:kern w:val="0"/>
          <w:sz w:val="28"/>
          <w:szCs w:val="28"/>
          <w14:textFill>
            <w14:solidFill>
              <w14:schemeClr w14:val="tx1"/>
            </w14:solidFill>
          </w14:textFill>
        </w:rPr>
        <w:t>植被重建</w:t>
      </w:r>
    </w:p>
    <w:p w14:paraId="54D967C4">
      <w:pPr>
        <w:spacing w:line="360" w:lineRule="auto"/>
        <w:ind w:firstLine="560" w:firstLineChars="200"/>
        <w:rPr>
          <w:rFonts w:hint="eastAsia" w:ascii="Times New Roman" w:hAnsi="Times New Roman" w:eastAsia="宋体" w:cs="Times New Roman"/>
          <w:color w:val="000000" w:themeColor="text1"/>
          <w:kern w:val="0"/>
          <w:sz w:val="28"/>
          <w:szCs w:val="28"/>
          <w:lang w:eastAsia="zh-CN"/>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栽植乔木</w:t>
      </w:r>
    </w:p>
    <w:p w14:paraId="3D43B535">
      <w:pPr>
        <w:spacing w:line="360" w:lineRule="auto"/>
        <w:ind w:firstLine="560" w:firstLineChars="200"/>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乔木苗木要求二年生，裸根，穴播，穴行距3m×3m，坑口反向倾斜，以便蓄水保土，穴规格为50cm×50cm×50cm，</w:t>
      </w:r>
      <w:r>
        <w:rPr>
          <w:rFonts w:hint="eastAsia" w:cs="Times New Roman"/>
          <w:color w:val="000000" w:themeColor="text1"/>
          <w:sz w:val="28"/>
          <w:szCs w:val="28"/>
          <w:lang w:val="en-US" w:eastAsia="zh-CN"/>
          <w14:textFill>
            <w14:solidFill>
              <w14:schemeClr w14:val="tx1"/>
            </w14:solidFill>
          </w14:textFill>
        </w:rPr>
        <w:t>栽种面积1343</w:t>
      </w:r>
      <w:r>
        <w:rPr>
          <w:rFonts w:hint="default" w:ascii="Times New Roman" w:hAnsi="Times New Roman" w:cs="Times New Roman"/>
          <w:color w:val="000000" w:themeColor="text1"/>
          <w:sz w:val="28"/>
          <w:szCs w:val="28"/>
          <w14:textFill>
            <w14:solidFill>
              <w14:schemeClr w14:val="tx1"/>
            </w14:solidFill>
          </w14:textFill>
        </w:rPr>
        <w:t>m</w:t>
      </w:r>
      <w:r>
        <w:rPr>
          <w:rFonts w:hint="eastAsia"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。种树</w:t>
      </w:r>
      <w:r>
        <w:rPr>
          <w:rFonts w:hint="eastAsia" w:cs="Times New Roman"/>
          <w:color w:val="000000" w:themeColor="text1"/>
          <w:sz w:val="28"/>
          <w:szCs w:val="28"/>
          <w:lang w:val="en-US" w:eastAsia="zh-CN"/>
          <w14:textFill>
            <w14:solidFill>
              <w14:schemeClr w14:val="tx1"/>
            </w14:solidFill>
          </w14:textFill>
        </w:rPr>
        <w:t>149</w:t>
      </w:r>
      <w:r>
        <w:rPr>
          <w:rFonts w:hint="default" w:ascii="Times New Roman" w:hAnsi="Times New Roman" w:cs="Times New Roman"/>
          <w:color w:val="000000" w:themeColor="text1"/>
          <w:sz w:val="28"/>
          <w:szCs w:val="28"/>
          <w14:textFill>
            <w14:solidFill>
              <w14:schemeClr w14:val="tx1"/>
            </w14:solidFill>
          </w14:textFill>
        </w:rPr>
        <w:t>株。</w:t>
      </w:r>
      <w:r>
        <w:rPr>
          <w:rFonts w:hint="eastAsia" w:cs="Times New Roman"/>
          <w:color w:val="000000" w:themeColor="text1"/>
          <w:sz w:val="28"/>
          <w:szCs w:val="28"/>
          <w:lang w:val="en-US" w:eastAsia="zh-CN"/>
          <w14:textFill>
            <w14:solidFill>
              <w14:schemeClr w14:val="tx1"/>
            </w14:solidFill>
          </w14:textFill>
        </w:rPr>
        <w:t>树种选择油松（备选杨树）。</w:t>
      </w:r>
    </w:p>
    <w:p w14:paraId="0C38523A">
      <w:pPr>
        <w:rPr>
          <w:rFonts w:hint="eastAsia" w:ascii="Times New Roman" w:hAnsi="Times New Roman" w:cs="Times New Roman"/>
          <w:color w:val="000000" w:themeColor="text1"/>
          <w:kern w:val="0"/>
          <w:sz w:val="28"/>
          <w:szCs w:val="28"/>
          <w:lang w:eastAsia="zh-CN"/>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br w:type="page"/>
      </w:r>
    </w:p>
    <w:p w14:paraId="7D0DF81A">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2</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撒播草籽</w:t>
      </w:r>
    </w:p>
    <w:p w14:paraId="3F588B27">
      <w:pPr>
        <w:spacing w:line="360" w:lineRule="auto"/>
        <w:ind w:firstLine="560" w:firstLineChars="200"/>
        <w:rPr>
          <w:rFonts w:hint="default" w:ascii="Times New Roman" w:hAnsi="Times New Roman" w:cs="Times New Roman"/>
          <w:b/>
          <w:bCs/>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草种撒播，增加地表植被的覆盖度，草种为</w:t>
      </w:r>
      <w:r>
        <w:rPr>
          <w:rFonts w:hint="eastAsia" w:cs="Times New Roman"/>
          <w:color w:val="000000" w:themeColor="text1"/>
          <w:sz w:val="28"/>
          <w:szCs w:val="28"/>
          <w:lang w:val="en-US" w:eastAsia="zh-CN"/>
          <w14:textFill>
            <w14:solidFill>
              <w14:schemeClr w14:val="tx1"/>
            </w14:solidFill>
          </w14:textFill>
        </w:rPr>
        <w:t>各种草籽混合撒播</w:t>
      </w:r>
      <w:r>
        <w:rPr>
          <w:rFonts w:hint="default" w:ascii="Times New Roman" w:hAnsi="Times New Roman" w:cs="Times New Roman"/>
          <w:color w:val="000000" w:themeColor="text1"/>
          <w:sz w:val="28"/>
          <w:szCs w:val="28"/>
          <w14:textFill>
            <w14:solidFill>
              <w14:schemeClr w14:val="tx1"/>
            </w14:solidFill>
          </w14:textFill>
        </w:rPr>
        <w:t>，撒播面积</w:t>
      </w:r>
      <w:r>
        <w:rPr>
          <w:rFonts w:hint="eastAsia" w:cs="Times New Roman"/>
          <w:color w:val="000000" w:themeColor="text1"/>
          <w:sz w:val="28"/>
          <w:szCs w:val="28"/>
          <w:lang w:val="en-US" w:eastAsia="zh-CN"/>
          <w14:textFill>
            <w14:solidFill>
              <w14:schemeClr w14:val="tx1"/>
            </w14:solidFill>
          </w14:textFill>
        </w:rPr>
        <w:t>2.2810h</w:t>
      </w:r>
      <w:r>
        <w:rPr>
          <w:rFonts w:hint="default" w:ascii="Times New Roman" w:hAnsi="Times New Roman" w:cs="Times New Roman"/>
          <w:color w:val="000000" w:themeColor="text1"/>
          <w:sz w:val="28"/>
          <w:szCs w:val="28"/>
          <w14:textFill>
            <w14:solidFill>
              <w14:schemeClr w14:val="tx1"/>
            </w14:solidFill>
          </w14:textFill>
        </w:rPr>
        <w:t>m</w:t>
      </w:r>
      <w:r>
        <w:rPr>
          <w:rFonts w:hint="eastAsia"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p>
    <w:p w14:paraId="4A4D7964">
      <w:pPr>
        <w:widowControl/>
        <w:spacing w:line="360" w:lineRule="auto"/>
        <w:jc w:val="center"/>
        <w:rPr>
          <w:rFonts w:hint="eastAsia" w:cs="Times New Roman"/>
          <w:b/>
          <w:bCs/>
          <w:color w:val="000000" w:themeColor="text1"/>
          <w:kern w:val="0"/>
          <w:sz w:val="24"/>
          <w:szCs w:val="24"/>
          <w:lang w:val="en-US" w:eastAsia="zh-CN"/>
          <w14:textFill>
            <w14:solidFill>
              <w14:schemeClr w14:val="tx1"/>
            </w14:solidFill>
          </w14:textFill>
        </w:rPr>
        <w:sectPr>
          <w:headerReference r:id="rId26" w:type="default"/>
          <w:footerReference r:id="rId27" w:type="default"/>
          <w:pgSz w:w="11906" w:h="16838"/>
          <w:pgMar w:top="1219" w:right="1797" w:bottom="1440" w:left="1797" w:header="851" w:footer="992" w:gutter="0"/>
          <w:pgNumType w:fmt="decimal"/>
          <w:cols w:space="720" w:num="1"/>
          <w:docGrid w:linePitch="312" w:charSpace="0"/>
        </w:sectPr>
      </w:pPr>
    </w:p>
    <w:p w14:paraId="3C05F117">
      <w:pPr>
        <w:widowControl/>
        <w:spacing w:line="240" w:lineRule="auto"/>
        <w:jc w:val="center"/>
        <w:rPr>
          <w:rFonts w:hint="eastAsia" w:eastAsia="宋体" w:cs="Times New Roman"/>
          <w:b/>
          <w:bCs/>
          <w:color w:val="000000" w:themeColor="text1"/>
          <w:kern w:val="0"/>
          <w:sz w:val="24"/>
          <w:szCs w:val="24"/>
          <w:lang w:val="en-US"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w:t>
      </w:r>
    </w:p>
    <w:p w14:paraId="1DF0E014">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outlineLvl w:val="3"/>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r>
        <w:rPr>
          <w:rFonts w:hint="eastAsia" w:ascii="Times New Roman" w:hAnsi="Times New Roman" w:cs="Times New Roman"/>
          <w:b/>
          <w:bCs/>
          <w:color w:val="000000" w:themeColor="text1"/>
          <w:sz w:val="28"/>
          <w:szCs w:val="28"/>
          <w:lang w:val="en-US" w:eastAsia="zh-CN"/>
          <w14:textFill>
            <w14:solidFill>
              <w14:schemeClr w14:val="tx1"/>
            </w14:solidFill>
          </w14:textFill>
        </w:rPr>
        <w:t>二</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w:t>
      </w:r>
      <w:r>
        <w:rPr>
          <w:rFonts w:hint="eastAsia" w:cs="Times New Roman"/>
          <w:b/>
          <w:bCs/>
          <w:color w:val="000000" w:themeColor="text1"/>
          <w:sz w:val="28"/>
          <w:szCs w:val="28"/>
          <w:lang w:val="en-US" w:eastAsia="zh-CN"/>
          <w14:textFill>
            <w14:solidFill>
              <w14:schemeClr w14:val="tx1"/>
            </w14:solidFill>
          </w14:textFill>
        </w:rPr>
        <w:t>拟建露天采场2</w:t>
      </w:r>
    </w:p>
    <w:p w14:paraId="23CFE866">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1、</w:t>
      </w:r>
      <w:r>
        <w:rPr>
          <w:rFonts w:hint="default" w:ascii="Times New Roman" w:hAnsi="Times New Roman" w:cs="Times New Roman"/>
          <w:color w:val="000000" w:themeColor="text1"/>
          <w:sz w:val="28"/>
          <w:szCs w:val="28"/>
          <w14:textFill>
            <w14:solidFill>
              <w14:schemeClr w14:val="tx1"/>
            </w14:solidFill>
          </w14:textFill>
        </w:rPr>
        <w:t>地质灾害防治工程</w:t>
      </w:r>
    </w:p>
    <w:p w14:paraId="1F6E52F0">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auto"/>
        <w:rPr>
          <w:rFonts w:hint="default" w:ascii="Times New Roman" w:hAnsi="Times New Roman" w:eastAsia="宋体" w:cs="Times New Roman"/>
          <w:color w:val="000000" w:themeColor="text1"/>
          <w:sz w:val="28"/>
          <w:szCs w:val="28"/>
          <w:highlight w:val="none"/>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14:textFill>
            <w14:solidFill>
              <w14:schemeClr w14:val="tx1"/>
            </w14:solidFill>
          </w14:textFill>
        </w:rPr>
        <w:t>危</w:t>
      </w:r>
      <w:r>
        <w:rPr>
          <w:rFonts w:hint="eastAsia" w:cs="Times New Roman"/>
          <w:color w:val="000000" w:themeColor="text1"/>
          <w:sz w:val="28"/>
          <w:szCs w:val="28"/>
          <w:highlight w:val="none"/>
          <w:lang w:val="en-US" w:eastAsia="zh-CN"/>
          <w14:textFill>
            <w14:solidFill>
              <w14:schemeClr w14:val="tx1"/>
            </w14:solidFill>
          </w14:textFill>
        </w:rPr>
        <w:t>土</w:t>
      </w:r>
      <w:r>
        <w:rPr>
          <w:rFonts w:hint="default" w:ascii="Times New Roman" w:hAnsi="Times New Roman" w:eastAsia="宋体" w:cs="Times New Roman"/>
          <w:color w:val="000000" w:themeColor="text1"/>
          <w:sz w:val="28"/>
          <w:szCs w:val="28"/>
          <w:highlight w:val="none"/>
          <w14:textFill>
            <w14:solidFill>
              <w14:schemeClr w14:val="tx1"/>
            </w14:solidFill>
          </w14:textFill>
        </w:rPr>
        <w:t>体清理</w:t>
      </w:r>
    </w:p>
    <w:p w14:paraId="6C161A6E">
      <w:pPr>
        <w:spacing w:line="360" w:lineRule="auto"/>
        <w:ind w:firstLine="560" w:firstLineChars="200"/>
        <w:contextualSpacing/>
        <w:jc w:val="left"/>
        <w:rPr>
          <w:rFonts w:hint="default" w:ascii="Times New Roman" w:hAnsi="Times New Roman" w:eastAsia="宋体" w:cs="Times New Roman"/>
          <w:color w:val="000000" w:themeColor="text1"/>
          <w:sz w:val="28"/>
          <w:szCs w:val="28"/>
          <w:highlight w:val="none"/>
          <w14:textFill>
            <w14:solidFill>
              <w14:schemeClr w14:val="tx1"/>
            </w14:solidFill>
          </w14:textFill>
        </w:rPr>
      </w:pPr>
      <w:r>
        <w:rPr>
          <w:rFonts w:hint="eastAsia" w:cs="Times New Roman"/>
          <w:color w:val="000000" w:themeColor="text1"/>
          <w:sz w:val="28"/>
          <w:szCs w:val="28"/>
          <w:highlight w:val="none"/>
          <w:lang w:val="en-US" w:eastAsia="zh-CN"/>
          <w14:textFill>
            <w14:solidFill>
              <w14:schemeClr w14:val="tx1"/>
            </w14:solidFill>
          </w14:textFill>
        </w:rPr>
        <w:t>对拟建</w:t>
      </w:r>
      <w:r>
        <w:rPr>
          <w:rFonts w:hint="default" w:ascii="Times New Roman" w:hAnsi="Times New Roman" w:eastAsia="宋体" w:cs="Times New Roman"/>
          <w:color w:val="000000" w:themeColor="text1"/>
          <w:sz w:val="28"/>
          <w:szCs w:val="28"/>
          <w:highlight w:val="none"/>
          <w14:textFill>
            <w14:solidFill>
              <w14:schemeClr w14:val="tx1"/>
            </w14:solidFill>
          </w14:textFill>
        </w:rPr>
        <w:t>露天采场</w:t>
      </w:r>
      <w:r>
        <w:rPr>
          <w:rFonts w:hint="eastAsia" w:cs="Times New Roman"/>
          <w:color w:val="000000" w:themeColor="text1"/>
          <w:sz w:val="28"/>
          <w:szCs w:val="28"/>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8"/>
          <w:highlight w:val="none"/>
          <w14:textFill>
            <w14:solidFill>
              <w14:schemeClr w14:val="tx1"/>
            </w14:solidFill>
          </w14:textFill>
        </w:rPr>
        <w:t>内局部不稳定</w:t>
      </w:r>
      <w:r>
        <w:rPr>
          <w:rFonts w:hint="eastAsia" w:cs="Times New Roman"/>
          <w:color w:val="000000" w:themeColor="text1"/>
          <w:sz w:val="28"/>
          <w:szCs w:val="28"/>
          <w:highlight w:val="none"/>
          <w:lang w:val="en-US" w:eastAsia="zh-CN"/>
          <w14:textFill>
            <w14:solidFill>
              <w14:schemeClr w14:val="tx1"/>
            </w14:solidFill>
          </w14:textFill>
        </w:rPr>
        <w:t>土</w:t>
      </w:r>
      <w:r>
        <w:rPr>
          <w:rFonts w:hint="default" w:ascii="Times New Roman" w:hAnsi="Times New Roman" w:eastAsia="宋体" w:cs="Times New Roman"/>
          <w:color w:val="000000" w:themeColor="text1"/>
          <w:sz w:val="28"/>
          <w:szCs w:val="28"/>
          <w:highlight w:val="none"/>
          <w14:textFill>
            <w14:solidFill>
              <w14:schemeClr w14:val="tx1"/>
            </w14:solidFill>
          </w14:textFill>
        </w:rPr>
        <w:t>质边坡，采用局部削坡和清理</w:t>
      </w:r>
      <w:r>
        <w:rPr>
          <w:rFonts w:hint="eastAsia" w:cs="Times New Roman"/>
          <w:color w:val="000000" w:themeColor="text1"/>
          <w:sz w:val="28"/>
          <w:szCs w:val="28"/>
          <w:highlight w:val="none"/>
          <w:lang w:val="en-US" w:eastAsia="zh-CN"/>
          <w14:textFill>
            <w14:solidFill>
              <w14:schemeClr w14:val="tx1"/>
            </w14:solidFill>
          </w14:textFill>
        </w:rPr>
        <w:t>浮土的</w:t>
      </w:r>
      <w:r>
        <w:rPr>
          <w:rFonts w:hint="default" w:ascii="Times New Roman" w:hAnsi="Times New Roman" w:eastAsia="宋体" w:cs="Times New Roman"/>
          <w:color w:val="000000" w:themeColor="text1"/>
          <w:sz w:val="28"/>
          <w:szCs w:val="28"/>
          <w:highlight w:val="none"/>
          <w14:textFill>
            <w14:solidFill>
              <w14:schemeClr w14:val="tx1"/>
            </w14:solidFill>
          </w14:textFill>
        </w:rPr>
        <w:t>方式进行防治的工程。本次方案设计将其凌空危</w:t>
      </w:r>
      <w:r>
        <w:rPr>
          <w:rFonts w:hint="eastAsia" w:cs="Times New Roman"/>
          <w:color w:val="000000" w:themeColor="text1"/>
          <w:sz w:val="28"/>
          <w:szCs w:val="28"/>
          <w:highlight w:val="none"/>
          <w:lang w:val="en-US" w:eastAsia="zh-CN"/>
          <w14:textFill>
            <w14:solidFill>
              <w14:schemeClr w14:val="tx1"/>
            </w14:solidFill>
          </w14:textFill>
        </w:rPr>
        <w:t>土</w:t>
      </w:r>
      <w:r>
        <w:rPr>
          <w:rFonts w:hint="default" w:ascii="Times New Roman" w:hAnsi="Times New Roman" w:eastAsia="宋体" w:cs="Times New Roman"/>
          <w:color w:val="000000" w:themeColor="text1"/>
          <w:sz w:val="28"/>
          <w:szCs w:val="28"/>
          <w:highlight w:val="none"/>
          <w14:textFill>
            <w14:solidFill>
              <w14:schemeClr w14:val="tx1"/>
            </w14:solidFill>
          </w14:textFill>
        </w:rPr>
        <w:t>体进行机械削方，减小其崩落的可能性。清理后的</w:t>
      </w:r>
      <w:r>
        <w:rPr>
          <w:rFonts w:hint="eastAsia" w:cs="Times New Roman"/>
          <w:color w:val="000000" w:themeColor="text1"/>
          <w:sz w:val="28"/>
          <w:szCs w:val="28"/>
          <w:highlight w:val="none"/>
          <w:lang w:val="en-US" w:eastAsia="zh-CN"/>
          <w14:textFill>
            <w14:solidFill>
              <w14:schemeClr w14:val="tx1"/>
            </w14:solidFill>
          </w14:textFill>
        </w:rPr>
        <w:t>浮土</w:t>
      </w:r>
      <w:r>
        <w:rPr>
          <w:rFonts w:hint="default" w:ascii="Times New Roman" w:hAnsi="Times New Roman" w:eastAsia="宋体" w:cs="Times New Roman"/>
          <w:color w:val="000000" w:themeColor="text1"/>
          <w:sz w:val="28"/>
          <w:szCs w:val="28"/>
          <w:highlight w:val="none"/>
          <w14:textFill>
            <w14:solidFill>
              <w14:schemeClr w14:val="tx1"/>
            </w14:solidFill>
          </w14:textFill>
        </w:rPr>
        <w:t>运输至</w:t>
      </w:r>
      <w:r>
        <w:rPr>
          <w:rFonts w:hint="eastAsia" w:cs="Times New Roman"/>
          <w:color w:val="000000" w:themeColor="text1"/>
          <w:sz w:val="28"/>
          <w:szCs w:val="28"/>
          <w:highlight w:val="none"/>
          <w:lang w:val="en-US" w:eastAsia="zh-CN"/>
          <w14:textFill>
            <w14:solidFill>
              <w14:schemeClr w14:val="tx1"/>
            </w14:solidFill>
          </w14:textFill>
        </w:rPr>
        <w:t>拟建表土存放场</w:t>
      </w:r>
      <w:r>
        <w:rPr>
          <w:rFonts w:hint="default" w:ascii="Times New Roman" w:hAnsi="Times New Roman" w:eastAsia="宋体" w:cs="Times New Roman"/>
          <w:color w:val="000000" w:themeColor="text1"/>
          <w:sz w:val="28"/>
          <w:szCs w:val="28"/>
          <w:highlight w:val="none"/>
          <w14:textFill>
            <w14:solidFill>
              <w14:schemeClr w14:val="tx1"/>
            </w14:solidFill>
          </w14:textFill>
        </w:rPr>
        <w:t>。</w:t>
      </w:r>
      <w:r>
        <w:rPr>
          <w:rFonts w:hint="eastAsia" w:cs="Times New Roman"/>
          <w:color w:val="000000" w:themeColor="text1"/>
          <w:sz w:val="28"/>
          <w:szCs w:val="28"/>
          <w:highlight w:val="none"/>
          <w:lang w:val="en-US" w:eastAsia="zh-CN"/>
          <w14:textFill>
            <w14:solidFill>
              <w14:schemeClr w14:val="tx1"/>
            </w14:solidFill>
          </w14:textFill>
        </w:rPr>
        <w:t>计算</w:t>
      </w:r>
      <w:r>
        <w:rPr>
          <w:rFonts w:hint="default" w:ascii="Times New Roman" w:hAnsi="Times New Roman" w:eastAsia="宋体" w:cs="Times New Roman"/>
          <w:color w:val="000000" w:themeColor="text1"/>
          <w:sz w:val="28"/>
          <w:szCs w:val="28"/>
          <w:highlight w:val="none"/>
          <w14:textFill>
            <w14:solidFill>
              <w14:schemeClr w14:val="tx1"/>
            </w14:solidFill>
          </w14:textFill>
        </w:rPr>
        <w:t>公式</w:t>
      </w:r>
      <w:r>
        <w:rPr>
          <w:rFonts w:hint="eastAsia" w:cs="Times New Roman"/>
          <w:color w:val="000000" w:themeColor="text1"/>
          <w:sz w:val="28"/>
          <w:szCs w:val="28"/>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14:textFill>
            <w14:solidFill>
              <w14:schemeClr w14:val="tx1"/>
            </w14:solidFill>
          </w14:textFill>
        </w:rPr>
        <w:t>Qx=n×L</w:t>
      </w:r>
      <w:r>
        <w:rPr>
          <w:rFonts w:hint="default" w:ascii="Times New Roman" w:hAnsi="Times New Roman" w:eastAsia="宋体" w:cs="Times New Roman"/>
          <w:color w:val="000000" w:themeColor="text1"/>
          <w:sz w:val="28"/>
          <w:szCs w:val="28"/>
          <w:highlight w:val="none"/>
          <w:vertAlign w:val="subscript"/>
          <w14:textFill>
            <w14:solidFill>
              <w14:schemeClr w14:val="tx1"/>
            </w14:solidFill>
          </w14:textFill>
        </w:rPr>
        <w:t>l</w:t>
      </w:r>
      <w:r>
        <w:rPr>
          <w:rFonts w:hint="default" w:ascii="Times New Roman" w:hAnsi="Times New Roman" w:eastAsia="宋体" w:cs="Times New Roman"/>
          <w:color w:val="000000" w:themeColor="text1"/>
          <w:sz w:val="28"/>
          <w:szCs w:val="28"/>
          <w:highlight w:val="none"/>
          <w14:textFill>
            <w14:solidFill>
              <w14:schemeClr w14:val="tx1"/>
            </w14:solidFill>
          </w14:textFill>
        </w:rPr>
        <w:t>×v，式中：Qx为清理危</w:t>
      </w:r>
      <w:r>
        <w:rPr>
          <w:rFonts w:hint="eastAsia" w:cs="Times New Roman"/>
          <w:color w:val="000000" w:themeColor="text1"/>
          <w:sz w:val="28"/>
          <w:szCs w:val="28"/>
          <w:highlight w:val="none"/>
          <w:lang w:val="en-US" w:eastAsia="zh-CN"/>
          <w14:textFill>
            <w14:solidFill>
              <w14:schemeClr w14:val="tx1"/>
            </w14:solidFill>
          </w14:textFill>
        </w:rPr>
        <w:t>土</w:t>
      </w:r>
      <w:r>
        <w:rPr>
          <w:rFonts w:hint="default" w:ascii="Times New Roman" w:hAnsi="Times New Roman" w:eastAsia="宋体" w:cs="Times New Roman"/>
          <w:color w:val="000000" w:themeColor="text1"/>
          <w:sz w:val="28"/>
          <w:szCs w:val="28"/>
          <w:highlight w:val="none"/>
          <w14:textFill>
            <w14:solidFill>
              <w14:schemeClr w14:val="tx1"/>
            </w14:solidFill>
          </w14:textFill>
        </w:rPr>
        <w:t>体方量（</w:t>
      </w:r>
      <w:r>
        <w:rPr>
          <w:rFonts w:hint="eastAsia" w:ascii="Times New Roman" w:hAnsi="Times New Roman" w:eastAsia="宋体" w:cs="Times New Roman"/>
          <w:color w:val="000000" w:themeColor="text1"/>
          <w:sz w:val="28"/>
          <w:szCs w:val="28"/>
          <w:highlight w:val="none"/>
          <w:lang w:eastAsia="zh-CN"/>
          <w14:textFill>
            <w14:solidFill>
              <w14:schemeClr w14:val="tx1"/>
            </w14:solidFill>
          </w14:textFill>
        </w:rPr>
        <w:t>m</w:t>
      </w:r>
      <w:r>
        <w:rPr>
          <w:rFonts w:hint="eastAsia" w:ascii="Times New Roman" w:hAnsi="Times New Roman" w:eastAsia="宋体" w:cs="Times New Roman"/>
          <w:color w:val="000000" w:themeColor="text1"/>
          <w:sz w:val="28"/>
          <w:szCs w:val="28"/>
          <w:highlight w:val="none"/>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8"/>
          <w:szCs w:val="28"/>
          <w:highlight w:val="none"/>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w:t>
      </w:r>
      <w:r>
        <w:rPr>
          <w:rFonts w:hint="default" w:ascii="Times New Roman" w:hAnsi="Times New Roman" w:eastAsia="宋体" w:cs="Times New Roman"/>
          <w:color w:val="000000" w:themeColor="text1"/>
          <w:kern w:val="0"/>
          <w:sz w:val="28"/>
          <w:szCs w:val="28"/>
          <w:highlight w:val="none"/>
          <w14:textFill>
            <w14:solidFill>
              <w14:schemeClr w14:val="tx1"/>
            </w14:solidFill>
          </w14:textFill>
        </w:rPr>
        <w:t>根据周围矿山治理经验，</w:t>
      </w:r>
      <w:r>
        <w:rPr>
          <w:rFonts w:hint="default" w:ascii="Times New Roman" w:hAnsi="Times New Roman" w:eastAsia="宋体" w:cs="Times New Roman"/>
          <w:color w:val="000000" w:themeColor="text1"/>
          <w:sz w:val="28"/>
          <w:szCs w:val="28"/>
          <w:highlight w:val="none"/>
          <w14:textFill>
            <w14:solidFill>
              <w14:schemeClr w14:val="tx1"/>
            </w14:solidFill>
          </w14:textFill>
        </w:rPr>
        <w:t>n为边坡清理危</w:t>
      </w:r>
      <w:r>
        <w:rPr>
          <w:rFonts w:hint="eastAsia" w:cs="Times New Roman"/>
          <w:color w:val="000000" w:themeColor="text1"/>
          <w:sz w:val="28"/>
          <w:szCs w:val="28"/>
          <w:highlight w:val="none"/>
          <w:lang w:val="en-US" w:eastAsia="zh-CN"/>
          <w14:textFill>
            <w14:solidFill>
              <w14:schemeClr w14:val="tx1"/>
            </w14:solidFill>
          </w14:textFill>
        </w:rPr>
        <w:t>土</w:t>
      </w:r>
      <w:r>
        <w:rPr>
          <w:rFonts w:hint="default" w:ascii="Times New Roman" w:hAnsi="Times New Roman" w:eastAsia="宋体" w:cs="Times New Roman"/>
          <w:color w:val="000000" w:themeColor="text1"/>
          <w:sz w:val="28"/>
          <w:szCs w:val="28"/>
          <w:highlight w:val="none"/>
          <w14:textFill>
            <w14:solidFill>
              <w14:schemeClr w14:val="tx1"/>
            </w14:solidFill>
          </w14:textFill>
        </w:rPr>
        <w:t>体系数</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8"/>
          <w:highlight w:val="none"/>
          <w14:textFill>
            <w14:solidFill>
              <w14:schemeClr w14:val="tx1"/>
            </w14:solidFill>
          </w14:textFill>
        </w:rPr>
        <w:t>0</w:t>
      </w:r>
      <w:r>
        <w:rPr>
          <w:rFonts w:hint="eastAsia" w:ascii="Times New Roman" w:hAnsi="Times New Roman" w:cs="Times New Roman"/>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14:textFill>
            <w14:solidFill>
              <w14:schemeClr w14:val="tx1"/>
            </w14:solidFill>
          </w14:textFill>
        </w:rPr>
        <w:t>，L</w:t>
      </w:r>
      <w:r>
        <w:rPr>
          <w:rFonts w:hint="default" w:ascii="Times New Roman" w:hAnsi="Times New Roman" w:eastAsia="宋体" w:cs="Times New Roman"/>
          <w:color w:val="000000" w:themeColor="text1"/>
          <w:sz w:val="28"/>
          <w:szCs w:val="28"/>
          <w:highlight w:val="none"/>
          <w:vertAlign w:val="subscript"/>
          <w14:textFill>
            <w14:solidFill>
              <w14:schemeClr w14:val="tx1"/>
            </w14:solidFill>
          </w14:textFill>
        </w:rPr>
        <w:t>l</w:t>
      </w:r>
      <w:r>
        <w:rPr>
          <w:rFonts w:hint="default" w:ascii="Times New Roman" w:hAnsi="Times New Roman" w:eastAsia="宋体" w:cs="Times New Roman"/>
          <w:color w:val="000000" w:themeColor="text1"/>
          <w:sz w:val="28"/>
          <w:szCs w:val="28"/>
          <w:highlight w:val="none"/>
          <w14:textFill>
            <w14:solidFill>
              <w14:schemeClr w14:val="tx1"/>
            </w14:solidFill>
          </w14:textFill>
        </w:rPr>
        <w:t>为治理边坡长度</w:t>
      </w:r>
      <w:r>
        <w:rPr>
          <w:rFonts w:hint="eastAsia" w:cs="Times New Roman"/>
          <w:color w:val="000000" w:themeColor="text1"/>
          <w:sz w:val="28"/>
          <w:szCs w:val="28"/>
          <w:highlight w:val="none"/>
          <w:lang w:val="en-US" w:eastAsia="zh-CN"/>
          <w14:textFill>
            <w14:solidFill>
              <w14:schemeClr w14:val="tx1"/>
            </w14:solidFill>
          </w14:textFill>
        </w:rPr>
        <w:t>634</w:t>
      </w:r>
      <w:r>
        <w:rPr>
          <w:rFonts w:hint="default" w:ascii="Times New Roman" w:hAnsi="Times New Roman" w:eastAsia="宋体" w:cs="Times New Roman"/>
          <w:color w:val="000000" w:themeColor="text1"/>
          <w:sz w:val="28"/>
          <w:szCs w:val="28"/>
          <w:highlight w:val="none"/>
          <w14:textFill>
            <w14:solidFill>
              <w14:schemeClr w14:val="tx1"/>
            </w14:solidFill>
          </w14:textFill>
        </w:rPr>
        <w:t>（m），v为单位坡长清理方量（本方案取值</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0.</w:t>
      </w:r>
      <w:r>
        <w:rPr>
          <w:rFonts w:hint="eastAsia" w:cs="Times New Roman"/>
          <w:color w:val="000000" w:themeColor="text1"/>
          <w:sz w:val="28"/>
          <w:szCs w:val="28"/>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sz w:val="28"/>
          <w:szCs w:val="28"/>
          <w:highlight w:val="none"/>
          <w:lang w:eastAsia="zh-CN"/>
          <w14:textFill>
            <w14:solidFill>
              <w14:schemeClr w14:val="tx1"/>
            </w14:solidFill>
          </w14:textFill>
        </w:rPr>
        <w:t>m</w:t>
      </w:r>
      <w:r>
        <w:rPr>
          <w:rFonts w:hint="eastAsia" w:ascii="Times New Roman" w:hAnsi="Times New Roman" w:eastAsia="宋体" w:cs="Times New Roman"/>
          <w:color w:val="000000" w:themeColor="text1"/>
          <w:sz w:val="28"/>
          <w:szCs w:val="28"/>
          <w:highlight w:val="none"/>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8"/>
          <w:szCs w:val="28"/>
          <w:highlight w:val="none"/>
          <w14:textFill>
            <w14:solidFill>
              <w14:schemeClr w14:val="tx1"/>
            </w14:solidFill>
          </w14:textFill>
        </w:rPr>
        <w:t>/m）。</w:t>
      </w:r>
    </w:p>
    <w:p w14:paraId="09FE99CC">
      <w:pPr>
        <w:keepNext w:val="0"/>
        <w:keepLines w:val="0"/>
        <w:pageBreakBefore w:val="0"/>
        <w:widowControl/>
        <w:kinsoku/>
        <w:wordWrap/>
        <w:bidi w:val="0"/>
        <w:adjustRightInd/>
        <w:snapToGrid/>
        <w:spacing w:line="360" w:lineRule="auto"/>
        <w:ind w:firstLine="560" w:firstLineChars="200"/>
        <w:jc w:val="left"/>
        <w:textAlignment w:val="auto"/>
        <w:rPr>
          <w:rFonts w:hint="default" w:ascii="Times New Roman" w:hAnsi="Times New Roman" w:eastAsia="宋体" w:cs="Times New Roman"/>
          <w:color w:val="000000" w:themeColor="text1"/>
          <w:kern w:val="0"/>
          <w:sz w:val="28"/>
          <w:szCs w:val="28"/>
          <w:highlight w:val="none"/>
          <w:lang w:bidi="ar"/>
          <w14:textFill>
            <w14:solidFill>
              <w14:schemeClr w14:val="tx1"/>
            </w14:solidFill>
          </w14:textFill>
        </w:rPr>
      </w:pP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拟建露天采场</w:t>
      </w:r>
      <w:r>
        <w:rPr>
          <w:rFonts w:hint="eastAsia" w:cs="Times New Roman"/>
          <w:color w:val="000000" w:themeColor="text1"/>
          <w:sz w:val="28"/>
          <w:szCs w:val="28"/>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8"/>
          <w:highlight w:val="none"/>
          <w14:textFill>
            <w14:solidFill>
              <w14:schemeClr w14:val="tx1"/>
            </w14:solidFill>
          </w14:textFill>
        </w:rPr>
        <w:t>清理危</w:t>
      </w:r>
      <w:r>
        <w:rPr>
          <w:rFonts w:hint="eastAsia" w:cs="Times New Roman"/>
          <w:color w:val="000000" w:themeColor="text1"/>
          <w:sz w:val="28"/>
          <w:szCs w:val="28"/>
          <w:highlight w:val="none"/>
          <w:lang w:val="en-US" w:eastAsia="zh-CN"/>
          <w14:textFill>
            <w14:solidFill>
              <w14:schemeClr w14:val="tx1"/>
            </w14:solidFill>
          </w14:textFill>
        </w:rPr>
        <w:t>土</w:t>
      </w:r>
      <w:r>
        <w:rPr>
          <w:rFonts w:hint="default" w:ascii="Times New Roman" w:hAnsi="Times New Roman" w:eastAsia="宋体" w:cs="Times New Roman"/>
          <w:color w:val="000000" w:themeColor="text1"/>
          <w:sz w:val="28"/>
          <w:szCs w:val="28"/>
          <w:highlight w:val="none"/>
          <w14:textFill>
            <w14:solidFill>
              <w14:schemeClr w14:val="tx1"/>
            </w14:solidFill>
          </w14:textFill>
        </w:rPr>
        <w:t>体工量Qx=0.</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8"/>
          <w:highlight w:val="none"/>
          <w14:textFill>
            <w14:solidFill>
              <w14:schemeClr w14:val="tx1"/>
            </w14:solidFill>
          </w14:textFill>
        </w:rPr>
        <w:t>×</w:t>
      </w:r>
      <w:r>
        <w:rPr>
          <w:rFonts w:hint="eastAsia" w:cs="Times New Roman"/>
          <w:color w:val="000000" w:themeColor="text1"/>
          <w:sz w:val="28"/>
          <w:szCs w:val="28"/>
          <w:highlight w:val="none"/>
          <w:lang w:val="en-US" w:eastAsia="zh-CN"/>
          <w14:textFill>
            <w14:solidFill>
              <w14:schemeClr w14:val="tx1"/>
            </w14:solidFill>
          </w14:textFill>
        </w:rPr>
        <w:t>634</w:t>
      </w:r>
      <w:r>
        <w:rPr>
          <w:rFonts w:hint="default" w:ascii="Times New Roman" w:hAnsi="Times New Roman" w:eastAsia="宋体" w:cs="Times New Roman"/>
          <w:color w:val="000000" w:themeColor="text1"/>
          <w:sz w:val="28"/>
          <w:szCs w:val="28"/>
          <w:highlight w:val="none"/>
          <w14:textFill>
            <w14:solidFill>
              <w14:schemeClr w14:val="tx1"/>
            </w14:solidFill>
          </w14:textFill>
        </w:rPr>
        <w:t>m×</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0.</w:t>
      </w:r>
      <w:r>
        <w:rPr>
          <w:rFonts w:hint="eastAsia" w:cs="Times New Roman"/>
          <w:color w:val="000000" w:themeColor="text1"/>
          <w:sz w:val="28"/>
          <w:szCs w:val="28"/>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sz w:val="28"/>
          <w:szCs w:val="28"/>
          <w:highlight w:val="none"/>
          <w:lang w:eastAsia="zh-CN"/>
          <w14:textFill>
            <w14:solidFill>
              <w14:schemeClr w14:val="tx1"/>
            </w14:solidFill>
          </w14:textFill>
        </w:rPr>
        <w:t>m</w:t>
      </w:r>
      <w:r>
        <w:rPr>
          <w:rFonts w:hint="eastAsia" w:ascii="Times New Roman" w:hAnsi="Times New Roman" w:eastAsia="宋体" w:cs="Times New Roman"/>
          <w:color w:val="000000" w:themeColor="text1"/>
          <w:sz w:val="28"/>
          <w:szCs w:val="28"/>
          <w:highlight w:val="none"/>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8"/>
          <w:szCs w:val="28"/>
          <w:highlight w:val="none"/>
          <w14:textFill>
            <w14:solidFill>
              <w14:schemeClr w14:val="tx1"/>
            </w14:solidFill>
          </w14:textFill>
        </w:rPr>
        <w:t>/m=</w:t>
      </w:r>
      <w:r>
        <w:rPr>
          <w:rFonts w:hint="eastAsia" w:cs="Times New Roman"/>
          <w:color w:val="000000" w:themeColor="text1"/>
          <w:sz w:val="28"/>
          <w:szCs w:val="28"/>
          <w:highlight w:val="none"/>
          <w:lang w:val="en-US" w:eastAsia="zh-CN"/>
          <w14:textFill>
            <w14:solidFill>
              <w14:schemeClr w14:val="tx1"/>
            </w14:solidFill>
          </w14:textFill>
        </w:rPr>
        <w:t>63</w:t>
      </w:r>
      <w:r>
        <w:rPr>
          <w:rFonts w:hint="eastAsia" w:ascii="Times New Roman" w:hAnsi="Times New Roman" w:eastAsia="宋体" w:cs="Times New Roman"/>
          <w:color w:val="000000" w:themeColor="text1"/>
          <w:sz w:val="28"/>
          <w:szCs w:val="28"/>
          <w:highlight w:val="none"/>
          <w:lang w:eastAsia="zh-CN"/>
          <w14:textFill>
            <w14:solidFill>
              <w14:schemeClr w14:val="tx1"/>
            </w14:solidFill>
          </w14:textFill>
        </w:rPr>
        <w:t>m</w:t>
      </w:r>
      <w:r>
        <w:rPr>
          <w:rFonts w:hint="eastAsia" w:ascii="Times New Roman" w:hAnsi="Times New Roman" w:eastAsia="宋体" w:cs="Times New Roman"/>
          <w:color w:val="000000" w:themeColor="text1"/>
          <w:sz w:val="28"/>
          <w:szCs w:val="28"/>
          <w:highlight w:val="none"/>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8"/>
          <w:szCs w:val="28"/>
          <w:highlight w:val="none"/>
          <w14:textFill>
            <w14:solidFill>
              <w14:schemeClr w14:val="tx1"/>
            </w14:solidFill>
          </w14:textFill>
        </w:rPr>
        <w:t>。</w:t>
      </w:r>
    </w:p>
    <w:p w14:paraId="32EF0CD4">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2</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警示牌</w:t>
      </w:r>
    </w:p>
    <w:p w14:paraId="6104E7D3">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在</w:t>
      </w:r>
      <w:r>
        <w:rPr>
          <w:rFonts w:hint="eastAsia" w:cs="Times New Roman"/>
          <w:color w:val="000000" w:themeColor="text1"/>
          <w:kern w:val="0"/>
          <w:sz w:val="28"/>
          <w:szCs w:val="28"/>
          <w:lang w:val="en-US" w:eastAsia="zh-CN"/>
          <w14:textFill>
            <w14:solidFill>
              <w14:schemeClr w14:val="tx1"/>
            </w14:solidFill>
          </w14:textFill>
        </w:rPr>
        <w:t>采场</w:t>
      </w:r>
      <w:r>
        <w:rPr>
          <w:rFonts w:hint="default" w:ascii="Times New Roman" w:hAnsi="Times New Roman" w:cs="Times New Roman"/>
          <w:color w:val="000000" w:themeColor="text1"/>
          <w:kern w:val="0"/>
          <w:sz w:val="28"/>
          <w:szCs w:val="28"/>
          <w14:textFill>
            <w14:solidFill>
              <w14:schemeClr w14:val="tx1"/>
            </w14:solidFill>
          </w14:textFill>
        </w:rPr>
        <w:t>外围布设一定数量的警示牌，一来可以提醒矿山工作人员注意生产安全；二来提醒外来人员提高警惕，以免发生意外。警示牌材质及规格大小严格执行国家工矿企业现行《矿山安全标志》（GB14161-2008）相关规定要求，进行制作和设置。牌面尺寸为0.8m×0.5m。板面3mm厚。确定安装位置后，支柱采用0.1m×0.1m×2m混凝土桩或铁柱，警示牌埋深0.5m，不得倾斜；文字大小适中清晰，采用蒙汉双语标示，安装完成后应对警示牌标志板进行清扫，保持版面清洁。</w:t>
      </w:r>
    </w:p>
    <w:p w14:paraId="1283B3B3">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具体设置警示牌时，布设位置应根据矿山开采进度而定，及时在外围进行布设，布设时应兼顾区内已有的乡间道路及其他行人小路，尽量使警示牌的警示效果更加明显。</w:t>
      </w:r>
      <w:r>
        <w:rPr>
          <w:rFonts w:hint="default" w:ascii="Times New Roman" w:hAnsi="Times New Roman" w:cs="Times New Roman"/>
          <w:color w:val="000000" w:themeColor="text1"/>
          <w:sz w:val="28"/>
          <w:szCs w:val="28"/>
          <w14:textFill>
            <w14:solidFill>
              <w14:schemeClr w14:val="tx1"/>
            </w14:solidFill>
          </w14:textFill>
        </w:rPr>
        <w:t>根据实际情况设置警示牌</w:t>
      </w:r>
      <w:r>
        <w:rPr>
          <w:rFonts w:hint="eastAsia" w:cs="Times New Roman"/>
          <w:color w:val="000000" w:themeColor="text1"/>
          <w:sz w:val="28"/>
          <w:szCs w:val="28"/>
          <w:lang w:val="en-US" w:eastAsia="zh-CN"/>
          <w14:textFill>
            <w14:solidFill>
              <w14:schemeClr w14:val="tx1"/>
            </w14:solidFill>
          </w14:textFill>
        </w:rPr>
        <w:t>10</w:t>
      </w:r>
      <w:r>
        <w:rPr>
          <w:rFonts w:hint="default" w:ascii="Times New Roman" w:hAnsi="Times New Roman" w:cs="Times New Roman"/>
          <w:color w:val="000000" w:themeColor="text1"/>
          <w:sz w:val="28"/>
          <w:szCs w:val="28"/>
          <w14:textFill>
            <w14:solidFill>
              <w14:schemeClr w14:val="tx1"/>
            </w14:solidFill>
          </w14:textFill>
        </w:rPr>
        <w:t>块（警示牌位置坐标见表4-</w:t>
      </w:r>
      <w:r>
        <w:rPr>
          <w:rFonts w:hint="eastAsia" w:cs="Times New Roman"/>
          <w:color w:val="000000" w:themeColor="text1"/>
          <w:sz w:val="28"/>
          <w:szCs w:val="28"/>
          <w:lang w:val="en-US" w:eastAsia="zh-CN"/>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w:t>
      </w:r>
    </w:p>
    <w:p w14:paraId="00EC08AC">
      <w:pPr>
        <w:pStyle w:val="8"/>
        <w:spacing w:line="360" w:lineRule="auto"/>
        <w:ind w:left="0" w:leftChars="0" w:firstLine="0" w:firstLineChars="0"/>
        <w:jc w:val="center"/>
        <w:rPr>
          <w:rFonts w:hint="eastAsia" w:ascii="黑体" w:hAnsi="黑体" w:eastAsia="黑体" w:cs="黑体"/>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表4-</w:t>
      </w:r>
      <w:r>
        <w:rPr>
          <w:rFonts w:hint="eastAsia" w:ascii="黑体" w:hAnsi="黑体" w:eastAsia="黑体" w:cs="黑体"/>
          <w:b w:val="0"/>
          <w:bCs w:val="0"/>
          <w:color w:val="000000" w:themeColor="text1"/>
          <w:sz w:val="24"/>
          <w:szCs w:val="24"/>
          <w:lang w:val="en-US" w:eastAsia="zh-CN"/>
          <w14:textFill>
            <w14:solidFill>
              <w14:schemeClr w14:val="tx1"/>
            </w14:solidFill>
          </w14:textFill>
        </w:rPr>
        <w:t>3</w:t>
      </w:r>
      <w:r>
        <w:rPr>
          <w:rFonts w:hint="eastAsia" w:ascii="黑体" w:hAnsi="黑体" w:eastAsia="黑体" w:cs="黑体"/>
          <w:b w:val="0"/>
          <w:bCs w:val="0"/>
          <w:color w:val="000000" w:themeColor="text1"/>
          <w:sz w:val="24"/>
          <w:szCs w:val="24"/>
          <w14:textFill>
            <w14:solidFill>
              <w14:schemeClr w14:val="tx1"/>
            </w14:solidFill>
          </w14:textFill>
        </w:rPr>
        <w:t xml:space="preserve">  警示牌位置坐标表（2000大地坐标系）</w:t>
      </w:r>
    </w:p>
    <w:tbl>
      <w:tblPr>
        <w:tblStyle w:val="30"/>
        <w:tblW w:w="4998" w:type="pct"/>
        <w:jc w:val="center"/>
        <w:tblLayout w:type="autofit"/>
        <w:tblCellMar>
          <w:top w:w="0" w:type="dxa"/>
          <w:left w:w="108" w:type="dxa"/>
          <w:bottom w:w="0" w:type="dxa"/>
          <w:right w:w="108" w:type="dxa"/>
        </w:tblCellMar>
      </w:tblPr>
      <w:tblGrid>
        <w:gridCol w:w="785"/>
        <w:gridCol w:w="1691"/>
        <w:gridCol w:w="1764"/>
        <w:gridCol w:w="814"/>
        <w:gridCol w:w="1616"/>
        <w:gridCol w:w="1855"/>
      </w:tblGrid>
      <w:tr w14:paraId="00083C90">
        <w:tblPrEx>
          <w:tblCellMar>
            <w:top w:w="0" w:type="dxa"/>
            <w:left w:w="108" w:type="dxa"/>
            <w:bottom w:w="0" w:type="dxa"/>
            <w:right w:w="108" w:type="dxa"/>
          </w:tblCellMar>
        </w:tblPrEx>
        <w:trPr>
          <w:trHeight w:val="312" w:hRule="atLeast"/>
          <w:jc w:val="center"/>
        </w:trPr>
        <w:tc>
          <w:tcPr>
            <w:tcW w:w="460" w:type="pct"/>
            <w:tcBorders>
              <w:top w:val="single" w:color="000000" w:sz="4" w:space="0"/>
              <w:left w:val="single" w:color="000000" w:sz="4" w:space="0"/>
              <w:bottom w:val="single" w:color="000000" w:sz="4" w:space="0"/>
              <w:right w:val="single" w:color="000000" w:sz="4" w:space="0"/>
            </w:tcBorders>
            <w:noWrap/>
            <w:vAlign w:val="center"/>
          </w:tcPr>
          <w:p w14:paraId="298844F9">
            <w:pPr>
              <w:pStyle w:val="154"/>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编号</w:t>
            </w:r>
          </w:p>
        </w:tc>
        <w:tc>
          <w:tcPr>
            <w:tcW w:w="991" w:type="pct"/>
            <w:tcBorders>
              <w:top w:val="single" w:color="000000" w:sz="4" w:space="0"/>
              <w:left w:val="single" w:color="000000" w:sz="4" w:space="0"/>
              <w:bottom w:val="single" w:color="000000" w:sz="4" w:space="0"/>
              <w:right w:val="single" w:color="000000" w:sz="4" w:space="0"/>
            </w:tcBorders>
            <w:noWrap/>
            <w:vAlign w:val="center"/>
          </w:tcPr>
          <w:p w14:paraId="40381962">
            <w:pPr>
              <w:pStyle w:val="154"/>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X</w:t>
            </w:r>
          </w:p>
        </w:tc>
        <w:tc>
          <w:tcPr>
            <w:tcW w:w="1034" w:type="pct"/>
            <w:tcBorders>
              <w:top w:val="single" w:color="000000" w:sz="4" w:space="0"/>
              <w:left w:val="single" w:color="000000" w:sz="4" w:space="0"/>
              <w:bottom w:val="single" w:color="000000" w:sz="4" w:space="0"/>
              <w:right w:val="single" w:color="000000" w:sz="4" w:space="0"/>
            </w:tcBorders>
            <w:noWrap/>
            <w:vAlign w:val="center"/>
          </w:tcPr>
          <w:p w14:paraId="34A50706">
            <w:pPr>
              <w:pStyle w:val="154"/>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Y</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2E9D190C">
            <w:pPr>
              <w:pStyle w:val="154"/>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编号</w:t>
            </w:r>
          </w:p>
        </w:tc>
        <w:tc>
          <w:tcPr>
            <w:tcW w:w="947" w:type="pct"/>
            <w:tcBorders>
              <w:top w:val="single" w:color="000000" w:sz="4" w:space="0"/>
              <w:left w:val="single" w:color="000000" w:sz="4" w:space="0"/>
              <w:bottom w:val="single" w:color="000000" w:sz="4" w:space="0"/>
              <w:right w:val="single" w:color="000000" w:sz="4" w:space="0"/>
            </w:tcBorders>
            <w:noWrap/>
            <w:vAlign w:val="center"/>
          </w:tcPr>
          <w:p w14:paraId="33B79DB5">
            <w:pPr>
              <w:pStyle w:val="154"/>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X</w:t>
            </w:r>
          </w:p>
        </w:tc>
        <w:tc>
          <w:tcPr>
            <w:tcW w:w="1087" w:type="pct"/>
            <w:tcBorders>
              <w:top w:val="single" w:color="000000" w:sz="4" w:space="0"/>
              <w:left w:val="single" w:color="000000" w:sz="4" w:space="0"/>
              <w:bottom w:val="single" w:color="000000" w:sz="4" w:space="0"/>
              <w:right w:val="single" w:color="000000" w:sz="4" w:space="0"/>
            </w:tcBorders>
            <w:noWrap/>
            <w:vAlign w:val="center"/>
          </w:tcPr>
          <w:p w14:paraId="04A9FE5C">
            <w:pPr>
              <w:pStyle w:val="154"/>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eastAsia="宋体" w:cs="Times New Roman"/>
                <w:b/>
                <w:bCs/>
                <w:color w:val="000000" w:themeColor="text1"/>
                <w:sz w:val="21"/>
                <w:szCs w:val="21"/>
                <w14:textFill>
                  <w14:solidFill>
                    <w14:schemeClr w14:val="tx1"/>
                  </w14:solidFill>
                </w14:textFill>
              </w:rPr>
            </w:pPr>
            <w:r>
              <w:rPr>
                <w:rFonts w:hint="default" w:ascii="Times New Roman" w:hAnsi="Times New Roman" w:eastAsia="宋体" w:cs="Times New Roman"/>
                <w:b/>
                <w:bCs/>
                <w:color w:val="000000" w:themeColor="text1"/>
                <w:sz w:val="21"/>
                <w:szCs w:val="21"/>
                <w14:textFill>
                  <w14:solidFill>
                    <w14:schemeClr w14:val="tx1"/>
                  </w14:solidFill>
                </w14:textFill>
              </w:rPr>
              <w:t>Y</w:t>
            </w:r>
          </w:p>
        </w:tc>
      </w:tr>
      <w:tr w14:paraId="6E2E657D">
        <w:tblPrEx>
          <w:tblCellMar>
            <w:top w:w="0" w:type="dxa"/>
            <w:left w:w="108" w:type="dxa"/>
            <w:bottom w:w="0" w:type="dxa"/>
            <w:right w:w="108" w:type="dxa"/>
          </w:tblCellMar>
        </w:tblPrEx>
        <w:trPr>
          <w:trHeight w:val="312"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14:paraId="095FCB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JS7</w:t>
            </w: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2BCFAC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4707068.7434</w:t>
            </w:r>
          </w:p>
        </w:tc>
        <w:tc>
          <w:tcPr>
            <w:tcW w:w="1764" w:type="dxa"/>
            <w:tcBorders>
              <w:top w:val="single" w:color="000000" w:sz="4" w:space="0"/>
              <w:left w:val="single" w:color="000000" w:sz="4" w:space="0"/>
              <w:bottom w:val="single" w:color="000000" w:sz="4" w:space="0"/>
              <w:right w:val="single" w:color="000000" w:sz="4" w:space="0"/>
            </w:tcBorders>
            <w:noWrap/>
            <w:vAlign w:val="center"/>
          </w:tcPr>
          <w:p w14:paraId="3E8C55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40453039.9681</w:t>
            </w:r>
          </w:p>
        </w:tc>
        <w:tc>
          <w:tcPr>
            <w:tcW w:w="814" w:type="dxa"/>
            <w:tcBorders>
              <w:top w:val="single" w:color="000000" w:sz="4" w:space="0"/>
              <w:left w:val="single" w:color="000000" w:sz="4" w:space="0"/>
              <w:bottom w:val="single" w:color="000000" w:sz="4" w:space="0"/>
              <w:right w:val="single" w:color="000000" w:sz="4" w:space="0"/>
            </w:tcBorders>
            <w:noWrap/>
            <w:vAlign w:val="center"/>
          </w:tcPr>
          <w:p w14:paraId="2F9FDE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JS12</w:t>
            </w:r>
          </w:p>
        </w:tc>
        <w:tc>
          <w:tcPr>
            <w:tcW w:w="1616" w:type="dxa"/>
            <w:tcBorders>
              <w:top w:val="single" w:color="000000" w:sz="4" w:space="0"/>
              <w:left w:val="single" w:color="000000" w:sz="4" w:space="0"/>
              <w:bottom w:val="single" w:color="000000" w:sz="4" w:space="0"/>
              <w:right w:val="single" w:color="000000" w:sz="4" w:space="0"/>
            </w:tcBorders>
            <w:noWrap/>
            <w:vAlign w:val="center"/>
          </w:tcPr>
          <w:p w14:paraId="4932CB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4706901.0671</w:t>
            </w:r>
          </w:p>
        </w:tc>
        <w:tc>
          <w:tcPr>
            <w:tcW w:w="1854" w:type="dxa"/>
            <w:tcBorders>
              <w:top w:val="single" w:color="000000" w:sz="4" w:space="0"/>
              <w:left w:val="single" w:color="000000" w:sz="4" w:space="0"/>
              <w:bottom w:val="single" w:color="000000" w:sz="4" w:space="0"/>
              <w:right w:val="single" w:color="000000" w:sz="4" w:space="0"/>
            </w:tcBorders>
            <w:noWrap/>
            <w:vAlign w:val="center"/>
          </w:tcPr>
          <w:p w14:paraId="51B7AA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40453014.3162</w:t>
            </w:r>
          </w:p>
        </w:tc>
      </w:tr>
      <w:tr w14:paraId="4006F9B8">
        <w:tblPrEx>
          <w:tblCellMar>
            <w:top w:w="0" w:type="dxa"/>
            <w:left w:w="108" w:type="dxa"/>
            <w:bottom w:w="0" w:type="dxa"/>
            <w:right w:w="108" w:type="dxa"/>
          </w:tblCellMar>
        </w:tblPrEx>
        <w:trPr>
          <w:trHeight w:val="312"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14:paraId="5D8723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JS8</w:t>
            </w: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05EC8C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4707035.8738</w:t>
            </w:r>
          </w:p>
        </w:tc>
        <w:tc>
          <w:tcPr>
            <w:tcW w:w="1764" w:type="dxa"/>
            <w:tcBorders>
              <w:top w:val="single" w:color="000000" w:sz="4" w:space="0"/>
              <w:left w:val="single" w:color="000000" w:sz="4" w:space="0"/>
              <w:bottom w:val="single" w:color="000000" w:sz="4" w:space="0"/>
              <w:right w:val="single" w:color="000000" w:sz="4" w:space="0"/>
            </w:tcBorders>
            <w:noWrap/>
            <w:vAlign w:val="center"/>
          </w:tcPr>
          <w:p w14:paraId="57E1D7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40453118.2709</w:t>
            </w:r>
          </w:p>
        </w:tc>
        <w:tc>
          <w:tcPr>
            <w:tcW w:w="814" w:type="dxa"/>
            <w:tcBorders>
              <w:top w:val="single" w:color="000000" w:sz="4" w:space="0"/>
              <w:left w:val="single" w:color="000000" w:sz="4" w:space="0"/>
              <w:bottom w:val="single" w:color="000000" w:sz="4" w:space="0"/>
              <w:right w:val="single" w:color="000000" w:sz="4" w:space="0"/>
            </w:tcBorders>
            <w:noWrap/>
            <w:vAlign w:val="center"/>
          </w:tcPr>
          <w:p w14:paraId="7A731C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JS13</w:t>
            </w:r>
          </w:p>
        </w:tc>
        <w:tc>
          <w:tcPr>
            <w:tcW w:w="1616" w:type="dxa"/>
            <w:tcBorders>
              <w:top w:val="single" w:color="000000" w:sz="4" w:space="0"/>
              <w:left w:val="single" w:color="000000" w:sz="4" w:space="0"/>
              <w:bottom w:val="single" w:color="000000" w:sz="4" w:space="0"/>
              <w:right w:val="single" w:color="000000" w:sz="4" w:space="0"/>
            </w:tcBorders>
            <w:noWrap/>
            <w:vAlign w:val="center"/>
          </w:tcPr>
          <w:p w14:paraId="2FE881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4706941.8287</w:t>
            </w:r>
          </w:p>
        </w:tc>
        <w:tc>
          <w:tcPr>
            <w:tcW w:w="1854" w:type="dxa"/>
            <w:tcBorders>
              <w:top w:val="single" w:color="000000" w:sz="4" w:space="0"/>
              <w:left w:val="single" w:color="000000" w:sz="4" w:space="0"/>
              <w:bottom w:val="single" w:color="000000" w:sz="4" w:space="0"/>
              <w:right w:val="single" w:color="000000" w:sz="4" w:space="0"/>
            </w:tcBorders>
            <w:noWrap/>
            <w:vAlign w:val="center"/>
          </w:tcPr>
          <w:p w14:paraId="39009B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40452951.3858</w:t>
            </w:r>
          </w:p>
        </w:tc>
      </w:tr>
      <w:tr w14:paraId="05697D26">
        <w:tblPrEx>
          <w:tblCellMar>
            <w:top w:w="0" w:type="dxa"/>
            <w:left w:w="108" w:type="dxa"/>
            <w:bottom w:w="0" w:type="dxa"/>
            <w:right w:w="108" w:type="dxa"/>
          </w:tblCellMar>
        </w:tblPrEx>
        <w:trPr>
          <w:trHeight w:val="312"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14:paraId="0DD84A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JS9</w:t>
            </w: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4F8B8B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4706994.9351</w:t>
            </w:r>
          </w:p>
        </w:tc>
        <w:tc>
          <w:tcPr>
            <w:tcW w:w="1764" w:type="dxa"/>
            <w:tcBorders>
              <w:top w:val="single" w:color="000000" w:sz="4" w:space="0"/>
              <w:left w:val="single" w:color="000000" w:sz="4" w:space="0"/>
              <w:bottom w:val="single" w:color="000000" w:sz="4" w:space="0"/>
              <w:right w:val="single" w:color="000000" w:sz="4" w:space="0"/>
            </w:tcBorders>
            <w:noWrap/>
            <w:vAlign w:val="center"/>
          </w:tcPr>
          <w:p w14:paraId="4BBB85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40453163.3714</w:t>
            </w:r>
          </w:p>
        </w:tc>
        <w:tc>
          <w:tcPr>
            <w:tcW w:w="814" w:type="dxa"/>
            <w:tcBorders>
              <w:top w:val="single" w:color="000000" w:sz="4" w:space="0"/>
              <w:left w:val="single" w:color="000000" w:sz="4" w:space="0"/>
              <w:bottom w:val="single" w:color="000000" w:sz="4" w:space="0"/>
              <w:right w:val="single" w:color="000000" w:sz="4" w:space="0"/>
            </w:tcBorders>
            <w:noWrap/>
            <w:vAlign w:val="center"/>
          </w:tcPr>
          <w:p w14:paraId="5272C9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JS14</w:t>
            </w:r>
          </w:p>
        </w:tc>
        <w:tc>
          <w:tcPr>
            <w:tcW w:w="1616" w:type="dxa"/>
            <w:tcBorders>
              <w:top w:val="single" w:color="000000" w:sz="4" w:space="0"/>
              <w:left w:val="single" w:color="000000" w:sz="4" w:space="0"/>
              <w:bottom w:val="single" w:color="000000" w:sz="4" w:space="0"/>
              <w:right w:val="single" w:color="000000" w:sz="4" w:space="0"/>
            </w:tcBorders>
            <w:noWrap/>
            <w:vAlign w:val="center"/>
          </w:tcPr>
          <w:p w14:paraId="05D719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4707008.4553</w:t>
            </w:r>
          </w:p>
        </w:tc>
        <w:tc>
          <w:tcPr>
            <w:tcW w:w="1854" w:type="dxa"/>
            <w:tcBorders>
              <w:top w:val="single" w:color="000000" w:sz="4" w:space="0"/>
              <w:left w:val="single" w:color="000000" w:sz="4" w:space="0"/>
              <w:bottom w:val="single" w:color="000000" w:sz="4" w:space="0"/>
              <w:right w:val="single" w:color="000000" w:sz="4" w:space="0"/>
            </w:tcBorders>
            <w:noWrap/>
            <w:vAlign w:val="center"/>
          </w:tcPr>
          <w:p w14:paraId="6F8DE0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40452900.2260</w:t>
            </w:r>
          </w:p>
        </w:tc>
      </w:tr>
      <w:tr w14:paraId="6D9DA77A">
        <w:tblPrEx>
          <w:tblCellMar>
            <w:top w:w="0" w:type="dxa"/>
            <w:left w:w="108" w:type="dxa"/>
            <w:bottom w:w="0" w:type="dxa"/>
            <w:right w:w="108" w:type="dxa"/>
          </w:tblCellMar>
        </w:tblPrEx>
        <w:trPr>
          <w:trHeight w:val="312"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14:paraId="18B775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JS10</w:t>
            </w: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65A197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4706963.7599</w:t>
            </w:r>
          </w:p>
        </w:tc>
        <w:tc>
          <w:tcPr>
            <w:tcW w:w="1764" w:type="dxa"/>
            <w:tcBorders>
              <w:top w:val="single" w:color="000000" w:sz="4" w:space="0"/>
              <w:left w:val="single" w:color="000000" w:sz="4" w:space="0"/>
              <w:bottom w:val="single" w:color="000000" w:sz="4" w:space="0"/>
              <w:right w:val="single" w:color="000000" w:sz="4" w:space="0"/>
            </w:tcBorders>
            <w:noWrap/>
            <w:vAlign w:val="center"/>
          </w:tcPr>
          <w:p w14:paraId="25DD17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40453139.6849</w:t>
            </w:r>
          </w:p>
        </w:tc>
        <w:tc>
          <w:tcPr>
            <w:tcW w:w="814" w:type="dxa"/>
            <w:tcBorders>
              <w:top w:val="single" w:color="000000" w:sz="4" w:space="0"/>
              <w:left w:val="single" w:color="000000" w:sz="4" w:space="0"/>
              <w:bottom w:val="single" w:color="000000" w:sz="4" w:space="0"/>
              <w:right w:val="single" w:color="000000" w:sz="4" w:space="0"/>
            </w:tcBorders>
            <w:noWrap/>
            <w:vAlign w:val="center"/>
          </w:tcPr>
          <w:p w14:paraId="7CF6BE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JS15</w:t>
            </w:r>
          </w:p>
        </w:tc>
        <w:tc>
          <w:tcPr>
            <w:tcW w:w="1616" w:type="dxa"/>
            <w:tcBorders>
              <w:top w:val="single" w:color="000000" w:sz="4" w:space="0"/>
              <w:left w:val="single" w:color="000000" w:sz="4" w:space="0"/>
              <w:bottom w:val="single" w:color="000000" w:sz="4" w:space="0"/>
              <w:right w:val="single" w:color="000000" w:sz="4" w:space="0"/>
            </w:tcBorders>
            <w:noWrap/>
            <w:vAlign w:val="center"/>
          </w:tcPr>
          <w:p w14:paraId="6677BD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4707015.1440</w:t>
            </w:r>
          </w:p>
        </w:tc>
        <w:tc>
          <w:tcPr>
            <w:tcW w:w="1854" w:type="dxa"/>
            <w:tcBorders>
              <w:top w:val="single" w:color="000000" w:sz="4" w:space="0"/>
              <w:left w:val="single" w:color="000000" w:sz="4" w:space="0"/>
              <w:bottom w:val="single" w:color="000000" w:sz="4" w:space="0"/>
              <w:right w:val="single" w:color="000000" w:sz="4" w:space="0"/>
            </w:tcBorders>
            <w:noWrap/>
            <w:vAlign w:val="center"/>
          </w:tcPr>
          <w:p w14:paraId="6FE324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40452955.4866</w:t>
            </w:r>
          </w:p>
        </w:tc>
      </w:tr>
      <w:tr w14:paraId="224A2B66">
        <w:tblPrEx>
          <w:tblCellMar>
            <w:top w:w="0" w:type="dxa"/>
            <w:left w:w="108" w:type="dxa"/>
            <w:bottom w:w="0" w:type="dxa"/>
            <w:right w:w="108" w:type="dxa"/>
          </w:tblCellMar>
        </w:tblPrEx>
        <w:trPr>
          <w:trHeight w:val="312" w:hRule="atLeast"/>
          <w:jc w:val="center"/>
        </w:trPr>
        <w:tc>
          <w:tcPr>
            <w:tcW w:w="785" w:type="dxa"/>
            <w:tcBorders>
              <w:top w:val="single" w:color="000000" w:sz="4" w:space="0"/>
              <w:left w:val="single" w:color="000000" w:sz="4" w:space="0"/>
              <w:bottom w:val="single" w:color="000000" w:sz="4" w:space="0"/>
              <w:right w:val="single" w:color="000000" w:sz="4" w:space="0"/>
            </w:tcBorders>
            <w:noWrap/>
            <w:vAlign w:val="center"/>
          </w:tcPr>
          <w:p w14:paraId="034E01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JS11</w:t>
            </w: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78D367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4706930.3189</w:t>
            </w:r>
          </w:p>
        </w:tc>
        <w:tc>
          <w:tcPr>
            <w:tcW w:w="1764" w:type="dxa"/>
            <w:tcBorders>
              <w:top w:val="single" w:color="000000" w:sz="4" w:space="0"/>
              <w:left w:val="single" w:color="000000" w:sz="4" w:space="0"/>
              <w:bottom w:val="single" w:color="000000" w:sz="4" w:space="0"/>
              <w:right w:val="single" w:color="000000" w:sz="4" w:space="0"/>
            </w:tcBorders>
            <w:noWrap/>
            <w:vAlign w:val="center"/>
          </w:tcPr>
          <w:p w14:paraId="485170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40453084.4929</w:t>
            </w:r>
          </w:p>
        </w:tc>
        <w:tc>
          <w:tcPr>
            <w:tcW w:w="814" w:type="dxa"/>
            <w:tcBorders>
              <w:top w:val="single" w:color="000000" w:sz="4" w:space="0"/>
              <w:left w:val="single" w:color="000000" w:sz="4" w:space="0"/>
              <w:bottom w:val="single" w:color="000000" w:sz="4" w:space="0"/>
              <w:right w:val="single" w:color="000000" w:sz="4" w:space="0"/>
            </w:tcBorders>
            <w:noWrap/>
            <w:vAlign w:val="center"/>
          </w:tcPr>
          <w:p w14:paraId="05DD7A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default"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JS16</w:t>
            </w:r>
          </w:p>
        </w:tc>
        <w:tc>
          <w:tcPr>
            <w:tcW w:w="1616" w:type="dxa"/>
            <w:tcBorders>
              <w:top w:val="single" w:color="000000" w:sz="4" w:space="0"/>
              <w:left w:val="single" w:color="000000" w:sz="4" w:space="0"/>
              <w:bottom w:val="single" w:color="000000" w:sz="4" w:space="0"/>
              <w:right w:val="single" w:color="000000" w:sz="4" w:space="0"/>
            </w:tcBorders>
            <w:noWrap/>
            <w:vAlign w:val="center"/>
          </w:tcPr>
          <w:p w14:paraId="3D543D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4707012.8939</w:t>
            </w:r>
          </w:p>
        </w:tc>
        <w:tc>
          <w:tcPr>
            <w:tcW w:w="1854" w:type="dxa"/>
            <w:tcBorders>
              <w:top w:val="single" w:color="000000" w:sz="4" w:space="0"/>
              <w:left w:val="single" w:color="000000" w:sz="4" w:space="0"/>
              <w:bottom w:val="single" w:color="000000" w:sz="4" w:space="0"/>
              <w:right w:val="single" w:color="000000" w:sz="4" w:space="0"/>
            </w:tcBorders>
            <w:noWrap/>
            <w:vAlign w:val="center"/>
          </w:tcPr>
          <w:p w14:paraId="45587F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40453017.9387</w:t>
            </w:r>
          </w:p>
        </w:tc>
      </w:tr>
    </w:tbl>
    <w:p w14:paraId="02C9F322">
      <w:pPr>
        <w:keepNext w:val="0"/>
        <w:keepLines w:val="0"/>
        <w:pageBreakBefore w:val="0"/>
        <w:widowControl/>
        <w:kinsoku/>
        <w:wordWrap/>
        <w:overflowPunct/>
        <w:topLinePunct w:val="0"/>
        <w:autoSpaceDE/>
        <w:autoSpaceDN/>
        <w:bidi w:val="0"/>
        <w:adjustRightInd/>
        <w:snapToGrid/>
        <w:spacing w:before="157" w:beforeLines="50" w:line="360" w:lineRule="auto"/>
        <w:ind w:firstLine="560" w:firstLineChars="200"/>
        <w:textAlignment w:val="auto"/>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3</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围栏网</w:t>
      </w:r>
    </w:p>
    <w:p w14:paraId="68968C54">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kern w:val="0"/>
          <w:sz w:val="28"/>
          <w:szCs w:val="28"/>
          <w14:textFill>
            <w14:solidFill>
              <w14:schemeClr w14:val="tx1"/>
            </w14:solidFill>
          </w14:textFill>
        </w:rPr>
        <w:t>为防止人畜误入</w:t>
      </w:r>
      <w:r>
        <w:rPr>
          <w:rFonts w:hint="eastAsia" w:cs="Times New Roman"/>
          <w:color w:val="000000" w:themeColor="text1"/>
          <w:kern w:val="0"/>
          <w:sz w:val="28"/>
          <w:szCs w:val="28"/>
          <w:lang w:val="en-US" w:eastAsia="zh-CN"/>
          <w14:textFill>
            <w14:solidFill>
              <w14:schemeClr w14:val="tx1"/>
            </w14:solidFill>
          </w14:textFill>
        </w:rPr>
        <w:t>采场内</w:t>
      </w:r>
      <w:r>
        <w:rPr>
          <w:rFonts w:hint="default" w:ascii="Times New Roman" w:hAnsi="Times New Roman" w:cs="Times New Roman"/>
          <w:color w:val="000000" w:themeColor="text1"/>
          <w:kern w:val="0"/>
          <w:sz w:val="28"/>
          <w:szCs w:val="28"/>
          <w14:textFill>
            <w14:solidFill>
              <w14:schemeClr w14:val="tx1"/>
            </w14:solidFill>
          </w14:textFill>
        </w:rPr>
        <w:t>，</w:t>
      </w:r>
      <w:r>
        <w:rPr>
          <w:rFonts w:hint="eastAsia" w:cs="Times New Roman"/>
          <w:color w:val="000000" w:themeColor="text1"/>
          <w:kern w:val="0"/>
          <w:sz w:val="28"/>
          <w:szCs w:val="28"/>
          <w:lang w:val="en-US" w:eastAsia="zh-CN"/>
          <w14:textFill>
            <w14:solidFill>
              <w14:schemeClr w14:val="tx1"/>
            </w14:solidFill>
          </w14:textFill>
        </w:rPr>
        <w:t>露天采场</w:t>
      </w:r>
      <w:r>
        <w:rPr>
          <w:rFonts w:hint="default" w:ascii="Times New Roman" w:hAnsi="Times New Roman" w:cs="Times New Roman"/>
          <w:color w:val="000000" w:themeColor="text1"/>
          <w:kern w:val="0"/>
          <w:sz w:val="28"/>
          <w:szCs w:val="28"/>
          <w14:textFill>
            <w14:solidFill>
              <w14:schemeClr w14:val="tx1"/>
            </w14:solidFill>
          </w14:textFill>
        </w:rPr>
        <w:t>地表境界外围</w:t>
      </w:r>
      <w:r>
        <w:rPr>
          <w:rFonts w:hint="eastAsia" w:cs="Times New Roman"/>
          <w:color w:val="000000" w:themeColor="text1"/>
          <w:kern w:val="0"/>
          <w:sz w:val="28"/>
          <w:szCs w:val="28"/>
          <w:lang w:val="en-US" w:eastAsia="zh-CN"/>
          <w14:textFill>
            <w14:solidFill>
              <w14:schemeClr w14:val="tx1"/>
            </w14:solidFill>
          </w14:textFill>
        </w:rPr>
        <w:t>5</w:t>
      </w:r>
      <w:r>
        <w:rPr>
          <w:rFonts w:hint="default" w:ascii="Times New Roman" w:hAnsi="Times New Roman" w:cs="Times New Roman"/>
          <w:color w:val="000000" w:themeColor="text1"/>
          <w:kern w:val="0"/>
          <w:sz w:val="28"/>
          <w:szCs w:val="28"/>
          <w14:textFill>
            <w14:solidFill>
              <w14:schemeClr w14:val="tx1"/>
            </w14:solidFill>
          </w14:textFill>
        </w:rPr>
        <w:t>m设立钢丝围栏，铁刺防护网通过钢筋混凝土桩及刺绳相结合的方法进行拦挡，设计每隔4m设一根水泥桩，规格为0.1m×0.1m×2.0m（钢筋混凝土桩地下0.6m，地面外漏1.25m），然后沿水泥桩拉双股刺绳，距地面0.25m拉第一根，往上每隔0.25m拉一根。根据实际情况，设置围栏网</w:t>
      </w:r>
      <w:r>
        <w:rPr>
          <w:rFonts w:hint="eastAsia" w:cs="Times New Roman"/>
          <w:color w:val="000000" w:themeColor="text1"/>
          <w:kern w:val="0"/>
          <w:sz w:val="28"/>
          <w:szCs w:val="28"/>
          <w:lang w:val="en-US" w:eastAsia="zh-CN"/>
          <w14:textFill>
            <w14:solidFill>
              <w14:schemeClr w14:val="tx1"/>
            </w14:solidFill>
          </w14:textFill>
        </w:rPr>
        <w:t>690</w:t>
      </w:r>
      <w:r>
        <w:rPr>
          <w:rFonts w:hint="default" w:ascii="Times New Roman" w:hAnsi="Times New Roman" w:cs="Times New Roman"/>
          <w:color w:val="000000" w:themeColor="text1"/>
          <w:kern w:val="0"/>
          <w:sz w:val="28"/>
          <w:szCs w:val="28"/>
          <w14:textFill>
            <w14:solidFill>
              <w14:schemeClr w14:val="tx1"/>
            </w14:solidFill>
          </w14:textFill>
        </w:rPr>
        <w:t>m。</w:t>
      </w:r>
    </w:p>
    <w:p w14:paraId="2D7EF4DD">
      <w:pPr>
        <w:widowControl/>
        <w:spacing w:line="360" w:lineRule="auto"/>
        <w:ind w:firstLine="560" w:firstLineChars="200"/>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pPr>
      <w:r>
        <w:rPr>
          <w:rFonts w:hint="eastAsia" w:ascii="Times New Roman" w:hAnsi="Times New Roman" w:cs="Times New Roman"/>
          <w:color w:val="000000" w:themeColor="text1"/>
          <w:sz w:val="28"/>
          <w:szCs w:val="28"/>
          <w:highlight w:val="none"/>
          <w:lang w:val="en-US" w:eastAsia="zh-CN"/>
          <w14:textFill>
            <w14:solidFill>
              <w14:schemeClr w14:val="tx1"/>
            </w14:solidFill>
          </w14:textFill>
        </w:rPr>
        <w:t>2、地貌重塑工程</w:t>
      </w:r>
    </w:p>
    <w:p w14:paraId="29D31087">
      <w:pPr>
        <w:widowControl/>
        <w:spacing w:line="360" w:lineRule="auto"/>
        <w:ind w:firstLine="560" w:firstLineChars="200"/>
        <w:rPr>
          <w:rFonts w:hint="default" w:ascii="Times New Roman" w:hAnsi="Times New Roman" w:cs="Times New Roman"/>
          <w:color w:val="000000" w:themeColor="text1"/>
          <w:sz w:val="28"/>
          <w:szCs w:val="28"/>
          <w:highlight w:val="none"/>
          <w14:textFill>
            <w14:solidFill>
              <w14:schemeClr w14:val="tx1"/>
            </w14:solidFill>
          </w14:textFill>
        </w:rPr>
      </w:pPr>
      <w:r>
        <w:rPr>
          <w:rFonts w:hint="eastAsia" w:ascii="Times New Roman" w:hAnsi="Times New Roman" w:cs="Times New Roman"/>
          <w:color w:val="000000" w:themeColor="text1"/>
          <w:kern w:val="0"/>
          <w:sz w:val="28"/>
          <w:szCs w:val="28"/>
          <w:highlight w:val="none"/>
          <w:lang w:eastAsia="zh-CN"/>
          <w14:textFill>
            <w14:solidFill>
              <w14:schemeClr w14:val="tx1"/>
            </w14:solidFill>
          </w14:textFill>
        </w:rPr>
        <w:t>（</w:t>
      </w:r>
      <w:r>
        <w:rPr>
          <w:rFonts w:hint="eastAsia" w:ascii="Times New Roman" w:hAnsi="Times New Roman" w:cs="Times New Roman"/>
          <w:color w:val="000000" w:themeColor="text1"/>
          <w:kern w:val="0"/>
          <w:sz w:val="28"/>
          <w:szCs w:val="28"/>
          <w:highlight w:val="none"/>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highlight w:val="none"/>
          <w:lang w:eastAsia="zh-CN"/>
          <w14:textFill>
            <w14:solidFill>
              <w14:schemeClr w14:val="tx1"/>
            </w14:solidFill>
          </w14:textFill>
        </w:rPr>
        <w:t>）</w:t>
      </w:r>
      <w:r>
        <w:rPr>
          <w:rFonts w:hint="default" w:ascii="Times New Roman" w:hAnsi="Times New Roman" w:cs="Times New Roman"/>
          <w:color w:val="000000" w:themeColor="text1"/>
          <w:sz w:val="28"/>
          <w:szCs w:val="28"/>
          <w:highlight w:val="none"/>
          <w14:textFill>
            <w14:solidFill>
              <w14:schemeClr w14:val="tx1"/>
            </w14:solidFill>
          </w14:textFill>
        </w:rPr>
        <w:t>回填</w:t>
      </w:r>
    </w:p>
    <w:p w14:paraId="65F44DED">
      <w:pPr>
        <w:kinsoku/>
        <w:wordWrap/>
        <w:overflowPunct w:val="0"/>
        <w:topLinePunct/>
        <w:bidi w:val="0"/>
        <w:spacing w:before="29" w:line="348" w:lineRule="auto"/>
        <w:ind w:right="162" w:firstLine="560" w:firstLineChars="200"/>
        <w:rPr>
          <w:rFonts w:hint="default" w:ascii="Times New Roman" w:hAnsi="Times New Roman" w:eastAsia="宋体" w:cs="Times New Roman"/>
          <w:color w:val="000000" w:themeColor="text1"/>
          <w:sz w:val="28"/>
          <w:szCs w:val="28"/>
          <w:highlight w:val="none"/>
          <w14:textFill>
            <w14:solidFill>
              <w14:schemeClr w14:val="tx1"/>
            </w14:solidFill>
          </w14:textFill>
        </w:rPr>
      </w:pP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终采后将</w:t>
      </w:r>
      <w:r>
        <w:rPr>
          <w:rFonts w:hint="eastAsia" w:cs="Times New Roman"/>
          <w:color w:val="000000" w:themeColor="text1"/>
          <w:sz w:val="28"/>
          <w:szCs w:val="28"/>
          <w:highlight w:val="none"/>
          <w:lang w:val="en-US" w:eastAsia="zh-CN"/>
          <w14:textFill>
            <w14:solidFill>
              <w14:schemeClr w14:val="tx1"/>
            </w14:solidFill>
          </w14:textFill>
        </w:rPr>
        <w:t>拆除的固体废弃物回填至露天采场坑底，上部回填剥离的表土</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回填至</w:t>
      </w:r>
      <w:r>
        <w:rPr>
          <w:rFonts w:hint="eastAsia" w:cs="Times New Roman"/>
          <w:color w:val="000000" w:themeColor="text1"/>
          <w:sz w:val="28"/>
          <w:szCs w:val="28"/>
          <w:highlight w:val="none"/>
          <w:lang w:val="en-US" w:eastAsia="zh-CN"/>
          <w14:textFill>
            <w14:solidFill>
              <w14:schemeClr w14:val="tx1"/>
            </w14:solidFill>
          </w14:textFill>
        </w:rPr>
        <w:t>470</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m水平标高，</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回填工程量为</w:t>
      </w:r>
      <w:r>
        <w:rPr>
          <w:rFonts w:hint="eastAsia" w:cs="Times New Roman"/>
          <w:color w:val="000000" w:themeColor="text1"/>
          <w:sz w:val="28"/>
          <w:szCs w:val="28"/>
          <w:highlight w:val="none"/>
          <w:lang w:val="en-US" w:eastAsia="zh-CN"/>
          <w14:textFill>
            <w14:solidFill>
              <w14:schemeClr w14:val="tx1"/>
            </w14:solidFill>
          </w14:textFill>
        </w:rPr>
        <w:t>56306</w:t>
      </w:r>
      <w:r>
        <w:rPr>
          <w:rFonts w:hint="eastAsia" w:ascii="Times New Roman" w:hAnsi="Times New Roman" w:eastAsia="宋体" w:cs="Times New Roman"/>
          <w:color w:val="000000" w:themeColor="text1"/>
          <w:kern w:val="0"/>
          <w:sz w:val="28"/>
          <w:szCs w:val="28"/>
          <w:highlight w:val="none"/>
          <w:lang w:eastAsia="zh-CN"/>
          <w14:textFill>
            <w14:solidFill>
              <w14:schemeClr w14:val="tx1"/>
            </w14:solidFill>
          </w14:textFill>
        </w:rPr>
        <w:t>m</w:t>
      </w:r>
      <w:r>
        <w:rPr>
          <w:rFonts w:hint="eastAsia" w:ascii="Times New Roman" w:hAnsi="Times New Roman" w:eastAsia="宋体" w:cs="Times New Roman"/>
          <w:color w:val="000000" w:themeColor="text1"/>
          <w:kern w:val="0"/>
          <w:sz w:val="28"/>
          <w:szCs w:val="28"/>
          <w:highlight w:val="none"/>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8"/>
          <w:szCs w:val="28"/>
          <w:highlight w:val="none"/>
          <w14:textFill>
            <w14:solidFill>
              <w14:schemeClr w14:val="tx1"/>
            </w14:solidFill>
          </w14:textFill>
        </w:rPr>
        <w:t>。</w:t>
      </w:r>
    </w:p>
    <w:p w14:paraId="22CCA8A8">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sz w:val="28"/>
          <w:szCs w:val="28"/>
          <w:lang w:val="en-US" w:eastAsia="zh-CN"/>
          <w14:textFill>
            <w14:solidFill>
              <w14:schemeClr w14:val="tx1"/>
            </w14:solidFill>
          </w14:textFill>
        </w:rPr>
        <w:t>3、</w:t>
      </w:r>
      <w:r>
        <w:rPr>
          <w:rFonts w:hint="default" w:ascii="Times New Roman" w:hAnsi="Times New Roman" w:cs="Times New Roman"/>
          <w:color w:val="000000" w:themeColor="text1"/>
          <w:kern w:val="0"/>
          <w:sz w:val="28"/>
          <w:szCs w:val="28"/>
          <w14:textFill>
            <w14:solidFill>
              <w14:schemeClr w14:val="tx1"/>
            </w14:solidFill>
          </w14:textFill>
        </w:rPr>
        <w:t>土壤重构工程</w:t>
      </w:r>
    </w:p>
    <w:p w14:paraId="1A53989F">
      <w:pPr>
        <w:widowControl/>
        <w:spacing w:line="360" w:lineRule="auto"/>
        <w:ind w:firstLine="560" w:firstLineChars="200"/>
        <w:rPr>
          <w:rFonts w:hint="eastAsia" w:ascii="Times New Roman" w:hAnsi="Times New Roman" w:eastAsia="宋体" w:cs="Times New Roman"/>
          <w:color w:val="000000" w:themeColor="text1"/>
          <w:kern w:val="0"/>
          <w:sz w:val="28"/>
          <w:szCs w:val="28"/>
          <w:lang w:val="en-US" w:eastAsia="zh-CN"/>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cs="Times New Roman"/>
          <w:color w:val="000000" w:themeColor="text1"/>
          <w:kern w:val="0"/>
          <w:sz w:val="28"/>
          <w:szCs w:val="28"/>
          <w:lang w:val="en-US" w:eastAsia="zh-CN"/>
          <w14:textFill>
            <w14:solidFill>
              <w14:schemeClr w14:val="tx1"/>
            </w14:solidFill>
          </w14:textFill>
        </w:rPr>
        <w:t>翻耕</w:t>
      </w:r>
    </w:p>
    <w:p w14:paraId="5165A3D0">
      <w:pPr>
        <w:widowControl/>
        <w:spacing w:line="360" w:lineRule="auto"/>
        <w:ind w:firstLine="560" w:firstLineChars="200"/>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对</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拟建露天采场</w:t>
      </w:r>
      <w:r>
        <w:rPr>
          <w:rFonts w:hint="eastAsia" w:cs="Times New Roman"/>
          <w:color w:val="000000" w:themeColor="text1"/>
          <w:sz w:val="28"/>
          <w:szCs w:val="28"/>
          <w:highlight w:val="none"/>
          <w:lang w:val="en-US" w:eastAsia="zh-CN"/>
          <w14:textFill>
            <w14:solidFill>
              <w14:schemeClr w14:val="tx1"/>
            </w14:solidFill>
          </w14:textFill>
        </w:rPr>
        <w:t>2</w:t>
      </w:r>
      <w:r>
        <w:rPr>
          <w:rFonts w:hint="eastAsia" w:cs="Times New Roman"/>
          <w:color w:val="000000" w:themeColor="text1"/>
          <w:sz w:val="28"/>
          <w:szCs w:val="28"/>
          <w:lang w:val="en-US" w:eastAsia="zh-CN"/>
          <w14:textFill>
            <w14:solidFill>
              <w14:schemeClr w14:val="tx1"/>
            </w14:solidFill>
          </w14:textFill>
        </w:rPr>
        <w:t>坑底进行翻耕</w:t>
      </w:r>
      <w:r>
        <w:rPr>
          <w:rFonts w:hint="default" w:ascii="Times New Roman" w:hAnsi="Times New Roman"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坑底境界54m×40m，翻耕面积</w:t>
      </w:r>
      <w:r>
        <w:rPr>
          <w:rFonts w:hint="eastAsia"/>
          <w:color w:val="000000" w:themeColor="text1"/>
          <w:kern w:val="0"/>
          <w:sz w:val="28"/>
          <w:szCs w:val="28"/>
          <w:lang w:val="en-US" w:eastAsia="zh-CN"/>
          <w14:textFill>
            <w14:solidFill>
              <w14:schemeClr w14:val="tx1"/>
            </w14:solidFill>
          </w14:textFill>
        </w:rPr>
        <w:t>2160</w:t>
      </w:r>
      <w:r>
        <w:rPr>
          <w:color w:val="000000" w:themeColor="text1"/>
          <w:kern w:val="0"/>
          <w:sz w:val="28"/>
          <w:szCs w:val="28"/>
          <w14:textFill>
            <w14:solidFill>
              <w14:schemeClr w14:val="tx1"/>
            </w14:solidFill>
          </w14:textFill>
        </w:rPr>
        <w:t>m</w:t>
      </w:r>
      <w:r>
        <w:rPr>
          <w:color w:val="000000" w:themeColor="text1"/>
          <w:kern w:val="0"/>
          <w:sz w:val="28"/>
          <w:szCs w:val="28"/>
          <w:vertAlign w:val="superscript"/>
          <w14:textFill>
            <w14:solidFill>
              <w14:schemeClr w14:val="tx1"/>
            </w14:solidFill>
          </w14:textFill>
        </w:rPr>
        <w:t>2</w:t>
      </w:r>
      <w:r>
        <w:rPr>
          <w:rFonts w:hint="eastAsia"/>
          <w:color w:val="000000" w:themeColor="text1"/>
          <w:kern w:val="0"/>
          <w:sz w:val="28"/>
          <w:szCs w:val="28"/>
          <w:vertAlign w:val="baseline"/>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翻耕厚度0.5m，翻耕</w:t>
      </w:r>
      <w:r>
        <w:rPr>
          <w:rFonts w:hint="eastAsia" w:ascii="Times New Roman" w:hAnsi="Times New Roman" w:cs="Times New Roman"/>
          <w:color w:val="000000" w:themeColor="text1"/>
          <w:kern w:val="0"/>
          <w:sz w:val="28"/>
          <w:szCs w:val="28"/>
          <w:lang w:val="en-US" w:eastAsia="zh-CN"/>
          <w14:textFill>
            <w14:solidFill>
              <w14:schemeClr w14:val="tx1"/>
            </w14:solidFill>
          </w14:textFill>
        </w:rPr>
        <w:t>工程量为1080</w:t>
      </w:r>
      <w:r>
        <w:rPr>
          <w:color w:val="000000" w:themeColor="text1"/>
          <w:kern w:val="0"/>
          <w:sz w:val="28"/>
          <w:szCs w:val="28"/>
          <w14:textFill>
            <w14:solidFill>
              <w14:schemeClr w14:val="tx1"/>
            </w14:solidFill>
          </w14:textFill>
        </w:rPr>
        <w:t>m</w:t>
      </w:r>
      <w:r>
        <w:rPr>
          <w:rFonts w:hint="eastAsia"/>
          <w:color w:val="000000" w:themeColor="text1"/>
          <w:kern w:val="0"/>
          <w:sz w:val="28"/>
          <w:szCs w:val="28"/>
          <w:vertAlign w:val="superscript"/>
          <w:lang w:val="en-US" w:eastAsia="zh-CN"/>
          <w14:textFill>
            <w14:solidFill>
              <w14:schemeClr w14:val="tx1"/>
            </w14:solidFill>
          </w14:textFill>
        </w:rPr>
        <w:t>3</w:t>
      </w:r>
      <w:r>
        <w:rPr>
          <w:rFonts w:hint="eastAsia"/>
          <w:color w:val="000000" w:themeColor="text1"/>
          <w:kern w:val="0"/>
          <w:sz w:val="28"/>
          <w:szCs w:val="28"/>
          <w:vertAlign w:val="baseline"/>
          <w:lang w:eastAsia="zh-CN"/>
          <w14:textFill>
            <w14:solidFill>
              <w14:schemeClr w14:val="tx1"/>
            </w14:solidFill>
          </w14:textFill>
        </w:rPr>
        <w:t>。</w:t>
      </w:r>
    </w:p>
    <w:p w14:paraId="4344BF84">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2</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土地平整</w:t>
      </w:r>
    </w:p>
    <w:p w14:paraId="2B035D47">
      <w:pPr>
        <w:widowControl/>
        <w:spacing w:line="360" w:lineRule="auto"/>
        <w:ind w:firstLine="560" w:firstLineChars="200"/>
        <w:rPr>
          <w:rFonts w:hint="default" w:ascii="Times New Roman" w:hAnsi="Times New Roman" w:eastAsia="宋体" w:cs="Times New Roman"/>
          <w:color w:val="000000" w:themeColor="text1"/>
          <w:kern w:val="0"/>
          <w:sz w:val="28"/>
          <w:szCs w:val="28"/>
          <w:lang w:val="en-US" w:eastAsia="zh-CN"/>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场地</w:t>
      </w:r>
      <w:r>
        <w:rPr>
          <w:rFonts w:hint="eastAsia" w:cs="Times New Roman"/>
          <w:color w:val="000000" w:themeColor="text1"/>
          <w:sz w:val="28"/>
          <w:szCs w:val="28"/>
          <w:lang w:val="en-US" w:eastAsia="zh-CN"/>
          <w14:textFill>
            <w14:solidFill>
              <w14:schemeClr w14:val="tx1"/>
            </w14:solidFill>
          </w14:textFill>
        </w:rPr>
        <w:t>翻耕</w:t>
      </w:r>
      <w:r>
        <w:rPr>
          <w:rFonts w:hint="default" w:ascii="Times New Roman" w:hAnsi="Times New Roman" w:cs="Times New Roman"/>
          <w:color w:val="000000" w:themeColor="text1"/>
          <w:sz w:val="28"/>
          <w:szCs w:val="28"/>
          <w14:textFill>
            <w14:solidFill>
              <w14:schemeClr w14:val="tx1"/>
            </w14:solidFill>
          </w14:textFill>
        </w:rPr>
        <w:t>后开展平整工作，平整厚度0.</w:t>
      </w:r>
      <w:r>
        <w:rPr>
          <w:rFonts w:hint="eastAsia" w:cs="Times New Roman"/>
          <w:color w:val="000000" w:themeColor="text1"/>
          <w:sz w:val="28"/>
          <w:szCs w:val="28"/>
          <w:lang w:val="en-US" w:eastAsia="zh-CN"/>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m，平整面积</w:t>
      </w:r>
      <w:r>
        <w:rPr>
          <w:rFonts w:hint="eastAsia" w:cs="Times New Roman"/>
          <w:color w:val="000000" w:themeColor="text1"/>
          <w:sz w:val="28"/>
          <w:szCs w:val="28"/>
          <w:lang w:val="en-US" w:eastAsia="zh-CN"/>
          <w14:textFill>
            <w14:solidFill>
              <w14:schemeClr w14:val="tx1"/>
            </w14:solidFill>
          </w14:textFill>
        </w:rPr>
        <w:t>2160</w:t>
      </w:r>
      <w:r>
        <w:rPr>
          <w:rFonts w:hint="default" w:ascii="Times New Roman" w:hAnsi="Times New Roman" w:cs="Times New Roman"/>
          <w:color w:val="000000" w:themeColor="text1"/>
          <w:sz w:val="28"/>
          <w:szCs w:val="28"/>
          <w14:textFill>
            <w14:solidFill>
              <w14:schemeClr w14:val="tx1"/>
            </w14:solidFill>
          </w14:textFill>
        </w:rPr>
        <w:t>m</w:t>
      </w:r>
      <w:r>
        <w:rPr>
          <w:rFonts w:hint="eastAsia"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平整</w:t>
      </w:r>
      <w:r>
        <w:rPr>
          <w:rFonts w:hint="eastAsia" w:ascii="Times New Roman" w:hAnsi="Times New Roman" w:cs="Times New Roman"/>
          <w:color w:val="000000" w:themeColor="text1"/>
          <w:kern w:val="0"/>
          <w:sz w:val="28"/>
          <w:szCs w:val="28"/>
          <w:lang w:val="en-US" w:eastAsia="zh-CN"/>
          <w14:textFill>
            <w14:solidFill>
              <w14:schemeClr w14:val="tx1"/>
            </w14:solidFill>
          </w14:textFill>
        </w:rPr>
        <w:t>工作量为648</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w:t>
      </w:r>
    </w:p>
    <w:p w14:paraId="6F4FDB3A">
      <w:pPr>
        <w:widowControl/>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cs="Times New Roman"/>
          <w:color w:val="000000" w:themeColor="text1"/>
          <w:sz w:val="28"/>
          <w:szCs w:val="28"/>
          <w:lang w:val="en-US" w:eastAsia="zh-CN"/>
          <w14:textFill>
            <w14:solidFill>
              <w14:schemeClr w14:val="tx1"/>
            </w14:solidFill>
          </w14:textFill>
        </w:rPr>
        <w:t>4、</w:t>
      </w:r>
      <w:r>
        <w:rPr>
          <w:rFonts w:hint="default" w:ascii="Times New Roman" w:hAnsi="Times New Roman" w:eastAsia="宋体" w:cs="Times New Roman"/>
          <w:color w:val="000000" w:themeColor="text1"/>
          <w:sz w:val="28"/>
          <w:szCs w:val="28"/>
          <w14:textFill>
            <w14:solidFill>
              <w14:schemeClr w14:val="tx1"/>
            </w14:solidFill>
          </w14:textFill>
        </w:rPr>
        <w:t>植被重建工程</w:t>
      </w:r>
    </w:p>
    <w:p w14:paraId="4D3B4F26">
      <w:pPr>
        <w:spacing w:line="360" w:lineRule="auto"/>
        <w:ind w:firstLine="560" w:firstLineChars="200"/>
        <w:rPr>
          <w:rFonts w:hint="eastAsia" w:ascii="Times New Roman" w:hAnsi="Times New Roman" w:eastAsia="宋体" w:cs="Times New Roman"/>
          <w:color w:val="000000" w:themeColor="text1"/>
          <w:kern w:val="0"/>
          <w:sz w:val="28"/>
          <w:szCs w:val="28"/>
          <w:lang w:eastAsia="zh-CN"/>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栽植乔木</w:t>
      </w:r>
    </w:p>
    <w:p w14:paraId="454F16AD">
      <w:pPr>
        <w:spacing w:line="360" w:lineRule="auto"/>
        <w:ind w:firstLine="560" w:firstLineChars="200"/>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乔木苗木要求二年生，裸根，穴播，穴行距3m×3m，坑口反向倾斜，以便蓄水保土，穴规格为50cm×50cm×50cm，</w:t>
      </w:r>
      <w:r>
        <w:rPr>
          <w:rFonts w:hint="eastAsia" w:cs="Times New Roman"/>
          <w:color w:val="000000" w:themeColor="text1"/>
          <w:sz w:val="28"/>
          <w:szCs w:val="28"/>
          <w:lang w:val="en-US" w:eastAsia="zh-CN"/>
          <w14:textFill>
            <w14:solidFill>
              <w14:schemeClr w14:val="tx1"/>
            </w14:solidFill>
          </w14:textFill>
        </w:rPr>
        <w:t>栽种面积3353</w:t>
      </w:r>
      <w:r>
        <w:rPr>
          <w:rFonts w:hint="default" w:ascii="Times New Roman" w:hAnsi="Times New Roman" w:cs="Times New Roman"/>
          <w:color w:val="000000" w:themeColor="text1"/>
          <w:sz w:val="28"/>
          <w:szCs w:val="28"/>
          <w14:textFill>
            <w14:solidFill>
              <w14:schemeClr w14:val="tx1"/>
            </w14:solidFill>
          </w14:textFill>
        </w:rPr>
        <w:t>m</w:t>
      </w:r>
      <w:r>
        <w:rPr>
          <w:rFonts w:hint="eastAsia"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。种树</w:t>
      </w:r>
      <w:r>
        <w:rPr>
          <w:rFonts w:hint="eastAsia" w:cs="Times New Roman"/>
          <w:color w:val="000000" w:themeColor="text1"/>
          <w:sz w:val="28"/>
          <w:szCs w:val="28"/>
          <w:lang w:val="en-US" w:eastAsia="zh-CN"/>
          <w14:textFill>
            <w14:solidFill>
              <w14:schemeClr w14:val="tx1"/>
            </w14:solidFill>
          </w14:textFill>
        </w:rPr>
        <w:t>373</w:t>
      </w:r>
      <w:r>
        <w:rPr>
          <w:rFonts w:hint="default" w:ascii="Times New Roman" w:hAnsi="Times New Roman" w:cs="Times New Roman"/>
          <w:color w:val="000000" w:themeColor="text1"/>
          <w:sz w:val="28"/>
          <w:szCs w:val="28"/>
          <w14:textFill>
            <w14:solidFill>
              <w14:schemeClr w14:val="tx1"/>
            </w14:solidFill>
          </w14:textFill>
        </w:rPr>
        <w:t>株。</w:t>
      </w:r>
      <w:r>
        <w:rPr>
          <w:rFonts w:hint="eastAsia" w:cs="Times New Roman"/>
          <w:color w:val="000000" w:themeColor="text1"/>
          <w:sz w:val="28"/>
          <w:szCs w:val="28"/>
          <w:lang w:val="en-US" w:eastAsia="zh-CN"/>
          <w14:textFill>
            <w14:solidFill>
              <w14:schemeClr w14:val="tx1"/>
            </w14:solidFill>
          </w14:textFill>
        </w:rPr>
        <w:t>树种选择油松（备选杨树）。</w:t>
      </w:r>
    </w:p>
    <w:p w14:paraId="4E6A8188">
      <w:pPr>
        <w:rPr>
          <w:rFonts w:hint="default" w:ascii="Times New Roman" w:hAnsi="Times New Roman" w:cs="Times New Roman"/>
          <w:color w:val="000000" w:themeColor="text1"/>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br w:type="page"/>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2</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撒播草籽</w:t>
      </w:r>
    </w:p>
    <w:p w14:paraId="33973FA6">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草种撒播，增加地表植被的覆盖度，草种为</w:t>
      </w:r>
      <w:r>
        <w:rPr>
          <w:rFonts w:hint="eastAsia" w:cs="Times New Roman"/>
          <w:color w:val="000000" w:themeColor="text1"/>
          <w:sz w:val="28"/>
          <w:szCs w:val="28"/>
          <w:lang w:val="en-US" w:eastAsia="zh-CN"/>
          <w14:textFill>
            <w14:solidFill>
              <w14:schemeClr w14:val="tx1"/>
            </w14:solidFill>
          </w14:textFill>
        </w:rPr>
        <w:t>各种草籽混合撒播</w:t>
      </w:r>
      <w:r>
        <w:rPr>
          <w:rFonts w:hint="default" w:ascii="Times New Roman" w:hAnsi="Times New Roman" w:cs="Times New Roman"/>
          <w:color w:val="000000" w:themeColor="text1"/>
          <w:sz w:val="28"/>
          <w:szCs w:val="28"/>
          <w14:textFill>
            <w14:solidFill>
              <w14:schemeClr w14:val="tx1"/>
            </w14:solidFill>
          </w14:textFill>
        </w:rPr>
        <w:t>，撒播面积</w:t>
      </w:r>
      <w:r>
        <w:rPr>
          <w:rFonts w:hint="eastAsia" w:cs="Times New Roman"/>
          <w:color w:val="000000" w:themeColor="text1"/>
          <w:sz w:val="28"/>
          <w:szCs w:val="28"/>
          <w:lang w:val="en-US" w:eastAsia="zh-CN"/>
          <w14:textFill>
            <w14:solidFill>
              <w14:schemeClr w14:val="tx1"/>
            </w14:solidFill>
          </w14:textFill>
        </w:rPr>
        <w:t>1.9814h</w:t>
      </w:r>
      <w:r>
        <w:rPr>
          <w:rFonts w:hint="default" w:ascii="Times New Roman" w:hAnsi="Times New Roman" w:cs="Times New Roman"/>
          <w:color w:val="000000" w:themeColor="text1"/>
          <w:sz w:val="28"/>
          <w:szCs w:val="28"/>
          <w14:textFill>
            <w14:solidFill>
              <w14:schemeClr w14:val="tx1"/>
            </w14:solidFill>
          </w14:textFill>
        </w:rPr>
        <w:t>m</w:t>
      </w:r>
      <w:r>
        <w:rPr>
          <w:rFonts w:hint="eastAsia"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p>
    <w:p w14:paraId="4B0AED8E">
      <w:pPr>
        <w:jc w:val="center"/>
        <w:rPr>
          <w:rFonts w:hint="eastAsia" w:ascii="宋体" w:hAnsi="宋体" w:eastAsia="宋体" w:cs="宋体"/>
          <w:b/>
          <w:bCs/>
          <w:color w:val="000000" w:themeColor="text1"/>
          <w:sz w:val="28"/>
          <w:szCs w:val="28"/>
          <w:lang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w:t>
      </w:r>
    </w:p>
    <w:p w14:paraId="4033F3A1">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outlineLvl w:val="3"/>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w:t>
      </w:r>
      <w:r>
        <w:rPr>
          <w:rFonts w:hint="eastAsia" w:ascii="Times New Roman" w:hAnsi="Times New Roman" w:cs="Times New Roman"/>
          <w:b/>
          <w:bCs/>
          <w:color w:val="000000" w:themeColor="text1"/>
          <w:sz w:val="28"/>
          <w:szCs w:val="28"/>
          <w:lang w:val="en-US" w:eastAsia="zh-CN"/>
          <w14:textFill>
            <w14:solidFill>
              <w14:schemeClr w14:val="tx1"/>
            </w14:solidFill>
          </w14:textFill>
        </w:rPr>
        <w:t>三</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w:t>
      </w:r>
      <w:r>
        <w:rPr>
          <w:rFonts w:hint="eastAsia" w:cs="Times New Roman"/>
          <w:b/>
          <w:bCs/>
          <w:color w:val="000000" w:themeColor="text1"/>
          <w:sz w:val="28"/>
          <w:szCs w:val="28"/>
          <w:lang w:val="en-US" w:eastAsia="zh-CN"/>
          <w14:textFill>
            <w14:solidFill>
              <w14:schemeClr w14:val="tx1"/>
            </w14:solidFill>
          </w14:textFill>
        </w:rPr>
        <w:t>露天采场2</w:t>
      </w:r>
    </w:p>
    <w:p w14:paraId="23DCFE04">
      <w:pPr>
        <w:widowControl/>
        <w:spacing w:line="360" w:lineRule="auto"/>
        <w:ind w:firstLine="560" w:firstLineChars="200"/>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pPr>
      <w:r>
        <w:rPr>
          <w:rFonts w:hint="eastAsia" w:ascii="Times New Roman" w:hAnsi="Times New Roman" w:cs="Times New Roman"/>
          <w:color w:val="000000" w:themeColor="text1"/>
          <w:sz w:val="28"/>
          <w:szCs w:val="28"/>
          <w:highlight w:val="none"/>
          <w:lang w:val="en-US" w:eastAsia="zh-CN"/>
          <w14:textFill>
            <w14:solidFill>
              <w14:schemeClr w14:val="tx1"/>
            </w14:solidFill>
          </w14:textFill>
        </w:rPr>
        <w:t>1、地貌重塑工程</w:t>
      </w:r>
    </w:p>
    <w:p w14:paraId="50F94452">
      <w:pPr>
        <w:widowControl/>
        <w:spacing w:line="360" w:lineRule="auto"/>
        <w:ind w:firstLine="560" w:firstLineChars="200"/>
        <w:rPr>
          <w:rFonts w:hint="default" w:ascii="Times New Roman" w:hAnsi="Times New Roman" w:cs="Times New Roman"/>
          <w:color w:val="000000" w:themeColor="text1"/>
          <w:sz w:val="28"/>
          <w:szCs w:val="28"/>
          <w:highlight w:val="none"/>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highlight w:val="none"/>
          <w14:textFill>
            <w14:solidFill>
              <w14:schemeClr w14:val="tx1"/>
            </w14:solidFill>
          </w14:textFill>
        </w:rPr>
        <w:t>回填</w:t>
      </w:r>
    </w:p>
    <w:p w14:paraId="08A0C7D0">
      <w:pPr>
        <w:kinsoku/>
        <w:wordWrap/>
        <w:overflowPunct w:val="0"/>
        <w:topLinePunct/>
        <w:bidi w:val="0"/>
        <w:spacing w:before="29" w:line="348" w:lineRule="auto"/>
        <w:ind w:right="162" w:firstLine="560" w:firstLineChars="200"/>
        <w:rPr>
          <w:rFonts w:hint="default" w:ascii="Times New Roman" w:hAnsi="Times New Roman" w:eastAsia="宋体" w:cs="Times New Roman"/>
          <w:color w:val="000000" w:themeColor="text1"/>
          <w:sz w:val="28"/>
          <w:szCs w:val="28"/>
          <w:highlight w:val="none"/>
          <w14:textFill>
            <w14:solidFill>
              <w14:schemeClr w14:val="tx1"/>
            </w14:solidFill>
          </w14:textFill>
        </w:rPr>
      </w:pPr>
      <w:r>
        <w:rPr>
          <w:rFonts w:hint="eastAsia" w:ascii="Times New Roman" w:hAnsi="Times New Roman" w:cs="Times New Roman"/>
          <w:color w:val="000000" w:themeColor="text1"/>
          <w:sz w:val="28"/>
          <w:szCs w:val="28"/>
          <w:highlight w:val="none"/>
          <w:lang w:val="en-US" w:eastAsia="zh-CN"/>
          <w14:textFill>
            <w14:solidFill>
              <w14:schemeClr w14:val="tx1"/>
            </w14:solidFill>
          </w14:textFill>
        </w:rPr>
        <w:t>近三年利用剥离的表土对露天采场2</w:t>
      </w:r>
      <w:r>
        <w:rPr>
          <w:rFonts w:hint="eastAsia" w:cs="Times New Roman"/>
          <w:color w:val="000000" w:themeColor="text1"/>
          <w:sz w:val="28"/>
          <w:szCs w:val="28"/>
          <w:highlight w:val="none"/>
          <w:lang w:val="en-US" w:eastAsia="zh-CN"/>
          <w14:textFill>
            <w14:solidFill>
              <w14:schemeClr w14:val="tx1"/>
            </w14:solidFill>
          </w14:textFill>
        </w:rPr>
        <w:t>（界外区域）</w:t>
      </w:r>
      <w:r>
        <w:rPr>
          <w:rFonts w:hint="eastAsia" w:ascii="Times New Roman" w:hAnsi="Times New Roman" w:cs="Times New Roman"/>
          <w:color w:val="000000" w:themeColor="text1"/>
          <w:sz w:val="28"/>
          <w:szCs w:val="28"/>
          <w:highlight w:val="none"/>
          <w:lang w:val="en-US" w:eastAsia="zh-CN"/>
          <w14:textFill>
            <w14:solidFill>
              <w14:schemeClr w14:val="tx1"/>
            </w14:solidFill>
          </w14:textFill>
        </w:rPr>
        <w:t>进行回填</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，回填工程量为</w:t>
      </w:r>
      <w:r>
        <w:rPr>
          <w:rFonts w:hint="eastAsia" w:ascii="Times New Roman" w:hAnsi="Times New Roman" w:cs="Times New Roman"/>
          <w:color w:val="000000" w:themeColor="text1"/>
          <w:sz w:val="28"/>
          <w:szCs w:val="28"/>
          <w:highlight w:val="none"/>
          <w:lang w:val="en-US" w:eastAsia="zh-CN"/>
          <w14:textFill>
            <w14:solidFill>
              <w14:schemeClr w14:val="tx1"/>
            </w14:solidFill>
          </w14:textFill>
        </w:rPr>
        <w:t>125</w:t>
      </w:r>
      <w:r>
        <w:rPr>
          <w:rFonts w:hint="eastAsia" w:ascii="Times New Roman" w:hAnsi="Times New Roman" w:eastAsia="宋体" w:cs="Times New Roman"/>
          <w:color w:val="000000" w:themeColor="text1"/>
          <w:kern w:val="0"/>
          <w:sz w:val="28"/>
          <w:szCs w:val="28"/>
          <w:highlight w:val="none"/>
          <w:lang w:eastAsia="zh-CN"/>
          <w14:textFill>
            <w14:solidFill>
              <w14:schemeClr w14:val="tx1"/>
            </w14:solidFill>
          </w14:textFill>
        </w:rPr>
        <w:t>m</w:t>
      </w:r>
      <w:r>
        <w:rPr>
          <w:rFonts w:hint="eastAsia" w:ascii="Times New Roman" w:hAnsi="Times New Roman" w:eastAsia="宋体" w:cs="Times New Roman"/>
          <w:color w:val="000000" w:themeColor="text1"/>
          <w:kern w:val="0"/>
          <w:sz w:val="28"/>
          <w:szCs w:val="28"/>
          <w:highlight w:val="none"/>
          <w:vertAlign w:val="superscript"/>
          <w:lang w:eastAsia="zh-CN"/>
          <w14:textFill>
            <w14:solidFill>
              <w14:schemeClr w14:val="tx1"/>
            </w14:solidFill>
          </w14:textFill>
        </w:rPr>
        <w:t>3</w:t>
      </w:r>
      <w:r>
        <w:rPr>
          <w:rFonts w:hint="default" w:ascii="Times New Roman" w:hAnsi="Times New Roman" w:eastAsia="宋体" w:cs="Times New Roman"/>
          <w:color w:val="000000" w:themeColor="text1"/>
          <w:sz w:val="28"/>
          <w:szCs w:val="28"/>
          <w:highlight w:val="none"/>
          <w14:textFill>
            <w14:solidFill>
              <w14:schemeClr w14:val="tx1"/>
            </w14:solidFill>
          </w14:textFill>
        </w:rPr>
        <w:t>。</w:t>
      </w:r>
    </w:p>
    <w:p w14:paraId="6AB16728">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sz w:val="28"/>
          <w:szCs w:val="28"/>
          <w:lang w:val="en-US" w:eastAsia="zh-CN"/>
          <w14:textFill>
            <w14:solidFill>
              <w14:schemeClr w14:val="tx1"/>
            </w14:solidFill>
          </w14:textFill>
        </w:rPr>
        <w:t>2、</w:t>
      </w:r>
      <w:r>
        <w:rPr>
          <w:rFonts w:hint="default" w:ascii="Times New Roman" w:hAnsi="Times New Roman" w:cs="Times New Roman"/>
          <w:color w:val="000000" w:themeColor="text1"/>
          <w:kern w:val="0"/>
          <w:sz w:val="28"/>
          <w:szCs w:val="28"/>
          <w14:textFill>
            <w14:solidFill>
              <w14:schemeClr w14:val="tx1"/>
            </w14:solidFill>
          </w14:textFill>
        </w:rPr>
        <w:t>土壤重构工程</w:t>
      </w:r>
    </w:p>
    <w:p w14:paraId="285A15B2">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土地平整</w:t>
      </w:r>
    </w:p>
    <w:p w14:paraId="11D53572">
      <w:pPr>
        <w:widowControl/>
        <w:spacing w:line="360" w:lineRule="auto"/>
        <w:ind w:firstLine="560" w:firstLineChars="200"/>
        <w:rPr>
          <w:rFonts w:hint="default" w:ascii="Times New Roman" w:hAnsi="Times New Roman" w:eastAsia="宋体" w:cs="Times New Roman"/>
          <w:color w:val="000000" w:themeColor="text1"/>
          <w:kern w:val="0"/>
          <w:sz w:val="28"/>
          <w:szCs w:val="28"/>
          <w:lang w:val="en-US" w:eastAsia="zh-CN"/>
          <w14:textFill>
            <w14:solidFill>
              <w14:schemeClr w14:val="tx1"/>
            </w14:solidFill>
          </w14:textFill>
        </w:rPr>
      </w:pPr>
      <w:r>
        <w:rPr>
          <w:rFonts w:hint="eastAsia" w:ascii="Times New Roman" w:hAnsi="Times New Roman" w:cs="Times New Roman"/>
          <w:color w:val="000000" w:themeColor="text1"/>
          <w:sz w:val="28"/>
          <w:szCs w:val="28"/>
          <w:highlight w:val="none"/>
          <w:lang w:val="en-US" w:eastAsia="zh-CN"/>
          <w14:textFill>
            <w14:solidFill>
              <w14:schemeClr w14:val="tx1"/>
            </w14:solidFill>
          </w14:textFill>
        </w:rPr>
        <w:t>对回填后的露天采场2</w:t>
      </w:r>
      <w:r>
        <w:rPr>
          <w:rFonts w:hint="default" w:ascii="Times New Roman" w:hAnsi="Times New Roman" w:cs="Times New Roman"/>
          <w:color w:val="000000" w:themeColor="text1"/>
          <w:sz w:val="28"/>
          <w:szCs w:val="28"/>
          <w14:textFill>
            <w14:solidFill>
              <w14:schemeClr w14:val="tx1"/>
            </w14:solidFill>
          </w14:textFill>
        </w:rPr>
        <w:t>开展平整工作，平整厚度0.</w:t>
      </w:r>
      <w:r>
        <w:rPr>
          <w:rFonts w:hint="eastAsia" w:cs="Times New Roman"/>
          <w:color w:val="000000" w:themeColor="text1"/>
          <w:sz w:val="28"/>
          <w:szCs w:val="28"/>
          <w:lang w:val="en-US" w:eastAsia="zh-CN"/>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m，平整面积</w:t>
      </w:r>
      <w:r>
        <w:rPr>
          <w:rFonts w:hint="eastAsia" w:cs="Times New Roman"/>
          <w:color w:val="000000" w:themeColor="text1"/>
          <w:sz w:val="28"/>
          <w:szCs w:val="28"/>
          <w:lang w:val="en-US" w:eastAsia="zh-CN"/>
          <w14:textFill>
            <w14:solidFill>
              <w14:schemeClr w14:val="tx1"/>
            </w14:solidFill>
          </w14:textFill>
        </w:rPr>
        <w:t>756</w:t>
      </w:r>
      <w:r>
        <w:rPr>
          <w:rFonts w:hint="default" w:ascii="Times New Roman" w:hAnsi="Times New Roman" w:cs="Times New Roman"/>
          <w:color w:val="000000" w:themeColor="text1"/>
          <w:sz w:val="28"/>
          <w:szCs w:val="28"/>
          <w14:textFill>
            <w14:solidFill>
              <w14:schemeClr w14:val="tx1"/>
            </w14:solidFill>
          </w14:textFill>
        </w:rPr>
        <w:t>m</w:t>
      </w:r>
      <w:r>
        <w:rPr>
          <w:rFonts w:hint="eastAsia"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平整</w:t>
      </w:r>
      <w:r>
        <w:rPr>
          <w:rFonts w:hint="eastAsia" w:ascii="Times New Roman" w:hAnsi="Times New Roman" w:cs="Times New Roman"/>
          <w:color w:val="000000" w:themeColor="text1"/>
          <w:kern w:val="0"/>
          <w:sz w:val="28"/>
          <w:szCs w:val="28"/>
          <w:lang w:val="en-US" w:eastAsia="zh-CN"/>
          <w14:textFill>
            <w14:solidFill>
              <w14:schemeClr w14:val="tx1"/>
            </w14:solidFill>
          </w14:textFill>
        </w:rPr>
        <w:t>工作量为227</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w:t>
      </w:r>
    </w:p>
    <w:p w14:paraId="60C2FBA0">
      <w:pPr>
        <w:widowControl/>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cs="Times New Roman"/>
          <w:color w:val="000000" w:themeColor="text1"/>
          <w:sz w:val="28"/>
          <w:szCs w:val="28"/>
          <w:lang w:val="en-US" w:eastAsia="zh-CN"/>
          <w14:textFill>
            <w14:solidFill>
              <w14:schemeClr w14:val="tx1"/>
            </w14:solidFill>
          </w14:textFill>
        </w:rPr>
        <w:t>3、</w:t>
      </w:r>
      <w:r>
        <w:rPr>
          <w:rFonts w:hint="default" w:ascii="Times New Roman" w:hAnsi="Times New Roman" w:eastAsia="宋体" w:cs="Times New Roman"/>
          <w:color w:val="000000" w:themeColor="text1"/>
          <w:sz w:val="28"/>
          <w:szCs w:val="28"/>
          <w14:textFill>
            <w14:solidFill>
              <w14:schemeClr w14:val="tx1"/>
            </w14:solidFill>
          </w14:textFill>
        </w:rPr>
        <w:t>植被重建工程</w:t>
      </w:r>
    </w:p>
    <w:p w14:paraId="46C9B262">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撒播草籽</w:t>
      </w:r>
    </w:p>
    <w:p w14:paraId="6583E86C">
      <w:pPr>
        <w:widowControl/>
        <w:spacing w:line="360" w:lineRule="auto"/>
        <w:ind w:firstLine="560" w:firstLineChars="200"/>
        <w:rPr>
          <w:rFonts w:hint="eastAsia" w:cs="Times New Roman"/>
          <w:b/>
          <w:bCs/>
          <w:color w:val="000000" w:themeColor="text1"/>
          <w:kern w:val="0"/>
          <w:sz w:val="28"/>
          <w:szCs w:val="28"/>
          <w:lang w:eastAsia="zh-CN"/>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草种撒播，增加地表植被的覆盖度，草种为</w:t>
      </w:r>
      <w:r>
        <w:rPr>
          <w:rFonts w:hint="eastAsia" w:cs="Times New Roman"/>
          <w:color w:val="000000" w:themeColor="text1"/>
          <w:sz w:val="28"/>
          <w:szCs w:val="28"/>
          <w:lang w:val="en-US" w:eastAsia="zh-CN"/>
          <w14:textFill>
            <w14:solidFill>
              <w14:schemeClr w14:val="tx1"/>
            </w14:solidFill>
          </w14:textFill>
        </w:rPr>
        <w:t>各种草籽混合撒播</w:t>
      </w:r>
      <w:r>
        <w:rPr>
          <w:rFonts w:hint="default" w:ascii="Times New Roman" w:hAnsi="Times New Roman" w:cs="Times New Roman"/>
          <w:color w:val="000000" w:themeColor="text1"/>
          <w:sz w:val="28"/>
          <w:szCs w:val="28"/>
          <w14:textFill>
            <w14:solidFill>
              <w14:schemeClr w14:val="tx1"/>
            </w14:solidFill>
          </w14:textFill>
        </w:rPr>
        <w:t>，撒播面积</w:t>
      </w:r>
      <w:r>
        <w:rPr>
          <w:rFonts w:hint="eastAsia" w:cs="Times New Roman"/>
          <w:color w:val="000000" w:themeColor="text1"/>
          <w:sz w:val="28"/>
          <w:szCs w:val="28"/>
          <w:lang w:val="en-US" w:eastAsia="zh-CN"/>
          <w14:textFill>
            <w14:solidFill>
              <w14:schemeClr w14:val="tx1"/>
            </w14:solidFill>
          </w14:textFill>
        </w:rPr>
        <w:t>0.0756h</w:t>
      </w:r>
      <w:r>
        <w:rPr>
          <w:rFonts w:hint="default" w:ascii="Times New Roman" w:hAnsi="Times New Roman" w:cs="Times New Roman"/>
          <w:color w:val="000000" w:themeColor="text1"/>
          <w:sz w:val="28"/>
          <w:szCs w:val="28"/>
          <w14:textFill>
            <w14:solidFill>
              <w14:schemeClr w14:val="tx1"/>
            </w14:solidFill>
          </w14:textFill>
        </w:rPr>
        <w:t>m</w:t>
      </w:r>
      <w:r>
        <w:rPr>
          <w:rFonts w:hint="eastAsia"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p>
    <w:p w14:paraId="3B409C41">
      <w:pPr>
        <w:widowControl/>
        <w:spacing w:line="240" w:lineRule="auto"/>
        <w:jc w:val="center"/>
        <w:rPr>
          <w:rFonts w:hint="eastAsia" w:eastAsia="宋体" w:cs="Times New Roman"/>
          <w:b/>
          <w:bCs/>
          <w:color w:val="000000" w:themeColor="text1"/>
          <w:kern w:val="0"/>
          <w:sz w:val="24"/>
          <w:szCs w:val="24"/>
          <w:lang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w:t>
      </w:r>
    </w:p>
    <w:p w14:paraId="163755D4">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outlineLvl w:val="3"/>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r>
        <w:rPr>
          <w:rFonts w:hint="eastAsia" w:cs="Times New Roman"/>
          <w:b/>
          <w:bCs/>
          <w:color w:val="000000" w:themeColor="text1"/>
          <w:sz w:val="28"/>
          <w:szCs w:val="28"/>
          <w:lang w:val="en-US" w:eastAsia="zh-CN"/>
          <w14:textFill>
            <w14:solidFill>
              <w14:schemeClr w14:val="tx1"/>
            </w14:solidFill>
          </w14:textFill>
        </w:rPr>
        <w:t>四）拟建储水池</w:t>
      </w:r>
    </w:p>
    <w:p w14:paraId="2C3C7399">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default" w:ascii="Times New Roman" w:hAnsi="Times New Roman" w:cs="Times New Roman"/>
          <w:color w:val="000000" w:themeColor="text1"/>
          <w:kern w:val="0"/>
          <w:sz w:val="28"/>
          <w:szCs w:val="28"/>
          <w14:textFill>
            <w14:solidFill>
              <w14:schemeClr w14:val="tx1"/>
            </w14:solidFill>
          </w14:textFill>
        </w:rPr>
        <w:t>地貌重塑工程</w:t>
      </w:r>
    </w:p>
    <w:p w14:paraId="47BEAC30">
      <w:pPr>
        <w:spacing w:line="360" w:lineRule="auto"/>
        <w:ind w:firstLine="560" w:firstLineChars="200"/>
        <w:jc w:val="left"/>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拆除</w:t>
      </w:r>
    </w:p>
    <w:p w14:paraId="7C0A0B25">
      <w:pPr>
        <w:spacing w:line="360" w:lineRule="auto"/>
        <w:ind w:firstLine="544" w:firstLineChars="200"/>
        <w:jc w:val="left"/>
        <w:rPr>
          <w:rFonts w:hint="default" w:ascii="Times New Roman" w:hAnsi="Times New Roman" w:cs="Times New Roman"/>
          <w:color w:val="000000" w:themeColor="text1"/>
          <w:spacing w:val="-4"/>
          <w:sz w:val="28"/>
          <w:szCs w:val="28"/>
          <w14:textFill>
            <w14:solidFill>
              <w14:schemeClr w14:val="tx1"/>
            </w14:solidFill>
          </w14:textFill>
        </w:rPr>
      </w:pPr>
      <w:r>
        <w:rPr>
          <w:rFonts w:hint="default" w:ascii="Times New Roman" w:hAnsi="Times New Roman" w:cs="Times New Roman"/>
          <w:color w:val="000000" w:themeColor="text1"/>
          <w:spacing w:val="-4"/>
          <w:sz w:val="28"/>
          <w:szCs w:val="28"/>
          <w14:textFill>
            <w14:solidFill>
              <w14:schemeClr w14:val="tx1"/>
            </w14:solidFill>
          </w14:textFill>
        </w:rPr>
        <w:t>对场地内建筑</w:t>
      </w:r>
      <w:r>
        <w:rPr>
          <w:rFonts w:hint="eastAsia" w:cs="Times New Roman"/>
          <w:color w:val="000000" w:themeColor="text1"/>
          <w:spacing w:val="-4"/>
          <w:sz w:val="28"/>
          <w:szCs w:val="28"/>
          <w:lang w:val="en-US" w:eastAsia="zh-CN"/>
          <w14:textFill>
            <w14:solidFill>
              <w14:schemeClr w14:val="tx1"/>
            </w14:solidFill>
          </w14:textFill>
        </w:rPr>
        <w:t>设施及地基</w:t>
      </w:r>
      <w:r>
        <w:rPr>
          <w:rFonts w:hint="default" w:ascii="Times New Roman" w:hAnsi="Times New Roman" w:cs="Times New Roman"/>
          <w:color w:val="000000" w:themeColor="text1"/>
          <w:spacing w:val="-4"/>
          <w:sz w:val="28"/>
          <w:szCs w:val="28"/>
          <w14:textFill>
            <w14:solidFill>
              <w14:schemeClr w14:val="tx1"/>
            </w14:solidFill>
          </w14:textFill>
        </w:rPr>
        <w:t>进行拆除，</w:t>
      </w:r>
      <w:r>
        <w:rPr>
          <w:rFonts w:hint="default" w:ascii="Times New Roman" w:hAnsi="Times New Roman" w:cs="Times New Roman"/>
          <w:color w:val="000000" w:themeColor="text1"/>
          <w:sz w:val="28"/>
          <w:szCs w:val="28"/>
          <w14:textFill>
            <w14:solidFill>
              <w14:schemeClr w14:val="tx1"/>
            </w14:solidFill>
          </w14:textFill>
        </w:rPr>
        <w:t>拆除</w:t>
      </w:r>
      <w:r>
        <w:rPr>
          <w:rFonts w:hint="eastAsia" w:cs="Times New Roman"/>
          <w:color w:val="000000" w:themeColor="text1"/>
          <w:sz w:val="28"/>
          <w:szCs w:val="28"/>
          <w:lang w:val="en-US" w:eastAsia="zh-CN"/>
          <w14:textFill>
            <w14:solidFill>
              <w14:schemeClr w14:val="tx1"/>
            </w14:solidFill>
          </w14:textFill>
        </w:rPr>
        <w:t>容积210</w:t>
      </w:r>
      <w:r>
        <w:rPr>
          <w:rFonts w:hint="default" w:ascii="Times New Roman" w:hAnsi="Times New Roman" w:cs="Times New Roman"/>
          <w:color w:val="000000" w:themeColor="text1"/>
          <w:spacing w:val="-4"/>
          <w:sz w:val="28"/>
          <w:szCs w:val="28"/>
          <w14:textFill>
            <w14:solidFill>
              <w14:schemeClr w14:val="tx1"/>
            </w14:solidFill>
          </w14:textFill>
        </w:rPr>
        <w:t>m</w:t>
      </w:r>
      <w:r>
        <w:rPr>
          <w:rFonts w:hint="default" w:ascii="Times New Roman" w:hAnsi="Times New Roman" w:cs="Times New Roman"/>
          <w:color w:val="000000" w:themeColor="text1"/>
          <w:spacing w:val="-4"/>
          <w:sz w:val="28"/>
          <w:szCs w:val="28"/>
          <w:vertAlign w:val="superscript"/>
          <w14:textFill>
            <w14:solidFill>
              <w14:schemeClr w14:val="tx1"/>
            </w14:solidFill>
          </w14:textFill>
        </w:rPr>
        <w:t>3</w:t>
      </w:r>
      <w:r>
        <w:rPr>
          <w:rFonts w:hint="default" w:ascii="Times New Roman" w:hAnsi="Times New Roman" w:cs="Times New Roman"/>
          <w:color w:val="000000" w:themeColor="text1"/>
          <w:spacing w:val="-4"/>
          <w:sz w:val="28"/>
          <w:szCs w:val="28"/>
          <w14:textFill>
            <w14:solidFill>
              <w14:schemeClr w14:val="tx1"/>
            </w14:solidFill>
          </w14:textFill>
        </w:rPr>
        <w:t>。</w:t>
      </w:r>
      <w:r>
        <w:rPr>
          <w:rFonts w:hint="eastAsia" w:ascii="Times New Roman" w:hAnsi="Times New Roman" w:cs="Times New Roman"/>
          <w:color w:val="000000" w:themeColor="text1"/>
          <w:spacing w:val="-4"/>
          <w:sz w:val="28"/>
          <w:szCs w:val="28"/>
          <w:lang w:val="en-US" w:eastAsia="zh-CN"/>
          <w14:textFill>
            <w14:solidFill>
              <w14:schemeClr w14:val="tx1"/>
            </w14:solidFill>
          </w14:textFill>
        </w:rPr>
        <w:t>拆除</w:t>
      </w:r>
      <w:r>
        <w:rPr>
          <w:rFonts w:hint="default" w:ascii="Times New Roman" w:hAnsi="Times New Roman" w:cs="Times New Roman"/>
          <w:color w:val="000000" w:themeColor="text1"/>
          <w:sz w:val="28"/>
          <w:szCs w:val="28"/>
          <w14:textFill>
            <w14:solidFill>
              <w14:schemeClr w14:val="tx1"/>
            </w14:solidFill>
          </w14:textFill>
        </w:rPr>
        <w:t>量按容积的20%计，则工程量为</w:t>
      </w:r>
      <w:r>
        <w:rPr>
          <w:rFonts w:hint="eastAsia" w:cs="Times New Roman"/>
          <w:color w:val="000000" w:themeColor="text1"/>
          <w:sz w:val="28"/>
          <w:szCs w:val="28"/>
          <w:lang w:val="en-US" w:eastAsia="zh-CN"/>
          <w14:textFill>
            <w14:solidFill>
              <w14:schemeClr w14:val="tx1"/>
            </w14:solidFill>
          </w14:textFill>
        </w:rPr>
        <w:t>210</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r>
        <w:rPr>
          <w:rFonts w:hint="default" w:ascii="Times New Roman" w:hAnsi="Times New Roman" w:cs="Times New Roman"/>
          <w:color w:val="000000" w:themeColor="text1"/>
          <w:spacing w:val="-4"/>
          <w:sz w:val="28"/>
          <w:szCs w:val="28"/>
          <w14:textFill>
            <w14:solidFill>
              <w14:schemeClr w14:val="tx1"/>
            </w14:solidFill>
          </w14:textFill>
        </w:rPr>
        <w:t>20%=</w:t>
      </w:r>
      <w:r>
        <w:rPr>
          <w:rFonts w:hint="eastAsia" w:cs="Times New Roman"/>
          <w:color w:val="000000" w:themeColor="text1"/>
          <w:spacing w:val="-4"/>
          <w:sz w:val="28"/>
          <w:szCs w:val="28"/>
          <w:lang w:val="en-US" w:eastAsia="zh-CN"/>
          <w14:textFill>
            <w14:solidFill>
              <w14:schemeClr w14:val="tx1"/>
            </w14:solidFill>
          </w14:textFill>
        </w:rPr>
        <w:t>42</w:t>
      </w:r>
      <w:r>
        <w:rPr>
          <w:rFonts w:hint="default" w:ascii="Times New Roman" w:hAnsi="Times New Roman" w:cs="Times New Roman"/>
          <w:color w:val="000000" w:themeColor="text1"/>
          <w:spacing w:val="-4"/>
          <w:sz w:val="28"/>
          <w:szCs w:val="28"/>
          <w14:textFill>
            <w14:solidFill>
              <w14:schemeClr w14:val="tx1"/>
            </w14:solidFill>
          </w14:textFill>
        </w:rPr>
        <w:t>m</w:t>
      </w:r>
      <w:r>
        <w:rPr>
          <w:rFonts w:hint="default" w:ascii="Times New Roman" w:hAnsi="Times New Roman" w:cs="Times New Roman"/>
          <w:color w:val="000000" w:themeColor="text1"/>
          <w:spacing w:val="-4"/>
          <w:sz w:val="28"/>
          <w:szCs w:val="28"/>
          <w:vertAlign w:val="superscript"/>
          <w14:textFill>
            <w14:solidFill>
              <w14:schemeClr w14:val="tx1"/>
            </w14:solidFill>
          </w14:textFill>
        </w:rPr>
        <w:t>3</w:t>
      </w:r>
      <w:r>
        <w:rPr>
          <w:rFonts w:hint="default" w:ascii="Times New Roman" w:hAnsi="Times New Roman" w:cs="Times New Roman"/>
          <w:color w:val="000000" w:themeColor="text1"/>
          <w:spacing w:val="-4"/>
          <w:sz w:val="28"/>
          <w:szCs w:val="28"/>
          <w14:textFill>
            <w14:solidFill>
              <w14:schemeClr w14:val="tx1"/>
            </w14:solidFill>
          </w14:textFill>
        </w:rPr>
        <w:t>。</w:t>
      </w:r>
    </w:p>
    <w:p w14:paraId="43CD028C">
      <w:pPr>
        <w:spacing w:line="360" w:lineRule="auto"/>
        <w:ind w:firstLine="560" w:firstLineChars="200"/>
        <w:jc w:val="left"/>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2</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清运</w:t>
      </w:r>
    </w:p>
    <w:p w14:paraId="77F2728B">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对场地内拆除的</w:t>
      </w:r>
      <w:r>
        <w:rPr>
          <w:rFonts w:hint="default" w:ascii="Times New Roman" w:hAnsi="Times New Roman" w:eastAsia="宋体" w:cs="Times New Roman"/>
          <w:color w:val="000000" w:themeColor="text1"/>
          <w:sz w:val="28"/>
          <w:szCs w:val="28"/>
          <w:lang w:val="en-US"/>
          <w14:textFill>
            <w14:solidFill>
              <w14:schemeClr w14:val="tx1"/>
            </w14:solidFill>
          </w14:textFill>
        </w:rPr>
        <w:t>固废</w:t>
      </w:r>
      <w:r>
        <w:rPr>
          <w:rFonts w:hint="eastAsia" w:cs="Times New Roman"/>
          <w:color w:val="000000" w:themeColor="text1"/>
          <w:sz w:val="28"/>
          <w:szCs w:val="28"/>
          <w:lang w:val="en-US" w:eastAsia="zh-CN"/>
          <w14:textFill>
            <w14:solidFill>
              <w14:schemeClr w14:val="tx1"/>
            </w14:solidFill>
          </w14:textFill>
        </w:rPr>
        <w:t>进行清运</w:t>
      </w:r>
      <w:r>
        <w:rPr>
          <w:rFonts w:hint="default" w:ascii="Times New Roman" w:hAnsi="Times New Roman" w:eastAsia="宋体" w:cs="Times New Roman"/>
          <w:color w:val="000000" w:themeColor="text1"/>
          <w:sz w:val="28"/>
          <w:szCs w:val="28"/>
          <w:lang w:val="en-US"/>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清运工程量为</w:t>
      </w:r>
      <w:r>
        <w:rPr>
          <w:rFonts w:hint="eastAsia" w:cs="Times New Roman"/>
          <w:color w:val="000000" w:themeColor="text1"/>
          <w:sz w:val="28"/>
          <w:szCs w:val="28"/>
          <w:lang w:val="en-US" w:eastAsia="zh-CN"/>
          <w14:textFill>
            <w14:solidFill>
              <w14:schemeClr w14:val="tx1"/>
            </w14:solidFill>
          </w14:textFill>
        </w:rPr>
        <w:t>42</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color w:val="000000" w:themeColor="text1"/>
          <w:sz w:val="28"/>
          <w:szCs w:val="28"/>
          <w14:textFill>
            <w14:solidFill>
              <w14:schemeClr w14:val="tx1"/>
            </w14:solidFill>
          </w14:textFill>
        </w:rPr>
        <w:t>。</w:t>
      </w:r>
    </w:p>
    <w:p w14:paraId="3AE9C508">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val="en-US" w:eastAsia="zh-CN"/>
          <w14:textFill>
            <w14:solidFill>
              <w14:schemeClr w14:val="tx1"/>
            </w14:solidFill>
          </w14:textFill>
        </w:rPr>
        <w:t>2、</w:t>
      </w:r>
      <w:r>
        <w:rPr>
          <w:rFonts w:hint="default" w:ascii="Times New Roman" w:hAnsi="Times New Roman" w:cs="Times New Roman"/>
          <w:color w:val="000000" w:themeColor="text1"/>
          <w:kern w:val="0"/>
          <w:sz w:val="28"/>
          <w:szCs w:val="28"/>
          <w14:textFill>
            <w14:solidFill>
              <w14:schemeClr w14:val="tx1"/>
            </w14:solidFill>
          </w14:textFill>
        </w:rPr>
        <w:t>土壤重构工程</w:t>
      </w:r>
    </w:p>
    <w:p w14:paraId="2103D057">
      <w:pPr>
        <w:widowControl/>
        <w:spacing w:line="360" w:lineRule="auto"/>
        <w:ind w:firstLine="560" w:firstLineChars="200"/>
        <w:rPr>
          <w:rFonts w:hint="eastAsia" w:ascii="Times New Roman" w:hAnsi="Times New Roman" w:eastAsia="宋体" w:cs="Times New Roman"/>
          <w:color w:val="000000" w:themeColor="text1"/>
          <w:kern w:val="0"/>
          <w:sz w:val="28"/>
          <w:szCs w:val="28"/>
          <w:lang w:eastAsia="zh-CN"/>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cs="Times New Roman"/>
          <w:color w:val="000000" w:themeColor="text1"/>
          <w:kern w:val="0"/>
          <w:sz w:val="28"/>
          <w:szCs w:val="28"/>
          <w:lang w:val="en-US" w:eastAsia="zh-CN"/>
          <w14:textFill>
            <w14:solidFill>
              <w14:schemeClr w14:val="tx1"/>
            </w14:solidFill>
          </w14:textFill>
        </w:rPr>
        <w:t>翻耕</w:t>
      </w:r>
    </w:p>
    <w:p w14:paraId="154D6C32">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对拆除清运后的</w:t>
      </w:r>
      <w:r>
        <w:rPr>
          <w:rFonts w:hint="default" w:ascii="Times New Roman" w:hAnsi="Times New Roman" w:cs="Times New Roman"/>
          <w:color w:val="000000" w:themeColor="text1"/>
          <w:sz w:val="28"/>
          <w:szCs w:val="28"/>
          <w14:textFill>
            <w14:solidFill>
              <w14:schemeClr w14:val="tx1"/>
            </w14:solidFill>
          </w14:textFill>
        </w:rPr>
        <w:t>场地</w:t>
      </w:r>
      <w:r>
        <w:rPr>
          <w:rFonts w:hint="eastAsia" w:cs="Times New Roman"/>
          <w:color w:val="000000" w:themeColor="text1"/>
          <w:sz w:val="28"/>
          <w:szCs w:val="28"/>
          <w:lang w:val="en-US" w:eastAsia="zh-CN"/>
          <w14:textFill>
            <w14:solidFill>
              <w14:schemeClr w14:val="tx1"/>
            </w14:solidFill>
          </w14:textFill>
        </w:rPr>
        <w:t>进行翻耕</w:t>
      </w:r>
      <w:r>
        <w:rPr>
          <w:rFonts w:hint="default" w:ascii="Times New Roman" w:hAnsi="Times New Roman"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翻耕面积</w:t>
      </w:r>
      <w:r>
        <w:rPr>
          <w:rFonts w:hint="eastAsia" w:ascii="Times New Roman" w:hAnsi="Times New Roman" w:cs="Times New Roman"/>
          <w:color w:val="000000" w:themeColor="text1"/>
          <w:sz w:val="28"/>
          <w:szCs w:val="28"/>
          <w:lang w:val="en-US" w:eastAsia="zh-CN"/>
          <w14:textFill>
            <w14:solidFill>
              <w14:schemeClr w14:val="tx1"/>
            </w14:solidFill>
          </w14:textFill>
        </w:rPr>
        <w:t>150</w:t>
      </w:r>
      <w:r>
        <w:rPr>
          <w:rFonts w:hint="default" w:ascii="Times New Roman" w:hAnsi="Times New Roman" w:cs="Times New Roman"/>
          <w:color w:val="000000" w:themeColor="text1"/>
          <w:sz w:val="28"/>
          <w:szCs w:val="28"/>
          <w14:textFill>
            <w14:solidFill>
              <w14:schemeClr w14:val="tx1"/>
            </w14:solidFill>
          </w14:textFill>
        </w:rPr>
        <w:t>m</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翻耕</w:t>
      </w:r>
      <w:r>
        <w:rPr>
          <w:rFonts w:hint="default" w:ascii="Times New Roman" w:hAnsi="Times New Roman" w:cs="Times New Roman"/>
          <w:color w:val="000000" w:themeColor="text1"/>
          <w:sz w:val="28"/>
          <w:szCs w:val="28"/>
          <w14:textFill>
            <w14:solidFill>
              <w14:schemeClr w14:val="tx1"/>
            </w14:solidFill>
          </w14:textFill>
        </w:rPr>
        <w:t>厚度为0.5m，则</w:t>
      </w:r>
      <w:r>
        <w:rPr>
          <w:rFonts w:hint="eastAsia" w:cs="Times New Roman"/>
          <w:color w:val="000000" w:themeColor="text1"/>
          <w:sz w:val="28"/>
          <w:szCs w:val="28"/>
          <w:lang w:val="en-US" w:eastAsia="zh-CN"/>
          <w14:textFill>
            <w14:solidFill>
              <w14:schemeClr w14:val="tx1"/>
            </w14:solidFill>
          </w14:textFill>
        </w:rPr>
        <w:t>翻耕</w:t>
      </w:r>
      <w:r>
        <w:rPr>
          <w:rFonts w:hint="default" w:ascii="Times New Roman" w:hAnsi="Times New Roman" w:cs="Times New Roman"/>
          <w:color w:val="000000" w:themeColor="text1"/>
          <w:sz w:val="28"/>
          <w:szCs w:val="28"/>
          <w14:textFill>
            <w14:solidFill>
              <w14:schemeClr w14:val="tx1"/>
            </w14:solidFill>
          </w14:textFill>
        </w:rPr>
        <w:t>工程量</w:t>
      </w:r>
      <w:r>
        <w:rPr>
          <w:rFonts w:hint="eastAsia" w:cs="Times New Roman"/>
          <w:color w:val="000000" w:themeColor="text1"/>
          <w:sz w:val="28"/>
          <w:szCs w:val="28"/>
          <w:lang w:val="en-US" w:eastAsia="zh-CN"/>
          <w14:textFill>
            <w14:solidFill>
              <w14:schemeClr w14:val="tx1"/>
            </w14:solidFill>
          </w14:textFill>
        </w:rPr>
        <w:t>75</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w:t>
      </w:r>
    </w:p>
    <w:p w14:paraId="2E9EDF36">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2</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土地平整</w:t>
      </w:r>
    </w:p>
    <w:p w14:paraId="0E8A6591">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场地</w:t>
      </w:r>
      <w:r>
        <w:rPr>
          <w:rFonts w:hint="eastAsia" w:cs="Times New Roman"/>
          <w:color w:val="000000" w:themeColor="text1"/>
          <w:sz w:val="28"/>
          <w:szCs w:val="28"/>
          <w:lang w:val="en-US" w:eastAsia="zh-CN"/>
          <w14:textFill>
            <w14:solidFill>
              <w14:schemeClr w14:val="tx1"/>
            </w14:solidFill>
          </w14:textFill>
        </w:rPr>
        <w:t>翻耕</w:t>
      </w:r>
      <w:r>
        <w:rPr>
          <w:rFonts w:hint="default" w:ascii="Times New Roman" w:hAnsi="Times New Roman" w:cs="Times New Roman"/>
          <w:color w:val="000000" w:themeColor="text1"/>
          <w:sz w:val="28"/>
          <w:szCs w:val="28"/>
          <w14:textFill>
            <w14:solidFill>
              <w14:schemeClr w14:val="tx1"/>
            </w14:solidFill>
          </w14:textFill>
        </w:rPr>
        <w:t>后开展平整工作，平整厚度0.</w:t>
      </w:r>
      <w:r>
        <w:rPr>
          <w:rFonts w:hint="eastAsia" w:cs="Times New Roman"/>
          <w:color w:val="000000" w:themeColor="text1"/>
          <w:sz w:val="28"/>
          <w:szCs w:val="28"/>
          <w:lang w:val="en-US" w:eastAsia="zh-CN"/>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m，平整面积</w:t>
      </w:r>
      <w:r>
        <w:rPr>
          <w:rFonts w:hint="eastAsia" w:cs="Times New Roman"/>
          <w:color w:val="000000" w:themeColor="text1"/>
          <w:sz w:val="28"/>
          <w:szCs w:val="28"/>
          <w:lang w:val="en-US" w:eastAsia="zh-CN"/>
          <w14:textFill>
            <w14:solidFill>
              <w14:schemeClr w14:val="tx1"/>
            </w14:solidFill>
          </w14:textFill>
        </w:rPr>
        <w:t>150</w:t>
      </w:r>
      <w:r>
        <w:rPr>
          <w:rFonts w:hint="default" w:ascii="Times New Roman" w:hAnsi="Times New Roman" w:cs="Times New Roman"/>
          <w:color w:val="000000" w:themeColor="text1"/>
          <w:sz w:val="28"/>
          <w:szCs w:val="28"/>
          <w14:textFill>
            <w14:solidFill>
              <w14:schemeClr w14:val="tx1"/>
            </w14:solidFill>
          </w14:textFill>
        </w:rPr>
        <w:t>m</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，工程量</w:t>
      </w:r>
      <w:r>
        <w:rPr>
          <w:rFonts w:hint="eastAsia" w:cs="Times New Roman"/>
          <w:color w:val="000000" w:themeColor="text1"/>
          <w:sz w:val="28"/>
          <w:szCs w:val="28"/>
          <w:lang w:val="en-US" w:eastAsia="zh-CN"/>
          <w14:textFill>
            <w14:solidFill>
              <w14:schemeClr w14:val="tx1"/>
            </w14:solidFill>
          </w14:textFill>
        </w:rPr>
        <w:t>45</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w:t>
      </w:r>
    </w:p>
    <w:p w14:paraId="2CB141A3">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val="en-US" w:eastAsia="zh-CN"/>
          <w14:textFill>
            <w14:solidFill>
              <w14:schemeClr w14:val="tx1"/>
            </w14:solidFill>
          </w14:textFill>
        </w:rPr>
        <w:t>3、</w:t>
      </w:r>
      <w:r>
        <w:rPr>
          <w:rFonts w:hint="default" w:ascii="Times New Roman" w:hAnsi="Times New Roman" w:cs="Times New Roman"/>
          <w:color w:val="000000" w:themeColor="text1"/>
          <w:kern w:val="0"/>
          <w:sz w:val="28"/>
          <w:szCs w:val="28"/>
          <w14:textFill>
            <w14:solidFill>
              <w14:schemeClr w14:val="tx1"/>
            </w14:solidFill>
          </w14:textFill>
        </w:rPr>
        <w:t>植被重建工程</w:t>
      </w:r>
    </w:p>
    <w:p w14:paraId="2531B8F4">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撒播草籽</w:t>
      </w:r>
    </w:p>
    <w:p w14:paraId="0CFE6CD6">
      <w:pPr>
        <w:widowControl/>
        <w:spacing w:line="360" w:lineRule="auto"/>
        <w:ind w:firstLine="560" w:firstLineChars="200"/>
        <w:rPr>
          <w:rFonts w:hint="eastAsia" w:cs="Times New Roman"/>
          <w:b/>
          <w:bCs/>
          <w:color w:val="000000" w:themeColor="text1"/>
          <w:sz w:val="28"/>
          <w:szCs w:val="28"/>
          <w:lang w:val="en-US" w:eastAsia="zh-CN"/>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草种撒播，增加地表植被的覆盖度，草种为</w:t>
      </w:r>
      <w:r>
        <w:rPr>
          <w:rFonts w:hint="eastAsia" w:cs="Times New Roman"/>
          <w:color w:val="000000" w:themeColor="text1"/>
          <w:sz w:val="28"/>
          <w:szCs w:val="28"/>
          <w:lang w:val="en-US" w:eastAsia="zh-CN"/>
          <w14:textFill>
            <w14:solidFill>
              <w14:schemeClr w14:val="tx1"/>
            </w14:solidFill>
          </w14:textFill>
        </w:rPr>
        <w:t>各种草籽混合撒播</w:t>
      </w:r>
      <w:r>
        <w:rPr>
          <w:rFonts w:hint="default" w:ascii="Times New Roman" w:hAnsi="Times New Roman" w:cs="Times New Roman"/>
          <w:color w:val="000000" w:themeColor="text1"/>
          <w:sz w:val="28"/>
          <w:szCs w:val="28"/>
          <w14:textFill>
            <w14:solidFill>
              <w14:schemeClr w14:val="tx1"/>
            </w14:solidFill>
          </w14:textFill>
        </w:rPr>
        <w:t>，撒播面积</w:t>
      </w:r>
      <w:r>
        <w:rPr>
          <w:rFonts w:hint="eastAsia" w:cs="Times New Roman"/>
          <w:color w:val="000000" w:themeColor="text1"/>
          <w:sz w:val="28"/>
          <w:szCs w:val="28"/>
          <w:lang w:val="en-US" w:eastAsia="zh-CN"/>
          <w14:textFill>
            <w14:solidFill>
              <w14:schemeClr w14:val="tx1"/>
            </w14:solidFill>
          </w14:textFill>
        </w:rPr>
        <w:t>0.0150h</w:t>
      </w:r>
      <w:r>
        <w:rPr>
          <w:rFonts w:hint="default" w:ascii="Times New Roman" w:hAnsi="Times New Roman" w:cs="Times New Roman"/>
          <w:color w:val="000000" w:themeColor="text1"/>
          <w:sz w:val="28"/>
          <w:szCs w:val="28"/>
          <w14:textFill>
            <w14:solidFill>
              <w14:schemeClr w14:val="tx1"/>
            </w14:solidFill>
          </w14:textFill>
        </w:rPr>
        <w:t>m</w:t>
      </w:r>
      <w:r>
        <w:rPr>
          <w:rFonts w:hint="eastAsia"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p>
    <w:p w14:paraId="193779D0">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outlineLvl w:val="3"/>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r>
        <w:rPr>
          <w:rFonts w:hint="eastAsia" w:cs="Times New Roman"/>
          <w:b/>
          <w:bCs/>
          <w:color w:val="000000" w:themeColor="text1"/>
          <w:sz w:val="28"/>
          <w:szCs w:val="28"/>
          <w:lang w:val="en-US" w:eastAsia="zh-CN"/>
          <w14:textFill>
            <w14:solidFill>
              <w14:schemeClr w14:val="tx1"/>
            </w14:solidFill>
          </w14:textFill>
        </w:rPr>
        <w:t>（五）</w:t>
      </w:r>
      <w:r>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t>工业场地</w:t>
      </w:r>
    </w:p>
    <w:p w14:paraId="71422AE7">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default" w:ascii="Times New Roman" w:hAnsi="Times New Roman" w:cs="Times New Roman"/>
          <w:color w:val="000000" w:themeColor="text1"/>
          <w:kern w:val="0"/>
          <w:sz w:val="28"/>
          <w:szCs w:val="28"/>
          <w14:textFill>
            <w14:solidFill>
              <w14:schemeClr w14:val="tx1"/>
            </w14:solidFill>
          </w14:textFill>
        </w:rPr>
        <w:t>地貌重塑工程</w:t>
      </w:r>
    </w:p>
    <w:p w14:paraId="4A4A47E2">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拆除</w:t>
      </w:r>
    </w:p>
    <w:p w14:paraId="56CA80CC">
      <w:pPr>
        <w:spacing w:line="360" w:lineRule="auto"/>
        <w:ind w:firstLine="544" w:firstLineChars="200"/>
        <w:jc w:val="left"/>
        <w:rPr>
          <w:rFonts w:hint="default" w:ascii="Times New Roman" w:hAnsi="Times New Roman" w:cs="Times New Roman"/>
          <w:color w:val="000000" w:themeColor="text1"/>
          <w:spacing w:val="-4"/>
          <w:sz w:val="28"/>
          <w:szCs w:val="28"/>
          <w14:textFill>
            <w14:solidFill>
              <w14:schemeClr w14:val="tx1"/>
            </w14:solidFill>
          </w14:textFill>
        </w:rPr>
      </w:pPr>
      <w:r>
        <w:rPr>
          <w:rFonts w:hint="default" w:ascii="Times New Roman" w:hAnsi="Times New Roman" w:cs="Times New Roman"/>
          <w:color w:val="000000" w:themeColor="text1"/>
          <w:spacing w:val="-4"/>
          <w:sz w:val="28"/>
          <w:szCs w:val="28"/>
          <w14:textFill>
            <w14:solidFill>
              <w14:schemeClr w14:val="tx1"/>
            </w14:solidFill>
          </w14:textFill>
        </w:rPr>
        <w:t>对场地内建筑物</w:t>
      </w:r>
      <w:r>
        <w:rPr>
          <w:rFonts w:hint="eastAsia" w:cs="Times New Roman"/>
          <w:color w:val="000000" w:themeColor="text1"/>
          <w:spacing w:val="-4"/>
          <w:sz w:val="28"/>
          <w:szCs w:val="28"/>
          <w:lang w:val="en-US" w:eastAsia="zh-CN"/>
          <w14:textFill>
            <w14:solidFill>
              <w14:schemeClr w14:val="tx1"/>
            </w14:solidFill>
          </w14:textFill>
        </w:rPr>
        <w:t>及地基</w:t>
      </w:r>
      <w:r>
        <w:rPr>
          <w:rFonts w:hint="default" w:ascii="Times New Roman" w:hAnsi="Times New Roman" w:cs="Times New Roman"/>
          <w:color w:val="000000" w:themeColor="text1"/>
          <w:spacing w:val="-4"/>
          <w:sz w:val="28"/>
          <w:szCs w:val="28"/>
          <w14:textFill>
            <w14:solidFill>
              <w14:schemeClr w14:val="tx1"/>
            </w14:solidFill>
          </w14:textFill>
        </w:rPr>
        <w:t>进行拆除，建筑物面积为</w:t>
      </w:r>
      <w:r>
        <w:rPr>
          <w:rFonts w:hint="eastAsia" w:cs="Times New Roman"/>
          <w:color w:val="000000" w:themeColor="text1"/>
          <w:spacing w:val="-4"/>
          <w:sz w:val="28"/>
          <w:szCs w:val="28"/>
          <w:lang w:val="en-US" w:eastAsia="zh-CN"/>
          <w14:textFill>
            <w14:solidFill>
              <w14:schemeClr w14:val="tx1"/>
            </w14:solidFill>
          </w14:textFill>
        </w:rPr>
        <w:t>12926</w:t>
      </w:r>
      <w:r>
        <w:rPr>
          <w:rFonts w:hint="default" w:ascii="Times New Roman" w:hAnsi="Times New Roman" w:cs="Times New Roman"/>
          <w:color w:val="000000" w:themeColor="text1"/>
          <w:spacing w:val="-4"/>
          <w:sz w:val="28"/>
          <w:szCs w:val="28"/>
          <w14:textFill>
            <w14:solidFill>
              <w14:schemeClr w14:val="tx1"/>
            </w14:solidFill>
          </w14:textFill>
        </w:rPr>
        <w:t>m</w:t>
      </w:r>
      <w:r>
        <w:rPr>
          <w:rFonts w:hint="default" w:ascii="Times New Roman" w:hAnsi="Times New Roman" w:cs="Times New Roman"/>
          <w:color w:val="000000" w:themeColor="text1"/>
          <w:spacing w:val="-4"/>
          <w:sz w:val="28"/>
          <w:szCs w:val="28"/>
          <w:vertAlign w:val="superscript"/>
          <w14:textFill>
            <w14:solidFill>
              <w14:schemeClr w14:val="tx1"/>
            </w14:solidFill>
          </w14:textFill>
        </w:rPr>
        <w:t>2</w:t>
      </w:r>
      <w:r>
        <w:rPr>
          <w:rFonts w:hint="default" w:ascii="Times New Roman" w:hAnsi="Times New Roman" w:cs="Times New Roman"/>
          <w:color w:val="000000" w:themeColor="text1"/>
          <w:spacing w:val="-4"/>
          <w:sz w:val="28"/>
          <w:szCs w:val="28"/>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高度</w:t>
      </w:r>
      <w:r>
        <w:rPr>
          <w:rFonts w:hint="eastAsia" w:cs="Times New Roman"/>
          <w:color w:val="000000" w:themeColor="text1"/>
          <w:sz w:val="28"/>
          <w:szCs w:val="28"/>
          <w:lang w:val="en-US" w:eastAsia="zh-CN"/>
          <w14:textFill>
            <w14:solidFill>
              <w14:schemeClr w14:val="tx1"/>
            </w14:solidFill>
          </w14:textFill>
        </w:rPr>
        <w:t>5</w:t>
      </w:r>
      <w:r>
        <w:rPr>
          <w:rFonts w:hint="default" w:ascii="Times New Roman" w:hAnsi="Times New Roman" w:cs="Times New Roman"/>
          <w:color w:val="000000" w:themeColor="text1"/>
          <w:sz w:val="28"/>
          <w:szCs w:val="28"/>
          <w14:textFill>
            <w14:solidFill>
              <w14:schemeClr w14:val="tx1"/>
            </w14:solidFill>
          </w14:textFill>
        </w:rPr>
        <w:t>m，拆除量按容积的20%计，则工程量为</w:t>
      </w:r>
      <w:r>
        <w:rPr>
          <w:rFonts w:hint="eastAsia" w:cs="Times New Roman"/>
          <w:color w:val="000000" w:themeColor="text1"/>
          <w:sz w:val="28"/>
          <w:szCs w:val="28"/>
          <w:lang w:val="en-US" w:eastAsia="zh-CN"/>
          <w14:textFill>
            <w14:solidFill>
              <w14:schemeClr w14:val="tx1"/>
            </w14:solidFill>
          </w14:textFill>
        </w:rPr>
        <w:t>12926</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5</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pacing w:val="-4"/>
          <w:sz w:val="28"/>
          <w:szCs w:val="28"/>
          <w14:textFill>
            <w14:solidFill>
              <w14:schemeClr w14:val="tx1"/>
            </w14:solidFill>
          </w14:textFill>
        </w:rPr>
        <w:t>20%=</w:t>
      </w:r>
      <w:r>
        <w:rPr>
          <w:rFonts w:hint="eastAsia" w:cs="Times New Roman"/>
          <w:color w:val="000000" w:themeColor="text1"/>
          <w:spacing w:val="-4"/>
          <w:sz w:val="28"/>
          <w:szCs w:val="28"/>
          <w:lang w:val="en-US" w:eastAsia="zh-CN"/>
          <w14:textFill>
            <w14:solidFill>
              <w14:schemeClr w14:val="tx1"/>
            </w14:solidFill>
          </w14:textFill>
        </w:rPr>
        <w:t>12926</w:t>
      </w:r>
      <w:r>
        <w:rPr>
          <w:rFonts w:hint="default" w:ascii="Times New Roman" w:hAnsi="Times New Roman" w:cs="Times New Roman"/>
          <w:color w:val="000000" w:themeColor="text1"/>
          <w:spacing w:val="-4"/>
          <w:sz w:val="28"/>
          <w:szCs w:val="28"/>
          <w14:textFill>
            <w14:solidFill>
              <w14:schemeClr w14:val="tx1"/>
            </w14:solidFill>
          </w14:textFill>
        </w:rPr>
        <w:t>m</w:t>
      </w:r>
      <w:r>
        <w:rPr>
          <w:rFonts w:hint="default" w:ascii="Times New Roman" w:hAnsi="Times New Roman" w:cs="Times New Roman"/>
          <w:color w:val="000000" w:themeColor="text1"/>
          <w:spacing w:val="-4"/>
          <w:sz w:val="28"/>
          <w:szCs w:val="28"/>
          <w:vertAlign w:val="superscript"/>
          <w14:textFill>
            <w14:solidFill>
              <w14:schemeClr w14:val="tx1"/>
            </w14:solidFill>
          </w14:textFill>
        </w:rPr>
        <w:t>3</w:t>
      </w:r>
      <w:r>
        <w:rPr>
          <w:rFonts w:hint="default" w:ascii="Times New Roman" w:hAnsi="Times New Roman" w:cs="Times New Roman"/>
          <w:color w:val="000000" w:themeColor="text1"/>
          <w:spacing w:val="-4"/>
          <w:sz w:val="28"/>
          <w:szCs w:val="28"/>
          <w14:textFill>
            <w14:solidFill>
              <w14:schemeClr w14:val="tx1"/>
            </w14:solidFill>
          </w14:textFill>
        </w:rPr>
        <w:t>。</w:t>
      </w:r>
    </w:p>
    <w:p w14:paraId="735244F4">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2</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清运</w:t>
      </w:r>
    </w:p>
    <w:p w14:paraId="0B3F19CB">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对场地内拆除废弃物进行清运，拆的地基及废弃砖石</w:t>
      </w:r>
      <w:r>
        <w:rPr>
          <w:rFonts w:hint="default" w:ascii="Times New Roman" w:hAnsi="Times New Roman" w:eastAsia="宋体" w:cs="Times New Roman"/>
          <w:color w:val="000000" w:themeColor="text1"/>
          <w:sz w:val="28"/>
          <w:szCs w:val="28"/>
          <w:lang w:val="en-US"/>
          <w14:textFill>
            <w14:solidFill>
              <w14:schemeClr w14:val="tx1"/>
            </w14:solidFill>
          </w14:textFill>
        </w:rPr>
        <w:t>用于</w:t>
      </w:r>
      <w:r>
        <w:rPr>
          <w:rFonts w:hint="eastAsia" w:cs="Times New Roman"/>
          <w:color w:val="000000" w:themeColor="text1"/>
          <w:sz w:val="28"/>
          <w:szCs w:val="28"/>
          <w:lang w:val="en-US" w:eastAsia="zh-CN"/>
          <w14:textFill>
            <w14:solidFill>
              <w14:schemeClr w14:val="tx1"/>
            </w14:solidFill>
          </w14:textFill>
        </w:rPr>
        <w:t>采场回填，剩余拆除物矿山将用于出售，</w:t>
      </w:r>
      <w:r>
        <w:rPr>
          <w:rFonts w:hint="default" w:ascii="Times New Roman" w:hAnsi="Times New Roman" w:eastAsia="宋体" w:cs="Times New Roman"/>
          <w:color w:val="000000" w:themeColor="text1"/>
          <w:sz w:val="28"/>
          <w:szCs w:val="28"/>
          <w14:textFill>
            <w14:solidFill>
              <w14:schemeClr w14:val="tx1"/>
            </w14:solidFill>
          </w14:textFill>
        </w:rPr>
        <w:t>清运工程量为</w:t>
      </w:r>
      <w:r>
        <w:rPr>
          <w:rFonts w:hint="eastAsia" w:cs="Times New Roman"/>
          <w:color w:val="000000" w:themeColor="text1"/>
          <w:sz w:val="28"/>
          <w:szCs w:val="28"/>
          <w:lang w:val="en-US" w:eastAsia="zh-CN"/>
          <w14:textFill>
            <w14:solidFill>
              <w14:schemeClr w14:val="tx1"/>
            </w14:solidFill>
          </w14:textFill>
        </w:rPr>
        <w:t>12926</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color w:val="000000" w:themeColor="text1"/>
          <w:sz w:val="28"/>
          <w:szCs w:val="28"/>
          <w14:textFill>
            <w14:solidFill>
              <w14:schemeClr w14:val="tx1"/>
            </w14:solidFill>
          </w14:textFill>
        </w:rPr>
        <w:t>。</w:t>
      </w:r>
    </w:p>
    <w:p w14:paraId="1508B682">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val="en-US" w:eastAsia="zh-CN"/>
          <w14:textFill>
            <w14:solidFill>
              <w14:schemeClr w14:val="tx1"/>
            </w14:solidFill>
          </w14:textFill>
        </w:rPr>
        <w:t>2、</w:t>
      </w:r>
      <w:r>
        <w:rPr>
          <w:rFonts w:hint="default" w:ascii="Times New Roman" w:hAnsi="Times New Roman" w:cs="Times New Roman"/>
          <w:color w:val="000000" w:themeColor="text1"/>
          <w:kern w:val="0"/>
          <w:sz w:val="28"/>
          <w:szCs w:val="28"/>
          <w14:textFill>
            <w14:solidFill>
              <w14:schemeClr w14:val="tx1"/>
            </w14:solidFill>
          </w14:textFill>
        </w:rPr>
        <w:t>土壤重构工程</w:t>
      </w:r>
    </w:p>
    <w:p w14:paraId="62105F5A">
      <w:pPr>
        <w:widowControl/>
        <w:spacing w:line="360" w:lineRule="auto"/>
        <w:ind w:firstLine="560" w:firstLineChars="200"/>
        <w:rPr>
          <w:rFonts w:hint="eastAsia" w:ascii="Times New Roman" w:hAnsi="Times New Roman" w:eastAsia="宋体" w:cs="Times New Roman"/>
          <w:color w:val="000000" w:themeColor="text1"/>
          <w:kern w:val="0"/>
          <w:sz w:val="28"/>
          <w:szCs w:val="28"/>
          <w:lang w:eastAsia="zh-CN"/>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cs="Times New Roman"/>
          <w:color w:val="000000" w:themeColor="text1"/>
          <w:kern w:val="0"/>
          <w:sz w:val="28"/>
          <w:szCs w:val="28"/>
          <w:lang w:val="en-US" w:eastAsia="zh-CN"/>
          <w14:textFill>
            <w14:solidFill>
              <w14:schemeClr w14:val="tx1"/>
            </w14:solidFill>
          </w14:textFill>
        </w:rPr>
        <w:t>翻耕</w:t>
      </w:r>
    </w:p>
    <w:p w14:paraId="310C4643">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对拆除清运后的</w:t>
      </w:r>
      <w:r>
        <w:rPr>
          <w:rFonts w:hint="default" w:ascii="Times New Roman" w:hAnsi="Times New Roman" w:cs="Times New Roman"/>
          <w:color w:val="000000" w:themeColor="text1"/>
          <w:sz w:val="28"/>
          <w:szCs w:val="28"/>
          <w14:textFill>
            <w14:solidFill>
              <w14:schemeClr w14:val="tx1"/>
            </w14:solidFill>
          </w14:textFill>
        </w:rPr>
        <w:t>场地</w:t>
      </w:r>
      <w:r>
        <w:rPr>
          <w:rFonts w:hint="eastAsia" w:cs="Times New Roman"/>
          <w:color w:val="000000" w:themeColor="text1"/>
          <w:sz w:val="28"/>
          <w:szCs w:val="28"/>
          <w:lang w:val="en-US" w:eastAsia="zh-CN"/>
          <w14:textFill>
            <w14:solidFill>
              <w14:schemeClr w14:val="tx1"/>
            </w14:solidFill>
          </w14:textFill>
        </w:rPr>
        <w:t>进行翻耕</w:t>
      </w:r>
      <w:r>
        <w:rPr>
          <w:rFonts w:hint="default" w:ascii="Times New Roman" w:hAnsi="Times New Roman"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翻耕面积</w:t>
      </w:r>
      <w:r>
        <w:rPr>
          <w:rFonts w:hint="eastAsia" w:ascii="Times New Roman" w:hAnsi="Times New Roman" w:cs="Times New Roman"/>
          <w:color w:val="000000" w:themeColor="text1"/>
          <w:sz w:val="28"/>
          <w:szCs w:val="28"/>
          <w:lang w:val="en-US" w:eastAsia="zh-CN"/>
          <w14:textFill>
            <w14:solidFill>
              <w14:schemeClr w14:val="tx1"/>
            </w14:solidFill>
          </w14:textFill>
        </w:rPr>
        <w:t>12926</w:t>
      </w:r>
      <w:r>
        <w:rPr>
          <w:rFonts w:hint="default" w:ascii="Times New Roman" w:hAnsi="Times New Roman" w:cs="Times New Roman"/>
          <w:color w:val="000000" w:themeColor="text1"/>
          <w:sz w:val="28"/>
          <w:szCs w:val="28"/>
          <w14:textFill>
            <w14:solidFill>
              <w14:schemeClr w14:val="tx1"/>
            </w14:solidFill>
          </w14:textFill>
        </w:rPr>
        <w:t>m</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翻耕</w:t>
      </w:r>
      <w:r>
        <w:rPr>
          <w:rFonts w:hint="default" w:ascii="Times New Roman" w:hAnsi="Times New Roman" w:cs="Times New Roman"/>
          <w:color w:val="000000" w:themeColor="text1"/>
          <w:sz w:val="28"/>
          <w:szCs w:val="28"/>
          <w14:textFill>
            <w14:solidFill>
              <w14:schemeClr w14:val="tx1"/>
            </w14:solidFill>
          </w14:textFill>
        </w:rPr>
        <w:t>厚度为0.5m，则</w:t>
      </w:r>
      <w:r>
        <w:rPr>
          <w:rFonts w:hint="eastAsia" w:cs="Times New Roman"/>
          <w:color w:val="000000" w:themeColor="text1"/>
          <w:sz w:val="28"/>
          <w:szCs w:val="28"/>
          <w:lang w:val="en-US" w:eastAsia="zh-CN"/>
          <w14:textFill>
            <w14:solidFill>
              <w14:schemeClr w14:val="tx1"/>
            </w14:solidFill>
          </w14:textFill>
        </w:rPr>
        <w:t>翻耕</w:t>
      </w:r>
      <w:r>
        <w:rPr>
          <w:rFonts w:hint="default" w:ascii="Times New Roman" w:hAnsi="Times New Roman" w:cs="Times New Roman"/>
          <w:color w:val="000000" w:themeColor="text1"/>
          <w:sz w:val="28"/>
          <w:szCs w:val="28"/>
          <w14:textFill>
            <w14:solidFill>
              <w14:schemeClr w14:val="tx1"/>
            </w14:solidFill>
          </w14:textFill>
        </w:rPr>
        <w:t>工程量</w:t>
      </w:r>
      <w:r>
        <w:rPr>
          <w:rFonts w:hint="eastAsia" w:cs="Times New Roman"/>
          <w:color w:val="000000" w:themeColor="text1"/>
          <w:sz w:val="28"/>
          <w:szCs w:val="28"/>
          <w:lang w:val="en-US" w:eastAsia="zh-CN"/>
          <w14:textFill>
            <w14:solidFill>
              <w14:schemeClr w14:val="tx1"/>
            </w14:solidFill>
          </w14:textFill>
        </w:rPr>
        <w:t>6463</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w:t>
      </w:r>
    </w:p>
    <w:p w14:paraId="177C281E">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2</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土地平整</w:t>
      </w:r>
    </w:p>
    <w:p w14:paraId="466B059E">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场地</w:t>
      </w:r>
      <w:r>
        <w:rPr>
          <w:rFonts w:hint="eastAsia" w:ascii="Times New Roman" w:hAnsi="Times New Roman" w:cs="Times New Roman"/>
          <w:color w:val="000000" w:themeColor="text1"/>
          <w:sz w:val="28"/>
          <w:szCs w:val="28"/>
          <w:lang w:val="en-US" w:eastAsia="zh-CN"/>
          <w14:textFill>
            <w14:solidFill>
              <w14:schemeClr w14:val="tx1"/>
            </w14:solidFill>
          </w14:textFill>
        </w:rPr>
        <w:t>翻耕</w:t>
      </w:r>
      <w:r>
        <w:rPr>
          <w:rFonts w:hint="default" w:ascii="Times New Roman" w:hAnsi="Times New Roman" w:cs="Times New Roman"/>
          <w:color w:val="000000" w:themeColor="text1"/>
          <w:sz w:val="28"/>
          <w:szCs w:val="28"/>
          <w14:textFill>
            <w14:solidFill>
              <w14:schemeClr w14:val="tx1"/>
            </w14:solidFill>
          </w14:textFill>
        </w:rPr>
        <w:t>后开展平整工作，平整厚度0.</w:t>
      </w:r>
      <w:r>
        <w:rPr>
          <w:rFonts w:hint="eastAsia" w:cs="Times New Roman"/>
          <w:color w:val="000000" w:themeColor="text1"/>
          <w:sz w:val="28"/>
          <w:szCs w:val="28"/>
          <w:lang w:val="en-US" w:eastAsia="zh-CN"/>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m，平整面积</w:t>
      </w:r>
      <w:r>
        <w:rPr>
          <w:rFonts w:hint="eastAsia" w:cs="Times New Roman"/>
          <w:color w:val="000000" w:themeColor="text1"/>
          <w:sz w:val="28"/>
          <w:szCs w:val="28"/>
          <w:lang w:val="en-US" w:eastAsia="zh-CN"/>
          <w14:textFill>
            <w14:solidFill>
              <w14:schemeClr w14:val="tx1"/>
            </w14:solidFill>
          </w14:textFill>
        </w:rPr>
        <w:t>12926</w:t>
      </w:r>
      <w:r>
        <w:rPr>
          <w:rFonts w:hint="default" w:ascii="Times New Roman" w:hAnsi="Times New Roman" w:cs="Times New Roman"/>
          <w:color w:val="000000" w:themeColor="text1"/>
          <w:sz w:val="28"/>
          <w:szCs w:val="28"/>
          <w14:textFill>
            <w14:solidFill>
              <w14:schemeClr w14:val="tx1"/>
            </w14:solidFill>
          </w14:textFill>
        </w:rPr>
        <w:t>m</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，工程量</w:t>
      </w:r>
      <w:r>
        <w:rPr>
          <w:rFonts w:hint="eastAsia" w:cs="Times New Roman"/>
          <w:color w:val="000000" w:themeColor="text1"/>
          <w:sz w:val="28"/>
          <w:szCs w:val="28"/>
          <w:lang w:val="en-US" w:eastAsia="zh-CN"/>
          <w14:textFill>
            <w14:solidFill>
              <w14:schemeClr w14:val="tx1"/>
            </w14:solidFill>
          </w14:textFill>
        </w:rPr>
        <w:t>3878</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w:t>
      </w:r>
    </w:p>
    <w:p w14:paraId="792800C6">
      <w:pPr>
        <w:widowControl/>
        <w:spacing w:line="360" w:lineRule="auto"/>
        <w:ind w:firstLine="560" w:firstLineChars="200"/>
        <w:rPr>
          <w:rFonts w:hint="default" w:ascii="Times New Roman" w:hAnsi="Times New Roman" w:eastAsia="宋体"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val="en-US" w:eastAsia="zh-CN"/>
          <w14:textFill>
            <w14:solidFill>
              <w14:schemeClr w14:val="tx1"/>
            </w14:solidFill>
          </w14:textFill>
        </w:rPr>
        <w:t>3、</w:t>
      </w:r>
      <w:r>
        <w:rPr>
          <w:rFonts w:hint="default" w:ascii="Times New Roman" w:hAnsi="Times New Roman" w:eastAsia="宋体" w:cs="Times New Roman"/>
          <w:color w:val="000000" w:themeColor="text1"/>
          <w:kern w:val="0"/>
          <w:sz w:val="28"/>
          <w:szCs w:val="28"/>
          <w14:textFill>
            <w14:solidFill>
              <w14:schemeClr w14:val="tx1"/>
            </w14:solidFill>
          </w14:textFill>
        </w:rPr>
        <w:t>植被重建工程</w:t>
      </w:r>
    </w:p>
    <w:p w14:paraId="03845C66">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撒播草籽</w:t>
      </w:r>
    </w:p>
    <w:p w14:paraId="68CA8DFA">
      <w:pPr>
        <w:widowControl/>
        <w:spacing w:line="360" w:lineRule="auto"/>
        <w:ind w:firstLine="560" w:firstLineChars="200"/>
        <w:rPr>
          <w:rFonts w:hint="eastAsia" w:cs="Times New Roman"/>
          <w:b/>
          <w:bCs/>
          <w:color w:val="000000" w:themeColor="text1"/>
          <w:kern w:val="0"/>
          <w:sz w:val="28"/>
          <w:szCs w:val="28"/>
          <w:lang w:eastAsia="zh-CN"/>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草种撒播，增加地表植被的覆盖度，草种为</w:t>
      </w:r>
      <w:r>
        <w:rPr>
          <w:rFonts w:hint="eastAsia" w:cs="Times New Roman"/>
          <w:color w:val="000000" w:themeColor="text1"/>
          <w:sz w:val="28"/>
          <w:szCs w:val="28"/>
          <w:lang w:val="en-US" w:eastAsia="zh-CN"/>
          <w14:textFill>
            <w14:solidFill>
              <w14:schemeClr w14:val="tx1"/>
            </w14:solidFill>
          </w14:textFill>
        </w:rPr>
        <w:t>各种草籽混合撒播</w:t>
      </w:r>
      <w:r>
        <w:rPr>
          <w:rFonts w:hint="default" w:ascii="Times New Roman" w:hAnsi="Times New Roman" w:cs="Times New Roman"/>
          <w:color w:val="000000" w:themeColor="text1"/>
          <w:sz w:val="28"/>
          <w:szCs w:val="28"/>
          <w14:textFill>
            <w14:solidFill>
              <w14:schemeClr w14:val="tx1"/>
            </w14:solidFill>
          </w14:textFill>
        </w:rPr>
        <w:t>，撒播面积</w:t>
      </w:r>
      <w:r>
        <w:rPr>
          <w:rFonts w:hint="eastAsia" w:cs="Times New Roman"/>
          <w:color w:val="000000" w:themeColor="text1"/>
          <w:sz w:val="28"/>
          <w:szCs w:val="28"/>
          <w:lang w:val="en-US" w:eastAsia="zh-CN"/>
          <w14:textFill>
            <w14:solidFill>
              <w14:schemeClr w14:val="tx1"/>
            </w14:solidFill>
          </w14:textFill>
        </w:rPr>
        <w:t>1.2926h</w:t>
      </w:r>
      <w:r>
        <w:rPr>
          <w:rFonts w:hint="default" w:ascii="Times New Roman" w:hAnsi="Times New Roman" w:cs="Times New Roman"/>
          <w:color w:val="000000" w:themeColor="text1"/>
          <w:sz w:val="28"/>
          <w:szCs w:val="28"/>
          <w14:textFill>
            <w14:solidFill>
              <w14:schemeClr w14:val="tx1"/>
            </w14:solidFill>
          </w14:textFill>
        </w:rPr>
        <w:t>m</w:t>
      </w:r>
      <w:r>
        <w:rPr>
          <w:rFonts w:hint="eastAsia"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p>
    <w:p w14:paraId="00E2C60C">
      <w:pPr>
        <w:widowControl/>
        <w:spacing w:line="240" w:lineRule="auto"/>
        <w:jc w:val="center"/>
        <w:rPr>
          <w:rFonts w:hint="eastAsia" w:eastAsia="宋体" w:cs="Times New Roman"/>
          <w:b/>
          <w:bCs/>
          <w:color w:val="000000" w:themeColor="text1"/>
          <w:kern w:val="0"/>
          <w:sz w:val="24"/>
          <w:szCs w:val="24"/>
          <w:lang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w:t>
      </w:r>
    </w:p>
    <w:p w14:paraId="21860620">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outlineLvl w:val="3"/>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r>
        <w:rPr>
          <w:rFonts w:hint="eastAsia" w:cs="Times New Roman"/>
          <w:b/>
          <w:bCs/>
          <w:color w:val="000000" w:themeColor="text1"/>
          <w:sz w:val="28"/>
          <w:szCs w:val="28"/>
          <w:lang w:val="en-US" w:eastAsia="zh-CN"/>
          <w14:textFill>
            <w14:solidFill>
              <w14:schemeClr w14:val="tx1"/>
            </w14:solidFill>
          </w14:textFill>
        </w:rPr>
        <w:t>（六）成品砖堆放场</w:t>
      </w:r>
    </w:p>
    <w:p w14:paraId="0578B11C">
      <w:pPr>
        <w:widowControl/>
        <w:spacing w:line="360" w:lineRule="auto"/>
        <w:ind w:firstLine="560" w:firstLineChars="200"/>
        <w:rPr>
          <w:rFonts w:hint="default" w:ascii="Times New Roman" w:hAnsi="Times New Roman" w:eastAsia="宋体"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default" w:ascii="Times New Roman" w:hAnsi="Times New Roman" w:eastAsia="宋体" w:cs="Times New Roman"/>
          <w:color w:val="000000" w:themeColor="text1"/>
          <w:kern w:val="0"/>
          <w:sz w:val="28"/>
          <w:szCs w:val="28"/>
          <w14:textFill>
            <w14:solidFill>
              <w14:schemeClr w14:val="tx1"/>
            </w14:solidFill>
          </w14:textFill>
        </w:rPr>
        <w:t>地貌重塑工程</w:t>
      </w:r>
    </w:p>
    <w:p w14:paraId="0F975F15">
      <w:pPr>
        <w:pStyle w:val="64"/>
        <w:spacing w:line="360" w:lineRule="auto"/>
        <w:ind w:firstLine="560"/>
        <w:jc w:val="left"/>
        <w:rPr>
          <w:rFonts w:hint="default" w:ascii="Times New Roman" w:hAnsi="Times New Roman" w:eastAsia="宋体" w:cs="Times New Roman"/>
          <w:color w:val="000000" w:themeColor="text1"/>
          <w:sz w:val="28"/>
          <w:szCs w:val="28"/>
          <w:lang w:val="en-US"/>
          <w14:textFill>
            <w14:solidFill>
              <w14:schemeClr w14:val="tx1"/>
            </w14:solidFill>
          </w14:textFill>
        </w:rPr>
      </w:pPr>
      <w:r>
        <w:rPr>
          <w:rFonts w:hint="eastAsia" w:ascii="Times New Roman" w:hAnsi="Times New Roman" w:eastAsia="宋体" w:cs="Times New Roman"/>
          <w:color w:val="000000" w:themeColor="text1"/>
          <w:kern w:val="0"/>
          <w:sz w:val="28"/>
          <w:szCs w:val="28"/>
          <w:lang w:eastAsia="zh-CN"/>
          <w14:textFill>
            <w14:solidFill>
              <w14:schemeClr w14:val="tx1"/>
            </w14:solidFill>
          </w14:textFill>
        </w:rPr>
        <w:t>（</w:t>
      </w:r>
      <w:r>
        <w:rPr>
          <w:rFonts w:hint="eastAsia" w:ascii="Times New Roman" w:hAnsi="Times New Roman" w:eastAsia="宋体"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eastAsia="宋体" w:cs="Times New Roman"/>
          <w:color w:val="000000" w:themeColor="text1"/>
          <w:kern w:val="0"/>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lang w:val="en-US"/>
          <w14:textFill>
            <w14:solidFill>
              <w14:schemeClr w14:val="tx1"/>
            </w14:solidFill>
          </w14:textFill>
        </w:rPr>
        <w:t>清运</w:t>
      </w:r>
    </w:p>
    <w:p w14:paraId="38957FCF">
      <w:pPr>
        <w:pStyle w:val="64"/>
        <w:spacing w:line="360" w:lineRule="auto"/>
        <w:ind w:firstLine="560"/>
        <w:jc w:val="left"/>
        <w:rPr>
          <w:rFonts w:hint="default" w:ascii="Times New Roman" w:hAnsi="Times New Roman" w:eastAsia="宋体" w:cs="Times New Roman"/>
          <w:color w:val="000000" w:themeColor="text1"/>
          <w:sz w:val="28"/>
          <w:szCs w:val="28"/>
          <w:lang w:val="en-US"/>
          <w14:textFill>
            <w14:solidFill>
              <w14:schemeClr w14:val="tx1"/>
            </w14:solidFill>
          </w14:textFill>
        </w:rPr>
      </w:pPr>
      <w:r>
        <w:rPr>
          <w:rFonts w:hint="eastAsia" w:eastAsia="宋体" w:cs="Times New Roman"/>
          <w:color w:val="000000" w:themeColor="text1"/>
          <w:sz w:val="28"/>
          <w:szCs w:val="28"/>
          <w:lang w:val="en-US" w:eastAsia="zh-CN"/>
          <w14:textFill>
            <w14:solidFill>
              <w14:schemeClr w14:val="tx1"/>
            </w14:solidFill>
          </w14:textFill>
        </w:rPr>
        <w:t>对</w:t>
      </w:r>
      <w:r>
        <w:rPr>
          <w:rFonts w:hint="default" w:ascii="Times New Roman" w:hAnsi="Times New Roman" w:eastAsia="宋体" w:cs="Times New Roman"/>
          <w:color w:val="000000" w:themeColor="text1"/>
          <w:sz w:val="28"/>
          <w:szCs w:val="28"/>
          <w:lang w:val="en-US"/>
          <w14:textFill>
            <w14:solidFill>
              <w14:schemeClr w14:val="tx1"/>
            </w14:solidFill>
          </w14:textFill>
        </w:rPr>
        <w:t>场地</w:t>
      </w:r>
      <w:r>
        <w:rPr>
          <w:rFonts w:hint="eastAsia" w:eastAsia="宋体" w:cs="Times New Roman"/>
          <w:color w:val="000000" w:themeColor="text1"/>
          <w:sz w:val="28"/>
          <w:szCs w:val="28"/>
          <w:lang w:val="en-US" w:eastAsia="zh-CN"/>
          <w14:textFill>
            <w14:solidFill>
              <w14:schemeClr w14:val="tx1"/>
            </w14:solidFill>
          </w14:textFill>
        </w:rPr>
        <w:t>内</w:t>
      </w:r>
      <w:r>
        <w:rPr>
          <w:rFonts w:hint="default" w:ascii="Times New Roman" w:hAnsi="Times New Roman" w:eastAsia="宋体" w:cs="Times New Roman"/>
          <w:color w:val="000000" w:themeColor="text1"/>
          <w:sz w:val="28"/>
          <w:szCs w:val="28"/>
          <w:lang w:val="en-US"/>
          <w14:textFill>
            <w14:solidFill>
              <w14:schemeClr w14:val="tx1"/>
            </w14:solidFill>
          </w14:textFill>
        </w:rPr>
        <w:t>堆放</w:t>
      </w:r>
      <w:r>
        <w:rPr>
          <w:rFonts w:hint="eastAsia" w:eastAsia="宋体" w:cs="Times New Roman"/>
          <w:color w:val="000000" w:themeColor="text1"/>
          <w:sz w:val="28"/>
          <w:szCs w:val="28"/>
          <w:lang w:val="en-US" w:eastAsia="zh-CN"/>
          <w14:textFill>
            <w14:solidFill>
              <w14:schemeClr w14:val="tx1"/>
            </w14:solidFill>
          </w14:textFill>
        </w:rPr>
        <w:t>的成品砖进行清运出售，因成品砖清运出售属于矿山自身建设成本，故本方案不计算工程量</w:t>
      </w:r>
      <w:r>
        <w:rPr>
          <w:rFonts w:hint="default" w:ascii="Times New Roman" w:hAnsi="Times New Roman" w:eastAsia="宋体" w:cs="Times New Roman"/>
          <w:color w:val="000000" w:themeColor="text1"/>
          <w:sz w:val="28"/>
          <w:szCs w:val="28"/>
          <w:lang w:val="en-US"/>
          <w14:textFill>
            <w14:solidFill>
              <w14:schemeClr w14:val="tx1"/>
            </w14:solidFill>
          </w14:textFill>
        </w:rPr>
        <w:t>。</w:t>
      </w:r>
    </w:p>
    <w:p w14:paraId="2A2FD89E">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val="en-US" w:eastAsia="zh-CN"/>
          <w14:textFill>
            <w14:solidFill>
              <w14:schemeClr w14:val="tx1"/>
            </w14:solidFill>
          </w14:textFill>
        </w:rPr>
        <w:t>2、</w:t>
      </w:r>
      <w:r>
        <w:rPr>
          <w:rFonts w:hint="default" w:ascii="Times New Roman" w:hAnsi="Times New Roman" w:cs="Times New Roman"/>
          <w:color w:val="000000" w:themeColor="text1"/>
          <w:kern w:val="0"/>
          <w:sz w:val="28"/>
          <w:szCs w:val="28"/>
          <w14:textFill>
            <w14:solidFill>
              <w14:schemeClr w14:val="tx1"/>
            </w14:solidFill>
          </w14:textFill>
        </w:rPr>
        <w:t>土壤重构工程</w:t>
      </w:r>
    </w:p>
    <w:p w14:paraId="10F89ECE">
      <w:pPr>
        <w:widowControl/>
        <w:spacing w:line="360" w:lineRule="auto"/>
        <w:ind w:firstLine="560" w:firstLineChars="200"/>
        <w:rPr>
          <w:rFonts w:hint="eastAsia" w:ascii="Times New Roman" w:hAnsi="Times New Roman" w:eastAsia="宋体" w:cs="Times New Roman"/>
          <w:color w:val="000000" w:themeColor="text1"/>
          <w:kern w:val="0"/>
          <w:sz w:val="28"/>
          <w:szCs w:val="28"/>
          <w:lang w:eastAsia="zh-CN"/>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cs="Times New Roman"/>
          <w:color w:val="000000" w:themeColor="text1"/>
          <w:kern w:val="0"/>
          <w:sz w:val="28"/>
          <w:szCs w:val="28"/>
          <w:lang w:val="en-US" w:eastAsia="zh-CN"/>
          <w14:textFill>
            <w14:solidFill>
              <w14:schemeClr w14:val="tx1"/>
            </w14:solidFill>
          </w14:textFill>
        </w:rPr>
        <w:t>翻耕</w:t>
      </w:r>
    </w:p>
    <w:p w14:paraId="78C1A2E3">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对清运后的</w:t>
      </w:r>
      <w:r>
        <w:rPr>
          <w:rFonts w:hint="default" w:ascii="Times New Roman" w:hAnsi="Times New Roman" w:cs="Times New Roman"/>
          <w:color w:val="000000" w:themeColor="text1"/>
          <w:sz w:val="28"/>
          <w:szCs w:val="28"/>
          <w14:textFill>
            <w14:solidFill>
              <w14:schemeClr w14:val="tx1"/>
            </w14:solidFill>
          </w14:textFill>
        </w:rPr>
        <w:t>场地</w:t>
      </w:r>
      <w:r>
        <w:rPr>
          <w:rFonts w:hint="eastAsia" w:cs="Times New Roman"/>
          <w:color w:val="000000" w:themeColor="text1"/>
          <w:sz w:val="28"/>
          <w:szCs w:val="28"/>
          <w:lang w:val="en-US" w:eastAsia="zh-CN"/>
          <w14:textFill>
            <w14:solidFill>
              <w14:schemeClr w14:val="tx1"/>
            </w14:solidFill>
          </w14:textFill>
        </w:rPr>
        <w:t>进行翻耕</w:t>
      </w:r>
      <w:r>
        <w:rPr>
          <w:rFonts w:hint="default" w:ascii="Times New Roman" w:hAnsi="Times New Roman"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翻耕面积</w:t>
      </w:r>
      <w:r>
        <w:rPr>
          <w:rFonts w:hint="eastAsia" w:ascii="Times New Roman" w:hAnsi="Times New Roman" w:cs="Times New Roman"/>
          <w:color w:val="000000" w:themeColor="text1"/>
          <w:sz w:val="28"/>
          <w:szCs w:val="28"/>
          <w:lang w:val="en-US" w:eastAsia="zh-CN"/>
          <w14:textFill>
            <w14:solidFill>
              <w14:schemeClr w14:val="tx1"/>
            </w14:solidFill>
          </w14:textFill>
        </w:rPr>
        <w:t>10550</w:t>
      </w:r>
      <w:r>
        <w:rPr>
          <w:rFonts w:hint="default" w:ascii="Times New Roman" w:hAnsi="Times New Roman" w:cs="Times New Roman"/>
          <w:color w:val="000000" w:themeColor="text1"/>
          <w:sz w:val="28"/>
          <w:szCs w:val="28"/>
          <w14:textFill>
            <w14:solidFill>
              <w14:schemeClr w14:val="tx1"/>
            </w14:solidFill>
          </w14:textFill>
        </w:rPr>
        <w:t>m</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翻耕</w:t>
      </w:r>
      <w:r>
        <w:rPr>
          <w:rFonts w:hint="default" w:ascii="Times New Roman" w:hAnsi="Times New Roman" w:cs="Times New Roman"/>
          <w:color w:val="000000" w:themeColor="text1"/>
          <w:sz w:val="28"/>
          <w:szCs w:val="28"/>
          <w14:textFill>
            <w14:solidFill>
              <w14:schemeClr w14:val="tx1"/>
            </w14:solidFill>
          </w14:textFill>
        </w:rPr>
        <w:t>厚度为0.5m，则</w:t>
      </w:r>
      <w:r>
        <w:rPr>
          <w:rFonts w:hint="eastAsia" w:cs="Times New Roman"/>
          <w:color w:val="000000" w:themeColor="text1"/>
          <w:sz w:val="28"/>
          <w:szCs w:val="28"/>
          <w:lang w:val="en-US" w:eastAsia="zh-CN"/>
          <w14:textFill>
            <w14:solidFill>
              <w14:schemeClr w14:val="tx1"/>
            </w14:solidFill>
          </w14:textFill>
        </w:rPr>
        <w:t>翻耕</w:t>
      </w:r>
      <w:r>
        <w:rPr>
          <w:rFonts w:hint="default" w:ascii="Times New Roman" w:hAnsi="Times New Roman" w:cs="Times New Roman"/>
          <w:color w:val="000000" w:themeColor="text1"/>
          <w:sz w:val="28"/>
          <w:szCs w:val="28"/>
          <w14:textFill>
            <w14:solidFill>
              <w14:schemeClr w14:val="tx1"/>
            </w14:solidFill>
          </w14:textFill>
        </w:rPr>
        <w:t>工程量</w:t>
      </w:r>
      <w:r>
        <w:rPr>
          <w:rFonts w:hint="eastAsia" w:cs="Times New Roman"/>
          <w:color w:val="000000" w:themeColor="text1"/>
          <w:sz w:val="28"/>
          <w:szCs w:val="28"/>
          <w:lang w:val="en-US" w:eastAsia="zh-CN"/>
          <w14:textFill>
            <w14:solidFill>
              <w14:schemeClr w14:val="tx1"/>
            </w14:solidFill>
          </w14:textFill>
        </w:rPr>
        <w:t>5275</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w:t>
      </w:r>
    </w:p>
    <w:p w14:paraId="20112575">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2</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土地平整</w:t>
      </w:r>
    </w:p>
    <w:p w14:paraId="3DFF879F">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场地</w:t>
      </w:r>
      <w:r>
        <w:rPr>
          <w:rFonts w:hint="eastAsia" w:ascii="Times New Roman" w:hAnsi="Times New Roman" w:cs="Times New Roman"/>
          <w:color w:val="000000" w:themeColor="text1"/>
          <w:sz w:val="28"/>
          <w:szCs w:val="28"/>
          <w:lang w:val="en-US" w:eastAsia="zh-CN"/>
          <w14:textFill>
            <w14:solidFill>
              <w14:schemeClr w14:val="tx1"/>
            </w14:solidFill>
          </w14:textFill>
        </w:rPr>
        <w:t>翻耕</w:t>
      </w:r>
      <w:r>
        <w:rPr>
          <w:rFonts w:hint="default" w:ascii="Times New Roman" w:hAnsi="Times New Roman" w:cs="Times New Roman"/>
          <w:color w:val="000000" w:themeColor="text1"/>
          <w:sz w:val="28"/>
          <w:szCs w:val="28"/>
          <w14:textFill>
            <w14:solidFill>
              <w14:schemeClr w14:val="tx1"/>
            </w14:solidFill>
          </w14:textFill>
        </w:rPr>
        <w:t>后开展平整工作，平整厚度0.</w:t>
      </w:r>
      <w:r>
        <w:rPr>
          <w:rFonts w:hint="eastAsia" w:cs="Times New Roman"/>
          <w:color w:val="000000" w:themeColor="text1"/>
          <w:sz w:val="28"/>
          <w:szCs w:val="28"/>
          <w:lang w:val="en-US" w:eastAsia="zh-CN"/>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m，平整面积</w:t>
      </w:r>
      <w:r>
        <w:rPr>
          <w:rFonts w:hint="eastAsia" w:cs="Times New Roman"/>
          <w:color w:val="000000" w:themeColor="text1"/>
          <w:sz w:val="28"/>
          <w:szCs w:val="28"/>
          <w:lang w:val="en-US" w:eastAsia="zh-CN"/>
          <w14:textFill>
            <w14:solidFill>
              <w14:schemeClr w14:val="tx1"/>
            </w14:solidFill>
          </w14:textFill>
        </w:rPr>
        <w:t>10550</w:t>
      </w:r>
      <w:r>
        <w:rPr>
          <w:rFonts w:hint="default" w:ascii="Times New Roman" w:hAnsi="Times New Roman" w:cs="Times New Roman"/>
          <w:color w:val="000000" w:themeColor="text1"/>
          <w:sz w:val="28"/>
          <w:szCs w:val="28"/>
          <w14:textFill>
            <w14:solidFill>
              <w14:schemeClr w14:val="tx1"/>
            </w14:solidFill>
          </w14:textFill>
        </w:rPr>
        <w:t>m</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，工程量</w:t>
      </w:r>
      <w:r>
        <w:rPr>
          <w:rFonts w:hint="eastAsia" w:cs="Times New Roman"/>
          <w:color w:val="000000" w:themeColor="text1"/>
          <w:sz w:val="28"/>
          <w:szCs w:val="28"/>
          <w:lang w:val="en-US" w:eastAsia="zh-CN"/>
          <w14:textFill>
            <w14:solidFill>
              <w14:schemeClr w14:val="tx1"/>
            </w14:solidFill>
          </w14:textFill>
        </w:rPr>
        <w:t>3165</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w:t>
      </w:r>
    </w:p>
    <w:p w14:paraId="283AB93D">
      <w:pPr>
        <w:widowControl/>
        <w:spacing w:line="360" w:lineRule="auto"/>
        <w:ind w:firstLine="560" w:firstLineChars="200"/>
        <w:rPr>
          <w:rFonts w:hint="default" w:ascii="Times New Roman" w:hAnsi="Times New Roman" w:eastAsia="宋体"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val="en-US" w:eastAsia="zh-CN"/>
          <w14:textFill>
            <w14:solidFill>
              <w14:schemeClr w14:val="tx1"/>
            </w14:solidFill>
          </w14:textFill>
        </w:rPr>
        <w:t>3、</w:t>
      </w:r>
      <w:r>
        <w:rPr>
          <w:rFonts w:hint="default" w:ascii="Times New Roman" w:hAnsi="Times New Roman" w:eastAsia="宋体" w:cs="Times New Roman"/>
          <w:color w:val="000000" w:themeColor="text1"/>
          <w:kern w:val="0"/>
          <w:sz w:val="28"/>
          <w:szCs w:val="28"/>
          <w14:textFill>
            <w14:solidFill>
              <w14:schemeClr w14:val="tx1"/>
            </w14:solidFill>
          </w14:textFill>
        </w:rPr>
        <w:t>植被重建工程</w:t>
      </w:r>
    </w:p>
    <w:p w14:paraId="300A1475">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撒播草籽</w:t>
      </w:r>
    </w:p>
    <w:p w14:paraId="5E73F19B">
      <w:pPr>
        <w:widowControl/>
        <w:spacing w:line="360" w:lineRule="auto"/>
        <w:ind w:firstLine="560" w:firstLineChars="200"/>
        <w:rPr>
          <w:rFonts w:hint="eastAsia" w:cs="Times New Roman"/>
          <w:b/>
          <w:bCs/>
          <w:color w:val="000000" w:themeColor="text1"/>
          <w:kern w:val="0"/>
          <w:sz w:val="28"/>
          <w:szCs w:val="28"/>
          <w:lang w:eastAsia="zh-CN"/>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草种撒播，增加地表植被的覆盖度，草种为</w:t>
      </w:r>
      <w:r>
        <w:rPr>
          <w:rFonts w:hint="eastAsia" w:cs="Times New Roman"/>
          <w:color w:val="000000" w:themeColor="text1"/>
          <w:sz w:val="28"/>
          <w:szCs w:val="28"/>
          <w:lang w:val="en-US" w:eastAsia="zh-CN"/>
          <w14:textFill>
            <w14:solidFill>
              <w14:schemeClr w14:val="tx1"/>
            </w14:solidFill>
          </w14:textFill>
        </w:rPr>
        <w:t>各种草籽混合撒播</w:t>
      </w:r>
      <w:r>
        <w:rPr>
          <w:rFonts w:hint="default" w:ascii="Times New Roman" w:hAnsi="Times New Roman" w:cs="Times New Roman"/>
          <w:color w:val="000000" w:themeColor="text1"/>
          <w:sz w:val="28"/>
          <w:szCs w:val="28"/>
          <w14:textFill>
            <w14:solidFill>
              <w14:schemeClr w14:val="tx1"/>
            </w14:solidFill>
          </w14:textFill>
        </w:rPr>
        <w:t>，撒播面积</w:t>
      </w:r>
      <w:r>
        <w:rPr>
          <w:rFonts w:hint="eastAsia" w:cs="Times New Roman"/>
          <w:color w:val="000000" w:themeColor="text1"/>
          <w:sz w:val="28"/>
          <w:szCs w:val="28"/>
          <w:lang w:val="en-US" w:eastAsia="zh-CN"/>
          <w14:textFill>
            <w14:solidFill>
              <w14:schemeClr w14:val="tx1"/>
            </w14:solidFill>
          </w14:textFill>
        </w:rPr>
        <w:t>1.0550h</w:t>
      </w:r>
      <w:r>
        <w:rPr>
          <w:rFonts w:hint="default" w:ascii="Times New Roman" w:hAnsi="Times New Roman" w:cs="Times New Roman"/>
          <w:color w:val="000000" w:themeColor="text1"/>
          <w:sz w:val="28"/>
          <w:szCs w:val="28"/>
          <w14:textFill>
            <w14:solidFill>
              <w14:schemeClr w14:val="tx1"/>
            </w14:solidFill>
          </w14:textFill>
        </w:rPr>
        <w:t>m</w:t>
      </w:r>
      <w:r>
        <w:rPr>
          <w:rFonts w:hint="eastAsia"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p>
    <w:p w14:paraId="5EFC146E">
      <w:pPr>
        <w:widowControl/>
        <w:spacing w:line="240" w:lineRule="auto"/>
        <w:jc w:val="center"/>
        <w:rPr>
          <w:rFonts w:hint="eastAsia" w:eastAsia="宋体" w:cs="Times New Roman"/>
          <w:b/>
          <w:bCs/>
          <w:color w:val="000000" w:themeColor="text1"/>
          <w:kern w:val="0"/>
          <w:sz w:val="24"/>
          <w:szCs w:val="24"/>
          <w:lang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w:t>
      </w:r>
    </w:p>
    <w:p w14:paraId="2197B97D">
      <w:pPr>
        <w:widowControl/>
        <w:spacing w:line="360" w:lineRule="auto"/>
        <w:jc w:val="center"/>
        <w:rPr>
          <w:rFonts w:hint="eastAsia" w:cs="Times New Roman"/>
          <w:b/>
          <w:bCs/>
          <w:color w:val="000000" w:themeColor="text1"/>
          <w:kern w:val="0"/>
          <w:sz w:val="24"/>
          <w:szCs w:val="24"/>
          <w:lang w:eastAsia="zh-CN"/>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图4-</w:t>
      </w:r>
      <w:r>
        <w:rPr>
          <w:rFonts w:hint="eastAsia" w:ascii="黑体" w:hAnsi="黑体" w:eastAsia="黑体" w:cs="黑体"/>
          <w:b w:val="0"/>
          <w:bCs w:val="0"/>
          <w:color w:val="000000" w:themeColor="text1"/>
          <w:sz w:val="24"/>
          <w:szCs w:val="24"/>
          <w:lang w:val="en-US" w:eastAsia="zh-CN"/>
          <w14:textFill>
            <w14:solidFill>
              <w14:schemeClr w14:val="tx1"/>
            </w14:solidFill>
          </w14:textFill>
        </w:rPr>
        <w:t>9</w:t>
      </w:r>
      <w:r>
        <w:rPr>
          <w:rFonts w:hint="eastAsia" w:ascii="黑体" w:hAnsi="黑体" w:eastAsia="黑体" w:cs="黑体"/>
          <w:b w:val="0"/>
          <w:bCs w:val="0"/>
          <w:color w:val="000000" w:themeColor="text1"/>
          <w:sz w:val="24"/>
          <w:szCs w:val="24"/>
          <w14:textFill>
            <w14:solidFill>
              <w14:schemeClr w14:val="tx1"/>
            </w14:solidFill>
          </w14:textFill>
        </w:rPr>
        <w:t xml:space="preserve">  </w:t>
      </w:r>
      <w:r>
        <w:rPr>
          <w:rFonts w:hint="eastAsia" w:ascii="黑体" w:hAnsi="黑体" w:eastAsia="黑体" w:cs="黑体"/>
          <w:b w:val="0"/>
          <w:bCs w:val="0"/>
          <w:color w:val="000000" w:themeColor="text1"/>
          <w:sz w:val="24"/>
          <w:szCs w:val="24"/>
          <w:lang w:val="en-US" w:eastAsia="zh-CN"/>
          <w14:textFill>
            <w14:solidFill>
              <w14:schemeClr w14:val="tx1"/>
            </w14:solidFill>
          </w14:textFill>
        </w:rPr>
        <w:t>成品砖堆放场</w:t>
      </w:r>
      <w:r>
        <w:rPr>
          <w:rFonts w:hint="eastAsia" w:ascii="黑体" w:hAnsi="黑体" w:eastAsia="黑体" w:cs="黑体"/>
          <w:b w:val="0"/>
          <w:bCs w:val="0"/>
          <w:color w:val="000000" w:themeColor="text1"/>
          <w:sz w:val="24"/>
          <w:szCs w:val="24"/>
          <w14:textFill>
            <w14:solidFill>
              <w14:schemeClr w14:val="tx1"/>
            </w14:solidFill>
          </w14:textFill>
        </w:rPr>
        <w:t>生态修复效果剖面图</w:t>
      </w:r>
    </w:p>
    <w:p w14:paraId="338A5654">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outlineLvl w:val="3"/>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r>
        <w:rPr>
          <w:rFonts w:hint="eastAsia" w:cs="Times New Roman"/>
          <w:b/>
          <w:bCs/>
          <w:color w:val="000000" w:themeColor="text1"/>
          <w:sz w:val="28"/>
          <w:szCs w:val="28"/>
          <w:lang w:val="en-US" w:eastAsia="zh-CN"/>
          <w14:textFill>
            <w14:solidFill>
              <w14:schemeClr w14:val="tx1"/>
            </w14:solidFill>
          </w14:textFill>
        </w:rPr>
        <w:t>（七）料堆</w:t>
      </w:r>
    </w:p>
    <w:p w14:paraId="22517E93">
      <w:pPr>
        <w:widowControl/>
        <w:spacing w:line="360" w:lineRule="auto"/>
        <w:ind w:firstLine="560" w:firstLineChars="200"/>
        <w:rPr>
          <w:rFonts w:hint="default" w:ascii="Times New Roman" w:hAnsi="Times New Roman" w:eastAsia="宋体"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default" w:ascii="Times New Roman" w:hAnsi="Times New Roman" w:eastAsia="宋体" w:cs="Times New Roman"/>
          <w:color w:val="000000" w:themeColor="text1"/>
          <w:kern w:val="0"/>
          <w:sz w:val="28"/>
          <w:szCs w:val="28"/>
          <w14:textFill>
            <w14:solidFill>
              <w14:schemeClr w14:val="tx1"/>
            </w14:solidFill>
          </w14:textFill>
        </w:rPr>
        <w:t>地貌重塑工程</w:t>
      </w:r>
    </w:p>
    <w:p w14:paraId="741FB883">
      <w:pPr>
        <w:pStyle w:val="64"/>
        <w:spacing w:line="360" w:lineRule="auto"/>
        <w:ind w:firstLine="560"/>
        <w:jc w:val="left"/>
        <w:rPr>
          <w:rFonts w:hint="default" w:ascii="Times New Roman" w:hAnsi="Times New Roman" w:eastAsia="宋体" w:cs="Times New Roman"/>
          <w:color w:val="000000" w:themeColor="text1"/>
          <w:sz w:val="28"/>
          <w:szCs w:val="28"/>
          <w:lang w:val="en-US"/>
          <w14:textFill>
            <w14:solidFill>
              <w14:schemeClr w14:val="tx1"/>
            </w14:solidFill>
          </w14:textFill>
        </w:rPr>
      </w:pPr>
      <w:r>
        <w:rPr>
          <w:rFonts w:hint="eastAsia" w:ascii="Times New Roman" w:hAnsi="Times New Roman" w:eastAsia="宋体" w:cs="Times New Roman"/>
          <w:color w:val="000000" w:themeColor="text1"/>
          <w:kern w:val="0"/>
          <w:sz w:val="28"/>
          <w:szCs w:val="28"/>
          <w:lang w:eastAsia="zh-CN"/>
          <w14:textFill>
            <w14:solidFill>
              <w14:schemeClr w14:val="tx1"/>
            </w14:solidFill>
          </w14:textFill>
        </w:rPr>
        <w:t>（</w:t>
      </w:r>
      <w:r>
        <w:rPr>
          <w:rFonts w:hint="eastAsia" w:ascii="Times New Roman" w:hAnsi="Times New Roman" w:eastAsia="宋体"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eastAsia="宋体" w:cs="Times New Roman"/>
          <w:color w:val="000000" w:themeColor="text1"/>
          <w:kern w:val="0"/>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lang w:val="en-US"/>
          <w14:textFill>
            <w14:solidFill>
              <w14:schemeClr w14:val="tx1"/>
            </w14:solidFill>
          </w14:textFill>
        </w:rPr>
        <w:t>清运</w:t>
      </w:r>
    </w:p>
    <w:p w14:paraId="4AC6893F">
      <w:pPr>
        <w:pStyle w:val="64"/>
        <w:spacing w:line="360" w:lineRule="auto"/>
        <w:ind w:firstLine="560"/>
        <w:jc w:val="left"/>
        <w:rPr>
          <w:rFonts w:hint="default" w:eastAsia="宋体" w:cs="Times New Roman"/>
          <w:color w:val="000000" w:themeColor="text1"/>
          <w:sz w:val="28"/>
          <w:szCs w:val="28"/>
          <w:lang w:val="en-US" w:eastAsia="zh-CN"/>
          <w14:textFill>
            <w14:solidFill>
              <w14:schemeClr w14:val="tx1"/>
            </w14:solidFill>
          </w14:textFill>
        </w:rPr>
      </w:pPr>
      <w:r>
        <w:rPr>
          <w:rFonts w:hint="eastAsia" w:eastAsia="宋体" w:cs="Times New Roman"/>
          <w:color w:val="000000" w:themeColor="text1"/>
          <w:sz w:val="28"/>
          <w:szCs w:val="28"/>
          <w:lang w:val="en-US" w:eastAsia="zh-CN"/>
          <w14:textFill>
            <w14:solidFill>
              <w14:schemeClr w14:val="tx1"/>
            </w14:solidFill>
          </w14:textFill>
        </w:rPr>
        <w:t>近期：对场地南侧及南西侧占用水浇地区域进行清运，</w:t>
      </w:r>
      <w:r>
        <w:rPr>
          <w:rFonts w:hint="default" w:ascii="Times New Roman" w:hAnsi="Times New Roman" w:eastAsia="宋体" w:cs="Times New Roman"/>
          <w:color w:val="000000" w:themeColor="text1"/>
          <w:sz w:val="28"/>
          <w:szCs w:val="28"/>
          <w14:textFill>
            <w14:solidFill>
              <w14:schemeClr w14:val="tx1"/>
            </w14:solidFill>
          </w14:textFill>
        </w:rPr>
        <w:t>清运工程量</w:t>
      </w:r>
      <w:r>
        <w:rPr>
          <w:rFonts w:hint="default" w:ascii="Times New Roman" w:hAnsi="Times New Roman" w:eastAsia="宋体" w:cs="Times New Roman"/>
          <w:color w:val="000000" w:themeColor="text1"/>
          <w:sz w:val="28"/>
          <w:szCs w:val="28"/>
          <w:lang w:val="en-US"/>
          <w14:textFill>
            <w14:solidFill>
              <w14:schemeClr w14:val="tx1"/>
            </w14:solidFill>
          </w14:textFill>
        </w:rPr>
        <w:t>为</w:t>
      </w:r>
      <w:r>
        <w:rPr>
          <w:rFonts w:hint="eastAsia" w:eastAsia="宋体" w:cs="Times New Roman"/>
          <w:color w:val="000000" w:themeColor="text1"/>
          <w:sz w:val="28"/>
          <w:szCs w:val="28"/>
          <w:lang w:val="en-US" w:eastAsia="zh-CN"/>
          <w14:textFill>
            <w14:solidFill>
              <w14:schemeClr w14:val="tx1"/>
            </w14:solidFill>
          </w14:textFill>
        </w:rPr>
        <w:t>1135</w:t>
      </w:r>
      <w:r>
        <w:rPr>
          <w:rFonts w:hint="default" w:ascii="Times New Roman" w:hAnsi="Times New Roman" w:eastAsia="宋体" w:cs="Times New Roman"/>
          <w:color w:val="000000" w:themeColor="text1"/>
          <w:sz w:val="28"/>
          <w:szCs w:val="28"/>
          <w:lang w:val="en-US"/>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lang w:val="en-US"/>
          <w14:textFill>
            <w14:solidFill>
              <w14:schemeClr w14:val="tx1"/>
            </w14:solidFill>
          </w14:textFill>
        </w:rPr>
        <w:t>3</w:t>
      </w:r>
      <w:r>
        <w:rPr>
          <w:rFonts w:hint="default" w:ascii="Times New Roman" w:hAnsi="Times New Roman" w:eastAsia="宋体" w:cs="Times New Roman"/>
          <w:color w:val="000000" w:themeColor="text1"/>
          <w:sz w:val="28"/>
          <w:szCs w:val="28"/>
          <w:lang w:val="en-US"/>
          <w14:textFill>
            <w14:solidFill>
              <w14:schemeClr w14:val="tx1"/>
            </w14:solidFill>
          </w14:textFill>
        </w:rPr>
        <w:t>。</w:t>
      </w:r>
    </w:p>
    <w:p w14:paraId="5FA562B9">
      <w:pPr>
        <w:pStyle w:val="64"/>
        <w:spacing w:line="360" w:lineRule="auto"/>
        <w:ind w:left="0" w:leftChars="0" w:firstLine="560" w:firstLineChars="200"/>
        <w:jc w:val="left"/>
        <w:rPr>
          <w:rFonts w:hint="default" w:ascii="Times New Roman" w:hAnsi="Times New Roman" w:eastAsia="宋体" w:cs="Times New Roman"/>
          <w:color w:val="000000" w:themeColor="text1"/>
          <w:sz w:val="28"/>
          <w:szCs w:val="28"/>
          <w:lang w:val="en-US"/>
          <w14:textFill>
            <w14:solidFill>
              <w14:schemeClr w14:val="tx1"/>
            </w14:solidFill>
          </w14:textFill>
        </w:rPr>
      </w:pPr>
      <w:r>
        <w:rPr>
          <w:rFonts w:hint="eastAsia" w:eastAsia="宋体" w:cs="Times New Roman"/>
          <w:color w:val="000000" w:themeColor="text1"/>
          <w:sz w:val="28"/>
          <w:szCs w:val="28"/>
          <w:lang w:val="en-US" w:eastAsia="zh-CN"/>
          <w14:textFill>
            <w14:solidFill>
              <w14:schemeClr w14:val="tx1"/>
            </w14:solidFill>
          </w14:textFill>
        </w:rPr>
        <w:t>终采后：对场地内堆存的堆料进行清运</w:t>
      </w:r>
      <w:r>
        <w:rPr>
          <w:rFonts w:hint="default" w:ascii="Times New Roman" w:hAnsi="Times New Roman" w:eastAsia="宋体" w:cs="Times New Roman"/>
          <w:color w:val="000000" w:themeColor="text1"/>
          <w:sz w:val="28"/>
          <w:szCs w:val="28"/>
          <w:lang w:val="en-US"/>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清运工程量</w:t>
      </w:r>
      <w:r>
        <w:rPr>
          <w:rFonts w:hint="default" w:ascii="Times New Roman" w:hAnsi="Times New Roman" w:eastAsia="宋体" w:cs="Times New Roman"/>
          <w:color w:val="000000" w:themeColor="text1"/>
          <w:sz w:val="28"/>
          <w:szCs w:val="28"/>
          <w:lang w:val="en-US"/>
          <w14:textFill>
            <w14:solidFill>
              <w14:schemeClr w14:val="tx1"/>
            </w14:solidFill>
          </w14:textFill>
        </w:rPr>
        <w:t>为</w:t>
      </w:r>
      <w:r>
        <w:rPr>
          <w:rFonts w:hint="eastAsia" w:eastAsia="宋体" w:cs="Times New Roman"/>
          <w:color w:val="000000" w:themeColor="text1"/>
          <w:sz w:val="28"/>
          <w:szCs w:val="28"/>
          <w:lang w:val="en-US" w:eastAsia="zh-CN"/>
          <w14:textFill>
            <w14:solidFill>
              <w14:schemeClr w14:val="tx1"/>
            </w14:solidFill>
          </w14:textFill>
        </w:rPr>
        <w:t>11000</w:t>
      </w:r>
      <w:r>
        <w:rPr>
          <w:rFonts w:hint="default" w:ascii="Times New Roman" w:hAnsi="Times New Roman" w:eastAsia="宋体" w:cs="Times New Roman"/>
          <w:color w:val="000000" w:themeColor="text1"/>
          <w:sz w:val="28"/>
          <w:szCs w:val="28"/>
          <w:lang w:val="en-US"/>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lang w:val="en-US"/>
          <w14:textFill>
            <w14:solidFill>
              <w14:schemeClr w14:val="tx1"/>
            </w14:solidFill>
          </w14:textFill>
        </w:rPr>
        <w:t>3</w:t>
      </w:r>
      <w:r>
        <w:rPr>
          <w:rFonts w:hint="default" w:ascii="Times New Roman" w:hAnsi="Times New Roman" w:eastAsia="宋体" w:cs="Times New Roman"/>
          <w:color w:val="000000" w:themeColor="text1"/>
          <w:sz w:val="28"/>
          <w:szCs w:val="28"/>
          <w:lang w:val="en-US"/>
          <w14:textFill>
            <w14:solidFill>
              <w14:schemeClr w14:val="tx1"/>
            </w14:solidFill>
          </w14:textFill>
        </w:rPr>
        <w:t>。</w:t>
      </w:r>
    </w:p>
    <w:p w14:paraId="1D5506C0">
      <w:pPr>
        <w:widowControl/>
        <w:spacing w:line="360" w:lineRule="auto"/>
        <w:ind w:firstLine="560" w:firstLineChars="200"/>
        <w:rPr>
          <w:rFonts w:hint="default" w:ascii="Times New Roman" w:hAnsi="Times New Roman" w:eastAsia="宋体"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val="en-US" w:eastAsia="zh-CN"/>
          <w14:textFill>
            <w14:solidFill>
              <w14:schemeClr w14:val="tx1"/>
            </w14:solidFill>
          </w14:textFill>
        </w:rPr>
        <w:t>2、</w:t>
      </w:r>
      <w:r>
        <w:rPr>
          <w:rFonts w:hint="default" w:ascii="Times New Roman" w:hAnsi="Times New Roman" w:eastAsia="宋体" w:cs="Times New Roman"/>
          <w:color w:val="000000" w:themeColor="text1"/>
          <w:kern w:val="0"/>
          <w:sz w:val="28"/>
          <w:szCs w:val="28"/>
          <w14:textFill>
            <w14:solidFill>
              <w14:schemeClr w14:val="tx1"/>
            </w14:solidFill>
          </w14:textFill>
        </w:rPr>
        <w:t>土壤重构工程</w:t>
      </w:r>
    </w:p>
    <w:p w14:paraId="63009980">
      <w:pPr>
        <w:widowControl/>
        <w:spacing w:line="360" w:lineRule="auto"/>
        <w:ind w:firstLine="560" w:firstLineChars="200"/>
        <w:rPr>
          <w:rFonts w:hint="eastAsia" w:ascii="Times New Roman" w:hAnsi="Times New Roman" w:eastAsia="宋体" w:cs="Times New Roman"/>
          <w:color w:val="000000" w:themeColor="text1"/>
          <w:kern w:val="0"/>
          <w:sz w:val="28"/>
          <w:szCs w:val="28"/>
          <w:lang w:eastAsia="zh-CN"/>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cs="Times New Roman"/>
          <w:color w:val="000000" w:themeColor="text1"/>
          <w:kern w:val="0"/>
          <w:sz w:val="28"/>
          <w:szCs w:val="28"/>
          <w:lang w:val="en-US" w:eastAsia="zh-CN"/>
          <w14:textFill>
            <w14:solidFill>
              <w14:schemeClr w14:val="tx1"/>
            </w14:solidFill>
          </w14:textFill>
        </w:rPr>
        <w:t>翻耕</w:t>
      </w:r>
    </w:p>
    <w:p w14:paraId="7357C235">
      <w:pPr>
        <w:widowControl/>
        <w:spacing w:line="360" w:lineRule="auto"/>
        <w:ind w:firstLine="560" w:firstLineChars="200"/>
        <w:rPr>
          <w:rFonts w:hint="default" w:cs="Times New Roman"/>
          <w:color w:val="000000" w:themeColor="text1"/>
          <w:sz w:val="28"/>
          <w:szCs w:val="28"/>
          <w:lang w:val="en-US"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近期对</w:t>
      </w:r>
      <w:r>
        <w:rPr>
          <w:rFonts w:hint="eastAsia" w:eastAsia="宋体" w:cs="Times New Roman"/>
          <w:color w:val="000000" w:themeColor="text1"/>
          <w:sz w:val="28"/>
          <w:szCs w:val="28"/>
          <w:lang w:val="en-US" w:eastAsia="zh-CN"/>
          <w14:textFill>
            <w14:solidFill>
              <w14:schemeClr w14:val="tx1"/>
            </w14:solidFill>
          </w14:textFill>
        </w:rPr>
        <w:t>场地南侧及南西侧占用水浇地清运后区域进行翻耕，926m</w:t>
      </w:r>
      <w:r>
        <w:rPr>
          <w:rFonts w:hint="eastAsia" w:eastAsia="宋体" w:cs="Times New Roman"/>
          <w:color w:val="000000" w:themeColor="text1"/>
          <w:sz w:val="28"/>
          <w:szCs w:val="28"/>
          <w:vertAlign w:val="superscript"/>
          <w:lang w:val="en-US" w:eastAsia="zh-CN"/>
          <w14:textFill>
            <w14:solidFill>
              <w14:schemeClr w14:val="tx1"/>
            </w14:solidFill>
          </w14:textFill>
        </w:rPr>
        <w:t>2</w:t>
      </w:r>
      <w:r>
        <w:rPr>
          <w:rFonts w:hint="eastAsia" w:eastAsia="宋体" w:cs="Times New Roman"/>
          <w:color w:val="000000" w:themeColor="text1"/>
          <w:sz w:val="28"/>
          <w:szCs w:val="28"/>
          <w:lang w:val="en-US"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翻耕</w:t>
      </w:r>
      <w:r>
        <w:rPr>
          <w:rFonts w:hint="default" w:ascii="Times New Roman" w:hAnsi="Times New Roman" w:cs="Times New Roman"/>
          <w:color w:val="000000" w:themeColor="text1"/>
          <w:sz w:val="28"/>
          <w:szCs w:val="28"/>
          <w14:textFill>
            <w14:solidFill>
              <w14:schemeClr w14:val="tx1"/>
            </w14:solidFill>
          </w14:textFill>
        </w:rPr>
        <w:t>厚度为0.5m，则</w:t>
      </w:r>
      <w:r>
        <w:rPr>
          <w:rFonts w:hint="eastAsia" w:cs="Times New Roman"/>
          <w:color w:val="000000" w:themeColor="text1"/>
          <w:sz w:val="28"/>
          <w:szCs w:val="28"/>
          <w:lang w:val="en-US" w:eastAsia="zh-CN"/>
          <w14:textFill>
            <w14:solidFill>
              <w14:schemeClr w14:val="tx1"/>
            </w14:solidFill>
          </w14:textFill>
        </w:rPr>
        <w:t>翻耕</w:t>
      </w:r>
      <w:r>
        <w:rPr>
          <w:rFonts w:hint="default" w:ascii="Times New Roman" w:hAnsi="Times New Roman" w:cs="Times New Roman"/>
          <w:color w:val="000000" w:themeColor="text1"/>
          <w:sz w:val="28"/>
          <w:szCs w:val="28"/>
          <w14:textFill>
            <w14:solidFill>
              <w14:schemeClr w14:val="tx1"/>
            </w14:solidFill>
          </w14:textFill>
        </w:rPr>
        <w:t>工程量</w:t>
      </w:r>
      <w:r>
        <w:rPr>
          <w:rFonts w:hint="eastAsia" w:cs="Times New Roman"/>
          <w:color w:val="000000" w:themeColor="text1"/>
          <w:sz w:val="28"/>
          <w:szCs w:val="28"/>
          <w:lang w:val="en-US" w:eastAsia="zh-CN"/>
          <w14:textFill>
            <w14:solidFill>
              <w14:schemeClr w14:val="tx1"/>
            </w14:solidFill>
          </w14:textFill>
        </w:rPr>
        <w:t>463</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w:t>
      </w:r>
    </w:p>
    <w:p w14:paraId="074CF3DC">
      <w:pPr>
        <w:widowControl/>
        <w:spacing w:line="360" w:lineRule="auto"/>
        <w:ind w:firstLine="560" w:firstLineChars="200"/>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eastAsia" w:eastAsia="宋体" w:cs="Times New Roman"/>
          <w:color w:val="000000" w:themeColor="text1"/>
          <w:sz w:val="28"/>
          <w:szCs w:val="28"/>
          <w:lang w:val="en-US" w:eastAsia="zh-CN"/>
          <w14:textFill>
            <w14:solidFill>
              <w14:schemeClr w14:val="tx1"/>
            </w14:solidFill>
          </w14:textFill>
        </w:rPr>
        <w:t>终采后：</w:t>
      </w:r>
      <w:r>
        <w:rPr>
          <w:rFonts w:hint="eastAsia" w:cs="Times New Roman"/>
          <w:color w:val="000000" w:themeColor="text1"/>
          <w:sz w:val="28"/>
          <w:szCs w:val="28"/>
          <w:lang w:val="en-US" w:eastAsia="zh-CN"/>
          <w14:textFill>
            <w14:solidFill>
              <w14:schemeClr w14:val="tx1"/>
            </w14:solidFill>
          </w14:textFill>
        </w:rPr>
        <w:t>对清运后的</w:t>
      </w:r>
      <w:r>
        <w:rPr>
          <w:rFonts w:hint="default" w:ascii="Times New Roman" w:hAnsi="Times New Roman" w:cs="Times New Roman"/>
          <w:color w:val="000000" w:themeColor="text1"/>
          <w:sz w:val="28"/>
          <w:szCs w:val="28"/>
          <w14:textFill>
            <w14:solidFill>
              <w14:schemeClr w14:val="tx1"/>
            </w14:solidFill>
          </w14:textFill>
        </w:rPr>
        <w:t>场地</w:t>
      </w:r>
      <w:r>
        <w:rPr>
          <w:rFonts w:hint="eastAsia" w:cs="Times New Roman"/>
          <w:color w:val="000000" w:themeColor="text1"/>
          <w:sz w:val="28"/>
          <w:szCs w:val="28"/>
          <w:lang w:val="en-US" w:eastAsia="zh-CN"/>
          <w14:textFill>
            <w14:solidFill>
              <w14:schemeClr w14:val="tx1"/>
            </w14:solidFill>
          </w14:textFill>
        </w:rPr>
        <w:t>进行翻耕</w:t>
      </w:r>
      <w:r>
        <w:rPr>
          <w:rFonts w:hint="default" w:ascii="Times New Roman" w:hAnsi="Times New Roman"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翻耕面积3281</w:t>
      </w:r>
      <w:r>
        <w:rPr>
          <w:rFonts w:hint="default" w:ascii="Times New Roman" w:hAnsi="Times New Roman" w:cs="Times New Roman"/>
          <w:color w:val="000000" w:themeColor="text1"/>
          <w:sz w:val="28"/>
          <w:szCs w:val="28"/>
          <w14:textFill>
            <w14:solidFill>
              <w14:schemeClr w14:val="tx1"/>
            </w14:solidFill>
          </w14:textFill>
        </w:rPr>
        <w:t>m</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翻耕</w:t>
      </w:r>
      <w:r>
        <w:rPr>
          <w:rFonts w:hint="default" w:ascii="Times New Roman" w:hAnsi="Times New Roman" w:cs="Times New Roman"/>
          <w:color w:val="000000" w:themeColor="text1"/>
          <w:sz w:val="28"/>
          <w:szCs w:val="28"/>
          <w14:textFill>
            <w14:solidFill>
              <w14:schemeClr w14:val="tx1"/>
            </w14:solidFill>
          </w14:textFill>
        </w:rPr>
        <w:t>厚度为0.5m，则</w:t>
      </w:r>
      <w:r>
        <w:rPr>
          <w:rFonts w:hint="eastAsia" w:cs="Times New Roman"/>
          <w:color w:val="000000" w:themeColor="text1"/>
          <w:sz w:val="28"/>
          <w:szCs w:val="28"/>
          <w:lang w:val="en-US" w:eastAsia="zh-CN"/>
          <w14:textFill>
            <w14:solidFill>
              <w14:schemeClr w14:val="tx1"/>
            </w14:solidFill>
          </w14:textFill>
        </w:rPr>
        <w:t>翻耕</w:t>
      </w:r>
      <w:r>
        <w:rPr>
          <w:rFonts w:hint="default" w:ascii="Times New Roman" w:hAnsi="Times New Roman" w:cs="Times New Roman"/>
          <w:color w:val="000000" w:themeColor="text1"/>
          <w:sz w:val="28"/>
          <w:szCs w:val="28"/>
          <w14:textFill>
            <w14:solidFill>
              <w14:schemeClr w14:val="tx1"/>
            </w14:solidFill>
          </w14:textFill>
        </w:rPr>
        <w:t>工程量</w:t>
      </w:r>
      <w:r>
        <w:rPr>
          <w:rFonts w:hint="eastAsia" w:cs="Times New Roman"/>
          <w:color w:val="000000" w:themeColor="text1"/>
          <w:sz w:val="28"/>
          <w:szCs w:val="28"/>
          <w:lang w:val="en-US" w:eastAsia="zh-CN"/>
          <w14:textFill>
            <w14:solidFill>
              <w14:schemeClr w14:val="tx1"/>
            </w14:solidFill>
          </w14:textFill>
        </w:rPr>
        <w:t>1641</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w:t>
      </w:r>
    </w:p>
    <w:p w14:paraId="3B62E356">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2</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土地平整</w:t>
      </w:r>
    </w:p>
    <w:p w14:paraId="64BEC347">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近期对</w:t>
      </w:r>
      <w:r>
        <w:rPr>
          <w:rFonts w:hint="eastAsia" w:eastAsia="宋体" w:cs="Times New Roman"/>
          <w:color w:val="000000" w:themeColor="text1"/>
          <w:sz w:val="28"/>
          <w:szCs w:val="28"/>
          <w:lang w:val="en-US" w:eastAsia="zh-CN"/>
          <w14:textFill>
            <w14:solidFill>
              <w14:schemeClr w14:val="tx1"/>
            </w14:solidFill>
          </w14:textFill>
        </w:rPr>
        <w:t>场地南侧及南西侧占用水浇地翻耕后区域进行平整工作，</w:t>
      </w:r>
      <w:r>
        <w:rPr>
          <w:rFonts w:hint="default" w:ascii="Times New Roman" w:hAnsi="Times New Roman" w:cs="Times New Roman"/>
          <w:color w:val="000000" w:themeColor="text1"/>
          <w:sz w:val="28"/>
          <w:szCs w:val="28"/>
          <w14:textFill>
            <w14:solidFill>
              <w14:schemeClr w14:val="tx1"/>
            </w14:solidFill>
          </w14:textFill>
        </w:rPr>
        <w:t>平整厚度0.</w:t>
      </w:r>
      <w:r>
        <w:rPr>
          <w:rFonts w:hint="eastAsia" w:cs="Times New Roman"/>
          <w:color w:val="000000" w:themeColor="text1"/>
          <w:sz w:val="28"/>
          <w:szCs w:val="28"/>
          <w:lang w:val="en-US" w:eastAsia="zh-CN"/>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m，平整面积</w:t>
      </w:r>
      <w:r>
        <w:rPr>
          <w:rFonts w:hint="eastAsia" w:cs="Times New Roman"/>
          <w:color w:val="000000" w:themeColor="text1"/>
          <w:sz w:val="28"/>
          <w:szCs w:val="28"/>
          <w:lang w:val="en-US" w:eastAsia="zh-CN"/>
          <w14:textFill>
            <w14:solidFill>
              <w14:schemeClr w14:val="tx1"/>
            </w14:solidFill>
          </w14:textFill>
        </w:rPr>
        <w:t>926</w:t>
      </w:r>
      <w:r>
        <w:rPr>
          <w:rFonts w:hint="default" w:ascii="Times New Roman" w:hAnsi="Times New Roman" w:cs="Times New Roman"/>
          <w:color w:val="000000" w:themeColor="text1"/>
          <w:sz w:val="28"/>
          <w:szCs w:val="28"/>
          <w14:textFill>
            <w14:solidFill>
              <w14:schemeClr w14:val="tx1"/>
            </w14:solidFill>
          </w14:textFill>
        </w:rPr>
        <w:t>m</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，工程量</w:t>
      </w:r>
      <w:r>
        <w:rPr>
          <w:rFonts w:hint="eastAsia" w:cs="Times New Roman"/>
          <w:color w:val="000000" w:themeColor="text1"/>
          <w:sz w:val="28"/>
          <w:szCs w:val="28"/>
          <w:lang w:val="en-US" w:eastAsia="zh-CN"/>
          <w14:textFill>
            <w14:solidFill>
              <w14:schemeClr w14:val="tx1"/>
            </w14:solidFill>
          </w14:textFill>
        </w:rPr>
        <w:t>278</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w:t>
      </w:r>
    </w:p>
    <w:p w14:paraId="40EDDF60">
      <w:pPr>
        <w:widowControl/>
        <w:spacing w:line="360" w:lineRule="auto"/>
        <w:ind w:firstLine="560" w:firstLineChars="200"/>
        <w:rPr>
          <w:rFonts w:hint="default" w:ascii="Times New Roman" w:hAnsi="Times New Roman" w:eastAsia="宋体" w:cs="Times New Roman"/>
          <w:color w:val="000000" w:themeColor="text1"/>
          <w:kern w:val="0"/>
          <w:sz w:val="28"/>
          <w:szCs w:val="28"/>
          <w:lang w:val="en-US" w:eastAsia="zh-CN"/>
          <w14:textFill>
            <w14:solidFill>
              <w14:schemeClr w14:val="tx1"/>
            </w14:solidFill>
          </w14:textFill>
        </w:rPr>
      </w:pPr>
      <w:r>
        <w:rPr>
          <w:rFonts w:hint="eastAsia" w:eastAsia="宋体" w:cs="Times New Roman"/>
          <w:color w:val="000000" w:themeColor="text1"/>
          <w:sz w:val="28"/>
          <w:szCs w:val="28"/>
          <w:lang w:val="en-US" w:eastAsia="zh-CN"/>
          <w14:textFill>
            <w14:solidFill>
              <w14:schemeClr w14:val="tx1"/>
            </w14:solidFill>
          </w14:textFill>
        </w:rPr>
        <w:t>终采后：</w:t>
      </w:r>
      <w:r>
        <w:rPr>
          <w:rFonts w:hint="default" w:ascii="Times New Roman" w:hAnsi="Times New Roman" w:cs="Times New Roman"/>
          <w:color w:val="000000" w:themeColor="text1"/>
          <w:sz w:val="28"/>
          <w:szCs w:val="28"/>
          <w14:textFill>
            <w14:solidFill>
              <w14:schemeClr w14:val="tx1"/>
            </w14:solidFill>
          </w14:textFill>
        </w:rPr>
        <w:t>场地</w:t>
      </w:r>
      <w:r>
        <w:rPr>
          <w:rFonts w:hint="eastAsia" w:ascii="Times New Roman" w:hAnsi="Times New Roman" w:cs="Times New Roman"/>
          <w:color w:val="000000" w:themeColor="text1"/>
          <w:sz w:val="28"/>
          <w:szCs w:val="28"/>
          <w:lang w:val="en-US" w:eastAsia="zh-CN"/>
          <w14:textFill>
            <w14:solidFill>
              <w14:schemeClr w14:val="tx1"/>
            </w14:solidFill>
          </w14:textFill>
        </w:rPr>
        <w:t>翻耕</w:t>
      </w:r>
      <w:r>
        <w:rPr>
          <w:rFonts w:hint="default" w:ascii="Times New Roman" w:hAnsi="Times New Roman" w:cs="Times New Roman"/>
          <w:color w:val="000000" w:themeColor="text1"/>
          <w:sz w:val="28"/>
          <w:szCs w:val="28"/>
          <w14:textFill>
            <w14:solidFill>
              <w14:schemeClr w14:val="tx1"/>
            </w14:solidFill>
          </w14:textFill>
        </w:rPr>
        <w:t>后开展平整工作，平整厚度0.</w:t>
      </w:r>
      <w:r>
        <w:rPr>
          <w:rFonts w:hint="eastAsia" w:cs="Times New Roman"/>
          <w:color w:val="000000" w:themeColor="text1"/>
          <w:sz w:val="28"/>
          <w:szCs w:val="28"/>
          <w:lang w:val="en-US" w:eastAsia="zh-CN"/>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m，平整面积</w:t>
      </w:r>
      <w:r>
        <w:rPr>
          <w:rFonts w:hint="eastAsia" w:cs="Times New Roman"/>
          <w:color w:val="000000" w:themeColor="text1"/>
          <w:sz w:val="28"/>
          <w:szCs w:val="28"/>
          <w:lang w:val="en-US" w:eastAsia="zh-CN"/>
          <w14:textFill>
            <w14:solidFill>
              <w14:schemeClr w14:val="tx1"/>
            </w14:solidFill>
          </w14:textFill>
        </w:rPr>
        <w:t>3281</w:t>
      </w:r>
      <w:r>
        <w:rPr>
          <w:rFonts w:hint="default" w:ascii="Times New Roman" w:hAnsi="Times New Roman" w:cs="Times New Roman"/>
          <w:color w:val="000000" w:themeColor="text1"/>
          <w:sz w:val="28"/>
          <w:szCs w:val="28"/>
          <w14:textFill>
            <w14:solidFill>
              <w14:schemeClr w14:val="tx1"/>
            </w14:solidFill>
          </w14:textFill>
        </w:rPr>
        <w:t>m</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，工程量</w:t>
      </w:r>
      <w:r>
        <w:rPr>
          <w:rFonts w:hint="eastAsia" w:cs="Times New Roman"/>
          <w:color w:val="000000" w:themeColor="text1"/>
          <w:sz w:val="28"/>
          <w:szCs w:val="28"/>
          <w:lang w:val="en-US" w:eastAsia="zh-CN"/>
          <w14:textFill>
            <w14:solidFill>
              <w14:schemeClr w14:val="tx1"/>
            </w14:solidFill>
          </w14:textFill>
        </w:rPr>
        <w:t>984</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w:t>
      </w:r>
    </w:p>
    <w:p w14:paraId="5BBD0CD5">
      <w:pPr>
        <w:widowControl/>
        <w:spacing w:line="360" w:lineRule="auto"/>
        <w:ind w:firstLine="560" w:firstLineChars="200"/>
        <w:rPr>
          <w:rFonts w:hint="default" w:ascii="Times New Roman" w:hAnsi="Times New Roman" w:eastAsia="宋体"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val="en-US" w:eastAsia="zh-CN"/>
          <w14:textFill>
            <w14:solidFill>
              <w14:schemeClr w14:val="tx1"/>
            </w14:solidFill>
          </w14:textFill>
        </w:rPr>
        <w:t>3、</w:t>
      </w:r>
      <w:r>
        <w:rPr>
          <w:rFonts w:hint="default" w:ascii="Times New Roman" w:hAnsi="Times New Roman" w:eastAsia="宋体" w:cs="Times New Roman"/>
          <w:color w:val="000000" w:themeColor="text1"/>
          <w:kern w:val="0"/>
          <w:sz w:val="28"/>
          <w:szCs w:val="28"/>
          <w14:textFill>
            <w14:solidFill>
              <w14:schemeClr w14:val="tx1"/>
            </w14:solidFill>
          </w14:textFill>
        </w:rPr>
        <w:t>植被重建工程</w:t>
      </w:r>
    </w:p>
    <w:p w14:paraId="7B5EB439">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color w:val="000000" w:themeColor="text1"/>
          <w:kern w:val="0"/>
          <w:sz w:val="28"/>
          <w:szCs w:val="28"/>
          <w:lang w:val="en-US" w:eastAsia="zh-CN"/>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恢复水浇地</w:t>
      </w:r>
    </w:p>
    <w:p w14:paraId="20330D53">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color w:val="000000" w:themeColor="text1"/>
          <w:kern w:val="0"/>
          <w:sz w:val="28"/>
          <w:szCs w:val="28"/>
          <w:lang w:val="en-US"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近期</w:t>
      </w:r>
      <w:r>
        <w:rPr>
          <w:rFonts w:hint="eastAsia" w:ascii="Times New Roman" w:hAnsi="Times New Roman" w:cs="Times New Roman"/>
          <w:color w:val="000000" w:themeColor="text1"/>
          <w:kern w:val="0"/>
          <w:sz w:val="28"/>
          <w:szCs w:val="28"/>
          <w:lang w:val="en-US" w:eastAsia="zh-CN"/>
          <w14:textFill>
            <w14:solidFill>
              <w14:schemeClr w14:val="tx1"/>
            </w14:solidFill>
          </w14:textFill>
        </w:rPr>
        <w:t>对场地</w:t>
      </w:r>
      <w:r>
        <w:rPr>
          <w:rFonts w:hint="eastAsia" w:eastAsia="宋体" w:cs="Times New Roman"/>
          <w:color w:val="000000" w:themeColor="text1"/>
          <w:sz w:val="28"/>
          <w:szCs w:val="28"/>
          <w:lang w:val="en-US" w:eastAsia="zh-CN"/>
          <w14:textFill>
            <w14:solidFill>
              <w14:schemeClr w14:val="tx1"/>
            </w14:solidFill>
          </w14:textFill>
        </w:rPr>
        <w:t>南侧及南西侧</w:t>
      </w:r>
      <w:r>
        <w:rPr>
          <w:rFonts w:hint="eastAsia" w:ascii="Times New Roman" w:hAnsi="Times New Roman" w:cs="Times New Roman"/>
          <w:color w:val="000000" w:themeColor="text1"/>
          <w:kern w:val="0"/>
          <w:sz w:val="28"/>
          <w:szCs w:val="28"/>
          <w:lang w:val="en-US" w:eastAsia="zh-CN"/>
          <w14:textFill>
            <w14:solidFill>
              <w14:schemeClr w14:val="tx1"/>
            </w14:solidFill>
          </w14:textFill>
        </w:rPr>
        <w:t>恢复水浇地，恢复面积926</w:t>
      </w:r>
      <w:r>
        <w:rPr>
          <w:rFonts w:hint="default" w:ascii="Times New Roman" w:hAnsi="Times New Roman" w:cs="Times New Roman"/>
          <w:color w:val="000000" w:themeColor="text1"/>
          <w:sz w:val="28"/>
          <w:szCs w:val="28"/>
          <w14:textFill>
            <w14:solidFill>
              <w14:schemeClr w14:val="tx1"/>
            </w14:solidFill>
          </w14:textFill>
        </w:rPr>
        <w:t>m</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p>
    <w:p w14:paraId="001EAFE5">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cs="Times New Roman"/>
          <w:color w:val="000000" w:themeColor="text1"/>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2</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撒播草籽</w:t>
      </w:r>
    </w:p>
    <w:p w14:paraId="2B02BDAE">
      <w:pPr>
        <w:widowControl/>
        <w:spacing w:line="360" w:lineRule="auto"/>
        <w:ind w:firstLine="560" w:firstLineChars="200"/>
        <w:rPr>
          <w:rFonts w:hint="eastAsia" w:cs="Times New Roman"/>
          <w:b/>
          <w:bCs/>
          <w:color w:val="000000" w:themeColor="text1"/>
          <w:kern w:val="0"/>
          <w:sz w:val="28"/>
          <w:szCs w:val="28"/>
          <w:lang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终采后：</w:t>
      </w:r>
      <w:r>
        <w:rPr>
          <w:rFonts w:hint="eastAsia" w:ascii="Times New Roman" w:hAnsi="Times New Roman" w:cs="Times New Roman"/>
          <w:color w:val="000000" w:themeColor="text1"/>
          <w:sz w:val="28"/>
          <w:szCs w:val="28"/>
          <w:lang w:val="en-US" w:eastAsia="zh-CN"/>
          <w14:textFill>
            <w14:solidFill>
              <w14:schemeClr w14:val="tx1"/>
            </w14:solidFill>
          </w14:textFill>
        </w:rPr>
        <w:t>对场地内剩余位置</w:t>
      </w:r>
      <w:r>
        <w:rPr>
          <w:rFonts w:hint="default" w:ascii="Times New Roman" w:hAnsi="Times New Roman" w:cs="Times New Roman"/>
          <w:color w:val="000000" w:themeColor="text1"/>
          <w:sz w:val="28"/>
          <w:szCs w:val="28"/>
          <w14:textFill>
            <w14:solidFill>
              <w14:schemeClr w14:val="tx1"/>
            </w14:solidFill>
          </w14:textFill>
        </w:rPr>
        <w:t>撒播种草，增加地表植被的覆盖度，草种为</w:t>
      </w:r>
      <w:r>
        <w:rPr>
          <w:rFonts w:hint="eastAsia" w:cs="Times New Roman"/>
          <w:color w:val="000000" w:themeColor="text1"/>
          <w:sz w:val="28"/>
          <w:szCs w:val="28"/>
          <w:lang w:val="en-US" w:eastAsia="zh-CN"/>
          <w14:textFill>
            <w14:solidFill>
              <w14:schemeClr w14:val="tx1"/>
            </w14:solidFill>
          </w14:textFill>
        </w:rPr>
        <w:t>各种草籽混合撒播</w:t>
      </w:r>
      <w:r>
        <w:rPr>
          <w:rFonts w:hint="default" w:ascii="Times New Roman" w:hAnsi="Times New Roman" w:cs="Times New Roman"/>
          <w:color w:val="000000" w:themeColor="text1"/>
          <w:sz w:val="28"/>
          <w:szCs w:val="28"/>
          <w14:textFill>
            <w14:solidFill>
              <w14:schemeClr w14:val="tx1"/>
            </w14:solidFill>
          </w14:textFill>
        </w:rPr>
        <w:t>，撒播面积</w:t>
      </w:r>
      <w:r>
        <w:rPr>
          <w:rFonts w:hint="eastAsia" w:cs="Times New Roman"/>
          <w:color w:val="000000" w:themeColor="text1"/>
          <w:sz w:val="28"/>
          <w:szCs w:val="28"/>
          <w:lang w:val="en-US" w:eastAsia="zh-CN"/>
          <w14:textFill>
            <w14:solidFill>
              <w14:schemeClr w14:val="tx1"/>
            </w14:solidFill>
          </w14:textFill>
        </w:rPr>
        <w:t>3281</w:t>
      </w:r>
      <w:r>
        <w:rPr>
          <w:rFonts w:hint="default" w:ascii="Times New Roman" w:hAnsi="Times New Roman" w:cs="Times New Roman"/>
          <w:color w:val="000000" w:themeColor="text1"/>
          <w:sz w:val="28"/>
          <w:szCs w:val="28"/>
          <w14:textFill>
            <w14:solidFill>
              <w14:schemeClr w14:val="tx1"/>
            </w14:solidFill>
          </w14:textFill>
        </w:rPr>
        <w:t>m</w:t>
      </w:r>
      <w:r>
        <w:rPr>
          <w:rFonts w:hint="eastAsia"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p>
    <w:p w14:paraId="6A9FE0B7">
      <w:pPr>
        <w:widowControl/>
        <w:spacing w:line="240" w:lineRule="auto"/>
        <w:jc w:val="center"/>
        <w:rPr>
          <w:rFonts w:hint="eastAsia" w:eastAsia="宋体" w:cs="Times New Roman"/>
          <w:b/>
          <w:bCs/>
          <w:color w:val="000000" w:themeColor="text1"/>
          <w:kern w:val="0"/>
          <w:sz w:val="24"/>
          <w:szCs w:val="24"/>
          <w:lang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w:t>
      </w:r>
    </w:p>
    <w:p w14:paraId="01B06FAA">
      <w:pPr>
        <w:widowControl/>
        <w:spacing w:line="360" w:lineRule="auto"/>
        <w:jc w:val="center"/>
        <w:rPr>
          <w:rFonts w:hint="eastAsia" w:cs="Times New Roman"/>
          <w:b/>
          <w:bCs/>
          <w:color w:val="000000" w:themeColor="text1"/>
          <w:kern w:val="0"/>
          <w:sz w:val="24"/>
          <w:szCs w:val="24"/>
          <w:lang w:eastAsia="zh-CN"/>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图4-</w:t>
      </w:r>
      <w:r>
        <w:rPr>
          <w:rFonts w:hint="eastAsia" w:ascii="黑体" w:hAnsi="黑体" w:eastAsia="黑体" w:cs="黑体"/>
          <w:b w:val="0"/>
          <w:bCs w:val="0"/>
          <w:color w:val="000000" w:themeColor="text1"/>
          <w:sz w:val="24"/>
          <w:szCs w:val="24"/>
          <w:lang w:val="en-US" w:eastAsia="zh-CN"/>
          <w14:textFill>
            <w14:solidFill>
              <w14:schemeClr w14:val="tx1"/>
            </w14:solidFill>
          </w14:textFill>
        </w:rPr>
        <w:t>10</w:t>
      </w:r>
      <w:r>
        <w:rPr>
          <w:rFonts w:hint="eastAsia" w:ascii="黑体" w:hAnsi="黑体" w:eastAsia="黑体" w:cs="黑体"/>
          <w:b w:val="0"/>
          <w:bCs w:val="0"/>
          <w:color w:val="000000" w:themeColor="text1"/>
          <w:sz w:val="24"/>
          <w:szCs w:val="24"/>
          <w14:textFill>
            <w14:solidFill>
              <w14:schemeClr w14:val="tx1"/>
            </w14:solidFill>
          </w14:textFill>
        </w:rPr>
        <w:t xml:space="preserve">  </w:t>
      </w:r>
      <w:r>
        <w:rPr>
          <w:rFonts w:hint="eastAsia" w:ascii="黑体" w:hAnsi="黑体" w:eastAsia="黑体" w:cs="黑体"/>
          <w:b w:val="0"/>
          <w:bCs w:val="0"/>
          <w:color w:val="000000" w:themeColor="text1"/>
          <w:sz w:val="24"/>
          <w:szCs w:val="24"/>
          <w:lang w:val="en-US" w:eastAsia="zh-CN"/>
          <w14:textFill>
            <w14:solidFill>
              <w14:schemeClr w14:val="tx1"/>
            </w14:solidFill>
          </w14:textFill>
        </w:rPr>
        <w:t>料堆</w:t>
      </w:r>
      <w:r>
        <w:rPr>
          <w:rFonts w:hint="eastAsia" w:ascii="黑体" w:hAnsi="黑体" w:eastAsia="黑体" w:cs="黑体"/>
          <w:b w:val="0"/>
          <w:bCs w:val="0"/>
          <w:color w:val="000000" w:themeColor="text1"/>
          <w:sz w:val="24"/>
          <w:szCs w:val="24"/>
          <w14:textFill>
            <w14:solidFill>
              <w14:schemeClr w14:val="tx1"/>
            </w14:solidFill>
          </w14:textFill>
        </w:rPr>
        <w:t>生态修复效果剖面图</w:t>
      </w:r>
    </w:p>
    <w:p w14:paraId="2B861746">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outlineLvl w:val="3"/>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r>
        <w:rPr>
          <w:rFonts w:hint="eastAsia" w:cs="Times New Roman"/>
          <w:b/>
          <w:bCs/>
          <w:color w:val="000000" w:themeColor="text1"/>
          <w:sz w:val="28"/>
          <w:szCs w:val="28"/>
          <w:lang w:val="en-US" w:eastAsia="zh-CN"/>
          <w14:textFill>
            <w14:solidFill>
              <w14:schemeClr w14:val="tx1"/>
            </w14:solidFill>
          </w14:textFill>
        </w:rPr>
        <w:t>（八）表土存放场</w:t>
      </w:r>
    </w:p>
    <w:p w14:paraId="15F306E8">
      <w:pPr>
        <w:widowControl/>
        <w:spacing w:line="360" w:lineRule="auto"/>
        <w:ind w:firstLine="560" w:firstLineChars="200"/>
        <w:rPr>
          <w:rFonts w:hint="default" w:ascii="Times New Roman" w:hAnsi="Times New Roman"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宋体" w:cs="Times New Roman"/>
          <w:color w:val="000000" w:themeColor="text1"/>
          <w:kern w:val="0"/>
          <w:sz w:val="28"/>
          <w:szCs w:val="28"/>
          <w:highlight w:val="none"/>
          <w:lang w:val="en-US" w:eastAsia="zh-CN" w:bidi="ar"/>
          <w14:textFill>
            <w14:solidFill>
              <w14:schemeClr w14:val="tx1"/>
            </w14:solidFill>
          </w14:textFill>
        </w:rPr>
        <w:t>《开发与治理综合方案》设计</w:t>
      </w:r>
      <w:r>
        <w:rPr>
          <w:rFonts w:hint="eastAsia" w:cs="Times New Roman"/>
          <w:b w:val="0"/>
          <w:bCs w:val="0"/>
          <w:color w:val="000000" w:themeColor="text1"/>
          <w:sz w:val="28"/>
          <w:szCs w:val="28"/>
          <w:lang w:val="en-US" w:eastAsia="zh-CN"/>
          <w14:textFill>
            <w14:solidFill>
              <w14:schemeClr w14:val="tx1"/>
            </w14:solidFill>
          </w14:textFill>
        </w:rPr>
        <w:t>表土存放场</w:t>
      </w:r>
      <w:r>
        <w:rPr>
          <w:rFonts w:hint="default" w:ascii="Times New Roman" w:hAnsi="Times New Roman" w:eastAsia="宋体" w:cs="Times New Roman"/>
          <w:color w:val="000000" w:themeColor="text1"/>
          <w:kern w:val="0"/>
          <w:sz w:val="28"/>
          <w:szCs w:val="28"/>
          <w:highlight w:val="none"/>
          <w:lang w:val="en-US" w:eastAsia="zh-CN" w:bidi="ar"/>
          <w14:textFill>
            <w14:solidFill>
              <w14:schemeClr w14:val="tx1"/>
            </w14:solidFill>
          </w14:textFill>
        </w:rPr>
        <w:t>面积为0.3584</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h</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现状</w:t>
      </w:r>
      <w:r>
        <w:rPr>
          <w:rFonts w:hint="eastAsia" w:cs="Times New Roman"/>
          <w:color w:val="000000" w:themeColor="text1"/>
          <w:sz w:val="28"/>
          <w:szCs w:val="21"/>
          <w:highlight w:val="none"/>
          <w:lang w:val="en-US" w:eastAsia="zh-CN"/>
          <w14:textFill>
            <w14:solidFill>
              <w14:schemeClr w14:val="tx1"/>
            </w14:solidFill>
          </w14:textFill>
        </w:rPr>
        <w:t>表土存放场面积为</w:t>
      </w:r>
      <w:r>
        <w:rPr>
          <w:rFonts w:hint="default" w:ascii="Times New Roman" w:hAnsi="Times New Roman" w:cs="Times New Roman"/>
          <w:color w:val="000000" w:themeColor="text1"/>
          <w:sz w:val="28"/>
          <w:szCs w:val="28"/>
          <w:lang w:val="en-US" w:eastAsia="zh-CN"/>
          <w14:textFill>
            <w14:solidFill>
              <w14:schemeClr w14:val="tx1"/>
            </w14:solidFill>
          </w14:textFill>
        </w:rPr>
        <w:t>1.8212h</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eastAsia" w:cs="Times New Roman"/>
          <w:color w:val="000000" w:themeColor="text1"/>
          <w:sz w:val="28"/>
          <w:szCs w:val="28"/>
          <w:vertAlign w:val="baseline"/>
          <w:lang w:eastAsia="zh-CN"/>
          <w14:textFill>
            <w14:solidFill>
              <w14:schemeClr w14:val="tx1"/>
            </w14:solidFill>
          </w14:textFill>
        </w:rPr>
        <w:t>，</w:t>
      </w:r>
      <w:r>
        <w:rPr>
          <w:rFonts w:hint="eastAsia" w:cs="Times New Roman"/>
          <w:color w:val="000000" w:themeColor="text1"/>
          <w:sz w:val="28"/>
          <w:szCs w:val="28"/>
          <w:vertAlign w:val="baseline"/>
          <w:lang w:val="en-US" w:eastAsia="zh-CN"/>
          <w14:textFill>
            <w14:solidFill>
              <w14:schemeClr w14:val="tx1"/>
            </w14:solidFill>
          </w14:textFill>
        </w:rPr>
        <w:t>现状</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场地</w:t>
      </w:r>
      <w:r>
        <w:rPr>
          <w:rFonts w:hint="eastAsia" w:cs="Times New Roman"/>
          <w:color w:val="000000" w:themeColor="text1"/>
          <w:sz w:val="28"/>
          <w:szCs w:val="21"/>
          <w:highlight w:val="none"/>
          <w:lang w:val="en-US" w:eastAsia="zh-CN"/>
          <w14:textFill>
            <w14:solidFill>
              <w14:schemeClr w14:val="tx1"/>
            </w14:solidFill>
          </w14:textFill>
        </w:rPr>
        <w:t>面积</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远远大于设计面积，另外，根据设计，场地北西侧将被拟建露天采场1占用，占用</w:t>
      </w:r>
      <w:r>
        <w:rPr>
          <w:rFonts w:hint="default" w:ascii="Times New Roman" w:hAnsi="Times New Roman" w:eastAsia="宋体" w:cs="Times New Roman"/>
          <w:bCs/>
          <w:color w:val="000000" w:themeColor="text1"/>
          <w:sz w:val="28"/>
          <w:szCs w:val="28"/>
          <w:highlight w:val="none"/>
          <w:lang w:eastAsia="zh-CN"/>
          <w14:textFill>
            <w14:solidFill>
              <w14:schemeClr w14:val="tx1"/>
            </w14:solidFill>
          </w14:textFill>
        </w:rPr>
        <w:t>面积</w:t>
      </w:r>
      <w:r>
        <w:rPr>
          <w:rFonts w:hint="eastAsia" w:cs="Times New Roman"/>
          <w:bCs/>
          <w:color w:val="000000" w:themeColor="text1"/>
          <w:sz w:val="28"/>
          <w:szCs w:val="28"/>
          <w:highlight w:val="none"/>
          <w:lang w:val="en-US" w:eastAsia="zh-CN"/>
          <w14:textFill>
            <w14:solidFill>
              <w14:schemeClr w14:val="tx1"/>
            </w14:solidFill>
          </w14:textFill>
        </w:rPr>
        <w:t>0.1132</w:t>
      </w:r>
      <w:r>
        <w:rPr>
          <w:rFonts w:hint="default" w:ascii="Times New Roman" w:hAnsi="Times New Roman" w:eastAsia="宋体" w:cs="Times New Roman"/>
          <w:bCs/>
          <w:color w:val="000000" w:themeColor="text1"/>
          <w:sz w:val="28"/>
          <w:szCs w:val="28"/>
          <w:highlight w:val="none"/>
          <w:lang w:val="en-US" w:eastAsia="zh-CN"/>
          <w14:textFill>
            <w14:solidFill>
              <w14:schemeClr w14:val="tx1"/>
            </w14:solidFill>
          </w14:textFill>
        </w:rPr>
        <w:t>hm</w:t>
      </w:r>
      <w:r>
        <w:rPr>
          <w:rFonts w:hint="default" w:ascii="Times New Roman" w:hAnsi="Times New Roman" w:eastAsia="宋体" w:cs="Times New Roman"/>
          <w:bCs/>
          <w:color w:val="000000" w:themeColor="text1"/>
          <w:sz w:val="28"/>
          <w:szCs w:val="28"/>
          <w:highlight w:val="none"/>
          <w:vertAlign w:val="superscript"/>
          <w:lang w:val="en-US" w:eastAsia="zh-CN"/>
          <w14:textFill>
            <w14:solidFill>
              <w14:schemeClr w14:val="tx1"/>
            </w14:solidFill>
          </w14:textFill>
        </w:rPr>
        <w:t>2</w:t>
      </w:r>
      <w:r>
        <w:rPr>
          <w:rFonts w:hint="default" w:ascii="Times New Roman" w:hAnsi="Times New Roman" w:eastAsia="宋体" w:cs="Times New Roman"/>
          <w:bCs/>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北东侧被拟建储水池占用部分，占用</w:t>
      </w:r>
      <w:r>
        <w:rPr>
          <w:rFonts w:hint="default" w:ascii="Times New Roman" w:hAnsi="Times New Roman" w:eastAsia="宋体" w:cs="Times New Roman"/>
          <w:bCs/>
          <w:color w:val="000000" w:themeColor="text1"/>
          <w:sz w:val="28"/>
          <w:szCs w:val="28"/>
          <w:highlight w:val="none"/>
          <w:lang w:eastAsia="zh-CN"/>
          <w14:textFill>
            <w14:solidFill>
              <w14:schemeClr w14:val="tx1"/>
            </w14:solidFill>
          </w14:textFill>
        </w:rPr>
        <w:t>面积</w:t>
      </w:r>
      <w:r>
        <w:rPr>
          <w:rFonts w:hint="default" w:ascii="Times New Roman" w:hAnsi="Times New Roman" w:eastAsia="宋体" w:cs="Times New Roman"/>
          <w:bCs/>
          <w:color w:val="000000" w:themeColor="text1"/>
          <w:sz w:val="28"/>
          <w:szCs w:val="28"/>
          <w:highlight w:val="none"/>
          <w:lang w:val="en-US" w:eastAsia="zh-CN"/>
          <w14:textFill>
            <w14:solidFill>
              <w14:schemeClr w14:val="tx1"/>
            </w14:solidFill>
          </w14:textFill>
        </w:rPr>
        <w:t>0.0150hm</w:t>
      </w:r>
      <w:r>
        <w:rPr>
          <w:rFonts w:hint="default" w:ascii="Times New Roman" w:hAnsi="Times New Roman" w:eastAsia="宋体" w:cs="Times New Roman"/>
          <w:bCs/>
          <w:color w:val="000000" w:themeColor="text1"/>
          <w:sz w:val="28"/>
          <w:szCs w:val="28"/>
          <w:highlight w:val="none"/>
          <w:vertAlign w:val="superscript"/>
          <w:lang w:val="en-US" w:eastAsia="zh-CN"/>
          <w14:textFill>
            <w14:solidFill>
              <w14:schemeClr w14:val="tx1"/>
            </w14:solidFill>
          </w14:textFill>
        </w:rPr>
        <w:t>2</w:t>
      </w:r>
      <w:r>
        <w:rPr>
          <w:rFonts w:hint="default" w:ascii="Times New Roman" w:hAnsi="Times New Roman" w:eastAsia="宋体" w:cs="Times New Roman"/>
          <w:bCs/>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故预测</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表土存放场</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最终占地面积为1.3346</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h</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。未来矿山需进行表土剥离的场地有：拟建露天采场1（2.2810hm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）、拟建露天采场2（2.3167hm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）、拟建储水池（0.0150hm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），在开采前用挖掘机剥离表土，剥离的表土集中堆放至表土存放场。剥离总面积4.6127hm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，剥离厚度1m，剥离工程量46127m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color w:val="000000" w:themeColor="text1"/>
          <w:sz w:val="28"/>
          <w:szCs w:val="28"/>
          <w14:textFill>
            <w14:solidFill>
              <w14:schemeClr w14:val="tx1"/>
            </w14:solidFill>
          </w14:textFill>
        </w:rPr>
        <w:t>。</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故预测堆放表土总量为51993m</w:t>
      </w:r>
      <w:r>
        <w:rPr>
          <w:rFonts w:hint="eastAsia" w:ascii="Times New Roman" w:hAnsi="Times New Roman" w:eastAsia="宋体" w:cs="Times New Roman"/>
          <w:color w:val="000000" w:themeColor="text1"/>
          <w:sz w:val="28"/>
          <w:szCs w:val="28"/>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各单元占用相对关系见图4-11。</w:t>
      </w:r>
    </w:p>
    <w:p w14:paraId="4A2D7C53">
      <w:pPr>
        <w:widowControl/>
        <w:spacing w:line="240" w:lineRule="auto"/>
        <w:jc w:val="center"/>
        <w:rPr>
          <w:rFonts w:hint="eastAsia" w:ascii="Times New Roman" w:hAnsi="Times New Roman" w:cs="Times New Roman"/>
          <w:color w:val="000000" w:themeColor="text1"/>
          <w:kern w:val="0"/>
          <w:sz w:val="28"/>
          <w:szCs w:val="28"/>
          <w:lang w:val="en-US" w:eastAsia="zh-CN"/>
          <w14:textFill>
            <w14:solidFill>
              <w14:schemeClr w14:val="tx1"/>
            </w14:solidFill>
          </w14:textFill>
        </w:rPr>
      </w:pPr>
      <w:r>
        <w:rPr>
          <w:rFonts w:hint="eastAsia" w:cs="Times New Roman"/>
          <w:color w:val="000000" w:themeColor="text1"/>
          <w:kern w:val="0"/>
          <w:sz w:val="28"/>
          <w:szCs w:val="28"/>
          <w:lang w:val="en-US" w:eastAsia="zh-CN"/>
          <w14:textFill>
            <w14:solidFill>
              <w14:schemeClr w14:val="tx1"/>
            </w14:solidFill>
          </w14:textFill>
        </w:rPr>
        <w:t xml:space="preserve">    </w:t>
      </w:r>
    </w:p>
    <w:p w14:paraId="6EBDA86C">
      <w:pPr>
        <w:widowControl/>
        <w:spacing w:line="360" w:lineRule="auto"/>
        <w:jc w:val="center"/>
        <w:rPr>
          <w:rFonts w:hint="eastAsia" w:ascii="黑体" w:hAnsi="黑体" w:eastAsia="黑体" w:cs="黑体"/>
          <w:b w:val="0"/>
          <w:bCs w:val="0"/>
          <w:color w:val="000000" w:themeColor="text1"/>
          <w:sz w:val="24"/>
          <w:szCs w:val="24"/>
          <w:lang w:eastAsia="zh-CN"/>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图4-</w:t>
      </w:r>
      <w:r>
        <w:rPr>
          <w:rFonts w:hint="eastAsia" w:ascii="黑体" w:hAnsi="黑体" w:eastAsia="黑体" w:cs="黑体"/>
          <w:b w:val="0"/>
          <w:bCs w:val="0"/>
          <w:color w:val="000000" w:themeColor="text1"/>
          <w:sz w:val="24"/>
          <w:szCs w:val="24"/>
          <w:lang w:val="en-US" w:eastAsia="zh-CN"/>
          <w14:textFill>
            <w14:solidFill>
              <w14:schemeClr w14:val="tx1"/>
            </w14:solidFill>
          </w14:textFill>
        </w:rPr>
        <w:t>11</w:t>
      </w:r>
      <w:r>
        <w:rPr>
          <w:rFonts w:hint="eastAsia" w:ascii="黑体" w:hAnsi="黑体" w:eastAsia="黑体" w:cs="黑体"/>
          <w:b w:val="0"/>
          <w:bCs w:val="0"/>
          <w:color w:val="000000" w:themeColor="text1"/>
          <w:sz w:val="24"/>
          <w:szCs w:val="24"/>
          <w14:textFill>
            <w14:solidFill>
              <w14:schemeClr w14:val="tx1"/>
            </w14:solidFill>
          </w14:textFill>
        </w:rPr>
        <w:t xml:space="preserve">  </w:t>
      </w:r>
      <w:r>
        <w:rPr>
          <w:rFonts w:hint="eastAsia" w:ascii="黑体" w:hAnsi="黑体" w:eastAsia="黑体" w:cs="黑体"/>
          <w:b w:val="0"/>
          <w:bCs w:val="0"/>
          <w:color w:val="000000" w:themeColor="text1"/>
          <w:sz w:val="24"/>
          <w:szCs w:val="24"/>
          <w:lang w:val="en-US" w:eastAsia="zh-CN"/>
          <w14:textFill>
            <w14:solidFill>
              <w14:schemeClr w14:val="tx1"/>
            </w14:solidFill>
          </w14:textFill>
        </w:rPr>
        <w:t>各单元占用现状表土存放场相对关系</w:t>
      </w:r>
      <w:r>
        <w:rPr>
          <w:rFonts w:hint="eastAsia" w:ascii="黑体" w:hAnsi="黑体" w:eastAsia="黑体" w:cs="黑体"/>
          <w:b w:val="0"/>
          <w:bCs w:val="0"/>
          <w:color w:val="000000" w:themeColor="text1"/>
          <w:sz w:val="24"/>
          <w:szCs w:val="24"/>
          <w14:textFill>
            <w14:solidFill>
              <w14:schemeClr w14:val="tx1"/>
            </w14:solidFill>
          </w14:textFill>
        </w:rPr>
        <w:t>图</w:t>
      </w:r>
    </w:p>
    <w:p w14:paraId="1CB207B8">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default" w:ascii="Times New Roman" w:hAnsi="Times New Roman" w:cs="Times New Roman"/>
          <w:color w:val="000000" w:themeColor="text1"/>
          <w:kern w:val="0"/>
          <w:sz w:val="28"/>
          <w:szCs w:val="28"/>
          <w14:textFill>
            <w14:solidFill>
              <w14:schemeClr w14:val="tx1"/>
            </w14:solidFill>
          </w14:textFill>
        </w:rPr>
        <w:t>地貌重塑工程</w:t>
      </w:r>
    </w:p>
    <w:p w14:paraId="615EC4B3">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清运</w:t>
      </w:r>
    </w:p>
    <w:p w14:paraId="57B065A2">
      <w:pPr>
        <w:widowControl/>
        <w:spacing w:line="360" w:lineRule="auto"/>
        <w:ind w:firstLine="560" w:firstLineChars="200"/>
        <w:rPr>
          <w:rFonts w:hint="eastAsia" w:cs="Times New Roman"/>
          <w:color w:val="000000" w:themeColor="text1"/>
          <w:sz w:val="28"/>
          <w:szCs w:val="28"/>
          <w:lang w:val="en-US"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近三年：对场地内堆存的表土</w:t>
      </w:r>
      <w:r>
        <w:rPr>
          <w:rFonts w:hint="default" w:ascii="Times New Roman" w:hAnsi="Times New Roman" w:eastAsia="宋体" w:cs="Times New Roman"/>
          <w:color w:val="000000" w:themeColor="text1"/>
          <w:sz w:val="28"/>
          <w:szCs w:val="28"/>
          <w:lang w:val="en-US"/>
          <w14:textFill>
            <w14:solidFill>
              <w14:schemeClr w14:val="tx1"/>
            </w14:solidFill>
          </w14:textFill>
        </w:rPr>
        <w:t>清运至</w:t>
      </w:r>
      <w:r>
        <w:rPr>
          <w:rFonts w:hint="eastAsia" w:cs="Times New Roman"/>
          <w:color w:val="000000" w:themeColor="text1"/>
          <w:sz w:val="28"/>
          <w:szCs w:val="28"/>
          <w:lang w:val="en-US" w:eastAsia="zh-CN"/>
          <w14:textFill>
            <w14:solidFill>
              <w14:schemeClr w14:val="tx1"/>
            </w14:solidFill>
          </w14:textFill>
        </w:rPr>
        <w:t>拟建的表土存放场内集中堆存</w:t>
      </w:r>
      <w:r>
        <w:rPr>
          <w:rFonts w:hint="default" w:ascii="Times New Roman" w:hAnsi="Times New Roman" w:eastAsia="宋体" w:cs="Times New Roman"/>
          <w:color w:val="000000" w:themeColor="text1"/>
          <w:sz w:val="28"/>
          <w:szCs w:val="28"/>
          <w:lang w:val="en-US"/>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清运工程量为</w:t>
      </w:r>
      <w:r>
        <w:rPr>
          <w:rFonts w:hint="eastAsia" w:cs="Times New Roman"/>
          <w:color w:val="000000" w:themeColor="text1"/>
          <w:sz w:val="28"/>
          <w:szCs w:val="28"/>
          <w:lang w:val="en-US" w:eastAsia="zh-CN"/>
          <w14:textFill>
            <w14:solidFill>
              <w14:schemeClr w14:val="tx1"/>
            </w14:solidFill>
          </w14:textFill>
        </w:rPr>
        <w:t>5866</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color w:val="000000" w:themeColor="text1"/>
          <w:sz w:val="28"/>
          <w:szCs w:val="28"/>
          <w14:textFill>
            <w14:solidFill>
              <w14:schemeClr w14:val="tx1"/>
            </w14:solidFill>
          </w14:textFill>
        </w:rPr>
        <w:t>。</w:t>
      </w:r>
    </w:p>
    <w:p w14:paraId="282ECE14">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终采后：对场地内堆存的表土</w:t>
      </w:r>
      <w:r>
        <w:rPr>
          <w:rFonts w:hint="default" w:ascii="Times New Roman" w:hAnsi="Times New Roman" w:eastAsia="宋体" w:cs="Times New Roman"/>
          <w:color w:val="000000" w:themeColor="text1"/>
          <w:sz w:val="28"/>
          <w:szCs w:val="28"/>
          <w:lang w:val="en-US"/>
          <w14:textFill>
            <w14:solidFill>
              <w14:schemeClr w14:val="tx1"/>
            </w14:solidFill>
          </w14:textFill>
        </w:rPr>
        <w:t>清运至</w:t>
      </w:r>
      <w:r>
        <w:rPr>
          <w:rFonts w:hint="eastAsia" w:cs="Times New Roman"/>
          <w:color w:val="000000" w:themeColor="text1"/>
          <w:sz w:val="28"/>
          <w:szCs w:val="28"/>
          <w:lang w:val="en-US" w:eastAsia="zh-CN"/>
          <w14:textFill>
            <w14:solidFill>
              <w14:schemeClr w14:val="tx1"/>
            </w14:solidFill>
          </w14:textFill>
        </w:rPr>
        <w:t>露天采场内</w:t>
      </w:r>
      <w:r>
        <w:rPr>
          <w:rFonts w:hint="default" w:ascii="Times New Roman" w:hAnsi="Times New Roman" w:eastAsia="宋体" w:cs="Times New Roman"/>
          <w:color w:val="000000" w:themeColor="text1"/>
          <w:sz w:val="28"/>
          <w:szCs w:val="28"/>
          <w:lang w:val="en-US"/>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用于露天采场的回填，</w:t>
      </w:r>
      <w:r>
        <w:rPr>
          <w:rFonts w:hint="default" w:ascii="Times New Roman" w:hAnsi="Times New Roman" w:eastAsia="宋体" w:cs="Times New Roman"/>
          <w:color w:val="000000" w:themeColor="text1"/>
          <w:sz w:val="28"/>
          <w:szCs w:val="28"/>
          <w14:textFill>
            <w14:solidFill>
              <w14:schemeClr w14:val="tx1"/>
            </w14:solidFill>
          </w14:textFill>
        </w:rPr>
        <w:t>清运工程量为</w:t>
      </w:r>
      <w:r>
        <w:rPr>
          <w:rFonts w:hint="eastAsia" w:cs="Times New Roman"/>
          <w:color w:val="000000" w:themeColor="text1"/>
          <w:sz w:val="28"/>
          <w:szCs w:val="28"/>
          <w:lang w:val="en-US" w:eastAsia="zh-CN"/>
          <w14:textFill>
            <w14:solidFill>
              <w14:schemeClr w14:val="tx1"/>
            </w14:solidFill>
          </w14:textFill>
        </w:rPr>
        <w:t>51993</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color w:val="000000" w:themeColor="text1"/>
          <w:sz w:val="28"/>
          <w:szCs w:val="28"/>
          <w14:textFill>
            <w14:solidFill>
              <w14:schemeClr w14:val="tx1"/>
            </w14:solidFill>
          </w14:textFill>
        </w:rPr>
        <w:t>。</w:t>
      </w:r>
    </w:p>
    <w:p w14:paraId="77F38C46">
      <w:pPr>
        <w:widowControl/>
        <w:spacing w:line="360" w:lineRule="auto"/>
        <w:ind w:firstLine="560" w:firstLineChars="200"/>
        <w:rPr>
          <w:rFonts w:hint="default" w:ascii="Times New Roman" w:hAnsi="Times New Roman" w:eastAsia="宋体"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val="en-US" w:eastAsia="zh-CN"/>
          <w14:textFill>
            <w14:solidFill>
              <w14:schemeClr w14:val="tx1"/>
            </w14:solidFill>
          </w14:textFill>
        </w:rPr>
        <w:t>2、</w:t>
      </w:r>
      <w:r>
        <w:rPr>
          <w:rFonts w:hint="default" w:ascii="Times New Roman" w:hAnsi="Times New Roman" w:eastAsia="宋体" w:cs="Times New Roman"/>
          <w:color w:val="000000" w:themeColor="text1"/>
          <w:kern w:val="0"/>
          <w:sz w:val="28"/>
          <w:szCs w:val="28"/>
          <w14:textFill>
            <w14:solidFill>
              <w14:schemeClr w14:val="tx1"/>
            </w14:solidFill>
          </w14:textFill>
        </w:rPr>
        <w:t>土壤重构工程</w:t>
      </w:r>
    </w:p>
    <w:p w14:paraId="2BD7B18D">
      <w:pPr>
        <w:widowControl/>
        <w:spacing w:line="360" w:lineRule="auto"/>
        <w:ind w:firstLine="560" w:firstLineChars="200"/>
        <w:rPr>
          <w:rFonts w:hint="eastAsia" w:ascii="Times New Roman" w:hAnsi="Times New Roman" w:eastAsia="宋体" w:cs="Times New Roman"/>
          <w:color w:val="000000" w:themeColor="text1"/>
          <w:kern w:val="0"/>
          <w:sz w:val="28"/>
          <w:szCs w:val="28"/>
          <w:lang w:eastAsia="zh-CN"/>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cs="Times New Roman"/>
          <w:color w:val="000000" w:themeColor="text1"/>
          <w:kern w:val="0"/>
          <w:sz w:val="28"/>
          <w:szCs w:val="28"/>
          <w:lang w:val="en-US" w:eastAsia="zh-CN"/>
          <w14:textFill>
            <w14:solidFill>
              <w14:schemeClr w14:val="tx1"/>
            </w14:solidFill>
          </w14:textFill>
        </w:rPr>
        <w:t>翻耕</w:t>
      </w:r>
    </w:p>
    <w:p w14:paraId="5E2961CC">
      <w:pPr>
        <w:widowControl/>
        <w:spacing w:line="360" w:lineRule="auto"/>
        <w:ind w:firstLine="560" w:firstLineChars="200"/>
        <w:rPr>
          <w:rFonts w:hint="default" w:cs="Times New Roman"/>
          <w:color w:val="000000" w:themeColor="text1"/>
          <w:sz w:val="28"/>
          <w:szCs w:val="28"/>
          <w:lang w:val="en-US"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近三年：对不在</w:t>
      </w:r>
      <w:r>
        <w:rPr>
          <w:rFonts w:hint="default" w:ascii="Times New Roman" w:hAnsi="Times New Roman" w:eastAsia="宋体" w:cs="Times New Roman"/>
          <w:color w:val="000000" w:themeColor="text1"/>
          <w:kern w:val="0"/>
          <w:sz w:val="28"/>
          <w:szCs w:val="28"/>
          <w:highlight w:val="none"/>
          <w:lang w:val="en-US" w:eastAsia="zh-CN" w:bidi="ar"/>
          <w14:textFill>
            <w14:solidFill>
              <w14:schemeClr w14:val="tx1"/>
            </w14:solidFill>
          </w14:textFill>
        </w:rPr>
        <w:t>《开发与治理综合方案》</w:t>
      </w:r>
      <w:r>
        <w:rPr>
          <w:rFonts w:hint="eastAsia" w:cs="Times New Roman"/>
          <w:color w:val="000000" w:themeColor="text1"/>
          <w:kern w:val="0"/>
          <w:sz w:val="28"/>
          <w:szCs w:val="28"/>
          <w:highlight w:val="none"/>
          <w:lang w:val="en-US" w:eastAsia="zh-CN" w:bidi="ar"/>
          <w14:textFill>
            <w14:solidFill>
              <w14:schemeClr w14:val="tx1"/>
            </w14:solidFill>
          </w14:textFill>
        </w:rPr>
        <w:t>设计范围内的表土存放场进行翻耕，</w:t>
      </w:r>
      <w:r>
        <w:rPr>
          <w:rFonts w:hint="eastAsia" w:cs="Times New Roman"/>
          <w:color w:val="000000" w:themeColor="text1"/>
          <w:sz w:val="28"/>
          <w:szCs w:val="28"/>
          <w:lang w:val="en-US" w:eastAsia="zh-CN"/>
          <w14:textFill>
            <w14:solidFill>
              <w14:schemeClr w14:val="tx1"/>
            </w14:solidFill>
          </w14:textFill>
        </w:rPr>
        <w:t>翻耕面积9762</w:t>
      </w:r>
      <w:r>
        <w:rPr>
          <w:rFonts w:hint="default" w:ascii="Times New Roman" w:hAnsi="Times New Roman" w:cs="Times New Roman"/>
          <w:color w:val="000000" w:themeColor="text1"/>
          <w:sz w:val="28"/>
          <w:szCs w:val="28"/>
          <w14:textFill>
            <w14:solidFill>
              <w14:schemeClr w14:val="tx1"/>
            </w14:solidFill>
          </w14:textFill>
        </w:rPr>
        <w:t>m</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翻耕</w:t>
      </w:r>
      <w:r>
        <w:rPr>
          <w:rFonts w:hint="default" w:ascii="Times New Roman" w:hAnsi="Times New Roman" w:cs="Times New Roman"/>
          <w:color w:val="000000" w:themeColor="text1"/>
          <w:sz w:val="28"/>
          <w:szCs w:val="28"/>
          <w14:textFill>
            <w14:solidFill>
              <w14:schemeClr w14:val="tx1"/>
            </w14:solidFill>
          </w14:textFill>
        </w:rPr>
        <w:t>厚度为0.5m，则</w:t>
      </w:r>
      <w:r>
        <w:rPr>
          <w:rFonts w:hint="eastAsia" w:cs="Times New Roman"/>
          <w:color w:val="000000" w:themeColor="text1"/>
          <w:sz w:val="28"/>
          <w:szCs w:val="28"/>
          <w:lang w:val="en-US" w:eastAsia="zh-CN"/>
          <w14:textFill>
            <w14:solidFill>
              <w14:schemeClr w14:val="tx1"/>
            </w14:solidFill>
          </w14:textFill>
        </w:rPr>
        <w:t>翻耕</w:t>
      </w:r>
      <w:r>
        <w:rPr>
          <w:rFonts w:hint="default" w:ascii="Times New Roman" w:hAnsi="Times New Roman" w:cs="Times New Roman"/>
          <w:color w:val="000000" w:themeColor="text1"/>
          <w:sz w:val="28"/>
          <w:szCs w:val="28"/>
          <w14:textFill>
            <w14:solidFill>
              <w14:schemeClr w14:val="tx1"/>
            </w14:solidFill>
          </w14:textFill>
        </w:rPr>
        <w:t>工程量</w:t>
      </w:r>
      <w:r>
        <w:rPr>
          <w:rFonts w:hint="eastAsia" w:cs="Times New Roman"/>
          <w:color w:val="000000" w:themeColor="text1"/>
          <w:sz w:val="28"/>
          <w:szCs w:val="28"/>
          <w:lang w:val="en-US" w:eastAsia="zh-CN"/>
          <w14:textFill>
            <w14:solidFill>
              <w14:schemeClr w14:val="tx1"/>
            </w14:solidFill>
          </w14:textFill>
        </w:rPr>
        <w:t>4881</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w:t>
      </w:r>
    </w:p>
    <w:p w14:paraId="02AF1977">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终采后：对清运后的</w:t>
      </w:r>
      <w:r>
        <w:rPr>
          <w:rFonts w:hint="default" w:ascii="Times New Roman" w:hAnsi="Times New Roman" w:cs="Times New Roman"/>
          <w:color w:val="000000" w:themeColor="text1"/>
          <w:sz w:val="28"/>
          <w:szCs w:val="28"/>
          <w14:textFill>
            <w14:solidFill>
              <w14:schemeClr w14:val="tx1"/>
            </w14:solidFill>
          </w14:textFill>
        </w:rPr>
        <w:t>场地</w:t>
      </w:r>
      <w:r>
        <w:rPr>
          <w:rFonts w:hint="eastAsia" w:cs="Times New Roman"/>
          <w:color w:val="000000" w:themeColor="text1"/>
          <w:sz w:val="28"/>
          <w:szCs w:val="28"/>
          <w:lang w:val="en-US" w:eastAsia="zh-CN"/>
          <w14:textFill>
            <w14:solidFill>
              <w14:schemeClr w14:val="tx1"/>
            </w14:solidFill>
          </w14:textFill>
        </w:rPr>
        <w:t>进行翻耕</w:t>
      </w:r>
      <w:r>
        <w:rPr>
          <w:rFonts w:hint="default" w:ascii="Times New Roman" w:hAnsi="Times New Roman"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翻耕面积3584</w:t>
      </w:r>
      <w:r>
        <w:rPr>
          <w:rFonts w:hint="default" w:ascii="Times New Roman" w:hAnsi="Times New Roman" w:cs="Times New Roman"/>
          <w:color w:val="000000" w:themeColor="text1"/>
          <w:sz w:val="28"/>
          <w:szCs w:val="28"/>
          <w14:textFill>
            <w14:solidFill>
              <w14:schemeClr w14:val="tx1"/>
            </w14:solidFill>
          </w14:textFill>
        </w:rPr>
        <w:t>m</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翻耕</w:t>
      </w:r>
      <w:r>
        <w:rPr>
          <w:rFonts w:hint="default" w:ascii="Times New Roman" w:hAnsi="Times New Roman" w:cs="Times New Roman"/>
          <w:color w:val="000000" w:themeColor="text1"/>
          <w:sz w:val="28"/>
          <w:szCs w:val="28"/>
          <w14:textFill>
            <w14:solidFill>
              <w14:schemeClr w14:val="tx1"/>
            </w14:solidFill>
          </w14:textFill>
        </w:rPr>
        <w:t>厚度为0.5m，则</w:t>
      </w:r>
      <w:r>
        <w:rPr>
          <w:rFonts w:hint="eastAsia" w:cs="Times New Roman"/>
          <w:color w:val="000000" w:themeColor="text1"/>
          <w:sz w:val="28"/>
          <w:szCs w:val="28"/>
          <w:lang w:val="en-US" w:eastAsia="zh-CN"/>
          <w14:textFill>
            <w14:solidFill>
              <w14:schemeClr w14:val="tx1"/>
            </w14:solidFill>
          </w14:textFill>
        </w:rPr>
        <w:t>翻耕</w:t>
      </w:r>
      <w:r>
        <w:rPr>
          <w:rFonts w:hint="default" w:ascii="Times New Roman" w:hAnsi="Times New Roman" w:cs="Times New Roman"/>
          <w:color w:val="000000" w:themeColor="text1"/>
          <w:sz w:val="28"/>
          <w:szCs w:val="28"/>
          <w14:textFill>
            <w14:solidFill>
              <w14:schemeClr w14:val="tx1"/>
            </w14:solidFill>
          </w14:textFill>
        </w:rPr>
        <w:t>工程量</w:t>
      </w:r>
      <w:r>
        <w:rPr>
          <w:rFonts w:hint="eastAsia" w:cs="Times New Roman"/>
          <w:color w:val="000000" w:themeColor="text1"/>
          <w:sz w:val="28"/>
          <w:szCs w:val="28"/>
          <w:lang w:val="en-US" w:eastAsia="zh-CN"/>
          <w14:textFill>
            <w14:solidFill>
              <w14:schemeClr w14:val="tx1"/>
            </w14:solidFill>
          </w14:textFill>
        </w:rPr>
        <w:t>1792</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w:t>
      </w:r>
    </w:p>
    <w:p w14:paraId="005EC715">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2</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土地平整</w:t>
      </w:r>
    </w:p>
    <w:p w14:paraId="7D5970A9">
      <w:pPr>
        <w:widowControl/>
        <w:spacing w:line="360" w:lineRule="auto"/>
        <w:ind w:firstLine="560" w:firstLineChars="200"/>
        <w:rPr>
          <w:rFonts w:hint="default" w:ascii="Times New Roman" w:hAnsi="Times New Roman" w:eastAsia="宋体" w:cs="Times New Roman"/>
          <w:color w:val="000000" w:themeColor="text1"/>
          <w:kern w:val="0"/>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近三年：对不在</w:t>
      </w:r>
      <w:r>
        <w:rPr>
          <w:rFonts w:hint="default" w:ascii="Times New Roman" w:hAnsi="Times New Roman" w:eastAsia="宋体" w:cs="Times New Roman"/>
          <w:color w:val="000000" w:themeColor="text1"/>
          <w:kern w:val="0"/>
          <w:sz w:val="28"/>
          <w:szCs w:val="28"/>
          <w:highlight w:val="none"/>
          <w:lang w:val="en-US" w:eastAsia="zh-CN" w:bidi="ar"/>
          <w14:textFill>
            <w14:solidFill>
              <w14:schemeClr w14:val="tx1"/>
            </w14:solidFill>
          </w14:textFill>
        </w:rPr>
        <w:t>《开发与治理综合方案》</w:t>
      </w:r>
      <w:r>
        <w:rPr>
          <w:rFonts w:hint="eastAsia" w:cs="Times New Roman"/>
          <w:color w:val="000000" w:themeColor="text1"/>
          <w:kern w:val="0"/>
          <w:sz w:val="28"/>
          <w:szCs w:val="28"/>
          <w:highlight w:val="none"/>
          <w:lang w:val="en-US" w:eastAsia="zh-CN" w:bidi="ar"/>
          <w14:textFill>
            <w14:solidFill>
              <w14:schemeClr w14:val="tx1"/>
            </w14:solidFill>
          </w14:textFill>
        </w:rPr>
        <w:t>设计范围内的表土存放场进行</w:t>
      </w:r>
      <w:r>
        <w:rPr>
          <w:rFonts w:hint="default" w:ascii="Times New Roman" w:hAnsi="Times New Roman" w:cs="Times New Roman"/>
          <w:color w:val="000000" w:themeColor="text1"/>
          <w:sz w:val="28"/>
          <w:szCs w:val="28"/>
          <w14:textFill>
            <w14:solidFill>
              <w14:schemeClr w14:val="tx1"/>
            </w14:solidFill>
          </w14:textFill>
        </w:rPr>
        <w:t>平整</w:t>
      </w:r>
      <w:r>
        <w:rPr>
          <w:rFonts w:hint="eastAsia" w:cs="Times New Roman"/>
          <w:color w:val="000000" w:themeColor="text1"/>
          <w:kern w:val="0"/>
          <w:sz w:val="28"/>
          <w:szCs w:val="28"/>
          <w:highlight w:val="none"/>
          <w:lang w:val="en-US" w:eastAsia="zh-CN" w:bidi="ar"/>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平整厚度0.</w:t>
      </w:r>
      <w:r>
        <w:rPr>
          <w:rFonts w:hint="eastAsia" w:cs="Times New Roman"/>
          <w:color w:val="000000" w:themeColor="text1"/>
          <w:sz w:val="28"/>
          <w:szCs w:val="28"/>
          <w:lang w:val="en-US" w:eastAsia="zh-CN"/>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m，平整面积</w:t>
      </w:r>
      <w:r>
        <w:rPr>
          <w:rFonts w:hint="eastAsia" w:cs="Times New Roman"/>
          <w:color w:val="000000" w:themeColor="text1"/>
          <w:sz w:val="28"/>
          <w:szCs w:val="28"/>
          <w:lang w:val="en-US" w:eastAsia="zh-CN"/>
          <w14:textFill>
            <w14:solidFill>
              <w14:schemeClr w14:val="tx1"/>
            </w14:solidFill>
          </w14:textFill>
        </w:rPr>
        <w:t>9762</w:t>
      </w:r>
      <w:r>
        <w:rPr>
          <w:rFonts w:hint="default" w:ascii="Times New Roman" w:hAnsi="Times New Roman" w:cs="Times New Roman"/>
          <w:color w:val="000000" w:themeColor="text1"/>
          <w:sz w:val="28"/>
          <w:szCs w:val="28"/>
          <w14:textFill>
            <w14:solidFill>
              <w14:schemeClr w14:val="tx1"/>
            </w14:solidFill>
          </w14:textFill>
        </w:rPr>
        <w:t>m</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，工程量</w:t>
      </w:r>
      <w:r>
        <w:rPr>
          <w:rFonts w:hint="eastAsia" w:cs="Times New Roman"/>
          <w:color w:val="000000" w:themeColor="text1"/>
          <w:sz w:val="28"/>
          <w:szCs w:val="28"/>
          <w:lang w:val="en-US" w:eastAsia="zh-CN"/>
          <w14:textFill>
            <w14:solidFill>
              <w14:schemeClr w14:val="tx1"/>
            </w14:solidFill>
          </w14:textFill>
        </w:rPr>
        <w:t>2929</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w:t>
      </w:r>
    </w:p>
    <w:p w14:paraId="36BE9872">
      <w:pPr>
        <w:widowControl/>
        <w:spacing w:line="360" w:lineRule="auto"/>
        <w:ind w:firstLine="560" w:firstLineChars="200"/>
        <w:rPr>
          <w:rFonts w:hint="eastAsia" w:ascii="Times New Roman" w:hAnsi="Times New Roman" w:cs="Times New Roman"/>
          <w:color w:val="000000" w:themeColor="text1"/>
          <w:kern w:val="0"/>
          <w:sz w:val="28"/>
          <w:szCs w:val="28"/>
          <w:lang w:val="en-US"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终采后：对</w:t>
      </w:r>
      <w:r>
        <w:rPr>
          <w:rFonts w:hint="eastAsia" w:cs="Times New Roman"/>
          <w:color w:val="000000" w:themeColor="text1"/>
          <w:kern w:val="0"/>
          <w:sz w:val="28"/>
          <w:szCs w:val="28"/>
          <w:highlight w:val="none"/>
          <w:lang w:val="en-US" w:eastAsia="zh-CN" w:bidi="ar"/>
          <w14:textFill>
            <w14:solidFill>
              <w14:schemeClr w14:val="tx1"/>
            </w14:solidFill>
          </w14:textFill>
        </w:rPr>
        <w:t>表土存放场进行</w:t>
      </w:r>
      <w:r>
        <w:rPr>
          <w:rFonts w:hint="default" w:ascii="Times New Roman" w:hAnsi="Times New Roman" w:cs="Times New Roman"/>
          <w:color w:val="000000" w:themeColor="text1"/>
          <w:sz w:val="28"/>
          <w:szCs w:val="28"/>
          <w14:textFill>
            <w14:solidFill>
              <w14:schemeClr w14:val="tx1"/>
            </w14:solidFill>
          </w14:textFill>
        </w:rPr>
        <w:t>平整</w:t>
      </w:r>
      <w:r>
        <w:rPr>
          <w:rFonts w:hint="eastAsia" w:cs="Times New Roman"/>
          <w:color w:val="000000" w:themeColor="text1"/>
          <w:kern w:val="0"/>
          <w:sz w:val="28"/>
          <w:szCs w:val="28"/>
          <w:highlight w:val="none"/>
          <w:lang w:val="en-US" w:eastAsia="zh-CN" w:bidi="ar"/>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平整厚度0.</w:t>
      </w:r>
      <w:r>
        <w:rPr>
          <w:rFonts w:hint="eastAsia" w:cs="Times New Roman"/>
          <w:color w:val="000000" w:themeColor="text1"/>
          <w:sz w:val="28"/>
          <w:szCs w:val="28"/>
          <w:lang w:val="en-US" w:eastAsia="zh-CN"/>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m，平整面积</w:t>
      </w:r>
      <w:r>
        <w:rPr>
          <w:rFonts w:hint="eastAsia" w:cs="Times New Roman"/>
          <w:color w:val="000000" w:themeColor="text1"/>
          <w:sz w:val="28"/>
          <w:szCs w:val="28"/>
          <w:lang w:val="en-US" w:eastAsia="zh-CN"/>
          <w14:textFill>
            <w14:solidFill>
              <w14:schemeClr w14:val="tx1"/>
            </w14:solidFill>
          </w14:textFill>
        </w:rPr>
        <w:t>3584</w:t>
      </w:r>
      <w:r>
        <w:rPr>
          <w:rFonts w:hint="default" w:ascii="Times New Roman" w:hAnsi="Times New Roman" w:cs="Times New Roman"/>
          <w:color w:val="000000" w:themeColor="text1"/>
          <w:sz w:val="28"/>
          <w:szCs w:val="28"/>
          <w14:textFill>
            <w14:solidFill>
              <w14:schemeClr w14:val="tx1"/>
            </w14:solidFill>
          </w14:textFill>
        </w:rPr>
        <w:t>m</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，工程量</w:t>
      </w:r>
      <w:r>
        <w:rPr>
          <w:rFonts w:hint="eastAsia" w:cs="Times New Roman"/>
          <w:color w:val="000000" w:themeColor="text1"/>
          <w:sz w:val="28"/>
          <w:szCs w:val="28"/>
          <w:lang w:val="en-US" w:eastAsia="zh-CN"/>
          <w14:textFill>
            <w14:solidFill>
              <w14:schemeClr w14:val="tx1"/>
            </w14:solidFill>
          </w14:textFill>
        </w:rPr>
        <w:t>1075</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w:t>
      </w:r>
    </w:p>
    <w:p w14:paraId="07CA6C23">
      <w:pPr>
        <w:widowControl/>
        <w:spacing w:line="360" w:lineRule="auto"/>
        <w:ind w:firstLine="560" w:firstLineChars="200"/>
        <w:rPr>
          <w:rFonts w:hint="default" w:ascii="Times New Roman" w:hAnsi="Times New Roman" w:eastAsia="宋体"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val="en-US" w:eastAsia="zh-CN"/>
          <w14:textFill>
            <w14:solidFill>
              <w14:schemeClr w14:val="tx1"/>
            </w14:solidFill>
          </w14:textFill>
        </w:rPr>
        <w:t>3、</w:t>
      </w:r>
      <w:r>
        <w:rPr>
          <w:rFonts w:hint="default" w:ascii="Times New Roman" w:hAnsi="Times New Roman" w:eastAsia="宋体" w:cs="Times New Roman"/>
          <w:color w:val="000000" w:themeColor="text1"/>
          <w:kern w:val="0"/>
          <w:sz w:val="28"/>
          <w:szCs w:val="28"/>
          <w14:textFill>
            <w14:solidFill>
              <w14:schemeClr w14:val="tx1"/>
            </w14:solidFill>
          </w14:textFill>
        </w:rPr>
        <w:t>植被重建工程</w:t>
      </w:r>
    </w:p>
    <w:p w14:paraId="6940ED52">
      <w:pPr>
        <w:spacing w:line="360" w:lineRule="auto"/>
        <w:ind w:firstLine="560" w:firstLineChars="200"/>
        <w:rPr>
          <w:rFonts w:hint="eastAsia" w:ascii="Times New Roman" w:hAnsi="Times New Roman" w:eastAsia="宋体" w:cs="Times New Roman"/>
          <w:color w:val="000000" w:themeColor="text1"/>
          <w:kern w:val="0"/>
          <w:sz w:val="28"/>
          <w:szCs w:val="28"/>
          <w:lang w:eastAsia="zh-CN"/>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栽植乔木</w:t>
      </w:r>
    </w:p>
    <w:p w14:paraId="544F5CA3">
      <w:pPr>
        <w:spacing w:line="360" w:lineRule="auto"/>
        <w:ind w:firstLine="560" w:firstLineChars="200"/>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近三年：</w:t>
      </w:r>
      <w:r>
        <w:rPr>
          <w:rFonts w:hint="default" w:ascii="Times New Roman" w:hAnsi="Times New Roman" w:cs="Times New Roman"/>
          <w:color w:val="000000" w:themeColor="text1"/>
          <w:sz w:val="28"/>
          <w:szCs w:val="28"/>
          <w14:textFill>
            <w14:solidFill>
              <w14:schemeClr w14:val="tx1"/>
            </w14:solidFill>
          </w14:textFill>
        </w:rPr>
        <w:t>乔木苗木要求二年生，裸根，穴播，穴行距3m×3m，坑口反向倾斜，以便蓄水保土，穴规格为50cm×50cm×50cm，</w:t>
      </w:r>
      <w:r>
        <w:rPr>
          <w:rFonts w:hint="eastAsia" w:cs="Times New Roman"/>
          <w:color w:val="000000" w:themeColor="text1"/>
          <w:sz w:val="28"/>
          <w:szCs w:val="28"/>
          <w:lang w:val="en-US" w:eastAsia="zh-CN"/>
          <w14:textFill>
            <w14:solidFill>
              <w14:schemeClr w14:val="tx1"/>
            </w14:solidFill>
          </w14:textFill>
        </w:rPr>
        <w:t>栽种面积661</w:t>
      </w:r>
      <w:r>
        <w:rPr>
          <w:rFonts w:hint="default" w:ascii="Times New Roman" w:hAnsi="Times New Roman" w:cs="Times New Roman"/>
          <w:color w:val="000000" w:themeColor="text1"/>
          <w:sz w:val="28"/>
          <w:szCs w:val="28"/>
          <w14:textFill>
            <w14:solidFill>
              <w14:schemeClr w14:val="tx1"/>
            </w14:solidFill>
          </w14:textFill>
        </w:rPr>
        <w:t>m</w:t>
      </w:r>
      <w:r>
        <w:rPr>
          <w:rFonts w:hint="eastAsia"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。种树</w:t>
      </w:r>
      <w:r>
        <w:rPr>
          <w:rFonts w:hint="eastAsia" w:cs="Times New Roman"/>
          <w:color w:val="000000" w:themeColor="text1"/>
          <w:sz w:val="28"/>
          <w:szCs w:val="28"/>
          <w:lang w:val="en-US" w:eastAsia="zh-CN"/>
          <w14:textFill>
            <w14:solidFill>
              <w14:schemeClr w14:val="tx1"/>
            </w14:solidFill>
          </w14:textFill>
        </w:rPr>
        <w:t>74</w:t>
      </w:r>
      <w:r>
        <w:rPr>
          <w:rFonts w:hint="default" w:ascii="Times New Roman" w:hAnsi="Times New Roman" w:cs="Times New Roman"/>
          <w:color w:val="000000" w:themeColor="text1"/>
          <w:sz w:val="28"/>
          <w:szCs w:val="28"/>
          <w14:textFill>
            <w14:solidFill>
              <w14:schemeClr w14:val="tx1"/>
            </w14:solidFill>
          </w14:textFill>
        </w:rPr>
        <w:t>株。</w:t>
      </w:r>
      <w:r>
        <w:rPr>
          <w:rFonts w:hint="eastAsia" w:cs="Times New Roman"/>
          <w:color w:val="000000" w:themeColor="text1"/>
          <w:sz w:val="28"/>
          <w:szCs w:val="28"/>
          <w:lang w:val="en-US" w:eastAsia="zh-CN"/>
          <w14:textFill>
            <w14:solidFill>
              <w14:schemeClr w14:val="tx1"/>
            </w14:solidFill>
          </w14:textFill>
        </w:rPr>
        <w:t>树种选择油松（备选杨树）。</w:t>
      </w:r>
    </w:p>
    <w:p w14:paraId="18BFD153">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2</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撒播草籽</w:t>
      </w:r>
    </w:p>
    <w:p w14:paraId="42FE4A5F">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近三年：</w:t>
      </w:r>
      <w:r>
        <w:rPr>
          <w:rFonts w:hint="default" w:ascii="Times New Roman" w:hAnsi="Times New Roman" w:cs="Times New Roman"/>
          <w:color w:val="000000" w:themeColor="text1"/>
          <w:sz w:val="28"/>
          <w:szCs w:val="28"/>
          <w14:textFill>
            <w14:solidFill>
              <w14:schemeClr w14:val="tx1"/>
            </w14:solidFill>
          </w14:textFill>
        </w:rPr>
        <w:t>草种撒播，增加地表植被的覆盖度，草种为</w:t>
      </w:r>
      <w:r>
        <w:rPr>
          <w:rFonts w:hint="eastAsia" w:cs="Times New Roman"/>
          <w:color w:val="000000" w:themeColor="text1"/>
          <w:sz w:val="28"/>
          <w:szCs w:val="28"/>
          <w:lang w:val="en-US" w:eastAsia="zh-CN"/>
          <w14:textFill>
            <w14:solidFill>
              <w14:schemeClr w14:val="tx1"/>
            </w14:solidFill>
          </w14:textFill>
        </w:rPr>
        <w:t>各种草籽混合撒播</w:t>
      </w:r>
      <w:r>
        <w:rPr>
          <w:rFonts w:hint="default" w:ascii="Times New Roman" w:hAnsi="Times New Roman" w:cs="Times New Roman"/>
          <w:color w:val="000000" w:themeColor="text1"/>
          <w:sz w:val="28"/>
          <w:szCs w:val="28"/>
          <w14:textFill>
            <w14:solidFill>
              <w14:schemeClr w14:val="tx1"/>
            </w14:solidFill>
          </w14:textFill>
        </w:rPr>
        <w:t>，撒播面积</w:t>
      </w:r>
      <w:r>
        <w:rPr>
          <w:rFonts w:hint="eastAsia" w:cs="Times New Roman"/>
          <w:color w:val="000000" w:themeColor="text1"/>
          <w:sz w:val="28"/>
          <w:szCs w:val="28"/>
          <w:lang w:val="en-US" w:eastAsia="zh-CN"/>
          <w14:textFill>
            <w14:solidFill>
              <w14:schemeClr w14:val="tx1"/>
            </w14:solidFill>
          </w14:textFill>
        </w:rPr>
        <w:t>0.9101h</w:t>
      </w:r>
      <w:r>
        <w:rPr>
          <w:rFonts w:hint="default" w:ascii="Times New Roman" w:hAnsi="Times New Roman" w:cs="Times New Roman"/>
          <w:color w:val="000000" w:themeColor="text1"/>
          <w:sz w:val="28"/>
          <w:szCs w:val="28"/>
          <w14:textFill>
            <w14:solidFill>
              <w14:schemeClr w14:val="tx1"/>
            </w14:solidFill>
          </w14:textFill>
        </w:rPr>
        <w:t>m</w:t>
      </w:r>
      <w:r>
        <w:rPr>
          <w:rFonts w:hint="eastAsia"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p>
    <w:p w14:paraId="5C7AACC7">
      <w:pPr>
        <w:widowControl/>
        <w:spacing w:line="360" w:lineRule="auto"/>
        <w:ind w:firstLine="560" w:firstLineChars="200"/>
        <w:rPr>
          <w:rFonts w:hint="eastAsia" w:ascii="Times New Roman" w:hAnsi="Times New Roman" w:cs="Times New Roman"/>
          <w:color w:val="000000" w:themeColor="text1"/>
          <w:sz w:val="28"/>
          <w:szCs w:val="28"/>
          <w:lang w:eastAsia="zh-CN"/>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终采后：</w:t>
      </w:r>
      <w:r>
        <w:rPr>
          <w:rFonts w:hint="default" w:ascii="Times New Roman" w:hAnsi="Times New Roman" w:cs="Times New Roman"/>
          <w:color w:val="000000" w:themeColor="text1"/>
          <w:sz w:val="28"/>
          <w:szCs w:val="28"/>
          <w14:textFill>
            <w14:solidFill>
              <w14:schemeClr w14:val="tx1"/>
            </w14:solidFill>
          </w14:textFill>
        </w:rPr>
        <w:t>草种撒播，增加地表植被的覆盖度，草种为</w:t>
      </w:r>
      <w:r>
        <w:rPr>
          <w:rFonts w:hint="eastAsia" w:cs="Times New Roman"/>
          <w:color w:val="000000" w:themeColor="text1"/>
          <w:sz w:val="28"/>
          <w:szCs w:val="28"/>
          <w:lang w:val="en-US" w:eastAsia="zh-CN"/>
          <w14:textFill>
            <w14:solidFill>
              <w14:schemeClr w14:val="tx1"/>
            </w14:solidFill>
          </w14:textFill>
        </w:rPr>
        <w:t>各种草籽混合撒播</w:t>
      </w:r>
      <w:r>
        <w:rPr>
          <w:rFonts w:hint="default" w:ascii="Times New Roman" w:hAnsi="Times New Roman" w:cs="Times New Roman"/>
          <w:color w:val="000000" w:themeColor="text1"/>
          <w:sz w:val="28"/>
          <w:szCs w:val="28"/>
          <w14:textFill>
            <w14:solidFill>
              <w14:schemeClr w14:val="tx1"/>
            </w14:solidFill>
          </w14:textFill>
        </w:rPr>
        <w:t>，撒播面积</w:t>
      </w:r>
      <w:r>
        <w:rPr>
          <w:rFonts w:hint="eastAsia" w:cs="Times New Roman"/>
          <w:color w:val="000000" w:themeColor="text1"/>
          <w:sz w:val="28"/>
          <w:szCs w:val="28"/>
          <w:lang w:val="en-US" w:eastAsia="zh-CN"/>
          <w14:textFill>
            <w14:solidFill>
              <w14:schemeClr w14:val="tx1"/>
            </w14:solidFill>
          </w14:textFill>
        </w:rPr>
        <w:t>0.3584h</w:t>
      </w:r>
      <w:r>
        <w:rPr>
          <w:rFonts w:hint="default" w:ascii="Times New Roman" w:hAnsi="Times New Roman" w:cs="Times New Roman"/>
          <w:color w:val="000000" w:themeColor="text1"/>
          <w:sz w:val="28"/>
          <w:szCs w:val="28"/>
          <w14:textFill>
            <w14:solidFill>
              <w14:schemeClr w14:val="tx1"/>
            </w14:solidFill>
          </w14:textFill>
        </w:rPr>
        <w:t>m</w:t>
      </w:r>
      <w:r>
        <w:rPr>
          <w:rFonts w:hint="eastAsia"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p>
    <w:p w14:paraId="0FCCA314">
      <w:pPr>
        <w:widowControl/>
        <w:spacing w:line="240" w:lineRule="auto"/>
        <w:jc w:val="center"/>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w:t>
      </w:r>
    </w:p>
    <w:p w14:paraId="622EFE41">
      <w:pPr>
        <w:widowControl/>
        <w:spacing w:line="240" w:lineRule="auto"/>
        <w:jc w:val="center"/>
        <w:rPr>
          <w:color w:val="000000" w:themeColor="text1"/>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图4-</w:t>
      </w:r>
      <w:r>
        <w:rPr>
          <w:rFonts w:hint="eastAsia" w:ascii="黑体" w:hAnsi="黑体" w:eastAsia="黑体" w:cs="黑体"/>
          <w:b w:val="0"/>
          <w:bCs w:val="0"/>
          <w:color w:val="000000" w:themeColor="text1"/>
          <w:sz w:val="24"/>
          <w:szCs w:val="24"/>
          <w:lang w:val="en-US" w:eastAsia="zh-CN"/>
          <w14:textFill>
            <w14:solidFill>
              <w14:schemeClr w14:val="tx1"/>
            </w14:solidFill>
          </w14:textFill>
        </w:rPr>
        <w:t>12</w:t>
      </w:r>
      <w:r>
        <w:rPr>
          <w:rFonts w:hint="eastAsia" w:ascii="黑体" w:hAnsi="黑体" w:eastAsia="黑体" w:cs="黑体"/>
          <w:b w:val="0"/>
          <w:bCs w:val="0"/>
          <w:color w:val="000000" w:themeColor="text1"/>
          <w:sz w:val="24"/>
          <w:szCs w:val="24"/>
          <w14:textFill>
            <w14:solidFill>
              <w14:schemeClr w14:val="tx1"/>
            </w14:solidFill>
          </w14:textFill>
        </w:rPr>
        <w:t xml:space="preserve">  </w:t>
      </w:r>
      <w:r>
        <w:rPr>
          <w:rFonts w:hint="eastAsia" w:ascii="黑体" w:hAnsi="黑体" w:eastAsia="黑体" w:cs="黑体"/>
          <w:b w:val="0"/>
          <w:bCs w:val="0"/>
          <w:color w:val="000000" w:themeColor="text1"/>
          <w:sz w:val="24"/>
          <w:szCs w:val="24"/>
          <w:lang w:val="en-US" w:eastAsia="zh-CN"/>
          <w14:textFill>
            <w14:solidFill>
              <w14:schemeClr w14:val="tx1"/>
            </w14:solidFill>
          </w14:textFill>
        </w:rPr>
        <w:t>表土存放场</w:t>
      </w:r>
      <w:r>
        <w:rPr>
          <w:rFonts w:hint="eastAsia" w:ascii="黑体" w:hAnsi="黑体" w:eastAsia="黑体" w:cs="黑体"/>
          <w:b w:val="0"/>
          <w:bCs w:val="0"/>
          <w:color w:val="000000" w:themeColor="text1"/>
          <w:sz w:val="24"/>
          <w:szCs w:val="24"/>
          <w14:textFill>
            <w14:solidFill>
              <w14:schemeClr w14:val="tx1"/>
            </w14:solidFill>
          </w14:textFill>
        </w:rPr>
        <w:t>生态修复效果剖面图</w:t>
      </w:r>
    </w:p>
    <w:p w14:paraId="3951BE18">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outlineLvl w:val="3"/>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r>
        <w:rPr>
          <w:rFonts w:hint="eastAsia" w:cs="Times New Roman"/>
          <w:b/>
          <w:bCs/>
          <w:color w:val="000000" w:themeColor="text1"/>
          <w:sz w:val="28"/>
          <w:szCs w:val="28"/>
          <w:lang w:val="en-US" w:eastAsia="zh-CN"/>
          <w14:textFill>
            <w14:solidFill>
              <w14:schemeClr w14:val="tx1"/>
            </w14:solidFill>
          </w14:textFill>
        </w:rPr>
        <w:t>（九）办公生活区</w:t>
      </w:r>
    </w:p>
    <w:p w14:paraId="301FBC9A">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ascii="Times New Roman" w:hAnsi="Times New Roman" w:cs="Times New Roman"/>
          <w:color w:val="000000" w:themeColor="text1"/>
          <w:sz w:val="28"/>
          <w:szCs w:val="28"/>
          <w:lang w:val="en-US" w:eastAsia="zh-CN"/>
          <w14:textFill>
            <w14:solidFill>
              <w14:schemeClr w14:val="tx1"/>
            </w14:solidFill>
          </w14:textFill>
        </w:rPr>
        <w:t>1、</w:t>
      </w:r>
      <w:r>
        <w:rPr>
          <w:rFonts w:hint="default" w:ascii="Times New Roman" w:hAnsi="Times New Roman" w:cs="Times New Roman"/>
          <w:color w:val="000000" w:themeColor="text1"/>
          <w:sz w:val="28"/>
          <w:szCs w:val="28"/>
          <w14:textFill>
            <w14:solidFill>
              <w14:schemeClr w14:val="tx1"/>
            </w14:solidFill>
          </w14:textFill>
        </w:rPr>
        <w:t>地貌重塑工程</w:t>
      </w:r>
    </w:p>
    <w:p w14:paraId="315C4F85">
      <w:pPr>
        <w:spacing w:line="360" w:lineRule="auto"/>
        <w:ind w:firstLine="560" w:firstLineChars="200"/>
        <w:jc w:val="left"/>
        <w:rPr>
          <w:rFonts w:hint="default" w:ascii="Times New Roman" w:hAnsi="Times New Roman" w:cs="Times New Roman"/>
          <w:color w:val="000000" w:themeColor="text1"/>
          <w:spacing w:val="-4"/>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spacing w:val="-4"/>
          <w:sz w:val="28"/>
          <w:szCs w:val="28"/>
          <w14:textFill>
            <w14:solidFill>
              <w14:schemeClr w14:val="tx1"/>
            </w14:solidFill>
          </w14:textFill>
        </w:rPr>
        <w:t>拆除</w:t>
      </w:r>
    </w:p>
    <w:p w14:paraId="6458848A">
      <w:pPr>
        <w:spacing w:line="360" w:lineRule="auto"/>
        <w:ind w:firstLine="544" w:firstLineChars="200"/>
        <w:jc w:val="left"/>
        <w:rPr>
          <w:rFonts w:hint="default" w:ascii="Times New Roman" w:hAnsi="Times New Roman" w:cs="Times New Roman"/>
          <w:color w:val="000000" w:themeColor="text1"/>
          <w:spacing w:val="-4"/>
          <w:sz w:val="28"/>
          <w:szCs w:val="28"/>
          <w14:textFill>
            <w14:solidFill>
              <w14:schemeClr w14:val="tx1"/>
            </w14:solidFill>
          </w14:textFill>
        </w:rPr>
      </w:pPr>
      <w:r>
        <w:rPr>
          <w:rFonts w:hint="default" w:ascii="Times New Roman" w:hAnsi="Times New Roman" w:cs="Times New Roman"/>
          <w:color w:val="000000" w:themeColor="text1"/>
          <w:spacing w:val="-4"/>
          <w:sz w:val="28"/>
          <w:szCs w:val="28"/>
          <w14:textFill>
            <w14:solidFill>
              <w14:schemeClr w14:val="tx1"/>
            </w14:solidFill>
          </w14:textFill>
        </w:rPr>
        <w:t>对场地内建筑物</w:t>
      </w:r>
      <w:r>
        <w:rPr>
          <w:rFonts w:hint="eastAsia" w:cs="Times New Roman"/>
          <w:color w:val="000000" w:themeColor="text1"/>
          <w:spacing w:val="-4"/>
          <w:sz w:val="28"/>
          <w:szCs w:val="28"/>
          <w:lang w:val="en-US" w:eastAsia="zh-CN"/>
          <w14:textFill>
            <w14:solidFill>
              <w14:schemeClr w14:val="tx1"/>
            </w14:solidFill>
          </w14:textFill>
        </w:rPr>
        <w:t>及地基</w:t>
      </w:r>
      <w:r>
        <w:rPr>
          <w:rFonts w:hint="default" w:ascii="Times New Roman" w:hAnsi="Times New Roman" w:cs="Times New Roman"/>
          <w:color w:val="000000" w:themeColor="text1"/>
          <w:spacing w:val="-4"/>
          <w:sz w:val="28"/>
          <w:szCs w:val="28"/>
          <w14:textFill>
            <w14:solidFill>
              <w14:schemeClr w14:val="tx1"/>
            </w14:solidFill>
          </w14:textFill>
        </w:rPr>
        <w:t>进行拆除，</w:t>
      </w:r>
      <w:r>
        <w:rPr>
          <w:rFonts w:hint="eastAsia" w:cs="Times New Roman"/>
          <w:color w:val="000000" w:themeColor="text1"/>
          <w:spacing w:val="-4"/>
          <w:sz w:val="28"/>
          <w:szCs w:val="28"/>
          <w:lang w:val="en-US" w:eastAsia="zh-CN"/>
          <w14:textFill>
            <w14:solidFill>
              <w14:schemeClr w14:val="tx1"/>
            </w14:solidFill>
          </w14:textFill>
        </w:rPr>
        <w:t>拆除</w:t>
      </w:r>
      <w:r>
        <w:rPr>
          <w:rFonts w:hint="default" w:ascii="Times New Roman" w:hAnsi="Times New Roman" w:cs="Times New Roman"/>
          <w:color w:val="000000" w:themeColor="text1"/>
          <w:spacing w:val="-4"/>
          <w:sz w:val="28"/>
          <w:szCs w:val="28"/>
          <w14:textFill>
            <w14:solidFill>
              <w14:schemeClr w14:val="tx1"/>
            </w14:solidFill>
          </w14:textFill>
        </w:rPr>
        <w:t>面积为</w:t>
      </w:r>
      <w:r>
        <w:rPr>
          <w:rFonts w:hint="eastAsia" w:cs="Times New Roman"/>
          <w:color w:val="000000" w:themeColor="text1"/>
          <w:spacing w:val="-4"/>
          <w:sz w:val="28"/>
          <w:szCs w:val="28"/>
          <w:lang w:val="en-US" w:eastAsia="zh-CN"/>
          <w14:textFill>
            <w14:solidFill>
              <w14:schemeClr w14:val="tx1"/>
            </w14:solidFill>
          </w14:textFill>
        </w:rPr>
        <w:t>346</w:t>
      </w:r>
      <w:r>
        <w:rPr>
          <w:rFonts w:hint="default" w:ascii="Times New Roman" w:hAnsi="Times New Roman" w:cs="Times New Roman"/>
          <w:color w:val="000000" w:themeColor="text1"/>
          <w:spacing w:val="-4"/>
          <w:sz w:val="28"/>
          <w:szCs w:val="28"/>
          <w14:textFill>
            <w14:solidFill>
              <w14:schemeClr w14:val="tx1"/>
            </w14:solidFill>
          </w14:textFill>
        </w:rPr>
        <w:t>m</w:t>
      </w:r>
      <w:r>
        <w:rPr>
          <w:rFonts w:hint="default" w:ascii="Times New Roman" w:hAnsi="Times New Roman" w:cs="Times New Roman"/>
          <w:color w:val="000000" w:themeColor="text1"/>
          <w:spacing w:val="-4"/>
          <w:sz w:val="28"/>
          <w:szCs w:val="28"/>
          <w:vertAlign w:val="superscript"/>
          <w14:textFill>
            <w14:solidFill>
              <w14:schemeClr w14:val="tx1"/>
            </w14:solidFill>
          </w14:textFill>
        </w:rPr>
        <w:t>2</w:t>
      </w:r>
      <w:r>
        <w:rPr>
          <w:rFonts w:hint="default" w:ascii="Times New Roman" w:hAnsi="Times New Roman" w:cs="Times New Roman"/>
          <w:color w:val="000000" w:themeColor="text1"/>
          <w:spacing w:val="-4"/>
          <w:sz w:val="28"/>
          <w:szCs w:val="28"/>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高度</w:t>
      </w:r>
      <w:r>
        <w:rPr>
          <w:rFonts w:hint="eastAsia" w:cs="Times New Roman"/>
          <w:color w:val="000000" w:themeColor="text1"/>
          <w:sz w:val="28"/>
          <w:szCs w:val="28"/>
          <w:lang w:val="en-US" w:eastAsia="zh-CN"/>
          <w14:textFill>
            <w14:solidFill>
              <w14:schemeClr w14:val="tx1"/>
            </w14:solidFill>
          </w14:textFill>
        </w:rPr>
        <w:t>4</w:t>
      </w:r>
      <w:r>
        <w:rPr>
          <w:rFonts w:hint="default" w:ascii="Times New Roman" w:hAnsi="Times New Roman" w:cs="Times New Roman"/>
          <w:color w:val="000000" w:themeColor="text1"/>
          <w:sz w:val="28"/>
          <w:szCs w:val="28"/>
          <w14:textFill>
            <w14:solidFill>
              <w14:schemeClr w14:val="tx1"/>
            </w14:solidFill>
          </w14:textFill>
        </w:rPr>
        <w:t>m，拆除量按容积的20%计，则工程量为</w:t>
      </w:r>
      <w:r>
        <w:rPr>
          <w:rFonts w:hint="eastAsia" w:cs="Times New Roman"/>
          <w:color w:val="000000" w:themeColor="text1"/>
          <w:sz w:val="28"/>
          <w:szCs w:val="28"/>
          <w:lang w:val="en-US" w:eastAsia="zh-CN"/>
          <w14:textFill>
            <w14:solidFill>
              <w14:schemeClr w14:val="tx1"/>
            </w14:solidFill>
          </w14:textFill>
        </w:rPr>
        <w:t>346</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4</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pacing w:val="-4"/>
          <w:sz w:val="28"/>
          <w:szCs w:val="28"/>
          <w14:textFill>
            <w14:solidFill>
              <w14:schemeClr w14:val="tx1"/>
            </w14:solidFill>
          </w14:textFill>
        </w:rPr>
        <w:t>20%=</w:t>
      </w:r>
      <w:r>
        <w:rPr>
          <w:rFonts w:hint="eastAsia" w:cs="Times New Roman"/>
          <w:color w:val="000000" w:themeColor="text1"/>
          <w:spacing w:val="-4"/>
          <w:sz w:val="28"/>
          <w:szCs w:val="28"/>
          <w:lang w:val="en-US" w:eastAsia="zh-CN"/>
          <w14:textFill>
            <w14:solidFill>
              <w14:schemeClr w14:val="tx1"/>
            </w14:solidFill>
          </w14:textFill>
        </w:rPr>
        <w:t>277</w:t>
      </w:r>
      <w:r>
        <w:rPr>
          <w:rFonts w:hint="default" w:ascii="Times New Roman" w:hAnsi="Times New Roman" w:cs="Times New Roman"/>
          <w:color w:val="000000" w:themeColor="text1"/>
          <w:spacing w:val="-4"/>
          <w:sz w:val="28"/>
          <w:szCs w:val="28"/>
          <w14:textFill>
            <w14:solidFill>
              <w14:schemeClr w14:val="tx1"/>
            </w14:solidFill>
          </w14:textFill>
        </w:rPr>
        <w:t>m</w:t>
      </w:r>
      <w:r>
        <w:rPr>
          <w:rFonts w:hint="default" w:ascii="Times New Roman" w:hAnsi="Times New Roman" w:cs="Times New Roman"/>
          <w:color w:val="000000" w:themeColor="text1"/>
          <w:spacing w:val="-4"/>
          <w:sz w:val="28"/>
          <w:szCs w:val="28"/>
          <w:vertAlign w:val="superscript"/>
          <w14:textFill>
            <w14:solidFill>
              <w14:schemeClr w14:val="tx1"/>
            </w14:solidFill>
          </w14:textFill>
        </w:rPr>
        <w:t>3</w:t>
      </w:r>
      <w:r>
        <w:rPr>
          <w:rFonts w:hint="default" w:ascii="Times New Roman" w:hAnsi="Times New Roman" w:cs="Times New Roman"/>
          <w:color w:val="000000" w:themeColor="text1"/>
          <w:spacing w:val="-4"/>
          <w:sz w:val="28"/>
          <w:szCs w:val="28"/>
          <w14:textFill>
            <w14:solidFill>
              <w14:schemeClr w14:val="tx1"/>
            </w14:solidFill>
          </w14:textFill>
        </w:rPr>
        <w:t>。</w:t>
      </w:r>
    </w:p>
    <w:p w14:paraId="54DC74D1">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2</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清运</w:t>
      </w:r>
    </w:p>
    <w:p w14:paraId="6F54C77C">
      <w:pPr>
        <w:pStyle w:val="64"/>
        <w:spacing w:line="360" w:lineRule="auto"/>
        <w:ind w:firstLine="560"/>
        <w:jc w:val="left"/>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lang w:val="en-US"/>
          <w14:textFill>
            <w14:solidFill>
              <w14:schemeClr w14:val="tx1"/>
            </w14:solidFill>
          </w14:textFill>
        </w:rPr>
        <w:t>对场地内</w:t>
      </w:r>
      <w:r>
        <w:rPr>
          <w:rFonts w:hint="eastAsia" w:eastAsia="宋体" w:cs="Times New Roman"/>
          <w:color w:val="000000" w:themeColor="text1"/>
          <w:sz w:val="28"/>
          <w:szCs w:val="28"/>
          <w:lang w:val="en-US" w:eastAsia="zh-CN"/>
          <w14:textFill>
            <w14:solidFill>
              <w14:schemeClr w14:val="tx1"/>
            </w14:solidFill>
          </w14:textFill>
        </w:rPr>
        <w:t>拆除的</w:t>
      </w:r>
      <w:r>
        <w:rPr>
          <w:rFonts w:hint="default" w:ascii="Times New Roman" w:hAnsi="Times New Roman" w:eastAsia="宋体" w:cs="Times New Roman"/>
          <w:color w:val="000000" w:themeColor="text1"/>
          <w:sz w:val="28"/>
          <w:szCs w:val="28"/>
          <w:lang w:val="en-US"/>
          <w14:textFill>
            <w14:solidFill>
              <w14:schemeClr w14:val="tx1"/>
            </w14:solidFill>
          </w14:textFill>
        </w:rPr>
        <w:t>建筑物</w:t>
      </w:r>
      <w:r>
        <w:rPr>
          <w:rFonts w:hint="default" w:ascii="Times New Roman" w:hAnsi="Times New Roman" w:eastAsia="宋体" w:cs="Times New Roman"/>
          <w:color w:val="000000" w:themeColor="text1"/>
          <w:sz w:val="28"/>
          <w:szCs w:val="28"/>
          <w:lang w:val="en-US" w:eastAsia="zh-CN"/>
          <w14:textFill>
            <w14:solidFill>
              <w14:schemeClr w14:val="tx1"/>
            </w14:solidFill>
          </w14:textFill>
        </w:rPr>
        <w:t>及地基</w:t>
      </w:r>
      <w:r>
        <w:rPr>
          <w:rFonts w:hint="default" w:ascii="Times New Roman" w:hAnsi="Times New Roman" w:eastAsia="宋体" w:cs="Times New Roman"/>
          <w:color w:val="000000" w:themeColor="text1"/>
          <w:sz w:val="28"/>
          <w:szCs w:val="28"/>
          <w:lang w:val="en-US"/>
          <w14:textFill>
            <w14:solidFill>
              <w14:schemeClr w14:val="tx1"/>
            </w14:solidFill>
          </w14:textFill>
        </w:rPr>
        <w:t>进行</w:t>
      </w:r>
      <w:r>
        <w:rPr>
          <w:rFonts w:hint="eastAsia" w:eastAsia="宋体" w:cs="Times New Roman"/>
          <w:color w:val="000000" w:themeColor="text1"/>
          <w:sz w:val="28"/>
          <w:szCs w:val="28"/>
          <w:lang w:val="en-US" w:eastAsia="zh-CN"/>
          <w14:textFill>
            <w14:solidFill>
              <w14:schemeClr w14:val="tx1"/>
            </w14:solidFill>
          </w14:textFill>
        </w:rPr>
        <w:t>清运</w:t>
      </w:r>
      <w:r>
        <w:rPr>
          <w:rFonts w:hint="default" w:ascii="Times New Roman" w:hAnsi="Times New Roman" w:eastAsia="宋体" w:cs="Times New Roman"/>
          <w:color w:val="000000" w:themeColor="text1"/>
          <w:sz w:val="28"/>
          <w:szCs w:val="28"/>
          <w:lang w:val="en-US"/>
          <w14:textFill>
            <w14:solidFill>
              <w14:schemeClr w14:val="tx1"/>
            </w14:solidFill>
          </w14:textFill>
        </w:rPr>
        <w:t>，用于回填</w:t>
      </w:r>
      <w:r>
        <w:rPr>
          <w:rFonts w:hint="eastAsia" w:eastAsia="宋体" w:cs="Times New Roman"/>
          <w:color w:val="000000" w:themeColor="text1"/>
          <w:sz w:val="28"/>
          <w:szCs w:val="28"/>
          <w:lang w:val="en-US" w:eastAsia="zh-CN"/>
          <w14:textFill>
            <w14:solidFill>
              <w14:schemeClr w14:val="tx1"/>
            </w14:solidFill>
          </w14:textFill>
        </w:rPr>
        <w:t>至露天采场内</w:t>
      </w:r>
      <w:r>
        <w:rPr>
          <w:rFonts w:hint="default" w:ascii="Times New Roman" w:hAnsi="Times New Roman" w:eastAsia="宋体" w:cs="Times New Roman"/>
          <w:color w:val="000000" w:themeColor="text1"/>
          <w:sz w:val="28"/>
          <w:szCs w:val="28"/>
          <w:lang w:val="en-US"/>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清运工程量为</w:t>
      </w:r>
      <w:r>
        <w:rPr>
          <w:rFonts w:hint="eastAsia" w:eastAsia="宋体" w:cs="Times New Roman"/>
          <w:color w:val="000000" w:themeColor="text1"/>
          <w:sz w:val="28"/>
          <w:szCs w:val="28"/>
          <w:lang w:val="en-US" w:eastAsia="zh-CN"/>
          <w14:textFill>
            <w14:solidFill>
              <w14:schemeClr w14:val="tx1"/>
            </w14:solidFill>
          </w14:textFill>
        </w:rPr>
        <w:t>277</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color w:val="000000" w:themeColor="text1"/>
          <w:sz w:val="28"/>
          <w:szCs w:val="28"/>
          <w14:textFill>
            <w14:solidFill>
              <w14:schemeClr w14:val="tx1"/>
            </w14:solidFill>
          </w14:textFill>
        </w:rPr>
        <w:t>。</w:t>
      </w:r>
    </w:p>
    <w:p w14:paraId="46102E88">
      <w:pPr>
        <w:pStyle w:val="64"/>
        <w:spacing w:line="360" w:lineRule="auto"/>
        <w:ind w:firstLine="560"/>
        <w:rPr>
          <w:rFonts w:hint="default" w:ascii="Times New Roman" w:hAnsi="Times New Roman" w:eastAsia="宋体" w:cs="Times New Roman"/>
          <w:color w:val="000000" w:themeColor="text1"/>
          <w:sz w:val="28"/>
          <w:szCs w:val="28"/>
          <w:lang w:val="en-US"/>
          <w14:textFill>
            <w14:solidFill>
              <w14:schemeClr w14:val="tx1"/>
            </w14:solidFill>
          </w14:textFill>
        </w:rPr>
      </w:pPr>
      <w:r>
        <w:rPr>
          <w:rFonts w:hint="eastAsia" w:ascii="Times New Roman" w:hAnsi="Times New Roman" w:eastAsia="宋体" w:cs="Times New Roman"/>
          <w:color w:val="000000" w:themeColor="text1"/>
          <w:sz w:val="28"/>
          <w:szCs w:val="28"/>
          <w:lang w:val="en-US" w:eastAsia="zh-CN"/>
          <w14:textFill>
            <w14:solidFill>
              <w14:schemeClr w14:val="tx1"/>
            </w14:solidFill>
          </w14:textFill>
        </w:rPr>
        <w:t>（3）</w:t>
      </w:r>
      <w:r>
        <w:rPr>
          <w:rFonts w:hint="default" w:ascii="Times New Roman" w:hAnsi="Times New Roman" w:eastAsia="宋体" w:cs="Times New Roman"/>
          <w:color w:val="000000" w:themeColor="text1"/>
          <w:sz w:val="28"/>
          <w:szCs w:val="28"/>
          <w:lang w:val="en-US"/>
          <w14:textFill>
            <w14:solidFill>
              <w14:schemeClr w14:val="tx1"/>
            </w14:solidFill>
          </w14:textFill>
        </w:rPr>
        <w:t>垫坡整形</w:t>
      </w:r>
    </w:p>
    <w:p w14:paraId="02A5767D">
      <w:pPr>
        <w:pStyle w:val="64"/>
        <w:spacing w:line="360" w:lineRule="auto"/>
        <w:ind w:firstLine="56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利用</w:t>
      </w:r>
      <w:r>
        <w:rPr>
          <w:rFonts w:hint="default" w:ascii="Times New Roman" w:hAnsi="Times New Roman" w:eastAsia="宋体" w:cs="Times New Roman"/>
          <w:color w:val="000000" w:themeColor="text1"/>
          <w:sz w:val="28"/>
          <w:szCs w:val="28"/>
          <w:lang w:val="en-US"/>
          <w14:textFill>
            <w14:solidFill>
              <w14:schemeClr w14:val="tx1"/>
            </w14:solidFill>
          </w14:textFill>
        </w:rPr>
        <w:t>建筑固废</w:t>
      </w:r>
      <w:r>
        <w:rPr>
          <w:rFonts w:hint="default" w:ascii="Times New Roman" w:hAnsi="Times New Roman" w:eastAsia="宋体" w:cs="Times New Roman"/>
          <w:color w:val="000000" w:themeColor="text1"/>
          <w:sz w:val="28"/>
          <w:szCs w:val="28"/>
          <w14:textFill>
            <w14:solidFill>
              <w14:schemeClr w14:val="tx1"/>
            </w14:solidFill>
          </w14:textFill>
        </w:rPr>
        <w:t>对场地进行垫坡整形，垫坡后边坡角度≤25°，计算公式为Qx=L×v，式中：Qx为</w:t>
      </w:r>
      <w:r>
        <w:rPr>
          <w:rFonts w:hint="default" w:ascii="Times New Roman" w:hAnsi="Times New Roman" w:eastAsia="宋体" w:cs="Times New Roman"/>
          <w:color w:val="000000" w:themeColor="text1"/>
          <w:spacing w:val="-4"/>
          <w:sz w:val="28"/>
          <w:szCs w:val="28"/>
          <w14:textFill>
            <w14:solidFill>
              <w14:schemeClr w14:val="tx1"/>
            </w14:solidFill>
          </w14:textFill>
        </w:rPr>
        <w:t>垫坡</w:t>
      </w:r>
      <w:r>
        <w:rPr>
          <w:rFonts w:hint="default" w:ascii="Times New Roman" w:hAnsi="Times New Roman" w:eastAsia="宋体" w:cs="Times New Roman"/>
          <w:color w:val="000000" w:themeColor="text1"/>
          <w:sz w:val="28"/>
          <w:szCs w:val="28"/>
          <w14:textFill>
            <w14:solidFill>
              <w14:schemeClr w14:val="tx1"/>
            </w14:solidFill>
          </w14:textFill>
        </w:rPr>
        <w:t>整形工程量（m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color w:val="000000" w:themeColor="text1"/>
          <w:sz w:val="28"/>
          <w:szCs w:val="28"/>
          <w14:textFill>
            <w14:solidFill>
              <w14:schemeClr w14:val="tx1"/>
            </w14:solidFill>
          </w14:textFill>
        </w:rPr>
        <w:t>）；L为治理边坡长度；v为单位坡长</w:t>
      </w:r>
      <w:r>
        <w:rPr>
          <w:rFonts w:hint="default" w:ascii="Times New Roman" w:hAnsi="Times New Roman" w:eastAsia="宋体" w:cs="Times New Roman"/>
          <w:color w:val="000000" w:themeColor="text1"/>
          <w:spacing w:val="-4"/>
          <w:sz w:val="28"/>
          <w:szCs w:val="28"/>
          <w14:textFill>
            <w14:solidFill>
              <w14:schemeClr w14:val="tx1"/>
            </w14:solidFill>
          </w14:textFill>
        </w:rPr>
        <w:t>垫坡</w:t>
      </w:r>
      <w:r>
        <w:rPr>
          <w:rFonts w:hint="default" w:ascii="Times New Roman" w:hAnsi="Times New Roman" w:eastAsia="宋体" w:cs="Times New Roman"/>
          <w:color w:val="000000" w:themeColor="text1"/>
          <w:sz w:val="28"/>
          <w:szCs w:val="28"/>
          <w14:textFill>
            <w14:solidFill>
              <w14:schemeClr w14:val="tx1"/>
            </w14:solidFill>
          </w14:textFill>
        </w:rPr>
        <w:t>工程量（根据mapgis软件计算，取平均值</w:t>
      </w:r>
      <w:r>
        <w:rPr>
          <w:rFonts w:hint="eastAsia" w:eastAsia="宋体" w:cs="Times New Roman"/>
          <w:color w:val="000000" w:themeColor="text1"/>
          <w:sz w:val="28"/>
          <w:szCs w:val="28"/>
          <w:lang w:val="en-US" w:eastAsia="zh-CN"/>
          <w14:textFill>
            <w14:solidFill>
              <w14:schemeClr w14:val="tx1"/>
            </w14:solidFill>
          </w14:textFill>
        </w:rPr>
        <w:t>3</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pacing w:val="-4"/>
          <w:sz w:val="28"/>
          <w:szCs w:val="28"/>
          <w14:textFill>
            <w14:solidFill>
              <w14:schemeClr w14:val="tx1"/>
            </w14:solidFill>
          </w14:textFill>
        </w:rPr>
        <w:t>垫坡</w:t>
      </w:r>
      <w:r>
        <w:rPr>
          <w:rFonts w:hint="default" w:ascii="Times New Roman" w:hAnsi="Times New Roman" w:eastAsia="宋体" w:cs="Times New Roman"/>
          <w:bCs/>
          <w:color w:val="000000" w:themeColor="text1"/>
          <w:sz w:val="28"/>
          <w:szCs w:val="28"/>
          <w14:textFill>
            <w14:solidFill>
              <w14:schemeClr w14:val="tx1"/>
            </w14:solidFill>
          </w14:textFill>
        </w:rPr>
        <w:t>整形</w:t>
      </w:r>
      <w:r>
        <w:rPr>
          <w:rFonts w:hint="default" w:ascii="Times New Roman" w:hAnsi="Times New Roman" w:eastAsia="宋体" w:cs="Times New Roman"/>
          <w:color w:val="000000" w:themeColor="text1"/>
          <w:spacing w:val="-4"/>
          <w:sz w:val="28"/>
          <w:szCs w:val="28"/>
          <w14:textFill>
            <w14:solidFill>
              <w14:schemeClr w14:val="tx1"/>
            </w14:solidFill>
          </w14:textFill>
        </w:rPr>
        <w:t>工程</w:t>
      </w:r>
      <w:r>
        <w:rPr>
          <w:rFonts w:hint="default" w:ascii="Times New Roman" w:hAnsi="Times New Roman" w:eastAsia="宋体" w:cs="Times New Roman"/>
          <w:color w:val="000000" w:themeColor="text1"/>
          <w:sz w:val="28"/>
          <w:szCs w:val="28"/>
          <w14:textFill>
            <w14:solidFill>
              <w14:schemeClr w14:val="tx1"/>
            </w14:solidFill>
          </w14:textFill>
        </w:rPr>
        <w:t>量</w:t>
      </w:r>
      <w:r>
        <w:rPr>
          <w:rFonts w:hint="eastAsia" w:eastAsia="宋体" w:cs="Times New Roman"/>
          <w:color w:val="000000" w:themeColor="text1"/>
          <w:sz w:val="28"/>
          <w:szCs w:val="28"/>
          <w:lang w:val="en-US" w:eastAsia="zh-CN"/>
          <w14:textFill>
            <w14:solidFill>
              <w14:schemeClr w14:val="tx1"/>
            </w14:solidFill>
          </w14:textFill>
        </w:rPr>
        <w:t>61</w:t>
      </w:r>
      <w:r>
        <w:rPr>
          <w:rFonts w:hint="default" w:ascii="Times New Roman" w:hAnsi="Times New Roman" w:eastAsia="宋体" w:cs="Times New Roman"/>
          <w:bCs/>
          <w:color w:val="000000" w:themeColor="text1"/>
          <w:sz w:val="28"/>
          <w:szCs w:val="28"/>
          <w14:textFill>
            <w14:solidFill>
              <w14:schemeClr w14:val="tx1"/>
            </w14:solidFill>
          </w14:textFill>
        </w:rPr>
        <w:t>m×</w:t>
      </w:r>
      <w:r>
        <w:rPr>
          <w:rFonts w:hint="eastAsia" w:eastAsia="宋体" w:cs="Times New Roman"/>
          <w:bCs/>
          <w:color w:val="000000" w:themeColor="text1"/>
          <w:sz w:val="28"/>
          <w:szCs w:val="28"/>
          <w:lang w:val="en-US" w:eastAsia="zh-CN"/>
          <w14:textFill>
            <w14:solidFill>
              <w14:schemeClr w14:val="tx1"/>
            </w14:solidFill>
          </w14:textFill>
        </w:rPr>
        <w:t>3</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bCs/>
          <w:color w:val="000000" w:themeColor="text1"/>
          <w:sz w:val="28"/>
          <w:szCs w:val="28"/>
          <w14:textFill>
            <w14:solidFill>
              <w14:schemeClr w14:val="tx1"/>
            </w14:solidFill>
          </w14:textFill>
        </w:rPr>
        <w:t>=</w:t>
      </w:r>
      <w:r>
        <w:rPr>
          <w:rFonts w:hint="eastAsia" w:eastAsia="宋体" w:cs="Times New Roman"/>
          <w:bCs/>
          <w:color w:val="000000" w:themeColor="text1"/>
          <w:sz w:val="28"/>
          <w:szCs w:val="28"/>
          <w:lang w:val="en-US" w:eastAsia="zh-CN"/>
          <w14:textFill>
            <w14:solidFill>
              <w14:schemeClr w14:val="tx1"/>
            </w14:solidFill>
          </w14:textFill>
        </w:rPr>
        <w:t>183</w:t>
      </w:r>
      <w:r>
        <w:rPr>
          <w:rFonts w:hint="default" w:ascii="Times New Roman" w:hAnsi="Times New Roman" w:eastAsia="宋体" w:cs="Times New Roman"/>
          <w:bCs/>
          <w:color w:val="000000" w:themeColor="text1"/>
          <w:sz w:val="28"/>
          <w:szCs w:val="28"/>
          <w14:textFill>
            <w14:solidFill>
              <w14:schemeClr w14:val="tx1"/>
            </w14:solidFill>
          </w14:textFill>
        </w:rPr>
        <w:t>m</w:t>
      </w:r>
      <w:r>
        <w:rPr>
          <w:rFonts w:hint="default" w:ascii="Times New Roman" w:hAnsi="Times New Roman" w:eastAsia="宋体" w:cs="Times New Roman"/>
          <w:bCs/>
          <w:color w:val="000000" w:themeColor="text1"/>
          <w:sz w:val="28"/>
          <w:szCs w:val="28"/>
          <w:vertAlign w:val="superscript"/>
          <w14:textFill>
            <w14:solidFill>
              <w14:schemeClr w14:val="tx1"/>
            </w14:solidFill>
          </w14:textFill>
        </w:rPr>
        <w:t>3</w:t>
      </w:r>
      <w:r>
        <w:rPr>
          <w:rFonts w:hint="default" w:ascii="Times New Roman" w:hAnsi="Times New Roman" w:eastAsia="宋体" w:cs="Times New Roman"/>
          <w:bCs/>
          <w:color w:val="000000" w:themeColor="text1"/>
          <w:sz w:val="28"/>
          <w:szCs w:val="28"/>
          <w14:textFill>
            <w14:solidFill>
              <w14:schemeClr w14:val="tx1"/>
            </w14:solidFill>
          </w14:textFill>
        </w:rPr>
        <w:t>。</w:t>
      </w:r>
    </w:p>
    <w:p w14:paraId="3FF0D33D">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val="en-US" w:eastAsia="zh-CN"/>
          <w14:textFill>
            <w14:solidFill>
              <w14:schemeClr w14:val="tx1"/>
            </w14:solidFill>
          </w14:textFill>
        </w:rPr>
        <w:t>2、</w:t>
      </w:r>
      <w:r>
        <w:rPr>
          <w:rFonts w:hint="default" w:ascii="Times New Roman" w:hAnsi="Times New Roman" w:cs="Times New Roman"/>
          <w:color w:val="000000" w:themeColor="text1"/>
          <w:kern w:val="0"/>
          <w:sz w:val="28"/>
          <w:szCs w:val="28"/>
          <w14:textFill>
            <w14:solidFill>
              <w14:schemeClr w14:val="tx1"/>
            </w14:solidFill>
          </w14:textFill>
        </w:rPr>
        <w:t>土壤重构工程</w:t>
      </w:r>
    </w:p>
    <w:p w14:paraId="5832A3F2">
      <w:pPr>
        <w:widowControl/>
        <w:spacing w:line="360" w:lineRule="auto"/>
        <w:ind w:firstLine="560" w:firstLineChars="200"/>
        <w:rPr>
          <w:rFonts w:hint="eastAsia" w:ascii="Times New Roman" w:hAnsi="Times New Roman" w:eastAsia="宋体" w:cs="Times New Roman"/>
          <w:color w:val="000000" w:themeColor="text1"/>
          <w:kern w:val="0"/>
          <w:sz w:val="28"/>
          <w:szCs w:val="28"/>
          <w:lang w:eastAsia="zh-CN"/>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cs="Times New Roman"/>
          <w:color w:val="000000" w:themeColor="text1"/>
          <w:kern w:val="0"/>
          <w:sz w:val="28"/>
          <w:szCs w:val="28"/>
          <w:lang w:val="en-US" w:eastAsia="zh-CN"/>
          <w14:textFill>
            <w14:solidFill>
              <w14:schemeClr w14:val="tx1"/>
            </w14:solidFill>
          </w14:textFill>
        </w:rPr>
        <w:t>翻耕</w:t>
      </w:r>
    </w:p>
    <w:p w14:paraId="1CA24BF1">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对清运后的</w:t>
      </w:r>
      <w:r>
        <w:rPr>
          <w:rFonts w:hint="default" w:ascii="Times New Roman" w:hAnsi="Times New Roman" w:cs="Times New Roman"/>
          <w:color w:val="000000" w:themeColor="text1"/>
          <w:sz w:val="28"/>
          <w:szCs w:val="28"/>
          <w14:textFill>
            <w14:solidFill>
              <w14:schemeClr w14:val="tx1"/>
            </w14:solidFill>
          </w14:textFill>
        </w:rPr>
        <w:t>场地</w:t>
      </w:r>
      <w:r>
        <w:rPr>
          <w:rFonts w:hint="eastAsia" w:cs="Times New Roman"/>
          <w:color w:val="000000" w:themeColor="text1"/>
          <w:sz w:val="28"/>
          <w:szCs w:val="28"/>
          <w:lang w:val="en-US" w:eastAsia="zh-CN"/>
          <w14:textFill>
            <w14:solidFill>
              <w14:schemeClr w14:val="tx1"/>
            </w14:solidFill>
          </w14:textFill>
        </w:rPr>
        <w:t>进行翻耕</w:t>
      </w:r>
      <w:r>
        <w:rPr>
          <w:rFonts w:hint="default" w:ascii="Times New Roman" w:hAnsi="Times New Roman"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翻耕面积</w:t>
      </w:r>
      <w:r>
        <w:rPr>
          <w:rFonts w:hint="eastAsia" w:ascii="Times New Roman" w:hAnsi="Times New Roman" w:cs="Times New Roman"/>
          <w:color w:val="000000" w:themeColor="text1"/>
          <w:sz w:val="28"/>
          <w:szCs w:val="28"/>
          <w:lang w:val="en-US" w:eastAsia="zh-CN"/>
          <w14:textFill>
            <w14:solidFill>
              <w14:schemeClr w14:val="tx1"/>
            </w14:solidFill>
          </w14:textFill>
        </w:rPr>
        <w:t>2217</w:t>
      </w:r>
      <w:r>
        <w:rPr>
          <w:rFonts w:hint="default" w:ascii="Times New Roman" w:hAnsi="Times New Roman" w:cs="Times New Roman"/>
          <w:color w:val="000000" w:themeColor="text1"/>
          <w:sz w:val="28"/>
          <w:szCs w:val="28"/>
          <w14:textFill>
            <w14:solidFill>
              <w14:schemeClr w14:val="tx1"/>
            </w14:solidFill>
          </w14:textFill>
        </w:rPr>
        <w:t>m</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翻耕</w:t>
      </w:r>
      <w:r>
        <w:rPr>
          <w:rFonts w:hint="default" w:ascii="Times New Roman" w:hAnsi="Times New Roman" w:cs="Times New Roman"/>
          <w:color w:val="000000" w:themeColor="text1"/>
          <w:sz w:val="28"/>
          <w:szCs w:val="28"/>
          <w14:textFill>
            <w14:solidFill>
              <w14:schemeClr w14:val="tx1"/>
            </w14:solidFill>
          </w14:textFill>
        </w:rPr>
        <w:t>厚度为0.5m，则</w:t>
      </w:r>
      <w:r>
        <w:rPr>
          <w:rFonts w:hint="eastAsia" w:cs="Times New Roman"/>
          <w:color w:val="000000" w:themeColor="text1"/>
          <w:sz w:val="28"/>
          <w:szCs w:val="28"/>
          <w:lang w:val="en-US" w:eastAsia="zh-CN"/>
          <w14:textFill>
            <w14:solidFill>
              <w14:schemeClr w14:val="tx1"/>
            </w14:solidFill>
          </w14:textFill>
        </w:rPr>
        <w:t>翻耕</w:t>
      </w:r>
      <w:r>
        <w:rPr>
          <w:rFonts w:hint="default" w:ascii="Times New Roman" w:hAnsi="Times New Roman" w:cs="Times New Roman"/>
          <w:color w:val="000000" w:themeColor="text1"/>
          <w:sz w:val="28"/>
          <w:szCs w:val="28"/>
          <w14:textFill>
            <w14:solidFill>
              <w14:schemeClr w14:val="tx1"/>
            </w14:solidFill>
          </w14:textFill>
        </w:rPr>
        <w:t>工程量</w:t>
      </w:r>
      <w:r>
        <w:rPr>
          <w:rFonts w:hint="eastAsia" w:cs="Times New Roman"/>
          <w:color w:val="000000" w:themeColor="text1"/>
          <w:sz w:val="28"/>
          <w:szCs w:val="28"/>
          <w:lang w:val="en-US" w:eastAsia="zh-CN"/>
          <w14:textFill>
            <w14:solidFill>
              <w14:schemeClr w14:val="tx1"/>
            </w14:solidFill>
          </w14:textFill>
        </w:rPr>
        <w:t>1109</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w:t>
      </w:r>
    </w:p>
    <w:p w14:paraId="693AEB6D">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2</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kern w:val="0"/>
          <w:sz w:val="28"/>
          <w:szCs w:val="28"/>
          <w14:textFill>
            <w14:solidFill>
              <w14:schemeClr w14:val="tx1"/>
            </w14:solidFill>
          </w14:textFill>
        </w:rPr>
        <w:t>土地平整</w:t>
      </w:r>
    </w:p>
    <w:p w14:paraId="03F2EB71">
      <w:pPr>
        <w:widowControl/>
        <w:spacing w:line="360" w:lineRule="auto"/>
        <w:ind w:firstLine="560" w:firstLineChars="200"/>
        <w:rPr>
          <w:rFonts w:hint="default" w:ascii="Times New Roman" w:hAnsi="Times New Roman" w:eastAsia="宋体"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场地</w:t>
      </w:r>
      <w:r>
        <w:rPr>
          <w:rFonts w:hint="eastAsia" w:ascii="Times New Roman" w:hAnsi="Times New Roman" w:cs="Times New Roman"/>
          <w:color w:val="000000" w:themeColor="text1"/>
          <w:sz w:val="28"/>
          <w:szCs w:val="28"/>
          <w:lang w:val="en-US" w:eastAsia="zh-CN"/>
          <w14:textFill>
            <w14:solidFill>
              <w14:schemeClr w14:val="tx1"/>
            </w14:solidFill>
          </w14:textFill>
        </w:rPr>
        <w:t>翻耕</w:t>
      </w:r>
      <w:r>
        <w:rPr>
          <w:rFonts w:hint="default" w:ascii="Times New Roman" w:hAnsi="Times New Roman" w:cs="Times New Roman"/>
          <w:color w:val="000000" w:themeColor="text1"/>
          <w:sz w:val="28"/>
          <w:szCs w:val="28"/>
          <w14:textFill>
            <w14:solidFill>
              <w14:schemeClr w14:val="tx1"/>
            </w14:solidFill>
          </w14:textFill>
        </w:rPr>
        <w:t>后开展平整工作，平整厚度0.</w:t>
      </w:r>
      <w:r>
        <w:rPr>
          <w:rFonts w:hint="eastAsia" w:cs="Times New Roman"/>
          <w:color w:val="000000" w:themeColor="text1"/>
          <w:sz w:val="28"/>
          <w:szCs w:val="28"/>
          <w:lang w:val="en-US" w:eastAsia="zh-CN"/>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m，平整面积</w:t>
      </w:r>
      <w:r>
        <w:rPr>
          <w:rFonts w:hint="eastAsia" w:cs="Times New Roman"/>
          <w:color w:val="000000" w:themeColor="text1"/>
          <w:sz w:val="28"/>
          <w:szCs w:val="28"/>
          <w:lang w:val="en-US" w:eastAsia="zh-CN"/>
          <w14:textFill>
            <w14:solidFill>
              <w14:schemeClr w14:val="tx1"/>
            </w14:solidFill>
          </w14:textFill>
        </w:rPr>
        <w:t>2217</w:t>
      </w:r>
      <w:r>
        <w:rPr>
          <w:rFonts w:hint="default" w:ascii="Times New Roman" w:hAnsi="Times New Roman" w:cs="Times New Roman"/>
          <w:color w:val="000000" w:themeColor="text1"/>
          <w:sz w:val="28"/>
          <w:szCs w:val="28"/>
          <w14:textFill>
            <w14:solidFill>
              <w14:schemeClr w14:val="tx1"/>
            </w14:solidFill>
          </w14:textFill>
        </w:rPr>
        <w:t>m</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，工程量</w:t>
      </w:r>
      <w:r>
        <w:rPr>
          <w:rFonts w:hint="eastAsia" w:cs="Times New Roman"/>
          <w:color w:val="000000" w:themeColor="text1"/>
          <w:sz w:val="28"/>
          <w:szCs w:val="28"/>
          <w:lang w:val="en-US" w:eastAsia="zh-CN"/>
          <w14:textFill>
            <w14:solidFill>
              <w14:schemeClr w14:val="tx1"/>
            </w14:solidFill>
          </w14:textFill>
        </w:rPr>
        <w:t>665</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w:t>
      </w:r>
    </w:p>
    <w:p w14:paraId="4E37FB37">
      <w:pPr>
        <w:widowControl/>
        <w:spacing w:line="360" w:lineRule="auto"/>
        <w:ind w:firstLine="560" w:firstLineChars="200"/>
        <w:rPr>
          <w:rFonts w:hint="default" w:ascii="Times New Roman" w:hAnsi="Times New Roman" w:eastAsia="宋体"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val="en-US" w:eastAsia="zh-CN"/>
          <w14:textFill>
            <w14:solidFill>
              <w14:schemeClr w14:val="tx1"/>
            </w14:solidFill>
          </w14:textFill>
        </w:rPr>
        <w:t>3、</w:t>
      </w:r>
      <w:r>
        <w:rPr>
          <w:rFonts w:hint="default" w:ascii="Times New Roman" w:hAnsi="Times New Roman" w:eastAsia="宋体" w:cs="Times New Roman"/>
          <w:color w:val="000000" w:themeColor="text1"/>
          <w:kern w:val="0"/>
          <w:sz w:val="28"/>
          <w:szCs w:val="28"/>
          <w14:textFill>
            <w14:solidFill>
              <w14:schemeClr w14:val="tx1"/>
            </w14:solidFill>
          </w14:textFill>
        </w:rPr>
        <w:t>植被重建工程</w:t>
      </w:r>
    </w:p>
    <w:p w14:paraId="1560ED7C">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撒播草籽</w:t>
      </w:r>
    </w:p>
    <w:p w14:paraId="2F585E41">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草种撒播，增加地表植被的覆盖度，草种为</w:t>
      </w:r>
      <w:r>
        <w:rPr>
          <w:rFonts w:hint="eastAsia" w:cs="Times New Roman"/>
          <w:color w:val="000000" w:themeColor="text1"/>
          <w:sz w:val="28"/>
          <w:szCs w:val="28"/>
          <w:lang w:val="en-US" w:eastAsia="zh-CN"/>
          <w14:textFill>
            <w14:solidFill>
              <w14:schemeClr w14:val="tx1"/>
            </w14:solidFill>
          </w14:textFill>
        </w:rPr>
        <w:t>各种草籽混合撒播</w:t>
      </w:r>
      <w:r>
        <w:rPr>
          <w:rFonts w:hint="default" w:ascii="Times New Roman" w:hAnsi="Times New Roman" w:cs="Times New Roman"/>
          <w:color w:val="000000" w:themeColor="text1"/>
          <w:sz w:val="28"/>
          <w:szCs w:val="28"/>
          <w14:textFill>
            <w14:solidFill>
              <w14:schemeClr w14:val="tx1"/>
            </w14:solidFill>
          </w14:textFill>
        </w:rPr>
        <w:t>，撒播面积</w:t>
      </w:r>
      <w:r>
        <w:rPr>
          <w:rFonts w:hint="eastAsia" w:cs="Times New Roman"/>
          <w:color w:val="000000" w:themeColor="text1"/>
          <w:sz w:val="28"/>
          <w:szCs w:val="28"/>
          <w:lang w:val="en-US" w:eastAsia="zh-CN"/>
          <w14:textFill>
            <w14:solidFill>
              <w14:schemeClr w14:val="tx1"/>
            </w14:solidFill>
          </w14:textFill>
        </w:rPr>
        <w:t>0.2217h</w:t>
      </w:r>
      <w:r>
        <w:rPr>
          <w:rFonts w:hint="default" w:ascii="Times New Roman" w:hAnsi="Times New Roman" w:cs="Times New Roman"/>
          <w:color w:val="000000" w:themeColor="text1"/>
          <w:sz w:val="28"/>
          <w:szCs w:val="28"/>
          <w14:textFill>
            <w14:solidFill>
              <w14:schemeClr w14:val="tx1"/>
            </w14:solidFill>
          </w14:textFill>
        </w:rPr>
        <w:t>m</w:t>
      </w:r>
      <w:r>
        <w:rPr>
          <w:rFonts w:hint="eastAsia"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p>
    <w:p w14:paraId="292AE4F1">
      <w:pPr>
        <w:widowControl/>
        <w:spacing w:line="240" w:lineRule="auto"/>
        <w:jc w:val="center"/>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    </w:t>
      </w:r>
    </w:p>
    <w:p w14:paraId="7222CBA3">
      <w:pPr>
        <w:widowControl/>
        <w:spacing w:line="360" w:lineRule="auto"/>
        <w:jc w:val="center"/>
        <w:rPr>
          <w:color w:val="000000" w:themeColor="text1"/>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图4-</w:t>
      </w:r>
      <w:r>
        <w:rPr>
          <w:rFonts w:hint="eastAsia" w:ascii="黑体" w:hAnsi="黑体" w:eastAsia="黑体" w:cs="黑体"/>
          <w:b w:val="0"/>
          <w:bCs w:val="0"/>
          <w:color w:val="000000" w:themeColor="text1"/>
          <w:sz w:val="24"/>
          <w:szCs w:val="24"/>
          <w:lang w:val="en-US" w:eastAsia="zh-CN"/>
          <w14:textFill>
            <w14:solidFill>
              <w14:schemeClr w14:val="tx1"/>
            </w14:solidFill>
          </w14:textFill>
        </w:rPr>
        <w:t>13</w:t>
      </w:r>
      <w:r>
        <w:rPr>
          <w:rFonts w:hint="eastAsia" w:ascii="黑体" w:hAnsi="黑体" w:eastAsia="黑体" w:cs="黑体"/>
          <w:b w:val="0"/>
          <w:bCs w:val="0"/>
          <w:color w:val="000000" w:themeColor="text1"/>
          <w:sz w:val="24"/>
          <w:szCs w:val="24"/>
          <w14:textFill>
            <w14:solidFill>
              <w14:schemeClr w14:val="tx1"/>
            </w14:solidFill>
          </w14:textFill>
        </w:rPr>
        <w:t xml:space="preserve">  </w:t>
      </w:r>
      <w:r>
        <w:rPr>
          <w:rFonts w:hint="eastAsia" w:ascii="黑体" w:hAnsi="黑体" w:eastAsia="黑体" w:cs="黑体"/>
          <w:b w:val="0"/>
          <w:bCs w:val="0"/>
          <w:color w:val="000000" w:themeColor="text1"/>
          <w:sz w:val="24"/>
          <w:szCs w:val="24"/>
          <w:lang w:val="en-US" w:eastAsia="zh-CN"/>
          <w14:textFill>
            <w14:solidFill>
              <w14:schemeClr w14:val="tx1"/>
            </w14:solidFill>
          </w14:textFill>
        </w:rPr>
        <w:t>办公生活区</w:t>
      </w:r>
      <w:r>
        <w:rPr>
          <w:rFonts w:hint="eastAsia" w:ascii="黑体" w:hAnsi="黑体" w:eastAsia="黑体" w:cs="黑体"/>
          <w:b w:val="0"/>
          <w:bCs w:val="0"/>
          <w:color w:val="000000" w:themeColor="text1"/>
          <w:sz w:val="24"/>
          <w:szCs w:val="24"/>
          <w14:textFill>
            <w14:solidFill>
              <w14:schemeClr w14:val="tx1"/>
            </w14:solidFill>
          </w14:textFill>
        </w:rPr>
        <w:t>生态修复效果剖面图</w:t>
      </w:r>
    </w:p>
    <w:p w14:paraId="66219FCE">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outlineLvl w:val="3"/>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pPr>
      <w:r>
        <w:rPr>
          <w:rFonts w:hint="eastAsia" w:cs="Times New Roman"/>
          <w:b/>
          <w:bCs/>
          <w:color w:val="000000" w:themeColor="text1"/>
          <w:sz w:val="28"/>
          <w:szCs w:val="28"/>
          <w:lang w:val="en-US" w:eastAsia="zh-CN"/>
          <w14:textFill>
            <w14:solidFill>
              <w14:schemeClr w14:val="tx1"/>
            </w14:solidFill>
          </w14:textFill>
        </w:rPr>
        <w:t>（十）</w:t>
      </w:r>
      <w:r>
        <w:rPr>
          <w:rFonts w:hint="default" w:ascii="Times New Roman" w:hAnsi="Times New Roman" w:eastAsia="宋体" w:cs="Times New Roman"/>
          <w:b/>
          <w:bCs/>
          <w:color w:val="000000" w:themeColor="text1"/>
          <w:sz w:val="28"/>
          <w:szCs w:val="28"/>
          <w:lang w:val="en-US" w:eastAsia="zh-CN"/>
          <w14:textFill>
            <w14:solidFill>
              <w14:schemeClr w14:val="tx1"/>
            </w14:solidFill>
          </w14:textFill>
        </w:rPr>
        <w:t>矿区道路</w:t>
      </w:r>
    </w:p>
    <w:p w14:paraId="2560EC38">
      <w:pPr>
        <w:widowControl/>
        <w:spacing w:line="360" w:lineRule="auto"/>
        <w:ind w:firstLine="560" w:firstLineChars="200"/>
        <w:rPr>
          <w:rFonts w:hint="default" w:ascii="Times New Roman" w:hAnsi="Times New Roman" w:cs="Times New Roman"/>
          <w:color w:val="000000" w:themeColor="text1"/>
          <w:kern w:val="0"/>
          <w:sz w:val="28"/>
          <w:szCs w:val="28"/>
          <w:lang w:val="en-US" w:eastAsia="zh-CN"/>
          <w14:textFill>
            <w14:solidFill>
              <w14:schemeClr w14:val="tx1"/>
            </w14:solidFill>
          </w14:textFill>
        </w:rPr>
      </w:pP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default" w:ascii="Times New Roman" w:hAnsi="Times New Roman" w:cs="Times New Roman"/>
          <w:color w:val="000000" w:themeColor="text1"/>
          <w:kern w:val="0"/>
          <w:sz w:val="28"/>
          <w:szCs w:val="28"/>
          <w14:textFill>
            <w14:solidFill>
              <w14:schemeClr w14:val="tx1"/>
            </w14:solidFill>
          </w14:textFill>
        </w:rPr>
        <w:t>土壤重构工程</w:t>
      </w:r>
    </w:p>
    <w:p w14:paraId="6750A16B">
      <w:pPr>
        <w:widowControl/>
        <w:spacing w:line="360" w:lineRule="auto"/>
        <w:ind w:firstLine="560" w:firstLineChars="200"/>
        <w:rPr>
          <w:rFonts w:hint="eastAsia" w:ascii="Times New Roman" w:hAnsi="Times New Roman" w:eastAsia="宋体" w:cs="Times New Roman"/>
          <w:color w:val="000000" w:themeColor="text1"/>
          <w:kern w:val="0"/>
          <w:sz w:val="28"/>
          <w:szCs w:val="28"/>
          <w:lang w:eastAsia="zh-CN"/>
          <w14:textFill>
            <w14:solidFill>
              <w14:schemeClr w14:val="tx1"/>
            </w14:solidFill>
          </w14:textFill>
        </w:rPr>
      </w:pP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cs="Times New Roman"/>
          <w:color w:val="000000" w:themeColor="text1"/>
          <w:kern w:val="0"/>
          <w:sz w:val="28"/>
          <w:szCs w:val="28"/>
          <w:lang w:val="en-US" w:eastAsia="zh-CN"/>
          <w14:textFill>
            <w14:solidFill>
              <w14:schemeClr w14:val="tx1"/>
            </w14:solidFill>
          </w14:textFill>
        </w:rPr>
        <w:t>翻耕</w:t>
      </w:r>
    </w:p>
    <w:p w14:paraId="5726C29E">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cs="Times New Roman"/>
          <w:color w:val="000000" w:themeColor="text1"/>
          <w:sz w:val="28"/>
          <w:szCs w:val="28"/>
          <w:lang w:val="en-US" w:eastAsia="zh-CN"/>
          <w14:textFill>
            <w14:solidFill>
              <w14:schemeClr w14:val="tx1"/>
            </w14:solidFill>
          </w14:textFill>
        </w:rPr>
        <w:t>对矿区进行翻耕</w:t>
      </w:r>
      <w:r>
        <w:rPr>
          <w:rFonts w:hint="default" w:ascii="Times New Roman" w:hAnsi="Times New Roman"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翻耕面积</w:t>
      </w:r>
      <w:r>
        <w:rPr>
          <w:rFonts w:hint="eastAsia" w:ascii="Times New Roman" w:hAnsi="Times New Roman" w:cs="Times New Roman"/>
          <w:color w:val="000000" w:themeColor="text1"/>
          <w:sz w:val="28"/>
          <w:szCs w:val="28"/>
          <w:lang w:val="en-US" w:eastAsia="zh-CN"/>
          <w14:textFill>
            <w14:solidFill>
              <w14:schemeClr w14:val="tx1"/>
            </w14:solidFill>
          </w14:textFill>
        </w:rPr>
        <w:t>2682</w:t>
      </w:r>
      <w:r>
        <w:rPr>
          <w:rFonts w:hint="default" w:ascii="Times New Roman" w:hAnsi="Times New Roman" w:cs="Times New Roman"/>
          <w:color w:val="000000" w:themeColor="text1"/>
          <w:sz w:val="28"/>
          <w:szCs w:val="28"/>
          <w14:textFill>
            <w14:solidFill>
              <w14:schemeClr w14:val="tx1"/>
            </w14:solidFill>
          </w14:textFill>
        </w:rPr>
        <w:t>m</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翻耕</w:t>
      </w:r>
      <w:r>
        <w:rPr>
          <w:rFonts w:hint="default" w:ascii="Times New Roman" w:hAnsi="Times New Roman" w:cs="Times New Roman"/>
          <w:color w:val="000000" w:themeColor="text1"/>
          <w:sz w:val="28"/>
          <w:szCs w:val="28"/>
          <w14:textFill>
            <w14:solidFill>
              <w14:schemeClr w14:val="tx1"/>
            </w14:solidFill>
          </w14:textFill>
        </w:rPr>
        <w:t>厚度为0.5m，则</w:t>
      </w:r>
      <w:r>
        <w:rPr>
          <w:rFonts w:hint="eastAsia" w:cs="Times New Roman"/>
          <w:color w:val="000000" w:themeColor="text1"/>
          <w:sz w:val="28"/>
          <w:szCs w:val="28"/>
          <w:lang w:val="en-US" w:eastAsia="zh-CN"/>
          <w14:textFill>
            <w14:solidFill>
              <w14:schemeClr w14:val="tx1"/>
            </w14:solidFill>
          </w14:textFill>
        </w:rPr>
        <w:t>翻耕</w:t>
      </w:r>
      <w:r>
        <w:rPr>
          <w:rFonts w:hint="default" w:ascii="Times New Roman" w:hAnsi="Times New Roman" w:cs="Times New Roman"/>
          <w:color w:val="000000" w:themeColor="text1"/>
          <w:sz w:val="28"/>
          <w:szCs w:val="28"/>
          <w14:textFill>
            <w14:solidFill>
              <w14:schemeClr w14:val="tx1"/>
            </w14:solidFill>
          </w14:textFill>
        </w:rPr>
        <w:t>工程量</w:t>
      </w:r>
      <w:r>
        <w:rPr>
          <w:rFonts w:hint="eastAsia" w:cs="Times New Roman"/>
          <w:color w:val="000000" w:themeColor="text1"/>
          <w:sz w:val="28"/>
          <w:szCs w:val="28"/>
          <w:lang w:val="en-US" w:eastAsia="zh-CN"/>
          <w14:textFill>
            <w14:solidFill>
              <w14:schemeClr w14:val="tx1"/>
            </w14:solidFill>
          </w14:textFill>
        </w:rPr>
        <w:t>1341</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w:t>
      </w:r>
    </w:p>
    <w:p w14:paraId="0D652C9C">
      <w:pPr>
        <w:widowControl/>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val="en-US" w:eastAsia="zh-CN"/>
          <w14:textFill>
            <w14:solidFill>
              <w14:schemeClr w14:val="tx1"/>
            </w14:solidFill>
          </w14:textFill>
        </w:rPr>
        <w:t>（2）</w:t>
      </w:r>
      <w:r>
        <w:rPr>
          <w:rFonts w:hint="default" w:ascii="Times New Roman" w:hAnsi="Times New Roman" w:cs="Times New Roman"/>
          <w:color w:val="000000" w:themeColor="text1"/>
          <w:kern w:val="0"/>
          <w:sz w:val="28"/>
          <w:szCs w:val="28"/>
          <w14:textFill>
            <w14:solidFill>
              <w14:schemeClr w14:val="tx1"/>
            </w14:solidFill>
          </w14:textFill>
        </w:rPr>
        <w:t>土地平整</w:t>
      </w:r>
    </w:p>
    <w:p w14:paraId="07F968C9">
      <w:pPr>
        <w:widowControl/>
        <w:spacing w:line="360" w:lineRule="auto"/>
        <w:ind w:firstLine="560" w:firstLineChars="200"/>
        <w:rPr>
          <w:rFonts w:hint="default" w:ascii="Times New Roman" w:hAnsi="Times New Roman" w:eastAsia="宋体"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场地</w:t>
      </w:r>
      <w:r>
        <w:rPr>
          <w:rFonts w:hint="eastAsia" w:ascii="Times New Roman" w:hAnsi="Times New Roman" w:cs="Times New Roman"/>
          <w:color w:val="000000" w:themeColor="text1"/>
          <w:sz w:val="28"/>
          <w:szCs w:val="28"/>
          <w:lang w:val="en-US" w:eastAsia="zh-CN"/>
          <w14:textFill>
            <w14:solidFill>
              <w14:schemeClr w14:val="tx1"/>
            </w14:solidFill>
          </w14:textFill>
        </w:rPr>
        <w:t>翻耕</w:t>
      </w:r>
      <w:r>
        <w:rPr>
          <w:rFonts w:hint="default" w:ascii="Times New Roman" w:hAnsi="Times New Roman" w:cs="Times New Roman"/>
          <w:color w:val="000000" w:themeColor="text1"/>
          <w:sz w:val="28"/>
          <w:szCs w:val="28"/>
          <w14:textFill>
            <w14:solidFill>
              <w14:schemeClr w14:val="tx1"/>
            </w14:solidFill>
          </w14:textFill>
        </w:rPr>
        <w:t>后开展平整工作，平整厚度0.</w:t>
      </w:r>
      <w:r>
        <w:rPr>
          <w:rFonts w:hint="eastAsia" w:cs="Times New Roman"/>
          <w:color w:val="000000" w:themeColor="text1"/>
          <w:sz w:val="28"/>
          <w:szCs w:val="28"/>
          <w:lang w:val="en-US" w:eastAsia="zh-CN"/>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m，平整面积</w:t>
      </w:r>
      <w:r>
        <w:rPr>
          <w:rFonts w:hint="eastAsia" w:cs="Times New Roman"/>
          <w:color w:val="000000" w:themeColor="text1"/>
          <w:sz w:val="28"/>
          <w:szCs w:val="28"/>
          <w:lang w:val="en-US" w:eastAsia="zh-CN"/>
          <w14:textFill>
            <w14:solidFill>
              <w14:schemeClr w14:val="tx1"/>
            </w14:solidFill>
          </w14:textFill>
        </w:rPr>
        <w:t>2682</w:t>
      </w:r>
      <w:r>
        <w:rPr>
          <w:rFonts w:hint="default" w:ascii="Times New Roman" w:hAnsi="Times New Roman" w:cs="Times New Roman"/>
          <w:color w:val="000000" w:themeColor="text1"/>
          <w:sz w:val="28"/>
          <w:szCs w:val="28"/>
          <w14:textFill>
            <w14:solidFill>
              <w14:schemeClr w14:val="tx1"/>
            </w14:solidFill>
          </w14:textFill>
        </w:rPr>
        <w:t>m</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，工程量</w:t>
      </w:r>
      <w:r>
        <w:rPr>
          <w:rFonts w:hint="eastAsia" w:cs="Times New Roman"/>
          <w:color w:val="000000" w:themeColor="text1"/>
          <w:sz w:val="28"/>
          <w:szCs w:val="28"/>
          <w:lang w:val="en-US" w:eastAsia="zh-CN"/>
          <w14:textFill>
            <w14:solidFill>
              <w14:schemeClr w14:val="tx1"/>
            </w14:solidFill>
          </w14:textFill>
        </w:rPr>
        <w:t>805</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w:t>
      </w:r>
    </w:p>
    <w:p w14:paraId="10E1785E">
      <w:pPr>
        <w:widowControl/>
        <w:spacing w:line="360" w:lineRule="auto"/>
        <w:ind w:firstLine="560" w:firstLineChars="200"/>
        <w:rPr>
          <w:rFonts w:hint="default" w:ascii="Times New Roman" w:hAnsi="Times New Roman" w:eastAsia="宋体" w:cs="Times New Roman"/>
          <w:color w:val="000000" w:themeColor="text1"/>
          <w:kern w:val="0"/>
          <w:sz w:val="28"/>
          <w:szCs w:val="28"/>
          <w14:textFill>
            <w14:solidFill>
              <w14:schemeClr w14:val="tx1"/>
            </w14:solidFill>
          </w14:textFill>
        </w:rPr>
      </w:pPr>
      <w:r>
        <w:rPr>
          <w:rFonts w:hint="eastAsia" w:ascii="Times New Roman" w:hAnsi="Times New Roman" w:cs="Times New Roman"/>
          <w:color w:val="000000" w:themeColor="text1"/>
          <w:kern w:val="0"/>
          <w:sz w:val="28"/>
          <w:szCs w:val="28"/>
          <w:lang w:val="en-US" w:eastAsia="zh-CN"/>
          <w14:textFill>
            <w14:solidFill>
              <w14:schemeClr w14:val="tx1"/>
            </w14:solidFill>
          </w14:textFill>
        </w:rPr>
        <w:t>2、</w:t>
      </w:r>
      <w:r>
        <w:rPr>
          <w:rFonts w:hint="default" w:ascii="Times New Roman" w:hAnsi="Times New Roman" w:eastAsia="宋体" w:cs="Times New Roman"/>
          <w:color w:val="000000" w:themeColor="text1"/>
          <w:kern w:val="0"/>
          <w:sz w:val="28"/>
          <w:szCs w:val="28"/>
          <w14:textFill>
            <w14:solidFill>
              <w14:schemeClr w14:val="tx1"/>
            </w14:solidFill>
          </w14:textFill>
        </w:rPr>
        <w:t>植被重建工程</w:t>
      </w:r>
    </w:p>
    <w:p w14:paraId="5568D5A0">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eastAsia" w:ascii="Times New Roman" w:hAnsi="Times New Roman" w:cs="Times New Roman"/>
          <w:color w:val="000000" w:themeColor="text1"/>
          <w:kern w:val="0"/>
          <w:sz w:val="28"/>
          <w:szCs w:val="28"/>
          <w:lang w:val="en-US" w:eastAsia="zh-CN"/>
          <w14:textFill>
            <w14:solidFill>
              <w14:schemeClr w14:val="tx1"/>
            </w14:solidFill>
          </w14:textFill>
        </w:rPr>
        <w:t>1</w:t>
      </w:r>
      <w:r>
        <w:rPr>
          <w:rFonts w:hint="eastAsia" w:ascii="Times New Roman" w:hAnsi="Times New Roman" w:cs="Times New Roman"/>
          <w:color w:val="000000" w:themeColor="text1"/>
          <w:kern w:val="0"/>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撒播草籽</w:t>
      </w:r>
    </w:p>
    <w:p w14:paraId="23C22E3A">
      <w:pPr>
        <w:widowControl/>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草种撒播，增加地表植被的覆盖度，草种为</w:t>
      </w:r>
      <w:r>
        <w:rPr>
          <w:rFonts w:hint="eastAsia" w:cs="Times New Roman"/>
          <w:color w:val="000000" w:themeColor="text1"/>
          <w:sz w:val="28"/>
          <w:szCs w:val="28"/>
          <w:lang w:val="en-US" w:eastAsia="zh-CN"/>
          <w14:textFill>
            <w14:solidFill>
              <w14:schemeClr w14:val="tx1"/>
            </w14:solidFill>
          </w14:textFill>
        </w:rPr>
        <w:t>各种草籽混合撒播</w:t>
      </w:r>
      <w:r>
        <w:rPr>
          <w:rFonts w:hint="default" w:ascii="Times New Roman" w:hAnsi="Times New Roman" w:cs="Times New Roman"/>
          <w:color w:val="000000" w:themeColor="text1"/>
          <w:sz w:val="28"/>
          <w:szCs w:val="28"/>
          <w14:textFill>
            <w14:solidFill>
              <w14:schemeClr w14:val="tx1"/>
            </w14:solidFill>
          </w14:textFill>
        </w:rPr>
        <w:t>，撒播面积</w:t>
      </w:r>
      <w:r>
        <w:rPr>
          <w:rFonts w:hint="eastAsia" w:cs="Times New Roman"/>
          <w:color w:val="000000" w:themeColor="text1"/>
          <w:sz w:val="28"/>
          <w:szCs w:val="28"/>
          <w:lang w:val="en-US" w:eastAsia="zh-CN"/>
          <w14:textFill>
            <w14:solidFill>
              <w14:schemeClr w14:val="tx1"/>
            </w14:solidFill>
          </w14:textFill>
        </w:rPr>
        <w:t>0.2682h</w:t>
      </w:r>
      <w:r>
        <w:rPr>
          <w:rFonts w:hint="default" w:ascii="Times New Roman" w:hAnsi="Times New Roman" w:cs="Times New Roman"/>
          <w:color w:val="000000" w:themeColor="text1"/>
          <w:sz w:val="28"/>
          <w:szCs w:val="28"/>
          <w14:textFill>
            <w14:solidFill>
              <w14:schemeClr w14:val="tx1"/>
            </w14:solidFill>
          </w14:textFill>
        </w:rPr>
        <w:t>m</w:t>
      </w:r>
      <w:r>
        <w:rPr>
          <w:rFonts w:hint="eastAsia" w:cs="Times New Roman"/>
          <w:color w:val="000000" w:themeColor="text1"/>
          <w:sz w:val="28"/>
          <w:szCs w:val="2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p>
    <w:p w14:paraId="7732D4A5">
      <w:pPr>
        <w:pStyle w:val="5"/>
        <w:bidi w:val="0"/>
        <w:spacing w:line="360" w:lineRule="auto"/>
        <w:ind w:firstLine="562" w:firstLineChars="200"/>
        <w:rPr>
          <w:rFonts w:hint="default" w:hAnsi="Times New Roman" w:cs="Times New Roman"/>
          <w:b/>
          <w:bCs/>
          <w:color w:val="000000" w:themeColor="text1"/>
          <w:sz w:val="28"/>
          <w:szCs w:val="24"/>
          <w:lang w:val="en-US" w:eastAsia="zh-CN"/>
          <w14:textFill>
            <w14:solidFill>
              <w14:schemeClr w14:val="tx1"/>
            </w14:solidFill>
          </w14:textFill>
        </w:rPr>
      </w:pPr>
      <w:r>
        <w:rPr>
          <w:rFonts w:hint="eastAsia" w:hAnsi="Times New Roman" w:cs="Times New Roman"/>
          <w:b/>
          <w:bCs/>
          <w:color w:val="000000" w:themeColor="text1"/>
          <w:sz w:val="28"/>
          <w:szCs w:val="24"/>
          <w:lang w:val="en-US" w:eastAsia="zh-CN"/>
          <w14:textFill>
            <w14:solidFill>
              <w14:schemeClr w14:val="tx1"/>
            </w14:solidFill>
          </w14:textFill>
        </w:rPr>
        <w:t>三、</w:t>
      </w:r>
      <w:r>
        <w:rPr>
          <w:rFonts w:hint="default" w:hAnsi="Times New Roman" w:cs="Times New Roman"/>
          <w:b/>
          <w:bCs/>
          <w:color w:val="000000" w:themeColor="text1"/>
          <w:sz w:val="28"/>
          <w:szCs w:val="24"/>
          <w:lang w:val="en-US" w:eastAsia="zh-CN"/>
          <w14:textFill>
            <w14:solidFill>
              <w14:schemeClr w14:val="tx1"/>
            </w14:solidFill>
          </w14:textFill>
        </w:rPr>
        <w:t>主要工程量</w:t>
      </w:r>
    </w:p>
    <w:p w14:paraId="7414A8B6">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复垦单元工程量见表4-</w:t>
      </w:r>
      <w:r>
        <w:rPr>
          <w:rFonts w:hint="eastAsia" w:cs="Times New Roman"/>
          <w:color w:val="000000" w:themeColor="text1"/>
          <w:sz w:val="28"/>
          <w:szCs w:val="28"/>
          <w:lang w:val="en-US" w:eastAsia="zh-CN"/>
          <w14:textFill>
            <w14:solidFill>
              <w14:schemeClr w14:val="tx1"/>
            </w14:solidFill>
          </w14:textFill>
        </w:rPr>
        <w:t>4</w:t>
      </w:r>
      <w:r>
        <w:rPr>
          <w:rFonts w:hint="default" w:ascii="Times New Roman" w:hAnsi="Times New Roman" w:cs="Times New Roman"/>
          <w:color w:val="000000" w:themeColor="text1"/>
          <w:sz w:val="28"/>
          <w:szCs w:val="28"/>
          <w14:textFill>
            <w14:solidFill>
              <w14:schemeClr w14:val="tx1"/>
            </w14:solidFill>
          </w14:textFill>
        </w:rPr>
        <w:t>。</w:t>
      </w:r>
    </w:p>
    <w:p w14:paraId="5799482D">
      <w:pPr>
        <w:spacing w:line="360" w:lineRule="auto"/>
        <w:ind w:firstLine="562" w:firstLineChars="200"/>
        <w:rPr>
          <w:rFonts w:ascii="宋体" w:hAnsi="宋体" w:cs="宋体"/>
          <w:b/>
          <w:bCs/>
          <w:color w:val="000000" w:themeColor="text1"/>
          <w:sz w:val="28"/>
          <w:szCs w:val="28"/>
          <w14:textFill>
            <w14:solidFill>
              <w14:schemeClr w14:val="tx1"/>
            </w14:solidFill>
          </w14:textFill>
        </w:rPr>
        <w:sectPr>
          <w:pgSz w:w="11906" w:h="16838"/>
          <w:pgMar w:top="1219" w:right="1797" w:bottom="1440" w:left="1797" w:header="851" w:footer="992" w:gutter="0"/>
          <w:pgNumType w:fmt="decimal"/>
          <w:cols w:space="720" w:num="1"/>
          <w:docGrid w:linePitch="312" w:charSpace="0"/>
        </w:sectPr>
      </w:pPr>
    </w:p>
    <w:p w14:paraId="2E72BC24">
      <w:pPr>
        <w:pStyle w:val="6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b w:val="0"/>
          <w:bCs w:val="0"/>
          <w:color w:val="000000" w:themeColor="text1"/>
          <w:sz w:val="24"/>
          <w:szCs w:val="24"/>
          <w:highlight w:val="none"/>
          <w:lang w:eastAsia="zh-CN"/>
          <w14:textFill>
            <w14:solidFill>
              <w14:schemeClr w14:val="tx1"/>
            </w14:solidFill>
          </w14:textFill>
        </w:rPr>
      </w:pPr>
      <w:r>
        <w:rPr>
          <w:rFonts w:hint="eastAsia" w:ascii="黑体" w:hAnsi="黑体" w:eastAsia="黑体" w:cs="黑体"/>
          <w:b w:val="0"/>
          <w:bCs w:val="0"/>
          <w:color w:val="000000" w:themeColor="text1"/>
          <w:sz w:val="24"/>
          <w:szCs w:val="24"/>
          <w:highlight w:val="none"/>
          <w14:textFill>
            <w14:solidFill>
              <w14:schemeClr w14:val="tx1"/>
            </w14:solidFill>
          </w14:textFill>
        </w:rPr>
        <w:t>表4-</w:t>
      </w:r>
      <w:r>
        <w:rPr>
          <w:rFonts w:hint="eastAsia" w:ascii="黑体" w:hAnsi="黑体" w:eastAsia="黑体" w:cs="黑体"/>
          <w:b w:val="0"/>
          <w:bCs w:val="0"/>
          <w:color w:val="000000" w:themeColor="text1"/>
          <w:sz w:val="24"/>
          <w:szCs w:val="24"/>
          <w:highlight w:val="none"/>
          <w:lang w:val="en-US" w:eastAsia="zh-CN"/>
          <w14:textFill>
            <w14:solidFill>
              <w14:schemeClr w14:val="tx1"/>
            </w14:solidFill>
          </w14:textFill>
        </w:rPr>
        <w:t>4</w:t>
      </w:r>
      <w:r>
        <w:rPr>
          <w:rFonts w:hint="eastAsia" w:ascii="黑体" w:hAnsi="黑体" w:eastAsia="黑体" w:cs="黑体"/>
          <w:b w:val="0"/>
          <w:bCs w:val="0"/>
          <w:color w:val="000000" w:themeColor="text1"/>
          <w:sz w:val="24"/>
          <w:szCs w:val="24"/>
          <w:highlight w:val="none"/>
          <w14:textFill>
            <w14:solidFill>
              <w14:schemeClr w14:val="tx1"/>
            </w14:solidFill>
          </w14:textFill>
        </w:rPr>
        <w:t xml:space="preserve">  各复垦单元工程量统计表</w:t>
      </w:r>
    </w:p>
    <w:tbl>
      <w:tblPr>
        <w:tblStyle w:val="30"/>
        <w:tblW w:w="5285" w:type="pct"/>
        <w:jc w:val="center"/>
        <w:tblLayout w:type="fixed"/>
        <w:tblCellMar>
          <w:top w:w="0" w:type="dxa"/>
          <w:left w:w="108" w:type="dxa"/>
          <w:bottom w:w="0" w:type="dxa"/>
          <w:right w:w="108" w:type="dxa"/>
        </w:tblCellMar>
      </w:tblPr>
      <w:tblGrid>
        <w:gridCol w:w="1053"/>
        <w:gridCol w:w="556"/>
        <w:gridCol w:w="569"/>
        <w:gridCol w:w="569"/>
        <w:gridCol w:w="569"/>
        <w:gridCol w:w="569"/>
        <w:gridCol w:w="569"/>
        <w:gridCol w:w="569"/>
        <w:gridCol w:w="569"/>
        <w:gridCol w:w="569"/>
        <w:gridCol w:w="569"/>
        <w:gridCol w:w="569"/>
        <w:gridCol w:w="569"/>
        <w:gridCol w:w="569"/>
        <w:gridCol w:w="574"/>
      </w:tblGrid>
      <w:tr w14:paraId="4F56ED5B">
        <w:tblPrEx>
          <w:tblCellMar>
            <w:top w:w="0" w:type="dxa"/>
            <w:left w:w="108" w:type="dxa"/>
            <w:bottom w:w="0" w:type="dxa"/>
            <w:right w:w="108" w:type="dxa"/>
          </w:tblCellMar>
        </w:tblPrEx>
        <w:trPr>
          <w:trHeight w:val="397" w:hRule="atLeast"/>
          <w:tblHeader/>
          <w:jc w:val="center"/>
        </w:trPr>
        <w:tc>
          <w:tcPr>
            <w:tcW w:w="584" w:type="pct"/>
            <w:vMerge w:val="restart"/>
            <w:tcBorders>
              <w:top w:val="single" w:color="000000" w:sz="4" w:space="0"/>
              <w:left w:val="single" w:color="000000" w:sz="4" w:space="0"/>
              <w:right w:val="single" w:color="000000" w:sz="4" w:space="0"/>
            </w:tcBorders>
            <w:shd w:val="clear" w:color="auto" w:fill="auto"/>
            <w:noWrap/>
            <w:vAlign w:val="center"/>
          </w:tcPr>
          <w:p w14:paraId="77A9B0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单元</w:t>
            </w:r>
          </w:p>
        </w:tc>
        <w:tc>
          <w:tcPr>
            <w:tcW w:w="30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26E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面积</w:t>
            </w:r>
          </w:p>
        </w:tc>
        <w:tc>
          <w:tcPr>
            <w:tcW w:w="4107" w:type="pct"/>
            <w:gridSpan w:val="1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F63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pP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治理措施</w:t>
            </w:r>
          </w:p>
        </w:tc>
      </w:tr>
      <w:tr w14:paraId="68935AEA">
        <w:tblPrEx>
          <w:tblCellMar>
            <w:top w:w="0" w:type="dxa"/>
            <w:left w:w="108" w:type="dxa"/>
            <w:bottom w:w="0" w:type="dxa"/>
            <w:right w:w="108" w:type="dxa"/>
          </w:tblCellMar>
        </w:tblPrEx>
        <w:trPr>
          <w:trHeight w:val="397" w:hRule="atLeast"/>
          <w:tblHeader/>
          <w:jc w:val="center"/>
        </w:trPr>
        <w:tc>
          <w:tcPr>
            <w:tcW w:w="584" w:type="pct"/>
            <w:vMerge w:val="continue"/>
            <w:tcBorders>
              <w:left w:val="single" w:color="000000" w:sz="4" w:space="0"/>
              <w:right w:val="single" w:color="000000" w:sz="4" w:space="0"/>
            </w:tcBorders>
            <w:shd w:val="clear" w:color="auto" w:fill="auto"/>
            <w:noWrap/>
            <w:vAlign w:val="center"/>
          </w:tcPr>
          <w:p w14:paraId="1B4995F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75F4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E85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eastAsia" w:cs="Times New Roman" w:eastAsiaTheme="minorEastAsia"/>
                <w:color w:val="000000" w:themeColor="text1"/>
                <w:kern w:val="0"/>
                <w:sz w:val="20"/>
                <w:szCs w:val="20"/>
                <w:lang w:val="en-US" w:eastAsia="zh-CN" w:bidi="ar"/>
                <w14:textFill>
                  <w14:solidFill>
                    <w14:schemeClr w14:val="tx1"/>
                  </w14:solidFill>
                </w14:textFill>
              </w:rPr>
            </w:pPr>
            <w:r>
              <w:rPr>
                <w:rFonts w:hint="eastAsia" w:cs="Times New Roman" w:eastAsiaTheme="minorEastAsia"/>
                <w:color w:val="000000" w:themeColor="text1"/>
                <w:kern w:val="0"/>
                <w:sz w:val="20"/>
                <w:szCs w:val="20"/>
                <w:lang w:val="en-US" w:eastAsia="zh-CN" w:bidi="ar"/>
                <w14:textFill>
                  <w14:solidFill>
                    <w14:schemeClr w14:val="tx1"/>
                  </w14:solidFill>
                </w14:textFill>
              </w:rPr>
              <w:t>表土</w:t>
            </w:r>
          </w:p>
          <w:p w14:paraId="1283C7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kern w:val="0"/>
                <w:sz w:val="20"/>
                <w:szCs w:val="20"/>
                <w:lang w:val="en-US" w:eastAsia="zh-CN" w:bidi="ar"/>
                <w14:textFill>
                  <w14:solidFill>
                    <w14:schemeClr w14:val="tx1"/>
                  </w14:solidFill>
                </w14:textFill>
              </w:rPr>
            </w:pPr>
            <w:r>
              <w:rPr>
                <w:rFonts w:hint="eastAsia" w:cs="Times New Roman" w:eastAsiaTheme="minorEastAsia"/>
                <w:color w:val="000000" w:themeColor="text1"/>
                <w:kern w:val="0"/>
                <w:sz w:val="20"/>
                <w:szCs w:val="20"/>
                <w:lang w:val="en-US" w:eastAsia="zh-CN" w:bidi="ar"/>
                <w14:textFill>
                  <w14:solidFill>
                    <w14:schemeClr w14:val="tx1"/>
                  </w14:solidFill>
                </w14:textFill>
              </w:rPr>
              <w:t>剥离</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FB6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eastAsia" w:ascii="Times New Roman" w:hAnsi="Times New Roman" w:cs="Times New Roman" w:eastAsiaTheme="minorEastAsia"/>
                <w:color w:val="000000" w:themeColor="text1"/>
                <w:kern w:val="0"/>
                <w:sz w:val="20"/>
                <w:szCs w:val="20"/>
                <w:lang w:val="en-US" w:eastAsia="zh-CN" w:bidi="ar"/>
                <w14:textFill>
                  <w14:solidFill>
                    <w14:schemeClr w14:val="tx1"/>
                  </w14:solidFill>
                </w14:textFill>
              </w:rPr>
            </w:pPr>
            <w:r>
              <w:rPr>
                <w:rFonts w:hint="eastAsia" w:ascii="Times New Roman" w:hAnsi="Times New Roman" w:cs="Times New Roman" w:eastAsiaTheme="minorEastAsia"/>
                <w:color w:val="000000" w:themeColor="text1"/>
                <w:kern w:val="0"/>
                <w:sz w:val="20"/>
                <w:szCs w:val="20"/>
                <w:lang w:val="en-US" w:eastAsia="zh-CN" w:bidi="ar"/>
                <w14:textFill>
                  <w14:solidFill>
                    <w14:schemeClr w14:val="tx1"/>
                  </w14:solidFill>
                </w14:textFill>
              </w:rPr>
              <w:t>危岩体</w:t>
            </w:r>
          </w:p>
          <w:p w14:paraId="5E1A0C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kern w:val="0"/>
                <w:sz w:val="20"/>
                <w:szCs w:val="20"/>
                <w:lang w:val="en-US" w:eastAsia="zh-CN" w:bidi="ar"/>
                <w14:textFill>
                  <w14:solidFill>
                    <w14:schemeClr w14:val="tx1"/>
                  </w14:solidFill>
                </w14:textFill>
              </w:rPr>
            </w:pPr>
            <w:r>
              <w:rPr>
                <w:rFonts w:hint="eastAsia" w:ascii="Times New Roman" w:hAnsi="Times New Roman" w:cs="Times New Roman" w:eastAsiaTheme="minorEastAsia"/>
                <w:color w:val="000000" w:themeColor="text1"/>
                <w:kern w:val="0"/>
                <w:sz w:val="20"/>
                <w:szCs w:val="20"/>
                <w:lang w:val="en-US" w:eastAsia="zh-CN" w:bidi="ar"/>
                <w14:textFill>
                  <w14:solidFill>
                    <w14:schemeClr w14:val="tx1"/>
                  </w14:solidFill>
                </w14:textFill>
              </w:rPr>
              <w:t>清理</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EDE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pP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警示牌</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E14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网围栏</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05A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回填</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396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拆除</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784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清运</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D32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pP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垫坡</w:t>
            </w:r>
          </w:p>
          <w:p w14:paraId="158764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整形</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EC3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eastAsia" w:ascii="Times New Roman" w:hAnsi="Times New Roman" w:cs="Times New Roman" w:eastAsiaTheme="minorEastAsia"/>
                <w:color w:val="000000" w:themeColor="text1"/>
                <w:sz w:val="20"/>
                <w:szCs w:val="20"/>
                <w:lang w:eastAsia="zh-CN"/>
                <w14:textFill>
                  <w14:solidFill>
                    <w14:schemeClr w14:val="tx1"/>
                  </w14:solidFill>
                </w14:textFill>
              </w:rPr>
            </w:pPr>
            <w:r>
              <w:rPr>
                <w:rFonts w:hint="eastAsia" w:cs="Times New Roman" w:eastAsiaTheme="minorEastAsia"/>
                <w:color w:val="000000" w:themeColor="text1"/>
                <w:kern w:val="0"/>
                <w:sz w:val="20"/>
                <w:szCs w:val="20"/>
                <w:lang w:val="en-US" w:eastAsia="zh-CN" w:bidi="ar"/>
                <w14:textFill>
                  <w14:solidFill>
                    <w14:schemeClr w14:val="tx1"/>
                  </w14:solidFill>
                </w14:textFill>
              </w:rPr>
              <w:t>翻耕</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2DB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pP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土地</w:t>
            </w:r>
          </w:p>
          <w:p w14:paraId="16445F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平整</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22B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pP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种植</w:t>
            </w:r>
          </w:p>
          <w:p w14:paraId="34512E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乔木</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392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pP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撒播</w:t>
            </w:r>
          </w:p>
          <w:p w14:paraId="09E185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eastAsia" w:ascii="Times New Roman" w:hAnsi="Times New Roman" w:cs="Times New Roman" w:eastAsiaTheme="minorEastAsia"/>
                <w:color w:val="000000" w:themeColor="text1"/>
                <w:sz w:val="20"/>
                <w:szCs w:val="20"/>
                <w:lang w:eastAsia="zh-CN"/>
                <w14:textFill>
                  <w14:solidFill>
                    <w14:schemeClr w14:val="tx1"/>
                  </w14:solidFill>
                </w14:textFill>
              </w:rPr>
            </w:pP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草籽</w:t>
            </w:r>
          </w:p>
        </w:tc>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480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eastAsia"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恢复</w:t>
            </w:r>
          </w:p>
          <w:p w14:paraId="16C8E4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eastAsia"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水浇地</w:t>
            </w:r>
          </w:p>
        </w:tc>
      </w:tr>
      <w:tr w14:paraId="51B77FDA">
        <w:tblPrEx>
          <w:tblCellMar>
            <w:top w:w="0" w:type="dxa"/>
            <w:left w:w="108" w:type="dxa"/>
            <w:bottom w:w="0" w:type="dxa"/>
            <w:right w:w="108" w:type="dxa"/>
          </w:tblCellMar>
        </w:tblPrEx>
        <w:trPr>
          <w:trHeight w:val="397" w:hRule="atLeast"/>
          <w:tblHeader/>
          <w:jc w:val="center"/>
        </w:trPr>
        <w:tc>
          <w:tcPr>
            <w:tcW w:w="584" w:type="pct"/>
            <w:vMerge w:val="continue"/>
            <w:tcBorders>
              <w:left w:val="single" w:color="000000" w:sz="4" w:space="0"/>
              <w:bottom w:val="single" w:color="000000" w:sz="4" w:space="0"/>
              <w:right w:val="single" w:color="000000" w:sz="4" w:space="0"/>
            </w:tcBorders>
            <w:shd w:val="clear" w:color="auto" w:fill="auto"/>
            <w:noWrap/>
            <w:vAlign w:val="center"/>
          </w:tcPr>
          <w:p w14:paraId="7D8C4A5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AAB6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eastAsia" w:ascii="Times New Roman" w:hAnsi="Times New Roman" w:cs="Times New Roman" w:eastAsiaTheme="minorEastAsia"/>
                <w:color w:val="000000" w:themeColor="text1"/>
                <w:kern w:val="0"/>
                <w:sz w:val="20"/>
                <w:szCs w:val="20"/>
                <w:lang w:eastAsia="zh-CN" w:bidi="ar"/>
                <w14:textFill>
                  <w14:solidFill>
                    <w14:schemeClr w14:val="tx1"/>
                  </w14:solidFill>
                </w14:textFill>
              </w:rPr>
              <w:t>（</w:t>
            </w:r>
            <w:r>
              <w:rPr>
                <w:rFonts w:hint="eastAsia" w:ascii="Times New Roman" w:hAnsi="Times New Roman" w:cs="Times New Roman" w:eastAsiaTheme="minorEastAsia"/>
                <w:color w:val="000000" w:themeColor="text1"/>
                <w:kern w:val="0"/>
                <w:sz w:val="20"/>
                <w:szCs w:val="20"/>
                <w:lang w:val="en-US" w:eastAsia="zh-CN" w:bidi="ar"/>
                <w14:textFill>
                  <w14:solidFill>
                    <w14:schemeClr w14:val="tx1"/>
                  </w14:solidFill>
                </w14:textFill>
              </w:rPr>
              <w:t>hm</w:t>
            </w:r>
            <w:r>
              <w:rPr>
                <w:rFonts w:hint="eastAsia" w:ascii="Times New Roman" w:hAnsi="Times New Roman" w:cs="Times New Roman" w:eastAsiaTheme="minorEastAsia"/>
                <w:color w:val="000000" w:themeColor="text1"/>
                <w:kern w:val="0"/>
                <w:sz w:val="20"/>
                <w:szCs w:val="20"/>
                <w:vertAlign w:val="superscript"/>
                <w:lang w:val="en-US" w:eastAsia="zh-CN" w:bidi="ar"/>
                <w14:textFill>
                  <w14:solidFill>
                    <w14:schemeClr w14:val="tx1"/>
                  </w14:solidFill>
                </w14:textFill>
              </w:rPr>
              <w:t>2</w:t>
            </w:r>
            <w:r>
              <w:rPr>
                <w:rFonts w:hint="eastAsia" w:ascii="Times New Roman" w:hAnsi="Times New Roman" w:cs="Times New Roman" w:eastAsiaTheme="minorEastAsia"/>
                <w:color w:val="000000" w:themeColor="text1"/>
                <w:kern w:val="0"/>
                <w:sz w:val="20"/>
                <w:szCs w:val="20"/>
                <w:lang w:eastAsia="zh-CN" w:bidi="ar"/>
                <w14:textFill>
                  <w14:solidFill>
                    <w14:schemeClr w14:val="tx1"/>
                  </w14:solidFill>
                </w14:textFill>
              </w:rPr>
              <w:t>）</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878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kern w:val="0"/>
                <w:sz w:val="20"/>
                <w:szCs w:val="20"/>
                <w:lang w:eastAsia="zh-CN" w:bidi="ar"/>
                <w14:textFill>
                  <w14:solidFill>
                    <w14:schemeClr w14:val="tx1"/>
                  </w14:solidFill>
                </w14:textFill>
              </w:rPr>
            </w:pPr>
            <w:r>
              <w:rPr>
                <w:rFonts w:hint="default" w:ascii="Times New Roman" w:hAnsi="Times New Roman" w:cs="Times New Roman" w:eastAsiaTheme="minorEastAsia"/>
                <w:color w:val="000000" w:themeColor="text1"/>
                <w:kern w:val="0"/>
                <w:sz w:val="20"/>
                <w:szCs w:val="20"/>
                <w:lang w:eastAsia="zh-CN" w:bidi="ar"/>
                <w14:textFill>
                  <w14:solidFill>
                    <w14:schemeClr w14:val="tx1"/>
                  </w14:solidFill>
                </w14:textFill>
              </w:rPr>
              <w:t>m</w:t>
            </w:r>
            <w:r>
              <w:rPr>
                <w:rFonts w:hint="default" w:ascii="Times New Roman" w:hAnsi="Times New Roman" w:cs="Times New Roman" w:eastAsiaTheme="minorEastAsia"/>
                <w:color w:val="000000" w:themeColor="text1"/>
                <w:kern w:val="0"/>
                <w:sz w:val="20"/>
                <w:szCs w:val="20"/>
                <w:vertAlign w:val="superscript"/>
                <w:lang w:eastAsia="zh-CN" w:bidi="ar"/>
                <w14:textFill>
                  <w14:solidFill>
                    <w14:schemeClr w14:val="tx1"/>
                  </w14:solidFill>
                </w14:textFill>
              </w:rPr>
              <w:t>3</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848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pPr>
            <w:r>
              <w:rPr>
                <w:rFonts w:hint="default" w:ascii="Times New Roman" w:hAnsi="Times New Roman" w:cs="Times New Roman" w:eastAsiaTheme="minorEastAsia"/>
                <w:color w:val="000000" w:themeColor="text1"/>
                <w:kern w:val="0"/>
                <w:sz w:val="20"/>
                <w:szCs w:val="20"/>
                <w:lang w:eastAsia="zh-CN" w:bidi="ar"/>
                <w14:textFill>
                  <w14:solidFill>
                    <w14:schemeClr w14:val="tx1"/>
                  </w14:solidFill>
                </w14:textFill>
              </w:rPr>
              <w:t>m</w:t>
            </w:r>
            <w:r>
              <w:rPr>
                <w:rFonts w:hint="default" w:ascii="Times New Roman" w:hAnsi="Times New Roman" w:cs="Times New Roman" w:eastAsiaTheme="minorEastAsia"/>
                <w:color w:val="000000" w:themeColor="text1"/>
                <w:kern w:val="0"/>
                <w:sz w:val="20"/>
                <w:szCs w:val="20"/>
                <w:vertAlign w:val="superscript"/>
                <w:lang w:eastAsia="zh-CN" w:bidi="ar"/>
                <w14:textFill>
                  <w14:solidFill>
                    <w14:schemeClr w14:val="tx1"/>
                  </w14:solidFill>
                </w14:textFill>
              </w:rPr>
              <w:t>3</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585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eastAsia" w:ascii="Times New Roman" w:hAnsi="Times New Roman" w:cs="Times New Roman" w:eastAsiaTheme="minorEastAsia"/>
                <w:color w:val="000000" w:themeColor="text1"/>
                <w:kern w:val="0"/>
                <w:sz w:val="20"/>
                <w:szCs w:val="20"/>
                <w:lang w:eastAsia="zh-CN" w:bidi="ar"/>
                <w14:textFill>
                  <w14:solidFill>
                    <w14:schemeClr w14:val="tx1"/>
                  </w14:solidFill>
                </w14:textFill>
              </w:rPr>
            </w:pPr>
            <w:r>
              <w:rPr>
                <w:rFonts w:hint="eastAsia" w:ascii="Times New Roman" w:hAnsi="Times New Roman" w:cs="Times New Roman" w:eastAsiaTheme="minorEastAsia"/>
                <w:color w:val="000000" w:themeColor="text1"/>
                <w:kern w:val="0"/>
                <w:sz w:val="20"/>
                <w:szCs w:val="20"/>
                <w:lang w:eastAsia="zh-CN" w:bidi="ar"/>
                <w14:textFill>
                  <w14:solidFill>
                    <w14:schemeClr w14:val="tx1"/>
                  </w14:solidFill>
                </w14:textFill>
              </w:rPr>
              <w:t>（</w:t>
            </w: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块</w:t>
            </w:r>
            <w:r>
              <w:rPr>
                <w:rFonts w:hint="eastAsia" w:ascii="Times New Roman" w:hAnsi="Times New Roman" w:cs="Times New Roman" w:eastAsiaTheme="minorEastAsia"/>
                <w:color w:val="000000" w:themeColor="text1"/>
                <w:kern w:val="0"/>
                <w:sz w:val="20"/>
                <w:szCs w:val="20"/>
                <w:lang w:eastAsia="zh-CN" w:bidi="ar"/>
                <w14:textFill>
                  <w14:solidFill>
                    <w14:schemeClr w14:val="tx1"/>
                  </w14:solidFill>
                </w14:textFill>
              </w:rPr>
              <w:t>）</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D34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pPr>
            <w:r>
              <w:rPr>
                <w:rFonts w:hint="eastAsia" w:ascii="Times New Roman" w:hAnsi="Times New Roman" w:cs="Times New Roman" w:eastAsiaTheme="minorEastAsia"/>
                <w:color w:val="000000" w:themeColor="text1"/>
                <w:kern w:val="0"/>
                <w:sz w:val="20"/>
                <w:szCs w:val="20"/>
                <w:lang w:eastAsia="zh-CN" w:bidi="ar"/>
                <w14:textFill>
                  <w14:solidFill>
                    <w14:schemeClr w14:val="tx1"/>
                  </w14:solidFill>
                </w14:textFill>
              </w:rPr>
              <w:t>（</w:t>
            </w: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m</w:t>
            </w:r>
            <w:r>
              <w:rPr>
                <w:rFonts w:hint="eastAsia" w:ascii="Times New Roman" w:hAnsi="Times New Roman" w:cs="Times New Roman" w:eastAsiaTheme="minorEastAsia"/>
                <w:color w:val="000000" w:themeColor="text1"/>
                <w:kern w:val="0"/>
                <w:sz w:val="20"/>
                <w:szCs w:val="20"/>
                <w:lang w:eastAsia="zh-CN" w:bidi="ar"/>
                <w14:textFill>
                  <w14:solidFill>
                    <w14:schemeClr w14:val="tx1"/>
                  </w14:solidFill>
                </w14:textFill>
              </w:rPr>
              <w:t>）</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749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pPr>
            <w:r>
              <w:rPr>
                <w:rFonts w:hint="eastAsia" w:ascii="Times New Roman" w:hAnsi="Times New Roman" w:cs="Times New Roman" w:eastAsiaTheme="minorEastAsia"/>
                <w:color w:val="000000" w:themeColor="text1"/>
                <w:kern w:val="0"/>
                <w:sz w:val="20"/>
                <w:szCs w:val="20"/>
                <w:lang w:eastAsia="zh-CN" w:bidi="ar"/>
                <w14:textFill>
                  <w14:solidFill>
                    <w14:schemeClr w14:val="tx1"/>
                  </w14:solidFill>
                </w14:textFill>
              </w:rPr>
              <w:t>（</w:t>
            </w: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m</w:t>
            </w:r>
            <w:r>
              <w:rPr>
                <w:rFonts w:hint="default" w:ascii="Times New Roman" w:hAnsi="Times New Roman" w:cs="Times New Roman" w:eastAsiaTheme="minorEastAsia"/>
                <w:color w:val="000000" w:themeColor="text1"/>
                <w:kern w:val="0"/>
                <w:sz w:val="20"/>
                <w:szCs w:val="20"/>
                <w:vertAlign w:val="superscript"/>
                <w:lang w:bidi="ar"/>
                <w14:textFill>
                  <w14:solidFill>
                    <w14:schemeClr w14:val="tx1"/>
                  </w14:solidFill>
                </w14:textFill>
              </w:rPr>
              <w:t>3</w:t>
            </w:r>
            <w:r>
              <w:rPr>
                <w:rFonts w:hint="eastAsia" w:ascii="Times New Roman" w:hAnsi="Times New Roman" w:cs="Times New Roman" w:eastAsiaTheme="minorEastAsia"/>
                <w:color w:val="000000" w:themeColor="text1"/>
                <w:kern w:val="0"/>
                <w:sz w:val="20"/>
                <w:szCs w:val="20"/>
                <w:lang w:eastAsia="zh-CN" w:bidi="ar"/>
                <w14:textFill>
                  <w14:solidFill>
                    <w14:schemeClr w14:val="tx1"/>
                  </w14:solidFill>
                </w14:textFill>
              </w:rPr>
              <w:t>）</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D03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pPr>
            <w:r>
              <w:rPr>
                <w:rFonts w:hint="eastAsia" w:ascii="Times New Roman" w:hAnsi="Times New Roman" w:cs="Times New Roman" w:eastAsiaTheme="minorEastAsia"/>
                <w:color w:val="000000" w:themeColor="text1"/>
                <w:kern w:val="0"/>
                <w:sz w:val="20"/>
                <w:szCs w:val="20"/>
                <w:lang w:eastAsia="zh-CN" w:bidi="ar"/>
                <w14:textFill>
                  <w14:solidFill>
                    <w14:schemeClr w14:val="tx1"/>
                  </w14:solidFill>
                </w14:textFill>
              </w:rPr>
              <w:t>（</w:t>
            </w: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m</w:t>
            </w:r>
            <w:r>
              <w:rPr>
                <w:rFonts w:hint="default" w:ascii="Times New Roman" w:hAnsi="Times New Roman" w:cs="Times New Roman" w:eastAsiaTheme="minorEastAsia"/>
                <w:color w:val="000000" w:themeColor="text1"/>
                <w:kern w:val="0"/>
                <w:sz w:val="20"/>
                <w:szCs w:val="20"/>
                <w:vertAlign w:val="superscript"/>
                <w:lang w:bidi="ar"/>
                <w14:textFill>
                  <w14:solidFill>
                    <w14:schemeClr w14:val="tx1"/>
                  </w14:solidFill>
                </w14:textFill>
              </w:rPr>
              <w:t>3</w:t>
            </w:r>
            <w:r>
              <w:rPr>
                <w:rFonts w:hint="eastAsia" w:ascii="Times New Roman" w:hAnsi="Times New Roman" w:cs="Times New Roman" w:eastAsiaTheme="minorEastAsia"/>
                <w:color w:val="000000" w:themeColor="text1"/>
                <w:kern w:val="0"/>
                <w:sz w:val="20"/>
                <w:szCs w:val="20"/>
                <w:lang w:eastAsia="zh-CN" w:bidi="ar"/>
                <w14:textFill>
                  <w14:solidFill>
                    <w14:schemeClr w14:val="tx1"/>
                  </w14:solidFill>
                </w14:textFill>
              </w:rPr>
              <w:t>）</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736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pPr>
            <w:r>
              <w:rPr>
                <w:rFonts w:hint="eastAsia" w:ascii="Times New Roman" w:hAnsi="Times New Roman" w:cs="Times New Roman" w:eastAsiaTheme="minorEastAsia"/>
                <w:color w:val="000000" w:themeColor="text1"/>
                <w:kern w:val="0"/>
                <w:sz w:val="20"/>
                <w:szCs w:val="20"/>
                <w:lang w:eastAsia="zh-CN" w:bidi="ar"/>
                <w14:textFill>
                  <w14:solidFill>
                    <w14:schemeClr w14:val="tx1"/>
                  </w14:solidFill>
                </w14:textFill>
              </w:rPr>
              <w:t>（</w:t>
            </w: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m</w:t>
            </w:r>
            <w:r>
              <w:rPr>
                <w:rFonts w:hint="default" w:ascii="Times New Roman" w:hAnsi="Times New Roman" w:cs="Times New Roman" w:eastAsiaTheme="minorEastAsia"/>
                <w:color w:val="000000" w:themeColor="text1"/>
                <w:kern w:val="0"/>
                <w:sz w:val="20"/>
                <w:szCs w:val="20"/>
                <w:vertAlign w:val="superscript"/>
                <w:lang w:bidi="ar"/>
                <w14:textFill>
                  <w14:solidFill>
                    <w14:schemeClr w14:val="tx1"/>
                  </w14:solidFill>
                </w14:textFill>
              </w:rPr>
              <w:t>3</w:t>
            </w:r>
            <w:r>
              <w:rPr>
                <w:rFonts w:hint="eastAsia" w:ascii="Times New Roman" w:hAnsi="Times New Roman" w:cs="Times New Roman" w:eastAsiaTheme="minorEastAsia"/>
                <w:color w:val="000000" w:themeColor="text1"/>
                <w:kern w:val="0"/>
                <w:sz w:val="20"/>
                <w:szCs w:val="20"/>
                <w:lang w:eastAsia="zh-CN" w:bidi="ar"/>
                <w14:textFill>
                  <w14:solidFill>
                    <w14:schemeClr w14:val="tx1"/>
                  </w14:solidFill>
                </w14:textFill>
              </w:rPr>
              <w:t>）</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28C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pPr>
            <w:r>
              <w:rPr>
                <w:rFonts w:hint="eastAsia" w:ascii="Times New Roman" w:hAnsi="Times New Roman" w:cs="Times New Roman" w:eastAsiaTheme="minorEastAsia"/>
                <w:color w:val="000000" w:themeColor="text1"/>
                <w:kern w:val="0"/>
                <w:sz w:val="20"/>
                <w:szCs w:val="20"/>
                <w:lang w:eastAsia="zh-CN" w:bidi="ar"/>
                <w14:textFill>
                  <w14:solidFill>
                    <w14:schemeClr w14:val="tx1"/>
                  </w14:solidFill>
                </w14:textFill>
              </w:rPr>
              <w:t>（</w:t>
            </w: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m</w:t>
            </w:r>
            <w:r>
              <w:rPr>
                <w:rFonts w:hint="default" w:ascii="Times New Roman" w:hAnsi="Times New Roman" w:cs="Times New Roman" w:eastAsiaTheme="minorEastAsia"/>
                <w:color w:val="000000" w:themeColor="text1"/>
                <w:kern w:val="0"/>
                <w:sz w:val="20"/>
                <w:szCs w:val="20"/>
                <w:vertAlign w:val="superscript"/>
                <w:lang w:bidi="ar"/>
                <w14:textFill>
                  <w14:solidFill>
                    <w14:schemeClr w14:val="tx1"/>
                  </w14:solidFill>
                </w14:textFill>
              </w:rPr>
              <w:t>3</w:t>
            </w:r>
            <w:r>
              <w:rPr>
                <w:rFonts w:hint="eastAsia" w:ascii="Times New Roman" w:hAnsi="Times New Roman" w:cs="Times New Roman" w:eastAsiaTheme="minorEastAsia"/>
                <w:color w:val="000000" w:themeColor="text1"/>
                <w:kern w:val="0"/>
                <w:sz w:val="20"/>
                <w:szCs w:val="20"/>
                <w:lang w:eastAsia="zh-CN" w:bidi="ar"/>
                <w14:textFill>
                  <w14:solidFill>
                    <w14:schemeClr w14:val="tx1"/>
                  </w14:solidFill>
                </w14:textFill>
              </w:rPr>
              <w:t>）</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AF6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pPr>
            <w:r>
              <w:rPr>
                <w:rFonts w:hint="eastAsia" w:ascii="Times New Roman" w:hAnsi="Times New Roman" w:cs="Times New Roman" w:eastAsiaTheme="minorEastAsia"/>
                <w:color w:val="000000" w:themeColor="text1"/>
                <w:kern w:val="0"/>
                <w:sz w:val="20"/>
                <w:szCs w:val="20"/>
                <w:lang w:eastAsia="zh-CN" w:bidi="ar"/>
                <w14:textFill>
                  <w14:solidFill>
                    <w14:schemeClr w14:val="tx1"/>
                  </w14:solidFill>
                </w14:textFill>
              </w:rPr>
              <w:t>（</w:t>
            </w: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m</w:t>
            </w:r>
            <w:r>
              <w:rPr>
                <w:rFonts w:hint="default" w:ascii="Times New Roman" w:hAnsi="Times New Roman" w:cs="Times New Roman" w:eastAsiaTheme="minorEastAsia"/>
                <w:color w:val="000000" w:themeColor="text1"/>
                <w:kern w:val="0"/>
                <w:sz w:val="20"/>
                <w:szCs w:val="20"/>
                <w:vertAlign w:val="superscript"/>
                <w:lang w:bidi="ar"/>
                <w14:textFill>
                  <w14:solidFill>
                    <w14:schemeClr w14:val="tx1"/>
                  </w14:solidFill>
                </w14:textFill>
              </w:rPr>
              <w:t>3</w:t>
            </w:r>
            <w:r>
              <w:rPr>
                <w:rFonts w:hint="eastAsia" w:ascii="Times New Roman" w:hAnsi="Times New Roman" w:cs="Times New Roman" w:eastAsiaTheme="minorEastAsia"/>
                <w:color w:val="000000" w:themeColor="text1"/>
                <w:kern w:val="0"/>
                <w:sz w:val="20"/>
                <w:szCs w:val="20"/>
                <w:lang w:eastAsia="zh-CN" w:bidi="ar"/>
                <w14:textFill>
                  <w14:solidFill>
                    <w14:schemeClr w14:val="tx1"/>
                  </w14:solidFill>
                </w14:textFill>
              </w:rPr>
              <w:t>）</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D18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pPr>
            <w:r>
              <w:rPr>
                <w:rFonts w:hint="eastAsia" w:ascii="Times New Roman" w:hAnsi="Times New Roman" w:cs="Times New Roman" w:eastAsiaTheme="minorEastAsia"/>
                <w:color w:val="000000" w:themeColor="text1"/>
                <w:kern w:val="0"/>
                <w:sz w:val="20"/>
                <w:szCs w:val="20"/>
                <w:lang w:eastAsia="zh-CN" w:bidi="ar"/>
                <w14:textFill>
                  <w14:solidFill>
                    <w14:schemeClr w14:val="tx1"/>
                  </w14:solidFill>
                </w14:textFill>
              </w:rPr>
              <w:t>（</w:t>
            </w: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m</w:t>
            </w:r>
            <w:r>
              <w:rPr>
                <w:rFonts w:hint="default" w:ascii="Times New Roman" w:hAnsi="Times New Roman" w:cs="Times New Roman" w:eastAsiaTheme="minorEastAsia"/>
                <w:color w:val="000000" w:themeColor="text1"/>
                <w:kern w:val="0"/>
                <w:sz w:val="20"/>
                <w:szCs w:val="20"/>
                <w:vertAlign w:val="superscript"/>
                <w:lang w:bidi="ar"/>
                <w14:textFill>
                  <w14:solidFill>
                    <w14:schemeClr w14:val="tx1"/>
                  </w14:solidFill>
                </w14:textFill>
              </w:rPr>
              <w:t>3</w:t>
            </w:r>
            <w:r>
              <w:rPr>
                <w:rFonts w:hint="eastAsia" w:ascii="Times New Roman" w:hAnsi="Times New Roman" w:cs="Times New Roman" w:eastAsiaTheme="minorEastAsia"/>
                <w:color w:val="000000" w:themeColor="text1"/>
                <w:kern w:val="0"/>
                <w:sz w:val="20"/>
                <w:szCs w:val="20"/>
                <w:lang w:eastAsia="zh-CN" w:bidi="ar"/>
                <w14:textFill>
                  <w14:solidFill>
                    <w14:schemeClr w14:val="tx1"/>
                  </w14:solidFill>
                </w14:textFill>
              </w:rPr>
              <w:t>）</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3AD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eastAsia" w:ascii="Times New Roman" w:hAnsi="Times New Roman" w:cs="Times New Roman" w:eastAsiaTheme="minorEastAsia"/>
                <w:color w:val="000000" w:themeColor="text1"/>
                <w:kern w:val="0"/>
                <w:sz w:val="20"/>
                <w:szCs w:val="20"/>
                <w:lang w:eastAsia="zh-CN" w:bidi="ar"/>
                <w14:textFill>
                  <w14:solidFill>
                    <w14:schemeClr w14:val="tx1"/>
                  </w14:solidFill>
                </w14:textFill>
              </w:rPr>
            </w:pPr>
            <w:r>
              <w:rPr>
                <w:rFonts w:hint="eastAsia" w:ascii="Times New Roman" w:hAnsi="Times New Roman" w:cs="Times New Roman" w:eastAsiaTheme="minorEastAsia"/>
                <w:color w:val="000000" w:themeColor="text1"/>
                <w:kern w:val="0"/>
                <w:sz w:val="20"/>
                <w:szCs w:val="20"/>
                <w:lang w:eastAsia="zh-CN" w:bidi="ar"/>
                <w14:textFill>
                  <w14:solidFill>
                    <w14:schemeClr w14:val="tx1"/>
                  </w14:solidFill>
                </w14:textFill>
              </w:rPr>
              <w:t>（</w:t>
            </w: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株</w:t>
            </w:r>
            <w:r>
              <w:rPr>
                <w:rFonts w:hint="eastAsia" w:ascii="Times New Roman" w:hAnsi="Times New Roman" w:cs="Times New Roman" w:eastAsiaTheme="minorEastAsia"/>
                <w:color w:val="000000" w:themeColor="text1"/>
                <w:kern w:val="0"/>
                <w:sz w:val="20"/>
                <w:szCs w:val="20"/>
                <w:lang w:eastAsia="zh-CN" w:bidi="ar"/>
                <w14:textFill>
                  <w14:solidFill>
                    <w14:schemeClr w14:val="tx1"/>
                  </w14:solidFill>
                </w14:textFill>
              </w:rPr>
              <w:t>）</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DAE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pPr>
            <w:r>
              <w:rPr>
                <w:rFonts w:hint="eastAsia" w:ascii="Times New Roman" w:hAnsi="Times New Roman" w:cs="Times New Roman" w:eastAsiaTheme="minorEastAsia"/>
                <w:color w:val="000000" w:themeColor="text1"/>
                <w:kern w:val="0"/>
                <w:sz w:val="20"/>
                <w:szCs w:val="20"/>
                <w:lang w:eastAsia="zh-CN" w:bidi="ar"/>
                <w14:textFill>
                  <w14:solidFill>
                    <w14:schemeClr w14:val="tx1"/>
                  </w14:solidFill>
                </w14:textFill>
              </w:rPr>
              <w:t>（</w:t>
            </w:r>
            <w:r>
              <w:rPr>
                <w:rFonts w:hint="eastAsia" w:ascii="Times New Roman" w:hAnsi="Times New Roman" w:cs="Times New Roman" w:eastAsiaTheme="minorEastAsia"/>
                <w:color w:val="000000" w:themeColor="text1"/>
                <w:kern w:val="0"/>
                <w:sz w:val="20"/>
                <w:szCs w:val="20"/>
                <w:lang w:val="en-US" w:eastAsia="zh-CN" w:bidi="ar"/>
                <w14:textFill>
                  <w14:solidFill>
                    <w14:schemeClr w14:val="tx1"/>
                  </w14:solidFill>
                </w14:textFill>
              </w:rPr>
              <w:t>h</w:t>
            </w: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m</w:t>
            </w:r>
            <w:r>
              <w:rPr>
                <w:rFonts w:hint="default" w:ascii="Times New Roman" w:hAnsi="Times New Roman" w:cs="Times New Roman" w:eastAsiaTheme="minorEastAsia"/>
                <w:color w:val="000000" w:themeColor="text1"/>
                <w:kern w:val="0"/>
                <w:sz w:val="20"/>
                <w:szCs w:val="20"/>
                <w:vertAlign w:val="superscript"/>
                <w:lang w:bidi="ar"/>
                <w14:textFill>
                  <w14:solidFill>
                    <w14:schemeClr w14:val="tx1"/>
                  </w14:solidFill>
                </w14:textFill>
              </w:rPr>
              <w:t>2</w:t>
            </w:r>
            <w:r>
              <w:rPr>
                <w:rFonts w:hint="eastAsia" w:ascii="Times New Roman" w:hAnsi="Times New Roman" w:cs="Times New Roman" w:eastAsiaTheme="minorEastAsia"/>
                <w:color w:val="000000" w:themeColor="text1"/>
                <w:kern w:val="0"/>
                <w:sz w:val="20"/>
                <w:szCs w:val="20"/>
                <w:lang w:eastAsia="zh-CN" w:bidi="ar"/>
                <w14:textFill>
                  <w14:solidFill>
                    <w14:schemeClr w14:val="tx1"/>
                  </w14:solidFill>
                </w14:textFill>
              </w:rPr>
              <w:t>）</w:t>
            </w:r>
          </w:p>
        </w:tc>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A23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eastAsia" w:ascii="Times New Roman" w:hAnsi="Times New Roman" w:cs="Times New Roman" w:eastAsiaTheme="minorEastAsia"/>
                <w:color w:val="000000" w:themeColor="text1"/>
                <w:kern w:val="0"/>
                <w:sz w:val="20"/>
                <w:szCs w:val="20"/>
                <w:lang w:eastAsia="zh-CN" w:bidi="ar"/>
                <w14:textFill>
                  <w14:solidFill>
                    <w14:schemeClr w14:val="tx1"/>
                  </w14:solidFill>
                </w14:textFill>
              </w:rPr>
            </w:pPr>
            <w:r>
              <w:rPr>
                <w:rFonts w:hint="eastAsia" w:cs="Times New Roman" w:eastAsiaTheme="minorEastAsia"/>
                <w:color w:val="000000" w:themeColor="text1"/>
                <w:kern w:val="0"/>
                <w:sz w:val="20"/>
                <w:szCs w:val="20"/>
                <w:lang w:eastAsia="zh-CN" w:bidi="ar"/>
                <w14:textFill>
                  <w14:solidFill>
                    <w14:schemeClr w14:val="tx1"/>
                  </w14:solidFill>
                </w14:textFill>
              </w:rPr>
              <w:t>（</w:t>
            </w:r>
            <w:r>
              <w:rPr>
                <w:rFonts w:hint="default" w:ascii="Times New Roman" w:hAnsi="Times New Roman" w:cs="Times New Roman" w:eastAsiaTheme="minorEastAsia"/>
                <w:color w:val="000000" w:themeColor="text1"/>
                <w:kern w:val="0"/>
                <w:sz w:val="20"/>
                <w:szCs w:val="20"/>
                <w:lang w:bidi="ar"/>
                <w14:textFill>
                  <w14:solidFill>
                    <w14:schemeClr w14:val="tx1"/>
                  </w14:solidFill>
                </w14:textFill>
              </w:rPr>
              <w:t>m</w:t>
            </w:r>
            <w:r>
              <w:rPr>
                <w:rFonts w:hint="default" w:ascii="Times New Roman" w:hAnsi="Times New Roman" w:cs="Times New Roman" w:eastAsiaTheme="minorEastAsia"/>
                <w:color w:val="000000" w:themeColor="text1"/>
                <w:kern w:val="0"/>
                <w:sz w:val="20"/>
                <w:szCs w:val="20"/>
                <w:vertAlign w:val="superscript"/>
                <w:lang w:bidi="ar"/>
                <w14:textFill>
                  <w14:solidFill>
                    <w14:schemeClr w14:val="tx1"/>
                  </w14:solidFill>
                </w14:textFill>
              </w:rPr>
              <w:t>2</w:t>
            </w:r>
            <w:r>
              <w:rPr>
                <w:rFonts w:hint="eastAsia" w:cs="Times New Roman" w:eastAsiaTheme="minorEastAsia"/>
                <w:color w:val="000000" w:themeColor="text1"/>
                <w:kern w:val="0"/>
                <w:sz w:val="20"/>
                <w:szCs w:val="20"/>
                <w:lang w:eastAsia="zh-CN" w:bidi="ar"/>
                <w14:textFill>
                  <w14:solidFill>
                    <w14:schemeClr w14:val="tx1"/>
                  </w14:solidFill>
                </w14:textFill>
              </w:rPr>
              <w:t>）</w:t>
            </w:r>
          </w:p>
        </w:tc>
      </w:tr>
      <w:tr w14:paraId="4FD63325">
        <w:tblPrEx>
          <w:tblCellMar>
            <w:top w:w="0" w:type="dxa"/>
            <w:left w:w="108" w:type="dxa"/>
            <w:bottom w:w="0" w:type="dxa"/>
            <w:right w:w="108" w:type="dxa"/>
          </w:tblCellMar>
        </w:tblPrEx>
        <w:trPr>
          <w:trHeight w:val="397" w:hRule="atLeast"/>
          <w:jc w:val="center"/>
        </w:trPr>
        <w:tc>
          <w:tcPr>
            <w:tcW w:w="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C2B4B">
            <w:pPr>
              <w:keepNext w:val="0"/>
              <w:keepLines w:val="0"/>
              <w:pageBreakBefore w:val="0"/>
              <w:widowControl/>
              <w:suppressLineNumbers w:val="0"/>
              <w:kinsoku/>
              <w:wordWrap/>
              <w:overflowPunct/>
              <w:topLinePunct w:val="0"/>
              <w:bidi w:val="0"/>
              <w:snapToGrid/>
              <w:spacing w:before="0" w:beforeAutospacing="0" w:after="0" w:afterAutospacing="0" w:line="240" w:lineRule="atLeast"/>
              <w:ind w:left="0" w:right="0" w:firstLine="0" w:firstLineChars="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t>拟建露天采场1</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19377">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2.2810</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27B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22810</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8F6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53</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4DF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6</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D88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140</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B26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highlight w:val="none"/>
                <w:lang w:val="en-US" w:eastAsia="zh-CN"/>
                <w14:textFill>
                  <w14:solidFill>
                    <w14:schemeClr w14:val="tx1"/>
                  </w14:solidFill>
                </w14:textFill>
              </w:rPr>
            </w:pPr>
            <w:r>
              <w:rPr>
                <w:rFonts w:hint="eastAsia" w:cs="Times New Roman" w:eastAsiaTheme="minorEastAsia"/>
                <w:color w:val="000000" w:themeColor="text1"/>
                <w:sz w:val="20"/>
                <w:szCs w:val="20"/>
                <w:highlight w:val="none"/>
                <w:lang w:val="en-US" w:eastAsia="zh-CN"/>
                <w14:textFill>
                  <w14:solidFill>
                    <w14:schemeClr w14:val="tx1"/>
                  </w14:solidFill>
                </w14:textFill>
              </w:rPr>
              <w:t>21000</w:t>
            </w:r>
          </w:p>
        </w:tc>
        <w:tc>
          <w:tcPr>
            <w:tcW w:w="315" w:type="pct"/>
            <w:tcBorders>
              <w:top w:val="single" w:color="000000" w:sz="4" w:space="0"/>
              <w:left w:val="single" w:color="000000" w:sz="4" w:space="0"/>
              <w:right w:val="single" w:color="000000" w:sz="4" w:space="0"/>
            </w:tcBorders>
            <w:shd w:val="clear" w:color="auto" w:fill="auto"/>
            <w:noWrap/>
            <w:vAlign w:val="center"/>
          </w:tcPr>
          <w:p w14:paraId="2B5EF9E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right w:val="single" w:color="000000" w:sz="4" w:space="0"/>
            </w:tcBorders>
            <w:shd w:val="clear" w:color="auto" w:fill="auto"/>
            <w:noWrap/>
            <w:vAlign w:val="center"/>
          </w:tcPr>
          <w:p w14:paraId="604B897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right w:val="single" w:color="000000" w:sz="4" w:space="0"/>
            </w:tcBorders>
            <w:shd w:val="clear" w:color="auto" w:fill="auto"/>
            <w:noWrap/>
            <w:vAlign w:val="center"/>
          </w:tcPr>
          <w:p w14:paraId="0083A04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48C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2028</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333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1217</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1D9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149</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E0F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t>2.2810</w:t>
            </w:r>
          </w:p>
        </w:tc>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D4E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p>
        </w:tc>
      </w:tr>
      <w:tr w14:paraId="4EC1E60A">
        <w:tblPrEx>
          <w:tblCellMar>
            <w:top w:w="0" w:type="dxa"/>
            <w:left w:w="108" w:type="dxa"/>
            <w:bottom w:w="0" w:type="dxa"/>
            <w:right w:w="108" w:type="dxa"/>
          </w:tblCellMar>
        </w:tblPrEx>
        <w:trPr>
          <w:trHeight w:val="397" w:hRule="atLeast"/>
          <w:jc w:val="center"/>
        </w:trPr>
        <w:tc>
          <w:tcPr>
            <w:tcW w:w="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42C38">
            <w:pPr>
              <w:keepNext w:val="0"/>
              <w:keepLines w:val="0"/>
              <w:pageBreakBefore w:val="0"/>
              <w:widowControl/>
              <w:suppressLineNumbers w:val="0"/>
              <w:kinsoku/>
              <w:wordWrap/>
              <w:overflowPunct/>
              <w:topLinePunct w:val="0"/>
              <w:bidi w:val="0"/>
              <w:snapToGrid/>
              <w:spacing w:before="0" w:beforeAutospacing="0" w:after="0" w:afterAutospacing="0" w:line="240" w:lineRule="atLeast"/>
              <w:ind w:left="0" w:right="0" w:firstLine="0" w:firstLineChars="0"/>
              <w:jc w:val="center"/>
              <w:textAlignment w:val="center"/>
              <w:rPr>
                <w:rFonts w:hint="default" w:ascii="Times New Roman" w:hAnsi="Times New Roman" w:cs="Times New Roman" w:eastAsiaTheme="minorEastAsia"/>
                <w:color w:val="000000" w:themeColor="text1"/>
                <w:sz w:val="20"/>
                <w:szCs w:val="20"/>
                <w:lang w:val="en-US"/>
                <w14:textFill>
                  <w14:solidFill>
                    <w14:schemeClr w14:val="tx1"/>
                  </w14:solidFill>
                </w14:textFill>
              </w:rPr>
            </w:pPr>
            <w: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t>拟建露天采场</w:t>
            </w:r>
            <w:r>
              <w:rPr>
                <w:rFonts w:hint="eastAsia" w:cs="Times New Roman" w:eastAsiaTheme="minorEastAsia"/>
                <w:color w:val="000000" w:themeColor="text1"/>
                <w:sz w:val="20"/>
                <w:szCs w:val="20"/>
                <w:lang w:val="en-US" w:eastAsia="zh-CN"/>
                <w14:textFill>
                  <w14:solidFill>
                    <w14:schemeClr w14:val="tx1"/>
                  </w14:solidFill>
                </w14:textFill>
              </w:rPr>
              <w:t>2</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29FF3">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2.3167</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3459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23167</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83C0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63</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CDCE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10</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3E84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690</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284F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56306</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A686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4268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C4F7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CBD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1080</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A4E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648</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B4ED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373</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19C4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t>1.9814</w:t>
            </w:r>
          </w:p>
        </w:tc>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66F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r>
      <w:tr w14:paraId="0EA6E9F0">
        <w:tblPrEx>
          <w:tblCellMar>
            <w:top w:w="0" w:type="dxa"/>
            <w:left w:w="108" w:type="dxa"/>
            <w:bottom w:w="0" w:type="dxa"/>
            <w:right w:w="108" w:type="dxa"/>
          </w:tblCellMar>
        </w:tblPrEx>
        <w:trPr>
          <w:trHeight w:val="397" w:hRule="atLeast"/>
          <w:jc w:val="center"/>
        </w:trPr>
        <w:tc>
          <w:tcPr>
            <w:tcW w:w="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CC29C">
            <w:pPr>
              <w:keepNext w:val="0"/>
              <w:keepLines w:val="0"/>
              <w:pageBreakBefore w:val="0"/>
              <w:widowControl/>
              <w:suppressLineNumbers w:val="0"/>
              <w:kinsoku/>
              <w:wordWrap/>
              <w:overflowPunct/>
              <w:topLinePunct w:val="0"/>
              <w:bidi w:val="0"/>
              <w:snapToGrid/>
              <w:spacing w:before="0" w:beforeAutospacing="0" w:after="0" w:afterAutospacing="0" w:line="240" w:lineRule="atLeast"/>
              <w:ind w:left="0" w:right="0" w:firstLine="0" w:firstLineChars="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t>露天采场2</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806C2">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0.0</w:t>
            </w:r>
            <w:r>
              <w:rPr>
                <w:rFonts w:hint="eastAsia" w:cs="Times New Roman"/>
                <w:i w:val="0"/>
                <w:iCs w:val="0"/>
                <w:color w:val="000000" w:themeColor="text1"/>
                <w:kern w:val="0"/>
                <w:sz w:val="20"/>
                <w:szCs w:val="20"/>
                <w:u w:val="none"/>
                <w:lang w:val="en-US" w:eastAsia="zh-CN" w:bidi="ar"/>
                <w14:textFill>
                  <w14:solidFill>
                    <w14:schemeClr w14:val="tx1"/>
                  </w14:solidFill>
                </w14:textFill>
              </w:rPr>
              <w:t>756</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4653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CCC3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D1EF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8548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269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125</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42E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ED4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DAE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A60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A1C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227</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7C9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D27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t>0.0756</w:t>
            </w:r>
          </w:p>
        </w:tc>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626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r>
      <w:tr w14:paraId="7580E545">
        <w:tblPrEx>
          <w:tblCellMar>
            <w:top w:w="0" w:type="dxa"/>
            <w:left w:w="108" w:type="dxa"/>
            <w:bottom w:w="0" w:type="dxa"/>
            <w:right w:w="108" w:type="dxa"/>
          </w:tblCellMar>
        </w:tblPrEx>
        <w:trPr>
          <w:trHeight w:val="397" w:hRule="atLeast"/>
          <w:jc w:val="center"/>
        </w:trPr>
        <w:tc>
          <w:tcPr>
            <w:tcW w:w="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172DB">
            <w:pPr>
              <w:keepNext w:val="0"/>
              <w:keepLines w:val="0"/>
              <w:pageBreakBefore w:val="0"/>
              <w:widowControl/>
              <w:suppressLineNumbers w:val="0"/>
              <w:kinsoku/>
              <w:wordWrap/>
              <w:overflowPunct/>
              <w:topLinePunct w:val="0"/>
              <w:bidi w:val="0"/>
              <w:snapToGrid/>
              <w:spacing w:before="0" w:beforeAutospacing="0" w:after="0" w:afterAutospacing="0" w:line="240" w:lineRule="atLeast"/>
              <w:ind w:left="0" w:right="0" w:firstLine="0" w:firstLineChars="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t>拟建储水池</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FD53C">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w:t>
            </w:r>
            <w:r>
              <w:rPr>
                <w:rFonts w:hint="eastAsia" w:cs="Times New Roman"/>
                <w:i w:val="0"/>
                <w:iCs w:val="0"/>
                <w:color w:val="000000" w:themeColor="text1"/>
                <w:kern w:val="0"/>
                <w:sz w:val="20"/>
                <w:szCs w:val="20"/>
                <w:u w:val="none"/>
                <w:lang w:val="en-US" w:eastAsia="zh-CN" w:bidi="ar"/>
                <w14:textFill>
                  <w14:solidFill>
                    <w14:schemeClr w14:val="tx1"/>
                  </w14:solidFill>
                </w14:textFill>
              </w:rPr>
              <w:t>.0150</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F619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150</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73BB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626B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8C90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082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2F4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42</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1A6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42</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B40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D16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75</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C63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45</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7098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0E5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t>0.0150</w:t>
            </w:r>
          </w:p>
        </w:tc>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251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r>
      <w:tr w14:paraId="7A9EC8F6">
        <w:tblPrEx>
          <w:tblCellMar>
            <w:top w:w="0" w:type="dxa"/>
            <w:left w:w="108" w:type="dxa"/>
            <w:bottom w:w="0" w:type="dxa"/>
            <w:right w:w="108" w:type="dxa"/>
          </w:tblCellMar>
        </w:tblPrEx>
        <w:trPr>
          <w:trHeight w:val="397" w:hRule="atLeast"/>
          <w:jc w:val="center"/>
        </w:trPr>
        <w:tc>
          <w:tcPr>
            <w:tcW w:w="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EC4AE">
            <w:pPr>
              <w:keepNext w:val="0"/>
              <w:keepLines w:val="0"/>
              <w:pageBreakBefore w:val="0"/>
              <w:widowControl/>
              <w:suppressLineNumbers w:val="0"/>
              <w:kinsoku/>
              <w:wordWrap/>
              <w:overflowPunct/>
              <w:topLinePunct w:val="0"/>
              <w:bidi w:val="0"/>
              <w:snapToGrid/>
              <w:spacing w:before="0" w:beforeAutospacing="0" w:after="0" w:afterAutospacing="0" w:line="240" w:lineRule="atLeast"/>
              <w:ind w:left="0" w:right="0" w:firstLine="0" w:firstLineChars="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t>工业场地</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D425C">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2.7315</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405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F7C9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0F23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9B82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7D1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4E5C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12926</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D981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12926</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006E8">
            <w:pPr>
              <w:keepNext w:val="0"/>
              <w:keepLines w:val="0"/>
              <w:pageBreakBefore w:val="0"/>
              <w:suppressLineNumbers w:val="0"/>
              <w:tabs>
                <w:tab w:val="left" w:pos="292"/>
              </w:tabs>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B5A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6463</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DE32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3878</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DD28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8FE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t>1.2926</w:t>
            </w:r>
          </w:p>
        </w:tc>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CF00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r>
      <w:tr w14:paraId="474351D6">
        <w:tblPrEx>
          <w:tblCellMar>
            <w:top w:w="0" w:type="dxa"/>
            <w:left w:w="108" w:type="dxa"/>
            <w:bottom w:w="0" w:type="dxa"/>
            <w:right w:w="108" w:type="dxa"/>
          </w:tblCellMar>
        </w:tblPrEx>
        <w:trPr>
          <w:trHeight w:val="397" w:hRule="atLeast"/>
          <w:jc w:val="center"/>
        </w:trPr>
        <w:tc>
          <w:tcPr>
            <w:tcW w:w="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87AF4">
            <w:pPr>
              <w:keepNext w:val="0"/>
              <w:keepLines w:val="0"/>
              <w:pageBreakBefore w:val="0"/>
              <w:widowControl/>
              <w:suppressLineNumbers w:val="0"/>
              <w:kinsoku/>
              <w:wordWrap/>
              <w:overflowPunct/>
              <w:topLinePunct w:val="0"/>
              <w:bidi w:val="0"/>
              <w:snapToGrid/>
              <w:spacing w:before="0" w:beforeAutospacing="0" w:after="0" w:afterAutospacing="0" w:line="240" w:lineRule="atLeast"/>
              <w:ind w:left="0" w:right="0" w:firstLine="0" w:firstLineChars="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t>成品砖堆放场</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9BFE6">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1.0550</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6E74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1193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37E7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6F89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4C7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6013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1535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40DB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A26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5275</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B7DA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3165</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96D0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5E5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t>1.0550</w:t>
            </w:r>
          </w:p>
        </w:tc>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0996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r>
      <w:tr w14:paraId="76FA4A2A">
        <w:tblPrEx>
          <w:tblCellMar>
            <w:top w:w="0" w:type="dxa"/>
            <w:left w:w="108" w:type="dxa"/>
            <w:bottom w:w="0" w:type="dxa"/>
            <w:right w:w="108" w:type="dxa"/>
          </w:tblCellMar>
        </w:tblPrEx>
        <w:trPr>
          <w:trHeight w:val="397" w:hRule="atLeast"/>
          <w:jc w:val="center"/>
        </w:trPr>
        <w:tc>
          <w:tcPr>
            <w:tcW w:w="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5C0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center"/>
              <w:rPr>
                <w:rFonts w:hint="eastAsia"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料堆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FEF8B">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w:t>
            </w:r>
            <w:r>
              <w:rPr>
                <w:rFonts w:hint="eastAsia" w:cs="Times New Roman"/>
                <w:i w:val="0"/>
                <w:iCs w:val="0"/>
                <w:color w:val="000000" w:themeColor="text1"/>
                <w:kern w:val="0"/>
                <w:sz w:val="20"/>
                <w:szCs w:val="20"/>
                <w:u w:val="none"/>
                <w:lang w:val="en-US" w:eastAsia="zh-CN" w:bidi="ar"/>
                <w14:textFill>
                  <w14:solidFill>
                    <w14:schemeClr w14:val="tx1"/>
                  </w14:solidFill>
                </w14:textFill>
              </w:rPr>
              <w:t>4207</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90D7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2FCE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12E2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0E07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1F3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31B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C21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t>12135</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658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9AB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2104</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76D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1262</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356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D6A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0.</w:t>
            </w:r>
            <w: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t>3281</w:t>
            </w:r>
          </w:p>
        </w:tc>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27B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926</w:t>
            </w:r>
          </w:p>
        </w:tc>
      </w:tr>
      <w:tr w14:paraId="64C7B1EB">
        <w:tblPrEx>
          <w:tblCellMar>
            <w:top w:w="0" w:type="dxa"/>
            <w:left w:w="108" w:type="dxa"/>
            <w:bottom w:w="0" w:type="dxa"/>
            <w:right w:w="108" w:type="dxa"/>
          </w:tblCellMar>
        </w:tblPrEx>
        <w:trPr>
          <w:trHeight w:val="397" w:hRule="atLeast"/>
          <w:jc w:val="center"/>
        </w:trPr>
        <w:tc>
          <w:tcPr>
            <w:tcW w:w="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24C23">
            <w:pPr>
              <w:keepNext w:val="0"/>
              <w:keepLines w:val="0"/>
              <w:pageBreakBefore w:val="0"/>
              <w:widowControl/>
              <w:suppressLineNumbers w:val="0"/>
              <w:kinsoku/>
              <w:wordWrap/>
              <w:overflowPunct/>
              <w:topLinePunct w:val="0"/>
              <w:bidi w:val="0"/>
              <w:snapToGrid/>
              <w:spacing w:before="0" w:beforeAutospacing="0" w:after="0" w:afterAutospacing="0" w:line="240" w:lineRule="atLeast"/>
              <w:ind w:left="0" w:right="0" w:firstLine="0" w:firstLineChars="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表土存放场</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977DD">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eastAsia" w:cs="Times New Roman"/>
                <w:i w:val="0"/>
                <w:iCs w:val="0"/>
                <w:color w:val="000000" w:themeColor="text1"/>
                <w:kern w:val="0"/>
                <w:sz w:val="20"/>
                <w:szCs w:val="20"/>
                <w:u w:val="none"/>
                <w:lang w:val="en-US" w:eastAsia="zh-CN" w:bidi="ar"/>
                <w14:textFill>
                  <w14:solidFill>
                    <w14:schemeClr w14:val="tx1"/>
                  </w14:solidFill>
                </w14:textFill>
              </w:rPr>
              <w:t>1.3346</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4E44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865B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CF97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D0F3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BF8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E002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4D5E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51993</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CFAF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3F9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9106</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CF8F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5464</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BD68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74</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221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t>1.2685</w:t>
            </w:r>
          </w:p>
        </w:tc>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DD20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r>
      <w:tr w14:paraId="05E696E8">
        <w:tblPrEx>
          <w:tblCellMar>
            <w:top w:w="0" w:type="dxa"/>
            <w:left w:w="108" w:type="dxa"/>
            <w:bottom w:w="0" w:type="dxa"/>
            <w:right w:w="108" w:type="dxa"/>
          </w:tblCellMar>
        </w:tblPrEx>
        <w:trPr>
          <w:trHeight w:val="397" w:hRule="atLeast"/>
          <w:jc w:val="center"/>
        </w:trPr>
        <w:tc>
          <w:tcPr>
            <w:tcW w:w="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85E8B">
            <w:pPr>
              <w:keepNext w:val="0"/>
              <w:keepLines w:val="0"/>
              <w:pageBreakBefore w:val="0"/>
              <w:widowControl/>
              <w:suppressLineNumbers w:val="0"/>
              <w:kinsoku/>
              <w:wordWrap/>
              <w:overflowPunct/>
              <w:topLinePunct w:val="0"/>
              <w:bidi w:val="0"/>
              <w:snapToGrid/>
              <w:spacing w:before="0" w:beforeAutospacing="0" w:after="0" w:afterAutospacing="0" w:line="240" w:lineRule="atLeast"/>
              <w:ind w:left="0" w:right="0" w:firstLine="0" w:firstLineChars="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t>办公生活区</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E29AD">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0.2217</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BE75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4D94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E05A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1CE5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F95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7AD5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277</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DD0B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277</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3EE3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183</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13F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1109</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A608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665</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3DDD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8BD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t>0.2217</w:t>
            </w:r>
          </w:p>
        </w:tc>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EDE4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r>
      <w:tr w14:paraId="3C6CA527">
        <w:tblPrEx>
          <w:tblCellMar>
            <w:top w:w="0" w:type="dxa"/>
            <w:left w:w="108" w:type="dxa"/>
            <w:bottom w:w="0" w:type="dxa"/>
            <w:right w:w="108" w:type="dxa"/>
          </w:tblCellMar>
        </w:tblPrEx>
        <w:trPr>
          <w:trHeight w:val="397" w:hRule="atLeast"/>
          <w:jc w:val="center"/>
        </w:trPr>
        <w:tc>
          <w:tcPr>
            <w:tcW w:w="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97FDC">
            <w:pPr>
              <w:keepNext w:val="0"/>
              <w:keepLines w:val="0"/>
              <w:pageBreakBefore w:val="0"/>
              <w:widowControl/>
              <w:suppressLineNumbers w:val="0"/>
              <w:kinsoku/>
              <w:wordWrap/>
              <w:overflowPunct/>
              <w:topLinePunct w:val="0"/>
              <w:bidi w:val="0"/>
              <w:snapToGrid/>
              <w:spacing w:before="0" w:beforeAutospacing="0" w:after="0" w:afterAutospacing="0" w:line="240" w:lineRule="atLeast"/>
              <w:ind w:left="0" w:right="0" w:firstLine="0" w:firstLineChars="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矿区道路</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3CEDF">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eastAsiaTheme="minorEastAsia"/>
                <w:color w:val="000000" w:themeColor="text1"/>
                <w:sz w:val="20"/>
                <w:szCs w:val="20"/>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0.2</w:t>
            </w:r>
            <w:r>
              <w:rPr>
                <w:rFonts w:hint="eastAsia" w:cs="Times New Roman"/>
                <w:i w:val="0"/>
                <w:iCs w:val="0"/>
                <w:color w:val="000000" w:themeColor="text1"/>
                <w:kern w:val="0"/>
                <w:sz w:val="20"/>
                <w:szCs w:val="20"/>
                <w:u w:val="none"/>
                <w:lang w:val="en-US" w:eastAsia="zh-CN" w:bidi="ar"/>
                <w14:textFill>
                  <w14:solidFill>
                    <w14:schemeClr w14:val="tx1"/>
                  </w14:solidFill>
                </w14:textFill>
              </w:rPr>
              <w:t>682</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D38F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A543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A62F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00FD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3F9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FD45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6E6E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B3A0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7CF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1341</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2220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eastAsia" w:cs="Times New Roman" w:eastAsiaTheme="minorEastAsia"/>
                <w:color w:val="000000" w:themeColor="text1"/>
                <w:sz w:val="20"/>
                <w:szCs w:val="20"/>
                <w:lang w:val="en-US" w:eastAsia="zh-CN"/>
                <w14:textFill>
                  <w14:solidFill>
                    <w14:schemeClr w14:val="tx1"/>
                  </w14:solidFill>
                </w14:textFill>
              </w:rPr>
              <w:t>805</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A59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0B6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pPr>
            <w:r>
              <w:rPr>
                <w:rFonts w:hint="default" w:ascii="Times New Roman" w:hAnsi="Times New Roman" w:cs="Times New Roman" w:eastAsiaTheme="minorEastAsia"/>
                <w:color w:val="000000" w:themeColor="text1"/>
                <w:sz w:val="20"/>
                <w:szCs w:val="20"/>
                <w:lang w:val="en-US" w:eastAsia="zh-CN"/>
                <w14:textFill>
                  <w14:solidFill>
                    <w14:schemeClr w14:val="tx1"/>
                  </w14:solidFill>
                </w14:textFill>
              </w:rPr>
              <w:t>0.2682</w:t>
            </w:r>
          </w:p>
        </w:tc>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A953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color w:val="000000" w:themeColor="text1"/>
                <w:sz w:val="20"/>
                <w:szCs w:val="20"/>
                <w14:textFill>
                  <w14:solidFill>
                    <w14:schemeClr w14:val="tx1"/>
                  </w14:solidFill>
                </w14:textFill>
              </w:rPr>
            </w:pPr>
          </w:p>
        </w:tc>
      </w:tr>
      <w:tr w14:paraId="30B038D8">
        <w:tblPrEx>
          <w:tblCellMar>
            <w:top w:w="0" w:type="dxa"/>
            <w:left w:w="108" w:type="dxa"/>
            <w:bottom w:w="0" w:type="dxa"/>
            <w:right w:w="108" w:type="dxa"/>
          </w:tblCellMar>
        </w:tblPrEx>
        <w:trPr>
          <w:trHeight w:val="397" w:hRule="atLeast"/>
          <w:jc w:val="center"/>
        </w:trPr>
        <w:tc>
          <w:tcPr>
            <w:tcW w:w="5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DAE46">
            <w:pPr>
              <w:keepNext w:val="0"/>
              <w:keepLines w:val="0"/>
              <w:pageBreakBefore w:val="0"/>
              <w:widowControl/>
              <w:suppressLineNumbers w:val="0"/>
              <w:kinsoku/>
              <w:wordWrap/>
              <w:overflowPunct/>
              <w:topLinePunct w:val="0"/>
              <w:bidi w:val="0"/>
              <w:snapToGrid/>
              <w:spacing w:before="0" w:beforeAutospacing="0" w:after="0" w:afterAutospacing="0" w:line="240" w:lineRule="atLeast"/>
              <w:ind w:left="0" w:right="0" w:firstLine="0" w:firstLineChars="0"/>
              <w:jc w:val="center"/>
              <w:textAlignment w:val="center"/>
              <w:rPr>
                <w:rFonts w:hint="eastAsia" w:ascii="Times New Roman" w:hAnsi="Times New Roman" w:cs="Times New Roman" w:eastAsiaTheme="minorEastAsia"/>
                <w:b/>
                <w:bCs/>
                <w:color w:val="000000" w:themeColor="text1"/>
                <w:sz w:val="20"/>
                <w:szCs w:val="20"/>
                <w:lang w:val="en-US" w:eastAsia="zh-CN"/>
                <w14:textFill>
                  <w14:solidFill>
                    <w14:schemeClr w14:val="tx1"/>
                  </w14:solidFill>
                </w14:textFill>
              </w:rPr>
            </w:pPr>
            <w:r>
              <w:rPr>
                <w:rFonts w:hint="eastAsia" w:cs="Times New Roman" w:eastAsiaTheme="minorEastAsia"/>
                <w:b/>
                <w:bCs/>
                <w:color w:val="000000" w:themeColor="text1"/>
                <w:sz w:val="20"/>
                <w:szCs w:val="20"/>
                <w:lang w:val="en-US" w:eastAsia="zh-CN"/>
                <w14:textFill>
                  <w14:solidFill>
                    <w14:schemeClr w14:val="tx1"/>
                  </w14:solidFill>
                </w14:textFill>
              </w:rPr>
              <w:t>合计</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8F8A3">
            <w:pPr>
              <w:keepNext w:val="0"/>
              <w:keepLines w:val="0"/>
              <w:pageBreakBefore w:val="0"/>
              <w:suppressLineNumbers w:val="0"/>
              <w:kinsoku/>
              <w:wordWrap/>
              <w:overflowPunct/>
              <w:topLinePunct w:val="0"/>
              <w:bidi w:val="0"/>
              <w:snapToGrid/>
              <w:spacing w:before="0" w:beforeAutospacing="0" w:after="0" w:afterAutospacing="0" w:line="240" w:lineRule="atLeast"/>
              <w:ind w:left="0" w:right="0" w:firstLine="0" w:firstLineChars="0"/>
              <w:jc w:val="center"/>
              <w:rPr>
                <w:rFonts w:hint="default" w:ascii="Times New Roman" w:hAnsi="Times New Roman" w:cs="Times New Roman" w:eastAsiaTheme="minorEastAsia"/>
                <w:b/>
                <w:bCs/>
                <w:color w:val="000000" w:themeColor="text1"/>
                <w:sz w:val="20"/>
                <w:szCs w:val="20"/>
                <w:lang w:val="en-US" w:eastAsia="zh-CN"/>
                <w14:textFill>
                  <w14:solidFill>
                    <w14:schemeClr w14:val="tx1"/>
                  </w14:solidFill>
                </w14:textFill>
              </w:rPr>
            </w:pPr>
            <w:r>
              <w:rPr>
                <w:rFonts w:hint="eastAsia" w:ascii="Times New Roman" w:hAnsi="Times New Roman" w:cs="Times New Roman" w:eastAsiaTheme="minorEastAsia"/>
                <w:b/>
                <w:bCs/>
                <w:color w:val="000000" w:themeColor="text1"/>
                <w:sz w:val="20"/>
                <w:szCs w:val="20"/>
                <w:lang w:val="en-US" w:eastAsia="zh-CN"/>
                <w14:textFill>
                  <w14:solidFill>
                    <w14:schemeClr w14:val="tx1"/>
                  </w14:solidFill>
                </w14:textFill>
              </w:rPr>
              <w:t>10.72</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1756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b/>
                <w:bCs/>
                <w:color w:val="000000" w:themeColor="text1"/>
                <w:sz w:val="20"/>
                <w:szCs w:val="20"/>
                <w:lang w:val="en-US" w:eastAsia="zh-CN"/>
                <w14:textFill>
                  <w14:solidFill>
                    <w14:schemeClr w14:val="tx1"/>
                  </w14:solidFill>
                </w14:textFill>
              </w:rPr>
            </w:pPr>
            <w:r>
              <w:rPr>
                <w:rFonts w:hint="eastAsia" w:cs="Times New Roman" w:eastAsiaTheme="minorEastAsia"/>
                <w:b/>
                <w:bCs/>
                <w:color w:val="000000" w:themeColor="text1"/>
                <w:sz w:val="20"/>
                <w:szCs w:val="20"/>
                <w:lang w:val="en-US" w:eastAsia="zh-CN"/>
                <w14:textFill>
                  <w14:solidFill>
                    <w14:schemeClr w14:val="tx1"/>
                  </w14:solidFill>
                </w14:textFill>
              </w:rPr>
              <w:t>46127</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8384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b/>
                <w:bCs/>
                <w:color w:val="000000" w:themeColor="text1"/>
                <w:sz w:val="20"/>
                <w:szCs w:val="20"/>
                <w:lang w:val="en-US" w:eastAsia="zh-CN"/>
                <w14:textFill>
                  <w14:solidFill>
                    <w14:schemeClr w14:val="tx1"/>
                  </w14:solidFill>
                </w14:textFill>
              </w:rPr>
            </w:pPr>
            <w:r>
              <w:rPr>
                <w:rFonts w:hint="eastAsia" w:ascii="Times New Roman" w:hAnsi="Times New Roman" w:cs="Times New Roman" w:eastAsiaTheme="minorEastAsia"/>
                <w:b/>
                <w:bCs/>
                <w:color w:val="000000" w:themeColor="text1"/>
                <w:sz w:val="20"/>
                <w:szCs w:val="20"/>
                <w:lang w:val="en-US" w:eastAsia="zh-CN"/>
                <w14:textFill>
                  <w14:solidFill>
                    <w14:schemeClr w14:val="tx1"/>
                  </w14:solidFill>
                </w14:textFill>
              </w:rPr>
              <w:t>116</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E892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b/>
                <w:bCs/>
                <w:color w:val="000000" w:themeColor="text1"/>
                <w:sz w:val="20"/>
                <w:szCs w:val="20"/>
                <w:lang w:val="en-US" w:eastAsia="zh-CN"/>
                <w14:textFill>
                  <w14:solidFill>
                    <w14:schemeClr w14:val="tx1"/>
                  </w14:solidFill>
                </w14:textFill>
              </w:rPr>
            </w:pPr>
            <w:r>
              <w:rPr>
                <w:rFonts w:hint="eastAsia" w:ascii="Times New Roman" w:hAnsi="Times New Roman" w:cs="Times New Roman" w:eastAsiaTheme="minorEastAsia"/>
                <w:b/>
                <w:bCs/>
                <w:color w:val="000000" w:themeColor="text1"/>
                <w:sz w:val="20"/>
                <w:szCs w:val="20"/>
                <w:lang w:val="en-US" w:eastAsia="zh-CN"/>
                <w14:textFill>
                  <w14:solidFill>
                    <w14:schemeClr w14:val="tx1"/>
                  </w14:solidFill>
                </w14:textFill>
              </w:rPr>
              <w:t>16</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E2BD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b/>
                <w:bCs/>
                <w:color w:val="000000" w:themeColor="text1"/>
                <w:sz w:val="20"/>
                <w:szCs w:val="20"/>
                <w:lang w:val="en-US" w:eastAsia="zh-CN"/>
                <w14:textFill>
                  <w14:solidFill>
                    <w14:schemeClr w14:val="tx1"/>
                  </w14:solidFill>
                </w14:textFill>
              </w:rPr>
            </w:pPr>
            <w:r>
              <w:rPr>
                <w:rFonts w:hint="eastAsia" w:ascii="Times New Roman" w:hAnsi="Times New Roman" w:cs="Times New Roman" w:eastAsiaTheme="minorEastAsia"/>
                <w:b/>
                <w:bCs/>
                <w:color w:val="000000" w:themeColor="text1"/>
                <w:sz w:val="20"/>
                <w:szCs w:val="20"/>
                <w:lang w:val="en-US" w:eastAsia="zh-CN"/>
                <w14:textFill>
                  <w14:solidFill>
                    <w14:schemeClr w14:val="tx1"/>
                  </w14:solidFill>
                </w14:textFill>
              </w:rPr>
              <w:t>830</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AF3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b/>
                <w:bCs/>
                <w:color w:val="000000" w:themeColor="text1"/>
                <w:sz w:val="20"/>
                <w:szCs w:val="20"/>
                <w:lang w:val="en-US" w:eastAsia="zh-CN"/>
                <w14:textFill>
                  <w14:solidFill>
                    <w14:schemeClr w14:val="tx1"/>
                  </w14:solidFill>
                </w14:textFill>
              </w:rPr>
            </w:pPr>
            <w:r>
              <w:rPr>
                <w:rFonts w:hint="eastAsia" w:cs="Times New Roman" w:eastAsiaTheme="minorEastAsia"/>
                <w:b/>
                <w:bCs/>
                <w:color w:val="000000" w:themeColor="text1"/>
                <w:sz w:val="20"/>
                <w:szCs w:val="20"/>
                <w:lang w:val="en-US" w:eastAsia="zh-CN"/>
                <w14:textFill>
                  <w14:solidFill>
                    <w14:schemeClr w14:val="tx1"/>
                  </w14:solidFill>
                </w14:textFill>
              </w:rPr>
              <w:t>77431</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16B2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b/>
                <w:bCs/>
                <w:color w:val="000000" w:themeColor="text1"/>
                <w:sz w:val="20"/>
                <w:szCs w:val="20"/>
                <w:lang w:val="en-US" w:eastAsia="zh-CN"/>
                <w14:textFill>
                  <w14:solidFill>
                    <w14:schemeClr w14:val="tx1"/>
                  </w14:solidFill>
                </w14:textFill>
              </w:rPr>
            </w:pPr>
            <w:r>
              <w:rPr>
                <w:rFonts w:hint="eastAsia" w:ascii="Times New Roman" w:hAnsi="Times New Roman" w:cs="Times New Roman" w:eastAsiaTheme="minorEastAsia"/>
                <w:b/>
                <w:bCs/>
                <w:color w:val="000000" w:themeColor="text1"/>
                <w:sz w:val="20"/>
                <w:szCs w:val="20"/>
                <w:lang w:val="en-US" w:eastAsia="zh-CN"/>
                <w14:textFill>
                  <w14:solidFill>
                    <w14:schemeClr w14:val="tx1"/>
                  </w14:solidFill>
                </w14:textFill>
              </w:rPr>
              <w:t>13245</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F381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b/>
                <w:bCs/>
                <w:color w:val="000000" w:themeColor="text1"/>
                <w:sz w:val="20"/>
                <w:szCs w:val="20"/>
                <w:lang w:val="en-US" w:eastAsia="zh-CN"/>
                <w14:textFill>
                  <w14:solidFill>
                    <w14:schemeClr w14:val="tx1"/>
                  </w14:solidFill>
                </w14:textFill>
              </w:rPr>
            </w:pPr>
            <w:r>
              <w:rPr>
                <w:rFonts w:hint="eastAsia" w:cs="Times New Roman" w:eastAsiaTheme="minorEastAsia"/>
                <w:b/>
                <w:bCs/>
                <w:color w:val="000000" w:themeColor="text1"/>
                <w:sz w:val="20"/>
                <w:szCs w:val="20"/>
                <w:lang w:val="en-US" w:eastAsia="zh-CN"/>
                <w14:textFill>
                  <w14:solidFill>
                    <w14:schemeClr w14:val="tx1"/>
                  </w14:solidFill>
                </w14:textFill>
              </w:rPr>
              <w:t>77373</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FDA9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b/>
                <w:bCs/>
                <w:color w:val="000000" w:themeColor="text1"/>
                <w:sz w:val="20"/>
                <w:szCs w:val="20"/>
                <w:lang w:val="en-US" w:eastAsia="zh-CN"/>
                <w14:textFill>
                  <w14:solidFill>
                    <w14:schemeClr w14:val="tx1"/>
                  </w14:solidFill>
                </w14:textFill>
              </w:rPr>
            </w:pPr>
            <w:r>
              <w:rPr>
                <w:rFonts w:hint="eastAsia" w:cs="Times New Roman" w:eastAsiaTheme="minorEastAsia"/>
                <w:b/>
                <w:bCs/>
                <w:color w:val="000000" w:themeColor="text1"/>
                <w:sz w:val="20"/>
                <w:szCs w:val="20"/>
                <w:lang w:val="en-US" w:eastAsia="zh-CN"/>
                <w14:textFill>
                  <w14:solidFill>
                    <w14:schemeClr w14:val="tx1"/>
                  </w14:solidFill>
                </w14:textFill>
              </w:rPr>
              <w:t>183</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894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b/>
                <w:bCs/>
                <w:color w:val="000000" w:themeColor="text1"/>
                <w:sz w:val="20"/>
                <w:szCs w:val="20"/>
                <w:lang w:val="en-US" w:eastAsia="zh-CN"/>
                <w14:textFill>
                  <w14:solidFill>
                    <w14:schemeClr w14:val="tx1"/>
                  </w14:solidFill>
                </w14:textFill>
              </w:rPr>
            </w:pPr>
            <w:r>
              <w:rPr>
                <w:rFonts w:hint="eastAsia" w:ascii="Times New Roman" w:hAnsi="Times New Roman" w:cs="Times New Roman" w:eastAsiaTheme="minorEastAsia"/>
                <w:b/>
                <w:bCs/>
                <w:color w:val="000000" w:themeColor="text1"/>
                <w:sz w:val="20"/>
                <w:szCs w:val="20"/>
                <w:lang w:val="en-US" w:eastAsia="zh-CN"/>
                <w14:textFill>
                  <w14:solidFill>
                    <w14:schemeClr w14:val="tx1"/>
                  </w14:solidFill>
                </w14:textFill>
              </w:rPr>
              <w:t>28581</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4069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b/>
                <w:bCs/>
                <w:color w:val="000000" w:themeColor="text1"/>
                <w:sz w:val="20"/>
                <w:szCs w:val="20"/>
                <w:lang w:val="en-US" w:eastAsia="zh-CN"/>
                <w14:textFill>
                  <w14:solidFill>
                    <w14:schemeClr w14:val="tx1"/>
                  </w14:solidFill>
                </w14:textFill>
              </w:rPr>
            </w:pPr>
            <w:r>
              <w:rPr>
                <w:rFonts w:hint="eastAsia" w:ascii="Times New Roman" w:hAnsi="Times New Roman" w:cs="Times New Roman" w:eastAsiaTheme="minorEastAsia"/>
                <w:b/>
                <w:bCs/>
                <w:color w:val="000000" w:themeColor="text1"/>
                <w:sz w:val="20"/>
                <w:szCs w:val="20"/>
                <w:lang w:val="en-US" w:eastAsia="zh-CN"/>
                <w14:textFill>
                  <w14:solidFill>
                    <w14:schemeClr w14:val="tx1"/>
                  </w14:solidFill>
                </w14:textFill>
              </w:rPr>
              <w:t>17376</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CAB1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b/>
                <w:bCs/>
                <w:color w:val="000000" w:themeColor="text1"/>
                <w:sz w:val="20"/>
                <w:szCs w:val="20"/>
                <w:lang w:val="en-US" w:eastAsia="zh-CN"/>
                <w14:textFill>
                  <w14:solidFill>
                    <w14:schemeClr w14:val="tx1"/>
                  </w14:solidFill>
                </w14:textFill>
              </w:rPr>
            </w:pPr>
            <w:r>
              <w:rPr>
                <w:rFonts w:hint="eastAsia" w:ascii="Times New Roman" w:hAnsi="Times New Roman" w:cs="Times New Roman" w:eastAsiaTheme="minorEastAsia"/>
                <w:b/>
                <w:bCs/>
                <w:color w:val="000000" w:themeColor="text1"/>
                <w:sz w:val="20"/>
                <w:szCs w:val="20"/>
                <w:lang w:val="en-US" w:eastAsia="zh-CN"/>
                <w14:textFill>
                  <w14:solidFill>
                    <w14:schemeClr w14:val="tx1"/>
                  </w14:solidFill>
                </w14:textFill>
              </w:rPr>
              <w:t>596</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713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b/>
                <w:bCs/>
                <w:color w:val="000000" w:themeColor="text1"/>
                <w:sz w:val="20"/>
                <w:szCs w:val="20"/>
                <w:lang w:val="en-US" w:eastAsia="zh-CN"/>
                <w14:textFill>
                  <w14:solidFill>
                    <w14:schemeClr w14:val="tx1"/>
                  </w14:solidFill>
                </w14:textFill>
              </w:rPr>
            </w:pPr>
            <w:r>
              <w:rPr>
                <w:rFonts w:hint="eastAsia" w:cs="Times New Roman" w:eastAsiaTheme="minorEastAsia"/>
                <w:b/>
                <w:bCs/>
                <w:color w:val="000000" w:themeColor="text1"/>
                <w:sz w:val="20"/>
                <w:szCs w:val="20"/>
                <w:lang w:val="en-US" w:eastAsia="zh-CN"/>
                <w14:textFill>
                  <w14:solidFill>
                    <w14:schemeClr w14:val="tx1"/>
                  </w14:solidFill>
                </w14:textFill>
              </w:rPr>
              <w:t>8.7871</w:t>
            </w:r>
          </w:p>
        </w:tc>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4913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eastAsiaTheme="minorEastAsia"/>
                <w:b/>
                <w:bCs/>
                <w:color w:val="000000" w:themeColor="text1"/>
                <w:sz w:val="20"/>
                <w:szCs w:val="20"/>
                <w:lang w:val="en-US" w:eastAsia="zh-CN"/>
                <w14:textFill>
                  <w14:solidFill>
                    <w14:schemeClr w14:val="tx1"/>
                  </w14:solidFill>
                </w14:textFill>
              </w:rPr>
            </w:pPr>
            <w:r>
              <w:rPr>
                <w:rFonts w:hint="eastAsia" w:cs="Times New Roman" w:eastAsiaTheme="minorEastAsia"/>
                <w:b/>
                <w:bCs/>
                <w:color w:val="000000" w:themeColor="text1"/>
                <w:sz w:val="20"/>
                <w:szCs w:val="20"/>
                <w:lang w:val="en-US" w:eastAsia="zh-CN"/>
                <w14:textFill>
                  <w14:solidFill>
                    <w14:schemeClr w14:val="tx1"/>
                  </w14:solidFill>
                </w14:textFill>
              </w:rPr>
              <w:t>926</w:t>
            </w:r>
          </w:p>
        </w:tc>
      </w:tr>
    </w:tbl>
    <w:p w14:paraId="68AFB82F">
      <w:pPr>
        <w:rPr>
          <w:rFonts w:ascii="宋体" w:hAnsi="宋体" w:cs="宋体"/>
          <w:b/>
          <w:bCs/>
          <w:color w:val="000000" w:themeColor="text1"/>
          <w:sz w:val="24"/>
          <w:szCs w:val="24"/>
          <w14:textFill>
            <w14:solidFill>
              <w14:schemeClr w14:val="tx1"/>
            </w14:solidFill>
          </w14:textFill>
        </w:rPr>
      </w:pPr>
      <w:r>
        <w:rPr>
          <w:rFonts w:ascii="宋体" w:hAnsi="宋体" w:cs="宋体"/>
          <w:b/>
          <w:bCs/>
          <w:color w:val="000000" w:themeColor="text1"/>
          <w:sz w:val="24"/>
          <w:szCs w:val="24"/>
          <w14:textFill>
            <w14:solidFill>
              <w14:schemeClr w14:val="tx1"/>
            </w14:solidFill>
          </w14:textFill>
        </w:rPr>
        <w:br w:type="page"/>
      </w:r>
    </w:p>
    <w:p w14:paraId="75193A9F">
      <w:pPr>
        <w:pStyle w:val="2"/>
        <w:spacing w:line="360" w:lineRule="auto"/>
        <w:jc w:val="center"/>
        <w:rPr>
          <w:rFonts w:ascii="黑体" w:hAnsi="黑体" w:eastAsia="黑体" w:cs="黑体"/>
          <w:bCs/>
          <w:color w:val="000000" w:themeColor="text1"/>
          <w14:textFill>
            <w14:solidFill>
              <w14:schemeClr w14:val="tx1"/>
            </w14:solidFill>
          </w14:textFill>
        </w:rPr>
      </w:pPr>
      <w:bookmarkStart w:id="64" w:name="_Toc16076"/>
      <w:r>
        <w:rPr>
          <w:rFonts w:hint="eastAsia" w:ascii="黑体" w:hAnsi="黑体" w:eastAsia="黑体" w:cs="黑体"/>
          <w:bCs/>
          <w:color w:val="000000" w:themeColor="text1"/>
          <w14:textFill>
            <w14:solidFill>
              <w14:schemeClr w14:val="tx1"/>
            </w14:solidFill>
          </w14:textFill>
        </w:rPr>
        <w:t>五章  监测与管护</w:t>
      </w:r>
      <w:bookmarkEnd w:id="64"/>
    </w:p>
    <w:p w14:paraId="63EAD9AD">
      <w:pPr>
        <w:pStyle w:val="3"/>
        <w:spacing w:before="0" w:beforeLines="0"/>
        <w:jc w:val="center"/>
        <w:rPr>
          <w:color w:val="000000" w:themeColor="text1"/>
          <w14:textFill>
            <w14:solidFill>
              <w14:schemeClr w14:val="tx1"/>
            </w14:solidFill>
          </w14:textFill>
        </w:rPr>
      </w:pPr>
      <w:bookmarkStart w:id="65" w:name="_Toc3557"/>
      <w:r>
        <w:rPr>
          <w:rFonts w:hint="eastAsia"/>
          <w:color w:val="000000" w:themeColor="text1"/>
          <w:lang w:val="en-US" w:eastAsia="zh-CN"/>
          <w14:textFill>
            <w14:solidFill>
              <w14:schemeClr w14:val="tx1"/>
            </w14:solidFill>
          </w14:textFill>
        </w:rPr>
        <w:t xml:space="preserve">第一节  </w:t>
      </w:r>
      <w:r>
        <w:rPr>
          <w:rFonts w:hint="eastAsia"/>
          <w:color w:val="000000" w:themeColor="text1"/>
          <w14:textFill>
            <w14:solidFill>
              <w14:schemeClr w14:val="tx1"/>
            </w14:solidFill>
          </w14:textFill>
        </w:rPr>
        <w:t>监测目标与措施</w:t>
      </w:r>
      <w:bookmarkEnd w:id="65"/>
    </w:p>
    <w:p w14:paraId="439C416D">
      <w:pPr>
        <w:pStyle w:val="5"/>
        <w:bidi w:val="0"/>
        <w:spacing w:line="360" w:lineRule="auto"/>
        <w:ind w:firstLine="562" w:firstLineChars="200"/>
        <w:rPr>
          <w:rFonts w:hint="eastAsia" w:hAnsi="Times New Roman" w:cs="Times New Roman"/>
          <w:b/>
          <w:bCs/>
          <w:color w:val="000000" w:themeColor="text1"/>
          <w:sz w:val="28"/>
          <w:szCs w:val="24"/>
          <w:lang w:val="en-US" w:eastAsia="zh-CN"/>
          <w14:textFill>
            <w14:solidFill>
              <w14:schemeClr w14:val="tx1"/>
            </w14:solidFill>
          </w14:textFill>
        </w:rPr>
      </w:pPr>
      <w:r>
        <w:rPr>
          <w:rFonts w:hint="eastAsia" w:hAnsi="Times New Roman" w:cs="Times New Roman"/>
          <w:b/>
          <w:bCs/>
          <w:color w:val="000000" w:themeColor="text1"/>
          <w:sz w:val="28"/>
          <w:szCs w:val="24"/>
          <w:lang w:val="en-US" w:eastAsia="zh-CN"/>
          <w14:textFill>
            <w14:solidFill>
              <w14:schemeClr w14:val="tx1"/>
            </w14:solidFill>
          </w14:textFill>
        </w:rPr>
        <w:t>一、监测目标任务</w:t>
      </w:r>
    </w:p>
    <w:p w14:paraId="58903364">
      <w:pPr>
        <w:spacing w:line="360" w:lineRule="auto"/>
        <w:ind w:firstLine="560" w:firstLineChars="200"/>
        <w:rPr>
          <w:rFonts w:hint="default" w:ascii="Times New Roman" w:hAnsi="Times New Roman" w:cs="Times New Roman"/>
          <w:b w:val="0"/>
          <w:bCs w:val="0"/>
          <w:color w:val="000000" w:themeColor="text1"/>
          <w:sz w:val="28"/>
          <w:szCs w:val="28"/>
          <w14:textFill>
            <w14:solidFill>
              <w14:schemeClr w14:val="tx1"/>
            </w14:solidFill>
          </w14:textFill>
        </w:rPr>
      </w:pPr>
      <w:r>
        <w:rPr>
          <w:rFonts w:hint="default" w:ascii="Times New Roman" w:hAnsi="Times New Roman" w:cs="Times New Roman"/>
          <w:b w:val="0"/>
          <w:bCs w:val="0"/>
          <w:color w:val="000000" w:themeColor="text1"/>
          <w:sz w:val="28"/>
          <w:szCs w:val="28"/>
          <w14:textFill>
            <w14:solidFill>
              <w14:schemeClr w14:val="tx1"/>
            </w14:solidFill>
          </w14:textFill>
        </w:rPr>
        <w:t>在矿产资源开采过程中，对矿山地质环境、土地资源、生态系统破坏等开展监测评价，为矿山土地复垦与生态修复的过程监管、适应性管理和验收提供科学依据。</w:t>
      </w:r>
    </w:p>
    <w:p w14:paraId="43AD9BB0">
      <w:pPr>
        <w:spacing w:line="360" w:lineRule="auto"/>
        <w:ind w:firstLine="562" w:firstLineChars="200"/>
        <w:rPr>
          <w:rFonts w:hint="default" w:ascii="Times New Roman" w:hAnsi="Times New Roman" w:cs="Times New Roman"/>
          <w:b/>
          <w:bCs/>
          <w:color w:val="000000" w:themeColor="text1"/>
          <w:sz w:val="28"/>
          <w:szCs w:val="28"/>
          <w14:textFill>
            <w14:solidFill>
              <w14:schemeClr w14:val="tx1"/>
            </w14:solidFill>
          </w14:textFill>
        </w:rPr>
      </w:pPr>
      <w:r>
        <w:rPr>
          <w:rFonts w:hint="default" w:ascii="Times New Roman" w:hAnsi="Times New Roman" w:cs="Times New Roman"/>
          <w:b/>
          <w:bCs/>
          <w:color w:val="000000" w:themeColor="text1"/>
          <w:sz w:val="28"/>
          <w:szCs w:val="28"/>
          <w14:textFill>
            <w14:solidFill>
              <w14:schemeClr w14:val="tx1"/>
            </w14:solidFill>
          </w14:textFill>
        </w:rPr>
        <w:t>（一）监测目标</w:t>
      </w:r>
    </w:p>
    <w:p w14:paraId="7D20893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保障工程安全与质量：确保修复工程实施过程符合设计要求、技术规范和安全标准，及时发现和消除工程安全隐患，保障施工人员及周边环境安全。</w:t>
      </w:r>
    </w:p>
    <w:p w14:paraId="4FD6452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掌握动态变化与评估效果：实时、动态掌握修复区及周边关键环境要素（地质环境、土地资源、生态系统）的变化趋势，科学、客观地评估各项生态修复措施的实施效果、稳定性及可持续性。</w:t>
      </w:r>
    </w:p>
    <w:p w14:paraId="2587AA2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验证修复目标达成度：通过系统监测数据，验证修复工程是否达到了预定的修复目标（如：边坡稳定、土壤污染物达标、植被覆盖度/生物量目标、生物多样性恢复水平等），为最终工程验收提供量化依据。</w:t>
      </w:r>
    </w:p>
    <w:p w14:paraId="4B012D3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识别风险与预警防控：及时识别修复过程中及修复后可能出现的环境风险（如：地质灾害复发、土壤污染物迁移扩散、植被退化、水环境污染等），建立预警机制，为采取有效防控和调整措施提供决策支持。</w:t>
      </w:r>
    </w:p>
    <w:p w14:paraId="7A12488B">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优化管理与指导决策：为修复工程的动态管理、后期养护措施的调整优化以及后续类似项目的规划设计提供科学依据和数据支撑。</w:t>
      </w:r>
    </w:p>
    <w:p w14:paraId="5C42C61C">
      <w:pPr>
        <w:spacing w:line="360" w:lineRule="auto"/>
        <w:ind w:firstLine="562" w:firstLineChars="200"/>
        <w:rPr>
          <w:rFonts w:hint="eastAsia" w:ascii="Times New Roman" w:hAnsi="Times New Roman" w:eastAsia="宋体" w:cs="Times New Roman"/>
          <w:b/>
          <w:bCs/>
          <w:color w:val="000000" w:themeColor="text1"/>
          <w:sz w:val="28"/>
          <w:szCs w:val="28"/>
          <w:lang w:eastAsia="zh-CN"/>
          <w14:textFill>
            <w14:solidFill>
              <w14:schemeClr w14:val="tx1"/>
            </w14:solidFill>
          </w14:textFill>
        </w:rPr>
      </w:pPr>
      <w:r>
        <w:rPr>
          <w:rFonts w:hint="default" w:ascii="Times New Roman" w:hAnsi="Times New Roman" w:cs="Times New Roman"/>
          <w:b/>
          <w:bCs/>
          <w:color w:val="000000" w:themeColor="text1"/>
          <w:sz w:val="28"/>
          <w:szCs w:val="28"/>
          <w14:textFill>
            <w14:solidFill>
              <w14:schemeClr w14:val="tx1"/>
            </w14:solidFill>
          </w14:textFill>
        </w:rPr>
        <w:t>（二）</w:t>
      </w:r>
      <w:r>
        <w:rPr>
          <w:rFonts w:hint="eastAsia" w:cs="Times New Roman"/>
          <w:b/>
          <w:bCs/>
          <w:color w:val="000000" w:themeColor="text1"/>
          <w:sz w:val="28"/>
          <w:szCs w:val="28"/>
          <w:lang w:val="en-US" w:eastAsia="zh-CN"/>
          <w14:textFill>
            <w14:solidFill>
              <w14:schemeClr w14:val="tx1"/>
            </w14:solidFill>
          </w14:textFill>
        </w:rPr>
        <w:t>监测任务</w:t>
      </w:r>
    </w:p>
    <w:p w14:paraId="13F2A862">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bookmarkStart w:id="66" w:name="_Toc37947577"/>
      <w:r>
        <w:rPr>
          <w:rFonts w:hint="default" w:ascii="Times New Roman" w:hAnsi="Times New Roman" w:cs="Times New Roman"/>
          <w:color w:val="000000" w:themeColor="text1"/>
          <w:sz w:val="28"/>
          <w:szCs w:val="28"/>
          <w14:textFill>
            <w14:solidFill>
              <w14:schemeClr w14:val="tx1"/>
            </w14:solidFill>
          </w14:textFill>
        </w:rPr>
        <w:t>1、确定监测因子，编制监测方案，布设监测网点，定期采集数据，及时掌握生态环境问题在时间和空间上的变化情况；</w:t>
      </w:r>
    </w:p>
    <w:p w14:paraId="27A2800B">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2、查明周边地下水环境和土壤环境背景，开展水环境监测、土壤环境监测；</w:t>
      </w:r>
    </w:p>
    <w:p w14:paraId="35398F35">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3、查清矿区范围内土地利用现状、基本农田基本情况，各土地利用类型质量及生产力水平；</w:t>
      </w:r>
    </w:p>
    <w:p w14:paraId="44E9B545">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4、查清监测范围内植被生态状况；</w:t>
      </w:r>
    </w:p>
    <w:p w14:paraId="44669F55">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5、获取矿山地质环境背景、土地资源现状和生态系统本底的基值和参照值，建设参照生态系统。</w:t>
      </w:r>
    </w:p>
    <w:p w14:paraId="218F9310">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6、评价矿山生态环境现状，预测发展趋势；</w:t>
      </w:r>
    </w:p>
    <w:p w14:paraId="64089634">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7、建立和完善矿山生态环境监测数据库及监测信息系统。</w:t>
      </w:r>
    </w:p>
    <w:p w14:paraId="38FCC4BB">
      <w:pPr>
        <w:pStyle w:val="5"/>
        <w:bidi w:val="0"/>
        <w:spacing w:line="360" w:lineRule="auto"/>
        <w:ind w:firstLine="562" w:firstLineChars="200"/>
        <w:rPr>
          <w:rFonts w:hint="default" w:hAnsi="Times New Roman" w:cs="Times New Roman"/>
          <w:b/>
          <w:bCs/>
          <w:color w:val="000000" w:themeColor="text1"/>
          <w:sz w:val="28"/>
          <w:szCs w:val="24"/>
          <w:lang w:val="en-US" w:eastAsia="zh-CN"/>
          <w14:textFill>
            <w14:solidFill>
              <w14:schemeClr w14:val="tx1"/>
            </w14:solidFill>
          </w14:textFill>
        </w:rPr>
      </w:pPr>
      <w:r>
        <w:rPr>
          <w:rFonts w:hint="default" w:hAnsi="Times New Roman" w:cs="Times New Roman"/>
          <w:b/>
          <w:bCs/>
          <w:color w:val="000000" w:themeColor="text1"/>
          <w:sz w:val="28"/>
          <w:szCs w:val="24"/>
          <w:lang w:val="en-US" w:eastAsia="zh-CN"/>
          <w14:textFill>
            <w14:solidFill>
              <w14:schemeClr w14:val="tx1"/>
            </w14:solidFill>
          </w14:textFill>
        </w:rPr>
        <w:t>二、</w:t>
      </w:r>
      <w:r>
        <w:rPr>
          <w:rFonts w:hint="eastAsia" w:hAnsi="Times New Roman" w:cs="Times New Roman"/>
          <w:b/>
          <w:bCs/>
          <w:color w:val="000000" w:themeColor="text1"/>
          <w:sz w:val="28"/>
          <w:szCs w:val="24"/>
          <w:lang w:val="en-US" w:eastAsia="zh-CN"/>
          <w14:textFill>
            <w14:solidFill>
              <w14:schemeClr w14:val="tx1"/>
            </w14:solidFill>
          </w14:textFill>
        </w:rPr>
        <w:t>矿山地质环境</w:t>
      </w:r>
      <w:r>
        <w:rPr>
          <w:rFonts w:hint="default" w:hAnsi="Times New Roman" w:cs="Times New Roman"/>
          <w:b/>
          <w:bCs/>
          <w:color w:val="000000" w:themeColor="text1"/>
          <w:sz w:val="28"/>
          <w:szCs w:val="24"/>
          <w:lang w:val="en-US" w:eastAsia="zh-CN"/>
          <w14:textFill>
            <w14:solidFill>
              <w14:schemeClr w14:val="tx1"/>
            </w14:solidFill>
          </w14:textFill>
        </w:rPr>
        <w:t>监测</w:t>
      </w:r>
    </w:p>
    <w:bookmarkEnd w:id="66"/>
    <w:p w14:paraId="50E687E3">
      <w:pPr>
        <w:pStyle w:val="24"/>
        <w:keepNext w:val="0"/>
        <w:keepLines w:val="0"/>
        <w:pageBreakBefore w:val="0"/>
        <w:kinsoku/>
        <w:wordWrap/>
        <w:overflowPunct/>
        <w:topLinePunct w:val="0"/>
        <w:autoSpaceDE/>
        <w:autoSpaceDN/>
        <w:bidi w:val="0"/>
        <w:adjustRightInd/>
        <w:spacing w:after="0" w:line="360" w:lineRule="auto"/>
        <w:ind w:firstLine="560" w:firstLineChars="200"/>
        <w:jc w:val="left"/>
        <w:textAlignment w:val="auto"/>
        <w:outlineLvl w:val="4"/>
        <w:rPr>
          <w:rFonts w:hint="default" w:ascii="Times New Roman" w:hAnsi="Times New Roman" w:eastAsia="宋体" w:cs="Times New Roman"/>
          <w:b w:val="0"/>
          <w:bCs/>
          <w:color w:val="000000" w:themeColor="text1"/>
          <w:sz w:val="28"/>
          <w:szCs w:val="21"/>
          <w:highlight w:val="none"/>
          <w14:textFill>
            <w14:solidFill>
              <w14:schemeClr w14:val="tx1"/>
            </w14:solidFill>
          </w14:textFill>
        </w:rPr>
      </w:pPr>
      <w:r>
        <w:rPr>
          <w:rFonts w:hint="eastAsia" w:eastAsia="宋体" w:cs="Times New Roman"/>
          <w:b w:val="0"/>
          <w:bCs/>
          <w:color w:val="000000" w:themeColor="text1"/>
          <w:sz w:val="28"/>
          <w:szCs w:val="21"/>
          <w:highlight w:val="none"/>
          <w:lang w:val="en-US" w:eastAsia="zh-CN"/>
          <w14:textFill>
            <w14:solidFill>
              <w14:schemeClr w14:val="tx1"/>
            </w14:solidFill>
          </w14:textFill>
        </w:rPr>
        <w:t>1</w:t>
      </w:r>
      <w:r>
        <w:rPr>
          <w:rFonts w:hint="eastAsia" w:ascii="Times New Roman" w:hAnsi="Times New Roman" w:cs="Times New Roman"/>
          <w:b w:val="0"/>
          <w:bCs/>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b w:val="0"/>
          <w:bCs/>
          <w:color w:val="000000" w:themeColor="text1"/>
          <w:sz w:val="28"/>
          <w:szCs w:val="21"/>
          <w:highlight w:val="none"/>
          <w:lang w:eastAsia="zh-CN"/>
          <w14:textFill>
            <w14:solidFill>
              <w14:schemeClr w14:val="tx1"/>
            </w14:solidFill>
          </w14:textFill>
        </w:rPr>
        <w:t>危岩体</w:t>
      </w:r>
      <w:r>
        <w:rPr>
          <w:rFonts w:hint="default" w:ascii="Times New Roman" w:hAnsi="Times New Roman" w:eastAsia="宋体" w:cs="Times New Roman"/>
          <w:b w:val="0"/>
          <w:bCs/>
          <w:color w:val="000000" w:themeColor="text1"/>
          <w:sz w:val="28"/>
          <w:szCs w:val="21"/>
          <w:highlight w:val="none"/>
          <w14:textFill>
            <w14:solidFill>
              <w14:schemeClr w14:val="tx1"/>
            </w14:solidFill>
          </w14:textFill>
        </w:rPr>
        <w:t>崩塌监测</w:t>
      </w:r>
    </w:p>
    <w:p w14:paraId="4DBBC9E2">
      <w:pPr>
        <w:keepNext w:val="0"/>
        <w:keepLines w:val="0"/>
        <w:pageBreakBefore w:val="0"/>
        <w:kinsoku/>
        <w:wordWrap/>
        <w:overflowPunct/>
        <w:topLinePunct w:val="0"/>
        <w:autoSpaceDE/>
        <w:autoSpaceDN/>
        <w:bidi w:val="0"/>
        <w:adjustRightInd/>
        <w:spacing w:after="0" w:line="360" w:lineRule="auto"/>
        <w:ind w:firstLine="560" w:firstLineChars="200"/>
        <w:contextualSpacing/>
        <w:jc w:val="left"/>
        <w:textAlignment w:val="auto"/>
        <w:rPr>
          <w:rFonts w:hint="default" w:ascii="Times New Roman" w:hAnsi="Times New Roman" w:eastAsia="宋体" w:cs="Times New Roman"/>
          <w:b w:val="0"/>
          <w:bCs w:val="0"/>
          <w:color w:val="000000" w:themeColor="text1"/>
          <w:sz w:val="28"/>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1"/>
          <w:highlight w:val="none"/>
          <w14:textFill>
            <w14:solidFill>
              <w14:schemeClr w14:val="tx1"/>
            </w14:solidFill>
          </w14:textFill>
        </w:rPr>
        <w:t>监测点布设</w:t>
      </w:r>
    </w:p>
    <w:p w14:paraId="53D11E6F">
      <w:pPr>
        <w:keepNext w:val="0"/>
        <w:keepLines w:val="0"/>
        <w:pageBreakBefore w:val="0"/>
        <w:widowControl/>
        <w:kinsoku/>
        <w:wordWrap/>
        <w:overflowPunct/>
        <w:topLinePunct w:val="0"/>
        <w:autoSpaceDE/>
        <w:autoSpaceDN/>
        <w:bidi w:val="0"/>
        <w:adjustRightInd/>
        <w:snapToGrid/>
        <w:spacing w:after="0" w:line="360" w:lineRule="auto"/>
        <w:ind w:left="0" w:right="0" w:firstLine="560" w:firstLineChars="200"/>
        <w:jc w:val="left"/>
        <w:textAlignment w:val="auto"/>
        <w:rPr>
          <w:rFonts w:hint="default"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t>在露天采场建立采场边坡岩移观测点，采用人工肉眼巡视监测和设备（RTK、全站仪）监测相结合方法，由矿方确定2名专业监测人员，定时对采场边坡变化情况进行测量、记录、分析、总结、汇报，实时监测边坡变化情况。按岩层及地表移动观测规程要求，对受采动影响的地表移动变形情况监测，采场崩塌地质灾害监测点见表5-</w:t>
      </w:r>
      <w:r>
        <w:rPr>
          <w:rFonts w:hint="eastAsia" w:cs="Times New Roman"/>
          <w:b w:val="0"/>
          <w:bCs w:val="0"/>
          <w:color w:val="000000" w:themeColor="text1"/>
          <w:sz w:val="28"/>
          <w:szCs w:val="28"/>
          <w:highlight w:val="none"/>
          <w:lang w:val="en-US" w:eastAsia="zh-CN" w:bidi="ar-SA"/>
          <w14:textFill>
            <w14:solidFill>
              <w14:schemeClr w14:val="tx1"/>
            </w14:solidFill>
          </w14:textFill>
        </w:rPr>
        <w:t>1</w:t>
      </w:r>
      <w:r>
        <w:rPr>
          <w:rFonts w:hint="default"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t>。</w:t>
      </w:r>
    </w:p>
    <w:p w14:paraId="7327E9B5">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hint="default" w:ascii="黑体" w:hAnsi="黑体" w:eastAsia="黑体" w:cs="黑体"/>
          <w:b w:val="0"/>
          <w:bCs w:val="0"/>
          <w:color w:val="000000" w:themeColor="text1"/>
          <w:sz w:val="24"/>
          <w:highlight w:val="none"/>
          <w14:textFill>
            <w14:solidFill>
              <w14:schemeClr w14:val="tx1"/>
            </w14:solidFill>
          </w14:textFill>
        </w:rPr>
      </w:pPr>
      <w:r>
        <w:rPr>
          <w:rFonts w:hint="default" w:ascii="黑体" w:hAnsi="黑体" w:eastAsia="黑体" w:cs="黑体"/>
          <w:b w:val="0"/>
          <w:bCs w:val="0"/>
          <w:color w:val="000000" w:themeColor="text1"/>
          <w:sz w:val="24"/>
          <w:highlight w:val="none"/>
          <w14:textFill>
            <w14:solidFill>
              <w14:schemeClr w14:val="tx1"/>
            </w14:solidFill>
          </w14:textFill>
        </w:rPr>
        <w:t>表</w:t>
      </w:r>
      <w:r>
        <w:rPr>
          <w:rFonts w:hint="default" w:ascii="黑体" w:hAnsi="黑体" w:eastAsia="黑体" w:cs="黑体"/>
          <w:b w:val="0"/>
          <w:bCs w:val="0"/>
          <w:color w:val="000000" w:themeColor="text1"/>
          <w:sz w:val="24"/>
          <w:highlight w:val="none"/>
          <w:lang w:val="en-US" w:eastAsia="zh-CN"/>
          <w14:textFill>
            <w14:solidFill>
              <w14:schemeClr w14:val="tx1"/>
            </w14:solidFill>
          </w14:textFill>
        </w:rPr>
        <w:t>5-</w:t>
      </w:r>
      <w:r>
        <w:rPr>
          <w:rFonts w:hint="eastAsia" w:ascii="黑体" w:hAnsi="黑体" w:eastAsia="黑体" w:cs="黑体"/>
          <w:b w:val="0"/>
          <w:bCs w:val="0"/>
          <w:color w:val="000000" w:themeColor="text1"/>
          <w:sz w:val="24"/>
          <w:highlight w:val="none"/>
          <w:lang w:val="en-US" w:eastAsia="zh-CN"/>
          <w14:textFill>
            <w14:solidFill>
              <w14:schemeClr w14:val="tx1"/>
            </w14:solidFill>
          </w14:textFill>
        </w:rPr>
        <w:t>1</w:t>
      </w:r>
      <w:r>
        <w:rPr>
          <w:rFonts w:hint="default" w:ascii="黑体" w:hAnsi="黑体" w:eastAsia="黑体" w:cs="黑体"/>
          <w:b w:val="0"/>
          <w:bCs w:val="0"/>
          <w:color w:val="000000" w:themeColor="text1"/>
          <w:sz w:val="24"/>
          <w:highlight w:val="none"/>
          <w14:textFill>
            <w14:solidFill>
              <w14:schemeClr w14:val="tx1"/>
            </w14:solidFill>
          </w14:textFill>
        </w:rPr>
        <w:t xml:space="preserve">  崩塌地质灾害监测点坐标表</w:t>
      </w:r>
    </w:p>
    <w:tbl>
      <w:tblPr>
        <w:tblStyle w:val="30"/>
        <w:tblW w:w="52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1"/>
        <w:gridCol w:w="960"/>
        <w:gridCol w:w="1410"/>
        <w:gridCol w:w="1530"/>
        <w:gridCol w:w="960"/>
        <w:gridCol w:w="1425"/>
        <w:gridCol w:w="1485"/>
      </w:tblGrid>
      <w:tr w14:paraId="49619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7"/>
            <w:noWrap w:val="0"/>
            <w:vAlign w:val="center"/>
          </w:tcPr>
          <w:p w14:paraId="25BB386D">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14:textFill>
                  <w14:solidFill>
                    <w14:schemeClr w14:val="tx1"/>
                  </w14:solidFill>
                </w14:textFill>
              </w:rPr>
            </w:pPr>
            <w:r>
              <w:rPr>
                <w:rFonts w:hint="default" w:ascii="Times New Roman" w:hAnsi="Times New Roman" w:eastAsia="宋体" w:cs="Times New Roman"/>
                <w:color w:val="000000" w:themeColor="text1"/>
                <w:sz w:val="20"/>
                <w:szCs w:val="20"/>
                <w:highlight w:val="none"/>
                <w14:textFill>
                  <w14:solidFill>
                    <w14:schemeClr w14:val="tx1"/>
                  </w14:solidFill>
                </w14:textFill>
              </w:rPr>
              <w:t>2000国家大地坐标系</w:t>
            </w:r>
          </w:p>
        </w:tc>
      </w:tr>
      <w:tr w14:paraId="1B29F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5" w:type="pct"/>
            <w:noWrap w:val="0"/>
            <w:vAlign w:val="center"/>
          </w:tcPr>
          <w:p w14:paraId="0386ACDE">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eastAsia="宋体" w:cs="Times New Roman"/>
                <w:color w:val="000000" w:themeColor="text1"/>
                <w:sz w:val="20"/>
                <w:szCs w:val="20"/>
                <w:highlight w:val="none"/>
                <w:lang w:val="en-US" w:eastAsia="zh-CN"/>
                <w14:textFill>
                  <w14:solidFill>
                    <w14:schemeClr w14:val="tx1"/>
                  </w14:solidFill>
                </w14:textFill>
              </w:rPr>
              <w:t>场地</w:t>
            </w:r>
          </w:p>
        </w:tc>
        <w:tc>
          <w:tcPr>
            <w:tcW w:w="540" w:type="pct"/>
            <w:noWrap w:val="0"/>
            <w:vAlign w:val="center"/>
          </w:tcPr>
          <w:p w14:paraId="5736D735">
            <w:pPr>
              <w:pStyle w:val="24"/>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000000" w:themeColor="text1"/>
                <w:sz w:val="20"/>
                <w:szCs w:val="20"/>
                <w:highlight w:val="none"/>
                <w14:textFill>
                  <w14:solidFill>
                    <w14:schemeClr w14:val="tx1"/>
                  </w14:solidFill>
                </w14:textFill>
              </w:rPr>
            </w:pPr>
            <w:r>
              <w:rPr>
                <w:rFonts w:hint="default" w:ascii="Times New Roman" w:hAnsi="Times New Roman" w:eastAsia="宋体" w:cs="Times New Roman"/>
                <w:color w:val="000000" w:themeColor="text1"/>
                <w:sz w:val="20"/>
                <w:szCs w:val="20"/>
                <w:highlight w:val="none"/>
                <w14:textFill>
                  <w14:solidFill>
                    <w14:schemeClr w14:val="tx1"/>
                  </w14:solidFill>
                </w14:textFill>
              </w:rPr>
              <w:t>监测点</w:t>
            </w:r>
          </w:p>
        </w:tc>
        <w:tc>
          <w:tcPr>
            <w:tcW w:w="793" w:type="pct"/>
            <w:noWrap w:val="0"/>
            <w:vAlign w:val="center"/>
          </w:tcPr>
          <w:p w14:paraId="6DB279A6">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14:textFill>
                  <w14:solidFill>
                    <w14:schemeClr w14:val="tx1"/>
                  </w14:solidFill>
                </w14:textFill>
              </w:rPr>
            </w:pPr>
            <w:r>
              <w:rPr>
                <w:rFonts w:hint="default" w:ascii="Times New Roman" w:hAnsi="Times New Roman" w:eastAsia="宋体" w:cs="Times New Roman"/>
                <w:color w:val="000000" w:themeColor="text1"/>
                <w:sz w:val="20"/>
                <w:szCs w:val="20"/>
                <w:highlight w:val="none"/>
                <w14:textFill>
                  <w14:solidFill>
                    <w14:schemeClr w14:val="tx1"/>
                  </w14:solidFill>
                </w14:textFill>
              </w:rPr>
              <w:t>X</w:t>
            </w:r>
          </w:p>
        </w:tc>
        <w:tc>
          <w:tcPr>
            <w:tcW w:w="861" w:type="pct"/>
            <w:noWrap w:val="0"/>
            <w:vAlign w:val="center"/>
          </w:tcPr>
          <w:p w14:paraId="22D1DC74">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14:textFill>
                  <w14:solidFill>
                    <w14:schemeClr w14:val="tx1"/>
                  </w14:solidFill>
                </w14:textFill>
              </w:rPr>
            </w:pPr>
            <w:r>
              <w:rPr>
                <w:rFonts w:hint="default" w:ascii="Times New Roman" w:hAnsi="Times New Roman" w:eastAsia="宋体" w:cs="Times New Roman"/>
                <w:color w:val="000000" w:themeColor="text1"/>
                <w:sz w:val="20"/>
                <w:szCs w:val="20"/>
                <w:highlight w:val="none"/>
                <w14:textFill>
                  <w14:solidFill>
                    <w14:schemeClr w14:val="tx1"/>
                  </w14:solidFill>
                </w14:textFill>
              </w:rPr>
              <w:t>Y</w:t>
            </w:r>
          </w:p>
        </w:tc>
        <w:tc>
          <w:tcPr>
            <w:tcW w:w="540" w:type="pct"/>
            <w:noWrap w:val="0"/>
            <w:vAlign w:val="center"/>
          </w:tcPr>
          <w:p w14:paraId="26992238">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14:textFill>
                  <w14:solidFill>
                    <w14:schemeClr w14:val="tx1"/>
                  </w14:solidFill>
                </w14:textFill>
              </w:rPr>
            </w:pPr>
            <w:r>
              <w:rPr>
                <w:rFonts w:hint="default" w:ascii="Times New Roman" w:hAnsi="Times New Roman" w:eastAsia="宋体" w:cs="Times New Roman"/>
                <w:color w:val="000000" w:themeColor="text1"/>
                <w:sz w:val="20"/>
                <w:szCs w:val="20"/>
                <w:highlight w:val="none"/>
                <w14:textFill>
                  <w14:solidFill>
                    <w14:schemeClr w14:val="tx1"/>
                  </w14:solidFill>
                </w14:textFill>
              </w:rPr>
              <w:t>监测点</w:t>
            </w:r>
          </w:p>
        </w:tc>
        <w:tc>
          <w:tcPr>
            <w:tcW w:w="802" w:type="pct"/>
            <w:noWrap w:val="0"/>
            <w:vAlign w:val="center"/>
          </w:tcPr>
          <w:p w14:paraId="66038EAE">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14:textFill>
                  <w14:solidFill>
                    <w14:schemeClr w14:val="tx1"/>
                  </w14:solidFill>
                </w14:textFill>
              </w:rPr>
            </w:pPr>
            <w:r>
              <w:rPr>
                <w:rFonts w:hint="default" w:ascii="Times New Roman" w:hAnsi="Times New Roman" w:eastAsia="宋体" w:cs="Times New Roman"/>
                <w:color w:val="000000" w:themeColor="text1"/>
                <w:sz w:val="20"/>
                <w:szCs w:val="20"/>
                <w:highlight w:val="none"/>
                <w14:textFill>
                  <w14:solidFill>
                    <w14:schemeClr w14:val="tx1"/>
                  </w14:solidFill>
                </w14:textFill>
              </w:rPr>
              <w:t>X</w:t>
            </w:r>
          </w:p>
        </w:tc>
        <w:tc>
          <w:tcPr>
            <w:tcW w:w="836" w:type="pct"/>
            <w:noWrap w:val="0"/>
            <w:vAlign w:val="center"/>
          </w:tcPr>
          <w:p w14:paraId="323DE8BD">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14:textFill>
                  <w14:solidFill>
                    <w14:schemeClr w14:val="tx1"/>
                  </w14:solidFill>
                </w14:textFill>
              </w:rPr>
            </w:pPr>
            <w:r>
              <w:rPr>
                <w:rFonts w:hint="default" w:ascii="Times New Roman" w:hAnsi="Times New Roman" w:eastAsia="宋体" w:cs="Times New Roman"/>
                <w:color w:val="000000" w:themeColor="text1"/>
                <w:sz w:val="20"/>
                <w:szCs w:val="20"/>
                <w:highlight w:val="none"/>
                <w14:textFill>
                  <w14:solidFill>
                    <w14:schemeClr w14:val="tx1"/>
                  </w14:solidFill>
                </w14:textFill>
              </w:rPr>
              <w:t>Y</w:t>
            </w:r>
          </w:p>
        </w:tc>
      </w:tr>
      <w:tr w14:paraId="66E09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5" w:type="pct"/>
            <w:vMerge w:val="restart"/>
            <w:noWrap w:val="0"/>
            <w:vAlign w:val="center"/>
          </w:tcPr>
          <w:p w14:paraId="440352C3">
            <w:pPr>
              <w:pStyle w:val="24"/>
              <w:keepNext w:val="0"/>
              <w:keepLines w:val="0"/>
              <w:suppressLineNumbers w:val="0"/>
              <w:spacing w:before="0" w:beforeAutospacing="0" w:after="0" w:afterAutospacing="0" w:line="240" w:lineRule="auto"/>
              <w:ind w:left="0" w:right="0"/>
              <w:jc w:val="center"/>
              <w:rPr>
                <w:rFonts w:hint="eastAsia" w:eastAsia="宋体" w:cs="Times New Roman"/>
                <w:color w:val="000000" w:themeColor="text1"/>
                <w:sz w:val="20"/>
                <w:szCs w:val="20"/>
                <w:highlight w:val="none"/>
                <w:lang w:val="en-US" w:eastAsia="zh-CN"/>
                <w14:textFill>
                  <w14:solidFill>
                    <w14:schemeClr w14:val="tx1"/>
                  </w14:solidFill>
                </w14:textFill>
              </w:rPr>
            </w:pPr>
            <w:r>
              <w:rPr>
                <w:rFonts w:hint="eastAsia" w:eastAsia="宋体" w:cs="Times New Roman"/>
                <w:color w:val="000000" w:themeColor="text1"/>
                <w:sz w:val="20"/>
                <w:szCs w:val="20"/>
                <w:highlight w:val="none"/>
                <w:lang w:val="en-US" w:eastAsia="zh-CN"/>
                <w14:textFill>
                  <w14:solidFill>
                    <w14:schemeClr w14:val="tx1"/>
                  </w14:solidFill>
                </w14:textFill>
              </w:rPr>
              <w:t>拟建</w:t>
            </w:r>
          </w:p>
          <w:p w14:paraId="50BA60C1">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eastAsia="宋体" w:cs="Times New Roman"/>
                <w:color w:val="000000" w:themeColor="text1"/>
                <w:sz w:val="20"/>
                <w:szCs w:val="20"/>
                <w:highlight w:val="none"/>
                <w:lang w:val="en-US" w:eastAsia="zh-CN"/>
                <w14:textFill>
                  <w14:solidFill>
                    <w14:schemeClr w14:val="tx1"/>
                  </w14:solidFill>
                </w14:textFill>
              </w:rPr>
              <w:t>露天采场1</w:t>
            </w:r>
          </w:p>
        </w:tc>
        <w:tc>
          <w:tcPr>
            <w:tcW w:w="540" w:type="pct"/>
            <w:noWrap w:val="0"/>
            <w:vAlign w:val="center"/>
          </w:tcPr>
          <w:p w14:paraId="3250555E">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JC1</w:t>
            </w:r>
          </w:p>
        </w:tc>
        <w:tc>
          <w:tcPr>
            <w:tcW w:w="793" w:type="pct"/>
            <w:noWrap w:val="0"/>
            <w:vAlign w:val="center"/>
          </w:tcPr>
          <w:p w14:paraId="64D84D03">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4707105.2021</w:t>
            </w:r>
          </w:p>
        </w:tc>
        <w:tc>
          <w:tcPr>
            <w:tcW w:w="861" w:type="pct"/>
            <w:noWrap w:val="0"/>
            <w:vAlign w:val="center"/>
          </w:tcPr>
          <w:p w14:paraId="72947476">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40453181.8229</w:t>
            </w:r>
          </w:p>
        </w:tc>
        <w:tc>
          <w:tcPr>
            <w:tcW w:w="540" w:type="pct"/>
            <w:noWrap w:val="0"/>
            <w:vAlign w:val="center"/>
          </w:tcPr>
          <w:p w14:paraId="67C92E1D">
            <w:pPr>
              <w:pStyle w:val="24"/>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JC4</w:t>
            </w:r>
          </w:p>
          <w:p w14:paraId="4602B501">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(基准点)</w:t>
            </w:r>
          </w:p>
        </w:tc>
        <w:tc>
          <w:tcPr>
            <w:tcW w:w="802" w:type="pct"/>
            <w:noWrap w:val="0"/>
            <w:vAlign w:val="center"/>
          </w:tcPr>
          <w:p w14:paraId="156064EE">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4707005.8888</w:t>
            </w:r>
          </w:p>
        </w:tc>
        <w:tc>
          <w:tcPr>
            <w:tcW w:w="836" w:type="pct"/>
            <w:noWrap w:val="0"/>
            <w:vAlign w:val="center"/>
          </w:tcPr>
          <w:p w14:paraId="391C9D13">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40453304.4790</w:t>
            </w:r>
          </w:p>
        </w:tc>
      </w:tr>
      <w:tr w14:paraId="28269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5" w:type="pct"/>
            <w:vMerge w:val="continue"/>
            <w:noWrap w:val="0"/>
            <w:vAlign w:val="center"/>
          </w:tcPr>
          <w:p w14:paraId="643FC422">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14:textFill>
                  <w14:solidFill>
                    <w14:schemeClr w14:val="tx1"/>
                  </w14:solidFill>
                </w14:textFill>
              </w:rPr>
            </w:pPr>
          </w:p>
        </w:tc>
        <w:tc>
          <w:tcPr>
            <w:tcW w:w="540" w:type="pct"/>
            <w:noWrap w:val="0"/>
            <w:vAlign w:val="center"/>
          </w:tcPr>
          <w:p w14:paraId="4AFD58F6">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JC2</w:t>
            </w:r>
          </w:p>
        </w:tc>
        <w:tc>
          <w:tcPr>
            <w:tcW w:w="793" w:type="pct"/>
            <w:noWrap w:val="0"/>
            <w:vAlign w:val="center"/>
          </w:tcPr>
          <w:p w14:paraId="28C3784E">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4707133.0209</w:t>
            </w:r>
          </w:p>
        </w:tc>
        <w:tc>
          <w:tcPr>
            <w:tcW w:w="861" w:type="pct"/>
            <w:noWrap w:val="0"/>
            <w:vAlign w:val="center"/>
          </w:tcPr>
          <w:p w14:paraId="43A10623">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40453283.0098</w:t>
            </w:r>
          </w:p>
        </w:tc>
        <w:tc>
          <w:tcPr>
            <w:tcW w:w="540" w:type="pct"/>
            <w:noWrap w:val="0"/>
            <w:vAlign w:val="center"/>
          </w:tcPr>
          <w:p w14:paraId="3E74F70A">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JC5</w:t>
            </w:r>
          </w:p>
        </w:tc>
        <w:tc>
          <w:tcPr>
            <w:tcW w:w="802" w:type="pct"/>
            <w:noWrap w:val="0"/>
            <w:vAlign w:val="center"/>
          </w:tcPr>
          <w:p w14:paraId="77DB41CF">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4706998.8182</w:t>
            </w:r>
          </w:p>
        </w:tc>
        <w:tc>
          <w:tcPr>
            <w:tcW w:w="836" w:type="pct"/>
            <w:noWrap w:val="0"/>
            <w:vAlign w:val="center"/>
          </w:tcPr>
          <w:p w14:paraId="4A50B968">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40453225.8438</w:t>
            </w:r>
          </w:p>
        </w:tc>
      </w:tr>
      <w:tr w14:paraId="08AA5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5" w:type="pct"/>
            <w:vMerge w:val="continue"/>
            <w:noWrap w:val="0"/>
            <w:vAlign w:val="center"/>
          </w:tcPr>
          <w:p w14:paraId="588AD9DD">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14:textFill>
                  <w14:solidFill>
                    <w14:schemeClr w14:val="tx1"/>
                  </w14:solidFill>
                </w14:textFill>
              </w:rPr>
            </w:pPr>
          </w:p>
        </w:tc>
        <w:tc>
          <w:tcPr>
            <w:tcW w:w="540" w:type="pct"/>
            <w:noWrap w:val="0"/>
            <w:vAlign w:val="center"/>
          </w:tcPr>
          <w:p w14:paraId="3931768E">
            <w:pPr>
              <w:pStyle w:val="24"/>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JC3</w:t>
            </w:r>
          </w:p>
          <w:p w14:paraId="1B7A48C2">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(基准点)</w:t>
            </w:r>
          </w:p>
        </w:tc>
        <w:tc>
          <w:tcPr>
            <w:tcW w:w="793" w:type="pct"/>
            <w:noWrap w:val="0"/>
            <w:vAlign w:val="center"/>
          </w:tcPr>
          <w:p w14:paraId="722E311E">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4707055.0202</w:t>
            </w:r>
          </w:p>
        </w:tc>
        <w:tc>
          <w:tcPr>
            <w:tcW w:w="861" w:type="pct"/>
            <w:noWrap w:val="0"/>
            <w:vAlign w:val="center"/>
          </w:tcPr>
          <w:p w14:paraId="3A602777">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40453383.9775</w:t>
            </w:r>
          </w:p>
        </w:tc>
        <w:tc>
          <w:tcPr>
            <w:tcW w:w="540" w:type="pct"/>
            <w:noWrap w:val="0"/>
            <w:vAlign w:val="center"/>
          </w:tcPr>
          <w:p w14:paraId="5C3BFAF7">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JC6</w:t>
            </w:r>
          </w:p>
        </w:tc>
        <w:tc>
          <w:tcPr>
            <w:tcW w:w="802" w:type="pct"/>
            <w:noWrap w:val="0"/>
            <w:vAlign w:val="center"/>
          </w:tcPr>
          <w:p w14:paraId="57E59BDB">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4707015.1249</w:t>
            </w:r>
          </w:p>
        </w:tc>
        <w:tc>
          <w:tcPr>
            <w:tcW w:w="836" w:type="pct"/>
            <w:noWrap w:val="0"/>
            <w:vAlign w:val="center"/>
          </w:tcPr>
          <w:p w14:paraId="4CE21B73">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40453180.5211</w:t>
            </w:r>
          </w:p>
        </w:tc>
      </w:tr>
      <w:tr w14:paraId="18EF4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5" w:type="pct"/>
            <w:vMerge w:val="restart"/>
            <w:noWrap w:val="0"/>
            <w:vAlign w:val="center"/>
          </w:tcPr>
          <w:p w14:paraId="245E51EB">
            <w:pPr>
              <w:pStyle w:val="24"/>
              <w:keepNext w:val="0"/>
              <w:keepLines w:val="0"/>
              <w:suppressLineNumbers w:val="0"/>
              <w:spacing w:before="0" w:beforeAutospacing="0" w:after="0" w:afterAutospacing="0" w:line="240" w:lineRule="auto"/>
              <w:ind w:left="0" w:right="0"/>
              <w:jc w:val="center"/>
              <w:rPr>
                <w:rFonts w:hint="eastAsia" w:eastAsia="宋体" w:cs="Times New Roman"/>
                <w:color w:val="000000" w:themeColor="text1"/>
                <w:sz w:val="20"/>
                <w:szCs w:val="20"/>
                <w:highlight w:val="none"/>
                <w:lang w:val="en-US" w:eastAsia="zh-CN"/>
                <w14:textFill>
                  <w14:solidFill>
                    <w14:schemeClr w14:val="tx1"/>
                  </w14:solidFill>
                </w14:textFill>
              </w:rPr>
            </w:pPr>
            <w:r>
              <w:rPr>
                <w:rFonts w:hint="eastAsia" w:eastAsia="宋体" w:cs="Times New Roman"/>
                <w:color w:val="000000" w:themeColor="text1"/>
                <w:sz w:val="20"/>
                <w:szCs w:val="20"/>
                <w:highlight w:val="none"/>
                <w:lang w:val="en-US" w:eastAsia="zh-CN"/>
                <w14:textFill>
                  <w14:solidFill>
                    <w14:schemeClr w14:val="tx1"/>
                  </w14:solidFill>
                </w14:textFill>
              </w:rPr>
              <w:t>拟建</w:t>
            </w:r>
          </w:p>
          <w:p w14:paraId="01ED96AC">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eastAsia="宋体" w:cs="Times New Roman"/>
                <w:color w:val="000000" w:themeColor="text1"/>
                <w:sz w:val="20"/>
                <w:szCs w:val="20"/>
                <w:highlight w:val="none"/>
                <w:lang w:val="en-US" w:eastAsia="zh-CN"/>
                <w14:textFill>
                  <w14:solidFill>
                    <w14:schemeClr w14:val="tx1"/>
                  </w14:solidFill>
                </w14:textFill>
              </w:rPr>
              <w:t>露天采场2</w:t>
            </w:r>
          </w:p>
        </w:tc>
        <w:tc>
          <w:tcPr>
            <w:tcW w:w="540" w:type="pct"/>
            <w:noWrap w:val="0"/>
            <w:vAlign w:val="center"/>
          </w:tcPr>
          <w:p w14:paraId="1765F5D7">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JC7</w:t>
            </w:r>
          </w:p>
        </w:tc>
        <w:tc>
          <w:tcPr>
            <w:tcW w:w="793" w:type="pct"/>
            <w:noWrap w:val="0"/>
            <w:vAlign w:val="center"/>
          </w:tcPr>
          <w:p w14:paraId="21DBD415">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4707068.0144</w:t>
            </w:r>
          </w:p>
        </w:tc>
        <w:tc>
          <w:tcPr>
            <w:tcW w:w="861" w:type="pct"/>
            <w:noWrap w:val="0"/>
            <w:vAlign w:val="center"/>
          </w:tcPr>
          <w:p w14:paraId="30471580">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40453044.6600</w:t>
            </w:r>
          </w:p>
        </w:tc>
        <w:tc>
          <w:tcPr>
            <w:tcW w:w="540" w:type="pct"/>
            <w:noWrap w:val="0"/>
            <w:vAlign w:val="center"/>
          </w:tcPr>
          <w:p w14:paraId="6BF96EA4">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JC12</w:t>
            </w:r>
          </w:p>
        </w:tc>
        <w:tc>
          <w:tcPr>
            <w:tcW w:w="802" w:type="pct"/>
            <w:noWrap w:val="0"/>
            <w:vAlign w:val="center"/>
          </w:tcPr>
          <w:p w14:paraId="27572FE0">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4706906.2613</w:t>
            </w:r>
          </w:p>
        </w:tc>
        <w:tc>
          <w:tcPr>
            <w:tcW w:w="836" w:type="pct"/>
            <w:noWrap w:val="0"/>
            <w:vAlign w:val="center"/>
          </w:tcPr>
          <w:p w14:paraId="426150D8">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40453005.9789</w:t>
            </w:r>
          </w:p>
        </w:tc>
      </w:tr>
      <w:tr w14:paraId="14068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5" w:type="pct"/>
            <w:vMerge w:val="continue"/>
            <w:noWrap w:val="0"/>
            <w:vAlign w:val="center"/>
          </w:tcPr>
          <w:p w14:paraId="65C2FE08">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14:textFill>
                  <w14:solidFill>
                    <w14:schemeClr w14:val="tx1"/>
                  </w14:solidFill>
                </w14:textFill>
              </w:rPr>
            </w:pPr>
          </w:p>
        </w:tc>
        <w:tc>
          <w:tcPr>
            <w:tcW w:w="540" w:type="pct"/>
            <w:noWrap w:val="0"/>
            <w:vAlign w:val="center"/>
          </w:tcPr>
          <w:p w14:paraId="3ED755D1">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JC8</w:t>
            </w:r>
          </w:p>
        </w:tc>
        <w:tc>
          <w:tcPr>
            <w:tcW w:w="793" w:type="pct"/>
            <w:noWrap w:val="0"/>
            <w:vAlign w:val="center"/>
          </w:tcPr>
          <w:p w14:paraId="33815C0E">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4707039.9394</w:t>
            </w:r>
          </w:p>
        </w:tc>
        <w:tc>
          <w:tcPr>
            <w:tcW w:w="861" w:type="pct"/>
            <w:noWrap w:val="0"/>
            <w:vAlign w:val="center"/>
          </w:tcPr>
          <w:p w14:paraId="4CC48715">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40453110.0222</w:t>
            </w:r>
          </w:p>
        </w:tc>
        <w:tc>
          <w:tcPr>
            <w:tcW w:w="540" w:type="pct"/>
            <w:noWrap w:val="0"/>
            <w:vAlign w:val="center"/>
          </w:tcPr>
          <w:p w14:paraId="4D94701A">
            <w:pPr>
              <w:pStyle w:val="24"/>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JC13</w:t>
            </w:r>
          </w:p>
          <w:p w14:paraId="4D974C4F">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(基准点)</w:t>
            </w:r>
          </w:p>
        </w:tc>
        <w:tc>
          <w:tcPr>
            <w:tcW w:w="802" w:type="pct"/>
            <w:noWrap w:val="0"/>
            <w:vAlign w:val="center"/>
          </w:tcPr>
          <w:p w14:paraId="40B3FA8B">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4706939.6352</w:t>
            </w:r>
          </w:p>
        </w:tc>
        <w:tc>
          <w:tcPr>
            <w:tcW w:w="836" w:type="pct"/>
            <w:noWrap w:val="0"/>
            <w:vAlign w:val="center"/>
          </w:tcPr>
          <w:p w14:paraId="74E56EBC">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40452955.6712</w:t>
            </w:r>
          </w:p>
        </w:tc>
      </w:tr>
      <w:tr w14:paraId="5A19C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5" w:type="pct"/>
            <w:vMerge w:val="continue"/>
            <w:noWrap w:val="0"/>
            <w:vAlign w:val="center"/>
          </w:tcPr>
          <w:p w14:paraId="79436E62">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14:textFill>
                  <w14:solidFill>
                    <w14:schemeClr w14:val="tx1"/>
                  </w14:solidFill>
                </w14:textFill>
              </w:rPr>
            </w:pPr>
          </w:p>
        </w:tc>
        <w:tc>
          <w:tcPr>
            <w:tcW w:w="540" w:type="pct"/>
            <w:noWrap w:val="0"/>
            <w:vAlign w:val="center"/>
          </w:tcPr>
          <w:p w14:paraId="1A1DBB8F">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JC9</w:t>
            </w:r>
          </w:p>
        </w:tc>
        <w:tc>
          <w:tcPr>
            <w:tcW w:w="793" w:type="pct"/>
            <w:noWrap w:val="0"/>
            <w:vAlign w:val="center"/>
          </w:tcPr>
          <w:p w14:paraId="78B8498F">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4706988.1761</w:t>
            </w:r>
          </w:p>
        </w:tc>
        <w:tc>
          <w:tcPr>
            <w:tcW w:w="861" w:type="pct"/>
            <w:noWrap w:val="0"/>
            <w:vAlign w:val="center"/>
          </w:tcPr>
          <w:p w14:paraId="21944C08">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40453163.9789</w:t>
            </w:r>
          </w:p>
        </w:tc>
        <w:tc>
          <w:tcPr>
            <w:tcW w:w="540" w:type="pct"/>
            <w:noWrap w:val="0"/>
            <w:vAlign w:val="center"/>
          </w:tcPr>
          <w:p w14:paraId="6CA53E79">
            <w:pPr>
              <w:pStyle w:val="24"/>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JC14</w:t>
            </w:r>
          </w:p>
          <w:p w14:paraId="28E74D23">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(基准点)</w:t>
            </w:r>
          </w:p>
        </w:tc>
        <w:tc>
          <w:tcPr>
            <w:tcW w:w="802" w:type="pct"/>
            <w:noWrap w:val="0"/>
            <w:vAlign w:val="center"/>
          </w:tcPr>
          <w:p w14:paraId="073111A8">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4707002.2923</w:t>
            </w:r>
          </w:p>
        </w:tc>
        <w:tc>
          <w:tcPr>
            <w:tcW w:w="836" w:type="pct"/>
            <w:noWrap w:val="0"/>
            <w:vAlign w:val="center"/>
          </w:tcPr>
          <w:p w14:paraId="60FA4D59">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40452894.8781</w:t>
            </w:r>
          </w:p>
        </w:tc>
      </w:tr>
      <w:tr w14:paraId="65568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5" w:type="pct"/>
            <w:vMerge w:val="continue"/>
            <w:noWrap w:val="0"/>
            <w:vAlign w:val="center"/>
          </w:tcPr>
          <w:p w14:paraId="5DAB2E16">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14:textFill>
                  <w14:solidFill>
                    <w14:schemeClr w14:val="tx1"/>
                  </w14:solidFill>
                </w14:textFill>
              </w:rPr>
            </w:pPr>
          </w:p>
        </w:tc>
        <w:tc>
          <w:tcPr>
            <w:tcW w:w="540" w:type="pct"/>
            <w:noWrap w:val="0"/>
            <w:vAlign w:val="center"/>
          </w:tcPr>
          <w:p w14:paraId="2AD73BDD">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JC10</w:t>
            </w:r>
          </w:p>
        </w:tc>
        <w:tc>
          <w:tcPr>
            <w:tcW w:w="793" w:type="pct"/>
            <w:noWrap w:val="0"/>
            <w:vAlign w:val="center"/>
          </w:tcPr>
          <w:p w14:paraId="6C873547">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4706958.8029</w:t>
            </w:r>
          </w:p>
        </w:tc>
        <w:tc>
          <w:tcPr>
            <w:tcW w:w="861" w:type="pct"/>
            <w:noWrap w:val="0"/>
            <w:vAlign w:val="center"/>
          </w:tcPr>
          <w:p w14:paraId="21922055">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40453131.5363</w:t>
            </w:r>
          </w:p>
        </w:tc>
        <w:tc>
          <w:tcPr>
            <w:tcW w:w="540" w:type="pct"/>
            <w:noWrap w:val="0"/>
            <w:vAlign w:val="center"/>
          </w:tcPr>
          <w:p w14:paraId="51848ADD">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JC15</w:t>
            </w:r>
          </w:p>
        </w:tc>
        <w:tc>
          <w:tcPr>
            <w:tcW w:w="802" w:type="pct"/>
            <w:noWrap w:val="0"/>
            <w:vAlign w:val="center"/>
          </w:tcPr>
          <w:p w14:paraId="106D4535">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4707014.0479</w:t>
            </w:r>
          </w:p>
        </w:tc>
        <w:tc>
          <w:tcPr>
            <w:tcW w:w="836" w:type="pct"/>
            <w:noWrap w:val="0"/>
            <w:vAlign w:val="center"/>
          </w:tcPr>
          <w:p w14:paraId="61FC6E09">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40452948.6105</w:t>
            </w:r>
          </w:p>
        </w:tc>
      </w:tr>
      <w:tr w14:paraId="4B5A1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5" w:type="pct"/>
            <w:vMerge w:val="continue"/>
            <w:noWrap w:val="0"/>
            <w:vAlign w:val="center"/>
          </w:tcPr>
          <w:p w14:paraId="1260E3F8">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p>
        </w:tc>
        <w:tc>
          <w:tcPr>
            <w:tcW w:w="540" w:type="pct"/>
            <w:noWrap w:val="0"/>
            <w:vAlign w:val="center"/>
          </w:tcPr>
          <w:p w14:paraId="695EAA25">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JC11</w:t>
            </w:r>
          </w:p>
        </w:tc>
        <w:tc>
          <w:tcPr>
            <w:tcW w:w="793" w:type="pct"/>
            <w:noWrap w:val="0"/>
            <w:vAlign w:val="center"/>
          </w:tcPr>
          <w:p w14:paraId="0C619B20">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4706924.6791</w:t>
            </w:r>
          </w:p>
        </w:tc>
        <w:tc>
          <w:tcPr>
            <w:tcW w:w="861" w:type="pct"/>
            <w:noWrap w:val="0"/>
            <w:vAlign w:val="center"/>
          </w:tcPr>
          <w:p w14:paraId="1E0B57C1">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40453075.8996</w:t>
            </w:r>
          </w:p>
        </w:tc>
        <w:tc>
          <w:tcPr>
            <w:tcW w:w="540" w:type="pct"/>
            <w:noWrap w:val="0"/>
            <w:vAlign w:val="center"/>
          </w:tcPr>
          <w:p w14:paraId="1D6A75BE">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JC16</w:t>
            </w:r>
          </w:p>
        </w:tc>
        <w:tc>
          <w:tcPr>
            <w:tcW w:w="802" w:type="pct"/>
            <w:noWrap w:val="0"/>
            <w:vAlign w:val="center"/>
          </w:tcPr>
          <w:p w14:paraId="063BD91A">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4707018.2803</w:t>
            </w:r>
          </w:p>
        </w:tc>
        <w:tc>
          <w:tcPr>
            <w:tcW w:w="836" w:type="pct"/>
            <w:noWrap w:val="0"/>
            <w:vAlign w:val="center"/>
          </w:tcPr>
          <w:p w14:paraId="150D4E5A">
            <w:pPr>
              <w:pStyle w:val="24"/>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0"/>
                <w:szCs w:val="20"/>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lang w:val="en-US" w:eastAsia="zh-CN"/>
                <w14:textFill>
                  <w14:solidFill>
                    <w14:schemeClr w14:val="tx1"/>
                  </w14:solidFill>
                </w14:textFill>
              </w:rPr>
              <w:t>40453019.8721</w:t>
            </w:r>
          </w:p>
        </w:tc>
      </w:tr>
    </w:tbl>
    <w:p w14:paraId="70C03FA7">
      <w:pPr>
        <w:pStyle w:val="24"/>
        <w:keepNext w:val="0"/>
        <w:keepLines w:val="0"/>
        <w:pageBreakBefore w:val="0"/>
        <w:widowControl/>
        <w:kinsoku/>
        <w:wordWrap/>
        <w:overflowPunct/>
        <w:topLinePunct w:val="0"/>
        <w:autoSpaceDE/>
        <w:autoSpaceDN/>
        <w:bidi w:val="0"/>
        <w:adjustRightInd/>
        <w:snapToGrid w:val="0"/>
        <w:spacing w:before="157" w:beforeLines="50" w:after="0" w:line="360" w:lineRule="auto"/>
        <w:ind w:firstLine="560" w:firstLineChars="200"/>
        <w:jc w:val="left"/>
        <w:textAlignment w:val="auto"/>
        <w:rPr>
          <w:rFonts w:hint="default" w:ascii="Times New Roman" w:hAnsi="Times New Roman" w:eastAsia="宋体" w:cs="Times New Roman"/>
          <w:color w:val="000000" w:themeColor="text1"/>
          <w:sz w:val="28"/>
          <w:szCs w:val="21"/>
          <w:highlight w:val="none"/>
          <w14:textFill>
            <w14:solidFill>
              <w14:schemeClr w14:val="tx1"/>
            </w14:solidFill>
          </w14:textFill>
        </w:rPr>
      </w:pP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监测内容</w:t>
      </w:r>
    </w:p>
    <w:p w14:paraId="363AF697">
      <w:pPr>
        <w:pStyle w:val="24"/>
        <w:keepNext w:val="0"/>
        <w:keepLines w:val="0"/>
        <w:pageBreakBefore w:val="0"/>
        <w:widowControl/>
        <w:kinsoku/>
        <w:wordWrap/>
        <w:overflowPunct/>
        <w:topLinePunct w:val="0"/>
        <w:autoSpaceDE/>
        <w:autoSpaceDN/>
        <w:bidi w:val="0"/>
        <w:snapToGrid w:val="0"/>
        <w:spacing w:after="0" w:line="360" w:lineRule="auto"/>
        <w:ind w:firstLine="560" w:firstLineChars="200"/>
        <w:jc w:val="left"/>
        <w:textAlignment w:val="auto"/>
        <w:rPr>
          <w:rFonts w:hint="default" w:ascii="Times New Roman" w:hAnsi="Times New Roman" w:eastAsia="宋体" w:cs="Times New Roman"/>
          <w:color w:val="000000" w:themeColor="text1"/>
          <w:sz w:val="28"/>
          <w:szCs w:val="21"/>
          <w:highlight w:val="none"/>
          <w14:textFill>
            <w14:solidFill>
              <w14:schemeClr w14:val="tx1"/>
            </w14:solidFill>
          </w14:textFill>
        </w:rPr>
      </w:pPr>
      <w:r>
        <w:rPr>
          <w:rFonts w:hint="default" w:ascii="Times New Roman" w:hAnsi="Times New Roman" w:eastAsia="宋体" w:cs="Times New Roman"/>
          <w:color w:val="000000" w:themeColor="text1"/>
          <w:sz w:val="28"/>
          <w:szCs w:val="21"/>
          <w:highlight w:val="none"/>
          <w14:textFill>
            <w14:solidFill>
              <w14:schemeClr w14:val="tx1"/>
            </w14:solidFill>
          </w14:textFill>
        </w:rPr>
        <w:t>崩塌：目测、拍照并记录其位置、规模、形成模式、发生时间等数据；边坡移动变形采用仪器测量其裂缝宽度、变形速度等并进行记录，监测内容见表</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5-</w:t>
      </w:r>
      <w:r>
        <w:rPr>
          <w:rFonts w:hint="eastAsia" w:eastAsia="宋体" w:cs="Times New Roman"/>
          <w:color w:val="000000" w:themeColor="text1"/>
          <w:sz w:val="28"/>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1"/>
          <w:highlight w:val="none"/>
          <w14:textFill>
            <w14:solidFill>
              <w14:schemeClr w14:val="tx1"/>
            </w14:solidFill>
          </w14:textFill>
        </w:rPr>
        <w:t>。</w:t>
      </w:r>
    </w:p>
    <w:p w14:paraId="698E97AD">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hint="default" w:ascii="黑体" w:hAnsi="黑体" w:eastAsia="黑体" w:cs="黑体"/>
          <w:b w:val="0"/>
          <w:bCs w:val="0"/>
          <w:color w:val="000000" w:themeColor="text1"/>
          <w:sz w:val="24"/>
          <w:highlight w:val="none"/>
          <w14:textFill>
            <w14:solidFill>
              <w14:schemeClr w14:val="tx1"/>
            </w14:solidFill>
          </w14:textFill>
        </w:rPr>
      </w:pPr>
      <w:r>
        <w:rPr>
          <w:rFonts w:hint="default" w:ascii="黑体" w:hAnsi="黑体" w:eastAsia="黑体" w:cs="黑体"/>
          <w:b w:val="0"/>
          <w:bCs w:val="0"/>
          <w:color w:val="000000" w:themeColor="text1"/>
          <w:sz w:val="24"/>
          <w:highlight w:val="none"/>
          <w14:textFill>
            <w14:solidFill>
              <w14:schemeClr w14:val="tx1"/>
            </w14:solidFill>
          </w14:textFill>
        </w:rPr>
        <w:t>表</w:t>
      </w:r>
      <w:r>
        <w:rPr>
          <w:rFonts w:hint="default" w:ascii="黑体" w:hAnsi="黑体" w:eastAsia="黑体" w:cs="黑体"/>
          <w:b w:val="0"/>
          <w:bCs w:val="0"/>
          <w:color w:val="000000" w:themeColor="text1"/>
          <w:sz w:val="24"/>
          <w:highlight w:val="none"/>
          <w:lang w:val="en-US" w:eastAsia="zh-CN"/>
          <w14:textFill>
            <w14:solidFill>
              <w14:schemeClr w14:val="tx1"/>
            </w14:solidFill>
          </w14:textFill>
        </w:rPr>
        <w:t>5-</w:t>
      </w:r>
      <w:r>
        <w:rPr>
          <w:rFonts w:hint="eastAsia" w:ascii="黑体" w:hAnsi="黑体" w:eastAsia="黑体" w:cs="黑体"/>
          <w:b w:val="0"/>
          <w:bCs w:val="0"/>
          <w:color w:val="000000" w:themeColor="text1"/>
          <w:sz w:val="24"/>
          <w:highlight w:val="none"/>
          <w:lang w:val="en-US" w:eastAsia="zh-CN"/>
          <w14:textFill>
            <w14:solidFill>
              <w14:schemeClr w14:val="tx1"/>
            </w14:solidFill>
          </w14:textFill>
        </w:rPr>
        <w:t>2</w:t>
      </w:r>
      <w:r>
        <w:rPr>
          <w:rFonts w:hint="default" w:ascii="黑体" w:hAnsi="黑体" w:eastAsia="黑体" w:cs="黑体"/>
          <w:b w:val="0"/>
          <w:bCs w:val="0"/>
          <w:color w:val="000000" w:themeColor="text1"/>
          <w:sz w:val="24"/>
          <w:highlight w:val="none"/>
          <w14:textFill>
            <w14:solidFill>
              <w14:schemeClr w14:val="tx1"/>
            </w14:solidFill>
          </w14:textFill>
        </w:rPr>
        <w:t xml:space="preserve">  崩塌监测调查表</w:t>
      </w:r>
    </w:p>
    <w:tbl>
      <w:tblPr>
        <w:tblStyle w:val="30"/>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23"/>
        <w:gridCol w:w="1415"/>
        <w:gridCol w:w="1559"/>
        <w:gridCol w:w="1184"/>
        <w:gridCol w:w="375"/>
        <w:gridCol w:w="571"/>
        <w:gridCol w:w="987"/>
        <w:gridCol w:w="911"/>
      </w:tblGrid>
      <w:tr w14:paraId="4C7B9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93" w:type="pct"/>
            <w:noWrap w:val="0"/>
            <w:vAlign w:val="center"/>
          </w:tcPr>
          <w:p w14:paraId="132D446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矿区名称</w:t>
            </w:r>
          </w:p>
        </w:tc>
        <w:tc>
          <w:tcPr>
            <w:tcW w:w="2438" w:type="pct"/>
            <w:gridSpan w:val="3"/>
            <w:noWrap w:val="0"/>
            <w:vAlign w:val="center"/>
          </w:tcPr>
          <w:p w14:paraId="74DC51E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55" w:type="pct"/>
            <w:gridSpan w:val="2"/>
            <w:noWrap w:val="0"/>
            <w:vAlign w:val="center"/>
          </w:tcPr>
          <w:p w14:paraId="3F2ABC7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天气</w:t>
            </w:r>
          </w:p>
        </w:tc>
        <w:tc>
          <w:tcPr>
            <w:tcW w:w="1112" w:type="pct"/>
            <w:gridSpan w:val="2"/>
            <w:noWrap w:val="0"/>
            <w:vAlign w:val="center"/>
          </w:tcPr>
          <w:p w14:paraId="16C5B24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24E09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93" w:type="pct"/>
            <w:noWrap w:val="0"/>
            <w:vAlign w:val="center"/>
          </w:tcPr>
          <w:p w14:paraId="5162F7D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记录点号</w:t>
            </w:r>
          </w:p>
        </w:tc>
        <w:tc>
          <w:tcPr>
            <w:tcW w:w="4106" w:type="pct"/>
            <w:gridSpan w:val="7"/>
            <w:noWrap w:val="0"/>
            <w:vAlign w:val="center"/>
          </w:tcPr>
          <w:p w14:paraId="113E6E7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3500A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93" w:type="pct"/>
            <w:noWrap w:val="0"/>
            <w:vAlign w:val="center"/>
          </w:tcPr>
          <w:p w14:paraId="0DB6626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记录点坐标</w:t>
            </w:r>
          </w:p>
        </w:tc>
        <w:tc>
          <w:tcPr>
            <w:tcW w:w="4106" w:type="pct"/>
            <w:gridSpan w:val="7"/>
            <w:noWrap w:val="0"/>
            <w:vAlign w:val="center"/>
          </w:tcPr>
          <w:p w14:paraId="6B53B56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 xml:space="preserve">X:                 Y:              </w:t>
            </w:r>
          </w:p>
        </w:tc>
      </w:tr>
      <w:tr w14:paraId="524F2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34" w:hRule="atLeast"/>
          <w:jc w:val="center"/>
        </w:trPr>
        <w:tc>
          <w:tcPr>
            <w:tcW w:w="893" w:type="pct"/>
            <w:noWrap w:val="0"/>
            <w:vAlign w:val="center"/>
          </w:tcPr>
          <w:p w14:paraId="5A400E2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监测点情况</w:t>
            </w:r>
          </w:p>
        </w:tc>
        <w:tc>
          <w:tcPr>
            <w:tcW w:w="4106" w:type="pct"/>
            <w:gridSpan w:val="7"/>
            <w:noWrap w:val="0"/>
            <w:vAlign w:val="center"/>
          </w:tcPr>
          <w:p w14:paraId="598932B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33A22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93" w:type="pct"/>
            <w:vMerge w:val="restart"/>
            <w:noWrap w:val="0"/>
            <w:vAlign w:val="center"/>
          </w:tcPr>
          <w:p w14:paraId="4C5FCAB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记录点情况</w:t>
            </w:r>
          </w:p>
        </w:tc>
        <w:tc>
          <w:tcPr>
            <w:tcW w:w="830" w:type="pct"/>
            <w:noWrap w:val="0"/>
            <w:vAlign w:val="center"/>
          </w:tcPr>
          <w:p w14:paraId="4A52B5A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边坡情况</w:t>
            </w:r>
          </w:p>
        </w:tc>
        <w:tc>
          <w:tcPr>
            <w:tcW w:w="914" w:type="pct"/>
            <w:noWrap w:val="0"/>
            <w:vAlign w:val="center"/>
          </w:tcPr>
          <w:p w14:paraId="550878A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崩塌情况</w:t>
            </w:r>
          </w:p>
        </w:tc>
        <w:tc>
          <w:tcPr>
            <w:tcW w:w="914" w:type="pct"/>
            <w:gridSpan w:val="2"/>
            <w:noWrap w:val="0"/>
            <w:vAlign w:val="center"/>
          </w:tcPr>
          <w:p w14:paraId="7A382CB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危岩体情况</w:t>
            </w:r>
          </w:p>
        </w:tc>
        <w:tc>
          <w:tcPr>
            <w:tcW w:w="914" w:type="pct"/>
            <w:gridSpan w:val="2"/>
            <w:tcBorders>
              <w:right w:val="single" w:color="auto" w:sz="4" w:space="0"/>
            </w:tcBorders>
            <w:noWrap w:val="0"/>
            <w:vAlign w:val="center"/>
          </w:tcPr>
          <w:p w14:paraId="0063E64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治理情况</w:t>
            </w:r>
          </w:p>
        </w:tc>
        <w:tc>
          <w:tcPr>
            <w:tcW w:w="530" w:type="pct"/>
            <w:tcBorders>
              <w:left w:val="single" w:color="auto" w:sz="4" w:space="0"/>
            </w:tcBorders>
            <w:noWrap w:val="0"/>
            <w:vAlign w:val="center"/>
          </w:tcPr>
          <w:p w14:paraId="33B62E7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备注</w:t>
            </w:r>
          </w:p>
        </w:tc>
      </w:tr>
      <w:tr w14:paraId="4028D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893" w:type="pct"/>
            <w:vMerge w:val="continue"/>
            <w:noWrap w:val="0"/>
            <w:vAlign w:val="center"/>
          </w:tcPr>
          <w:p w14:paraId="392B2F0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830" w:type="pct"/>
            <w:noWrap w:val="0"/>
            <w:vAlign w:val="center"/>
          </w:tcPr>
          <w:p w14:paraId="756C9B2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记录现状高度、长度、坡度等情况</w:t>
            </w:r>
          </w:p>
        </w:tc>
        <w:tc>
          <w:tcPr>
            <w:tcW w:w="914" w:type="pct"/>
            <w:noWrap w:val="0"/>
            <w:vAlign w:val="center"/>
          </w:tcPr>
          <w:p w14:paraId="0EF68B7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是否已经崩塌，崩塌位置、体积、距离等情况</w:t>
            </w:r>
          </w:p>
        </w:tc>
        <w:tc>
          <w:tcPr>
            <w:tcW w:w="914" w:type="pct"/>
            <w:gridSpan w:val="2"/>
            <w:noWrap w:val="0"/>
            <w:vAlign w:val="center"/>
          </w:tcPr>
          <w:p w14:paraId="03EC464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危岩体的大小、裂缝、产状及预测发生崩塌等情况</w:t>
            </w:r>
          </w:p>
        </w:tc>
        <w:tc>
          <w:tcPr>
            <w:tcW w:w="914" w:type="pct"/>
            <w:gridSpan w:val="2"/>
            <w:tcBorders>
              <w:right w:val="single" w:color="auto" w:sz="4" w:space="0"/>
            </w:tcBorders>
            <w:noWrap w:val="0"/>
            <w:vAlign w:val="center"/>
          </w:tcPr>
          <w:p w14:paraId="0FB801A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现状和预测的崩塌体、危岩体处理</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防护</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等情况</w:t>
            </w:r>
          </w:p>
        </w:tc>
        <w:tc>
          <w:tcPr>
            <w:tcW w:w="530" w:type="pct"/>
            <w:tcBorders>
              <w:left w:val="single" w:color="auto" w:sz="4" w:space="0"/>
            </w:tcBorders>
            <w:noWrap w:val="0"/>
            <w:vAlign w:val="center"/>
          </w:tcPr>
          <w:p w14:paraId="0F12731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其他情况</w:t>
            </w:r>
            <w:r>
              <w:rPr>
                <w:rFonts w:hint="default" w:ascii="Times New Roman" w:hAnsi="Times New Roman" w:eastAsia="宋体" w:cs="Times New Roman"/>
                <w:color w:val="000000" w:themeColor="text1"/>
                <w:sz w:val="21"/>
                <w:szCs w:val="21"/>
                <w:highlight w:val="none"/>
                <w14:textFill>
                  <w14:solidFill>
                    <w14:schemeClr w14:val="tx1"/>
                  </w14:solidFill>
                </w14:textFill>
              </w:rPr>
              <w:t>说明</w:t>
            </w:r>
          </w:p>
        </w:tc>
      </w:tr>
    </w:tbl>
    <w:p w14:paraId="02356209">
      <w:pPr>
        <w:pStyle w:val="64"/>
        <w:tabs>
          <w:tab w:val="left" w:pos="6120"/>
        </w:tabs>
        <w:spacing w:line="360" w:lineRule="auto"/>
        <w:ind w:firstLine="0" w:firstLineChars="0"/>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 xml:space="preserve">      填表人：            审核人：            填表日期：    年    月    日</w:t>
      </w:r>
    </w:p>
    <w:p w14:paraId="433ABAFF">
      <w:pPr>
        <w:keepNext w:val="0"/>
        <w:keepLines w:val="0"/>
        <w:pageBreakBefore w:val="0"/>
        <w:widowControl w:val="0"/>
        <w:kinsoku/>
        <w:wordWrap/>
        <w:overflowPunct/>
        <w:topLinePunct w:val="0"/>
        <w:autoSpaceDE/>
        <w:autoSpaceDN/>
        <w:bidi w:val="0"/>
        <w:adjustRightInd/>
        <w:snapToGrid/>
        <w:spacing w:line="360" w:lineRule="auto"/>
        <w:ind w:firstLine="560" w:firstLineChars="200"/>
        <w:contextualSpacing/>
        <w:jc w:val="left"/>
        <w:textAlignment w:val="auto"/>
        <w:rPr>
          <w:rFonts w:hint="default" w:ascii="Times New Roman" w:hAnsi="Times New Roman" w:eastAsia="宋体" w:cs="Times New Roman"/>
          <w:b w:val="0"/>
          <w:bCs w:val="0"/>
          <w:color w:val="000000" w:themeColor="text1"/>
          <w:sz w:val="28"/>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sz w:val="28"/>
          <w:szCs w:val="21"/>
          <w:highlight w:val="none"/>
          <w:lang w:val="en-US" w:eastAsia="zh-CN"/>
          <w14:textFill>
            <w14:solidFill>
              <w14:schemeClr w14:val="tx1"/>
            </w14:solidFill>
          </w14:textFill>
        </w:rPr>
        <w:t>3</w:t>
      </w:r>
      <w:r>
        <w:rPr>
          <w:rFonts w:hint="default" w:ascii="Times New Roman" w:hAnsi="Times New Roman" w:eastAsia="宋体" w:cs="Times New Roman"/>
          <w:b w:val="0"/>
          <w:bCs w:val="0"/>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8"/>
          <w:szCs w:val="21"/>
          <w:highlight w:val="none"/>
          <w14:textFill>
            <w14:solidFill>
              <w14:schemeClr w14:val="tx1"/>
            </w14:solidFill>
          </w14:textFill>
        </w:rPr>
        <w:t>监测方法</w:t>
      </w:r>
    </w:p>
    <w:p w14:paraId="48121E57">
      <w:pPr>
        <w:pStyle w:val="24"/>
        <w:keepNext w:val="0"/>
        <w:keepLines w:val="0"/>
        <w:pageBreakBefore w:val="0"/>
        <w:widowControl/>
        <w:kinsoku/>
        <w:wordWrap/>
        <w:overflowPunct/>
        <w:topLinePunct w:val="0"/>
        <w:autoSpaceDE/>
        <w:autoSpaceDN/>
        <w:bidi w:val="0"/>
        <w:snapToGrid w:val="0"/>
        <w:spacing w:after="0" w:line="360" w:lineRule="auto"/>
        <w:ind w:firstLine="560" w:firstLineChars="200"/>
        <w:jc w:val="left"/>
        <w:textAlignment w:val="auto"/>
        <w:rPr>
          <w:rFonts w:hint="default" w:ascii="Times New Roman" w:hAnsi="Times New Roman" w:eastAsia="宋体" w:cs="Times New Roman"/>
          <w:color w:val="000000" w:themeColor="text1"/>
          <w:sz w:val="28"/>
          <w:szCs w:val="21"/>
          <w:highlight w:val="none"/>
          <w14:textFill>
            <w14:solidFill>
              <w14:schemeClr w14:val="tx1"/>
            </w14:solidFill>
          </w14:textFill>
        </w:rPr>
      </w:pPr>
      <w:r>
        <w:rPr>
          <w:rFonts w:hint="default" w:ascii="Times New Roman" w:hAnsi="Times New Roman" w:eastAsia="宋体" w:cs="Times New Roman"/>
          <w:color w:val="000000" w:themeColor="text1"/>
          <w:sz w:val="28"/>
          <w:szCs w:val="21"/>
          <w:highlight w:val="none"/>
          <w14:textFill>
            <w14:solidFill>
              <w14:schemeClr w14:val="tx1"/>
            </w14:solidFill>
          </w14:textFill>
        </w:rPr>
        <w:t>人工定点监测（巡查）：或定期（如每周1次）对重点区域进行现场核验。</w:t>
      </w:r>
    </w:p>
    <w:p w14:paraId="708B69B7">
      <w:pPr>
        <w:pStyle w:val="24"/>
        <w:keepNext w:val="0"/>
        <w:keepLines w:val="0"/>
        <w:pageBreakBefore w:val="0"/>
        <w:widowControl/>
        <w:kinsoku/>
        <w:wordWrap/>
        <w:overflowPunct/>
        <w:topLinePunct w:val="0"/>
        <w:autoSpaceDE/>
        <w:autoSpaceDN/>
        <w:bidi w:val="0"/>
        <w:snapToGrid w:val="0"/>
        <w:spacing w:after="0" w:line="360" w:lineRule="auto"/>
        <w:ind w:firstLine="560" w:firstLineChars="200"/>
        <w:jc w:val="left"/>
        <w:textAlignment w:val="auto"/>
        <w:rPr>
          <w:rFonts w:hint="default" w:ascii="Times New Roman" w:hAnsi="Times New Roman" w:eastAsia="宋体" w:cs="Times New Roman"/>
          <w:color w:val="000000" w:themeColor="text1"/>
          <w:sz w:val="28"/>
          <w:szCs w:val="21"/>
          <w:highlight w:val="none"/>
          <w14:textFill>
            <w14:solidFill>
              <w14:schemeClr w14:val="tx1"/>
            </w14:solidFill>
          </w14:textFill>
        </w:rPr>
      </w:pP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监测频率</w:t>
      </w:r>
    </w:p>
    <w:p w14:paraId="5DC42778">
      <w:pPr>
        <w:pStyle w:val="24"/>
        <w:keepNext w:val="0"/>
        <w:keepLines w:val="0"/>
        <w:pageBreakBefore w:val="0"/>
        <w:widowControl/>
        <w:kinsoku/>
        <w:wordWrap/>
        <w:overflowPunct/>
        <w:topLinePunct w:val="0"/>
        <w:autoSpaceDE/>
        <w:autoSpaceDN/>
        <w:bidi w:val="0"/>
        <w:snapToGrid w:val="0"/>
        <w:spacing w:after="0" w:line="360" w:lineRule="auto"/>
        <w:ind w:firstLine="560" w:firstLineChars="200"/>
        <w:jc w:val="left"/>
        <w:textAlignment w:val="auto"/>
        <w:rPr>
          <w:rFonts w:hint="default" w:ascii="Times New Roman" w:hAnsi="Times New Roman" w:eastAsia="宋体" w:cs="Times New Roman"/>
          <w:color w:val="000000" w:themeColor="text1"/>
          <w:sz w:val="28"/>
          <w:szCs w:val="21"/>
          <w:highlight w:val="none"/>
          <w14:textFill>
            <w14:solidFill>
              <w14:schemeClr w14:val="tx1"/>
            </w14:solidFill>
          </w14:textFill>
        </w:rPr>
      </w:pPr>
      <w:r>
        <w:rPr>
          <w:rFonts w:hint="default" w:ascii="Times New Roman" w:hAnsi="Times New Roman" w:eastAsia="宋体" w:cs="Times New Roman"/>
          <w:color w:val="000000" w:themeColor="text1"/>
          <w:sz w:val="28"/>
          <w:szCs w:val="21"/>
          <w:highlight w:val="none"/>
          <w14:textFill>
            <w14:solidFill>
              <w14:schemeClr w14:val="tx1"/>
            </w14:solidFill>
          </w14:textFill>
        </w:rPr>
        <w:t>正常情况下每月监测1次；根据实际情况，在汛期、雨季，对已存在边坡变形的地段应每周监测1次，或者进行连续跟踪监测。</w:t>
      </w:r>
    </w:p>
    <w:p w14:paraId="6B805487">
      <w:pPr>
        <w:pStyle w:val="24"/>
        <w:keepNext w:val="0"/>
        <w:keepLines w:val="0"/>
        <w:pageBreakBefore w:val="0"/>
        <w:widowControl/>
        <w:kinsoku/>
        <w:wordWrap/>
        <w:overflowPunct/>
        <w:topLinePunct w:val="0"/>
        <w:autoSpaceDE/>
        <w:autoSpaceDN/>
        <w:bidi w:val="0"/>
        <w:snapToGrid w:val="0"/>
        <w:spacing w:after="0" w:line="360" w:lineRule="auto"/>
        <w:ind w:firstLine="560" w:firstLineChars="200"/>
        <w:jc w:val="left"/>
        <w:textAlignment w:val="auto"/>
        <w:rPr>
          <w:rFonts w:hint="default" w:ascii="Times New Roman" w:hAnsi="Times New Roman" w:eastAsia="宋体" w:cs="Times New Roman"/>
          <w:color w:val="000000" w:themeColor="text1"/>
          <w:sz w:val="28"/>
          <w:szCs w:val="21"/>
          <w:highlight w:val="none"/>
          <w14:textFill>
            <w14:solidFill>
              <w14:schemeClr w14:val="tx1"/>
            </w14:solidFill>
          </w14:textFill>
        </w:rPr>
      </w:pP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技术要求</w:t>
      </w:r>
    </w:p>
    <w:p w14:paraId="7BAF06FE">
      <w:pPr>
        <w:pStyle w:val="24"/>
        <w:keepNext w:val="0"/>
        <w:keepLines w:val="0"/>
        <w:pageBreakBefore w:val="0"/>
        <w:widowControl/>
        <w:kinsoku/>
        <w:wordWrap/>
        <w:overflowPunct/>
        <w:topLinePunct w:val="0"/>
        <w:autoSpaceDE/>
        <w:autoSpaceDN/>
        <w:bidi w:val="0"/>
        <w:snapToGrid w:val="0"/>
        <w:spacing w:after="0" w:line="360" w:lineRule="auto"/>
        <w:ind w:firstLine="560" w:firstLineChars="200"/>
        <w:jc w:val="left"/>
        <w:textAlignment w:val="auto"/>
        <w:rPr>
          <w:rFonts w:hint="default" w:ascii="Times New Roman" w:hAnsi="Times New Roman" w:eastAsia="宋体" w:cs="Times New Roman"/>
          <w:color w:val="000000" w:themeColor="text1"/>
          <w:sz w:val="28"/>
          <w:szCs w:val="21"/>
          <w:highlight w:val="none"/>
          <w14:textFill>
            <w14:solidFill>
              <w14:schemeClr w14:val="tx1"/>
            </w14:solidFill>
          </w14:textFill>
        </w:rPr>
      </w:pPr>
      <w:r>
        <w:rPr>
          <w:rFonts w:hint="default" w:ascii="Times New Roman" w:hAnsi="Times New Roman" w:eastAsia="宋体" w:cs="Times New Roman"/>
          <w:color w:val="000000" w:themeColor="text1"/>
          <w:sz w:val="28"/>
          <w:szCs w:val="21"/>
          <w:highlight w:val="none"/>
          <w14:textFill>
            <w14:solidFill>
              <w14:schemeClr w14:val="tx1"/>
            </w14:solidFill>
          </w14:textFill>
        </w:rPr>
        <w:t>根据矿山实际生产情况，在开采过程中的采场边坡进行稳定性监测，用水准、全站仪、皮尺、照相等方法测量移动距离及变形大小。</w:t>
      </w:r>
    </w:p>
    <w:p w14:paraId="24859480">
      <w:pPr>
        <w:pStyle w:val="24"/>
        <w:keepNext w:val="0"/>
        <w:keepLines w:val="0"/>
        <w:pageBreakBefore w:val="0"/>
        <w:widowControl/>
        <w:kinsoku/>
        <w:wordWrap/>
        <w:overflowPunct/>
        <w:topLinePunct w:val="0"/>
        <w:autoSpaceDE/>
        <w:autoSpaceDN/>
        <w:bidi w:val="0"/>
        <w:snapToGrid w:val="0"/>
        <w:spacing w:after="0" w:line="360" w:lineRule="auto"/>
        <w:ind w:firstLine="560" w:firstLineChars="200"/>
        <w:jc w:val="left"/>
        <w:textAlignment w:val="auto"/>
        <w:rPr>
          <w:rFonts w:hint="default" w:ascii="Times New Roman" w:hAnsi="Times New Roman" w:eastAsia="宋体" w:cs="Times New Roman"/>
          <w:color w:val="000000" w:themeColor="text1"/>
          <w:sz w:val="28"/>
          <w:szCs w:val="21"/>
          <w:highlight w:val="none"/>
          <w14:textFill>
            <w14:solidFill>
              <w14:schemeClr w14:val="tx1"/>
            </w14:solidFill>
          </w14:textFill>
        </w:rPr>
      </w:pP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14:textFill>
            <w14:solidFill>
              <w14:schemeClr w14:val="tx1"/>
            </w14:solidFill>
          </w14:textFill>
        </w:rPr>
        <w:t>监测时限</w:t>
      </w:r>
    </w:p>
    <w:p w14:paraId="2233096B">
      <w:pPr>
        <w:topLinePunct/>
        <w:spacing w:line="360" w:lineRule="auto"/>
        <w:ind w:firstLine="560" w:firstLineChars="200"/>
        <w:jc w:val="left"/>
        <w:rPr>
          <w:rFonts w:hint="default" w:ascii="Times New Roman" w:hAnsi="Times New Roman" w:eastAsia="宋体" w:cs="Times New Roman"/>
          <w:b/>
          <w:bCs/>
          <w:color w:val="000000" w:themeColor="text1"/>
          <w:sz w:val="28"/>
          <w:szCs w:val="28"/>
          <w:highlight w:val="none"/>
          <w14:textFill>
            <w14:solidFill>
              <w14:schemeClr w14:val="tx1"/>
            </w14:solidFill>
          </w14:textFill>
        </w:rPr>
      </w:pP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监测</w:t>
      </w:r>
      <w:r>
        <w:rPr>
          <w:rFonts w:hint="default" w:ascii="Times New Roman" w:hAnsi="Times New Roman" w:eastAsia="宋体" w:cs="Times New Roman"/>
          <w:color w:val="000000" w:themeColor="text1"/>
          <w:sz w:val="28"/>
          <w:szCs w:val="21"/>
          <w:highlight w:val="none"/>
          <w14:textFill>
            <w14:solidFill>
              <w14:schemeClr w14:val="tx1"/>
            </w14:solidFill>
          </w14:textFill>
        </w:rPr>
        <w:t>自</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202</w:t>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年</w:t>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月1日至20</w:t>
      </w:r>
      <w:r>
        <w:rPr>
          <w:rFonts w:hint="eastAsia" w:cs="Times New Roman"/>
          <w:color w:val="000000" w:themeColor="text1"/>
          <w:kern w:val="2"/>
          <w:sz w:val="28"/>
          <w:szCs w:val="28"/>
          <w:highlight w:val="none"/>
          <w:lang w:val="en-US" w:eastAsia="zh-CN"/>
          <w14:textFill>
            <w14:solidFill>
              <w14:schemeClr w14:val="tx1"/>
            </w14:solidFill>
          </w14:textFill>
        </w:rPr>
        <w:t>38</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年</w:t>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12</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月</w:t>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31</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日</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共</w:t>
      </w:r>
      <w:r>
        <w:rPr>
          <w:rFonts w:hint="eastAsia" w:ascii="Times New Roman" w:hAnsi="Times New Roman" w:eastAsia="宋体" w:cs="Times New Roman"/>
          <w:color w:val="000000" w:themeColor="text1"/>
          <w:sz w:val="28"/>
          <w:szCs w:val="21"/>
          <w:highlight w:val="none"/>
          <w:lang w:val="en-US" w:eastAsia="zh-CN"/>
          <w14:textFill>
            <w14:solidFill>
              <w14:schemeClr w14:val="tx1"/>
            </w14:solidFill>
          </w14:textFill>
        </w:rPr>
        <w:t>1</w:t>
      </w:r>
      <w:r>
        <w:rPr>
          <w:rFonts w:hint="eastAsia" w:cs="Times New Roman"/>
          <w:color w:val="000000" w:themeColor="text1"/>
          <w:sz w:val="28"/>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年</w:t>
      </w:r>
      <w:r>
        <w:rPr>
          <w:rFonts w:hint="eastAsia" w:cs="Times New Roman"/>
          <w:color w:val="000000" w:themeColor="text1"/>
          <w:sz w:val="28"/>
          <w:szCs w:val="21"/>
          <w:highlight w:val="none"/>
          <w:lang w:val="en-US" w:eastAsia="zh-CN"/>
          <w14:textFill>
            <w14:solidFill>
              <w14:schemeClr w14:val="tx1"/>
            </w14:solidFill>
          </w14:textFill>
        </w:rPr>
        <w:t>。</w:t>
      </w:r>
    </w:p>
    <w:p w14:paraId="180AF9D1">
      <w:pPr>
        <w:rPr>
          <w:rFonts w:hint="eastAsia" w:cs="Times New Roman"/>
          <w:b w:val="0"/>
          <w:bCs w:val="0"/>
          <w:color w:val="000000" w:themeColor="text1"/>
          <w:sz w:val="28"/>
          <w:szCs w:val="28"/>
          <w:highlight w:val="none"/>
          <w:lang w:val="en-US" w:eastAsia="zh-CN" w:bidi="ar-SA"/>
          <w14:textFill>
            <w14:solidFill>
              <w14:schemeClr w14:val="tx1"/>
            </w14:solidFill>
          </w14:textFill>
        </w:rPr>
      </w:pPr>
      <w:r>
        <w:rPr>
          <w:rFonts w:hint="eastAsia" w:cs="Times New Roman"/>
          <w:b w:val="0"/>
          <w:bCs w:val="0"/>
          <w:color w:val="000000" w:themeColor="text1"/>
          <w:sz w:val="28"/>
          <w:szCs w:val="28"/>
          <w:highlight w:val="none"/>
          <w:lang w:val="en-US" w:eastAsia="zh-CN" w:bidi="ar-SA"/>
          <w14:textFill>
            <w14:solidFill>
              <w14:schemeClr w14:val="tx1"/>
            </w14:solidFill>
          </w14:textFill>
        </w:rPr>
        <w:br w:type="page"/>
      </w:r>
    </w:p>
    <w:p w14:paraId="7F25C80D">
      <w:pPr>
        <w:pStyle w:val="40"/>
        <w:keepNext w:val="0"/>
        <w:keepLines w:val="0"/>
        <w:pageBreakBefore w:val="0"/>
        <w:widowControl/>
        <w:numPr>
          <w:ilvl w:val="0"/>
          <w:numId w:val="0"/>
        </w:numPr>
        <w:kinsoku/>
        <w:wordWrap/>
        <w:overflowPunct/>
        <w:topLinePunct w:val="0"/>
        <w:autoSpaceDE/>
        <w:autoSpaceDN/>
        <w:bidi w:val="0"/>
        <w:adjustRightInd/>
        <w:snapToGrid/>
        <w:spacing w:after="0" w:line="360" w:lineRule="auto"/>
        <w:ind w:firstLine="560" w:firstLineChars="200"/>
        <w:jc w:val="left"/>
        <w:textAlignment w:val="auto"/>
        <w:outlineLvl w:val="4"/>
        <w:rPr>
          <w:rFonts w:hint="default" w:ascii="Times New Roman" w:hAnsi="Times New Roman" w:eastAsia="宋体" w:cs="Times New Roman"/>
          <w:b w:val="0"/>
          <w:bCs w:val="0"/>
          <w:color w:val="000000" w:themeColor="text1"/>
          <w:spacing w:val="-3"/>
          <w:sz w:val="28"/>
          <w:szCs w:val="28"/>
          <w:highlight w:val="none"/>
          <w14:textFill>
            <w14:solidFill>
              <w14:schemeClr w14:val="tx1"/>
            </w14:solidFill>
          </w14:textFill>
        </w:rPr>
      </w:pPr>
      <w:r>
        <w:rPr>
          <w:rFonts w:hint="eastAsia" w:cs="Times New Roman"/>
          <w:b w:val="0"/>
          <w:bCs w:val="0"/>
          <w:color w:val="000000" w:themeColor="text1"/>
          <w:sz w:val="28"/>
          <w:szCs w:val="28"/>
          <w:highlight w:val="none"/>
          <w:lang w:val="en-US" w:eastAsia="zh-CN" w:bidi="ar-SA"/>
          <w14:textFill>
            <w14:solidFill>
              <w14:schemeClr w14:val="tx1"/>
            </w14:solidFill>
          </w14:textFill>
        </w:rPr>
        <w:t>2</w:t>
      </w:r>
      <w:r>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t>地形地貌景观监测</w:t>
      </w:r>
    </w:p>
    <w:p w14:paraId="54B61629">
      <w:pPr>
        <w:keepNext w:val="0"/>
        <w:keepLines w:val="0"/>
        <w:pageBreakBefore w:val="0"/>
        <w:widowControl/>
        <w:kinsoku/>
        <w:wordWrap/>
        <w:overflowPunct/>
        <w:topLinePunct w:val="0"/>
        <w:autoSpaceDE/>
        <w:autoSpaceDN/>
        <w:bidi w:val="0"/>
        <w:adjustRightInd/>
        <w:snapToGrid/>
        <w:spacing w:after="0" w:line="360" w:lineRule="auto"/>
        <w:ind w:firstLine="560" w:firstLineChars="200"/>
        <w:contextualSpacing/>
        <w:jc w:val="left"/>
        <w:textAlignment w:val="auto"/>
        <w:rPr>
          <w:rFonts w:hint="default" w:ascii="Times New Roman" w:hAnsi="Times New Roman" w:eastAsia="宋体" w:cs="Times New Roman"/>
          <w:color w:val="000000" w:themeColor="text1"/>
          <w:sz w:val="28"/>
          <w:szCs w:val="28"/>
          <w:highlight w:val="none"/>
          <w14:textFill>
            <w14:solidFill>
              <w14:schemeClr w14:val="tx1"/>
            </w14:solidFill>
          </w14:textFill>
        </w:rPr>
      </w:pP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14:textFill>
            <w14:solidFill>
              <w14:schemeClr w14:val="tx1"/>
            </w14:solidFill>
          </w14:textFill>
        </w:rPr>
        <w:t>监测内容</w:t>
      </w:r>
    </w:p>
    <w:p w14:paraId="5BF97A4A">
      <w:pPr>
        <w:keepNext w:val="0"/>
        <w:keepLines w:val="0"/>
        <w:pageBreakBefore w:val="0"/>
        <w:widowControl/>
        <w:kinsoku/>
        <w:wordWrap/>
        <w:overflowPunct/>
        <w:topLinePunct w:val="0"/>
        <w:autoSpaceDE/>
        <w:autoSpaceDN/>
        <w:bidi w:val="0"/>
        <w:adjustRightInd/>
        <w:snapToGrid/>
        <w:spacing w:after="0" w:line="360" w:lineRule="auto"/>
        <w:ind w:firstLine="560" w:firstLineChars="200"/>
        <w:contextualSpacing/>
        <w:jc w:val="left"/>
        <w:textAlignment w:val="auto"/>
        <w:rPr>
          <w:rFonts w:hint="default" w:ascii="Times New Roman" w:hAnsi="Times New Roman" w:eastAsia="宋体" w:cs="Times New Roman"/>
          <w:color w:val="000000" w:themeColor="text1"/>
          <w:sz w:val="28"/>
          <w:szCs w:val="28"/>
          <w:highlight w:val="none"/>
          <w14:textFill>
            <w14:solidFill>
              <w14:schemeClr w14:val="tx1"/>
            </w14:solidFill>
          </w14:textFill>
        </w:rPr>
      </w:pPr>
      <w:r>
        <w:rPr>
          <w:rFonts w:hint="default" w:ascii="Times New Roman" w:hAnsi="Times New Roman" w:eastAsia="宋体" w:cs="Times New Roman"/>
          <w:color w:val="000000" w:themeColor="text1"/>
          <w:sz w:val="28"/>
          <w:szCs w:val="28"/>
          <w:highlight w:val="none"/>
          <w14:textFill>
            <w14:solidFill>
              <w14:schemeClr w14:val="tx1"/>
            </w14:solidFill>
          </w14:textFill>
        </w:rPr>
        <w:t>为保护采矿必要破坏土地以外土地免受破坏，对评估区内土地资源、地形地貌景观进行监测。</w:t>
      </w:r>
    </w:p>
    <w:p w14:paraId="483B4766">
      <w:pPr>
        <w:keepNext w:val="0"/>
        <w:keepLines w:val="0"/>
        <w:pageBreakBefore w:val="0"/>
        <w:widowControl/>
        <w:kinsoku/>
        <w:wordWrap/>
        <w:overflowPunct/>
        <w:topLinePunct w:val="0"/>
        <w:autoSpaceDE/>
        <w:autoSpaceDN/>
        <w:bidi w:val="0"/>
        <w:adjustRightInd/>
        <w:snapToGrid/>
        <w:spacing w:after="0" w:line="360" w:lineRule="auto"/>
        <w:ind w:firstLine="560" w:firstLineChars="200"/>
        <w:contextualSpacing/>
        <w:jc w:val="left"/>
        <w:textAlignment w:val="auto"/>
        <w:rPr>
          <w:rFonts w:hint="default" w:ascii="Times New Roman" w:hAnsi="Times New Roman" w:eastAsia="宋体" w:cs="Times New Roman"/>
          <w:color w:val="000000" w:themeColor="text1"/>
          <w:sz w:val="28"/>
          <w:szCs w:val="28"/>
          <w:highlight w:val="none"/>
          <w14:textFill>
            <w14:solidFill>
              <w14:schemeClr w14:val="tx1"/>
            </w14:solidFill>
          </w14:textFill>
        </w:rPr>
      </w:pP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14:textFill>
            <w14:solidFill>
              <w14:schemeClr w14:val="tx1"/>
            </w14:solidFill>
          </w14:textFill>
        </w:rPr>
        <w:t>监测方法</w:t>
      </w:r>
    </w:p>
    <w:p w14:paraId="5780A280">
      <w:pPr>
        <w:keepNext w:val="0"/>
        <w:keepLines w:val="0"/>
        <w:pageBreakBefore w:val="0"/>
        <w:widowControl/>
        <w:kinsoku/>
        <w:wordWrap/>
        <w:overflowPunct/>
        <w:topLinePunct w:val="0"/>
        <w:autoSpaceDE/>
        <w:autoSpaceDN/>
        <w:bidi w:val="0"/>
        <w:adjustRightInd/>
        <w:snapToGrid/>
        <w:spacing w:after="0" w:line="360" w:lineRule="auto"/>
        <w:ind w:firstLine="560" w:firstLineChars="200"/>
        <w:contextualSpacing/>
        <w:jc w:val="left"/>
        <w:textAlignment w:val="auto"/>
        <w:rPr>
          <w:rFonts w:hint="default" w:ascii="Times New Roman" w:hAnsi="Times New Roman" w:eastAsia="宋体" w:cs="Times New Roman"/>
          <w:color w:val="000000" w:themeColor="text1"/>
          <w:sz w:val="28"/>
          <w:szCs w:val="28"/>
          <w:highlight w:val="none"/>
          <w14:textFill>
            <w14:solidFill>
              <w14:schemeClr w14:val="tx1"/>
            </w14:solidFill>
          </w14:textFill>
        </w:rPr>
      </w:pPr>
      <w:r>
        <w:rPr>
          <w:rFonts w:hint="default" w:ascii="Times New Roman" w:hAnsi="Times New Roman" w:eastAsia="宋体" w:cs="Times New Roman"/>
          <w:color w:val="000000" w:themeColor="text1"/>
          <w:sz w:val="28"/>
          <w:szCs w:val="28"/>
          <w:highlight w:val="none"/>
          <w14:textFill>
            <w14:solidFill>
              <w14:schemeClr w14:val="tx1"/>
            </w14:solidFill>
          </w14:textFill>
        </w:rPr>
        <w:t>采用人工现场调查、巡视监测和卫星遥感或无人机航拍监测相结合的方法。对土地破坏前、土地破坏后及根据方案恢复治理后的情况均应进行现场照相，并保存记录，进行结果对比，根据矿山实际破坏地形地貌景观及土地资源情况进行加密或减少监测频率，并做好巡查记录，及时发现问题及时治理。监测记录表见表</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5-</w:t>
      </w:r>
      <w:r>
        <w:rPr>
          <w:rFonts w:hint="eastAsia" w:cs="Times New Roman"/>
          <w:color w:val="000000" w:themeColor="text1"/>
          <w:sz w:val="28"/>
          <w:szCs w:val="28"/>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8"/>
          <w:szCs w:val="28"/>
          <w:highlight w:val="none"/>
          <w14:textFill>
            <w14:solidFill>
              <w14:schemeClr w14:val="tx1"/>
            </w14:solidFill>
          </w14:textFill>
        </w:rPr>
        <w:t>。</w:t>
      </w:r>
    </w:p>
    <w:p w14:paraId="2EC641A5">
      <w:pPr>
        <w:keepNext w:val="0"/>
        <w:keepLines w:val="0"/>
        <w:pageBreakBefore w:val="0"/>
        <w:widowControl w:val="0"/>
        <w:kinsoku/>
        <w:wordWrap/>
        <w:overflowPunct/>
        <w:topLinePunct w:val="0"/>
        <w:autoSpaceDE/>
        <w:autoSpaceDN/>
        <w:bidi w:val="0"/>
        <w:adjustRightInd w:val="0"/>
        <w:snapToGrid w:val="0"/>
        <w:spacing w:after="0" w:line="360" w:lineRule="auto"/>
        <w:jc w:val="center"/>
        <w:textAlignment w:val="auto"/>
        <w:rPr>
          <w:rFonts w:hint="default" w:ascii="黑体" w:hAnsi="黑体" w:eastAsia="黑体" w:cs="黑体"/>
          <w:b w:val="0"/>
          <w:bCs w:val="0"/>
          <w:color w:val="000000" w:themeColor="text1"/>
          <w:sz w:val="24"/>
          <w:highlight w:val="none"/>
          <w:lang w:val="en-US" w:eastAsia="zh-CN"/>
          <w14:textFill>
            <w14:solidFill>
              <w14:schemeClr w14:val="tx1"/>
            </w14:solidFill>
          </w14:textFill>
        </w:rPr>
      </w:pPr>
      <w:r>
        <w:rPr>
          <w:rFonts w:hint="default" w:ascii="黑体" w:hAnsi="黑体" w:eastAsia="黑体" w:cs="黑体"/>
          <w:b w:val="0"/>
          <w:bCs w:val="0"/>
          <w:color w:val="000000" w:themeColor="text1"/>
          <w:sz w:val="24"/>
          <w:highlight w:val="none"/>
          <w:lang w:val="en-US" w:eastAsia="zh-CN"/>
          <w14:textFill>
            <w14:solidFill>
              <w14:schemeClr w14:val="tx1"/>
            </w14:solidFill>
          </w14:textFill>
        </w:rPr>
        <w:t>表5-</w:t>
      </w:r>
      <w:r>
        <w:rPr>
          <w:rFonts w:hint="eastAsia" w:ascii="黑体" w:hAnsi="黑体" w:eastAsia="黑体" w:cs="黑体"/>
          <w:b w:val="0"/>
          <w:bCs w:val="0"/>
          <w:color w:val="000000" w:themeColor="text1"/>
          <w:sz w:val="24"/>
          <w:highlight w:val="none"/>
          <w:lang w:val="en-US" w:eastAsia="zh-CN"/>
          <w14:textFill>
            <w14:solidFill>
              <w14:schemeClr w14:val="tx1"/>
            </w14:solidFill>
          </w14:textFill>
        </w:rPr>
        <w:t>3</w:t>
      </w:r>
      <w:r>
        <w:rPr>
          <w:rFonts w:hint="default" w:ascii="黑体" w:hAnsi="黑体" w:eastAsia="黑体" w:cs="黑体"/>
          <w:b w:val="0"/>
          <w:bCs w:val="0"/>
          <w:color w:val="000000" w:themeColor="text1"/>
          <w:sz w:val="24"/>
          <w:highlight w:val="none"/>
          <w:lang w:val="en-US" w:eastAsia="zh-CN"/>
          <w14:textFill>
            <w14:solidFill>
              <w14:schemeClr w14:val="tx1"/>
            </w14:solidFill>
          </w14:textFill>
        </w:rPr>
        <w:t xml:space="preserve">  地形地貌及土地复垦监测记录表</w:t>
      </w:r>
    </w:p>
    <w:p w14:paraId="123AC36A">
      <w:pPr>
        <w:keepNext w:val="0"/>
        <w:keepLines w:val="0"/>
        <w:pageBreakBefore w:val="0"/>
        <w:widowControl w:val="0"/>
        <w:kinsoku/>
        <w:wordWrap/>
        <w:overflowPunct/>
        <w:topLinePunct w:val="0"/>
        <w:autoSpaceDE/>
        <w:autoSpaceDN/>
        <w:bidi w:val="0"/>
        <w:spacing w:after="0" w:line="240" w:lineRule="auto"/>
        <w:ind w:left="0" w:leftChars="0" w:firstLine="0" w:firstLineChars="0"/>
        <w:jc w:val="both"/>
        <w:textAlignment w:val="auto"/>
        <w:rPr>
          <w:rFonts w:hint="default" w:ascii="Times New Roman" w:hAnsi="Times New Roman" w:eastAsia="宋体" w:cs="Times New Roman"/>
          <w:b/>
          <w:color w:val="000000" w:themeColor="text1"/>
          <w:kern w:val="2"/>
          <w:sz w:val="24"/>
          <w:szCs w:val="24"/>
          <w:highlight w:val="none"/>
          <w14:textFill>
            <w14:solidFill>
              <w14:schemeClr w14:val="tx1"/>
            </w14:solidFill>
          </w14:textFill>
        </w:rPr>
      </w:pPr>
      <w:r>
        <w:rPr>
          <w:rFonts w:hint="default" w:ascii="Times New Roman" w:hAnsi="Times New Roman" w:eastAsia="宋体" w:cs="Times New Roman"/>
          <w:b/>
          <w:color w:val="000000" w:themeColor="text1"/>
          <w:kern w:val="2"/>
          <w:sz w:val="24"/>
          <w:szCs w:val="24"/>
          <w:highlight w:val="none"/>
          <w14:textFill>
            <w14:solidFill>
              <w14:schemeClr w14:val="tx1"/>
            </w14:solidFill>
          </w14:textFill>
        </w:rPr>
        <w:t xml:space="preserve">时间：  </w:t>
      </w:r>
      <w:r>
        <w:rPr>
          <w:rFonts w:hint="default" w:ascii="Times New Roman" w:hAnsi="Times New Roman" w:eastAsia="宋体" w:cs="Times New Roman"/>
          <w:b/>
          <w:color w:val="000000" w:themeColor="text1"/>
          <w:kern w:val="2"/>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kern w:val="2"/>
          <w:sz w:val="24"/>
          <w:szCs w:val="24"/>
          <w:highlight w:val="none"/>
          <w14:textFill>
            <w14:solidFill>
              <w14:schemeClr w14:val="tx1"/>
            </w14:solidFill>
          </w14:textFill>
        </w:rPr>
        <w:t xml:space="preserve">年  </w:t>
      </w:r>
      <w:r>
        <w:rPr>
          <w:rFonts w:hint="default" w:ascii="Times New Roman" w:hAnsi="Times New Roman" w:eastAsia="宋体" w:cs="Times New Roman"/>
          <w:b/>
          <w:color w:val="000000" w:themeColor="text1"/>
          <w:kern w:val="2"/>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kern w:val="2"/>
          <w:sz w:val="24"/>
          <w:szCs w:val="24"/>
          <w:highlight w:val="none"/>
          <w14:textFill>
            <w14:solidFill>
              <w14:schemeClr w14:val="tx1"/>
            </w14:solidFill>
          </w14:textFill>
        </w:rPr>
        <w:t xml:space="preserve"> 月   </w:t>
      </w:r>
      <w:r>
        <w:rPr>
          <w:rFonts w:hint="default" w:ascii="Times New Roman" w:hAnsi="Times New Roman" w:eastAsia="宋体" w:cs="Times New Roman"/>
          <w:b/>
          <w:color w:val="000000" w:themeColor="text1"/>
          <w:kern w:val="2"/>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kern w:val="2"/>
          <w:sz w:val="24"/>
          <w:szCs w:val="24"/>
          <w:highlight w:val="none"/>
          <w14:textFill>
            <w14:solidFill>
              <w14:schemeClr w14:val="tx1"/>
            </w14:solidFill>
          </w14:textFill>
        </w:rPr>
        <w:t xml:space="preserve">日       星期            </w:t>
      </w:r>
      <w:r>
        <w:rPr>
          <w:rFonts w:hint="default" w:ascii="Times New Roman" w:hAnsi="Times New Roman" w:eastAsia="宋体" w:cs="Times New Roman"/>
          <w:b/>
          <w:color w:val="000000" w:themeColor="text1"/>
          <w:kern w:val="2"/>
          <w:sz w:val="24"/>
          <w:szCs w:val="24"/>
          <w:highlight w:val="none"/>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kern w:val="2"/>
          <w:sz w:val="24"/>
          <w:szCs w:val="24"/>
          <w:highlight w:val="none"/>
          <w14:textFill>
            <w14:solidFill>
              <w14:schemeClr w14:val="tx1"/>
            </w14:solidFill>
          </w14:textFill>
        </w:rPr>
        <w:t xml:space="preserve">  天气：     </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2213"/>
        <w:gridCol w:w="5275"/>
      </w:tblGrid>
      <w:tr w14:paraId="3190A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22" w:type="dxa"/>
            <w:gridSpan w:val="2"/>
            <w:noWrap w:val="0"/>
            <w:vAlign w:val="center"/>
          </w:tcPr>
          <w:p w14:paraId="48DA1DBD">
            <w:pPr>
              <w:keepNext w:val="0"/>
              <w:keepLines w:val="0"/>
              <w:widowControl w:val="0"/>
              <w:suppressLineNumbers w:val="0"/>
              <w:spacing w:before="0" w:beforeAutospacing="0" w:after="0" w:afterAutospacing="0" w:line="240" w:lineRule="auto"/>
              <w:ind w:left="0" w:right="0" w:firstLine="420"/>
              <w:jc w:val="center"/>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监测单元</w:t>
            </w:r>
          </w:p>
        </w:tc>
        <w:tc>
          <w:tcPr>
            <w:tcW w:w="5275" w:type="dxa"/>
            <w:noWrap w:val="0"/>
            <w:vAlign w:val="center"/>
          </w:tcPr>
          <w:p w14:paraId="17E19E00">
            <w:pPr>
              <w:keepNext w:val="0"/>
              <w:keepLines w:val="0"/>
              <w:widowControl w:val="0"/>
              <w:suppressLineNumbers w:val="0"/>
              <w:spacing w:before="0" w:beforeAutospacing="0" w:after="0" w:afterAutospacing="0" w:line="240" w:lineRule="auto"/>
              <w:ind w:left="0" w:right="0" w:firstLine="420"/>
              <w:jc w:val="both"/>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p>
        </w:tc>
      </w:tr>
      <w:tr w14:paraId="5D04B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09" w:type="dxa"/>
            <w:vMerge w:val="restart"/>
            <w:noWrap w:val="0"/>
            <w:vAlign w:val="center"/>
          </w:tcPr>
          <w:p w14:paraId="3B141325">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监测内容</w:t>
            </w:r>
          </w:p>
        </w:tc>
        <w:tc>
          <w:tcPr>
            <w:tcW w:w="2213" w:type="dxa"/>
            <w:noWrap w:val="0"/>
            <w:vAlign w:val="center"/>
          </w:tcPr>
          <w:p w14:paraId="0896BECE">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损毁土地面积（</w:t>
            </w:r>
            <w:r>
              <w:rPr>
                <w:rFonts w:hint="eastAsia" w:ascii="Times New Roman" w:hAnsi="Times New Roman" w:eastAsia="宋体" w:cs="Times New Roman"/>
                <w:color w:val="000000" w:themeColor="text1"/>
                <w:kern w:val="2"/>
                <w:sz w:val="21"/>
                <w:szCs w:val="21"/>
                <w:highlight w:val="none"/>
                <w:lang w:eastAsia="zh-CN"/>
                <w14:textFill>
                  <w14:solidFill>
                    <w14:schemeClr w14:val="tx1"/>
                  </w14:solidFill>
                </w14:textFill>
              </w:rPr>
              <w:t>m</w:t>
            </w:r>
            <w:r>
              <w:rPr>
                <w:rFonts w:hint="eastAsia" w:ascii="Times New Roman" w:hAnsi="Times New Roman" w:eastAsia="宋体" w:cs="Times New Roman"/>
                <w:color w:val="000000" w:themeColor="text1"/>
                <w:kern w:val="2"/>
                <w:sz w:val="21"/>
                <w:szCs w:val="21"/>
                <w:highlight w:val="none"/>
                <w:vertAlign w:val="superscript"/>
                <w:lang w:eastAsia="zh-CN"/>
                <w14:textFill>
                  <w14:solidFill>
                    <w14:schemeClr w14:val="tx1"/>
                  </w14:solidFill>
                </w14:textFill>
              </w:rPr>
              <w:t>2</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w:t>
            </w:r>
          </w:p>
        </w:tc>
        <w:tc>
          <w:tcPr>
            <w:tcW w:w="5275" w:type="dxa"/>
            <w:noWrap w:val="0"/>
            <w:vAlign w:val="center"/>
          </w:tcPr>
          <w:p w14:paraId="6EA2941B">
            <w:pPr>
              <w:keepNext w:val="0"/>
              <w:keepLines w:val="0"/>
              <w:widowControl w:val="0"/>
              <w:suppressLineNumbers w:val="0"/>
              <w:spacing w:before="0" w:beforeAutospacing="0" w:after="0" w:afterAutospacing="0" w:line="240" w:lineRule="auto"/>
              <w:ind w:left="0" w:right="0"/>
              <w:jc w:val="both"/>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p>
        </w:tc>
      </w:tr>
      <w:tr w14:paraId="1A581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09" w:type="dxa"/>
            <w:vMerge w:val="continue"/>
            <w:noWrap w:val="0"/>
            <w:vAlign w:val="center"/>
          </w:tcPr>
          <w:p w14:paraId="02F87909">
            <w:pPr>
              <w:keepNext w:val="0"/>
              <w:keepLines w:val="0"/>
              <w:widowControl w:val="0"/>
              <w:suppressLineNumbers w:val="0"/>
              <w:spacing w:before="0" w:beforeAutospacing="0" w:after="0" w:afterAutospacing="0" w:line="240" w:lineRule="auto"/>
              <w:ind w:left="0" w:right="0" w:firstLine="420"/>
              <w:jc w:val="center"/>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p>
        </w:tc>
        <w:tc>
          <w:tcPr>
            <w:tcW w:w="2213" w:type="dxa"/>
            <w:noWrap w:val="0"/>
            <w:vAlign w:val="center"/>
          </w:tcPr>
          <w:p w14:paraId="2547963C">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破坏土地利用类型</w:t>
            </w:r>
          </w:p>
        </w:tc>
        <w:tc>
          <w:tcPr>
            <w:tcW w:w="5275" w:type="dxa"/>
            <w:noWrap w:val="0"/>
            <w:vAlign w:val="center"/>
          </w:tcPr>
          <w:p w14:paraId="2EEE1E17">
            <w:pPr>
              <w:keepNext w:val="0"/>
              <w:keepLines w:val="0"/>
              <w:widowControl w:val="0"/>
              <w:suppressLineNumbers w:val="0"/>
              <w:spacing w:before="0" w:beforeAutospacing="0" w:after="0" w:afterAutospacing="0" w:line="240" w:lineRule="auto"/>
              <w:ind w:left="0" w:right="0"/>
              <w:jc w:val="both"/>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p>
        </w:tc>
      </w:tr>
      <w:tr w14:paraId="48650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09" w:type="dxa"/>
            <w:vMerge w:val="continue"/>
            <w:noWrap w:val="0"/>
            <w:vAlign w:val="center"/>
          </w:tcPr>
          <w:p w14:paraId="41256D21">
            <w:pPr>
              <w:keepNext w:val="0"/>
              <w:keepLines w:val="0"/>
              <w:widowControl w:val="0"/>
              <w:suppressLineNumbers w:val="0"/>
              <w:spacing w:before="0" w:beforeAutospacing="0" w:after="0" w:afterAutospacing="0" w:line="240" w:lineRule="auto"/>
              <w:ind w:left="0" w:right="0" w:firstLine="420"/>
              <w:jc w:val="center"/>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p>
        </w:tc>
        <w:tc>
          <w:tcPr>
            <w:tcW w:w="2213" w:type="dxa"/>
            <w:noWrap w:val="0"/>
            <w:vAlign w:val="center"/>
          </w:tcPr>
          <w:p w14:paraId="16CAD1F2">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损毁方式</w:t>
            </w:r>
          </w:p>
        </w:tc>
        <w:tc>
          <w:tcPr>
            <w:tcW w:w="5275" w:type="dxa"/>
            <w:noWrap w:val="0"/>
            <w:vAlign w:val="center"/>
          </w:tcPr>
          <w:p w14:paraId="45AB3DF2">
            <w:pPr>
              <w:keepNext w:val="0"/>
              <w:keepLines w:val="0"/>
              <w:widowControl w:val="0"/>
              <w:suppressLineNumbers w:val="0"/>
              <w:spacing w:before="0" w:beforeAutospacing="0" w:after="0" w:afterAutospacing="0" w:line="240" w:lineRule="auto"/>
              <w:ind w:left="0" w:right="0"/>
              <w:jc w:val="both"/>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p>
        </w:tc>
      </w:tr>
      <w:tr w14:paraId="3B5FE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09" w:type="dxa"/>
            <w:vMerge w:val="continue"/>
            <w:noWrap w:val="0"/>
            <w:vAlign w:val="center"/>
          </w:tcPr>
          <w:p w14:paraId="01CDD4C2">
            <w:pPr>
              <w:keepNext w:val="0"/>
              <w:keepLines w:val="0"/>
              <w:widowControl w:val="0"/>
              <w:suppressLineNumbers w:val="0"/>
              <w:spacing w:before="0" w:beforeAutospacing="0" w:after="0" w:afterAutospacing="0" w:line="240" w:lineRule="auto"/>
              <w:ind w:left="0" w:right="0" w:firstLine="420"/>
              <w:jc w:val="center"/>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p>
        </w:tc>
        <w:tc>
          <w:tcPr>
            <w:tcW w:w="2213" w:type="dxa"/>
            <w:noWrap w:val="0"/>
            <w:vAlign w:val="center"/>
          </w:tcPr>
          <w:p w14:paraId="0FB7CBA6">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损毁程度</w:t>
            </w:r>
          </w:p>
        </w:tc>
        <w:tc>
          <w:tcPr>
            <w:tcW w:w="5275" w:type="dxa"/>
            <w:noWrap w:val="0"/>
            <w:vAlign w:val="center"/>
          </w:tcPr>
          <w:p w14:paraId="55077981">
            <w:pPr>
              <w:keepNext w:val="0"/>
              <w:keepLines w:val="0"/>
              <w:widowControl w:val="0"/>
              <w:suppressLineNumbers w:val="0"/>
              <w:spacing w:before="0" w:beforeAutospacing="0" w:after="0" w:afterAutospacing="0" w:line="240" w:lineRule="auto"/>
              <w:ind w:left="0" w:right="0"/>
              <w:jc w:val="both"/>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p>
        </w:tc>
      </w:tr>
      <w:tr w14:paraId="60907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09" w:type="dxa"/>
            <w:vMerge w:val="continue"/>
            <w:noWrap w:val="0"/>
            <w:vAlign w:val="center"/>
          </w:tcPr>
          <w:p w14:paraId="5FA0CB9B">
            <w:pPr>
              <w:keepNext w:val="0"/>
              <w:keepLines w:val="0"/>
              <w:widowControl w:val="0"/>
              <w:suppressLineNumbers w:val="0"/>
              <w:spacing w:before="0" w:beforeAutospacing="0" w:after="0" w:afterAutospacing="0" w:line="240" w:lineRule="auto"/>
              <w:ind w:left="0" w:right="0" w:firstLine="420"/>
              <w:jc w:val="center"/>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p>
        </w:tc>
        <w:tc>
          <w:tcPr>
            <w:tcW w:w="2213" w:type="dxa"/>
            <w:noWrap w:val="0"/>
            <w:vAlign w:val="center"/>
          </w:tcPr>
          <w:p w14:paraId="54A04157">
            <w:pPr>
              <w:keepNext w:val="0"/>
              <w:keepLines w:val="0"/>
              <w:widowControl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治理难度</w:t>
            </w:r>
          </w:p>
        </w:tc>
        <w:tc>
          <w:tcPr>
            <w:tcW w:w="5275" w:type="dxa"/>
            <w:noWrap w:val="0"/>
            <w:vAlign w:val="center"/>
          </w:tcPr>
          <w:p w14:paraId="745CD61E">
            <w:pPr>
              <w:keepNext w:val="0"/>
              <w:keepLines w:val="0"/>
              <w:widowControl w:val="0"/>
              <w:suppressLineNumbers w:val="0"/>
              <w:spacing w:before="0" w:beforeAutospacing="0" w:after="0" w:afterAutospacing="0" w:line="240" w:lineRule="auto"/>
              <w:ind w:left="0" w:right="0"/>
              <w:jc w:val="both"/>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p>
        </w:tc>
      </w:tr>
      <w:tr w14:paraId="35A64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22" w:type="dxa"/>
            <w:gridSpan w:val="2"/>
            <w:noWrap w:val="0"/>
            <w:vAlign w:val="center"/>
          </w:tcPr>
          <w:p w14:paraId="106799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监测人员</w:t>
            </w:r>
          </w:p>
        </w:tc>
        <w:tc>
          <w:tcPr>
            <w:tcW w:w="5275" w:type="dxa"/>
            <w:noWrap w:val="0"/>
            <w:vAlign w:val="center"/>
          </w:tcPr>
          <w:p w14:paraId="63082C08">
            <w:pPr>
              <w:keepNext w:val="0"/>
              <w:keepLines w:val="0"/>
              <w:widowControl w:val="0"/>
              <w:suppressLineNumbers w:val="0"/>
              <w:spacing w:before="0" w:beforeAutospacing="0" w:after="0" w:afterAutospacing="0" w:line="240" w:lineRule="auto"/>
              <w:ind w:left="0" w:right="0" w:firstLine="420"/>
              <w:jc w:val="both"/>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p>
        </w:tc>
      </w:tr>
      <w:tr w14:paraId="675B1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22" w:type="dxa"/>
            <w:gridSpan w:val="2"/>
            <w:noWrap w:val="0"/>
            <w:vAlign w:val="center"/>
          </w:tcPr>
          <w:p w14:paraId="5C9438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存在问题</w:t>
            </w:r>
          </w:p>
        </w:tc>
        <w:tc>
          <w:tcPr>
            <w:tcW w:w="5275" w:type="dxa"/>
            <w:noWrap w:val="0"/>
            <w:vAlign w:val="center"/>
          </w:tcPr>
          <w:p w14:paraId="7628B834">
            <w:pPr>
              <w:keepNext w:val="0"/>
              <w:keepLines w:val="0"/>
              <w:widowControl w:val="0"/>
              <w:suppressLineNumbers w:val="0"/>
              <w:spacing w:before="0" w:beforeAutospacing="0" w:after="0" w:afterAutospacing="0" w:line="240" w:lineRule="auto"/>
              <w:ind w:left="0" w:right="0" w:firstLine="420"/>
              <w:jc w:val="both"/>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p>
        </w:tc>
      </w:tr>
      <w:tr w14:paraId="16DBE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22" w:type="dxa"/>
            <w:gridSpan w:val="2"/>
            <w:noWrap w:val="0"/>
            <w:vAlign w:val="center"/>
          </w:tcPr>
          <w:p w14:paraId="544985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处理意见</w:t>
            </w:r>
          </w:p>
        </w:tc>
        <w:tc>
          <w:tcPr>
            <w:tcW w:w="5275" w:type="dxa"/>
            <w:noWrap w:val="0"/>
            <w:vAlign w:val="center"/>
          </w:tcPr>
          <w:p w14:paraId="6FCE73D6">
            <w:pPr>
              <w:keepNext w:val="0"/>
              <w:keepLines w:val="0"/>
              <w:widowControl w:val="0"/>
              <w:suppressLineNumbers w:val="0"/>
              <w:spacing w:before="0" w:beforeAutospacing="0" w:after="0" w:afterAutospacing="0" w:line="240" w:lineRule="auto"/>
              <w:ind w:left="0" w:right="0" w:firstLine="420"/>
              <w:jc w:val="both"/>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p>
        </w:tc>
      </w:tr>
      <w:tr w14:paraId="55D19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22" w:type="dxa"/>
            <w:gridSpan w:val="2"/>
            <w:noWrap w:val="0"/>
            <w:vAlign w:val="center"/>
          </w:tcPr>
          <w:p w14:paraId="77B88D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处理结果</w:t>
            </w:r>
          </w:p>
        </w:tc>
        <w:tc>
          <w:tcPr>
            <w:tcW w:w="5275" w:type="dxa"/>
            <w:noWrap w:val="0"/>
            <w:vAlign w:val="center"/>
          </w:tcPr>
          <w:p w14:paraId="25A92602">
            <w:pPr>
              <w:keepNext w:val="0"/>
              <w:keepLines w:val="0"/>
              <w:widowControl w:val="0"/>
              <w:suppressLineNumbers w:val="0"/>
              <w:spacing w:before="0" w:beforeAutospacing="0" w:after="0" w:afterAutospacing="0" w:line="240" w:lineRule="auto"/>
              <w:ind w:left="0" w:right="0" w:firstLine="420"/>
              <w:jc w:val="both"/>
              <w:rPr>
                <w:rFonts w:hint="default" w:ascii="Times New Roman" w:hAnsi="Times New Roman" w:eastAsia="宋体" w:cs="Times New Roman"/>
                <w:color w:val="000000" w:themeColor="text1"/>
                <w:kern w:val="2"/>
                <w:sz w:val="21"/>
                <w:szCs w:val="21"/>
                <w:highlight w:val="none"/>
                <w14:textFill>
                  <w14:solidFill>
                    <w14:schemeClr w14:val="tx1"/>
                  </w14:solidFill>
                </w14:textFill>
              </w:rPr>
            </w:pPr>
          </w:p>
        </w:tc>
      </w:tr>
    </w:tbl>
    <w:p w14:paraId="046CDB8B">
      <w:pPr>
        <w:keepNext w:val="0"/>
        <w:keepLines w:val="0"/>
        <w:pageBreakBefore w:val="0"/>
        <w:widowControl/>
        <w:kinsoku/>
        <w:wordWrap/>
        <w:overflowPunct/>
        <w:topLinePunct w:val="0"/>
        <w:autoSpaceDE/>
        <w:autoSpaceDN/>
        <w:bidi w:val="0"/>
        <w:adjustRightInd/>
        <w:snapToGrid/>
        <w:spacing w:before="157" w:beforeLines="50" w:after="0" w:line="360" w:lineRule="auto"/>
        <w:ind w:firstLine="560" w:firstLineChars="200"/>
        <w:contextualSpacing/>
        <w:jc w:val="left"/>
        <w:textAlignment w:val="auto"/>
        <w:rPr>
          <w:rFonts w:hint="default" w:ascii="Times New Roman" w:hAnsi="Times New Roman" w:eastAsia="宋体" w:cs="Times New Roman"/>
          <w:color w:val="000000" w:themeColor="text1"/>
          <w:sz w:val="28"/>
          <w:szCs w:val="28"/>
          <w:highlight w:val="none"/>
          <w14:textFill>
            <w14:solidFill>
              <w14:schemeClr w14:val="tx1"/>
            </w14:solidFill>
          </w14:textFill>
        </w:rPr>
      </w:pP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14:textFill>
            <w14:solidFill>
              <w14:schemeClr w14:val="tx1"/>
            </w14:solidFill>
          </w14:textFill>
        </w:rPr>
        <w:t>监测频率</w:t>
      </w:r>
    </w:p>
    <w:p w14:paraId="7D8BC326">
      <w:pPr>
        <w:keepNext w:val="0"/>
        <w:keepLines w:val="0"/>
        <w:pageBreakBefore w:val="0"/>
        <w:widowControl/>
        <w:kinsoku/>
        <w:wordWrap/>
        <w:overflowPunct/>
        <w:topLinePunct w:val="0"/>
        <w:autoSpaceDE/>
        <w:autoSpaceDN/>
        <w:bidi w:val="0"/>
        <w:adjustRightInd/>
        <w:snapToGrid/>
        <w:spacing w:after="0" w:line="360" w:lineRule="auto"/>
        <w:ind w:firstLine="560" w:firstLineChars="200"/>
        <w:contextualSpacing/>
        <w:jc w:val="left"/>
        <w:textAlignment w:val="auto"/>
        <w:rPr>
          <w:rFonts w:hint="default" w:ascii="Times New Roman" w:hAnsi="Times New Roman" w:eastAsia="宋体" w:cs="Times New Roman"/>
          <w:color w:val="000000" w:themeColor="text1"/>
          <w:sz w:val="28"/>
          <w:szCs w:val="28"/>
          <w:highlight w:val="none"/>
          <w14:textFill>
            <w14:solidFill>
              <w14:schemeClr w14:val="tx1"/>
            </w14:solidFill>
          </w14:textFill>
        </w:rPr>
      </w:pPr>
      <w:r>
        <w:rPr>
          <w:rFonts w:hint="default" w:ascii="Times New Roman" w:hAnsi="Times New Roman" w:eastAsia="宋体" w:cs="Times New Roman"/>
          <w:color w:val="000000" w:themeColor="text1"/>
          <w:sz w:val="28"/>
          <w:szCs w:val="28"/>
          <w:highlight w:val="none"/>
          <w14:textFill>
            <w14:solidFill>
              <w14:schemeClr w14:val="tx1"/>
            </w14:solidFill>
          </w14:textFill>
        </w:rPr>
        <w:t>每月</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监</w:t>
      </w:r>
      <w:r>
        <w:rPr>
          <w:rFonts w:hint="default" w:ascii="Times New Roman" w:hAnsi="Times New Roman" w:eastAsia="宋体" w:cs="Times New Roman"/>
          <w:color w:val="000000" w:themeColor="text1"/>
          <w:sz w:val="28"/>
          <w:szCs w:val="28"/>
          <w:highlight w:val="none"/>
          <w14:textFill>
            <w14:solidFill>
              <w14:schemeClr w14:val="tx1"/>
            </w14:solidFill>
          </w14:textFill>
        </w:rPr>
        <w:t>测1次，每年对场地占用情况进行一次仪器测量并拍照摄像。</w:t>
      </w:r>
    </w:p>
    <w:p w14:paraId="2B703136">
      <w:pPr>
        <w:topLinePunct/>
        <w:spacing w:line="360" w:lineRule="auto"/>
        <w:ind w:firstLine="560" w:firstLineChars="200"/>
        <w:rPr>
          <w:rFonts w:hint="default" w:ascii="Times New Roman" w:hAnsi="Times New Roman" w:eastAsia="宋体" w:cs="Times New Roman"/>
          <w:b/>
          <w:bCs/>
          <w:color w:val="000000" w:themeColor="text1"/>
          <w:sz w:val="28"/>
          <w:szCs w:val="28"/>
          <w:highlight w:val="none"/>
          <w14:textFill>
            <w14:solidFill>
              <w14:schemeClr w14:val="tx1"/>
            </w14:solidFill>
          </w14:textFill>
        </w:rPr>
      </w:pP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8"/>
          <w:szCs w:val="28"/>
          <w:highlight w:val="none"/>
          <w14:textFill>
            <w14:solidFill>
              <w14:schemeClr w14:val="tx1"/>
            </w14:solidFill>
          </w14:textFill>
        </w:rPr>
        <w:t>监测时间：</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202</w:t>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年</w:t>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月1日至20</w:t>
      </w:r>
      <w:r>
        <w:rPr>
          <w:rFonts w:hint="eastAsia" w:cs="Times New Roman"/>
          <w:color w:val="000000" w:themeColor="text1"/>
          <w:kern w:val="2"/>
          <w:sz w:val="28"/>
          <w:szCs w:val="28"/>
          <w:highlight w:val="none"/>
          <w:lang w:val="en-US" w:eastAsia="zh-CN"/>
          <w14:textFill>
            <w14:solidFill>
              <w14:schemeClr w14:val="tx1"/>
            </w14:solidFill>
          </w14:textFill>
        </w:rPr>
        <w:t>38</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年</w:t>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12</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月</w:t>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31</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日</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共1</w:t>
      </w:r>
      <w:r>
        <w:rPr>
          <w:rFonts w:hint="eastAsia" w:cs="Times New Roman"/>
          <w:color w:val="000000" w:themeColor="text1"/>
          <w:sz w:val="28"/>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年</w:t>
      </w:r>
      <w:r>
        <w:rPr>
          <w:rFonts w:hint="default" w:ascii="Times New Roman" w:hAnsi="Times New Roman" w:eastAsia="宋体" w:cs="Times New Roman"/>
          <w:color w:val="000000" w:themeColor="text1"/>
          <w:sz w:val="28"/>
          <w:szCs w:val="21"/>
          <w:highlight w:val="none"/>
          <w14:textFill>
            <w14:solidFill>
              <w14:schemeClr w14:val="tx1"/>
            </w14:solidFill>
          </w14:textFill>
        </w:rPr>
        <w:t>。</w:t>
      </w:r>
    </w:p>
    <w:p w14:paraId="3105CE6E">
      <w:pPr>
        <w:rPr>
          <w:rFonts w:hint="eastAsia" w:hAnsi="Times New Roman" w:cs="Times New Roman"/>
          <w:b/>
          <w:bCs/>
          <w:color w:val="000000" w:themeColor="text1"/>
          <w:sz w:val="28"/>
          <w:szCs w:val="24"/>
          <w:lang w:val="en-US" w:eastAsia="zh-CN"/>
          <w14:textFill>
            <w14:solidFill>
              <w14:schemeClr w14:val="tx1"/>
            </w14:solidFill>
          </w14:textFill>
        </w:rPr>
      </w:pPr>
      <w:r>
        <w:rPr>
          <w:rFonts w:hint="eastAsia" w:hAnsi="Times New Roman" w:cs="Times New Roman"/>
          <w:b/>
          <w:bCs/>
          <w:color w:val="000000" w:themeColor="text1"/>
          <w:sz w:val="28"/>
          <w:szCs w:val="24"/>
          <w:lang w:val="en-US" w:eastAsia="zh-CN"/>
          <w14:textFill>
            <w14:solidFill>
              <w14:schemeClr w14:val="tx1"/>
            </w14:solidFill>
          </w14:textFill>
        </w:rPr>
        <w:br w:type="page"/>
      </w:r>
    </w:p>
    <w:p w14:paraId="7CA02624">
      <w:pPr>
        <w:pStyle w:val="5"/>
        <w:bidi w:val="0"/>
        <w:spacing w:line="360" w:lineRule="auto"/>
        <w:ind w:firstLine="562" w:firstLineChars="200"/>
        <w:rPr>
          <w:rFonts w:hint="default" w:hAnsi="Times New Roman" w:cs="Times New Roman"/>
          <w:b/>
          <w:bCs/>
          <w:color w:val="000000" w:themeColor="text1"/>
          <w:sz w:val="28"/>
          <w:szCs w:val="24"/>
          <w:lang w:val="en-US" w:eastAsia="zh-CN"/>
          <w14:textFill>
            <w14:solidFill>
              <w14:schemeClr w14:val="tx1"/>
            </w14:solidFill>
          </w14:textFill>
        </w:rPr>
      </w:pPr>
      <w:r>
        <w:rPr>
          <w:rFonts w:hint="eastAsia" w:hAnsi="Times New Roman" w:cs="Times New Roman"/>
          <w:b/>
          <w:bCs/>
          <w:color w:val="000000" w:themeColor="text1"/>
          <w:sz w:val="28"/>
          <w:szCs w:val="24"/>
          <w:lang w:val="en-US" w:eastAsia="zh-CN"/>
          <w14:textFill>
            <w14:solidFill>
              <w14:schemeClr w14:val="tx1"/>
            </w14:solidFill>
          </w14:textFill>
        </w:rPr>
        <w:t>三、</w:t>
      </w:r>
      <w:r>
        <w:rPr>
          <w:rFonts w:hint="default" w:hAnsi="Times New Roman" w:cs="Times New Roman"/>
          <w:b/>
          <w:bCs/>
          <w:color w:val="000000" w:themeColor="text1"/>
          <w:sz w:val="28"/>
          <w:szCs w:val="24"/>
          <w:lang w:val="en-US" w:eastAsia="zh-CN"/>
          <w14:textFill>
            <w14:solidFill>
              <w14:schemeClr w14:val="tx1"/>
            </w14:solidFill>
          </w14:textFill>
        </w:rPr>
        <w:t>土地资源监测</w:t>
      </w:r>
    </w:p>
    <w:p w14:paraId="1E2F1C6F">
      <w:pPr>
        <w:topLinePunct/>
        <w:spacing w:line="360" w:lineRule="auto"/>
        <w:ind w:firstLine="560" w:firstLineChars="200"/>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8"/>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监测要求</w:t>
      </w:r>
    </w:p>
    <w:p w14:paraId="5E959FAB">
      <w:pPr>
        <w:topLinePunct/>
        <w:spacing w:line="360" w:lineRule="auto"/>
        <w:ind w:firstLine="560" w:firstLineChars="200"/>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利用矿区土地利用现状图为底图，标注地形要素、地类线、地类编码，标注每个土地损毁监测区。统计损毁地类、面积，并辅以拍照录像等手段记录土地损毁情况，并将监测数据填表存档。</w:t>
      </w:r>
    </w:p>
    <w:p w14:paraId="640A6378">
      <w:pPr>
        <w:topLinePunct/>
        <w:spacing w:line="360" w:lineRule="auto"/>
        <w:ind w:firstLine="560" w:firstLineChars="200"/>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8"/>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监测内容和方法</w:t>
      </w:r>
    </w:p>
    <w:p w14:paraId="3DB1484C">
      <w:pPr>
        <w:topLinePunct/>
        <w:spacing w:line="360" w:lineRule="auto"/>
        <w:ind w:firstLine="560" w:firstLineChars="200"/>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监测方法结合地形地貌景观监测方法，采取路线法进行巡回监测。对各损毁场地的损毁土地情况采取摄像的方式进行定位定量监测，测量损毁土地面积，并结合人工巡视，确定土地损毁程度。</w:t>
      </w:r>
    </w:p>
    <w:p w14:paraId="66833E4C">
      <w:pPr>
        <w:topLinePunct/>
        <w:spacing w:line="360" w:lineRule="auto"/>
        <w:ind w:firstLine="560" w:firstLineChars="200"/>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8"/>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施测时间及频率</w:t>
      </w:r>
    </w:p>
    <w:p w14:paraId="5A2C795B">
      <w:pPr>
        <w:topLinePunct/>
        <w:spacing w:line="360" w:lineRule="auto"/>
        <w:ind w:firstLine="560" w:firstLineChars="200"/>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监测频率</w:t>
      </w:r>
      <w:r>
        <w:rPr>
          <w:rFonts w:hint="eastAsia" w:ascii="Times New Roman" w:hAnsi="Times New Roman" w:eastAsia="宋体" w:cs="Times New Roman"/>
          <w:color w:val="000000" w:themeColor="text1"/>
          <w:sz w:val="28"/>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次/年，自</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202</w:t>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年</w:t>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月1日至20</w:t>
      </w:r>
      <w:r>
        <w:rPr>
          <w:rFonts w:hint="eastAsia" w:cs="Times New Roman"/>
          <w:color w:val="000000" w:themeColor="text1"/>
          <w:kern w:val="2"/>
          <w:sz w:val="28"/>
          <w:szCs w:val="28"/>
          <w:highlight w:val="none"/>
          <w:lang w:val="en-US" w:eastAsia="zh-CN"/>
          <w14:textFill>
            <w14:solidFill>
              <w14:schemeClr w14:val="tx1"/>
            </w14:solidFill>
          </w14:textFill>
        </w:rPr>
        <w:t>38</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年</w:t>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12</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月</w:t>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31</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日</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共1</w:t>
      </w:r>
      <w:r>
        <w:rPr>
          <w:rFonts w:hint="eastAsia" w:cs="Times New Roman"/>
          <w:color w:val="000000" w:themeColor="text1"/>
          <w:sz w:val="28"/>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年。</w:t>
      </w:r>
    </w:p>
    <w:p w14:paraId="675F6894">
      <w:pPr>
        <w:pStyle w:val="5"/>
        <w:bidi w:val="0"/>
        <w:spacing w:line="360" w:lineRule="auto"/>
        <w:ind w:firstLine="562" w:firstLineChars="200"/>
        <w:rPr>
          <w:rFonts w:hint="default" w:hAnsi="Times New Roman" w:cs="Times New Roman"/>
          <w:b/>
          <w:bCs/>
          <w:color w:val="000000" w:themeColor="text1"/>
          <w:sz w:val="28"/>
          <w:szCs w:val="24"/>
          <w:lang w:val="en-US" w:eastAsia="zh-CN"/>
          <w14:textFill>
            <w14:solidFill>
              <w14:schemeClr w14:val="tx1"/>
            </w14:solidFill>
          </w14:textFill>
        </w:rPr>
      </w:pPr>
      <w:r>
        <w:rPr>
          <w:rFonts w:hint="eastAsia" w:hAnsi="Times New Roman" w:cs="Times New Roman"/>
          <w:b/>
          <w:bCs/>
          <w:color w:val="000000" w:themeColor="text1"/>
          <w:sz w:val="28"/>
          <w:szCs w:val="24"/>
          <w:lang w:val="en-US" w:eastAsia="zh-CN"/>
          <w14:textFill>
            <w14:solidFill>
              <w14:schemeClr w14:val="tx1"/>
            </w14:solidFill>
          </w14:textFill>
        </w:rPr>
        <w:t>四、</w:t>
      </w:r>
      <w:r>
        <w:rPr>
          <w:rFonts w:hint="default" w:hAnsi="Times New Roman" w:cs="Times New Roman"/>
          <w:b/>
          <w:bCs/>
          <w:color w:val="000000" w:themeColor="text1"/>
          <w:sz w:val="28"/>
          <w:szCs w:val="24"/>
          <w:lang w:val="en-US" w:eastAsia="zh-CN"/>
          <w14:textFill>
            <w14:solidFill>
              <w14:schemeClr w14:val="tx1"/>
            </w14:solidFill>
          </w14:textFill>
        </w:rPr>
        <w:t>生态系统监测</w:t>
      </w:r>
    </w:p>
    <w:p w14:paraId="687BF545">
      <w:pPr>
        <w:spacing w:line="360" w:lineRule="auto"/>
        <w:ind w:firstLine="560" w:firstLineChars="200"/>
        <w:outlineLvl w:val="4"/>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color w:val="000000" w:themeColor="text1"/>
          <w:sz w:val="28"/>
          <w:szCs w:val="28"/>
          <w:lang w:val="en-US" w:eastAsia="zh-CN"/>
          <w14:textFill>
            <w14:solidFill>
              <w14:schemeClr w14:val="tx1"/>
            </w14:solidFill>
          </w14:textFill>
        </w:rPr>
        <w:t>1、气象要素指标监测</w:t>
      </w:r>
    </w:p>
    <w:p w14:paraId="38D55C2B">
      <w:pPr>
        <w:topLinePunct/>
        <w:spacing w:line="360" w:lineRule="auto"/>
        <w:ind w:firstLine="560" w:firstLineChars="200"/>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pPr>
      <w:r>
        <w:rPr>
          <w:rFonts w:hint="eastAsia" w:eastAsia="宋体" w:cs="Times New Roman"/>
          <w:color w:val="000000" w:themeColor="text1"/>
          <w:sz w:val="28"/>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监测内容</w:t>
      </w:r>
    </w:p>
    <w:p w14:paraId="319FFE27">
      <w:pPr>
        <w:keepNext w:val="0"/>
        <w:keepLines w:val="0"/>
        <w:pageBreakBefore w:val="0"/>
        <w:widowControl w:val="0"/>
        <w:wordWrap/>
        <w:overflowPunct/>
        <w:bidi w:val="0"/>
        <w:adjustRightInd/>
        <w:snapToGrid/>
        <w:spacing w:line="360" w:lineRule="auto"/>
        <w:ind w:left="0" w:right="0" w:firstLine="560" w:firstLineChars="200"/>
        <w:jc w:val="left"/>
        <w:textAlignment w:val="auto"/>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pPr>
      <w:r>
        <w:rPr>
          <w:rFonts w:hint="eastAsia" w:eastAsia="宋体" w:cs="Times New Roman"/>
          <w:b w:val="0"/>
          <w:bCs w:val="0"/>
          <w:color w:val="000000" w:themeColor="text1"/>
          <w:sz w:val="28"/>
          <w:szCs w:val="28"/>
          <w:highlight w:val="none"/>
          <w:lang w:val="en-US" w:eastAsia="zh-CN" w:bidi="ar-SA"/>
          <w14:textFill>
            <w14:solidFill>
              <w14:schemeClr w14:val="tx1"/>
            </w14:solidFill>
          </w14:textFill>
        </w:rPr>
        <w:t>监测内容为：</w:t>
      </w:r>
      <w:r>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t>降雨量、蒸发量、空气温度与湿度、平均风速与最多风向、地面温度及浅层地温（5cm，10cm，15cm，20cm）、日照时数。</w:t>
      </w:r>
    </w:p>
    <w:p w14:paraId="6BFD8E72">
      <w:pPr>
        <w:keepNext w:val="0"/>
        <w:keepLines w:val="0"/>
        <w:pageBreakBefore w:val="0"/>
        <w:widowControl w:val="0"/>
        <w:numPr>
          <w:ilvl w:val="0"/>
          <w:numId w:val="0"/>
        </w:numPr>
        <w:wordWrap/>
        <w:overflowPunct/>
        <w:bidi w:val="0"/>
        <w:adjustRightInd/>
        <w:snapToGrid/>
        <w:spacing w:line="360" w:lineRule="auto"/>
        <w:ind w:leftChars="200" w:right="0" w:rightChars="0"/>
        <w:jc w:val="left"/>
        <w:textAlignment w:val="auto"/>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pPr>
      <w:r>
        <w:rPr>
          <w:rFonts w:hint="eastAsia" w:eastAsia="宋体" w:cs="Times New Roman"/>
          <w:b w:val="0"/>
          <w:bCs w:val="0"/>
          <w:color w:val="000000" w:themeColor="text1"/>
          <w:sz w:val="28"/>
          <w:szCs w:val="28"/>
          <w:highlight w:val="none"/>
          <w:lang w:val="en-US" w:eastAsia="zh-CN" w:bidi="ar-SA"/>
          <w14:textFill>
            <w14:solidFill>
              <w14:schemeClr w14:val="tx1"/>
            </w14:solidFill>
          </w14:textFill>
        </w:rPr>
        <w:t>（2）</w:t>
      </w:r>
      <w:r>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t>监测点布设</w:t>
      </w:r>
    </w:p>
    <w:p w14:paraId="1743DFD9">
      <w:pPr>
        <w:keepNext w:val="0"/>
        <w:keepLines w:val="0"/>
        <w:pageBreakBefore w:val="0"/>
        <w:widowControl w:val="0"/>
        <w:wordWrap/>
        <w:overflowPunct/>
        <w:bidi w:val="0"/>
        <w:adjustRightInd/>
        <w:snapToGrid/>
        <w:spacing w:line="360" w:lineRule="auto"/>
        <w:ind w:left="0" w:right="0" w:firstLine="560" w:firstLineChars="200"/>
        <w:jc w:val="left"/>
        <w:textAlignment w:val="auto"/>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t>在复垦区中心区域（代表性地点）和对照区（未受扰动的原生自然区域）各建立1个标准气象观测场。选址需远离高大建筑物和树木，下垫面均一、开阔。</w:t>
      </w:r>
    </w:p>
    <w:p w14:paraId="15B5F79C">
      <w:pPr>
        <w:keepNext w:val="0"/>
        <w:keepLines w:val="0"/>
        <w:pageBreakBefore w:val="0"/>
        <w:widowControl w:val="0"/>
        <w:wordWrap/>
        <w:overflowPunct/>
        <w:bidi w:val="0"/>
        <w:adjustRightInd/>
        <w:snapToGrid/>
        <w:spacing w:line="360" w:lineRule="auto"/>
        <w:ind w:left="0" w:right="0" w:firstLine="560" w:firstLineChars="200"/>
        <w:jc w:val="left"/>
        <w:textAlignment w:val="auto"/>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pPr>
      <w:r>
        <w:rPr>
          <w:rFonts w:hint="eastAsia" w:eastAsia="宋体" w:cs="Times New Roman"/>
          <w:b w:val="0"/>
          <w:bCs w:val="0"/>
          <w:color w:val="000000" w:themeColor="text1"/>
          <w:sz w:val="28"/>
          <w:szCs w:val="28"/>
          <w:highlight w:val="none"/>
          <w:lang w:val="en-US" w:eastAsia="zh-CN" w:bidi="ar-SA"/>
          <w14:textFill>
            <w14:solidFill>
              <w14:schemeClr w14:val="tx1"/>
            </w14:solidFill>
          </w14:textFill>
        </w:rPr>
        <w:t>（3）</w:t>
      </w:r>
      <w:r>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t>监测方法</w:t>
      </w:r>
    </w:p>
    <w:p w14:paraId="3FBD1793">
      <w:pPr>
        <w:keepNext w:val="0"/>
        <w:keepLines w:val="0"/>
        <w:pageBreakBefore w:val="0"/>
        <w:widowControl w:val="0"/>
        <w:wordWrap/>
        <w:overflowPunct/>
        <w:bidi w:val="0"/>
        <w:adjustRightInd/>
        <w:snapToGrid/>
        <w:spacing w:line="360" w:lineRule="auto"/>
        <w:ind w:left="0" w:right="0" w:firstLine="560" w:firstLineChars="200"/>
        <w:jc w:val="left"/>
        <w:textAlignment w:val="auto"/>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t>自动气象站监测：核心方法。安装集成传感器，自动连续采集、存储和无线传输上述所有气象数据。</w:t>
      </w:r>
    </w:p>
    <w:p w14:paraId="3CA668AC">
      <w:pPr>
        <w:keepNext w:val="0"/>
        <w:keepLines w:val="0"/>
        <w:pageBreakBefore w:val="0"/>
        <w:widowControl w:val="0"/>
        <w:wordWrap/>
        <w:overflowPunct/>
        <w:bidi w:val="0"/>
        <w:adjustRightInd/>
        <w:snapToGrid/>
        <w:spacing w:line="360" w:lineRule="auto"/>
        <w:ind w:left="0" w:right="0" w:firstLine="560" w:firstLineChars="200"/>
        <w:jc w:val="left"/>
        <w:textAlignment w:val="auto"/>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t>人工辅助观测：作为备份和校准手段。使用标准雨量筒、小型蒸发皿、干湿球温度计、风速风向仪、地面温度计等进行定期观测。</w:t>
      </w:r>
    </w:p>
    <w:p w14:paraId="27F30D6D">
      <w:pPr>
        <w:keepNext w:val="0"/>
        <w:keepLines w:val="0"/>
        <w:pageBreakBefore w:val="0"/>
        <w:widowControl w:val="0"/>
        <w:wordWrap/>
        <w:overflowPunct/>
        <w:bidi w:val="0"/>
        <w:adjustRightInd/>
        <w:snapToGrid/>
        <w:spacing w:line="360" w:lineRule="auto"/>
        <w:ind w:left="0" w:right="0" w:firstLine="560" w:firstLineChars="200"/>
        <w:jc w:val="left"/>
        <w:textAlignment w:val="auto"/>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pPr>
      <w:r>
        <w:rPr>
          <w:rFonts w:hint="eastAsia" w:eastAsia="宋体" w:cs="Times New Roman"/>
          <w:b w:val="0"/>
          <w:bCs w:val="0"/>
          <w:color w:val="000000" w:themeColor="text1"/>
          <w:sz w:val="28"/>
          <w:szCs w:val="28"/>
          <w:highlight w:val="none"/>
          <w:lang w:val="en-US" w:eastAsia="zh-CN" w:bidi="ar-SA"/>
          <w14:textFill>
            <w14:solidFill>
              <w14:schemeClr w14:val="tx1"/>
            </w14:solidFill>
          </w14:textFill>
        </w:rPr>
        <w:t>（4）</w:t>
      </w:r>
      <w:r>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t>监测要求</w:t>
      </w:r>
    </w:p>
    <w:p w14:paraId="027AECBB">
      <w:pPr>
        <w:keepNext w:val="0"/>
        <w:keepLines w:val="0"/>
        <w:pageBreakBefore w:val="0"/>
        <w:widowControl w:val="0"/>
        <w:wordWrap/>
        <w:overflowPunct/>
        <w:bidi w:val="0"/>
        <w:adjustRightInd/>
        <w:snapToGrid/>
        <w:spacing w:line="360" w:lineRule="auto"/>
        <w:ind w:left="0" w:right="0" w:firstLine="560" w:firstLineChars="200"/>
        <w:jc w:val="left"/>
        <w:textAlignment w:val="auto"/>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t>自动气象站需符合国家气象观测标准，定期（至少每季度1次）进行校准和维护。建立连续、完整的数据库，数据采集频率建议不低于1次/小时。</w:t>
      </w:r>
    </w:p>
    <w:p w14:paraId="5FA999A7">
      <w:pPr>
        <w:keepNext w:val="0"/>
        <w:keepLines w:val="0"/>
        <w:pageBreakBefore w:val="0"/>
        <w:widowControl w:val="0"/>
        <w:numPr>
          <w:ilvl w:val="0"/>
          <w:numId w:val="0"/>
        </w:numPr>
        <w:wordWrap/>
        <w:overflowPunct/>
        <w:bidi w:val="0"/>
        <w:adjustRightInd/>
        <w:snapToGrid/>
        <w:spacing w:line="360" w:lineRule="auto"/>
        <w:ind w:leftChars="200" w:right="0" w:rightChars="0"/>
        <w:jc w:val="left"/>
        <w:textAlignment w:val="auto"/>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pPr>
      <w:r>
        <w:rPr>
          <w:rFonts w:hint="eastAsia" w:eastAsia="宋体" w:cs="Times New Roman"/>
          <w:b w:val="0"/>
          <w:bCs w:val="0"/>
          <w:color w:val="000000" w:themeColor="text1"/>
          <w:sz w:val="28"/>
          <w:szCs w:val="28"/>
          <w:highlight w:val="none"/>
          <w:lang w:val="en-US" w:eastAsia="zh-CN" w:bidi="ar-SA"/>
          <w14:textFill>
            <w14:solidFill>
              <w14:schemeClr w14:val="tx1"/>
            </w14:solidFill>
          </w14:textFill>
        </w:rPr>
        <w:t>（5）</w:t>
      </w:r>
      <w:r>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t>监测期限</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、频率</w:t>
      </w:r>
    </w:p>
    <w:p w14:paraId="6E508B22">
      <w:pPr>
        <w:keepNext w:val="0"/>
        <w:keepLines w:val="0"/>
        <w:pageBreakBefore w:val="0"/>
        <w:widowControl w:val="0"/>
        <w:wordWrap/>
        <w:overflowPunct/>
        <w:bidi w:val="0"/>
        <w:adjustRightInd/>
        <w:snapToGrid/>
        <w:spacing w:line="360" w:lineRule="auto"/>
        <w:ind w:left="0" w:right="0" w:firstLine="560" w:firstLineChars="200"/>
        <w:jc w:val="left"/>
        <w:textAlignment w:val="auto"/>
        <w:rPr>
          <w:rFonts w:hint="eastAsia" w:cs="Times New Roman"/>
          <w:color w:val="000000" w:themeColor="text1"/>
          <w:sz w:val="28"/>
          <w:szCs w:val="21"/>
          <w:highlight w:val="none"/>
          <w:lang w:val="en-US" w:eastAsia="zh-CN"/>
          <w14:textFill>
            <w14:solidFill>
              <w14:schemeClr w14:val="tx1"/>
            </w14:solidFill>
          </w14:textFill>
        </w:rPr>
      </w:pPr>
      <w:r>
        <w:rPr>
          <w:rFonts w:hint="eastAsia" w:cs="Times New Roman"/>
          <w:color w:val="000000" w:themeColor="text1"/>
          <w:sz w:val="28"/>
          <w:szCs w:val="21"/>
          <w:highlight w:val="none"/>
          <w:lang w:val="en-US" w:eastAsia="zh-CN"/>
          <w14:textFill>
            <w14:solidFill>
              <w14:schemeClr w14:val="tx1"/>
            </w14:solidFill>
          </w14:textFill>
        </w:rPr>
        <w:t>监测频率：2次/年。</w:t>
      </w:r>
    </w:p>
    <w:p w14:paraId="103092CE">
      <w:pPr>
        <w:keepNext w:val="0"/>
        <w:keepLines w:val="0"/>
        <w:pageBreakBefore w:val="0"/>
        <w:widowControl w:val="0"/>
        <w:wordWrap/>
        <w:overflowPunct/>
        <w:bidi w:val="0"/>
        <w:adjustRightInd/>
        <w:snapToGrid/>
        <w:spacing w:line="360" w:lineRule="auto"/>
        <w:ind w:left="0" w:right="0" w:firstLine="560" w:firstLineChars="200"/>
        <w:jc w:val="left"/>
        <w:textAlignment w:val="auto"/>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监测时间</w:t>
      </w:r>
      <w:r>
        <w:rPr>
          <w:rFonts w:hint="eastAsia" w:cs="Times New Roman"/>
          <w:color w:val="000000" w:themeColor="text1"/>
          <w:sz w:val="28"/>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202</w:t>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年</w:t>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月1日至20</w:t>
      </w:r>
      <w:r>
        <w:rPr>
          <w:rFonts w:hint="eastAsia" w:cs="Times New Roman"/>
          <w:color w:val="000000" w:themeColor="text1"/>
          <w:kern w:val="2"/>
          <w:sz w:val="28"/>
          <w:szCs w:val="28"/>
          <w:highlight w:val="none"/>
          <w:lang w:val="en-US" w:eastAsia="zh-CN"/>
          <w14:textFill>
            <w14:solidFill>
              <w14:schemeClr w14:val="tx1"/>
            </w14:solidFill>
          </w14:textFill>
        </w:rPr>
        <w:t>38</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年</w:t>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12</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月</w:t>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31</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日</w:t>
      </w:r>
      <w:r>
        <w:rPr>
          <w:rFonts w:hint="default" w:ascii="Times New Roman" w:hAnsi="Times New Roman" w:cs="Times New Roman"/>
          <w:bCs/>
          <w:color w:val="000000" w:themeColor="text1"/>
          <w:sz w:val="28"/>
          <w:szCs w:val="28"/>
          <w14:textFill>
            <w14:solidFill>
              <w14:schemeClr w14:val="tx1"/>
            </w14:solidFill>
          </w14:textFill>
        </w:rPr>
        <w:t>。</w:t>
      </w:r>
    </w:p>
    <w:p w14:paraId="43DA36E6">
      <w:pPr>
        <w:spacing w:line="360" w:lineRule="auto"/>
        <w:ind w:firstLine="560" w:firstLineChars="200"/>
        <w:outlineLvl w:val="4"/>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color w:val="000000" w:themeColor="text1"/>
          <w:sz w:val="28"/>
          <w:szCs w:val="28"/>
          <w:lang w:val="en-US" w:eastAsia="zh-CN"/>
          <w14:textFill>
            <w14:solidFill>
              <w14:schemeClr w14:val="tx1"/>
            </w14:solidFill>
          </w14:textFill>
        </w:rPr>
        <w:t>2、水文要素指标监测</w:t>
      </w:r>
    </w:p>
    <w:p w14:paraId="28412401">
      <w:pPr>
        <w:keepNext w:val="0"/>
        <w:keepLines w:val="0"/>
        <w:pageBreakBefore w:val="0"/>
        <w:widowControl w:val="0"/>
        <w:wordWrap/>
        <w:overflowPunct/>
        <w:bidi w:val="0"/>
        <w:adjustRightInd/>
        <w:snapToGrid/>
        <w:spacing w:line="360" w:lineRule="auto"/>
        <w:ind w:left="0" w:right="0" w:firstLine="560" w:firstLineChars="200"/>
        <w:jc w:val="left"/>
        <w:textAlignment w:val="auto"/>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pPr>
      <w:r>
        <w:rPr>
          <w:rFonts w:hint="eastAsia" w:eastAsia="宋体" w:cs="Times New Roman"/>
          <w:b w:val="0"/>
          <w:bCs w:val="0"/>
          <w:color w:val="000000" w:themeColor="text1"/>
          <w:sz w:val="28"/>
          <w:szCs w:val="28"/>
          <w:highlight w:val="none"/>
          <w:lang w:val="en-US" w:eastAsia="zh-CN" w:bidi="ar-SA"/>
          <w14:textFill>
            <w14:solidFill>
              <w14:schemeClr w14:val="tx1"/>
            </w14:solidFill>
          </w14:textFill>
        </w:rPr>
        <w:t>本矿区内无地表径流，地下水监测按照上述矿山地质环境监测中含水层监测执行，以下不再赘述。</w:t>
      </w:r>
    </w:p>
    <w:p w14:paraId="38F674C2">
      <w:pPr>
        <w:spacing w:line="360" w:lineRule="auto"/>
        <w:ind w:firstLine="560" w:firstLineChars="200"/>
        <w:outlineLvl w:val="4"/>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color w:val="000000" w:themeColor="text1"/>
          <w:sz w:val="28"/>
          <w:szCs w:val="28"/>
          <w:lang w:val="en-US" w:eastAsia="zh-CN"/>
          <w14:textFill>
            <w14:solidFill>
              <w14:schemeClr w14:val="tx1"/>
            </w14:solidFill>
          </w14:textFill>
        </w:rPr>
        <w:t>3、植物要素指标监测</w:t>
      </w:r>
    </w:p>
    <w:p w14:paraId="7CA1F40F">
      <w:pPr>
        <w:keepNext w:val="0"/>
        <w:keepLines w:val="0"/>
        <w:pageBreakBefore w:val="0"/>
        <w:widowControl w:val="0"/>
        <w:wordWrap/>
        <w:overflowPunct/>
        <w:bidi w:val="0"/>
        <w:adjustRightInd/>
        <w:snapToGrid/>
        <w:spacing w:line="360" w:lineRule="auto"/>
        <w:ind w:left="0" w:right="0" w:firstLine="560" w:firstLineChars="200"/>
        <w:jc w:val="left"/>
        <w:textAlignment w:val="auto"/>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t>（1）监测内容</w:t>
      </w:r>
    </w:p>
    <w:p w14:paraId="272E9362">
      <w:pPr>
        <w:keepNext w:val="0"/>
        <w:keepLines w:val="0"/>
        <w:pageBreakBefore w:val="0"/>
        <w:widowControl w:val="0"/>
        <w:wordWrap/>
        <w:overflowPunct/>
        <w:bidi w:val="0"/>
        <w:adjustRightInd/>
        <w:snapToGrid/>
        <w:spacing w:line="360" w:lineRule="auto"/>
        <w:ind w:left="0" w:right="0" w:firstLine="560" w:firstLineChars="200"/>
        <w:jc w:val="left"/>
        <w:textAlignment w:val="auto"/>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t>植物要素监测内容主要为：草地植被优势种、植被覆盖度、群落平均高度、物种频度、叶面积指数（LAI）、地上/地下生物量。</w:t>
      </w:r>
    </w:p>
    <w:p w14:paraId="3E1AE15E">
      <w:pPr>
        <w:keepNext w:val="0"/>
        <w:keepLines w:val="0"/>
        <w:pageBreakBefore w:val="0"/>
        <w:widowControl w:val="0"/>
        <w:numPr>
          <w:ilvl w:val="0"/>
          <w:numId w:val="1"/>
        </w:numPr>
        <w:wordWrap/>
        <w:overflowPunct/>
        <w:bidi w:val="0"/>
        <w:adjustRightInd/>
        <w:snapToGrid/>
        <w:spacing w:line="360" w:lineRule="auto"/>
        <w:ind w:left="0" w:right="0" w:firstLine="560" w:firstLineChars="200"/>
        <w:jc w:val="left"/>
        <w:textAlignment w:val="auto"/>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t>监测点布设</w:t>
      </w:r>
    </w:p>
    <w:p w14:paraId="177DF536">
      <w:pPr>
        <w:keepNext w:val="0"/>
        <w:keepLines w:val="0"/>
        <w:pageBreakBefore w:val="0"/>
        <w:widowControl w:val="0"/>
        <w:wordWrap/>
        <w:overflowPunct/>
        <w:bidi w:val="0"/>
        <w:adjustRightInd/>
        <w:snapToGrid/>
        <w:spacing w:line="360" w:lineRule="auto"/>
        <w:ind w:left="0" w:right="0" w:firstLine="560" w:firstLineChars="200"/>
        <w:jc w:val="left"/>
        <w:textAlignment w:val="auto"/>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t>与土壤监测点协同布设，位置对应。在每个监测样地内，设置固定监测样方（草地：</w:t>
      </w:r>
      <w:r>
        <w:rPr>
          <w:rFonts w:hint="default"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t>1m×1m；灌丛：5m×5m；林地：20m×20m</w:t>
      </w:r>
      <w:r>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t>），并设立永久标志。</w:t>
      </w:r>
    </w:p>
    <w:p w14:paraId="5850DD78">
      <w:pPr>
        <w:keepNext w:val="0"/>
        <w:keepLines w:val="0"/>
        <w:pageBreakBefore w:val="0"/>
        <w:widowControl w:val="0"/>
        <w:wordWrap/>
        <w:overflowPunct/>
        <w:bidi w:val="0"/>
        <w:adjustRightInd/>
        <w:snapToGrid/>
        <w:spacing w:line="360" w:lineRule="auto"/>
        <w:ind w:left="0" w:right="0" w:firstLine="560" w:firstLineChars="200"/>
        <w:jc w:val="left"/>
        <w:textAlignment w:val="auto"/>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t>（3）监测方法</w:t>
      </w:r>
    </w:p>
    <w:p w14:paraId="168E22C0">
      <w:pPr>
        <w:keepNext w:val="0"/>
        <w:keepLines w:val="0"/>
        <w:pageBreakBefore w:val="0"/>
        <w:widowControl w:val="0"/>
        <w:wordWrap/>
        <w:overflowPunct/>
        <w:bidi w:val="0"/>
        <w:adjustRightInd/>
        <w:snapToGrid/>
        <w:spacing w:line="360" w:lineRule="auto"/>
        <w:ind w:left="0" w:right="0" w:firstLine="560" w:firstLineChars="200"/>
        <w:jc w:val="left"/>
        <w:textAlignment w:val="auto"/>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8"/>
          <w:szCs w:val="28"/>
          <w:highlight w:val="none"/>
          <w:lang w:val="en-US" w:eastAsia="zh-CN" w:bidi="ar-SA"/>
          <w14:textFill>
            <w14:solidFill>
              <w14:schemeClr w14:val="tx1"/>
            </w14:solidFill>
          </w14:textFill>
        </w:rPr>
        <w:t>群落调查：采用样方法，记录样方内所有植物的种类、数量、高度、盖度（目测或照相法）、频度（在多个小样方中出现次数）。</w:t>
      </w:r>
    </w:p>
    <w:p w14:paraId="0D77BC01">
      <w:pPr>
        <w:topLinePunct/>
        <w:spacing w:line="360" w:lineRule="auto"/>
        <w:ind w:firstLine="560" w:firstLineChars="200"/>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pPr>
      <w:r>
        <w:rPr>
          <w:rFonts w:hint="eastAsia" w:eastAsia="宋体" w:cs="Times New Roman"/>
          <w:color w:val="000000" w:themeColor="text1"/>
          <w:sz w:val="28"/>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监测要求</w:t>
      </w:r>
    </w:p>
    <w:p w14:paraId="0F95BDCA">
      <w:pPr>
        <w:topLinePunct/>
        <w:spacing w:line="360" w:lineRule="auto"/>
        <w:ind w:firstLine="560" w:firstLineChars="200"/>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以遥感反演参数为基础，综合地面调查数据，通过收集生态系统生物量、植被覆盖度和水质等数据，评价森林、灌丛、草地和水质生态系统质量等级和空间特征，综合各类生态系统质量评价结果，分析评价区内生态系统质量状况以及不同时期动态变化特征。</w:t>
      </w:r>
    </w:p>
    <w:p w14:paraId="1E9B3FBF">
      <w:pPr>
        <w:topLinePunct/>
        <w:spacing w:line="360" w:lineRule="auto"/>
        <w:ind w:firstLine="560" w:firstLineChars="200"/>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pPr>
      <w:r>
        <w:rPr>
          <w:rFonts w:hint="eastAsia" w:eastAsia="宋体" w:cs="Times New Roman"/>
          <w:color w:val="000000" w:themeColor="text1"/>
          <w:sz w:val="28"/>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监测期限、频率</w:t>
      </w:r>
    </w:p>
    <w:p w14:paraId="22064994">
      <w:pPr>
        <w:spacing w:line="360" w:lineRule="auto"/>
        <w:ind w:firstLine="560" w:firstLineChars="200"/>
        <w:contextualSpacing/>
        <w:rPr>
          <w:rFonts w:ascii="宋体" w:hAnsi="宋体" w:cs="宋体"/>
          <w:bCs/>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监测频率2次/年，监测时间为方案服务期，即</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202</w:t>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年</w:t>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月1日至20</w:t>
      </w:r>
      <w:r>
        <w:rPr>
          <w:rFonts w:hint="eastAsia" w:cs="Times New Roman"/>
          <w:color w:val="000000" w:themeColor="text1"/>
          <w:kern w:val="2"/>
          <w:sz w:val="28"/>
          <w:szCs w:val="28"/>
          <w:highlight w:val="none"/>
          <w:lang w:val="en-US" w:eastAsia="zh-CN"/>
          <w14:textFill>
            <w14:solidFill>
              <w14:schemeClr w14:val="tx1"/>
            </w14:solidFill>
          </w14:textFill>
        </w:rPr>
        <w:t>38</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年</w:t>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12</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月</w:t>
      </w:r>
      <w:r>
        <w:rPr>
          <w:rFonts w:hint="default" w:ascii="Times New Roman" w:hAnsi="Times New Roman" w:eastAsia="宋体" w:cs="Times New Roman"/>
          <w:color w:val="000000" w:themeColor="text1"/>
          <w:kern w:val="2"/>
          <w:sz w:val="28"/>
          <w:szCs w:val="28"/>
          <w:highlight w:val="none"/>
          <w:lang w:val="en-US" w:eastAsia="zh-CN"/>
          <w14:textFill>
            <w14:solidFill>
              <w14:schemeClr w14:val="tx1"/>
            </w14:solidFill>
          </w14:textFill>
        </w:rPr>
        <w:t>31</w:t>
      </w:r>
      <w:r>
        <w:rPr>
          <w:rFonts w:hint="default" w:ascii="Times New Roman" w:hAnsi="Times New Roman" w:eastAsia="宋体" w:cs="Times New Roman"/>
          <w:color w:val="000000" w:themeColor="text1"/>
          <w:kern w:val="2"/>
          <w:sz w:val="28"/>
          <w:szCs w:val="28"/>
          <w:highlight w:val="none"/>
          <w14:textFill>
            <w14:solidFill>
              <w14:schemeClr w14:val="tx1"/>
            </w14:solidFill>
          </w14:textFill>
        </w:rPr>
        <w:t>日</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共</w:t>
      </w:r>
      <w:r>
        <w:rPr>
          <w:rFonts w:hint="eastAsia" w:eastAsia="宋体" w:cs="Times New Roman"/>
          <w:color w:val="000000" w:themeColor="text1"/>
          <w:sz w:val="28"/>
          <w:szCs w:val="21"/>
          <w:highlight w:val="none"/>
          <w:lang w:val="en-US" w:eastAsia="zh-CN"/>
          <w14:textFill>
            <w14:solidFill>
              <w14:schemeClr w14:val="tx1"/>
            </w14:solidFill>
          </w14:textFill>
        </w:rPr>
        <w:t>1</w:t>
      </w:r>
      <w:r>
        <w:rPr>
          <w:rFonts w:hint="eastAsia" w:cs="Times New Roman"/>
          <w:color w:val="000000" w:themeColor="text1"/>
          <w:sz w:val="28"/>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年。</w:t>
      </w:r>
    </w:p>
    <w:p w14:paraId="16ECE300">
      <w:pPr>
        <w:pStyle w:val="3"/>
        <w:spacing w:before="0" w:beforeLines="0"/>
        <w:jc w:val="center"/>
        <w:rPr>
          <w:color w:val="000000" w:themeColor="text1"/>
          <w14:textFill>
            <w14:solidFill>
              <w14:schemeClr w14:val="tx1"/>
            </w14:solidFill>
          </w14:textFill>
        </w:rPr>
      </w:pPr>
      <w:bookmarkStart w:id="67" w:name="_Toc32619"/>
      <w:r>
        <w:rPr>
          <w:rFonts w:hint="eastAsia"/>
          <w:color w:val="000000" w:themeColor="text1"/>
          <w:lang w:val="en-US" w:eastAsia="zh-CN"/>
          <w14:textFill>
            <w14:solidFill>
              <w14:schemeClr w14:val="tx1"/>
            </w14:solidFill>
          </w14:textFill>
        </w:rPr>
        <w:t xml:space="preserve">第二节  </w:t>
      </w:r>
      <w:r>
        <w:rPr>
          <w:rFonts w:hint="eastAsia"/>
          <w:color w:val="000000" w:themeColor="text1"/>
          <w14:textFill>
            <w14:solidFill>
              <w14:schemeClr w14:val="tx1"/>
            </w14:solidFill>
          </w14:textFill>
        </w:rPr>
        <w:t>管护目标与措施</w:t>
      </w:r>
      <w:bookmarkEnd w:id="67"/>
    </w:p>
    <w:p w14:paraId="5D06C46C">
      <w:pPr>
        <w:pStyle w:val="5"/>
        <w:bidi w:val="0"/>
        <w:spacing w:line="360" w:lineRule="auto"/>
        <w:ind w:firstLine="562" w:firstLineChars="200"/>
        <w:rPr>
          <w:rFonts w:hint="default" w:hAnsi="Times New Roman" w:cs="Times New Roman"/>
          <w:b/>
          <w:bCs/>
          <w:color w:val="000000" w:themeColor="text1"/>
          <w:sz w:val="28"/>
          <w:szCs w:val="24"/>
          <w:lang w:val="en-US" w:eastAsia="zh-CN"/>
          <w14:textFill>
            <w14:solidFill>
              <w14:schemeClr w14:val="tx1"/>
            </w14:solidFill>
          </w14:textFill>
        </w:rPr>
      </w:pPr>
      <w:r>
        <w:rPr>
          <w:rFonts w:hint="eastAsia" w:hAnsi="Times New Roman" w:cs="Times New Roman"/>
          <w:b/>
          <w:bCs/>
          <w:color w:val="000000" w:themeColor="text1"/>
          <w:sz w:val="28"/>
          <w:szCs w:val="24"/>
          <w:lang w:val="en-US" w:eastAsia="zh-CN"/>
          <w14:textFill>
            <w14:solidFill>
              <w14:schemeClr w14:val="tx1"/>
            </w14:solidFill>
          </w14:textFill>
        </w:rPr>
        <w:t>一、</w:t>
      </w:r>
      <w:r>
        <w:rPr>
          <w:rFonts w:hint="default" w:hAnsi="Times New Roman" w:cs="Times New Roman"/>
          <w:b/>
          <w:bCs/>
          <w:color w:val="000000" w:themeColor="text1"/>
          <w:sz w:val="28"/>
          <w:szCs w:val="24"/>
          <w:lang w:val="en-US" w:eastAsia="zh-CN"/>
          <w14:textFill>
            <w14:solidFill>
              <w14:schemeClr w14:val="tx1"/>
            </w14:solidFill>
          </w14:textFill>
        </w:rPr>
        <w:t>管护目标</w:t>
      </w:r>
    </w:p>
    <w:p w14:paraId="0D5331A7">
      <w:pPr>
        <w:keepNext w:val="0"/>
        <w:keepLines w:val="0"/>
        <w:widowControl w:val="0"/>
        <w:adjustRightInd/>
        <w:snapToGrid/>
        <w:spacing w:line="360" w:lineRule="auto"/>
        <w:ind w:firstLine="562" w:firstLineChars="200"/>
        <w:jc w:val="left"/>
        <w:outlineLvl w:val="3"/>
        <w:rPr>
          <w:rFonts w:ascii="Arial" w:hAnsi="Arial" w:eastAsia="宋体" w:cs="Times New Roman"/>
          <w:b/>
          <w:bCs/>
          <w:color w:val="000000" w:themeColor="text1"/>
          <w:kern w:val="2"/>
          <w:sz w:val="28"/>
          <w:szCs w:val="28"/>
          <w:lang w:val="en-US" w:eastAsia="zh-CN" w:bidi="ar-SA"/>
          <w14:textFill>
            <w14:solidFill>
              <w14:schemeClr w14:val="tx1"/>
            </w14:solidFill>
          </w14:textFill>
        </w:rPr>
      </w:pPr>
      <w:r>
        <w:rPr>
          <w:rFonts w:hint="eastAsia" w:ascii="Arial" w:hAnsi="Arial" w:eastAsia="宋体" w:cs="Times New Roman"/>
          <w:b/>
          <w:bCs/>
          <w:color w:val="000000" w:themeColor="text1"/>
          <w:kern w:val="2"/>
          <w:sz w:val="28"/>
          <w:szCs w:val="28"/>
          <w:lang w:val="en-US" w:eastAsia="zh-CN" w:bidi="ar-SA"/>
          <w14:textFill>
            <w14:solidFill>
              <w14:schemeClr w14:val="tx1"/>
            </w14:solidFill>
          </w14:textFill>
        </w:rPr>
        <w:t>（一）管护目标</w:t>
      </w:r>
    </w:p>
    <w:p w14:paraId="4BA489B1">
      <w:pPr>
        <w:spacing w:line="36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ascii="Times New Roman" w:hAnsi="Times New Roman" w:eastAsia="宋体" w:cs="Times New Roman"/>
          <w:color w:val="000000" w:themeColor="text1"/>
          <w:sz w:val="28"/>
          <w:szCs w:val="28"/>
          <w14:textFill>
            <w14:solidFill>
              <w14:schemeClr w14:val="tx1"/>
            </w14:solidFill>
          </w14:textFill>
        </w:rPr>
        <w:t>1、林地、草地管护主要采取补充种植措施、灌溉措施。为了保证栽植苗木和草籽的成活率，对成活率较低区域，综合分析原因，因地制宜开展补种、补撒工程。灌溉时掌握适时适量原则，遇枯水年份应及时补水，可有效防治水土流失，保证植被成活率以便达到预期的设计效果。</w:t>
      </w:r>
    </w:p>
    <w:p w14:paraId="024323B8">
      <w:pPr>
        <w:spacing w:line="36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ascii="Times New Roman" w:hAnsi="Times New Roman" w:eastAsia="宋体" w:cs="Times New Roman"/>
          <w:color w:val="000000" w:themeColor="text1"/>
          <w:sz w:val="28"/>
          <w:szCs w:val="28"/>
          <w14:textFill>
            <w14:solidFill>
              <w14:schemeClr w14:val="tx1"/>
            </w14:solidFill>
          </w14:textFill>
        </w:rPr>
        <w:t>2、苗木栽植、草籽撒播后要及时浇水，项目区夏秋季降雨较多，能够满足植被正常生长，栽植后第二年对缺苗处进行补植，对草籽发芽率低处进行补撒。</w:t>
      </w:r>
    </w:p>
    <w:p w14:paraId="64BE0A35">
      <w:pPr>
        <w:spacing w:line="36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ascii="Times New Roman" w:hAnsi="Times New Roman" w:eastAsia="宋体" w:cs="Times New Roman"/>
          <w:color w:val="000000" w:themeColor="text1"/>
          <w:sz w:val="28"/>
          <w:szCs w:val="28"/>
          <w14:textFill>
            <w14:solidFill>
              <w14:schemeClr w14:val="tx1"/>
            </w14:solidFill>
          </w14:textFill>
        </w:rPr>
        <w:t>3、复垦林地出现出现缺素症状时，根据缺素症状及时进行追肥。可适当使用少量的化肥，以提高土壤肥力，以提高农作物的成活率和生长速度。</w:t>
      </w:r>
    </w:p>
    <w:p w14:paraId="699A6E38">
      <w:pPr>
        <w:spacing w:line="360" w:lineRule="auto"/>
        <w:ind w:firstLine="560" w:firstLineChars="200"/>
        <w:rPr>
          <w:rFonts w:ascii="Times New Roman" w:hAnsi="Times New Roman" w:eastAsia="宋体" w:cs="Times New Roman"/>
          <w:color w:val="000000" w:themeColor="text1"/>
          <w:sz w:val="28"/>
          <w:szCs w:val="28"/>
          <w14:textFill>
            <w14:solidFill>
              <w14:schemeClr w14:val="tx1"/>
            </w14:solidFill>
          </w14:textFill>
        </w:rPr>
      </w:pPr>
      <w:r>
        <w:rPr>
          <w:rFonts w:ascii="Times New Roman" w:hAnsi="Times New Roman" w:eastAsia="宋体" w:cs="Times New Roman"/>
          <w:color w:val="000000" w:themeColor="text1"/>
          <w:sz w:val="28"/>
          <w:szCs w:val="28"/>
          <w14:textFill>
            <w14:solidFill>
              <w14:schemeClr w14:val="tx1"/>
            </w14:solidFill>
          </w14:textFill>
        </w:rPr>
        <w:t>4、新造幼林需封育，管护期为</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3</w:t>
      </w:r>
      <w:r>
        <w:rPr>
          <w:rFonts w:ascii="Times New Roman" w:hAnsi="Times New Roman" w:eastAsia="宋体" w:cs="Times New Roman"/>
          <w:color w:val="000000" w:themeColor="text1"/>
          <w:sz w:val="28"/>
          <w:szCs w:val="28"/>
          <w14:textFill>
            <w14:solidFill>
              <w14:schemeClr w14:val="tx1"/>
            </w14:solidFill>
          </w14:textFill>
        </w:rPr>
        <w:t>年。</w:t>
      </w:r>
    </w:p>
    <w:p w14:paraId="64833874">
      <w:pPr>
        <w:keepNext w:val="0"/>
        <w:keepLines w:val="0"/>
        <w:widowControl w:val="0"/>
        <w:adjustRightInd/>
        <w:snapToGrid/>
        <w:spacing w:line="360" w:lineRule="auto"/>
        <w:ind w:firstLine="562" w:firstLineChars="200"/>
        <w:jc w:val="left"/>
        <w:outlineLvl w:val="3"/>
        <w:rPr>
          <w:rFonts w:ascii="Times New Roman" w:hAnsi="Times New Roman" w:eastAsia="宋体" w:cs="Times New Roman"/>
          <w:b/>
          <w:bCs/>
          <w:color w:val="000000" w:themeColor="text1"/>
          <w:kern w:val="2"/>
          <w:sz w:val="28"/>
          <w:szCs w:val="28"/>
          <w:lang w:val="en-US" w:eastAsia="zh-CN" w:bidi="ar-SA"/>
          <w14:textFill>
            <w14:solidFill>
              <w14:schemeClr w14:val="tx1"/>
            </w14:solidFill>
          </w14:textFill>
        </w:rPr>
      </w:pPr>
      <w:r>
        <w:rPr>
          <w:rFonts w:ascii="Times New Roman" w:hAnsi="Times New Roman" w:eastAsia="宋体" w:cs="Times New Roman"/>
          <w:b/>
          <w:bCs/>
          <w:color w:val="000000" w:themeColor="text1"/>
          <w:kern w:val="2"/>
          <w:sz w:val="28"/>
          <w:szCs w:val="28"/>
          <w:lang w:val="en-US" w:eastAsia="zh-CN" w:bidi="ar-SA"/>
          <w14:textFill>
            <w14:solidFill>
              <w14:schemeClr w14:val="tx1"/>
            </w14:solidFill>
          </w14:textFill>
        </w:rPr>
        <w:t>（二）管护任务</w:t>
      </w:r>
    </w:p>
    <w:p w14:paraId="051A7269">
      <w:pPr>
        <w:spacing w:line="360" w:lineRule="auto"/>
        <w:ind w:firstLine="560" w:firstLineChars="200"/>
        <w:jc w:val="left"/>
        <w:rPr>
          <w:rFonts w:hint="default" w:ascii="Times New Roman" w:hAnsi="Times New Roman" w:cs="Times New Roman"/>
          <w:color w:val="000000" w:themeColor="text1"/>
          <w:sz w:val="28"/>
          <w:szCs w:val="28"/>
          <w14:textFill>
            <w14:solidFill>
              <w14:schemeClr w14:val="tx1"/>
            </w14:solidFill>
          </w14:textFill>
        </w:rPr>
      </w:pPr>
      <w:r>
        <w:rPr>
          <w:rFonts w:ascii="Times New Roman" w:hAnsi="Times New Roman" w:eastAsia="宋体" w:cs="Times New Roman"/>
          <w:bCs/>
          <w:color w:val="000000" w:themeColor="text1"/>
          <w:sz w:val="28"/>
          <w:szCs w:val="28"/>
          <w14:textFill>
            <w14:solidFill>
              <w14:schemeClr w14:val="tx1"/>
            </w14:solidFill>
          </w14:textFill>
        </w:rPr>
        <w:t>生态修复工程管护任务是加强重构土壤、重建植被的管护与健康管理，对受损乔</w:t>
      </w:r>
      <w:r>
        <w:rPr>
          <w:rFonts w:hint="eastAsia" w:cs="Times New Roman"/>
          <w:bCs/>
          <w:color w:val="000000" w:themeColor="text1"/>
          <w:sz w:val="28"/>
          <w:szCs w:val="28"/>
          <w:lang w:eastAsia="zh-CN"/>
          <w14:textFill>
            <w14:solidFill>
              <w14:schemeClr w14:val="tx1"/>
            </w14:solidFill>
          </w14:textFill>
        </w:rPr>
        <w:t>、</w:t>
      </w:r>
      <w:r>
        <w:rPr>
          <w:rFonts w:ascii="Times New Roman" w:hAnsi="Times New Roman" w:eastAsia="宋体" w:cs="Times New Roman"/>
          <w:bCs/>
          <w:color w:val="000000" w:themeColor="text1"/>
          <w:sz w:val="28"/>
          <w:szCs w:val="28"/>
          <w14:textFill>
            <w14:solidFill>
              <w14:schemeClr w14:val="tx1"/>
            </w14:solidFill>
          </w14:textFill>
        </w:rPr>
        <w:t>草及时补种、培土、浇水、施肥，喷洒农药防治病虫害发生以及幼林管护和成林管理；对矿区关键物种和生物多样性进行持续观测，降低生态重建的矿区生态系统的水灾、旱灾、虫灾、火灾等风险。</w:t>
      </w:r>
    </w:p>
    <w:p w14:paraId="55F2F7CC">
      <w:pPr>
        <w:rPr>
          <w:rFonts w:hint="eastAsia" w:hAnsi="Times New Roman" w:cs="Times New Roman"/>
          <w:b/>
          <w:bCs/>
          <w:color w:val="000000" w:themeColor="text1"/>
          <w:sz w:val="28"/>
          <w:szCs w:val="24"/>
          <w:lang w:val="en-US" w:eastAsia="zh-CN"/>
          <w14:textFill>
            <w14:solidFill>
              <w14:schemeClr w14:val="tx1"/>
            </w14:solidFill>
          </w14:textFill>
        </w:rPr>
      </w:pPr>
      <w:r>
        <w:rPr>
          <w:rFonts w:hint="eastAsia" w:hAnsi="Times New Roman" w:cs="Times New Roman"/>
          <w:b/>
          <w:bCs/>
          <w:color w:val="000000" w:themeColor="text1"/>
          <w:sz w:val="28"/>
          <w:szCs w:val="24"/>
          <w:lang w:val="en-US" w:eastAsia="zh-CN"/>
          <w14:textFill>
            <w14:solidFill>
              <w14:schemeClr w14:val="tx1"/>
            </w14:solidFill>
          </w14:textFill>
        </w:rPr>
        <w:br w:type="page"/>
      </w:r>
    </w:p>
    <w:p w14:paraId="4E89F691">
      <w:pPr>
        <w:pStyle w:val="5"/>
        <w:bidi w:val="0"/>
        <w:spacing w:line="360" w:lineRule="auto"/>
        <w:ind w:firstLine="562" w:firstLineChars="200"/>
        <w:rPr>
          <w:rFonts w:hint="default" w:hAnsi="Times New Roman" w:cs="Times New Roman"/>
          <w:b/>
          <w:bCs/>
          <w:color w:val="000000" w:themeColor="text1"/>
          <w:sz w:val="28"/>
          <w:szCs w:val="24"/>
          <w:lang w:val="en-US" w:eastAsia="zh-CN"/>
          <w14:textFill>
            <w14:solidFill>
              <w14:schemeClr w14:val="tx1"/>
            </w14:solidFill>
          </w14:textFill>
        </w:rPr>
      </w:pPr>
      <w:r>
        <w:rPr>
          <w:rFonts w:hint="eastAsia" w:hAnsi="Times New Roman" w:cs="Times New Roman"/>
          <w:b/>
          <w:bCs/>
          <w:color w:val="000000" w:themeColor="text1"/>
          <w:sz w:val="28"/>
          <w:szCs w:val="24"/>
          <w:lang w:val="en-US" w:eastAsia="zh-CN"/>
          <w14:textFill>
            <w14:solidFill>
              <w14:schemeClr w14:val="tx1"/>
            </w14:solidFill>
          </w14:textFill>
        </w:rPr>
        <w:t>二、</w:t>
      </w:r>
      <w:r>
        <w:rPr>
          <w:rFonts w:hint="default" w:hAnsi="Times New Roman" w:cs="Times New Roman"/>
          <w:b/>
          <w:bCs/>
          <w:color w:val="000000" w:themeColor="text1"/>
          <w:sz w:val="28"/>
          <w:szCs w:val="24"/>
          <w:lang w:val="en-US" w:eastAsia="zh-CN"/>
          <w14:textFill>
            <w14:solidFill>
              <w14:schemeClr w14:val="tx1"/>
            </w14:solidFill>
          </w14:textFill>
        </w:rPr>
        <w:t>管护措施</w:t>
      </w:r>
    </w:p>
    <w:p w14:paraId="565C30FC">
      <w:pPr>
        <w:spacing w:line="360" w:lineRule="auto"/>
        <w:ind w:firstLine="560" w:firstLineChars="200"/>
        <w:jc w:val="left"/>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1、林地</w:t>
      </w:r>
    </w:p>
    <w:p w14:paraId="1F85488A">
      <w:pPr>
        <w:spacing w:line="360" w:lineRule="auto"/>
        <w:ind w:firstLine="560" w:firstLineChars="200"/>
        <w:jc w:val="left"/>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（1）在林带刚进入郁闭阶段，为了保护和促进苗木生长，要采取平茬修枝技术对苗木进行修剪。</w:t>
      </w:r>
    </w:p>
    <w:p w14:paraId="3162BF61">
      <w:pPr>
        <w:spacing w:line="360" w:lineRule="auto"/>
        <w:ind w:firstLine="560" w:firstLineChars="200"/>
        <w:jc w:val="left"/>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2）对于林带中出现各类树木的病、虫、害等要及时的进行管护，各复垦单元植物生态系统病虫害防治关系到复垦成活率，关系到整个复垦目标的实现，因此在进行其他监测的同时，特别注意当地植物病虫害的防治，及时发现疫情，对于病株要及时的砍伐防治扩散，对于虫害要及时的施用药品等控制灾害的发生。</w:t>
      </w:r>
    </w:p>
    <w:p w14:paraId="783FB40B">
      <w:pPr>
        <w:spacing w:line="360" w:lineRule="auto"/>
        <w:ind w:firstLine="560" w:firstLineChars="200"/>
        <w:jc w:val="left"/>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（3）清理林内枯枝落叶等易燃物，设置防火隔离带，配备灭火设备，严禁林区违规用火。</w:t>
      </w:r>
    </w:p>
    <w:p w14:paraId="6808C7FD">
      <w:pPr>
        <w:spacing w:line="360" w:lineRule="auto"/>
        <w:ind w:firstLine="560" w:firstLineChars="200"/>
        <w:jc w:val="left"/>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（4）各林地复垦单元灌溉主要选用车辆送水灌溉，</w:t>
      </w:r>
      <w:r>
        <w:rPr>
          <w:rFonts w:hint="eastAsia" w:cs="Times New Roman"/>
          <w:color w:val="000000" w:themeColor="text1"/>
          <w:sz w:val="28"/>
          <w:szCs w:val="28"/>
          <w:lang w:val="en-US" w:eastAsia="zh-CN"/>
          <w14:textFill>
            <w14:solidFill>
              <w14:schemeClr w14:val="tx1"/>
            </w14:solidFill>
          </w14:textFill>
        </w:rPr>
        <w:t>料堆</w:t>
      </w:r>
      <w:r>
        <w:rPr>
          <w:rFonts w:hint="default" w:ascii="Times New Roman" w:hAnsi="Times New Roman" w:cs="Times New Roman"/>
          <w:color w:val="000000" w:themeColor="text1"/>
          <w:sz w:val="28"/>
          <w:szCs w:val="28"/>
          <w14:textFill>
            <w14:solidFill>
              <w14:schemeClr w14:val="tx1"/>
            </w14:solidFill>
          </w14:textFill>
        </w:rPr>
        <w:t>、工业场地等单元均可自然流出不会产生积水，能够保证雨季降水时及时排出。</w:t>
      </w:r>
    </w:p>
    <w:p w14:paraId="62B0B71D">
      <w:pPr>
        <w:pStyle w:val="3"/>
        <w:keepNext/>
        <w:keepLines/>
        <w:pageBreakBefore w:val="0"/>
        <w:widowControl w:val="0"/>
        <w:kinsoku/>
        <w:wordWrap/>
        <w:overflowPunct w:val="0"/>
        <w:topLinePunct/>
        <w:autoSpaceDE/>
        <w:autoSpaceDN/>
        <w:bidi w:val="0"/>
        <w:adjustRightInd/>
        <w:snapToGrid/>
        <w:spacing w:before="0" w:beforeLines="-2147483648" w:beforeAutospacing="0" w:after="0" w:afterAutospacing="0" w:line="360" w:lineRule="auto"/>
        <w:ind w:left="0"/>
        <w:jc w:val="center"/>
        <w:textAlignment w:val="auto"/>
        <w:outlineLvl w:val="1"/>
        <w:rPr>
          <w:rFonts w:hint="default" w:ascii="Times New Roman" w:hAnsi="Times New Roman" w:eastAsia="宋体" w:cs="Times New Roman"/>
          <w:b/>
          <w:bCs/>
          <w:color w:val="000000" w:themeColor="text1"/>
          <w:sz w:val="30"/>
          <w:szCs w:val="30"/>
          <w:highlight w:val="none"/>
          <w:lang w:val="en-US" w:eastAsia="zh-CN"/>
          <w14:textFill>
            <w14:solidFill>
              <w14:schemeClr w14:val="tx1"/>
            </w14:solidFill>
          </w14:textFill>
        </w:rPr>
      </w:pPr>
      <w:bookmarkStart w:id="68" w:name="_Toc5340"/>
      <w:bookmarkStart w:id="69" w:name="_Toc14018"/>
      <w:r>
        <w:rPr>
          <w:rFonts w:hint="eastAsia" w:ascii="Times New Roman" w:hAnsi="Times New Roman" w:eastAsia="宋体" w:cs="Times New Roman"/>
          <w:b/>
          <w:bCs/>
          <w:color w:val="000000" w:themeColor="text1"/>
          <w:sz w:val="30"/>
          <w:szCs w:val="30"/>
          <w:highlight w:val="none"/>
          <w:lang w:val="en-US" w:eastAsia="zh-CN"/>
          <w14:textFill>
            <w14:solidFill>
              <w14:schemeClr w14:val="tx1"/>
            </w14:solidFill>
          </w14:textFill>
        </w:rPr>
        <w:t xml:space="preserve">第三节  </w:t>
      </w:r>
      <w:r>
        <w:rPr>
          <w:rFonts w:hint="default" w:ascii="Times New Roman" w:hAnsi="Times New Roman" w:eastAsia="宋体" w:cs="Times New Roman"/>
          <w:b/>
          <w:bCs/>
          <w:color w:val="000000" w:themeColor="text1"/>
          <w:sz w:val="30"/>
          <w:szCs w:val="30"/>
          <w:highlight w:val="none"/>
          <w:lang w:val="en-US" w:eastAsia="zh-CN"/>
          <w14:textFill>
            <w14:solidFill>
              <w14:schemeClr w14:val="tx1"/>
            </w14:solidFill>
          </w14:textFill>
        </w:rPr>
        <w:t>工程量</w:t>
      </w:r>
      <w:bookmarkEnd w:id="68"/>
      <w:bookmarkEnd w:id="69"/>
    </w:p>
    <w:p w14:paraId="2E9005E5">
      <w:pPr>
        <w:pStyle w:val="5"/>
        <w:bidi w:val="0"/>
        <w:spacing w:line="360" w:lineRule="auto"/>
        <w:ind w:firstLine="562" w:firstLineChars="200"/>
        <w:rPr>
          <w:rFonts w:hint="default" w:hAnsi="Times New Roman" w:cs="Times New Roman"/>
          <w:b/>
          <w:bCs/>
          <w:color w:val="000000" w:themeColor="text1"/>
          <w:sz w:val="28"/>
          <w:szCs w:val="24"/>
          <w:lang w:val="en-US" w:eastAsia="zh-CN"/>
          <w14:textFill>
            <w14:solidFill>
              <w14:schemeClr w14:val="tx1"/>
            </w14:solidFill>
          </w14:textFill>
        </w:rPr>
      </w:pPr>
      <w:r>
        <w:rPr>
          <w:rFonts w:hint="eastAsia" w:hAnsi="Times New Roman" w:cs="Times New Roman"/>
          <w:b/>
          <w:bCs/>
          <w:color w:val="000000" w:themeColor="text1"/>
          <w:sz w:val="28"/>
          <w:szCs w:val="24"/>
          <w:lang w:val="en-US" w:eastAsia="zh-CN"/>
          <w14:textFill>
            <w14:solidFill>
              <w14:schemeClr w14:val="tx1"/>
            </w14:solidFill>
          </w14:textFill>
        </w:rPr>
        <w:t>一、</w:t>
      </w:r>
      <w:r>
        <w:rPr>
          <w:rFonts w:hint="default" w:hAnsi="Times New Roman" w:cs="Times New Roman"/>
          <w:b/>
          <w:bCs/>
          <w:color w:val="000000" w:themeColor="text1"/>
          <w:sz w:val="28"/>
          <w:szCs w:val="24"/>
          <w:lang w:val="en-US" w:eastAsia="zh-CN"/>
          <w14:textFill>
            <w14:solidFill>
              <w14:schemeClr w14:val="tx1"/>
            </w14:solidFill>
          </w14:textFill>
        </w:rPr>
        <w:t>监测工程</w:t>
      </w:r>
      <w:r>
        <w:rPr>
          <w:rFonts w:hint="eastAsia" w:hAnsi="Times New Roman" w:cs="Times New Roman"/>
          <w:b/>
          <w:bCs/>
          <w:color w:val="000000" w:themeColor="text1"/>
          <w:sz w:val="28"/>
          <w:szCs w:val="24"/>
          <w:lang w:val="en-US" w:eastAsia="zh-CN"/>
          <w14:textFill>
            <w14:solidFill>
              <w14:schemeClr w14:val="tx1"/>
            </w14:solidFill>
          </w14:textFill>
        </w:rPr>
        <w:t>工程量</w:t>
      </w:r>
    </w:p>
    <w:p w14:paraId="6E545CB7">
      <w:pPr>
        <w:pStyle w:val="38"/>
        <w:spacing w:line="360" w:lineRule="auto"/>
        <w:ind w:firstLine="560" w:firstLineChars="200"/>
        <w:jc w:val="both"/>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根据生态修复工程的设计，针对需要监测、检测的场地设置针对性的检测点，检测点具有代表性，能对评估矿区是否存在隐患、污染源提供依据</w:t>
      </w:r>
      <w:r>
        <w:rPr>
          <w:rFonts w:hint="eastAsia" w:asci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主要监测工程量计算表见表5-</w:t>
      </w:r>
      <w:r>
        <w:rPr>
          <w:rFonts w:hint="eastAsia" w:ascii="Times New Roman" w:cs="Times New Roman"/>
          <w:color w:val="000000" w:themeColor="text1"/>
          <w:sz w:val="28"/>
          <w:szCs w:val="28"/>
          <w:lang w:val="en-US" w:eastAsia="zh-CN"/>
          <w14:textFill>
            <w14:solidFill>
              <w14:schemeClr w14:val="tx1"/>
            </w14:solidFill>
          </w14:textFill>
        </w:rPr>
        <w:t>4</w:t>
      </w:r>
      <w:r>
        <w:rPr>
          <w:rFonts w:hint="default" w:ascii="Times New Roman" w:hAnsi="Times New Roman" w:cs="Times New Roman"/>
          <w:color w:val="000000" w:themeColor="text1"/>
          <w:sz w:val="28"/>
          <w:szCs w:val="28"/>
          <w14:textFill>
            <w14:solidFill>
              <w14:schemeClr w14:val="tx1"/>
            </w14:solidFill>
          </w14:textFill>
        </w:rPr>
        <w:t>。</w:t>
      </w:r>
    </w:p>
    <w:p w14:paraId="0026C586">
      <w:pPr>
        <w:pStyle w:val="66"/>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黑体" w:hAnsi="黑体" w:eastAsia="黑体" w:cs="黑体"/>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表5-</w:t>
      </w:r>
      <w:r>
        <w:rPr>
          <w:rFonts w:hint="eastAsia" w:ascii="黑体" w:hAnsi="黑体" w:eastAsia="黑体" w:cs="黑体"/>
          <w:b w:val="0"/>
          <w:bCs w:val="0"/>
          <w:color w:val="000000" w:themeColor="text1"/>
          <w:sz w:val="24"/>
          <w:szCs w:val="24"/>
          <w:lang w:val="en-US" w:eastAsia="zh-CN"/>
          <w14:textFill>
            <w14:solidFill>
              <w14:schemeClr w14:val="tx1"/>
            </w14:solidFill>
          </w14:textFill>
        </w:rPr>
        <w:t>4</w:t>
      </w:r>
      <w:r>
        <w:rPr>
          <w:rFonts w:hint="eastAsia" w:ascii="黑体" w:hAnsi="黑体" w:eastAsia="黑体" w:cs="黑体"/>
          <w:b w:val="0"/>
          <w:bCs w:val="0"/>
          <w:color w:val="000000" w:themeColor="text1"/>
          <w:sz w:val="24"/>
          <w:szCs w:val="24"/>
          <w14:textFill>
            <w14:solidFill>
              <w14:schemeClr w14:val="tx1"/>
            </w14:solidFill>
          </w14:textFill>
        </w:rPr>
        <w:t xml:space="preserve">  矿山地质环境监测工程量一览表</w:t>
      </w:r>
    </w:p>
    <w:tbl>
      <w:tblPr>
        <w:tblStyle w:val="3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9"/>
        <w:gridCol w:w="2209"/>
        <w:gridCol w:w="1189"/>
        <w:gridCol w:w="1119"/>
        <w:gridCol w:w="1539"/>
        <w:gridCol w:w="1160"/>
      </w:tblGrid>
      <w:tr w14:paraId="08D02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7" w:type="pct"/>
            <w:noWrap w:val="0"/>
            <w:vAlign w:val="center"/>
          </w:tcPr>
          <w:p w14:paraId="195D903E">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snapToGrid w:val="0"/>
                <w:color w:val="000000" w:themeColor="text1"/>
                <w:kern w:val="0"/>
                <w:sz w:val="20"/>
                <w:szCs w:val="20"/>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3"/>
                <w:sz w:val="20"/>
                <w:szCs w:val="20"/>
                <w:highlight w:val="none"/>
                <w14:textFill>
                  <w14:solidFill>
                    <w14:schemeClr w14:val="tx1"/>
                  </w14:solidFill>
                </w14:textFill>
              </w:rPr>
              <w:t>序号</w:t>
            </w:r>
          </w:p>
        </w:tc>
        <w:tc>
          <w:tcPr>
            <w:tcW w:w="1295" w:type="pct"/>
            <w:noWrap w:val="0"/>
            <w:vAlign w:val="center"/>
          </w:tcPr>
          <w:p w14:paraId="79908D46">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t>监测项目</w:t>
            </w:r>
          </w:p>
        </w:tc>
        <w:tc>
          <w:tcPr>
            <w:tcW w:w="697" w:type="pct"/>
            <w:noWrap w:val="0"/>
            <w:vAlign w:val="center"/>
          </w:tcPr>
          <w:p w14:paraId="0A596CA1">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t>监测频率</w:t>
            </w:r>
          </w:p>
        </w:tc>
        <w:tc>
          <w:tcPr>
            <w:tcW w:w="656" w:type="pct"/>
            <w:noWrap w:val="0"/>
            <w:vAlign w:val="center"/>
          </w:tcPr>
          <w:p w14:paraId="551F2ED6">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t>数量</w:t>
            </w:r>
          </w:p>
        </w:tc>
        <w:tc>
          <w:tcPr>
            <w:tcW w:w="902" w:type="pct"/>
            <w:noWrap w:val="0"/>
            <w:vAlign w:val="center"/>
          </w:tcPr>
          <w:p w14:paraId="1CEEC4AB">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t>监测时限（年）</w:t>
            </w:r>
          </w:p>
        </w:tc>
        <w:tc>
          <w:tcPr>
            <w:tcW w:w="680" w:type="pct"/>
            <w:noWrap w:val="0"/>
            <w:vAlign w:val="center"/>
          </w:tcPr>
          <w:p w14:paraId="5EBA0C45">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t>工程量</w:t>
            </w:r>
          </w:p>
        </w:tc>
      </w:tr>
      <w:tr w14:paraId="4F73C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7" w:type="pct"/>
            <w:noWrap w:val="0"/>
            <w:vAlign w:val="center"/>
          </w:tcPr>
          <w:p w14:paraId="4BA1CDFD">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snapToGrid w:val="0"/>
                <w:color w:val="000000" w:themeColor="text1"/>
                <w:kern w:val="0"/>
                <w:sz w:val="20"/>
                <w:szCs w:val="20"/>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t>一</w:t>
            </w:r>
          </w:p>
        </w:tc>
        <w:tc>
          <w:tcPr>
            <w:tcW w:w="1295" w:type="pct"/>
            <w:noWrap w:val="0"/>
            <w:vAlign w:val="center"/>
          </w:tcPr>
          <w:p w14:paraId="54BCEA78">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t>矿山地质环境监测</w:t>
            </w:r>
          </w:p>
        </w:tc>
        <w:tc>
          <w:tcPr>
            <w:tcW w:w="697" w:type="pct"/>
            <w:noWrap w:val="0"/>
            <w:vAlign w:val="center"/>
          </w:tcPr>
          <w:p w14:paraId="019286B9">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pPr>
          </w:p>
        </w:tc>
        <w:tc>
          <w:tcPr>
            <w:tcW w:w="656" w:type="pct"/>
            <w:noWrap w:val="0"/>
            <w:vAlign w:val="center"/>
          </w:tcPr>
          <w:p w14:paraId="3CB7B84C">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pPr>
          </w:p>
        </w:tc>
        <w:tc>
          <w:tcPr>
            <w:tcW w:w="902" w:type="pct"/>
            <w:noWrap w:val="0"/>
            <w:vAlign w:val="center"/>
          </w:tcPr>
          <w:p w14:paraId="52C52BE2">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pPr>
          </w:p>
        </w:tc>
        <w:tc>
          <w:tcPr>
            <w:tcW w:w="680" w:type="pct"/>
            <w:noWrap w:val="0"/>
            <w:vAlign w:val="center"/>
          </w:tcPr>
          <w:p w14:paraId="27F8B0D8">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pPr>
          </w:p>
        </w:tc>
      </w:tr>
      <w:tr w14:paraId="34EFF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7" w:type="pct"/>
            <w:noWrap w:val="0"/>
            <w:vAlign w:val="center"/>
          </w:tcPr>
          <w:p w14:paraId="26D8F776">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snapToGrid w:val="0"/>
                <w:color w:val="000000" w:themeColor="text1"/>
                <w:kern w:val="0"/>
                <w:sz w:val="20"/>
                <w:szCs w:val="20"/>
                <w:highlight w:val="none"/>
                <w:vertAlign w:val="baseline"/>
                <w:lang w:val="en-US" w:eastAsia="zh-CN" w:bidi="ar-SA"/>
                <w14:textFill>
                  <w14:solidFill>
                    <w14:schemeClr w14:val="tx1"/>
                  </w14:solidFill>
                </w14:textFill>
              </w:rPr>
            </w:pPr>
            <w:r>
              <w:rPr>
                <w:rFonts w:hint="eastAsia" w:ascii="Times New Roman" w:hAnsi="Times New Roman" w:cs="Times New Roman"/>
                <w:color w:val="000000" w:themeColor="text1"/>
                <w:sz w:val="20"/>
                <w:szCs w:val="20"/>
                <w:highlight w:val="none"/>
                <w:vertAlign w:val="baseline"/>
                <w:lang w:val="en-US" w:eastAsia="zh-CN"/>
                <w14:textFill>
                  <w14:solidFill>
                    <w14:schemeClr w14:val="tx1"/>
                  </w14:solidFill>
                </w14:textFill>
              </w:rPr>
              <w:t>1</w:t>
            </w:r>
          </w:p>
        </w:tc>
        <w:tc>
          <w:tcPr>
            <w:tcW w:w="1295" w:type="pct"/>
            <w:noWrap w:val="0"/>
            <w:vAlign w:val="center"/>
          </w:tcPr>
          <w:p w14:paraId="74A269EA">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t>危岩体崩塌监测</w:t>
            </w:r>
          </w:p>
        </w:tc>
        <w:tc>
          <w:tcPr>
            <w:tcW w:w="697" w:type="pct"/>
            <w:noWrap w:val="0"/>
            <w:vAlign w:val="center"/>
          </w:tcPr>
          <w:p w14:paraId="067BB10D">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t>12次/年</w:t>
            </w:r>
          </w:p>
        </w:tc>
        <w:tc>
          <w:tcPr>
            <w:tcW w:w="656" w:type="pct"/>
            <w:noWrap w:val="0"/>
            <w:vAlign w:val="center"/>
          </w:tcPr>
          <w:p w14:paraId="51FF2A95">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pPr>
            <w:r>
              <w:rPr>
                <w:rFonts w:hint="eastAsia" w:cs="Times New Roman"/>
                <w:color w:val="000000" w:themeColor="text1"/>
                <w:sz w:val="20"/>
                <w:szCs w:val="20"/>
                <w:highlight w:val="none"/>
                <w:vertAlign w:val="baseline"/>
                <w:lang w:val="en-US" w:eastAsia="zh-CN"/>
                <w14:textFill>
                  <w14:solidFill>
                    <w14:schemeClr w14:val="tx1"/>
                  </w14:solidFill>
                </w14:textFill>
              </w:rPr>
              <w:t>16</w:t>
            </w:r>
            <w:r>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t>点</w:t>
            </w:r>
          </w:p>
        </w:tc>
        <w:tc>
          <w:tcPr>
            <w:tcW w:w="902" w:type="pct"/>
            <w:noWrap w:val="0"/>
            <w:vAlign w:val="center"/>
          </w:tcPr>
          <w:p w14:paraId="71102E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0"/>
                <w:szCs w:val="20"/>
                <w:highlight w:val="none"/>
                <w:vertAlign w:val="baseline"/>
                <w:lang w:val="en-US" w:eastAsia="zh-CN"/>
                <w14:textFill>
                  <w14:solidFill>
                    <w14:schemeClr w14:val="tx1"/>
                  </w14:solidFill>
                </w14:textFill>
              </w:rPr>
              <w:t>13</w:t>
            </w:r>
          </w:p>
        </w:tc>
        <w:tc>
          <w:tcPr>
            <w:tcW w:w="680" w:type="pct"/>
            <w:noWrap w:val="0"/>
            <w:vAlign w:val="center"/>
          </w:tcPr>
          <w:p w14:paraId="224992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0"/>
                <w:szCs w:val="20"/>
                <w:highlight w:val="none"/>
                <w:vertAlign w:val="baseline"/>
                <w:lang w:val="en-US" w:eastAsia="zh-CN"/>
                <w14:textFill>
                  <w14:solidFill>
                    <w14:schemeClr w14:val="tx1"/>
                  </w14:solidFill>
                </w14:textFill>
              </w:rPr>
              <w:t>156</w:t>
            </w:r>
          </w:p>
        </w:tc>
      </w:tr>
      <w:tr w14:paraId="07608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7" w:type="pct"/>
            <w:noWrap w:val="0"/>
            <w:vAlign w:val="center"/>
          </w:tcPr>
          <w:p w14:paraId="553BF17C">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snapToGrid w:val="0"/>
                <w:color w:val="000000" w:themeColor="text1"/>
                <w:kern w:val="0"/>
                <w:sz w:val="20"/>
                <w:szCs w:val="20"/>
                <w:highlight w:val="none"/>
                <w:vertAlign w:val="baseline"/>
                <w:lang w:val="en-US" w:eastAsia="zh-CN" w:bidi="ar-SA"/>
                <w14:textFill>
                  <w14:solidFill>
                    <w14:schemeClr w14:val="tx1"/>
                  </w14:solidFill>
                </w14:textFill>
              </w:rPr>
            </w:pPr>
            <w:r>
              <w:rPr>
                <w:rFonts w:hint="eastAsia" w:ascii="Times New Roman" w:hAnsi="Times New Roman" w:cs="Times New Roman"/>
                <w:color w:val="000000" w:themeColor="text1"/>
                <w:sz w:val="20"/>
                <w:szCs w:val="20"/>
                <w:highlight w:val="none"/>
                <w:vertAlign w:val="baseline"/>
                <w:lang w:val="en-US" w:eastAsia="zh-CN"/>
                <w14:textFill>
                  <w14:solidFill>
                    <w14:schemeClr w14:val="tx1"/>
                  </w14:solidFill>
                </w14:textFill>
              </w:rPr>
              <w:t>2</w:t>
            </w:r>
          </w:p>
        </w:tc>
        <w:tc>
          <w:tcPr>
            <w:tcW w:w="1295" w:type="pct"/>
            <w:noWrap w:val="0"/>
            <w:vAlign w:val="center"/>
          </w:tcPr>
          <w:p w14:paraId="07B2E15B">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0"/>
                <w:szCs w:val="20"/>
                <w:highlight w:val="none"/>
                <w:lang w:val="en-US" w:eastAsia="zh-CN" w:bidi="ar-SA"/>
                <w14:textFill>
                  <w14:solidFill>
                    <w14:schemeClr w14:val="tx1"/>
                  </w14:solidFill>
                </w14:textFill>
              </w:rPr>
              <w:t>地形地貌景观监测</w:t>
            </w:r>
          </w:p>
        </w:tc>
        <w:tc>
          <w:tcPr>
            <w:tcW w:w="697" w:type="pct"/>
            <w:noWrap w:val="0"/>
            <w:vAlign w:val="center"/>
          </w:tcPr>
          <w:p w14:paraId="037A6075">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t>1</w:t>
            </w:r>
            <w:r>
              <w:rPr>
                <w:rFonts w:hint="eastAsia"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t>2</w:t>
            </w:r>
            <w:r>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t>次/年</w:t>
            </w:r>
          </w:p>
        </w:tc>
        <w:tc>
          <w:tcPr>
            <w:tcW w:w="656" w:type="pct"/>
            <w:noWrap w:val="0"/>
            <w:vAlign w:val="center"/>
          </w:tcPr>
          <w:p w14:paraId="0DC2AE43">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t>1点</w:t>
            </w:r>
          </w:p>
        </w:tc>
        <w:tc>
          <w:tcPr>
            <w:tcW w:w="902" w:type="pct"/>
            <w:noWrap w:val="0"/>
            <w:vAlign w:val="center"/>
          </w:tcPr>
          <w:p w14:paraId="3171C8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kern w:val="2"/>
                <w:sz w:val="20"/>
                <w:szCs w:val="20"/>
                <w:highlight w:val="none"/>
                <w:vertAlign w:val="baseline"/>
                <w:lang w:val="en-US" w:eastAsia="zh-CN" w:bidi="ar-SA"/>
                <w14:textFill>
                  <w14:solidFill>
                    <w14:schemeClr w14:val="tx1"/>
                  </w14:solidFill>
                </w14:textFill>
              </w:rPr>
            </w:pPr>
            <w:r>
              <w:rPr>
                <w:rFonts w:hint="eastAsia" w:ascii="Times New Roman" w:hAnsi="Times New Roman" w:cs="Times New Roman"/>
                <w:color w:val="000000" w:themeColor="text1"/>
                <w:sz w:val="20"/>
                <w:szCs w:val="20"/>
                <w:highlight w:val="none"/>
                <w:vertAlign w:val="baseline"/>
                <w:lang w:val="en-US" w:eastAsia="zh-CN"/>
                <w14:textFill>
                  <w14:solidFill>
                    <w14:schemeClr w14:val="tx1"/>
                  </w14:solidFill>
                </w14:textFill>
              </w:rPr>
              <w:t>13</w:t>
            </w:r>
          </w:p>
        </w:tc>
        <w:tc>
          <w:tcPr>
            <w:tcW w:w="680" w:type="pct"/>
            <w:noWrap w:val="0"/>
            <w:vAlign w:val="center"/>
          </w:tcPr>
          <w:p w14:paraId="12D844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0"/>
                <w:szCs w:val="20"/>
                <w:highlight w:val="none"/>
                <w:vertAlign w:val="baseline"/>
                <w:lang w:val="en-US" w:eastAsia="zh-CN"/>
                <w14:textFill>
                  <w14:solidFill>
                    <w14:schemeClr w14:val="tx1"/>
                  </w14:solidFill>
                </w14:textFill>
              </w:rPr>
              <w:t>156</w:t>
            </w:r>
          </w:p>
        </w:tc>
      </w:tr>
      <w:tr w14:paraId="06956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7" w:type="pct"/>
            <w:noWrap w:val="0"/>
            <w:vAlign w:val="center"/>
          </w:tcPr>
          <w:p w14:paraId="4E7F8374">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cs="Times New Roman"/>
                <w:color w:val="000000" w:themeColor="text1"/>
                <w:sz w:val="20"/>
                <w:szCs w:val="20"/>
                <w:highlight w:val="none"/>
                <w:vertAlign w:val="baseline"/>
                <w:lang w:val="en-US" w:eastAsia="zh-CN"/>
                <w14:textFill>
                  <w14:solidFill>
                    <w14:schemeClr w14:val="tx1"/>
                  </w14:solidFill>
                </w14:textFill>
              </w:rPr>
            </w:pPr>
            <w:r>
              <w:rPr>
                <w:rFonts w:hint="eastAsia" w:cs="Times New Roman"/>
                <w:color w:val="000000" w:themeColor="text1"/>
                <w:sz w:val="20"/>
                <w:szCs w:val="20"/>
                <w:highlight w:val="none"/>
                <w:vertAlign w:val="baseline"/>
                <w:lang w:val="en-US" w:eastAsia="zh-CN"/>
                <w14:textFill>
                  <w14:solidFill>
                    <w14:schemeClr w14:val="tx1"/>
                  </w14:solidFill>
                </w14:textFill>
              </w:rPr>
              <w:t>3</w:t>
            </w:r>
          </w:p>
        </w:tc>
        <w:tc>
          <w:tcPr>
            <w:tcW w:w="1295" w:type="pct"/>
            <w:noWrap w:val="0"/>
            <w:vAlign w:val="center"/>
          </w:tcPr>
          <w:p w14:paraId="37E211C6">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b w:val="0"/>
                <w:bCs w:val="0"/>
                <w:color w:val="000000" w:themeColor="text1"/>
                <w:sz w:val="20"/>
                <w:szCs w:val="20"/>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sz w:val="20"/>
                <w:szCs w:val="20"/>
                <w:highlight w:val="none"/>
                <w:lang w:val="en-US" w:eastAsia="zh-CN" w:bidi="ar-SA"/>
                <w14:textFill>
                  <w14:solidFill>
                    <w14:schemeClr w14:val="tx1"/>
                  </w14:solidFill>
                </w14:textFill>
              </w:rPr>
              <w:t>水质、水污染监测</w:t>
            </w:r>
          </w:p>
        </w:tc>
        <w:tc>
          <w:tcPr>
            <w:tcW w:w="697" w:type="pct"/>
            <w:noWrap w:val="0"/>
            <w:vAlign w:val="center"/>
          </w:tcPr>
          <w:p w14:paraId="10481DD3">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pPr>
            <w:r>
              <w:rPr>
                <w:rFonts w:hint="eastAsia" w:cs="Times New Roman"/>
                <w:color w:val="000000" w:themeColor="text1"/>
                <w:sz w:val="20"/>
                <w:szCs w:val="20"/>
                <w:highlight w:val="none"/>
                <w:vertAlign w:val="baseline"/>
                <w:lang w:val="en-US" w:eastAsia="zh-CN"/>
                <w14:textFill>
                  <w14:solidFill>
                    <w14:schemeClr w14:val="tx1"/>
                  </w14:solidFill>
                </w14:textFill>
              </w:rPr>
              <w:t>1次/年</w:t>
            </w:r>
          </w:p>
        </w:tc>
        <w:tc>
          <w:tcPr>
            <w:tcW w:w="656" w:type="pct"/>
            <w:noWrap w:val="0"/>
            <w:vAlign w:val="center"/>
          </w:tcPr>
          <w:p w14:paraId="038AA9FC">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pPr>
            <w:r>
              <w:rPr>
                <w:rFonts w:hint="eastAsia" w:cs="Times New Roman"/>
                <w:color w:val="000000" w:themeColor="text1"/>
                <w:sz w:val="20"/>
                <w:szCs w:val="20"/>
                <w:highlight w:val="none"/>
                <w:vertAlign w:val="baseline"/>
                <w:lang w:val="en-US" w:eastAsia="zh-CN"/>
                <w14:textFill>
                  <w14:solidFill>
                    <w14:schemeClr w14:val="tx1"/>
                  </w14:solidFill>
                </w14:textFill>
              </w:rPr>
              <w:t>1点</w:t>
            </w:r>
          </w:p>
        </w:tc>
        <w:tc>
          <w:tcPr>
            <w:tcW w:w="902" w:type="pct"/>
            <w:noWrap w:val="0"/>
            <w:vAlign w:val="center"/>
          </w:tcPr>
          <w:p w14:paraId="552620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cs="Times New Roman"/>
                <w:color w:val="000000" w:themeColor="text1"/>
                <w:sz w:val="20"/>
                <w:szCs w:val="20"/>
                <w:highlight w:val="none"/>
                <w:vertAlign w:val="baseline"/>
                <w:lang w:val="en-US" w:eastAsia="zh-CN"/>
                <w14:textFill>
                  <w14:solidFill>
                    <w14:schemeClr w14:val="tx1"/>
                  </w14:solidFill>
                </w14:textFill>
              </w:rPr>
            </w:pPr>
            <w:r>
              <w:rPr>
                <w:rFonts w:hint="eastAsia" w:cs="Times New Roman"/>
                <w:color w:val="000000" w:themeColor="text1"/>
                <w:sz w:val="20"/>
                <w:szCs w:val="20"/>
                <w:highlight w:val="none"/>
                <w:vertAlign w:val="baseline"/>
                <w:lang w:val="en-US" w:eastAsia="zh-CN"/>
                <w14:textFill>
                  <w14:solidFill>
                    <w14:schemeClr w14:val="tx1"/>
                  </w14:solidFill>
                </w14:textFill>
              </w:rPr>
              <w:t>13</w:t>
            </w:r>
          </w:p>
        </w:tc>
        <w:tc>
          <w:tcPr>
            <w:tcW w:w="680" w:type="pct"/>
            <w:noWrap w:val="0"/>
            <w:vAlign w:val="center"/>
          </w:tcPr>
          <w:p w14:paraId="530239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cs="Times New Roman"/>
                <w:color w:val="000000" w:themeColor="text1"/>
                <w:sz w:val="20"/>
                <w:szCs w:val="20"/>
                <w:highlight w:val="none"/>
                <w:vertAlign w:val="baseline"/>
                <w:lang w:val="en-US" w:eastAsia="zh-CN"/>
                <w14:textFill>
                  <w14:solidFill>
                    <w14:schemeClr w14:val="tx1"/>
                  </w14:solidFill>
                </w14:textFill>
              </w:rPr>
            </w:pPr>
            <w:r>
              <w:rPr>
                <w:rFonts w:hint="eastAsia" w:cs="Times New Roman"/>
                <w:color w:val="000000" w:themeColor="text1"/>
                <w:sz w:val="20"/>
                <w:szCs w:val="20"/>
                <w:highlight w:val="none"/>
                <w:vertAlign w:val="baseline"/>
                <w:lang w:val="en-US" w:eastAsia="zh-CN"/>
                <w14:textFill>
                  <w14:solidFill>
                    <w14:schemeClr w14:val="tx1"/>
                  </w14:solidFill>
                </w14:textFill>
              </w:rPr>
              <w:t>13</w:t>
            </w:r>
          </w:p>
        </w:tc>
      </w:tr>
      <w:tr w14:paraId="5B48D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7" w:type="pct"/>
            <w:noWrap w:val="0"/>
            <w:vAlign w:val="center"/>
          </w:tcPr>
          <w:p w14:paraId="4CB36C49">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t>二</w:t>
            </w:r>
          </w:p>
        </w:tc>
        <w:tc>
          <w:tcPr>
            <w:tcW w:w="1295" w:type="pct"/>
            <w:noWrap w:val="0"/>
            <w:vAlign w:val="center"/>
          </w:tcPr>
          <w:p w14:paraId="0198E7F8">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t>土地资源监测</w:t>
            </w:r>
          </w:p>
        </w:tc>
        <w:tc>
          <w:tcPr>
            <w:tcW w:w="697" w:type="pct"/>
            <w:noWrap w:val="0"/>
            <w:vAlign w:val="center"/>
          </w:tcPr>
          <w:p w14:paraId="4B460A28">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t>1</w:t>
            </w:r>
            <w:r>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t>次/年</w:t>
            </w:r>
          </w:p>
        </w:tc>
        <w:tc>
          <w:tcPr>
            <w:tcW w:w="656" w:type="pct"/>
            <w:noWrap w:val="0"/>
            <w:vAlign w:val="center"/>
          </w:tcPr>
          <w:p w14:paraId="68FDC9F2">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t>1点</w:t>
            </w:r>
          </w:p>
        </w:tc>
        <w:tc>
          <w:tcPr>
            <w:tcW w:w="902" w:type="pct"/>
            <w:noWrap w:val="0"/>
            <w:vAlign w:val="center"/>
          </w:tcPr>
          <w:p w14:paraId="1EB0B2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0"/>
                <w:szCs w:val="20"/>
                <w:highlight w:val="none"/>
                <w:vertAlign w:val="baseline"/>
                <w:lang w:val="en-US" w:eastAsia="zh-CN"/>
                <w14:textFill>
                  <w14:solidFill>
                    <w14:schemeClr w14:val="tx1"/>
                  </w14:solidFill>
                </w14:textFill>
              </w:rPr>
              <w:t>13</w:t>
            </w:r>
          </w:p>
        </w:tc>
        <w:tc>
          <w:tcPr>
            <w:tcW w:w="680" w:type="pct"/>
            <w:noWrap w:val="0"/>
            <w:vAlign w:val="center"/>
          </w:tcPr>
          <w:p w14:paraId="43C15A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0"/>
                <w:szCs w:val="20"/>
                <w:highlight w:val="none"/>
                <w:vertAlign w:val="baseline"/>
                <w:lang w:val="en-US" w:eastAsia="zh-CN"/>
                <w14:textFill>
                  <w14:solidFill>
                    <w14:schemeClr w14:val="tx1"/>
                  </w14:solidFill>
                </w14:textFill>
              </w:rPr>
              <w:t>13</w:t>
            </w:r>
          </w:p>
        </w:tc>
      </w:tr>
      <w:tr w14:paraId="3F1C1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7" w:type="pct"/>
            <w:noWrap w:val="0"/>
            <w:vAlign w:val="center"/>
          </w:tcPr>
          <w:p w14:paraId="74E8AB4C">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t>三</w:t>
            </w:r>
          </w:p>
        </w:tc>
        <w:tc>
          <w:tcPr>
            <w:tcW w:w="1295" w:type="pct"/>
            <w:noWrap w:val="0"/>
            <w:vAlign w:val="center"/>
          </w:tcPr>
          <w:p w14:paraId="02DFDE15">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t>生态系统监测</w:t>
            </w:r>
          </w:p>
        </w:tc>
        <w:tc>
          <w:tcPr>
            <w:tcW w:w="697" w:type="pct"/>
            <w:noWrap w:val="0"/>
            <w:vAlign w:val="center"/>
          </w:tcPr>
          <w:p w14:paraId="2781C00C">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t>2次/年</w:t>
            </w:r>
          </w:p>
        </w:tc>
        <w:tc>
          <w:tcPr>
            <w:tcW w:w="656" w:type="pct"/>
            <w:noWrap w:val="0"/>
            <w:vAlign w:val="center"/>
          </w:tcPr>
          <w:p w14:paraId="6EFC17B6">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t>1点</w:t>
            </w:r>
          </w:p>
        </w:tc>
        <w:tc>
          <w:tcPr>
            <w:tcW w:w="902" w:type="pct"/>
            <w:noWrap w:val="0"/>
            <w:vAlign w:val="center"/>
          </w:tcPr>
          <w:p w14:paraId="403A59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kern w:val="2"/>
                <w:sz w:val="20"/>
                <w:szCs w:val="20"/>
                <w:highlight w:val="none"/>
                <w:vertAlign w:val="baseline"/>
                <w:lang w:val="en-US" w:eastAsia="zh-CN" w:bidi="ar-SA"/>
                <w14:textFill>
                  <w14:solidFill>
                    <w14:schemeClr w14:val="tx1"/>
                  </w14:solidFill>
                </w14:textFill>
              </w:rPr>
            </w:pPr>
            <w:r>
              <w:rPr>
                <w:rFonts w:hint="eastAsia" w:ascii="Times New Roman" w:hAnsi="Times New Roman" w:cs="Times New Roman"/>
                <w:color w:val="000000" w:themeColor="text1"/>
                <w:sz w:val="20"/>
                <w:szCs w:val="20"/>
                <w:highlight w:val="none"/>
                <w:vertAlign w:val="baseline"/>
                <w:lang w:val="en-US" w:eastAsia="zh-CN"/>
                <w14:textFill>
                  <w14:solidFill>
                    <w14:schemeClr w14:val="tx1"/>
                  </w14:solidFill>
                </w14:textFill>
              </w:rPr>
              <w:t>13</w:t>
            </w:r>
          </w:p>
        </w:tc>
        <w:tc>
          <w:tcPr>
            <w:tcW w:w="680" w:type="pct"/>
            <w:noWrap w:val="0"/>
            <w:vAlign w:val="center"/>
          </w:tcPr>
          <w:p w14:paraId="797DDF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Times New Roman" w:hAnsi="Times New Roman" w:eastAsia="宋体" w:cs="Times New Roman"/>
                <w:color w:val="000000" w:themeColor="text1"/>
                <w:sz w:val="20"/>
                <w:szCs w:val="20"/>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0"/>
                <w:szCs w:val="20"/>
                <w:highlight w:val="none"/>
                <w:vertAlign w:val="baseline"/>
                <w:lang w:val="en-US" w:eastAsia="zh-CN"/>
                <w14:textFill>
                  <w14:solidFill>
                    <w14:schemeClr w14:val="tx1"/>
                  </w14:solidFill>
                </w14:textFill>
              </w:rPr>
              <w:t>26</w:t>
            </w:r>
          </w:p>
        </w:tc>
      </w:tr>
    </w:tbl>
    <w:p w14:paraId="2EAAE183">
      <w:pPr>
        <w:rPr>
          <w:rFonts w:hint="eastAsia" w:hAnsi="Times New Roman" w:cs="Times New Roman"/>
          <w:b/>
          <w:bCs/>
          <w:color w:val="000000" w:themeColor="text1"/>
          <w:sz w:val="28"/>
          <w:szCs w:val="24"/>
          <w:lang w:val="en-US" w:eastAsia="zh-CN"/>
          <w14:textFill>
            <w14:solidFill>
              <w14:schemeClr w14:val="tx1"/>
            </w14:solidFill>
          </w14:textFill>
        </w:rPr>
      </w:pPr>
      <w:r>
        <w:rPr>
          <w:rFonts w:hint="eastAsia" w:hAnsi="Times New Roman" w:cs="Times New Roman"/>
          <w:b/>
          <w:bCs/>
          <w:color w:val="000000" w:themeColor="text1"/>
          <w:sz w:val="28"/>
          <w:szCs w:val="24"/>
          <w:lang w:val="en-US" w:eastAsia="zh-CN"/>
          <w14:textFill>
            <w14:solidFill>
              <w14:schemeClr w14:val="tx1"/>
            </w14:solidFill>
          </w14:textFill>
        </w:rPr>
        <w:br w:type="page"/>
      </w:r>
    </w:p>
    <w:p w14:paraId="16F70964">
      <w:pPr>
        <w:pStyle w:val="5"/>
        <w:keepNext w:val="0"/>
        <w:keepLines w:val="0"/>
        <w:pageBreakBefore w:val="0"/>
        <w:widowControl w:val="0"/>
        <w:kinsoku/>
        <w:wordWrap/>
        <w:overflowPunct/>
        <w:topLinePunct w:val="0"/>
        <w:autoSpaceDE/>
        <w:autoSpaceDN/>
        <w:bidi w:val="0"/>
        <w:adjustRightInd/>
        <w:snapToGrid/>
        <w:spacing w:before="157" w:beforeLines="50" w:line="360" w:lineRule="auto"/>
        <w:ind w:firstLine="562" w:firstLineChars="200"/>
        <w:textAlignment w:val="auto"/>
        <w:rPr>
          <w:rFonts w:hint="default" w:hAnsi="Times New Roman" w:cs="Times New Roman"/>
          <w:b/>
          <w:bCs/>
          <w:color w:val="000000" w:themeColor="text1"/>
          <w:sz w:val="28"/>
          <w:szCs w:val="24"/>
          <w:lang w:val="en-US" w:eastAsia="zh-CN"/>
          <w14:textFill>
            <w14:solidFill>
              <w14:schemeClr w14:val="tx1"/>
            </w14:solidFill>
          </w14:textFill>
        </w:rPr>
      </w:pPr>
      <w:r>
        <w:rPr>
          <w:rFonts w:hint="eastAsia" w:hAnsi="Times New Roman" w:cs="Times New Roman"/>
          <w:b/>
          <w:bCs/>
          <w:color w:val="000000" w:themeColor="text1"/>
          <w:sz w:val="28"/>
          <w:szCs w:val="24"/>
          <w:lang w:val="en-US" w:eastAsia="zh-CN"/>
          <w14:textFill>
            <w14:solidFill>
              <w14:schemeClr w14:val="tx1"/>
            </w14:solidFill>
          </w14:textFill>
        </w:rPr>
        <w:t>二、</w:t>
      </w:r>
      <w:r>
        <w:rPr>
          <w:rFonts w:hint="default" w:hAnsi="Times New Roman" w:cs="Times New Roman"/>
          <w:b/>
          <w:bCs/>
          <w:color w:val="000000" w:themeColor="text1"/>
          <w:sz w:val="28"/>
          <w:szCs w:val="24"/>
          <w:lang w:val="en-US" w:eastAsia="zh-CN"/>
          <w14:textFill>
            <w14:solidFill>
              <w14:schemeClr w14:val="tx1"/>
            </w14:solidFill>
          </w14:textFill>
        </w:rPr>
        <w:t>管护工程</w:t>
      </w:r>
      <w:r>
        <w:rPr>
          <w:rFonts w:hint="eastAsia" w:hAnsi="Times New Roman" w:cs="Times New Roman"/>
          <w:b/>
          <w:bCs/>
          <w:color w:val="000000" w:themeColor="text1"/>
          <w:sz w:val="28"/>
          <w:szCs w:val="24"/>
          <w:lang w:val="en-US" w:eastAsia="zh-CN"/>
          <w14:textFill>
            <w14:solidFill>
              <w14:schemeClr w14:val="tx1"/>
            </w14:solidFill>
          </w14:textFill>
        </w:rPr>
        <w:t>工程量</w:t>
      </w:r>
    </w:p>
    <w:p w14:paraId="3771B914">
      <w:pPr>
        <w:pStyle w:val="38"/>
        <w:spacing w:line="360" w:lineRule="auto"/>
        <w:ind w:firstLine="560" w:firstLineChars="200"/>
        <w:jc w:val="both"/>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根据土地复垦管护措施及内容，本方案植被管护面积为复垦的林地、草地，总面积</w:t>
      </w:r>
      <w:r>
        <w:rPr>
          <w:rFonts w:hint="eastAsia" w:ascii="Times New Roman" w:cs="Times New Roman"/>
          <w:color w:val="000000" w:themeColor="text1"/>
          <w:sz w:val="28"/>
          <w:szCs w:val="28"/>
          <w:lang w:val="en-US" w:eastAsia="zh-CN"/>
          <w14:textFill>
            <w14:solidFill>
              <w14:schemeClr w14:val="tx1"/>
            </w14:solidFill>
          </w14:textFill>
        </w:rPr>
        <w:t>10.72h</w:t>
      </w:r>
      <w:r>
        <w:rPr>
          <w:rFonts w:hint="default" w:ascii="Times New Roman" w:hAnsi="Times New Roman" w:cs="Times New Roman"/>
          <w:color w:val="000000" w:themeColor="text1"/>
          <w:sz w:val="28"/>
          <w:szCs w:val="28"/>
          <w14:textFill>
            <w14:solidFill>
              <w14:schemeClr w14:val="tx1"/>
            </w14:solidFill>
          </w14:textFill>
        </w:rPr>
        <w:t>m</w:t>
      </w:r>
      <w:r>
        <w:rPr>
          <w:rFonts w:hint="default" w:ascii="Times New Roman" w:hAnsi="Times New Roman" w:cs="Times New Roman"/>
          <w:color w:val="000000" w:themeColor="text1"/>
          <w:sz w:val="28"/>
          <w:szCs w:val="28"/>
          <w:vertAlign w:val="superscript"/>
          <w14:textFill>
            <w14:solidFill>
              <w14:schemeClr w14:val="tx1"/>
            </w14:solidFill>
          </w14:textFill>
        </w:rPr>
        <w:t>2</w:t>
      </w:r>
      <w:r>
        <w:rPr>
          <w:rFonts w:hint="default" w:ascii="Times New Roman" w:hAnsi="Times New Roman" w:cs="Times New Roman"/>
          <w:color w:val="000000" w:themeColor="text1"/>
          <w:sz w:val="28"/>
          <w:szCs w:val="28"/>
          <w14:textFill>
            <w14:solidFill>
              <w14:schemeClr w14:val="tx1"/>
            </w14:solidFill>
          </w14:textFill>
        </w:rPr>
        <w:t>。</w:t>
      </w:r>
    </w:p>
    <w:p w14:paraId="7DE980F7">
      <w:pPr>
        <w:pStyle w:val="38"/>
        <w:spacing w:line="360" w:lineRule="auto"/>
        <w:ind w:firstLine="560" w:firstLineChars="200"/>
        <w:jc w:val="both"/>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管护时间为土地复垦后的近</w:t>
      </w:r>
      <w:r>
        <w:rPr>
          <w:rFonts w:hint="eastAsia" w:ascii="Times New Roman" w:hAnsi="Times New Roman" w:cs="Times New Roman"/>
          <w:color w:val="000000" w:themeColor="text1"/>
          <w:sz w:val="28"/>
          <w:szCs w:val="28"/>
          <w:lang w:val="en-US" w:eastAsia="zh-CN"/>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年时间，具体工程量见表5-</w:t>
      </w:r>
      <w:r>
        <w:rPr>
          <w:rFonts w:hint="eastAsia" w:ascii="Times New Roman" w:cs="Times New Roman"/>
          <w:color w:val="000000" w:themeColor="text1"/>
          <w:sz w:val="28"/>
          <w:szCs w:val="28"/>
          <w:lang w:val="en-US" w:eastAsia="zh-CN"/>
          <w14:textFill>
            <w14:solidFill>
              <w14:schemeClr w14:val="tx1"/>
            </w14:solidFill>
          </w14:textFill>
        </w:rPr>
        <w:t>5</w:t>
      </w:r>
      <w:r>
        <w:rPr>
          <w:rFonts w:hint="default" w:ascii="Times New Roman" w:hAnsi="Times New Roman" w:cs="Times New Roman"/>
          <w:color w:val="000000" w:themeColor="text1"/>
          <w:sz w:val="28"/>
          <w:szCs w:val="28"/>
          <w14:textFill>
            <w14:solidFill>
              <w14:schemeClr w14:val="tx1"/>
            </w14:solidFill>
          </w14:textFill>
        </w:rPr>
        <w:t>。</w:t>
      </w:r>
    </w:p>
    <w:p w14:paraId="084983EB">
      <w:pPr>
        <w:pStyle w:val="66"/>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黑体" w:hAnsi="黑体" w:eastAsia="黑体" w:cs="黑体"/>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表5-</w:t>
      </w:r>
      <w:r>
        <w:rPr>
          <w:rFonts w:hint="eastAsia" w:ascii="黑体" w:hAnsi="黑体" w:eastAsia="黑体" w:cs="黑体"/>
          <w:b w:val="0"/>
          <w:bCs w:val="0"/>
          <w:color w:val="000000" w:themeColor="text1"/>
          <w:sz w:val="24"/>
          <w:szCs w:val="24"/>
          <w:lang w:val="en-US" w:eastAsia="zh-CN"/>
          <w14:textFill>
            <w14:solidFill>
              <w14:schemeClr w14:val="tx1"/>
            </w14:solidFill>
          </w14:textFill>
        </w:rPr>
        <w:t>5</w:t>
      </w:r>
      <w:r>
        <w:rPr>
          <w:rFonts w:hint="eastAsia" w:ascii="黑体" w:hAnsi="黑体" w:eastAsia="黑体" w:cs="黑体"/>
          <w:b w:val="0"/>
          <w:bCs w:val="0"/>
          <w:color w:val="000000" w:themeColor="text1"/>
          <w:sz w:val="24"/>
          <w:szCs w:val="24"/>
          <w14:textFill>
            <w14:solidFill>
              <w14:schemeClr w14:val="tx1"/>
            </w14:solidFill>
          </w14:textFill>
        </w:rPr>
        <w:t xml:space="preserve">  土地复垦管护工程量表</w:t>
      </w:r>
    </w:p>
    <w:tbl>
      <w:tblPr>
        <w:tblStyle w:val="30"/>
        <w:tblW w:w="85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1711"/>
        <w:gridCol w:w="1463"/>
        <w:gridCol w:w="1961"/>
        <w:gridCol w:w="1712"/>
      </w:tblGrid>
      <w:tr w14:paraId="4AF79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vAlign w:val="center"/>
          </w:tcPr>
          <w:p w14:paraId="6E40A225">
            <w:pPr>
              <w:keepNext w:val="0"/>
              <w:keepLines w:val="0"/>
              <w:widowControl/>
              <w:suppressLineNumbers w:val="0"/>
              <w:spacing w:before="0" w:beforeAutospacing="0" w:after="0" w:afterAutospacing="0"/>
              <w:ind w:left="0" w:right="0"/>
              <w:jc w:val="center"/>
              <w:rPr>
                <w:rFonts w:hint="default"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位置</w:t>
            </w:r>
          </w:p>
        </w:tc>
        <w:tc>
          <w:tcPr>
            <w:tcW w:w="1711" w:type="dxa"/>
            <w:vAlign w:val="center"/>
          </w:tcPr>
          <w:p w14:paraId="061D1C1B">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面积（</w:t>
            </w:r>
            <w:r>
              <w:rPr>
                <w:rFonts w:hint="eastAsia" w:cs="Times New Roman"/>
                <w:color w:val="000000" w:themeColor="text1"/>
                <w:kern w:val="0"/>
                <w:szCs w:val="21"/>
                <w:lang w:val="en-US" w:eastAsia="zh-CN"/>
                <w14:textFill>
                  <w14:solidFill>
                    <w14:schemeClr w14:val="tx1"/>
                  </w14:solidFill>
                </w14:textFill>
              </w:rPr>
              <w:t>h</w:t>
            </w:r>
            <w:r>
              <w:rPr>
                <w:rFonts w:hint="default" w:ascii="Times New Roman" w:hAnsi="Times New Roman" w:cs="Times New Roman"/>
                <w:color w:val="000000" w:themeColor="text1"/>
                <w:kern w:val="0"/>
                <w:szCs w:val="21"/>
                <w14:textFill>
                  <w14:solidFill>
                    <w14:schemeClr w14:val="tx1"/>
                  </w14:solidFill>
                </w14:textFill>
              </w:rPr>
              <w:t>m</w:t>
            </w:r>
            <w:r>
              <w:rPr>
                <w:rFonts w:hint="default" w:ascii="Times New Roman" w:hAnsi="Times New Roman" w:cs="Times New Roman"/>
                <w:color w:val="000000" w:themeColor="text1"/>
                <w:kern w:val="0"/>
                <w:szCs w:val="21"/>
                <w:vertAlign w:val="superscript"/>
                <w14:textFill>
                  <w14:solidFill>
                    <w14:schemeClr w14:val="tx1"/>
                  </w14:solidFill>
                </w14:textFill>
              </w:rPr>
              <w:t>2</w:t>
            </w:r>
            <w:r>
              <w:rPr>
                <w:rFonts w:hint="default" w:ascii="Times New Roman" w:hAnsi="Times New Roman" w:cs="Times New Roman"/>
                <w:color w:val="000000" w:themeColor="text1"/>
                <w:kern w:val="0"/>
                <w:szCs w:val="21"/>
                <w14:textFill>
                  <w14:solidFill>
                    <w14:schemeClr w14:val="tx1"/>
                  </w14:solidFill>
                </w14:textFill>
              </w:rPr>
              <w:t>）</w:t>
            </w:r>
          </w:p>
        </w:tc>
        <w:tc>
          <w:tcPr>
            <w:tcW w:w="1463" w:type="dxa"/>
            <w:vAlign w:val="center"/>
          </w:tcPr>
          <w:p w14:paraId="5BCD9973">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年限（a）</w:t>
            </w:r>
          </w:p>
        </w:tc>
        <w:tc>
          <w:tcPr>
            <w:tcW w:w="1961" w:type="dxa"/>
            <w:vAlign w:val="center"/>
          </w:tcPr>
          <w:p w14:paraId="5E1B71EB">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工程量（a·</w:t>
            </w:r>
            <w:r>
              <w:rPr>
                <w:rFonts w:hint="eastAsia" w:cs="Times New Roman"/>
                <w:color w:val="000000" w:themeColor="text1"/>
                <w:kern w:val="0"/>
                <w:szCs w:val="21"/>
                <w:lang w:val="en-US" w:eastAsia="zh-CN"/>
                <w14:textFill>
                  <w14:solidFill>
                    <w14:schemeClr w14:val="tx1"/>
                  </w14:solidFill>
                </w14:textFill>
              </w:rPr>
              <w:t>h</w:t>
            </w:r>
            <w:r>
              <w:rPr>
                <w:rFonts w:hint="default" w:ascii="Times New Roman" w:hAnsi="Times New Roman" w:cs="Times New Roman"/>
                <w:color w:val="000000" w:themeColor="text1"/>
                <w:kern w:val="0"/>
                <w:szCs w:val="21"/>
                <w14:textFill>
                  <w14:solidFill>
                    <w14:schemeClr w14:val="tx1"/>
                  </w14:solidFill>
                </w14:textFill>
              </w:rPr>
              <w:t>m</w:t>
            </w:r>
            <w:r>
              <w:rPr>
                <w:rFonts w:hint="default" w:ascii="Times New Roman" w:hAnsi="Times New Roman" w:cs="Times New Roman"/>
                <w:color w:val="000000" w:themeColor="text1"/>
                <w:kern w:val="0"/>
                <w:szCs w:val="21"/>
                <w:vertAlign w:val="superscript"/>
                <w14:textFill>
                  <w14:solidFill>
                    <w14:schemeClr w14:val="tx1"/>
                  </w14:solidFill>
                </w14:textFill>
              </w:rPr>
              <w:t>2</w:t>
            </w:r>
            <w:r>
              <w:rPr>
                <w:rFonts w:hint="default" w:ascii="Times New Roman" w:hAnsi="Times New Roman" w:cs="Times New Roman"/>
                <w:color w:val="000000" w:themeColor="text1"/>
                <w:kern w:val="0"/>
                <w:szCs w:val="21"/>
                <w14:textFill>
                  <w14:solidFill>
                    <w14:schemeClr w14:val="tx1"/>
                  </w14:solidFill>
                </w14:textFill>
              </w:rPr>
              <w:t>）</w:t>
            </w:r>
          </w:p>
        </w:tc>
        <w:tc>
          <w:tcPr>
            <w:tcW w:w="1712" w:type="dxa"/>
            <w:vAlign w:val="center"/>
          </w:tcPr>
          <w:p w14:paraId="31FA7FA4">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实施时间（a）</w:t>
            </w:r>
          </w:p>
        </w:tc>
      </w:tr>
      <w:tr w14:paraId="46BAE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11" w:type="dxa"/>
            <w:vAlign w:val="center"/>
          </w:tcPr>
          <w:p w14:paraId="5DD9882E">
            <w:pPr>
              <w:keepNext w:val="0"/>
              <w:keepLines w:val="0"/>
              <w:widowControl/>
              <w:suppressLineNumbers w:val="0"/>
              <w:spacing w:before="0" w:beforeAutospacing="0" w:after="0" w:afterAutospacing="0"/>
              <w:ind w:left="0" w:right="0"/>
              <w:jc w:val="center"/>
              <w:rPr>
                <w:rFonts w:hint="default"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复垦区</w:t>
            </w:r>
          </w:p>
        </w:tc>
        <w:tc>
          <w:tcPr>
            <w:tcW w:w="1711" w:type="dxa"/>
            <w:vAlign w:val="center"/>
          </w:tcPr>
          <w:p w14:paraId="568C1064">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10.72</w:t>
            </w:r>
          </w:p>
        </w:tc>
        <w:tc>
          <w:tcPr>
            <w:tcW w:w="1463" w:type="dxa"/>
            <w:vAlign w:val="center"/>
          </w:tcPr>
          <w:p w14:paraId="0A0DC34F">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themeColor="text1"/>
                <w:kern w:val="0"/>
                <w:szCs w:val="21"/>
                <w:lang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3</w:t>
            </w:r>
          </w:p>
        </w:tc>
        <w:tc>
          <w:tcPr>
            <w:tcW w:w="1961" w:type="dxa"/>
            <w:vAlign w:val="center"/>
          </w:tcPr>
          <w:p w14:paraId="053CC752">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10.72</w:t>
            </w:r>
          </w:p>
        </w:tc>
        <w:tc>
          <w:tcPr>
            <w:tcW w:w="1712" w:type="dxa"/>
            <w:vAlign w:val="center"/>
          </w:tcPr>
          <w:p w14:paraId="04A9B648">
            <w:pPr>
              <w:keepNext w:val="0"/>
              <w:keepLines w:val="0"/>
              <w:widowControl/>
              <w:suppressLineNumbers w:val="0"/>
              <w:spacing w:before="0" w:beforeAutospacing="0" w:after="0" w:afterAutospacing="0"/>
              <w:ind w:left="0" w:right="0"/>
              <w:jc w:val="center"/>
              <w:rPr>
                <w:rFonts w:hint="eastAsia" w:ascii="Times New Roman" w:hAnsi="Times New Roman" w:eastAsia="宋体" w:cs="Times New Roman"/>
                <w:color w:val="000000" w:themeColor="text1"/>
                <w:kern w:val="0"/>
                <w:szCs w:val="21"/>
                <w:lang w:eastAsia="zh-CN"/>
                <w14:textFill>
                  <w14:solidFill>
                    <w14:schemeClr w14:val="tx1"/>
                  </w14:solidFill>
                </w14:textFill>
              </w:rPr>
            </w:pPr>
            <w:r>
              <w:rPr>
                <w:rFonts w:hint="eastAsia" w:cs="Times New Roman"/>
                <w:color w:val="000000" w:themeColor="text1"/>
                <w:kern w:val="0"/>
                <w:szCs w:val="21"/>
                <w:lang w:val="en-US" w:eastAsia="zh-CN"/>
                <w14:textFill>
                  <w14:solidFill>
                    <w14:schemeClr w14:val="tx1"/>
                  </w14:solidFill>
                </w14:textFill>
              </w:rPr>
              <w:t>3</w:t>
            </w:r>
          </w:p>
        </w:tc>
      </w:tr>
    </w:tbl>
    <w:p w14:paraId="19103B4D">
      <w:pPr>
        <w:rPr>
          <w:rFonts w:hAnsi="宋体"/>
          <w:color w:val="000000" w:themeColor="text1"/>
          <w14:textFill>
            <w14:solidFill>
              <w14:schemeClr w14:val="tx1"/>
            </w14:solidFill>
          </w14:textFill>
        </w:rPr>
      </w:pPr>
      <w:r>
        <w:rPr>
          <w:rFonts w:hAnsi="宋体"/>
          <w:color w:val="000000" w:themeColor="text1"/>
          <w14:textFill>
            <w14:solidFill>
              <w14:schemeClr w14:val="tx1"/>
            </w14:solidFill>
          </w14:textFill>
        </w:rPr>
        <w:br w:type="page"/>
      </w:r>
    </w:p>
    <w:p w14:paraId="26A64FE5">
      <w:pPr>
        <w:pStyle w:val="2"/>
        <w:spacing w:line="360" w:lineRule="auto"/>
        <w:jc w:val="center"/>
        <w:rPr>
          <w:rFonts w:ascii="黑体" w:hAnsi="黑体" w:eastAsia="黑体" w:cs="黑体"/>
          <w:bCs/>
          <w:color w:val="000000" w:themeColor="text1"/>
          <w14:textFill>
            <w14:solidFill>
              <w14:schemeClr w14:val="tx1"/>
            </w14:solidFill>
          </w14:textFill>
        </w:rPr>
      </w:pPr>
      <w:bookmarkStart w:id="70" w:name="_Toc17197"/>
      <w:r>
        <w:rPr>
          <w:rFonts w:hint="eastAsia" w:ascii="黑体" w:hAnsi="黑体" w:eastAsia="黑体" w:cs="黑体"/>
          <w:bCs/>
          <w:color w:val="000000" w:themeColor="text1"/>
          <w14:textFill>
            <w14:solidFill>
              <w14:schemeClr w14:val="tx1"/>
            </w14:solidFill>
          </w14:textFill>
        </w:rPr>
        <w:t>第六章  工程部署与经费估算</w:t>
      </w:r>
      <w:bookmarkEnd w:id="70"/>
    </w:p>
    <w:p w14:paraId="5553CC7F">
      <w:pPr>
        <w:pStyle w:val="3"/>
        <w:spacing w:before="0" w:beforeLines="0"/>
        <w:jc w:val="center"/>
        <w:rPr>
          <w:color w:val="000000" w:themeColor="text1"/>
          <w:sz w:val="30"/>
          <w:szCs w:val="30"/>
          <w14:textFill>
            <w14:solidFill>
              <w14:schemeClr w14:val="tx1"/>
            </w14:solidFill>
          </w14:textFill>
        </w:rPr>
      </w:pPr>
      <w:bookmarkStart w:id="71" w:name="第一节__总体工作部署__"/>
      <w:bookmarkEnd w:id="71"/>
      <w:bookmarkStart w:id="72" w:name="_bookmark30"/>
      <w:bookmarkEnd w:id="72"/>
      <w:bookmarkStart w:id="73" w:name="_Toc9785"/>
      <w:r>
        <w:rPr>
          <w:rFonts w:hint="eastAsia"/>
          <w:color w:val="000000" w:themeColor="text1"/>
          <w:sz w:val="30"/>
          <w:szCs w:val="30"/>
          <w:lang w:val="en-US" w:eastAsia="zh-CN"/>
          <w14:textFill>
            <w14:solidFill>
              <w14:schemeClr w14:val="tx1"/>
            </w14:solidFill>
          </w14:textFill>
        </w:rPr>
        <w:t xml:space="preserve">第一节  </w:t>
      </w:r>
      <w:r>
        <w:rPr>
          <w:rFonts w:hint="eastAsia"/>
          <w:color w:val="000000" w:themeColor="text1"/>
          <w:sz w:val="30"/>
          <w:szCs w:val="30"/>
          <w14:textFill>
            <w14:solidFill>
              <w14:schemeClr w14:val="tx1"/>
            </w14:solidFill>
          </w14:textFill>
        </w:rPr>
        <w:t>总体部署</w:t>
      </w:r>
      <w:bookmarkEnd w:id="73"/>
    </w:p>
    <w:p w14:paraId="06FA1D63">
      <w:pPr>
        <w:pStyle w:val="5"/>
        <w:bidi w:val="0"/>
        <w:spacing w:line="360" w:lineRule="auto"/>
        <w:ind w:firstLine="562" w:firstLineChars="200"/>
        <w:rPr>
          <w:rFonts w:hint="default" w:hAnsi="Times New Roman" w:cs="Times New Roman"/>
          <w:b/>
          <w:bCs/>
          <w:color w:val="000000" w:themeColor="text1"/>
          <w:sz w:val="28"/>
          <w:szCs w:val="24"/>
          <w:lang w:val="en-US" w:eastAsia="zh-CN"/>
          <w14:textFill>
            <w14:solidFill>
              <w14:schemeClr w14:val="tx1"/>
            </w14:solidFill>
          </w14:textFill>
        </w:rPr>
      </w:pPr>
      <w:r>
        <w:rPr>
          <w:rFonts w:hint="eastAsia" w:hAnsi="Times New Roman" w:cs="Times New Roman"/>
          <w:b/>
          <w:bCs/>
          <w:color w:val="000000" w:themeColor="text1"/>
          <w:sz w:val="28"/>
          <w:szCs w:val="24"/>
          <w:lang w:val="en-US" w:eastAsia="zh-CN"/>
          <w14:textFill>
            <w14:solidFill>
              <w14:schemeClr w14:val="tx1"/>
            </w14:solidFill>
          </w14:textFill>
        </w:rPr>
        <w:t>一、总体目标</w:t>
      </w:r>
    </w:p>
    <w:p w14:paraId="781091C0">
      <w:pPr>
        <w:spacing w:line="360" w:lineRule="auto"/>
        <w:ind w:firstLine="560" w:firstLineChars="200"/>
        <w:jc w:val="left"/>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矿山地质环境治理工程与土地复垦工程同步进行，根据</w:t>
      </w:r>
      <w:r>
        <w:rPr>
          <w:rFonts w:hint="eastAsia"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边生产</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边治理</w:t>
      </w:r>
      <w:r>
        <w:rPr>
          <w:rFonts w:hint="eastAsia"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的原则，生产中破坏多少治理多少，有利于当地的生态环境恢复。针对</w:t>
      </w:r>
      <w:r>
        <w:rPr>
          <w:rFonts w:hint="eastAsia" w:cs="Times New Roman"/>
          <w:color w:val="000000" w:themeColor="text1"/>
          <w:sz w:val="28"/>
          <w:szCs w:val="28"/>
          <w:lang w:val="en-US" w:eastAsia="zh-CN"/>
          <w14:textFill>
            <w14:solidFill>
              <w14:schemeClr w14:val="tx1"/>
            </w14:solidFill>
          </w14:textFill>
        </w:rPr>
        <w:t>修复区</w:t>
      </w:r>
      <w:r>
        <w:rPr>
          <w:rFonts w:hint="default" w:ascii="Times New Roman" w:hAnsi="Times New Roman" w:cs="Times New Roman"/>
          <w:color w:val="000000" w:themeColor="text1"/>
          <w:sz w:val="28"/>
          <w:szCs w:val="28"/>
          <w14:textFill>
            <w14:solidFill>
              <w14:schemeClr w14:val="tx1"/>
            </w14:solidFill>
          </w14:textFill>
        </w:rPr>
        <w:t>内可能产生的矿山地质环境问题，应坚持</w:t>
      </w:r>
      <w:r>
        <w:rPr>
          <w:rFonts w:hint="eastAsia"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预防为主</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防治结合</w:t>
      </w:r>
      <w:r>
        <w:rPr>
          <w:rFonts w:hint="eastAsia"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w:t>
      </w:r>
      <w:r>
        <w:rPr>
          <w:rFonts w:hint="eastAsia"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在开发中保护</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在保护中开发</w:t>
      </w:r>
      <w:r>
        <w:rPr>
          <w:rFonts w:hint="eastAsia"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和</w:t>
      </w:r>
      <w:r>
        <w:rPr>
          <w:rFonts w:hint="eastAsia"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边开采、边治理</w:t>
      </w:r>
      <w:r>
        <w:rPr>
          <w:rFonts w:hint="eastAsia"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的主导思路，把矿山生态环境保护与恢复治理工作贯穿于整个矿业活动中，统筹规划，分布实施，全面推进的保护与恢复治理工作。</w:t>
      </w:r>
    </w:p>
    <w:p w14:paraId="1F08365D">
      <w:pPr>
        <w:pStyle w:val="5"/>
        <w:bidi w:val="0"/>
        <w:spacing w:line="360" w:lineRule="auto"/>
        <w:ind w:firstLine="562" w:firstLineChars="200"/>
        <w:rPr>
          <w:rFonts w:hint="default" w:hAnsi="Times New Roman" w:cs="Times New Roman"/>
          <w:b/>
          <w:bCs/>
          <w:color w:val="000000" w:themeColor="text1"/>
          <w:sz w:val="28"/>
          <w:szCs w:val="24"/>
          <w:lang w:val="en-US" w:eastAsia="zh-CN"/>
          <w14:textFill>
            <w14:solidFill>
              <w14:schemeClr w14:val="tx1"/>
            </w14:solidFill>
          </w14:textFill>
        </w:rPr>
      </w:pPr>
      <w:r>
        <w:rPr>
          <w:rFonts w:hint="default" w:hAnsi="Times New Roman" w:cs="Times New Roman"/>
          <w:b/>
          <w:bCs/>
          <w:color w:val="000000" w:themeColor="text1"/>
          <w:sz w:val="28"/>
          <w:szCs w:val="24"/>
          <w:lang w:val="en-US" w:eastAsia="zh-CN"/>
          <w14:textFill>
            <w14:solidFill>
              <w14:schemeClr w14:val="tx1"/>
            </w14:solidFill>
          </w14:textFill>
        </w:rPr>
        <w:t>二、总体部署与安排</w:t>
      </w:r>
    </w:p>
    <w:p w14:paraId="6715D937">
      <w:pPr>
        <w:spacing w:line="360" w:lineRule="auto"/>
        <w:ind w:firstLine="560" w:firstLineChars="200"/>
        <w:jc w:val="left"/>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矿区生态修复总体部署划分为</w:t>
      </w:r>
      <w:r>
        <w:rPr>
          <w:rFonts w:hint="eastAsia" w:cs="Times New Roman"/>
          <w:color w:val="000000" w:themeColor="text1"/>
          <w:sz w:val="28"/>
          <w:szCs w:val="28"/>
          <w:lang w:val="en-US" w:eastAsia="zh-CN"/>
          <w14:textFill>
            <w14:solidFill>
              <w14:schemeClr w14:val="tx1"/>
            </w14:solidFill>
          </w14:textFill>
        </w:rPr>
        <w:t>二</w:t>
      </w:r>
      <w:r>
        <w:rPr>
          <w:rFonts w:hint="default" w:ascii="Times New Roman" w:hAnsi="Times New Roman" w:cs="Times New Roman"/>
          <w:color w:val="000000" w:themeColor="text1"/>
          <w:sz w:val="28"/>
          <w:szCs w:val="28"/>
          <w14:textFill>
            <w14:solidFill>
              <w14:schemeClr w14:val="tx1"/>
            </w14:solidFill>
          </w14:textFill>
        </w:rPr>
        <w:t>个阶段：</w:t>
      </w:r>
      <w:r>
        <w:rPr>
          <w:rFonts w:hint="default" w:ascii="Times New Roman" w:hAnsi="Times New Roman" w:cs="Times New Roman"/>
          <w:color w:val="000000" w:themeColor="text1"/>
          <w:kern w:val="0"/>
          <w:sz w:val="28"/>
          <w:szCs w:val="28"/>
          <w14:textFill>
            <w14:solidFill>
              <w14:schemeClr w14:val="tx1"/>
            </w14:solidFill>
          </w14:textFill>
        </w:rPr>
        <w:t>生产期和修复管护期，生产期（2026年1月-2035年12月），修复管护期（2036年1月-203</w:t>
      </w:r>
      <w:r>
        <w:rPr>
          <w:rFonts w:hint="eastAsia" w:cs="Times New Roman"/>
          <w:color w:val="000000" w:themeColor="text1"/>
          <w:kern w:val="0"/>
          <w:sz w:val="28"/>
          <w:szCs w:val="28"/>
          <w:lang w:val="en-US" w:eastAsia="zh-CN"/>
          <w14:textFill>
            <w14:solidFill>
              <w14:schemeClr w14:val="tx1"/>
            </w14:solidFill>
          </w14:textFill>
        </w:rPr>
        <w:t>8</w:t>
      </w:r>
      <w:r>
        <w:rPr>
          <w:rFonts w:hint="default" w:ascii="Times New Roman" w:hAnsi="Times New Roman" w:cs="Times New Roman"/>
          <w:color w:val="000000" w:themeColor="text1"/>
          <w:kern w:val="0"/>
          <w:sz w:val="28"/>
          <w:szCs w:val="28"/>
          <w14:textFill>
            <w14:solidFill>
              <w14:schemeClr w14:val="tx1"/>
            </w14:solidFill>
          </w14:textFill>
        </w:rPr>
        <w:t>年12月）</w:t>
      </w:r>
      <w:r>
        <w:rPr>
          <w:rFonts w:hint="default" w:ascii="Times New Roman" w:hAnsi="Times New Roman" w:cs="Times New Roman"/>
          <w:color w:val="000000" w:themeColor="text1"/>
          <w:sz w:val="28"/>
          <w:szCs w:val="28"/>
          <w14:textFill>
            <w14:solidFill>
              <w14:schemeClr w14:val="tx1"/>
            </w14:solidFill>
          </w14:textFill>
        </w:rPr>
        <w:t>，生态修复工作预计在20</w:t>
      </w:r>
      <w:r>
        <w:rPr>
          <w:rFonts w:hint="eastAsia" w:cs="Times New Roman"/>
          <w:color w:val="000000" w:themeColor="text1"/>
          <w:sz w:val="28"/>
          <w:szCs w:val="28"/>
          <w:lang w:val="en-US" w:eastAsia="zh-CN"/>
          <w14:textFill>
            <w14:solidFill>
              <w14:schemeClr w14:val="tx1"/>
            </w14:solidFill>
          </w14:textFill>
        </w:rPr>
        <w:t>38</w:t>
      </w:r>
      <w:r>
        <w:rPr>
          <w:rFonts w:hint="default" w:ascii="Times New Roman" w:hAnsi="Times New Roman" w:cs="Times New Roman"/>
          <w:color w:val="000000" w:themeColor="text1"/>
          <w:sz w:val="28"/>
          <w:szCs w:val="28"/>
          <w14:textFill>
            <w14:solidFill>
              <w14:schemeClr w14:val="tx1"/>
            </w14:solidFill>
          </w14:textFill>
        </w:rPr>
        <w:t>年12月前结束。</w:t>
      </w:r>
    </w:p>
    <w:p w14:paraId="5931A978">
      <w:pPr>
        <w:pStyle w:val="38"/>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both"/>
        <w:textAlignment w:val="auto"/>
        <w:rPr>
          <w:rFonts w:hint="default" w:ascii="Times New Roman" w:hAnsi="Times New Roman" w:cs="Times New Roman"/>
          <w:color w:val="000000" w:themeColor="text1"/>
          <w:sz w:val="28"/>
          <w:szCs w:val="28"/>
          <w:lang w:val="en-US" w:eastAsia="zh-CN"/>
          <w14:textFill>
            <w14:solidFill>
              <w14:schemeClr w14:val="tx1"/>
            </w14:solidFill>
          </w14:textFill>
        </w:rPr>
      </w:pP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矿山生态修复单元</w:t>
      </w:r>
      <w:r>
        <w:rPr>
          <w:rFonts w:hint="default" w:ascii="Times New Roman" w:hAnsi="Times New Roman" w:cs="Times New Roman"/>
          <w:color w:val="000000" w:themeColor="text1"/>
          <w:sz w:val="28"/>
          <w:szCs w:val="28"/>
          <w:highlight w:val="none"/>
          <w:lang w:val="en-US" w:eastAsia="zh-CN"/>
          <w14:textFill>
            <w14:solidFill>
              <w14:schemeClr w14:val="tx1"/>
            </w14:solidFill>
          </w14:textFill>
        </w:rPr>
        <w:t>如下</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拟建露天采场1、拟建露天采场2、拟建储水池、露天采场2、工业场地、成品砖堆放场、料堆、表土存放场、办公生活区与矿区道路等。</w:t>
      </w:r>
    </w:p>
    <w:p w14:paraId="346E8C48">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1、</w:t>
      </w:r>
      <w:r>
        <w:rPr>
          <w:rFonts w:hint="eastAsia" w:ascii="Times New Roman" w:cs="Times New Roman"/>
          <w:color w:val="000000" w:themeColor="text1"/>
          <w:sz w:val="28"/>
          <w:szCs w:val="28"/>
          <w:lang w:val="en-US" w:eastAsia="zh-CN"/>
          <w14:textFill>
            <w14:solidFill>
              <w14:schemeClr w14:val="tx1"/>
            </w14:solidFill>
          </w14:textFill>
        </w:rPr>
        <w:t>拟建露天采场1：</w:t>
      </w:r>
      <w:r>
        <w:rPr>
          <w:rFonts w:hint="eastAsia" w:cs="Times New Roman"/>
          <w:color w:val="000000" w:themeColor="text1"/>
          <w:sz w:val="28"/>
          <w:szCs w:val="28"/>
          <w:lang w:val="en-US" w:eastAsia="zh-CN"/>
          <w14:textFill>
            <w14:solidFill>
              <w14:schemeClr w14:val="tx1"/>
            </w14:solidFill>
          </w14:textFill>
        </w:rPr>
        <w:t>表土剥离、</w:t>
      </w:r>
      <w:r>
        <w:rPr>
          <w:rFonts w:hint="eastAsia" w:ascii="Times New Roman" w:cs="Times New Roman"/>
          <w:color w:val="000000" w:themeColor="text1"/>
          <w:sz w:val="28"/>
          <w:szCs w:val="28"/>
          <w:lang w:val="en-US" w:eastAsia="zh-CN"/>
          <w14:textFill>
            <w14:solidFill>
              <w14:schemeClr w14:val="tx1"/>
            </w14:solidFill>
          </w14:textFill>
        </w:rPr>
        <w:t>危</w:t>
      </w:r>
      <w:r>
        <w:rPr>
          <w:rFonts w:hint="eastAsia" w:cs="Times New Roman"/>
          <w:color w:val="000000" w:themeColor="text1"/>
          <w:sz w:val="28"/>
          <w:szCs w:val="28"/>
          <w:lang w:val="en-US" w:eastAsia="zh-CN"/>
          <w14:textFill>
            <w14:solidFill>
              <w14:schemeClr w14:val="tx1"/>
            </w14:solidFill>
          </w14:textFill>
        </w:rPr>
        <w:t>土</w:t>
      </w:r>
      <w:r>
        <w:rPr>
          <w:rFonts w:hint="eastAsia" w:ascii="Times New Roman" w:cs="Times New Roman"/>
          <w:color w:val="000000" w:themeColor="text1"/>
          <w:sz w:val="28"/>
          <w:szCs w:val="28"/>
          <w:lang w:val="en-US" w:eastAsia="zh-CN"/>
          <w14:textFill>
            <w14:solidFill>
              <w14:schemeClr w14:val="tx1"/>
            </w14:solidFill>
          </w14:textFill>
        </w:rPr>
        <w:t>体清理、</w:t>
      </w:r>
      <w:r>
        <w:rPr>
          <w:rFonts w:hint="default" w:ascii="Times New Roman" w:hAnsi="Times New Roman" w:eastAsia="宋体" w:cs="Times New Roman"/>
          <w:color w:val="000000" w:themeColor="text1"/>
          <w:kern w:val="0"/>
          <w:sz w:val="28"/>
          <w:szCs w:val="28"/>
          <w:highlight w:val="none"/>
          <w:lang w:eastAsia="zh-CN"/>
          <w14:textFill>
            <w14:solidFill>
              <w14:schemeClr w14:val="tx1"/>
            </w14:solidFill>
          </w14:textFill>
        </w:rPr>
        <w:t>设置警示牌、布设网围栏、</w:t>
      </w: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回填、</w:t>
      </w:r>
      <w:r>
        <w:rPr>
          <w:rFonts w:hint="eastAsia" w:cs="Times New Roman"/>
          <w:color w:val="000000" w:themeColor="text1"/>
          <w:kern w:val="0"/>
          <w:sz w:val="28"/>
          <w:szCs w:val="28"/>
          <w:highlight w:val="none"/>
          <w:lang w:val="en-US" w:eastAsia="zh-CN"/>
          <w14:textFill>
            <w14:solidFill>
              <w14:schemeClr w14:val="tx1"/>
            </w14:solidFill>
          </w14:textFill>
        </w:rPr>
        <w:t>翻耕</w:t>
      </w: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w:t>
      </w:r>
      <w:r>
        <w:rPr>
          <w:rFonts w:hint="eastAsia" w:cs="Times New Roman"/>
          <w:color w:val="000000" w:themeColor="text1"/>
          <w:kern w:val="0"/>
          <w:sz w:val="28"/>
          <w:szCs w:val="28"/>
          <w:highlight w:val="none"/>
          <w:lang w:val="en-US" w:eastAsia="zh-CN"/>
          <w14:textFill>
            <w14:solidFill>
              <w14:schemeClr w14:val="tx1"/>
            </w14:solidFill>
          </w14:textFill>
        </w:rPr>
        <w:t>土地平整</w:t>
      </w: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w:t>
      </w:r>
      <w:r>
        <w:rPr>
          <w:rFonts w:hint="eastAsia" w:cs="Times New Roman"/>
          <w:color w:val="000000" w:themeColor="text1"/>
          <w:kern w:val="0"/>
          <w:sz w:val="28"/>
          <w:szCs w:val="28"/>
          <w:highlight w:val="none"/>
          <w:lang w:val="en-US" w:eastAsia="zh-CN"/>
          <w14:textFill>
            <w14:solidFill>
              <w14:schemeClr w14:val="tx1"/>
            </w14:solidFill>
          </w14:textFill>
        </w:rPr>
        <w:t>栽植乔木、撒播种草</w:t>
      </w: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w:t>
      </w:r>
    </w:p>
    <w:p w14:paraId="1AEF4F70">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2、</w:t>
      </w:r>
      <w:r>
        <w:rPr>
          <w:rFonts w:hint="eastAsia" w:ascii="Times New Roman" w:cs="Times New Roman"/>
          <w:color w:val="000000" w:themeColor="text1"/>
          <w:sz w:val="28"/>
          <w:szCs w:val="28"/>
          <w:lang w:val="en-US" w:eastAsia="zh-CN"/>
          <w14:textFill>
            <w14:solidFill>
              <w14:schemeClr w14:val="tx1"/>
            </w14:solidFill>
          </w14:textFill>
        </w:rPr>
        <w:t>拟建露天采场2：</w:t>
      </w:r>
      <w:r>
        <w:rPr>
          <w:rFonts w:hint="eastAsia" w:cs="Times New Roman"/>
          <w:color w:val="000000" w:themeColor="text1"/>
          <w:sz w:val="28"/>
          <w:szCs w:val="28"/>
          <w:lang w:val="en-US" w:eastAsia="zh-CN"/>
          <w14:textFill>
            <w14:solidFill>
              <w14:schemeClr w14:val="tx1"/>
            </w14:solidFill>
          </w14:textFill>
        </w:rPr>
        <w:t>表土剥离、</w:t>
      </w:r>
      <w:r>
        <w:rPr>
          <w:rFonts w:hint="eastAsia" w:ascii="Times New Roman" w:cs="Times New Roman"/>
          <w:color w:val="000000" w:themeColor="text1"/>
          <w:sz w:val="28"/>
          <w:szCs w:val="28"/>
          <w:lang w:val="en-US" w:eastAsia="zh-CN"/>
          <w14:textFill>
            <w14:solidFill>
              <w14:schemeClr w14:val="tx1"/>
            </w14:solidFill>
          </w14:textFill>
        </w:rPr>
        <w:t>危</w:t>
      </w:r>
      <w:r>
        <w:rPr>
          <w:rFonts w:hint="eastAsia" w:cs="Times New Roman"/>
          <w:color w:val="000000" w:themeColor="text1"/>
          <w:sz w:val="28"/>
          <w:szCs w:val="28"/>
          <w:lang w:val="en-US" w:eastAsia="zh-CN"/>
          <w14:textFill>
            <w14:solidFill>
              <w14:schemeClr w14:val="tx1"/>
            </w14:solidFill>
          </w14:textFill>
        </w:rPr>
        <w:t>土</w:t>
      </w:r>
      <w:r>
        <w:rPr>
          <w:rFonts w:hint="eastAsia" w:ascii="Times New Roman" w:cs="Times New Roman"/>
          <w:color w:val="000000" w:themeColor="text1"/>
          <w:sz w:val="28"/>
          <w:szCs w:val="28"/>
          <w:lang w:val="en-US" w:eastAsia="zh-CN"/>
          <w14:textFill>
            <w14:solidFill>
              <w14:schemeClr w14:val="tx1"/>
            </w14:solidFill>
          </w14:textFill>
        </w:rPr>
        <w:t>体清理、</w:t>
      </w:r>
      <w:r>
        <w:rPr>
          <w:rFonts w:hint="default" w:ascii="Times New Roman" w:hAnsi="Times New Roman" w:eastAsia="宋体" w:cs="Times New Roman"/>
          <w:color w:val="000000" w:themeColor="text1"/>
          <w:kern w:val="0"/>
          <w:sz w:val="28"/>
          <w:szCs w:val="28"/>
          <w:highlight w:val="none"/>
          <w:lang w:eastAsia="zh-CN"/>
          <w14:textFill>
            <w14:solidFill>
              <w14:schemeClr w14:val="tx1"/>
            </w14:solidFill>
          </w14:textFill>
        </w:rPr>
        <w:t>设置警示牌、布设网围栏、</w:t>
      </w: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回填、</w:t>
      </w:r>
      <w:r>
        <w:rPr>
          <w:rFonts w:hint="eastAsia" w:cs="Times New Roman"/>
          <w:color w:val="000000" w:themeColor="text1"/>
          <w:kern w:val="0"/>
          <w:sz w:val="28"/>
          <w:szCs w:val="28"/>
          <w:highlight w:val="none"/>
          <w:lang w:val="en-US" w:eastAsia="zh-CN"/>
          <w14:textFill>
            <w14:solidFill>
              <w14:schemeClr w14:val="tx1"/>
            </w14:solidFill>
          </w14:textFill>
        </w:rPr>
        <w:t>翻耕</w:t>
      </w: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w:t>
      </w:r>
      <w:r>
        <w:rPr>
          <w:rFonts w:hint="eastAsia" w:cs="Times New Roman"/>
          <w:color w:val="000000" w:themeColor="text1"/>
          <w:kern w:val="0"/>
          <w:sz w:val="28"/>
          <w:szCs w:val="28"/>
          <w:highlight w:val="none"/>
          <w:lang w:val="en-US" w:eastAsia="zh-CN"/>
          <w14:textFill>
            <w14:solidFill>
              <w14:schemeClr w14:val="tx1"/>
            </w14:solidFill>
          </w14:textFill>
        </w:rPr>
        <w:t>土地平整</w:t>
      </w: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w:t>
      </w:r>
      <w:r>
        <w:rPr>
          <w:rFonts w:hint="eastAsia" w:cs="Times New Roman"/>
          <w:color w:val="000000" w:themeColor="text1"/>
          <w:kern w:val="0"/>
          <w:sz w:val="28"/>
          <w:szCs w:val="28"/>
          <w:highlight w:val="none"/>
          <w:lang w:val="en-US" w:eastAsia="zh-CN"/>
          <w14:textFill>
            <w14:solidFill>
              <w14:schemeClr w14:val="tx1"/>
            </w14:solidFill>
          </w14:textFill>
        </w:rPr>
        <w:t>栽植乔木、撒播种草</w:t>
      </w: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w:t>
      </w:r>
    </w:p>
    <w:p w14:paraId="34C99494">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3</w:t>
      </w:r>
      <w:r>
        <w:rPr>
          <w:rFonts w:hint="eastAsia" w:ascii="Times New Roman" w:cs="Times New Roman"/>
          <w:color w:val="000000" w:themeColor="text1"/>
          <w:sz w:val="28"/>
          <w:szCs w:val="28"/>
          <w:lang w:val="en-US"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露天采场</w:t>
      </w:r>
      <w:r>
        <w:rPr>
          <w:rFonts w:hint="eastAsia" w:cs="Times New Roman"/>
          <w:color w:val="000000" w:themeColor="text1"/>
          <w:sz w:val="28"/>
          <w:szCs w:val="28"/>
          <w:lang w:val="en-US" w:eastAsia="zh-CN"/>
          <w14:textFill>
            <w14:solidFill>
              <w14:schemeClr w14:val="tx1"/>
            </w14:solidFill>
          </w14:textFill>
        </w:rPr>
        <w:t>2</w:t>
      </w:r>
      <w:r>
        <w:rPr>
          <w:rFonts w:hint="eastAsia" w:ascii="Times New Roman" w:hAnsi="Times New Roman" w:cs="Times New Roman"/>
          <w:color w:val="000000" w:themeColor="text1"/>
          <w:sz w:val="28"/>
          <w:szCs w:val="28"/>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回填、土地平整、撒播种草；</w:t>
      </w:r>
    </w:p>
    <w:p w14:paraId="7130CB69">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4</w:t>
      </w:r>
      <w:r>
        <w:rPr>
          <w:rFonts w:hint="eastAsia" w:ascii="Times New Roman" w:hAnsi="Times New Roman" w:cs="Times New Roman"/>
          <w:color w:val="000000" w:themeColor="text1"/>
          <w:sz w:val="28"/>
          <w:szCs w:val="28"/>
          <w:lang w:val="en-US"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拟建储水池</w:t>
      </w:r>
      <w:r>
        <w:rPr>
          <w:rFonts w:hint="eastAsia" w:ascii="Times New Roman" w:hAnsi="Times New Roman" w:cs="Times New Roman"/>
          <w:color w:val="000000" w:themeColor="text1"/>
          <w:sz w:val="28"/>
          <w:szCs w:val="28"/>
          <w:lang w:val="en-US"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表土剥离、拆除、</w:t>
      </w:r>
      <w:r>
        <w:rPr>
          <w:rFonts w:hint="eastAsia" w:ascii="Times New Roman" w:hAnsi="Times New Roman" w:cs="Times New Roman"/>
          <w:color w:val="000000" w:themeColor="text1"/>
          <w:sz w:val="28"/>
          <w:szCs w:val="28"/>
          <w:lang w:val="en-US" w:eastAsia="zh-CN"/>
          <w14:textFill>
            <w14:solidFill>
              <w14:schemeClr w14:val="tx1"/>
            </w14:solidFill>
          </w14:textFill>
        </w:rPr>
        <w:t>清运、</w:t>
      </w:r>
      <w:r>
        <w:rPr>
          <w:rFonts w:hint="eastAsia" w:cs="Times New Roman"/>
          <w:color w:val="000000" w:themeColor="text1"/>
          <w:sz w:val="28"/>
          <w:szCs w:val="28"/>
          <w:lang w:val="en-US" w:eastAsia="zh-CN"/>
          <w14:textFill>
            <w14:solidFill>
              <w14:schemeClr w14:val="tx1"/>
            </w14:solidFill>
          </w14:textFill>
        </w:rPr>
        <w:t>翻耕</w:t>
      </w:r>
      <w:r>
        <w:rPr>
          <w:rFonts w:hint="eastAsia" w:ascii="Times New Roman" w:hAnsi="Times New Roman" w:cs="Times New Roman"/>
          <w:color w:val="000000" w:themeColor="text1"/>
          <w:sz w:val="28"/>
          <w:szCs w:val="28"/>
          <w:lang w:val="en-US" w:eastAsia="zh-CN"/>
          <w14:textFill>
            <w14:solidFill>
              <w14:schemeClr w14:val="tx1"/>
            </w14:solidFill>
          </w14:textFill>
        </w:rPr>
        <w:t>、土地平整、</w:t>
      </w: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撒播种草</w:t>
      </w:r>
      <w:r>
        <w:rPr>
          <w:rFonts w:hint="eastAsia" w:ascii="Times New Roman" w:hAnsi="Times New Roman" w:cs="Times New Roman"/>
          <w:color w:val="000000" w:themeColor="text1"/>
          <w:sz w:val="28"/>
          <w:szCs w:val="28"/>
          <w:lang w:val="en-US" w:eastAsia="zh-CN"/>
          <w14:textFill>
            <w14:solidFill>
              <w14:schemeClr w14:val="tx1"/>
            </w14:solidFill>
          </w14:textFill>
        </w:rPr>
        <w:t>；</w:t>
      </w:r>
    </w:p>
    <w:p w14:paraId="31B5EC26">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5</w:t>
      </w:r>
      <w:r>
        <w:rPr>
          <w:rFonts w:hint="default" w:ascii="Times New Roman" w:hAnsi="Times New Roman" w:cs="Times New Roman"/>
          <w:color w:val="000000" w:themeColor="text1"/>
          <w:sz w:val="28"/>
          <w:szCs w:val="28"/>
          <w:lang w:val="en-US"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工业场地</w:t>
      </w:r>
      <w:r>
        <w:rPr>
          <w:rFonts w:hint="eastAsia" w:ascii="Times New Roman" w:hAnsi="Times New Roman" w:cs="Times New Roman"/>
          <w:color w:val="000000" w:themeColor="text1"/>
          <w:sz w:val="28"/>
          <w:szCs w:val="28"/>
          <w:lang w:val="en-US"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拆除、</w:t>
      </w:r>
      <w:r>
        <w:rPr>
          <w:rFonts w:hint="eastAsia" w:ascii="Times New Roman" w:hAnsi="Times New Roman" w:cs="Times New Roman"/>
          <w:color w:val="000000" w:themeColor="text1"/>
          <w:sz w:val="28"/>
          <w:szCs w:val="28"/>
          <w:lang w:val="en-US" w:eastAsia="zh-CN"/>
          <w14:textFill>
            <w14:solidFill>
              <w14:schemeClr w14:val="tx1"/>
            </w14:solidFill>
          </w14:textFill>
        </w:rPr>
        <w:t>清运、</w:t>
      </w:r>
      <w:r>
        <w:rPr>
          <w:rFonts w:hint="eastAsia" w:cs="Times New Roman"/>
          <w:color w:val="000000" w:themeColor="text1"/>
          <w:sz w:val="28"/>
          <w:szCs w:val="28"/>
          <w:lang w:val="en-US" w:eastAsia="zh-CN"/>
          <w14:textFill>
            <w14:solidFill>
              <w14:schemeClr w14:val="tx1"/>
            </w14:solidFill>
          </w14:textFill>
        </w:rPr>
        <w:t>翻耕</w:t>
      </w:r>
      <w:r>
        <w:rPr>
          <w:rFonts w:hint="eastAsia" w:ascii="Times New Roman" w:hAnsi="Times New Roman" w:cs="Times New Roman"/>
          <w:color w:val="000000" w:themeColor="text1"/>
          <w:sz w:val="28"/>
          <w:szCs w:val="28"/>
          <w:lang w:val="en-US" w:eastAsia="zh-CN"/>
          <w14:textFill>
            <w14:solidFill>
              <w14:schemeClr w14:val="tx1"/>
            </w14:solidFill>
          </w14:textFill>
        </w:rPr>
        <w:t>、土地平整、</w:t>
      </w: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撒播种草</w:t>
      </w:r>
      <w:r>
        <w:rPr>
          <w:rFonts w:hint="eastAsia" w:ascii="Times New Roman" w:hAnsi="Times New Roman" w:cs="Times New Roman"/>
          <w:color w:val="000000" w:themeColor="text1"/>
          <w:sz w:val="28"/>
          <w:szCs w:val="28"/>
          <w:lang w:val="en-US" w:eastAsia="zh-CN"/>
          <w14:textFill>
            <w14:solidFill>
              <w14:schemeClr w14:val="tx1"/>
            </w14:solidFill>
          </w14:textFill>
        </w:rPr>
        <w:t>；</w:t>
      </w:r>
    </w:p>
    <w:p w14:paraId="3631F0A5">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6</w:t>
      </w:r>
      <w:r>
        <w:rPr>
          <w:rFonts w:hint="default" w:ascii="Times New Roman" w:hAnsi="Times New Roman" w:cs="Times New Roman"/>
          <w:color w:val="000000" w:themeColor="text1"/>
          <w:sz w:val="28"/>
          <w:szCs w:val="28"/>
          <w:lang w:val="en-US"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成品砖堆放场</w:t>
      </w:r>
      <w:r>
        <w:rPr>
          <w:rFonts w:hint="eastAsia" w:ascii="Times New Roman" w:hAnsi="Times New Roman" w:cs="Times New Roman"/>
          <w:color w:val="000000" w:themeColor="text1"/>
          <w:sz w:val="28"/>
          <w:szCs w:val="28"/>
          <w:lang w:val="en-US"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翻耕</w:t>
      </w:r>
      <w:r>
        <w:rPr>
          <w:rFonts w:hint="eastAsia" w:ascii="Times New Roman" w:hAnsi="Times New Roman" w:cs="Times New Roman"/>
          <w:color w:val="000000" w:themeColor="text1"/>
          <w:sz w:val="28"/>
          <w:szCs w:val="28"/>
          <w:lang w:val="en-US" w:eastAsia="zh-CN"/>
          <w14:textFill>
            <w14:solidFill>
              <w14:schemeClr w14:val="tx1"/>
            </w14:solidFill>
          </w14:textFill>
        </w:rPr>
        <w:t>、土地平整、</w:t>
      </w: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撒播种草；</w:t>
      </w:r>
    </w:p>
    <w:p w14:paraId="0ADFE964">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7</w:t>
      </w:r>
      <w:r>
        <w:rPr>
          <w:rFonts w:hint="eastAsia" w:ascii="Times New Roman" w:hAnsi="Times New Roman" w:cs="Times New Roman"/>
          <w:color w:val="000000" w:themeColor="text1"/>
          <w:sz w:val="28"/>
          <w:szCs w:val="28"/>
          <w:lang w:val="en-US"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料堆</w:t>
      </w:r>
      <w:r>
        <w:rPr>
          <w:rFonts w:hint="eastAsia" w:ascii="Times New Roman" w:hAnsi="Times New Roman" w:cs="Times New Roman"/>
          <w:color w:val="000000" w:themeColor="text1"/>
          <w:sz w:val="28"/>
          <w:szCs w:val="28"/>
          <w:lang w:val="en-US" w:eastAsia="zh-CN"/>
          <w14:textFill>
            <w14:solidFill>
              <w14:schemeClr w14:val="tx1"/>
            </w14:solidFill>
          </w14:textFill>
        </w:rPr>
        <w:t>：清运、</w:t>
      </w:r>
      <w:r>
        <w:rPr>
          <w:rFonts w:hint="eastAsia" w:cs="Times New Roman"/>
          <w:color w:val="000000" w:themeColor="text1"/>
          <w:sz w:val="28"/>
          <w:szCs w:val="28"/>
          <w:lang w:val="en-US" w:eastAsia="zh-CN"/>
          <w14:textFill>
            <w14:solidFill>
              <w14:schemeClr w14:val="tx1"/>
            </w14:solidFill>
          </w14:textFill>
        </w:rPr>
        <w:t>翻耕</w:t>
      </w:r>
      <w:r>
        <w:rPr>
          <w:rFonts w:hint="eastAsia" w:ascii="Times New Roman" w:hAnsi="Times New Roman" w:cs="Times New Roman"/>
          <w:color w:val="000000" w:themeColor="text1"/>
          <w:sz w:val="28"/>
          <w:szCs w:val="28"/>
          <w:lang w:val="en-US" w:eastAsia="zh-CN"/>
          <w14:textFill>
            <w14:solidFill>
              <w14:schemeClr w14:val="tx1"/>
            </w14:solidFill>
          </w14:textFill>
        </w:rPr>
        <w:t>、土地平整、</w:t>
      </w: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撒播种草</w:t>
      </w:r>
      <w:r>
        <w:rPr>
          <w:rFonts w:hint="eastAsia" w:ascii="Times New Roman" w:hAnsi="Times New Roman" w:cs="Times New Roman"/>
          <w:color w:val="000000" w:themeColor="text1"/>
          <w:kern w:val="0"/>
          <w:sz w:val="28"/>
          <w:szCs w:val="28"/>
          <w:highlight w:val="none"/>
          <w:lang w:val="en-US" w:eastAsia="zh-CN"/>
          <w14:textFill>
            <w14:solidFill>
              <w14:schemeClr w14:val="tx1"/>
            </w14:solidFill>
          </w14:textFill>
        </w:rPr>
        <w:t>、恢复水浇地</w:t>
      </w: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w:t>
      </w:r>
    </w:p>
    <w:p w14:paraId="2531BF53">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8</w:t>
      </w:r>
      <w:r>
        <w:rPr>
          <w:rFonts w:hint="eastAsia" w:ascii="Times New Roman" w:hAnsi="Times New Roman" w:cs="Times New Roman"/>
          <w:color w:val="000000" w:themeColor="text1"/>
          <w:sz w:val="28"/>
          <w:szCs w:val="28"/>
          <w:lang w:val="en-US"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表土存放场</w:t>
      </w:r>
      <w:r>
        <w:rPr>
          <w:rFonts w:hint="eastAsia" w:ascii="Times New Roman" w:hAnsi="Times New Roman" w:cs="Times New Roman"/>
          <w:color w:val="000000" w:themeColor="text1"/>
          <w:sz w:val="28"/>
          <w:szCs w:val="28"/>
          <w:lang w:val="en-US" w:eastAsia="zh-CN"/>
          <w14:textFill>
            <w14:solidFill>
              <w14:schemeClr w14:val="tx1"/>
            </w14:solidFill>
          </w14:textFill>
        </w:rPr>
        <w:t>：清运、</w:t>
      </w:r>
      <w:r>
        <w:rPr>
          <w:rFonts w:hint="eastAsia" w:cs="Times New Roman"/>
          <w:color w:val="000000" w:themeColor="text1"/>
          <w:sz w:val="28"/>
          <w:szCs w:val="28"/>
          <w:lang w:val="en-US" w:eastAsia="zh-CN"/>
          <w14:textFill>
            <w14:solidFill>
              <w14:schemeClr w14:val="tx1"/>
            </w14:solidFill>
          </w14:textFill>
        </w:rPr>
        <w:t>翻耕</w:t>
      </w:r>
      <w:r>
        <w:rPr>
          <w:rFonts w:hint="eastAsia" w:ascii="Times New Roman" w:hAnsi="Times New Roman" w:cs="Times New Roman"/>
          <w:color w:val="000000" w:themeColor="text1"/>
          <w:sz w:val="28"/>
          <w:szCs w:val="28"/>
          <w:lang w:val="en-US" w:eastAsia="zh-CN"/>
          <w14:textFill>
            <w14:solidFill>
              <w14:schemeClr w14:val="tx1"/>
            </w14:solidFill>
          </w14:textFill>
        </w:rPr>
        <w:t>、土地平整、栽植乔木、</w:t>
      </w: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撒播种草；</w:t>
      </w:r>
    </w:p>
    <w:p w14:paraId="76E147B4">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9</w:t>
      </w:r>
      <w:r>
        <w:rPr>
          <w:rFonts w:hint="eastAsia" w:ascii="Times New Roman" w:hAnsi="Times New Roman" w:cs="Times New Roman"/>
          <w:color w:val="000000" w:themeColor="text1"/>
          <w:sz w:val="28"/>
          <w:szCs w:val="28"/>
          <w:lang w:val="en-US"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办公生活区</w:t>
      </w:r>
      <w:r>
        <w:rPr>
          <w:rFonts w:hint="eastAsia" w:ascii="Times New Roman" w:hAnsi="Times New Roman" w:cs="Times New Roman"/>
          <w:color w:val="000000" w:themeColor="text1"/>
          <w:sz w:val="28"/>
          <w:szCs w:val="28"/>
          <w:lang w:val="en-US" w:eastAsia="zh-CN"/>
          <w14:textFill>
            <w14:solidFill>
              <w14:schemeClr w14:val="tx1"/>
            </w14:solidFill>
          </w14:textFill>
        </w:rPr>
        <w:t>：拆除、清运、垫坡整形、</w:t>
      </w:r>
      <w:r>
        <w:rPr>
          <w:rFonts w:hint="eastAsia" w:cs="Times New Roman"/>
          <w:color w:val="000000" w:themeColor="text1"/>
          <w:sz w:val="28"/>
          <w:szCs w:val="28"/>
          <w:lang w:val="en-US" w:eastAsia="zh-CN"/>
          <w14:textFill>
            <w14:solidFill>
              <w14:schemeClr w14:val="tx1"/>
            </w14:solidFill>
          </w14:textFill>
        </w:rPr>
        <w:t>翻耕</w:t>
      </w: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、土地平整、撒播种草；</w:t>
      </w:r>
    </w:p>
    <w:p w14:paraId="0CE8C1AF">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10</w:t>
      </w:r>
      <w:r>
        <w:rPr>
          <w:rFonts w:hint="eastAsia" w:ascii="Times New Roman" w:hAnsi="Times New Roman" w:cs="Times New Roman"/>
          <w:color w:val="000000" w:themeColor="text1"/>
          <w:sz w:val="28"/>
          <w:szCs w:val="28"/>
          <w:lang w:val="en-US" w:eastAsia="zh-CN"/>
          <w14:textFill>
            <w14:solidFill>
              <w14:schemeClr w14:val="tx1"/>
            </w14:solidFill>
          </w14:textFill>
        </w:rPr>
        <w:t>、矿区道路：</w:t>
      </w:r>
      <w:r>
        <w:rPr>
          <w:rFonts w:hint="eastAsia" w:cs="Times New Roman"/>
          <w:color w:val="000000" w:themeColor="text1"/>
          <w:sz w:val="28"/>
          <w:szCs w:val="28"/>
          <w:lang w:val="en-US" w:eastAsia="zh-CN"/>
          <w14:textFill>
            <w14:solidFill>
              <w14:schemeClr w14:val="tx1"/>
            </w14:solidFill>
          </w14:textFill>
        </w:rPr>
        <w:t>翻耕</w:t>
      </w: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、土地平整、撒播种草；</w:t>
      </w:r>
    </w:p>
    <w:p w14:paraId="46A4C76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pPr>
      <w:r>
        <w:rPr>
          <w:rFonts w:hint="eastAsia" w:cs="Times New Roman"/>
          <w:color w:val="000000" w:themeColor="text1"/>
          <w:sz w:val="28"/>
          <w:szCs w:val="28"/>
          <w:highlight w:val="none"/>
          <w:lang w:val="en-US" w:eastAsia="zh-CN"/>
          <w14:textFill>
            <w14:solidFill>
              <w14:schemeClr w14:val="tx1"/>
            </w14:solidFill>
          </w14:textFill>
        </w:rPr>
        <w:t>11</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对矿山地质环境、土地资源、生态系统开展监测</w:t>
      </w:r>
      <w:r>
        <w:rPr>
          <w:rFonts w:hint="eastAsia" w:cs="Times New Roman"/>
          <w:color w:val="000000" w:themeColor="text1"/>
          <w:sz w:val="28"/>
          <w:szCs w:val="28"/>
          <w:highlight w:val="none"/>
          <w:lang w:val="en-US" w:eastAsia="zh-CN"/>
          <w14:textFill>
            <w14:solidFill>
              <w14:schemeClr w14:val="tx1"/>
            </w14:solidFill>
          </w14:textFill>
        </w:rPr>
        <w:t>；</w:t>
      </w:r>
    </w:p>
    <w:p w14:paraId="241C1DAD">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pPr>
      <w:r>
        <w:rPr>
          <w:rFonts w:hint="eastAsia" w:cs="Times New Roman"/>
          <w:color w:val="000000" w:themeColor="text1"/>
          <w:sz w:val="28"/>
          <w:szCs w:val="28"/>
          <w:highlight w:val="none"/>
          <w:lang w:val="en-US" w:eastAsia="zh-CN"/>
          <w14:textFill>
            <w14:solidFill>
              <w14:schemeClr w14:val="tx1"/>
            </w14:solidFill>
          </w14:textFill>
        </w:rPr>
        <w:t>12</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对复垦区进行管护。</w:t>
      </w:r>
    </w:p>
    <w:p w14:paraId="71D4BD7B">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pPr>
      <w:r>
        <w:rPr>
          <w:rFonts w:hint="eastAsia" w:cs="Times New Roman"/>
          <w:color w:val="000000" w:themeColor="text1"/>
          <w:sz w:val="28"/>
          <w:szCs w:val="28"/>
          <w:highlight w:val="none"/>
          <w:lang w:val="en-US" w:eastAsia="zh-CN"/>
          <w14:textFill>
            <w14:solidFill>
              <w14:schemeClr w14:val="tx1"/>
            </w14:solidFill>
          </w14:textFill>
        </w:rPr>
        <w:t>详见矿区生态修复总体工作部署表6-1。</w:t>
      </w:r>
    </w:p>
    <w:p w14:paraId="5B280145">
      <w:pPr>
        <w:pStyle w:val="66"/>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黑体" w:hAnsi="黑体" w:eastAsia="黑体" w:cs="黑体"/>
          <w:b w:val="0"/>
          <w:bCs w:val="0"/>
          <w:color w:val="000000" w:themeColor="text1"/>
          <w:sz w:val="24"/>
          <w:szCs w:val="24"/>
          <w14:textFill>
            <w14:solidFill>
              <w14:schemeClr w14:val="tx1"/>
            </w14:solidFill>
          </w14:textFill>
        </w:rPr>
      </w:pPr>
      <w:r>
        <w:rPr>
          <w:rFonts w:hint="default" w:ascii="黑体" w:hAnsi="黑体" w:eastAsia="黑体" w:cs="黑体"/>
          <w:b w:val="0"/>
          <w:bCs w:val="0"/>
          <w:color w:val="000000" w:themeColor="text1"/>
          <w:sz w:val="24"/>
          <w:szCs w:val="24"/>
          <w14:textFill>
            <w14:solidFill>
              <w14:schemeClr w14:val="tx1"/>
            </w14:solidFill>
          </w14:textFill>
        </w:rPr>
        <w:t>表</w:t>
      </w:r>
      <w:r>
        <w:rPr>
          <w:rFonts w:hint="default" w:ascii="黑体" w:hAnsi="黑体" w:eastAsia="黑体" w:cs="黑体"/>
          <w:b w:val="0"/>
          <w:bCs w:val="0"/>
          <w:color w:val="000000" w:themeColor="text1"/>
          <w:sz w:val="24"/>
          <w:szCs w:val="24"/>
          <w:lang w:val="en-US" w:eastAsia="zh-CN"/>
          <w14:textFill>
            <w14:solidFill>
              <w14:schemeClr w14:val="tx1"/>
            </w14:solidFill>
          </w14:textFill>
        </w:rPr>
        <w:t>6-1</w:t>
      </w:r>
      <w:r>
        <w:rPr>
          <w:rFonts w:hint="default" w:ascii="黑体" w:hAnsi="黑体" w:eastAsia="黑体" w:cs="黑体"/>
          <w:b w:val="0"/>
          <w:bCs w:val="0"/>
          <w:color w:val="000000" w:themeColor="text1"/>
          <w:sz w:val="24"/>
          <w:szCs w:val="24"/>
          <w14:textFill>
            <w14:solidFill>
              <w14:schemeClr w14:val="tx1"/>
            </w14:solidFill>
          </w14:textFill>
        </w:rPr>
        <w:t xml:space="preserve">  </w:t>
      </w:r>
      <w:r>
        <w:rPr>
          <w:rFonts w:hint="default" w:ascii="黑体" w:hAnsi="黑体" w:eastAsia="黑体" w:cs="黑体"/>
          <w:b w:val="0"/>
          <w:bCs w:val="0"/>
          <w:color w:val="000000" w:themeColor="text1"/>
          <w:sz w:val="24"/>
          <w:szCs w:val="24"/>
          <w:lang w:val="en-US" w:eastAsia="zh-CN"/>
          <w14:textFill>
            <w14:solidFill>
              <w14:schemeClr w14:val="tx1"/>
            </w14:solidFill>
          </w14:textFill>
        </w:rPr>
        <w:t>矿区生态修复总体工作部署表</w:t>
      </w:r>
    </w:p>
    <w:tbl>
      <w:tblPr>
        <w:tblStyle w:val="30"/>
        <w:tblW w:w="48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6"/>
        <w:gridCol w:w="6518"/>
      </w:tblGrid>
      <w:tr w14:paraId="43B36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4" w:type="pct"/>
            <w:noWrap w:val="0"/>
            <w:vAlign w:val="center"/>
          </w:tcPr>
          <w:p w14:paraId="76B6EA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修复时期</w:t>
            </w:r>
          </w:p>
        </w:tc>
        <w:tc>
          <w:tcPr>
            <w:tcW w:w="3905" w:type="pct"/>
            <w:noWrap w:val="0"/>
            <w:vAlign w:val="center"/>
          </w:tcPr>
          <w:p w14:paraId="2037006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修复单元</w:t>
            </w:r>
          </w:p>
        </w:tc>
      </w:tr>
      <w:tr w14:paraId="079EE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1094" w:type="pct"/>
            <w:noWrap w:val="0"/>
            <w:vAlign w:val="center"/>
          </w:tcPr>
          <w:p w14:paraId="498CD3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生产期</w:t>
            </w: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w:t>
            </w: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近</w:t>
            </w: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三</w:t>
            </w: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年</w:t>
            </w: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w:t>
            </w:r>
          </w:p>
        </w:tc>
        <w:tc>
          <w:tcPr>
            <w:tcW w:w="3905" w:type="pct"/>
            <w:noWrap w:val="0"/>
            <w:vAlign w:val="center"/>
          </w:tcPr>
          <w:p w14:paraId="28640F53">
            <w:pPr>
              <w:keepNext w:val="0"/>
              <w:keepLines w:val="0"/>
              <w:widowControl/>
              <w:suppressLineNumbers w:val="0"/>
              <w:spacing w:before="0" w:beforeAutospacing="0" w:after="0" w:afterAutospacing="0"/>
              <w:ind w:left="0" w:right="0" w:firstLine="420" w:firstLineChars="200"/>
              <w:jc w:val="left"/>
              <w:textAlignment w:val="center"/>
              <w:rPr>
                <w:rFonts w:hint="default" w:ascii="Times New Roman" w:hAnsi="Times New Roman" w:eastAsia="宋体" w:cs="Times New Roman"/>
                <w:b/>
                <w:bCs/>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拟建露天采场1、拟建露天采场</w:t>
            </w:r>
            <w:r>
              <w:rPr>
                <w:rFonts w:hint="eastAsia" w:ascii="Times New Roman" w:hAnsi="Times New Roman" w:cs="Times New Roman"/>
                <w:color w:val="000000" w:themeColor="text1"/>
                <w:sz w:val="21"/>
                <w:szCs w:val="21"/>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14:textFill>
                  <w14:solidFill>
                    <w14:schemeClr w14:val="tx1"/>
                  </w14:solidFill>
                </w14:textFill>
              </w:rPr>
              <w:t>、露天采场</w:t>
            </w:r>
            <w:r>
              <w:rPr>
                <w:rFonts w:hint="eastAsia" w:ascii="Times New Roman" w:hAnsi="Times New Roman" w:cs="Times New Roman"/>
                <w:color w:val="000000" w:themeColor="text1"/>
                <w:sz w:val="21"/>
                <w:szCs w:val="21"/>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14:textFill>
                  <w14:solidFill>
                    <w14:schemeClr w14:val="tx1"/>
                  </w14:solidFill>
                </w14:textFill>
              </w:rPr>
              <w:t>拟建</w:t>
            </w:r>
            <w:r>
              <w:rPr>
                <w:rFonts w:hint="eastAsia" w:cs="Times New Roman"/>
                <w:color w:val="000000" w:themeColor="text1"/>
                <w:sz w:val="21"/>
                <w:szCs w:val="21"/>
                <w:lang w:val="en-US" w:eastAsia="zh-CN"/>
                <w14:textFill>
                  <w14:solidFill>
                    <w14:schemeClr w14:val="tx1"/>
                  </w14:solidFill>
                </w14:textFill>
              </w:rPr>
              <w:t>储水池</w:t>
            </w:r>
            <w:r>
              <w:rPr>
                <w:rFonts w:hint="default" w:ascii="Times New Roman" w:hAnsi="Times New Roman" w:eastAsia="宋体" w:cs="Times New Roman"/>
                <w:color w:val="000000" w:themeColor="text1"/>
                <w:sz w:val="21"/>
                <w:szCs w:val="21"/>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表土存放场、料堆</w:t>
            </w:r>
            <w:r>
              <w:rPr>
                <w:rFonts w:hint="default" w:ascii="Times New Roman" w:hAnsi="Times New Roman" w:eastAsia="宋体" w:cs="Times New Roman"/>
                <w:color w:val="000000" w:themeColor="text1"/>
                <w:sz w:val="21"/>
                <w:szCs w:val="21"/>
                <w14:textFill>
                  <w14:solidFill>
                    <w14:schemeClr w14:val="tx1"/>
                  </w14:solidFill>
                </w14:textFill>
              </w:rPr>
              <w:t>；</w:t>
            </w:r>
          </w:p>
        </w:tc>
      </w:tr>
      <w:tr w14:paraId="5C8EE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094" w:type="pct"/>
            <w:noWrap w:val="0"/>
            <w:vAlign w:val="center"/>
          </w:tcPr>
          <w:p w14:paraId="187884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sz w:val="21"/>
                <w:szCs w:val="21"/>
                <w:highlight w:val="none"/>
                <w:u w:val="none"/>
                <w:lang w:val="en-US" w:eastAsia="zh-CN"/>
                <w14:textFill>
                  <w14:solidFill>
                    <w14:schemeClr w14:val="tx1"/>
                  </w14:solidFill>
                </w14:textFill>
              </w:rPr>
              <w:t>修复管护期</w:t>
            </w:r>
          </w:p>
        </w:tc>
        <w:tc>
          <w:tcPr>
            <w:tcW w:w="3905" w:type="pct"/>
            <w:noWrap w:val="0"/>
            <w:vAlign w:val="center"/>
          </w:tcPr>
          <w:p w14:paraId="2B715A7A">
            <w:pPr>
              <w:keepNext w:val="0"/>
              <w:keepLines w:val="0"/>
              <w:widowControl/>
              <w:suppressLineNumbers w:val="0"/>
              <w:spacing w:before="0" w:beforeAutospacing="0" w:after="0" w:afterAutospacing="0"/>
              <w:ind w:left="0" w:right="0" w:firstLine="420" w:firstLineChars="200"/>
              <w:jc w:val="left"/>
              <w:textAlignment w:val="center"/>
              <w:rPr>
                <w:rFonts w:hint="default" w:ascii="Times New Roman" w:hAnsi="Times New Roman" w:eastAsia="宋体" w:cs="Times New Roman"/>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拟建露天采场1、拟建露天采场</w:t>
            </w:r>
            <w:r>
              <w:rPr>
                <w:rFonts w:hint="eastAsia" w:ascii="Times New Roman" w:hAnsi="Times New Roman" w:cs="Times New Roman"/>
                <w:color w:val="000000" w:themeColor="text1"/>
                <w:sz w:val="21"/>
                <w:szCs w:val="21"/>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拟建储水池、工业场地、成品砖堆放场、料堆、表土存放场、办公生活区与矿区道路</w:t>
            </w:r>
          </w:p>
        </w:tc>
      </w:tr>
    </w:tbl>
    <w:p w14:paraId="7E1CEEE1">
      <w:pPr>
        <w:pStyle w:val="3"/>
        <w:keepNext/>
        <w:keepLines/>
        <w:pageBreakBefore w:val="0"/>
        <w:widowControl w:val="0"/>
        <w:kinsoku/>
        <w:wordWrap/>
        <w:overflowPunct/>
        <w:topLinePunct w:val="0"/>
        <w:autoSpaceDE/>
        <w:autoSpaceDN/>
        <w:bidi w:val="0"/>
        <w:adjustRightInd w:val="0"/>
        <w:snapToGrid w:val="0"/>
        <w:spacing w:before="157" w:beforeLines="50"/>
        <w:jc w:val="center"/>
        <w:textAlignment w:val="auto"/>
        <w:rPr>
          <w:rFonts w:hint="eastAsia"/>
          <w:color w:val="000000" w:themeColor="text1"/>
          <w:sz w:val="30"/>
          <w:szCs w:val="30"/>
          <w:lang w:val="en-US" w:eastAsia="zh-CN"/>
          <w14:textFill>
            <w14:solidFill>
              <w14:schemeClr w14:val="tx1"/>
            </w14:solidFill>
          </w14:textFill>
        </w:rPr>
      </w:pPr>
      <w:bookmarkStart w:id="74" w:name="_Toc17737"/>
      <w:r>
        <w:rPr>
          <w:rFonts w:hint="eastAsia"/>
          <w:color w:val="000000" w:themeColor="text1"/>
          <w:sz w:val="30"/>
          <w:szCs w:val="30"/>
          <w:lang w:val="en-US" w:eastAsia="zh-CN"/>
          <w14:textFill>
            <w14:solidFill>
              <w14:schemeClr w14:val="tx1"/>
            </w14:solidFill>
          </w14:textFill>
        </w:rPr>
        <w:t>第二节  总体经费估算</w:t>
      </w:r>
      <w:bookmarkEnd w:id="74"/>
    </w:p>
    <w:p w14:paraId="5FFA5436">
      <w:pPr>
        <w:pStyle w:val="5"/>
        <w:bidi w:val="0"/>
        <w:spacing w:line="360" w:lineRule="auto"/>
        <w:ind w:firstLine="562" w:firstLineChars="200"/>
        <w:rPr>
          <w:rFonts w:hint="default" w:hAnsi="Times New Roman" w:cs="Times New Roman"/>
          <w:b/>
          <w:bCs/>
          <w:color w:val="000000" w:themeColor="text1"/>
          <w:sz w:val="28"/>
          <w:szCs w:val="24"/>
          <w:lang w:val="en-US" w:eastAsia="zh-CN"/>
          <w14:textFill>
            <w14:solidFill>
              <w14:schemeClr w14:val="tx1"/>
            </w14:solidFill>
          </w14:textFill>
        </w:rPr>
      </w:pPr>
      <w:r>
        <w:rPr>
          <w:rFonts w:hint="default" w:hAnsi="Times New Roman" w:cs="Times New Roman"/>
          <w:b/>
          <w:bCs/>
          <w:color w:val="000000" w:themeColor="text1"/>
          <w:sz w:val="28"/>
          <w:szCs w:val="24"/>
          <w:lang w:val="en-US" w:eastAsia="zh-CN"/>
          <w14:textFill>
            <w14:solidFill>
              <w14:schemeClr w14:val="tx1"/>
            </w14:solidFill>
          </w14:textFill>
        </w:rPr>
        <w:t>一、经费估算依据</w:t>
      </w:r>
    </w:p>
    <w:p w14:paraId="05999EDC">
      <w:pPr>
        <w:keepNext w:val="0"/>
        <w:keepLines w:val="0"/>
        <w:widowControl w:val="0"/>
        <w:adjustRightInd/>
        <w:snapToGrid/>
        <w:spacing w:line="360" w:lineRule="auto"/>
        <w:ind w:firstLine="562" w:firstLineChars="200"/>
        <w:jc w:val="left"/>
        <w:outlineLvl w:val="3"/>
        <w:rPr>
          <w:rFonts w:hint="default" w:ascii="Times New Roman" w:hAnsi="Times New Roman" w:eastAsia="宋体" w:cs="Times New Roman"/>
          <w:b/>
          <w:bCs/>
          <w:color w:val="000000" w:themeColor="text1"/>
          <w:kern w:val="2"/>
          <w:sz w:val="28"/>
          <w:szCs w:val="28"/>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8"/>
          <w:szCs w:val="28"/>
          <w:lang w:val="en-US" w:eastAsia="zh-CN" w:bidi="ar-SA"/>
          <w14:textFill>
            <w14:solidFill>
              <w14:schemeClr w14:val="tx1"/>
            </w14:solidFill>
          </w14:textFill>
        </w:rPr>
        <w:t>（一）</w:t>
      </w:r>
      <w:r>
        <w:rPr>
          <w:rFonts w:ascii="Times New Roman" w:hAnsi="Times New Roman" w:eastAsia="宋体" w:cs="Times New Roman"/>
          <w:b/>
          <w:bCs/>
          <w:color w:val="000000" w:themeColor="text1"/>
          <w:kern w:val="2"/>
          <w:sz w:val="28"/>
          <w:szCs w:val="28"/>
          <w:lang w:val="en-US" w:eastAsia="zh-CN" w:bidi="ar-SA"/>
          <w14:textFill>
            <w14:solidFill>
              <w14:schemeClr w14:val="tx1"/>
            </w14:solidFill>
          </w14:textFill>
        </w:rPr>
        <w:t>经费估算依据</w:t>
      </w:r>
    </w:p>
    <w:p w14:paraId="16ECBD7D">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1、《土地开发整理项目预算定额标准》（财综〔2011〕128号）；</w:t>
      </w:r>
    </w:p>
    <w:p w14:paraId="7FA508F0">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2、《土地开发整理项目施工机械台班费定额》（财综〔2011〕128号）；</w:t>
      </w:r>
    </w:p>
    <w:p w14:paraId="50080970">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3、《土地开发整理项目预算编制规定》（财综〔2011〕128号）；</w:t>
      </w:r>
    </w:p>
    <w:p w14:paraId="3583F01E">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4、《工程勘察设计收费标准》（计价格〔20</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02</w:t>
      </w:r>
      <w:r>
        <w:rPr>
          <w:rFonts w:hint="default" w:ascii="Times New Roman" w:hAnsi="Times New Roman" w:eastAsia="宋体" w:cs="Times New Roman"/>
          <w:color w:val="000000" w:themeColor="text1"/>
          <w:sz w:val="28"/>
          <w:szCs w:val="28"/>
          <w14:textFill>
            <w14:solidFill>
              <w14:schemeClr w14:val="tx1"/>
            </w14:solidFill>
          </w14:textFill>
        </w:rPr>
        <w:t>〕10号）；</w:t>
      </w:r>
    </w:p>
    <w:p w14:paraId="402FE886">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5、《内蒙古自治区矿山地质环境治理工程预算定额标准》（内蒙古自治区自然资源厅2020.11）；</w:t>
      </w:r>
    </w:p>
    <w:p w14:paraId="36B1754D">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6、《关于深化增值税改革有关政策的公告》（财政部税务总局海关总署公告2019年第39号）；</w:t>
      </w:r>
    </w:p>
    <w:p w14:paraId="4E6D057C">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7、《住房和城乡建设部办公厅关于重新调整建设工程计价依据增值税税率的通知》建办标函〔201</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9</w:t>
      </w:r>
      <w:r>
        <w:rPr>
          <w:rFonts w:hint="default" w:ascii="Times New Roman" w:hAnsi="Times New Roman" w:eastAsia="宋体" w:cs="Times New Roman"/>
          <w:color w:val="000000" w:themeColor="text1"/>
          <w:sz w:val="28"/>
          <w:szCs w:val="28"/>
          <w14:textFill>
            <w14:solidFill>
              <w14:schemeClr w14:val="tx1"/>
            </w14:solidFill>
          </w14:textFill>
        </w:rPr>
        <w:t>〕193号；</w:t>
      </w:r>
    </w:p>
    <w:p w14:paraId="3FEEFF29">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8、《内蒙古自治区人民政府办公厅关于调整自治区最低工资标准及非全日制工作小时最低工资标准的通知》内政办发〔2021〕69号；</w:t>
      </w:r>
    </w:p>
    <w:p w14:paraId="148A727C">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9、当地材料价格信息（202</w:t>
      </w:r>
      <w:r>
        <w:rPr>
          <w:rFonts w:hint="eastAsia" w:cs="Times New Roman"/>
          <w:color w:val="000000" w:themeColor="text1"/>
          <w:sz w:val="28"/>
          <w:szCs w:val="28"/>
          <w:lang w:val="en-US" w:eastAsia="zh-CN"/>
          <w14:textFill>
            <w14:solidFill>
              <w14:schemeClr w14:val="tx1"/>
            </w14:solidFill>
          </w14:textFill>
        </w:rPr>
        <w:t>6</w:t>
      </w:r>
      <w:r>
        <w:rPr>
          <w:rFonts w:hint="default" w:ascii="Times New Roman" w:hAnsi="Times New Roman" w:eastAsia="宋体" w:cs="Times New Roman"/>
          <w:color w:val="000000" w:themeColor="text1"/>
          <w:sz w:val="28"/>
          <w:szCs w:val="28"/>
          <w14:textFill>
            <w14:solidFill>
              <w14:schemeClr w14:val="tx1"/>
            </w14:solidFill>
          </w14:textFill>
        </w:rPr>
        <w:t>年</w:t>
      </w:r>
      <w:r>
        <w:rPr>
          <w:rFonts w:hint="eastAsia" w:cs="Times New Roman"/>
          <w:color w:val="000000" w:themeColor="text1"/>
          <w:sz w:val="28"/>
          <w:szCs w:val="28"/>
          <w:lang w:val="en-US" w:eastAsia="zh-CN"/>
          <w14:textFill>
            <w14:solidFill>
              <w14:schemeClr w14:val="tx1"/>
            </w14:solidFill>
          </w14:textFill>
        </w:rPr>
        <w:t>1</w:t>
      </w:r>
      <w:r>
        <w:rPr>
          <w:rFonts w:hint="default" w:ascii="Times New Roman" w:hAnsi="Times New Roman" w:eastAsia="宋体" w:cs="Times New Roman"/>
          <w:color w:val="000000" w:themeColor="text1"/>
          <w:sz w:val="28"/>
          <w:szCs w:val="28"/>
          <w14:textFill>
            <w14:solidFill>
              <w14:schemeClr w14:val="tx1"/>
            </w14:solidFill>
          </w14:textFill>
        </w:rPr>
        <w:t>季度）材料价格市场询价；</w:t>
      </w:r>
    </w:p>
    <w:p w14:paraId="060BD863">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10、其它有关规定和标准。</w:t>
      </w:r>
    </w:p>
    <w:p w14:paraId="16814638">
      <w:pPr>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本方案投资估算水平年为202</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6</w:t>
      </w:r>
      <w:r>
        <w:rPr>
          <w:rFonts w:hint="default" w:ascii="Times New Roman" w:hAnsi="Times New Roman" w:eastAsia="宋体" w:cs="Times New Roman"/>
          <w:color w:val="000000" w:themeColor="text1"/>
          <w:sz w:val="28"/>
          <w:szCs w:val="28"/>
          <w14:textFill>
            <w14:solidFill>
              <w14:schemeClr w14:val="tx1"/>
            </w14:solidFill>
          </w14:textFill>
        </w:rPr>
        <w:t>年，并以国家和地方政策文件规定的单价为标准。如与工程开工时间不在同一年份或物价有变动，应根据开工年的物价和政策在工程开工年重新调整。</w:t>
      </w:r>
    </w:p>
    <w:p w14:paraId="5872F28E">
      <w:pPr>
        <w:keepNext w:val="0"/>
        <w:keepLines w:val="0"/>
        <w:widowControl w:val="0"/>
        <w:adjustRightInd/>
        <w:snapToGrid/>
        <w:spacing w:line="360" w:lineRule="auto"/>
        <w:ind w:firstLine="562" w:firstLineChars="200"/>
        <w:jc w:val="left"/>
        <w:outlineLvl w:val="3"/>
        <w:rPr>
          <w:rFonts w:hint="default" w:ascii="Times New Roman" w:hAnsi="Times New Roman" w:eastAsia="宋体" w:cs="Times New Roman"/>
          <w:b/>
          <w:bCs/>
          <w:color w:val="000000" w:themeColor="text1"/>
          <w:kern w:val="2"/>
          <w:sz w:val="28"/>
          <w:szCs w:val="28"/>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8"/>
          <w:szCs w:val="28"/>
          <w:lang w:val="en-US" w:eastAsia="zh-CN" w:bidi="ar-SA"/>
          <w14:textFill>
            <w14:solidFill>
              <w14:schemeClr w14:val="tx1"/>
            </w14:solidFill>
          </w14:textFill>
        </w:rPr>
        <w:t>（二）</w:t>
      </w:r>
      <w:r>
        <w:rPr>
          <w:rFonts w:hint="default" w:ascii="Times New Roman" w:hAnsi="Times New Roman" w:eastAsia="宋体" w:cs="Times New Roman"/>
          <w:b/>
          <w:bCs/>
          <w:color w:val="000000" w:themeColor="text1"/>
          <w:kern w:val="2"/>
          <w:sz w:val="28"/>
          <w:szCs w:val="28"/>
          <w:lang w:val="en-US" w:eastAsia="zh-CN" w:bidi="ar-SA"/>
          <w14:textFill>
            <w14:solidFill>
              <w14:schemeClr w14:val="tx1"/>
            </w14:solidFill>
          </w14:textFill>
        </w:rPr>
        <w:t>费用构成及计费标准</w:t>
      </w:r>
    </w:p>
    <w:p w14:paraId="3DBECBB7">
      <w:pPr>
        <w:keepNext w:val="0"/>
        <w:keepLines w:val="0"/>
        <w:pageBreakBefore w:val="0"/>
        <w:widowControl/>
        <w:kinsoku/>
        <w:wordWrap/>
        <w:overflowPunct/>
        <w:topLinePunct w:val="0"/>
        <w:autoSpaceDE/>
        <w:autoSpaceDN/>
        <w:bidi w:val="0"/>
        <w:adjustRightInd/>
        <w:snapToGrid/>
        <w:spacing w:after="0" w:line="360" w:lineRule="auto"/>
        <w:ind w:left="0" w:firstLine="560" w:firstLineChars="200"/>
        <w:textAlignment w:val="auto"/>
        <w:rPr>
          <w:rFonts w:hint="default" w:ascii="Times New Roman" w:hAnsi="Times New Roman" w:eastAsia="宋体" w:cs="Times New Roman"/>
          <w:color w:val="000000" w:themeColor="text1"/>
          <w:sz w:val="28"/>
          <w:szCs w:val="28"/>
          <w:lang w:val="en-US" w:eastAsia="zh-CN" w:bidi="ar-SA"/>
          <w14:textFill>
            <w14:solidFill>
              <w14:schemeClr w14:val="tx1"/>
            </w14:solidFill>
          </w14:textFill>
        </w:rPr>
      </w:pPr>
      <w:r>
        <w:rPr>
          <w:rFonts w:hint="default" w:ascii="Times New Roman" w:hAnsi="Times New Roman" w:eastAsia="宋体" w:cs="Times New Roman"/>
          <w:color w:val="000000" w:themeColor="text1"/>
          <w:sz w:val="28"/>
          <w:szCs w:val="28"/>
          <w:lang w:val="en-US" w:eastAsia="zh-CN" w:bidi="ar-SA"/>
          <w14:textFill>
            <w14:solidFill>
              <w14:schemeClr w14:val="tx1"/>
            </w14:solidFill>
          </w14:textFill>
        </w:rPr>
        <w:t>工程施工费包括直接费、间接费、利润和税金。</w:t>
      </w:r>
    </w:p>
    <w:p w14:paraId="0F31CFDF">
      <w:pPr>
        <w:keepNext w:val="0"/>
        <w:keepLines w:val="0"/>
        <w:pageBreakBefore w:val="0"/>
        <w:widowControl/>
        <w:kinsoku/>
        <w:wordWrap/>
        <w:overflowPunct/>
        <w:topLinePunct w:val="0"/>
        <w:autoSpaceDE/>
        <w:autoSpaceDN/>
        <w:bidi w:val="0"/>
        <w:adjustRightInd/>
        <w:snapToGrid/>
        <w:spacing w:after="0" w:line="360" w:lineRule="auto"/>
        <w:ind w:left="0" w:firstLine="560" w:firstLineChars="200"/>
        <w:textAlignment w:val="auto"/>
        <w:rPr>
          <w:rFonts w:hint="default" w:ascii="Times New Roman" w:hAnsi="Times New Roman" w:eastAsia="宋体" w:cs="Times New Roman"/>
          <w:color w:val="000000" w:themeColor="text1"/>
          <w:sz w:val="28"/>
          <w:szCs w:val="28"/>
          <w:lang w:val="en-US" w:eastAsia="zh-CN" w:bidi="ar-SA"/>
          <w14:textFill>
            <w14:solidFill>
              <w14:schemeClr w14:val="tx1"/>
            </w14:solidFill>
          </w14:textFill>
        </w:rPr>
      </w:pPr>
      <w:r>
        <w:rPr>
          <w:rFonts w:hint="eastAsia" w:ascii="Times New Roman" w:hAnsi="Times New Roman" w:eastAsia="宋体" w:cs="Times New Roman"/>
          <w:color w:val="000000" w:themeColor="text1"/>
          <w:sz w:val="28"/>
          <w:szCs w:val="28"/>
          <w:lang w:val="en-US" w:eastAsia="zh-CN" w:bidi="ar-SA"/>
          <w14:textFill>
            <w14:solidFill>
              <w14:schemeClr w14:val="tx1"/>
            </w14:solidFill>
          </w14:textFill>
        </w:rPr>
        <w:t>1、</w:t>
      </w:r>
      <w:r>
        <w:rPr>
          <w:rFonts w:hint="default" w:ascii="Times New Roman" w:hAnsi="Times New Roman" w:eastAsia="宋体" w:cs="Times New Roman"/>
          <w:color w:val="000000" w:themeColor="text1"/>
          <w:sz w:val="28"/>
          <w:szCs w:val="28"/>
          <w:lang w:val="en-US" w:eastAsia="zh-CN" w:bidi="ar-SA"/>
          <w14:textFill>
            <w14:solidFill>
              <w14:schemeClr w14:val="tx1"/>
            </w14:solidFill>
          </w14:textFill>
        </w:rPr>
        <w:t>直接费</w:t>
      </w:r>
    </w:p>
    <w:p w14:paraId="05844227">
      <w:pPr>
        <w:keepNext w:val="0"/>
        <w:keepLines w:val="0"/>
        <w:pageBreakBefore w:val="0"/>
        <w:widowControl/>
        <w:kinsoku/>
        <w:wordWrap/>
        <w:overflowPunct/>
        <w:topLinePunct w:val="0"/>
        <w:autoSpaceDE/>
        <w:autoSpaceDN/>
        <w:bidi w:val="0"/>
        <w:adjustRightInd/>
        <w:snapToGrid/>
        <w:spacing w:after="0" w:line="360" w:lineRule="auto"/>
        <w:ind w:left="0" w:firstLine="560" w:firstLineChars="200"/>
        <w:textAlignment w:val="auto"/>
        <w:rPr>
          <w:rFonts w:hint="default" w:ascii="Times New Roman" w:hAnsi="Times New Roman" w:eastAsia="宋体" w:cs="Times New Roman"/>
          <w:color w:val="000000" w:themeColor="text1"/>
          <w:sz w:val="28"/>
          <w:szCs w:val="28"/>
          <w:lang w:val="en-US" w:eastAsia="zh-CN" w:bidi="ar-SA"/>
          <w14:textFill>
            <w14:solidFill>
              <w14:schemeClr w14:val="tx1"/>
            </w14:solidFill>
          </w14:textFill>
        </w:rPr>
      </w:pPr>
      <w:r>
        <w:rPr>
          <w:rFonts w:hint="default" w:ascii="Times New Roman" w:hAnsi="Times New Roman" w:eastAsia="宋体" w:cs="Times New Roman"/>
          <w:color w:val="000000" w:themeColor="text1"/>
          <w:sz w:val="28"/>
          <w:szCs w:val="28"/>
          <w:lang w:val="en-US" w:eastAsia="zh-CN" w:bidi="ar-SA"/>
          <w14:textFill>
            <w14:solidFill>
              <w14:schemeClr w14:val="tx1"/>
            </w14:solidFill>
          </w14:textFill>
        </w:rPr>
        <w:t>直接费指工程施工过程中直接消耗在工程项目上的活劳动和物化劳动。由直接工程费、措施费组成。</w:t>
      </w:r>
    </w:p>
    <w:p w14:paraId="5CF6B66E">
      <w:pPr>
        <w:keepNext w:val="0"/>
        <w:keepLines w:val="0"/>
        <w:pageBreakBefore w:val="0"/>
        <w:widowControl/>
        <w:kinsoku/>
        <w:wordWrap/>
        <w:overflowPunct/>
        <w:topLinePunct w:val="0"/>
        <w:autoSpaceDE/>
        <w:autoSpaceDN/>
        <w:bidi w:val="0"/>
        <w:adjustRightInd/>
        <w:snapToGrid/>
        <w:spacing w:after="0" w:line="360" w:lineRule="auto"/>
        <w:ind w:left="0" w:firstLine="560" w:firstLineChars="200"/>
        <w:textAlignment w:val="auto"/>
        <w:rPr>
          <w:rFonts w:hint="default" w:ascii="Times New Roman" w:hAnsi="Times New Roman" w:eastAsia="宋体" w:cs="Times New Roman"/>
          <w:color w:val="000000" w:themeColor="text1"/>
          <w:sz w:val="28"/>
          <w:szCs w:val="28"/>
          <w:lang w:val="en-US" w:eastAsia="zh-CN" w:bidi="ar-SA"/>
          <w14:textFill>
            <w14:solidFill>
              <w14:schemeClr w14:val="tx1"/>
            </w14:solidFill>
          </w14:textFill>
        </w:rPr>
      </w:pPr>
      <w:r>
        <w:rPr>
          <w:rFonts w:hint="eastAsia" w:cs="Times New Roman"/>
          <w:color w:val="000000" w:themeColor="text1"/>
          <w:sz w:val="28"/>
          <w:szCs w:val="28"/>
          <w:lang w:val="en-US" w:eastAsia="zh-CN" w:bidi="ar-SA"/>
          <w14:textFill>
            <w14:solidFill>
              <w14:schemeClr w14:val="tx1"/>
            </w14:solidFill>
          </w14:textFill>
        </w:rPr>
        <w:t>（1）</w:t>
      </w:r>
      <w:r>
        <w:rPr>
          <w:rFonts w:hint="default" w:ascii="Times New Roman" w:hAnsi="Times New Roman" w:eastAsia="宋体" w:cs="Times New Roman"/>
          <w:color w:val="000000" w:themeColor="text1"/>
          <w:sz w:val="28"/>
          <w:szCs w:val="28"/>
          <w:lang w:val="en-US" w:eastAsia="zh-CN" w:bidi="ar-SA"/>
          <w14:textFill>
            <w14:solidFill>
              <w14:schemeClr w14:val="tx1"/>
            </w14:solidFill>
          </w14:textFill>
        </w:rPr>
        <w:t>直接工程费</w:t>
      </w:r>
    </w:p>
    <w:p w14:paraId="448B1CB0">
      <w:pPr>
        <w:keepNext w:val="0"/>
        <w:keepLines w:val="0"/>
        <w:pageBreakBefore w:val="0"/>
        <w:widowControl/>
        <w:kinsoku/>
        <w:wordWrap/>
        <w:overflowPunct/>
        <w:topLinePunct w:val="0"/>
        <w:autoSpaceDE/>
        <w:autoSpaceDN/>
        <w:bidi w:val="0"/>
        <w:adjustRightInd/>
        <w:snapToGrid/>
        <w:spacing w:after="0" w:line="360" w:lineRule="auto"/>
        <w:ind w:left="0" w:firstLine="560" w:firstLineChars="200"/>
        <w:textAlignment w:val="auto"/>
        <w:rPr>
          <w:rFonts w:hint="default" w:ascii="Times New Roman" w:hAnsi="Times New Roman" w:eastAsia="宋体" w:cs="Times New Roman"/>
          <w:color w:val="000000" w:themeColor="text1"/>
          <w:sz w:val="28"/>
          <w:szCs w:val="28"/>
          <w:lang w:val="en-US" w:eastAsia="zh-CN" w:bidi="ar-SA"/>
          <w14:textFill>
            <w14:solidFill>
              <w14:schemeClr w14:val="tx1"/>
            </w14:solidFill>
          </w14:textFill>
        </w:rPr>
      </w:pPr>
      <w:r>
        <w:rPr>
          <w:rFonts w:hint="default" w:ascii="Times New Roman" w:hAnsi="Times New Roman" w:eastAsia="宋体" w:cs="Times New Roman"/>
          <w:color w:val="000000" w:themeColor="text1"/>
          <w:sz w:val="28"/>
          <w:szCs w:val="28"/>
          <w:lang w:val="en-US" w:eastAsia="zh-CN" w:bidi="ar-SA"/>
          <w14:textFill>
            <w14:solidFill>
              <w14:schemeClr w14:val="tx1"/>
            </w14:solidFill>
          </w14:textFill>
        </w:rPr>
        <w:t>直接工程费由人工费、材料费、施工机械使用费组成。</w:t>
      </w:r>
    </w:p>
    <w:p w14:paraId="31A13B5F">
      <w:pPr>
        <w:keepNext w:val="0"/>
        <w:keepLines w:val="0"/>
        <w:pageBreakBefore w:val="0"/>
        <w:widowControl/>
        <w:kinsoku/>
        <w:wordWrap/>
        <w:overflowPunct/>
        <w:topLinePunct w:val="0"/>
        <w:autoSpaceDE/>
        <w:autoSpaceDN/>
        <w:bidi w:val="0"/>
        <w:adjustRightInd/>
        <w:snapToGrid/>
        <w:spacing w:after="0" w:line="360" w:lineRule="auto"/>
        <w:ind w:left="0" w:firstLine="560" w:firstLineChars="200"/>
        <w:textAlignment w:val="auto"/>
        <w:rPr>
          <w:rFonts w:hint="default" w:ascii="Times New Roman" w:hAnsi="Times New Roman" w:eastAsia="宋体" w:cs="Times New Roman"/>
          <w:color w:val="000000" w:themeColor="text1"/>
          <w:sz w:val="28"/>
          <w:szCs w:val="21"/>
          <w14:textFill>
            <w14:solidFill>
              <w14:schemeClr w14:val="tx1"/>
            </w14:solidFill>
          </w14:textFill>
        </w:rPr>
      </w:pPr>
      <w:r>
        <w:rPr>
          <w:rFonts w:hint="default" w:ascii="Times New Roman" w:hAnsi="Times New Roman" w:eastAsia="宋体" w:cs="Times New Roman"/>
          <w:color w:val="000000" w:themeColor="text1"/>
          <w:sz w:val="28"/>
          <w:szCs w:val="21"/>
          <w14:textFill>
            <w14:solidFill>
              <w14:schemeClr w14:val="tx1"/>
            </w14:solidFill>
          </w14:textFill>
        </w:rPr>
        <w:t>人工费=定额劳动量（工日）×人工概算单价（元／工日），人工单价根据《内蒙古自治区矿山地质环境治理工程预算定额标准》的规定计取，</w:t>
      </w:r>
      <w:r>
        <w:rPr>
          <w:rFonts w:hint="default" w:ascii="Times New Roman" w:hAnsi="Times New Roman" w:eastAsia="宋体" w:cs="Times New Roman"/>
          <w:color w:val="000000" w:themeColor="text1"/>
          <w:sz w:val="28"/>
          <w:szCs w:val="21"/>
          <w:lang w:eastAsia="zh-CN"/>
          <w14:textFill>
            <w14:solidFill>
              <w14:schemeClr w14:val="tx1"/>
            </w14:solidFill>
          </w14:textFill>
        </w:rPr>
        <w:t>赤峰市</w:t>
      </w:r>
      <w:r>
        <w:rPr>
          <w:rFonts w:hint="eastAsia" w:cs="Times New Roman"/>
          <w:color w:val="000000" w:themeColor="text1"/>
          <w:sz w:val="28"/>
          <w:szCs w:val="28"/>
          <w:lang w:val="en-US" w:eastAsia="zh-CN" w:bidi="ar-SA"/>
          <w14:textFill>
            <w14:solidFill>
              <w14:schemeClr w14:val="tx1"/>
            </w14:solidFill>
          </w14:textFill>
        </w:rPr>
        <w:t>松山区</w:t>
      </w:r>
      <w:r>
        <w:rPr>
          <w:rFonts w:hint="default" w:ascii="Times New Roman" w:hAnsi="Times New Roman" w:eastAsia="宋体" w:cs="Times New Roman"/>
          <w:color w:val="000000" w:themeColor="text1"/>
          <w:sz w:val="28"/>
          <w:szCs w:val="21"/>
          <w14:textFill>
            <w14:solidFill>
              <w14:schemeClr w14:val="tx1"/>
            </w14:solidFill>
          </w14:textFill>
        </w:rPr>
        <w:t>属于</w:t>
      </w:r>
      <w:r>
        <w:rPr>
          <w:rFonts w:hint="eastAsia" w:cs="Times New Roman"/>
          <w:color w:val="000000" w:themeColor="text1"/>
          <w:sz w:val="28"/>
          <w:szCs w:val="21"/>
          <w:lang w:val="en-US" w:eastAsia="zh-CN"/>
          <w14:textFill>
            <w14:solidFill>
              <w14:schemeClr w14:val="tx1"/>
            </w14:solidFill>
          </w14:textFill>
        </w:rPr>
        <w:t>二</w:t>
      </w:r>
      <w:r>
        <w:rPr>
          <w:rFonts w:hint="default" w:ascii="Times New Roman" w:hAnsi="Times New Roman" w:eastAsia="宋体" w:cs="Times New Roman"/>
          <w:color w:val="000000" w:themeColor="text1"/>
          <w:sz w:val="28"/>
          <w:szCs w:val="21"/>
          <w14:textFill>
            <w14:solidFill>
              <w14:schemeClr w14:val="tx1"/>
            </w14:solidFill>
          </w14:textFill>
        </w:rPr>
        <w:t>类区，</w:t>
      </w:r>
      <w:r>
        <w:rPr>
          <w:rFonts w:hint="default" w:ascii="Times New Roman" w:hAnsi="Times New Roman" w:eastAsia="宋体" w:cs="Times New Roman"/>
          <w:color w:val="000000" w:themeColor="text1"/>
          <w:sz w:val="28"/>
          <w:szCs w:val="28"/>
          <w:lang w:val="en-US" w:eastAsia="zh-CN" w:bidi="ar-SA"/>
          <w14:textFill>
            <w14:solidFill>
              <w14:schemeClr w14:val="tx1"/>
            </w14:solidFill>
          </w14:textFill>
        </w:rPr>
        <w:t>甲类工</w:t>
      </w:r>
      <w:r>
        <w:rPr>
          <w:rFonts w:hint="eastAsia"/>
          <w:color w:val="000000" w:themeColor="text1"/>
          <w:sz w:val="28"/>
          <w:szCs w:val="21"/>
          <w:highlight w:val="none"/>
          <w:lang w:val="en-US" w:eastAsia="zh-CN"/>
          <w14:textFill>
            <w14:solidFill>
              <w14:schemeClr w14:val="tx1"/>
            </w14:solidFill>
          </w14:textFill>
        </w:rPr>
        <w:t>94.15</w:t>
      </w:r>
      <w:r>
        <w:rPr>
          <w:rFonts w:hint="default" w:ascii="Times New Roman" w:hAnsi="Times New Roman" w:eastAsia="宋体" w:cs="Times New Roman"/>
          <w:color w:val="000000" w:themeColor="text1"/>
          <w:sz w:val="28"/>
          <w:szCs w:val="28"/>
          <w:lang w:val="en-US" w:eastAsia="zh-CN" w:bidi="ar-SA"/>
          <w14:textFill>
            <w14:solidFill>
              <w14:schemeClr w14:val="tx1"/>
            </w14:solidFill>
          </w14:textFill>
        </w:rPr>
        <w:t>元／工日，乙类工</w:t>
      </w:r>
      <w:r>
        <w:rPr>
          <w:rFonts w:hint="eastAsia"/>
          <w:color w:val="000000" w:themeColor="text1"/>
          <w:sz w:val="28"/>
          <w:szCs w:val="21"/>
          <w:highlight w:val="none"/>
          <w:lang w:val="en-US" w:eastAsia="zh-CN"/>
          <w14:textFill>
            <w14:solidFill>
              <w14:schemeClr w14:val="tx1"/>
            </w14:solidFill>
          </w14:textFill>
        </w:rPr>
        <w:t>69.11</w:t>
      </w:r>
      <w:r>
        <w:rPr>
          <w:rFonts w:hint="default" w:ascii="Times New Roman" w:hAnsi="Times New Roman" w:eastAsia="宋体" w:cs="Times New Roman"/>
          <w:color w:val="000000" w:themeColor="text1"/>
          <w:sz w:val="28"/>
          <w:szCs w:val="28"/>
          <w:lang w:val="en-US" w:eastAsia="zh-CN" w:bidi="ar-SA"/>
          <w14:textFill>
            <w14:solidFill>
              <w14:schemeClr w14:val="tx1"/>
            </w14:solidFill>
          </w14:textFill>
        </w:rPr>
        <w:t>元／工日</w:t>
      </w:r>
      <w:r>
        <w:rPr>
          <w:rFonts w:hint="default" w:ascii="Times New Roman" w:hAnsi="Times New Roman" w:eastAsia="宋体" w:cs="Times New Roman"/>
          <w:color w:val="000000" w:themeColor="text1"/>
          <w:sz w:val="28"/>
          <w:szCs w:val="21"/>
          <w14:textFill>
            <w14:solidFill>
              <w14:schemeClr w14:val="tx1"/>
            </w14:solidFill>
          </w14:textFill>
        </w:rPr>
        <w:t>。</w:t>
      </w:r>
    </w:p>
    <w:p w14:paraId="2749094D">
      <w:pPr>
        <w:keepNext w:val="0"/>
        <w:keepLines w:val="0"/>
        <w:pageBreakBefore w:val="0"/>
        <w:widowControl/>
        <w:kinsoku/>
        <w:wordWrap/>
        <w:overflowPunct/>
        <w:topLinePunct w:val="0"/>
        <w:autoSpaceDE/>
        <w:autoSpaceDN/>
        <w:bidi w:val="0"/>
        <w:adjustRightInd/>
        <w:snapToGrid/>
        <w:spacing w:after="0" w:line="360" w:lineRule="auto"/>
        <w:ind w:left="0" w:firstLine="560" w:firstLineChars="200"/>
        <w:textAlignment w:val="auto"/>
        <w:rPr>
          <w:rFonts w:hint="default" w:ascii="Times New Roman" w:hAnsi="Times New Roman" w:eastAsia="宋体" w:cs="Times New Roman"/>
          <w:color w:val="000000" w:themeColor="text1"/>
          <w:sz w:val="28"/>
          <w:szCs w:val="28"/>
          <w:lang w:val="en-US" w:eastAsia="zh-CN" w:bidi="ar-SA"/>
          <w14:textFill>
            <w14:solidFill>
              <w14:schemeClr w14:val="tx1"/>
            </w14:solidFill>
          </w14:textFill>
        </w:rPr>
      </w:pPr>
      <w:r>
        <w:rPr>
          <w:rFonts w:hint="default" w:ascii="Times New Roman" w:hAnsi="Times New Roman" w:eastAsia="宋体" w:cs="Times New Roman"/>
          <w:color w:val="000000" w:themeColor="text1"/>
          <w:sz w:val="28"/>
          <w:szCs w:val="28"/>
          <w:lang w:val="en-US" w:eastAsia="zh-CN" w:bidi="ar-SA"/>
          <w14:textFill>
            <w14:solidFill>
              <w14:schemeClr w14:val="tx1"/>
            </w14:solidFill>
          </w14:textFill>
        </w:rPr>
        <w:t>材料费=定额材料用量×材料单价，定额材料费是定额中各种材料估算价格与定额消耗量的乘积之和，本次概算编制材料价格全部以材料到工地实际价格计算，部分材料价格参照市建设工程价格信息网的预算价格，材料价格中已包括了材料的运杂费。本次估算编制材料价格全部以实际市场材料价格为准。对于低于《土地开发整理项目预算定额标准》中主材规定价格的材料，直接按照实际价格计入工程施工费单价；对于高于《土地开发整理项目预算定额标准》中主材规定价格的材料，对于超出限价部分单独计算材料价差。</w:t>
      </w:r>
    </w:p>
    <w:p w14:paraId="33AC1D7F">
      <w:pPr>
        <w:keepNext w:val="0"/>
        <w:keepLines w:val="0"/>
        <w:pageBreakBefore w:val="0"/>
        <w:widowControl/>
        <w:kinsoku/>
        <w:wordWrap/>
        <w:overflowPunct/>
        <w:topLinePunct w:val="0"/>
        <w:autoSpaceDE/>
        <w:autoSpaceDN/>
        <w:bidi w:val="0"/>
        <w:adjustRightInd/>
        <w:snapToGrid/>
        <w:spacing w:after="0" w:line="360" w:lineRule="auto"/>
        <w:ind w:left="0" w:firstLine="560" w:firstLineChars="200"/>
        <w:textAlignment w:val="auto"/>
        <w:rPr>
          <w:rFonts w:hint="default" w:ascii="Times New Roman" w:hAnsi="Times New Roman" w:eastAsia="宋体" w:cs="Times New Roman"/>
          <w:color w:val="000000" w:themeColor="text1"/>
          <w:sz w:val="28"/>
          <w:szCs w:val="28"/>
          <w:lang w:val="en-US" w:eastAsia="zh-CN" w:bidi="ar-SA"/>
          <w14:textFill>
            <w14:solidFill>
              <w14:schemeClr w14:val="tx1"/>
            </w14:solidFill>
          </w14:textFill>
        </w:rPr>
      </w:pPr>
      <w:r>
        <w:rPr>
          <w:rFonts w:hint="default" w:ascii="Times New Roman" w:hAnsi="Times New Roman" w:eastAsia="宋体" w:cs="Times New Roman"/>
          <w:color w:val="000000" w:themeColor="text1"/>
          <w:sz w:val="28"/>
          <w:szCs w:val="28"/>
          <w:lang w:val="en-US" w:eastAsia="zh-CN" w:bidi="ar-SA"/>
          <w14:textFill>
            <w14:solidFill>
              <w14:schemeClr w14:val="tx1"/>
            </w14:solidFill>
          </w14:textFill>
        </w:rPr>
        <w:t>施工机械使用费=定额机械使用量（台班）×施工机械台班费（元／台班）。施工机械使用费定额的计算，台班定额和台班费定额依据《土地开发整理项目预算定额标准》（2011年）编制。</w:t>
      </w:r>
    </w:p>
    <w:p w14:paraId="62597CB5">
      <w:pPr>
        <w:keepNext w:val="0"/>
        <w:keepLines w:val="0"/>
        <w:pageBreakBefore w:val="0"/>
        <w:widowControl/>
        <w:kinsoku/>
        <w:wordWrap/>
        <w:overflowPunct/>
        <w:topLinePunct w:val="0"/>
        <w:autoSpaceDE/>
        <w:autoSpaceDN/>
        <w:bidi w:val="0"/>
        <w:adjustRightInd/>
        <w:snapToGrid/>
        <w:spacing w:after="0" w:line="360" w:lineRule="auto"/>
        <w:ind w:left="0" w:firstLine="560" w:firstLineChars="200"/>
        <w:textAlignment w:val="auto"/>
        <w:rPr>
          <w:rFonts w:hint="default" w:ascii="Times New Roman" w:hAnsi="Times New Roman" w:eastAsia="宋体" w:cs="Times New Roman"/>
          <w:color w:val="000000" w:themeColor="text1"/>
          <w:sz w:val="28"/>
          <w:szCs w:val="28"/>
          <w:lang w:val="en-US" w:eastAsia="zh-CN" w:bidi="ar-SA"/>
          <w14:textFill>
            <w14:solidFill>
              <w14:schemeClr w14:val="tx1"/>
            </w14:solidFill>
          </w14:textFill>
        </w:rPr>
      </w:pPr>
      <w:r>
        <w:rPr>
          <w:rFonts w:hint="eastAsia" w:cs="Times New Roman"/>
          <w:color w:val="000000" w:themeColor="text1"/>
          <w:sz w:val="28"/>
          <w:szCs w:val="28"/>
          <w:lang w:val="en-US" w:eastAsia="zh-CN" w:bidi="ar-SA"/>
          <w14:textFill>
            <w14:solidFill>
              <w14:schemeClr w14:val="tx1"/>
            </w14:solidFill>
          </w14:textFill>
        </w:rPr>
        <w:t>（2）</w:t>
      </w:r>
      <w:r>
        <w:rPr>
          <w:rFonts w:hint="default" w:ascii="Times New Roman" w:hAnsi="Times New Roman" w:eastAsia="宋体" w:cs="Times New Roman"/>
          <w:color w:val="000000" w:themeColor="text1"/>
          <w:sz w:val="28"/>
          <w:szCs w:val="28"/>
          <w:lang w:val="en-US" w:eastAsia="zh-CN" w:bidi="ar-SA"/>
          <w14:textFill>
            <w14:solidFill>
              <w14:schemeClr w14:val="tx1"/>
            </w14:solidFill>
          </w14:textFill>
        </w:rPr>
        <w:t>措施费</w:t>
      </w:r>
    </w:p>
    <w:p w14:paraId="1A0EB075">
      <w:pPr>
        <w:keepNext w:val="0"/>
        <w:keepLines w:val="0"/>
        <w:pageBreakBefore w:val="0"/>
        <w:widowControl/>
        <w:kinsoku/>
        <w:wordWrap/>
        <w:overflowPunct/>
        <w:topLinePunct w:val="0"/>
        <w:autoSpaceDE/>
        <w:autoSpaceDN/>
        <w:bidi w:val="0"/>
        <w:adjustRightInd/>
        <w:snapToGrid/>
        <w:spacing w:after="0" w:line="360" w:lineRule="auto"/>
        <w:ind w:left="0" w:firstLine="560" w:firstLineChars="200"/>
        <w:textAlignment w:val="auto"/>
        <w:rPr>
          <w:rFonts w:hint="default" w:ascii="Times New Roman" w:hAnsi="Times New Roman" w:eastAsia="宋体" w:cs="Times New Roman"/>
          <w:color w:val="000000" w:themeColor="text1"/>
          <w:sz w:val="28"/>
          <w:szCs w:val="28"/>
          <w:lang w:val="en-US" w:eastAsia="zh-CN" w:bidi="ar-SA"/>
          <w14:textFill>
            <w14:solidFill>
              <w14:schemeClr w14:val="tx1"/>
            </w14:solidFill>
          </w14:textFill>
        </w:rPr>
      </w:pPr>
      <w:r>
        <w:rPr>
          <w:rFonts w:hint="default" w:ascii="Times New Roman" w:hAnsi="Times New Roman" w:eastAsia="宋体" w:cs="Times New Roman"/>
          <w:color w:val="000000" w:themeColor="text1"/>
          <w:sz w:val="28"/>
          <w:szCs w:val="28"/>
          <w:lang w:val="en-US" w:eastAsia="zh-CN" w:bidi="ar-SA"/>
          <w14:textFill>
            <w14:solidFill>
              <w14:schemeClr w14:val="tx1"/>
            </w14:solidFill>
          </w14:textFill>
        </w:rPr>
        <w:t>措施费是指为完成工程项目施工，发生于该工程施工前和施工过程中非工程实体项目的费用，包括临时设施费、冬雨季施工增加费、施工辅助费和安全施工措施费，本项目不计夜间施工增加费。措施费按项目直接工程费×措施费费率进行计算。其费率依据财政厅、国土资源厅《内蒙古自治区矿山地质环境治理工程</w:t>
      </w:r>
    </w:p>
    <w:p w14:paraId="5002F13B">
      <w:pPr>
        <w:keepNext w:val="0"/>
        <w:keepLines w:val="0"/>
        <w:pageBreakBefore w:val="0"/>
        <w:widowControl/>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color w:val="000000" w:themeColor="text1"/>
          <w:sz w:val="28"/>
          <w:szCs w:val="28"/>
          <w:lang w:val="en-US" w:eastAsia="zh-CN" w:bidi="ar-SA"/>
          <w14:textFill>
            <w14:solidFill>
              <w14:schemeClr w14:val="tx1"/>
            </w14:solidFill>
          </w14:textFill>
        </w:rPr>
      </w:pPr>
      <w:r>
        <w:rPr>
          <w:rFonts w:hint="default" w:ascii="Times New Roman" w:hAnsi="Times New Roman" w:eastAsia="宋体" w:cs="Times New Roman"/>
          <w:color w:val="000000" w:themeColor="text1"/>
          <w:sz w:val="28"/>
          <w:szCs w:val="28"/>
          <w:lang w:val="en-US" w:eastAsia="zh-CN" w:bidi="ar-SA"/>
          <w14:textFill>
            <w14:solidFill>
              <w14:schemeClr w14:val="tx1"/>
            </w14:solidFill>
          </w14:textFill>
        </w:rPr>
        <w:t>预算定额标准》计取，取费标准见表</w:t>
      </w:r>
      <w:r>
        <w:rPr>
          <w:rFonts w:hint="eastAsia" w:ascii="Times New Roman" w:hAnsi="Times New Roman" w:eastAsia="宋体" w:cs="Times New Roman"/>
          <w:color w:val="000000" w:themeColor="text1"/>
          <w:sz w:val="28"/>
          <w:szCs w:val="28"/>
          <w:lang w:val="en-US" w:eastAsia="zh-CN" w:bidi="ar-SA"/>
          <w14:textFill>
            <w14:solidFill>
              <w14:schemeClr w14:val="tx1"/>
            </w14:solidFill>
          </w14:textFill>
        </w:rPr>
        <w:t>6</w:t>
      </w:r>
      <w:r>
        <w:rPr>
          <w:rFonts w:hint="default" w:ascii="Times New Roman" w:hAnsi="Times New Roman" w:eastAsia="宋体" w:cs="Times New Roman"/>
          <w:color w:val="000000" w:themeColor="text1"/>
          <w:sz w:val="28"/>
          <w:szCs w:val="28"/>
          <w:lang w:val="en-US" w:eastAsia="zh-CN" w:bidi="ar-SA"/>
          <w14:textFill>
            <w14:solidFill>
              <w14:schemeClr w14:val="tx1"/>
            </w14:solidFill>
          </w14:textFill>
        </w:rPr>
        <w:t>-</w:t>
      </w:r>
      <w:r>
        <w:rPr>
          <w:rFonts w:hint="eastAsia" w:cs="Times New Roman"/>
          <w:color w:val="000000" w:themeColor="text1"/>
          <w:sz w:val="28"/>
          <w:szCs w:val="28"/>
          <w:lang w:val="en-US" w:eastAsia="zh-CN" w:bidi="ar-SA"/>
          <w14:textFill>
            <w14:solidFill>
              <w14:schemeClr w14:val="tx1"/>
            </w14:solidFill>
          </w14:textFill>
        </w:rPr>
        <w:t>2</w:t>
      </w:r>
      <w:r>
        <w:rPr>
          <w:rFonts w:hint="default" w:ascii="Times New Roman" w:hAnsi="Times New Roman" w:eastAsia="宋体" w:cs="Times New Roman"/>
          <w:color w:val="000000" w:themeColor="text1"/>
          <w:sz w:val="28"/>
          <w:szCs w:val="28"/>
          <w:lang w:val="en-US" w:eastAsia="zh-CN" w:bidi="ar-SA"/>
          <w14:textFill>
            <w14:solidFill>
              <w14:schemeClr w14:val="tx1"/>
            </w14:solidFill>
          </w14:textFill>
        </w:rPr>
        <w:t>。</w:t>
      </w:r>
    </w:p>
    <w:p w14:paraId="3C1BAC98">
      <w:pPr>
        <w:keepNext w:val="0"/>
        <w:keepLines w:val="0"/>
        <w:pageBreakBefore w:val="0"/>
        <w:widowControl/>
        <w:tabs>
          <w:tab w:val="left" w:pos="7235"/>
        </w:tabs>
        <w:kinsoku/>
        <w:wordWrap/>
        <w:overflowPunct/>
        <w:topLinePunct w:val="0"/>
        <w:autoSpaceDE/>
        <w:autoSpaceDN/>
        <w:bidi w:val="0"/>
        <w:adjustRightInd/>
        <w:snapToGrid/>
        <w:spacing w:after="0" w:line="360" w:lineRule="auto"/>
        <w:ind w:right="0" w:rightChars="0"/>
        <w:jc w:val="center"/>
        <w:textAlignment w:val="auto"/>
        <w:rPr>
          <w:rFonts w:hint="eastAsia" w:ascii="黑体" w:hAnsi="黑体" w:eastAsia="黑体" w:cs="黑体"/>
          <w:b w:val="0"/>
          <w:bCs/>
          <w:color w:val="000000" w:themeColor="text1"/>
          <w:sz w:val="24"/>
          <w14:textFill>
            <w14:solidFill>
              <w14:schemeClr w14:val="tx1"/>
            </w14:solidFill>
          </w14:textFill>
        </w:rPr>
      </w:pPr>
      <w:r>
        <w:rPr>
          <w:rFonts w:hint="eastAsia" w:ascii="黑体" w:hAnsi="黑体" w:eastAsia="黑体" w:cs="黑体"/>
          <w:b w:val="0"/>
          <w:bCs/>
          <w:color w:val="000000" w:themeColor="text1"/>
          <w:sz w:val="24"/>
          <w:szCs w:val="24"/>
          <w14:textFill>
            <w14:solidFill>
              <w14:schemeClr w14:val="tx1"/>
            </w14:solidFill>
          </w14:textFill>
        </w:rPr>
        <w:t>表</w:t>
      </w:r>
      <w:r>
        <w:rPr>
          <w:rFonts w:hint="eastAsia" w:ascii="黑体" w:hAnsi="黑体" w:eastAsia="黑体" w:cs="黑体"/>
          <w:b w:val="0"/>
          <w:bCs/>
          <w:color w:val="000000" w:themeColor="text1"/>
          <w:sz w:val="24"/>
          <w:szCs w:val="24"/>
          <w:lang w:val="en-US" w:eastAsia="zh-CN"/>
          <w14:textFill>
            <w14:solidFill>
              <w14:schemeClr w14:val="tx1"/>
            </w14:solidFill>
          </w14:textFill>
        </w:rPr>
        <w:t>6</w:t>
      </w:r>
      <w:r>
        <w:rPr>
          <w:rFonts w:hint="eastAsia" w:ascii="黑体" w:hAnsi="黑体" w:eastAsia="黑体" w:cs="黑体"/>
          <w:b w:val="0"/>
          <w:bCs/>
          <w:color w:val="000000" w:themeColor="text1"/>
          <w:sz w:val="24"/>
          <w:szCs w:val="24"/>
          <w14:textFill>
            <w14:solidFill>
              <w14:schemeClr w14:val="tx1"/>
            </w14:solidFill>
          </w14:textFill>
        </w:rPr>
        <w:t>-</w:t>
      </w:r>
      <w:r>
        <w:rPr>
          <w:rFonts w:hint="eastAsia" w:ascii="黑体" w:hAnsi="黑体" w:eastAsia="黑体" w:cs="黑体"/>
          <w:b w:val="0"/>
          <w:bCs/>
          <w:color w:val="000000" w:themeColor="text1"/>
          <w:sz w:val="24"/>
          <w:szCs w:val="24"/>
          <w:lang w:val="en-US" w:eastAsia="zh-CN"/>
          <w14:textFill>
            <w14:solidFill>
              <w14:schemeClr w14:val="tx1"/>
            </w14:solidFill>
          </w14:textFill>
        </w:rPr>
        <w:t>2</w:t>
      </w:r>
      <w:r>
        <w:rPr>
          <w:rFonts w:hint="eastAsia" w:ascii="黑体" w:hAnsi="黑体" w:eastAsia="黑体" w:cs="黑体"/>
          <w:b w:val="0"/>
          <w:bCs/>
          <w:color w:val="000000" w:themeColor="text1"/>
          <w:sz w:val="24"/>
          <w:szCs w:val="24"/>
          <w14:textFill>
            <w14:solidFill>
              <w14:schemeClr w14:val="tx1"/>
            </w14:solidFill>
          </w14:textFill>
        </w:rPr>
        <w:t xml:space="preserve">  措施费费率表</w:t>
      </w: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94"/>
        <w:gridCol w:w="1287"/>
        <w:gridCol w:w="1197"/>
        <w:gridCol w:w="1630"/>
        <w:gridCol w:w="1207"/>
        <w:gridCol w:w="1336"/>
        <w:gridCol w:w="1068"/>
      </w:tblGrid>
      <w:tr w14:paraId="507E4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9" w:hRule="atLeast"/>
        </w:trPr>
        <w:tc>
          <w:tcPr>
            <w:tcW w:w="357" w:type="pct"/>
            <w:tcBorders>
              <w:top w:val="single" w:color="auto" w:sz="4" w:space="0"/>
              <w:left w:val="single" w:color="auto" w:sz="4" w:space="0"/>
              <w:bottom w:val="single" w:color="auto" w:sz="4" w:space="0"/>
              <w:right w:val="single" w:color="auto" w:sz="4" w:space="0"/>
            </w:tcBorders>
            <w:noWrap w:val="0"/>
            <w:vAlign w:val="center"/>
          </w:tcPr>
          <w:p w14:paraId="5A0C53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序号</w:t>
            </w:r>
          </w:p>
        </w:tc>
        <w:tc>
          <w:tcPr>
            <w:tcW w:w="773" w:type="pct"/>
            <w:tcBorders>
              <w:top w:val="single" w:color="auto" w:sz="4" w:space="0"/>
              <w:left w:val="single" w:color="auto" w:sz="4" w:space="0"/>
              <w:bottom w:val="single" w:color="auto" w:sz="4" w:space="0"/>
              <w:right w:val="single" w:color="auto" w:sz="4" w:space="0"/>
            </w:tcBorders>
            <w:noWrap w:val="0"/>
            <w:vAlign w:val="center"/>
          </w:tcPr>
          <w:p w14:paraId="75851E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工程类别</w:t>
            </w:r>
          </w:p>
        </w:tc>
        <w:tc>
          <w:tcPr>
            <w:tcW w:w="719" w:type="pct"/>
            <w:tcBorders>
              <w:top w:val="single" w:color="auto" w:sz="4" w:space="0"/>
              <w:left w:val="single" w:color="auto" w:sz="4" w:space="0"/>
              <w:bottom w:val="single" w:color="auto" w:sz="4" w:space="0"/>
              <w:right w:val="single" w:color="auto" w:sz="4" w:space="0"/>
            </w:tcBorders>
            <w:noWrap w:val="0"/>
            <w:vAlign w:val="center"/>
          </w:tcPr>
          <w:p w14:paraId="4F26C3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临时设施费率（%）</w:t>
            </w:r>
          </w:p>
        </w:tc>
        <w:tc>
          <w:tcPr>
            <w:tcW w:w="979" w:type="pct"/>
            <w:tcBorders>
              <w:top w:val="single" w:color="auto" w:sz="4" w:space="0"/>
              <w:left w:val="single" w:color="auto" w:sz="4" w:space="0"/>
              <w:bottom w:val="single" w:color="auto" w:sz="4" w:space="0"/>
              <w:right w:val="single" w:color="auto" w:sz="4" w:space="0"/>
            </w:tcBorders>
            <w:noWrap w:val="0"/>
            <w:vAlign w:val="center"/>
          </w:tcPr>
          <w:p w14:paraId="59F91E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冬雨季施工增加费率（%）</w:t>
            </w:r>
          </w:p>
        </w:tc>
        <w:tc>
          <w:tcPr>
            <w:tcW w:w="725" w:type="pct"/>
            <w:tcBorders>
              <w:top w:val="single" w:color="auto" w:sz="4" w:space="0"/>
              <w:left w:val="single" w:color="auto" w:sz="4" w:space="0"/>
              <w:bottom w:val="single" w:color="auto" w:sz="4" w:space="0"/>
              <w:right w:val="single" w:color="auto" w:sz="4" w:space="0"/>
            </w:tcBorders>
            <w:noWrap w:val="0"/>
            <w:vAlign w:val="center"/>
          </w:tcPr>
          <w:p w14:paraId="228E37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施工辅助</w:t>
            </w:r>
          </w:p>
          <w:p w14:paraId="240768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费率（%）</w:t>
            </w:r>
          </w:p>
        </w:tc>
        <w:tc>
          <w:tcPr>
            <w:tcW w:w="802" w:type="pct"/>
            <w:tcBorders>
              <w:top w:val="single" w:color="auto" w:sz="4" w:space="0"/>
              <w:left w:val="single" w:color="auto" w:sz="4" w:space="0"/>
              <w:bottom w:val="single" w:color="auto" w:sz="4" w:space="0"/>
              <w:right w:val="single" w:color="auto" w:sz="4" w:space="0"/>
            </w:tcBorders>
            <w:noWrap w:val="0"/>
            <w:vAlign w:val="center"/>
          </w:tcPr>
          <w:p w14:paraId="59B82E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安全施工措施费率（%）</w:t>
            </w:r>
          </w:p>
        </w:tc>
        <w:tc>
          <w:tcPr>
            <w:tcW w:w="641" w:type="pct"/>
            <w:tcBorders>
              <w:top w:val="single" w:color="auto" w:sz="4" w:space="0"/>
              <w:left w:val="single" w:color="auto" w:sz="4" w:space="0"/>
              <w:bottom w:val="single" w:color="auto" w:sz="4" w:space="0"/>
              <w:right w:val="single" w:color="auto" w:sz="4" w:space="0"/>
            </w:tcBorders>
            <w:noWrap w:val="0"/>
            <w:vAlign w:val="center"/>
          </w:tcPr>
          <w:p w14:paraId="493B2C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费率合计（%）</w:t>
            </w:r>
          </w:p>
        </w:tc>
      </w:tr>
      <w:tr w14:paraId="6EDAC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9" w:hRule="atLeast"/>
        </w:trPr>
        <w:tc>
          <w:tcPr>
            <w:tcW w:w="357" w:type="pct"/>
            <w:tcBorders>
              <w:top w:val="single" w:color="auto" w:sz="4" w:space="0"/>
              <w:left w:val="single" w:color="auto" w:sz="4" w:space="0"/>
              <w:bottom w:val="single" w:color="auto" w:sz="4" w:space="0"/>
              <w:right w:val="single" w:color="auto" w:sz="4" w:space="0"/>
            </w:tcBorders>
            <w:noWrap w:val="0"/>
            <w:vAlign w:val="center"/>
          </w:tcPr>
          <w:p w14:paraId="33EECC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1</w:t>
            </w:r>
          </w:p>
        </w:tc>
        <w:tc>
          <w:tcPr>
            <w:tcW w:w="773" w:type="pct"/>
            <w:tcBorders>
              <w:top w:val="single" w:color="auto" w:sz="4" w:space="0"/>
              <w:left w:val="single" w:color="auto" w:sz="4" w:space="0"/>
              <w:bottom w:val="single" w:color="auto" w:sz="4" w:space="0"/>
              <w:right w:val="single" w:color="auto" w:sz="4" w:space="0"/>
            </w:tcBorders>
            <w:noWrap w:val="0"/>
            <w:vAlign w:val="center"/>
          </w:tcPr>
          <w:p w14:paraId="604454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土方工程</w:t>
            </w:r>
          </w:p>
        </w:tc>
        <w:tc>
          <w:tcPr>
            <w:tcW w:w="719" w:type="pct"/>
            <w:tcBorders>
              <w:top w:val="single" w:color="auto" w:sz="4" w:space="0"/>
              <w:left w:val="single" w:color="auto" w:sz="4" w:space="0"/>
              <w:bottom w:val="single" w:color="auto" w:sz="4" w:space="0"/>
              <w:right w:val="single" w:color="auto" w:sz="4" w:space="0"/>
            </w:tcBorders>
            <w:noWrap w:val="0"/>
            <w:vAlign w:val="center"/>
          </w:tcPr>
          <w:p w14:paraId="113A93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2</w:t>
            </w:r>
          </w:p>
        </w:tc>
        <w:tc>
          <w:tcPr>
            <w:tcW w:w="979" w:type="pct"/>
            <w:tcBorders>
              <w:top w:val="single" w:color="auto" w:sz="4" w:space="0"/>
              <w:left w:val="single" w:color="auto" w:sz="4" w:space="0"/>
              <w:bottom w:val="single" w:color="auto" w:sz="4" w:space="0"/>
              <w:right w:val="single" w:color="auto" w:sz="4" w:space="0"/>
            </w:tcBorders>
            <w:noWrap w:val="0"/>
            <w:vAlign w:val="center"/>
          </w:tcPr>
          <w:p w14:paraId="4A3AFC8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9</w:t>
            </w:r>
          </w:p>
        </w:tc>
        <w:tc>
          <w:tcPr>
            <w:tcW w:w="725" w:type="pct"/>
            <w:tcBorders>
              <w:top w:val="single" w:color="auto" w:sz="4" w:space="0"/>
              <w:left w:val="single" w:color="auto" w:sz="4" w:space="0"/>
              <w:bottom w:val="single" w:color="auto" w:sz="4" w:space="0"/>
              <w:right w:val="single" w:color="auto" w:sz="4" w:space="0"/>
            </w:tcBorders>
            <w:noWrap w:val="0"/>
            <w:vAlign w:val="center"/>
          </w:tcPr>
          <w:p w14:paraId="4539CB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0.7</w:t>
            </w:r>
          </w:p>
        </w:tc>
        <w:tc>
          <w:tcPr>
            <w:tcW w:w="802" w:type="pct"/>
            <w:tcBorders>
              <w:top w:val="single" w:color="auto" w:sz="4" w:space="0"/>
              <w:left w:val="single" w:color="auto" w:sz="4" w:space="0"/>
              <w:bottom w:val="single" w:color="auto" w:sz="4" w:space="0"/>
              <w:right w:val="single" w:color="auto" w:sz="4" w:space="0"/>
            </w:tcBorders>
            <w:noWrap w:val="0"/>
            <w:vAlign w:val="center"/>
          </w:tcPr>
          <w:p w14:paraId="0EA374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0.2</w:t>
            </w:r>
          </w:p>
        </w:tc>
        <w:tc>
          <w:tcPr>
            <w:tcW w:w="641" w:type="pct"/>
            <w:tcBorders>
              <w:top w:val="single" w:color="auto" w:sz="4" w:space="0"/>
              <w:left w:val="single" w:color="auto" w:sz="4" w:space="0"/>
              <w:bottom w:val="single" w:color="auto" w:sz="4" w:space="0"/>
              <w:right w:val="single" w:color="auto" w:sz="4" w:space="0"/>
            </w:tcBorders>
            <w:noWrap w:val="0"/>
            <w:vAlign w:val="center"/>
          </w:tcPr>
          <w:p w14:paraId="70EED4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8</w:t>
            </w:r>
          </w:p>
        </w:tc>
      </w:tr>
      <w:tr w14:paraId="36DBB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9" w:hRule="atLeast"/>
        </w:trPr>
        <w:tc>
          <w:tcPr>
            <w:tcW w:w="357" w:type="pct"/>
            <w:tcBorders>
              <w:top w:val="single" w:color="auto" w:sz="4" w:space="0"/>
              <w:left w:val="single" w:color="auto" w:sz="4" w:space="0"/>
              <w:bottom w:val="single" w:color="auto" w:sz="4" w:space="0"/>
              <w:right w:val="single" w:color="auto" w:sz="4" w:space="0"/>
            </w:tcBorders>
            <w:noWrap w:val="0"/>
            <w:vAlign w:val="center"/>
          </w:tcPr>
          <w:p w14:paraId="59AA4A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2</w:t>
            </w:r>
          </w:p>
        </w:tc>
        <w:tc>
          <w:tcPr>
            <w:tcW w:w="773" w:type="pct"/>
            <w:tcBorders>
              <w:top w:val="single" w:color="auto" w:sz="4" w:space="0"/>
              <w:left w:val="single" w:color="auto" w:sz="4" w:space="0"/>
              <w:bottom w:val="single" w:color="auto" w:sz="4" w:space="0"/>
              <w:right w:val="single" w:color="auto" w:sz="4" w:space="0"/>
            </w:tcBorders>
            <w:noWrap w:val="0"/>
            <w:vAlign w:val="center"/>
          </w:tcPr>
          <w:p w14:paraId="6F5312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石方工程</w:t>
            </w:r>
          </w:p>
        </w:tc>
        <w:tc>
          <w:tcPr>
            <w:tcW w:w="719" w:type="pct"/>
            <w:tcBorders>
              <w:top w:val="single" w:color="auto" w:sz="4" w:space="0"/>
              <w:left w:val="single" w:color="auto" w:sz="4" w:space="0"/>
              <w:bottom w:val="single" w:color="auto" w:sz="4" w:space="0"/>
              <w:right w:val="single" w:color="auto" w:sz="4" w:space="0"/>
            </w:tcBorders>
            <w:noWrap w:val="0"/>
            <w:vAlign w:val="center"/>
          </w:tcPr>
          <w:p w14:paraId="410695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2</w:t>
            </w:r>
          </w:p>
        </w:tc>
        <w:tc>
          <w:tcPr>
            <w:tcW w:w="979" w:type="pct"/>
            <w:tcBorders>
              <w:top w:val="single" w:color="auto" w:sz="4" w:space="0"/>
              <w:left w:val="single" w:color="auto" w:sz="4" w:space="0"/>
              <w:bottom w:val="single" w:color="auto" w:sz="4" w:space="0"/>
              <w:right w:val="single" w:color="auto" w:sz="4" w:space="0"/>
            </w:tcBorders>
            <w:noWrap w:val="0"/>
            <w:vAlign w:val="center"/>
          </w:tcPr>
          <w:p w14:paraId="319DE43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9</w:t>
            </w:r>
          </w:p>
        </w:tc>
        <w:tc>
          <w:tcPr>
            <w:tcW w:w="725" w:type="pct"/>
            <w:tcBorders>
              <w:top w:val="single" w:color="auto" w:sz="4" w:space="0"/>
              <w:left w:val="single" w:color="auto" w:sz="4" w:space="0"/>
              <w:bottom w:val="single" w:color="auto" w:sz="4" w:space="0"/>
              <w:right w:val="single" w:color="auto" w:sz="4" w:space="0"/>
            </w:tcBorders>
            <w:noWrap w:val="0"/>
            <w:vAlign w:val="center"/>
          </w:tcPr>
          <w:p w14:paraId="6457CDC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0.7</w:t>
            </w:r>
          </w:p>
        </w:tc>
        <w:tc>
          <w:tcPr>
            <w:tcW w:w="802" w:type="pct"/>
            <w:tcBorders>
              <w:top w:val="single" w:color="auto" w:sz="4" w:space="0"/>
              <w:left w:val="single" w:color="auto" w:sz="4" w:space="0"/>
              <w:bottom w:val="single" w:color="auto" w:sz="4" w:space="0"/>
              <w:right w:val="single" w:color="auto" w:sz="4" w:space="0"/>
            </w:tcBorders>
            <w:noWrap w:val="0"/>
            <w:vAlign w:val="center"/>
          </w:tcPr>
          <w:p w14:paraId="0492D72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0.2</w:t>
            </w:r>
          </w:p>
        </w:tc>
        <w:tc>
          <w:tcPr>
            <w:tcW w:w="641" w:type="pct"/>
            <w:tcBorders>
              <w:top w:val="single" w:color="auto" w:sz="4" w:space="0"/>
              <w:left w:val="single" w:color="auto" w:sz="4" w:space="0"/>
              <w:bottom w:val="single" w:color="auto" w:sz="4" w:space="0"/>
              <w:right w:val="single" w:color="auto" w:sz="4" w:space="0"/>
            </w:tcBorders>
            <w:noWrap w:val="0"/>
            <w:vAlign w:val="center"/>
          </w:tcPr>
          <w:p w14:paraId="31E26B2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8</w:t>
            </w:r>
          </w:p>
        </w:tc>
      </w:tr>
      <w:tr w14:paraId="0628A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9" w:hRule="atLeast"/>
        </w:trPr>
        <w:tc>
          <w:tcPr>
            <w:tcW w:w="357" w:type="pct"/>
            <w:tcBorders>
              <w:top w:val="single" w:color="auto" w:sz="4" w:space="0"/>
              <w:left w:val="single" w:color="auto" w:sz="4" w:space="0"/>
              <w:bottom w:val="single" w:color="auto" w:sz="4" w:space="0"/>
              <w:right w:val="single" w:color="auto" w:sz="4" w:space="0"/>
            </w:tcBorders>
            <w:noWrap w:val="0"/>
            <w:vAlign w:val="center"/>
          </w:tcPr>
          <w:p w14:paraId="6403D8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3</w:t>
            </w:r>
          </w:p>
        </w:tc>
        <w:tc>
          <w:tcPr>
            <w:tcW w:w="773" w:type="pct"/>
            <w:tcBorders>
              <w:top w:val="single" w:color="auto" w:sz="4" w:space="0"/>
              <w:left w:val="single" w:color="auto" w:sz="4" w:space="0"/>
              <w:bottom w:val="single" w:color="auto" w:sz="4" w:space="0"/>
              <w:right w:val="single" w:color="auto" w:sz="4" w:space="0"/>
            </w:tcBorders>
            <w:noWrap w:val="0"/>
            <w:vAlign w:val="center"/>
          </w:tcPr>
          <w:p w14:paraId="298565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砌体工程</w:t>
            </w:r>
          </w:p>
        </w:tc>
        <w:tc>
          <w:tcPr>
            <w:tcW w:w="719" w:type="pct"/>
            <w:tcBorders>
              <w:top w:val="single" w:color="auto" w:sz="4" w:space="0"/>
              <w:left w:val="single" w:color="auto" w:sz="4" w:space="0"/>
              <w:bottom w:val="single" w:color="auto" w:sz="4" w:space="0"/>
              <w:right w:val="single" w:color="auto" w:sz="4" w:space="0"/>
            </w:tcBorders>
            <w:noWrap w:val="0"/>
            <w:vAlign w:val="center"/>
          </w:tcPr>
          <w:p w14:paraId="7530AD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2</w:t>
            </w:r>
          </w:p>
        </w:tc>
        <w:tc>
          <w:tcPr>
            <w:tcW w:w="979" w:type="pct"/>
            <w:tcBorders>
              <w:top w:val="single" w:color="auto" w:sz="4" w:space="0"/>
              <w:left w:val="single" w:color="auto" w:sz="4" w:space="0"/>
              <w:bottom w:val="single" w:color="auto" w:sz="4" w:space="0"/>
              <w:right w:val="single" w:color="auto" w:sz="4" w:space="0"/>
            </w:tcBorders>
            <w:noWrap w:val="0"/>
            <w:vAlign w:val="center"/>
          </w:tcPr>
          <w:p w14:paraId="4808F87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9</w:t>
            </w:r>
          </w:p>
        </w:tc>
        <w:tc>
          <w:tcPr>
            <w:tcW w:w="725" w:type="pct"/>
            <w:tcBorders>
              <w:top w:val="single" w:color="auto" w:sz="4" w:space="0"/>
              <w:left w:val="single" w:color="auto" w:sz="4" w:space="0"/>
              <w:bottom w:val="single" w:color="auto" w:sz="4" w:space="0"/>
              <w:right w:val="single" w:color="auto" w:sz="4" w:space="0"/>
            </w:tcBorders>
            <w:noWrap w:val="0"/>
            <w:vAlign w:val="center"/>
          </w:tcPr>
          <w:p w14:paraId="2BC226E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0.7</w:t>
            </w:r>
          </w:p>
        </w:tc>
        <w:tc>
          <w:tcPr>
            <w:tcW w:w="802" w:type="pct"/>
            <w:tcBorders>
              <w:top w:val="single" w:color="auto" w:sz="4" w:space="0"/>
              <w:left w:val="single" w:color="auto" w:sz="4" w:space="0"/>
              <w:bottom w:val="single" w:color="auto" w:sz="4" w:space="0"/>
              <w:right w:val="single" w:color="auto" w:sz="4" w:space="0"/>
            </w:tcBorders>
            <w:noWrap w:val="0"/>
            <w:vAlign w:val="center"/>
          </w:tcPr>
          <w:p w14:paraId="1240AFD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0.2</w:t>
            </w:r>
          </w:p>
        </w:tc>
        <w:tc>
          <w:tcPr>
            <w:tcW w:w="641" w:type="pct"/>
            <w:tcBorders>
              <w:top w:val="single" w:color="auto" w:sz="4" w:space="0"/>
              <w:left w:val="single" w:color="auto" w:sz="4" w:space="0"/>
              <w:bottom w:val="single" w:color="auto" w:sz="4" w:space="0"/>
              <w:right w:val="single" w:color="auto" w:sz="4" w:space="0"/>
            </w:tcBorders>
            <w:noWrap w:val="0"/>
            <w:vAlign w:val="center"/>
          </w:tcPr>
          <w:p w14:paraId="57BDE8E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8</w:t>
            </w:r>
          </w:p>
        </w:tc>
      </w:tr>
      <w:tr w14:paraId="3DA6E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9" w:hRule="atLeast"/>
        </w:trPr>
        <w:tc>
          <w:tcPr>
            <w:tcW w:w="357" w:type="pct"/>
            <w:tcBorders>
              <w:top w:val="single" w:color="auto" w:sz="4" w:space="0"/>
              <w:left w:val="single" w:color="auto" w:sz="4" w:space="0"/>
              <w:bottom w:val="single" w:color="auto" w:sz="4" w:space="0"/>
              <w:right w:val="single" w:color="auto" w:sz="4" w:space="0"/>
            </w:tcBorders>
            <w:noWrap w:val="0"/>
            <w:vAlign w:val="center"/>
          </w:tcPr>
          <w:p w14:paraId="435D4A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4</w:t>
            </w:r>
          </w:p>
        </w:tc>
        <w:tc>
          <w:tcPr>
            <w:tcW w:w="773" w:type="pct"/>
            <w:tcBorders>
              <w:top w:val="single" w:color="auto" w:sz="4" w:space="0"/>
              <w:left w:val="single" w:color="auto" w:sz="4" w:space="0"/>
              <w:bottom w:val="single" w:color="auto" w:sz="4" w:space="0"/>
              <w:right w:val="single" w:color="auto" w:sz="4" w:space="0"/>
            </w:tcBorders>
            <w:noWrap w:val="0"/>
            <w:vAlign w:val="center"/>
          </w:tcPr>
          <w:p w14:paraId="02D51C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混凝土工程</w:t>
            </w:r>
          </w:p>
        </w:tc>
        <w:tc>
          <w:tcPr>
            <w:tcW w:w="719" w:type="pct"/>
            <w:tcBorders>
              <w:top w:val="single" w:color="auto" w:sz="4" w:space="0"/>
              <w:left w:val="single" w:color="auto" w:sz="4" w:space="0"/>
              <w:bottom w:val="single" w:color="auto" w:sz="4" w:space="0"/>
              <w:right w:val="single" w:color="auto" w:sz="4" w:space="0"/>
            </w:tcBorders>
            <w:noWrap w:val="0"/>
            <w:vAlign w:val="center"/>
          </w:tcPr>
          <w:p w14:paraId="3815DE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3</w:t>
            </w:r>
          </w:p>
        </w:tc>
        <w:tc>
          <w:tcPr>
            <w:tcW w:w="979" w:type="pct"/>
            <w:tcBorders>
              <w:top w:val="single" w:color="auto" w:sz="4" w:space="0"/>
              <w:left w:val="single" w:color="auto" w:sz="4" w:space="0"/>
              <w:bottom w:val="single" w:color="auto" w:sz="4" w:space="0"/>
              <w:right w:val="single" w:color="auto" w:sz="4" w:space="0"/>
            </w:tcBorders>
            <w:noWrap w:val="0"/>
            <w:vAlign w:val="center"/>
          </w:tcPr>
          <w:p w14:paraId="601933E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9</w:t>
            </w:r>
          </w:p>
        </w:tc>
        <w:tc>
          <w:tcPr>
            <w:tcW w:w="725" w:type="pct"/>
            <w:tcBorders>
              <w:top w:val="single" w:color="auto" w:sz="4" w:space="0"/>
              <w:left w:val="single" w:color="auto" w:sz="4" w:space="0"/>
              <w:bottom w:val="single" w:color="auto" w:sz="4" w:space="0"/>
              <w:right w:val="single" w:color="auto" w:sz="4" w:space="0"/>
            </w:tcBorders>
            <w:noWrap w:val="0"/>
            <w:vAlign w:val="center"/>
          </w:tcPr>
          <w:p w14:paraId="4E6377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0.7</w:t>
            </w:r>
          </w:p>
        </w:tc>
        <w:tc>
          <w:tcPr>
            <w:tcW w:w="802" w:type="pct"/>
            <w:tcBorders>
              <w:top w:val="single" w:color="auto" w:sz="4" w:space="0"/>
              <w:left w:val="single" w:color="auto" w:sz="4" w:space="0"/>
              <w:bottom w:val="single" w:color="auto" w:sz="4" w:space="0"/>
              <w:right w:val="single" w:color="auto" w:sz="4" w:space="0"/>
            </w:tcBorders>
            <w:noWrap w:val="0"/>
            <w:vAlign w:val="center"/>
          </w:tcPr>
          <w:p w14:paraId="34FBDC3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0.2</w:t>
            </w:r>
          </w:p>
        </w:tc>
        <w:tc>
          <w:tcPr>
            <w:tcW w:w="641" w:type="pct"/>
            <w:tcBorders>
              <w:top w:val="single" w:color="auto" w:sz="4" w:space="0"/>
              <w:left w:val="single" w:color="auto" w:sz="4" w:space="0"/>
              <w:bottom w:val="single" w:color="auto" w:sz="4" w:space="0"/>
              <w:right w:val="single" w:color="auto" w:sz="4" w:space="0"/>
            </w:tcBorders>
            <w:noWrap w:val="0"/>
            <w:vAlign w:val="center"/>
          </w:tcPr>
          <w:p w14:paraId="14F9714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4.</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8</w:t>
            </w:r>
          </w:p>
        </w:tc>
      </w:tr>
      <w:tr w14:paraId="271CB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9" w:hRule="atLeast"/>
        </w:trPr>
        <w:tc>
          <w:tcPr>
            <w:tcW w:w="357" w:type="pct"/>
            <w:tcBorders>
              <w:top w:val="single" w:color="auto" w:sz="4" w:space="0"/>
              <w:left w:val="single" w:color="auto" w:sz="4" w:space="0"/>
              <w:bottom w:val="single" w:color="auto" w:sz="4" w:space="0"/>
              <w:right w:val="single" w:color="auto" w:sz="4" w:space="0"/>
            </w:tcBorders>
            <w:noWrap w:val="0"/>
            <w:vAlign w:val="center"/>
          </w:tcPr>
          <w:p w14:paraId="334B3C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5</w:t>
            </w:r>
          </w:p>
        </w:tc>
        <w:tc>
          <w:tcPr>
            <w:tcW w:w="773" w:type="pct"/>
            <w:tcBorders>
              <w:top w:val="single" w:color="auto" w:sz="4" w:space="0"/>
              <w:left w:val="single" w:color="auto" w:sz="4" w:space="0"/>
              <w:bottom w:val="single" w:color="auto" w:sz="4" w:space="0"/>
              <w:right w:val="single" w:color="auto" w:sz="4" w:space="0"/>
            </w:tcBorders>
            <w:noWrap w:val="0"/>
            <w:vAlign w:val="center"/>
          </w:tcPr>
          <w:p w14:paraId="3C290E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植被工程</w:t>
            </w:r>
          </w:p>
        </w:tc>
        <w:tc>
          <w:tcPr>
            <w:tcW w:w="719" w:type="pct"/>
            <w:tcBorders>
              <w:top w:val="single" w:color="auto" w:sz="4" w:space="0"/>
              <w:left w:val="single" w:color="auto" w:sz="4" w:space="0"/>
              <w:bottom w:val="single" w:color="auto" w:sz="4" w:space="0"/>
              <w:right w:val="single" w:color="auto" w:sz="4" w:space="0"/>
            </w:tcBorders>
            <w:noWrap w:val="0"/>
            <w:vAlign w:val="center"/>
          </w:tcPr>
          <w:p w14:paraId="2E8553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2</w:t>
            </w:r>
          </w:p>
        </w:tc>
        <w:tc>
          <w:tcPr>
            <w:tcW w:w="979" w:type="pct"/>
            <w:tcBorders>
              <w:top w:val="single" w:color="auto" w:sz="4" w:space="0"/>
              <w:left w:val="single" w:color="auto" w:sz="4" w:space="0"/>
              <w:bottom w:val="single" w:color="auto" w:sz="4" w:space="0"/>
              <w:right w:val="single" w:color="auto" w:sz="4" w:space="0"/>
            </w:tcBorders>
            <w:noWrap w:val="0"/>
            <w:vAlign w:val="center"/>
          </w:tcPr>
          <w:p w14:paraId="4D86952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9</w:t>
            </w:r>
          </w:p>
        </w:tc>
        <w:tc>
          <w:tcPr>
            <w:tcW w:w="725" w:type="pct"/>
            <w:tcBorders>
              <w:top w:val="single" w:color="auto" w:sz="4" w:space="0"/>
              <w:left w:val="single" w:color="auto" w:sz="4" w:space="0"/>
              <w:bottom w:val="single" w:color="auto" w:sz="4" w:space="0"/>
              <w:right w:val="single" w:color="auto" w:sz="4" w:space="0"/>
            </w:tcBorders>
            <w:noWrap w:val="0"/>
            <w:vAlign w:val="center"/>
          </w:tcPr>
          <w:p w14:paraId="49FB093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0.7</w:t>
            </w:r>
          </w:p>
        </w:tc>
        <w:tc>
          <w:tcPr>
            <w:tcW w:w="802" w:type="pct"/>
            <w:tcBorders>
              <w:top w:val="single" w:color="auto" w:sz="4" w:space="0"/>
              <w:left w:val="single" w:color="auto" w:sz="4" w:space="0"/>
              <w:bottom w:val="single" w:color="auto" w:sz="4" w:space="0"/>
              <w:right w:val="single" w:color="auto" w:sz="4" w:space="0"/>
            </w:tcBorders>
            <w:noWrap w:val="0"/>
            <w:vAlign w:val="center"/>
          </w:tcPr>
          <w:p w14:paraId="739EEE3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0.2</w:t>
            </w:r>
          </w:p>
        </w:tc>
        <w:tc>
          <w:tcPr>
            <w:tcW w:w="641" w:type="pct"/>
            <w:tcBorders>
              <w:top w:val="single" w:color="auto" w:sz="4" w:space="0"/>
              <w:left w:val="single" w:color="auto" w:sz="4" w:space="0"/>
              <w:bottom w:val="single" w:color="auto" w:sz="4" w:space="0"/>
              <w:right w:val="single" w:color="auto" w:sz="4" w:space="0"/>
            </w:tcBorders>
            <w:noWrap w:val="0"/>
            <w:vAlign w:val="center"/>
          </w:tcPr>
          <w:p w14:paraId="235DC53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8</w:t>
            </w:r>
          </w:p>
        </w:tc>
      </w:tr>
      <w:tr w14:paraId="46DD4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9" w:hRule="atLeast"/>
        </w:trPr>
        <w:tc>
          <w:tcPr>
            <w:tcW w:w="357" w:type="pct"/>
            <w:tcBorders>
              <w:top w:val="single" w:color="auto" w:sz="4" w:space="0"/>
              <w:left w:val="single" w:color="auto" w:sz="4" w:space="0"/>
              <w:bottom w:val="single" w:color="auto" w:sz="4" w:space="0"/>
              <w:right w:val="single" w:color="auto" w:sz="4" w:space="0"/>
            </w:tcBorders>
            <w:noWrap w:val="0"/>
            <w:vAlign w:val="center"/>
          </w:tcPr>
          <w:p w14:paraId="52D9A3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6</w:t>
            </w:r>
          </w:p>
        </w:tc>
        <w:tc>
          <w:tcPr>
            <w:tcW w:w="773" w:type="pct"/>
            <w:tcBorders>
              <w:top w:val="single" w:color="auto" w:sz="4" w:space="0"/>
              <w:left w:val="single" w:color="auto" w:sz="4" w:space="0"/>
              <w:bottom w:val="single" w:color="auto" w:sz="4" w:space="0"/>
              <w:right w:val="single" w:color="auto" w:sz="4" w:space="0"/>
            </w:tcBorders>
            <w:noWrap w:val="0"/>
            <w:vAlign w:val="center"/>
          </w:tcPr>
          <w:p w14:paraId="633CC1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辅助工程</w:t>
            </w:r>
          </w:p>
        </w:tc>
        <w:tc>
          <w:tcPr>
            <w:tcW w:w="719" w:type="pct"/>
            <w:tcBorders>
              <w:top w:val="single" w:color="auto" w:sz="4" w:space="0"/>
              <w:left w:val="single" w:color="auto" w:sz="4" w:space="0"/>
              <w:bottom w:val="single" w:color="auto" w:sz="4" w:space="0"/>
              <w:right w:val="single" w:color="auto" w:sz="4" w:space="0"/>
            </w:tcBorders>
            <w:noWrap w:val="0"/>
            <w:vAlign w:val="center"/>
          </w:tcPr>
          <w:p w14:paraId="25C111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2</w:t>
            </w:r>
          </w:p>
        </w:tc>
        <w:tc>
          <w:tcPr>
            <w:tcW w:w="979" w:type="pct"/>
            <w:tcBorders>
              <w:top w:val="single" w:color="auto" w:sz="4" w:space="0"/>
              <w:left w:val="single" w:color="auto" w:sz="4" w:space="0"/>
              <w:bottom w:val="single" w:color="auto" w:sz="4" w:space="0"/>
              <w:right w:val="single" w:color="auto" w:sz="4" w:space="0"/>
            </w:tcBorders>
            <w:noWrap w:val="0"/>
            <w:vAlign w:val="center"/>
          </w:tcPr>
          <w:p w14:paraId="4782D29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9</w:t>
            </w:r>
          </w:p>
        </w:tc>
        <w:tc>
          <w:tcPr>
            <w:tcW w:w="725" w:type="pct"/>
            <w:tcBorders>
              <w:top w:val="single" w:color="auto" w:sz="4" w:space="0"/>
              <w:left w:val="single" w:color="auto" w:sz="4" w:space="0"/>
              <w:bottom w:val="single" w:color="auto" w:sz="4" w:space="0"/>
              <w:right w:val="single" w:color="auto" w:sz="4" w:space="0"/>
            </w:tcBorders>
            <w:noWrap w:val="0"/>
            <w:vAlign w:val="center"/>
          </w:tcPr>
          <w:p w14:paraId="4479520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0.7</w:t>
            </w:r>
          </w:p>
        </w:tc>
        <w:tc>
          <w:tcPr>
            <w:tcW w:w="802" w:type="pct"/>
            <w:tcBorders>
              <w:top w:val="single" w:color="auto" w:sz="4" w:space="0"/>
              <w:left w:val="single" w:color="auto" w:sz="4" w:space="0"/>
              <w:bottom w:val="single" w:color="auto" w:sz="4" w:space="0"/>
              <w:right w:val="single" w:color="auto" w:sz="4" w:space="0"/>
            </w:tcBorders>
            <w:noWrap w:val="0"/>
            <w:vAlign w:val="center"/>
          </w:tcPr>
          <w:p w14:paraId="662E07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0.2</w:t>
            </w:r>
          </w:p>
        </w:tc>
        <w:tc>
          <w:tcPr>
            <w:tcW w:w="641" w:type="pct"/>
            <w:tcBorders>
              <w:top w:val="single" w:color="auto" w:sz="4" w:space="0"/>
              <w:left w:val="single" w:color="auto" w:sz="4" w:space="0"/>
              <w:bottom w:val="single" w:color="auto" w:sz="4" w:space="0"/>
              <w:right w:val="single" w:color="auto" w:sz="4" w:space="0"/>
            </w:tcBorders>
            <w:noWrap w:val="0"/>
            <w:vAlign w:val="center"/>
          </w:tcPr>
          <w:p w14:paraId="67FFA64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3.</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8</w:t>
            </w:r>
          </w:p>
        </w:tc>
      </w:tr>
    </w:tbl>
    <w:p w14:paraId="7B21D63D">
      <w:pPr>
        <w:keepNext w:val="0"/>
        <w:keepLines w:val="0"/>
        <w:pageBreakBefore w:val="0"/>
        <w:widowControl/>
        <w:kinsoku/>
        <w:wordWrap/>
        <w:overflowPunct/>
        <w:topLinePunct w:val="0"/>
        <w:autoSpaceDE/>
        <w:autoSpaceDN/>
        <w:bidi w:val="0"/>
        <w:adjustRightInd/>
        <w:snapToGrid/>
        <w:spacing w:before="157" w:beforeLines="50" w:after="0" w:line="360" w:lineRule="auto"/>
        <w:ind w:firstLine="560" w:firstLineChars="200"/>
        <w:jc w:val="left"/>
        <w:textAlignment w:val="auto"/>
        <w:rPr>
          <w:rFonts w:hint="default" w:ascii="Times New Roman" w:hAnsi="Times New Roman" w:eastAsia="宋体" w:cs="Times New Roman"/>
          <w:color w:val="000000" w:themeColor="text1"/>
          <w:sz w:val="28"/>
          <w:szCs w:val="21"/>
          <w14:textFill>
            <w14:solidFill>
              <w14:schemeClr w14:val="tx1"/>
            </w14:solidFill>
          </w14:textFill>
        </w:rPr>
      </w:pPr>
      <w:r>
        <w:rPr>
          <w:rFonts w:hint="eastAsia" w:cs="Times New Roman"/>
          <w:color w:val="000000" w:themeColor="text1"/>
          <w:sz w:val="28"/>
          <w:szCs w:val="21"/>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1"/>
          <w14:textFill>
            <w14:solidFill>
              <w14:schemeClr w14:val="tx1"/>
            </w14:solidFill>
          </w14:textFill>
        </w:rPr>
        <w:t>间接费</w:t>
      </w:r>
    </w:p>
    <w:p w14:paraId="6DFF045E">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color w:val="000000" w:themeColor="text1"/>
          <w:sz w:val="28"/>
          <w:szCs w:val="21"/>
          <w14:textFill>
            <w14:solidFill>
              <w14:schemeClr w14:val="tx1"/>
            </w14:solidFill>
          </w14:textFill>
        </w:rPr>
      </w:pPr>
      <w:r>
        <w:rPr>
          <w:rFonts w:hint="default" w:ascii="Times New Roman" w:hAnsi="Times New Roman" w:eastAsia="宋体" w:cs="Times New Roman"/>
          <w:color w:val="000000" w:themeColor="text1"/>
          <w:sz w:val="28"/>
          <w:szCs w:val="21"/>
          <w14:textFill>
            <w14:solidFill>
              <w14:schemeClr w14:val="tx1"/>
            </w14:solidFill>
          </w14:textFill>
        </w:rPr>
        <w:t>间接费包括企业管理费和规费，依据《内蒙古自治区矿山地质环境治理工程预算定额标准》规定，间接费率按工程类别进行计取，间接费按项目直接费×间接费费率进行计算，取费标准见表</w:t>
      </w:r>
      <w:r>
        <w:rPr>
          <w:rFonts w:hint="eastAsia" w:ascii="Times New Roman" w:hAnsi="Times New Roman" w:eastAsia="宋体" w:cs="Times New Roman"/>
          <w:color w:val="000000" w:themeColor="text1"/>
          <w:sz w:val="28"/>
          <w:szCs w:val="21"/>
          <w:lang w:val="en-US" w:eastAsia="zh-CN"/>
          <w14:textFill>
            <w14:solidFill>
              <w14:schemeClr w14:val="tx1"/>
            </w14:solidFill>
          </w14:textFill>
        </w:rPr>
        <w:t>6</w:t>
      </w:r>
      <w:r>
        <w:rPr>
          <w:rFonts w:hint="default" w:ascii="Times New Roman" w:hAnsi="Times New Roman" w:eastAsia="宋体" w:cs="Times New Roman"/>
          <w:color w:val="000000" w:themeColor="text1"/>
          <w:sz w:val="28"/>
          <w:szCs w:val="21"/>
          <w14:textFill>
            <w14:solidFill>
              <w14:schemeClr w14:val="tx1"/>
            </w14:solidFill>
          </w14:textFill>
        </w:rPr>
        <w:t>-</w:t>
      </w:r>
      <w:r>
        <w:rPr>
          <w:rFonts w:hint="eastAsia" w:cs="Times New Roman"/>
          <w:color w:val="000000" w:themeColor="text1"/>
          <w:sz w:val="28"/>
          <w:szCs w:val="21"/>
          <w:lang w:val="en-US" w:eastAsia="zh-CN"/>
          <w14:textFill>
            <w14:solidFill>
              <w14:schemeClr w14:val="tx1"/>
            </w14:solidFill>
          </w14:textFill>
        </w:rPr>
        <w:t>3</w:t>
      </w:r>
      <w:r>
        <w:rPr>
          <w:rFonts w:hint="default" w:ascii="Times New Roman" w:hAnsi="Times New Roman" w:eastAsia="宋体" w:cs="Times New Roman"/>
          <w:color w:val="000000" w:themeColor="text1"/>
          <w:sz w:val="28"/>
          <w:szCs w:val="21"/>
          <w14:textFill>
            <w14:solidFill>
              <w14:schemeClr w14:val="tx1"/>
            </w14:solidFill>
          </w14:textFill>
        </w:rPr>
        <w:t>。</w:t>
      </w:r>
    </w:p>
    <w:p w14:paraId="429A5456">
      <w:pPr>
        <w:keepNext w:val="0"/>
        <w:keepLines w:val="0"/>
        <w:pageBreakBefore w:val="0"/>
        <w:widowControl/>
        <w:tabs>
          <w:tab w:val="left" w:pos="7235"/>
        </w:tabs>
        <w:kinsoku/>
        <w:wordWrap/>
        <w:overflowPunct/>
        <w:topLinePunct w:val="0"/>
        <w:autoSpaceDE/>
        <w:autoSpaceDN/>
        <w:bidi w:val="0"/>
        <w:adjustRightInd/>
        <w:snapToGrid/>
        <w:spacing w:after="0" w:line="360" w:lineRule="auto"/>
        <w:ind w:right="0" w:rightChars="0"/>
        <w:jc w:val="center"/>
        <w:textAlignment w:val="auto"/>
        <w:rPr>
          <w:rFonts w:hint="default" w:ascii="黑体" w:hAnsi="黑体" w:eastAsia="黑体" w:cs="黑体"/>
          <w:b w:val="0"/>
          <w:bCs/>
          <w:color w:val="000000" w:themeColor="text1"/>
          <w:sz w:val="24"/>
          <w:szCs w:val="24"/>
          <w14:textFill>
            <w14:solidFill>
              <w14:schemeClr w14:val="tx1"/>
            </w14:solidFill>
          </w14:textFill>
        </w:rPr>
      </w:pPr>
      <w:r>
        <w:rPr>
          <w:rFonts w:hint="default" w:ascii="黑体" w:hAnsi="黑体" w:eastAsia="黑体" w:cs="黑体"/>
          <w:b w:val="0"/>
          <w:bCs/>
          <w:color w:val="000000" w:themeColor="text1"/>
          <w:sz w:val="24"/>
          <w:szCs w:val="24"/>
          <w14:textFill>
            <w14:solidFill>
              <w14:schemeClr w14:val="tx1"/>
            </w14:solidFill>
          </w14:textFill>
        </w:rPr>
        <w:t>表</w:t>
      </w:r>
      <w:r>
        <w:rPr>
          <w:rFonts w:hint="eastAsia" w:ascii="黑体" w:hAnsi="黑体" w:eastAsia="黑体" w:cs="黑体"/>
          <w:b w:val="0"/>
          <w:bCs/>
          <w:color w:val="000000" w:themeColor="text1"/>
          <w:sz w:val="24"/>
          <w:szCs w:val="24"/>
          <w:lang w:val="en-US" w:eastAsia="zh-CN"/>
          <w14:textFill>
            <w14:solidFill>
              <w14:schemeClr w14:val="tx1"/>
            </w14:solidFill>
          </w14:textFill>
        </w:rPr>
        <w:t>6-3</w:t>
      </w:r>
      <w:r>
        <w:rPr>
          <w:rFonts w:hint="default" w:ascii="黑体" w:hAnsi="黑体" w:eastAsia="黑体" w:cs="黑体"/>
          <w:b w:val="0"/>
          <w:bCs/>
          <w:color w:val="000000" w:themeColor="text1"/>
          <w:sz w:val="24"/>
          <w:szCs w:val="24"/>
          <w14:textFill>
            <w14:solidFill>
              <w14:schemeClr w14:val="tx1"/>
            </w14:solidFill>
          </w14:textFill>
        </w:rPr>
        <w:t xml:space="preserve">  间接费费率表</w:t>
      </w:r>
    </w:p>
    <w:tbl>
      <w:tblPr>
        <w:tblStyle w:val="30"/>
        <w:tblW w:w="50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80"/>
        <w:gridCol w:w="2334"/>
        <w:gridCol w:w="2351"/>
        <w:gridCol w:w="1864"/>
      </w:tblGrid>
      <w:tr w14:paraId="2C820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68" w:type="pct"/>
            <w:tcBorders>
              <w:top w:val="single" w:color="auto" w:sz="4" w:space="0"/>
              <w:left w:val="single" w:color="auto" w:sz="4" w:space="0"/>
              <w:bottom w:val="single" w:color="auto" w:sz="4" w:space="0"/>
              <w:right w:val="single" w:color="auto" w:sz="4" w:space="0"/>
            </w:tcBorders>
            <w:noWrap w:val="0"/>
            <w:vAlign w:val="center"/>
          </w:tcPr>
          <w:p w14:paraId="7E89B63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序号</w:t>
            </w:r>
          </w:p>
        </w:tc>
        <w:tc>
          <w:tcPr>
            <w:tcW w:w="1401" w:type="pct"/>
            <w:tcBorders>
              <w:top w:val="single" w:color="auto" w:sz="4" w:space="0"/>
              <w:left w:val="single" w:color="auto" w:sz="4" w:space="0"/>
              <w:bottom w:val="single" w:color="auto" w:sz="4" w:space="0"/>
              <w:right w:val="single" w:color="auto" w:sz="4" w:space="0"/>
            </w:tcBorders>
            <w:noWrap w:val="0"/>
            <w:vAlign w:val="center"/>
          </w:tcPr>
          <w:p w14:paraId="4146AF5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工程类别</w:t>
            </w:r>
          </w:p>
        </w:tc>
        <w:tc>
          <w:tcPr>
            <w:tcW w:w="1411" w:type="pct"/>
            <w:tcBorders>
              <w:top w:val="single" w:color="auto" w:sz="4" w:space="0"/>
              <w:left w:val="single" w:color="auto" w:sz="4" w:space="0"/>
              <w:bottom w:val="single" w:color="auto" w:sz="4" w:space="0"/>
              <w:right w:val="single" w:color="auto" w:sz="4" w:space="0"/>
            </w:tcBorders>
            <w:noWrap w:val="0"/>
            <w:vAlign w:val="center"/>
          </w:tcPr>
          <w:p w14:paraId="679BD5E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计算基础</w:t>
            </w:r>
          </w:p>
        </w:tc>
        <w:tc>
          <w:tcPr>
            <w:tcW w:w="1119" w:type="pct"/>
            <w:tcBorders>
              <w:top w:val="single" w:color="auto" w:sz="4" w:space="0"/>
              <w:left w:val="single" w:color="auto" w:sz="4" w:space="0"/>
              <w:bottom w:val="single" w:color="auto" w:sz="4" w:space="0"/>
              <w:right w:val="single" w:color="auto" w:sz="4" w:space="0"/>
            </w:tcBorders>
            <w:noWrap w:val="0"/>
            <w:vAlign w:val="center"/>
          </w:tcPr>
          <w:p w14:paraId="2B7DF3A0">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费率（%）</w:t>
            </w:r>
          </w:p>
        </w:tc>
      </w:tr>
      <w:tr w14:paraId="00A8A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68" w:type="pct"/>
            <w:tcBorders>
              <w:top w:val="single" w:color="auto" w:sz="4" w:space="0"/>
              <w:left w:val="single" w:color="auto" w:sz="4" w:space="0"/>
              <w:bottom w:val="single" w:color="auto" w:sz="4" w:space="0"/>
              <w:right w:val="single" w:color="auto" w:sz="4" w:space="0"/>
            </w:tcBorders>
            <w:noWrap w:val="0"/>
            <w:vAlign w:val="center"/>
          </w:tcPr>
          <w:p w14:paraId="5B97942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l</w:t>
            </w:r>
          </w:p>
        </w:tc>
        <w:tc>
          <w:tcPr>
            <w:tcW w:w="1401" w:type="pct"/>
            <w:tcBorders>
              <w:top w:val="single" w:color="auto" w:sz="4" w:space="0"/>
              <w:left w:val="single" w:color="auto" w:sz="4" w:space="0"/>
              <w:bottom w:val="single" w:color="auto" w:sz="4" w:space="0"/>
              <w:right w:val="single" w:color="auto" w:sz="4" w:space="0"/>
            </w:tcBorders>
            <w:noWrap w:val="0"/>
            <w:vAlign w:val="center"/>
          </w:tcPr>
          <w:p w14:paraId="05F510B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土方工程</w:t>
            </w:r>
          </w:p>
        </w:tc>
        <w:tc>
          <w:tcPr>
            <w:tcW w:w="1411" w:type="pct"/>
            <w:tcBorders>
              <w:top w:val="single" w:color="auto" w:sz="4" w:space="0"/>
              <w:left w:val="single" w:color="auto" w:sz="4" w:space="0"/>
              <w:bottom w:val="single" w:color="auto" w:sz="4" w:space="0"/>
              <w:right w:val="single" w:color="auto" w:sz="4" w:space="0"/>
            </w:tcBorders>
            <w:noWrap w:val="0"/>
            <w:vAlign w:val="center"/>
          </w:tcPr>
          <w:p w14:paraId="79B1885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直接费</w:t>
            </w:r>
          </w:p>
        </w:tc>
        <w:tc>
          <w:tcPr>
            <w:tcW w:w="1119" w:type="pct"/>
            <w:tcBorders>
              <w:top w:val="single" w:color="auto" w:sz="4" w:space="0"/>
              <w:left w:val="single" w:color="auto" w:sz="4" w:space="0"/>
              <w:bottom w:val="single" w:color="auto" w:sz="4" w:space="0"/>
              <w:right w:val="single" w:color="auto" w:sz="4" w:space="0"/>
            </w:tcBorders>
            <w:noWrap w:val="0"/>
            <w:vAlign w:val="center"/>
          </w:tcPr>
          <w:p w14:paraId="60594C7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5</w:t>
            </w:r>
          </w:p>
        </w:tc>
      </w:tr>
      <w:tr w14:paraId="1AE9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68" w:type="pct"/>
            <w:tcBorders>
              <w:top w:val="single" w:color="auto" w:sz="4" w:space="0"/>
              <w:left w:val="single" w:color="auto" w:sz="4" w:space="0"/>
              <w:bottom w:val="single" w:color="auto" w:sz="4" w:space="0"/>
              <w:right w:val="single" w:color="auto" w:sz="4" w:space="0"/>
            </w:tcBorders>
            <w:noWrap w:val="0"/>
            <w:vAlign w:val="center"/>
          </w:tcPr>
          <w:p w14:paraId="28C86E7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2</w:t>
            </w:r>
          </w:p>
        </w:tc>
        <w:tc>
          <w:tcPr>
            <w:tcW w:w="1401" w:type="pct"/>
            <w:tcBorders>
              <w:top w:val="single" w:color="auto" w:sz="4" w:space="0"/>
              <w:left w:val="single" w:color="auto" w:sz="4" w:space="0"/>
              <w:bottom w:val="single" w:color="auto" w:sz="4" w:space="0"/>
              <w:right w:val="single" w:color="auto" w:sz="4" w:space="0"/>
            </w:tcBorders>
            <w:noWrap w:val="0"/>
            <w:vAlign w:val="center"/>
          </w:tcPr>
          <w:p w14:paraId="15B8971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石方工程</w:t>
            </w:r>
          </w:p>
        </w:tc>
        <w:tc>
          <w:tcPr>
            <w:tcW w:w="1411" w:type="pct"/>
            <w:tcBorders>
              <w:top w:val="single" w:color="auto" w:sz="4" w:space="0"/>
              <w:left w:val="single" w:color="auto" w:sz="4" w:space="0"/>
              <w:bottom w:val="single" w:color="auto" w:sz="4" w:space="0"/>
              <w:right w:val="single" w:color="auto" w:sz="4" w:space="0"/>
            </w:tcBorders>
            <w:noWrap w:val="0"/>
            <w:vAlign w:val="center"/>
          </w:tcPr>
          <w:p w14:paraId="5B0C017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直接费</w:t>
            </w:r>
          </w:p>
        </w:tc>
        <w:tc>
          <w:tcPr>
            <w:tcW w:w="1119" w:type="pct"/>
            <w:tcBorders>
              <w:top w:val="single" w:color="auto" w:sz="4" w:space="0"/>
              <w:left w:val="single" w:color="auto" w:sz="4" w:space="0"/>
              <w:bottom w:val="single" w:color="auto" w:sz="4" w:space="0"/>
              <w:right w:val="single" w:color="auto" w:sz="4" w:space="0"/>
            </w:tcBorders>
            <w:noWrap w:val="0"/>
            <w:vAlign w:val="center"/>
          </w:tcPr>
          <w:p w14:paraId="36F474C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6</w:t>
            </w:r>
          </w:p>
        </w:tc>
      </w:tr>
      <w:tr w14:paraId="6EADC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68" w:type="pct"/>
            <w:tcBorders>
              <w:top w:val="single" w:color="auto" w:sz="4" w:space="0"/>
              <w:left w:val="single" w:color="auto" w:sz="4" w:space="0"/>
              <w:bottom w:val="single" w:color="auto" w:sz="4" w:space="0"/>
              <w:right w:val="single" w:color="auto" w:sz="4" w:space="0"/>
            </w:tcBorders>
            <w:noWrap w:val="0"/>
            <w:vAlign w:val="center"/>
          </w:tcPr>
          <w:p w14:paraId="345AEB8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3</w:t>
            </w:r>
          </w:p>
        </w:tc>
        <w:tc>
          <w:tcPr>
            <w:tcW w:w="1401" w:type="pct"/>
            <w:tcBorders>
              <w:top w:val="single" w:color="auto" w:sz="4" w:space="0"/>
              <w:left w:val="single" w:color="auto" w:sz="4" w:space="0"/>
              <w:bottom w:val="single" w:color="auto" w:sz="4" w:space="0"/>
              <w:right w:val="single" w:color="auto" w:sz="4" w:space="0"/>
            </w:tcBorders>
            <w:noWrap w:val="0"/>
            <w:vAlign w:val="center"/>
          </w:tcPr>
          <w:p w14:paraId="197D649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砌体工程</w:t>
            </w:r>
          </w:p>
        </w:tc>
        <w:tc>
          <w:tcPr>
            <w:tcW w:w="1411" w:type="pct"/>
            <w:tcBorders>
              <w:top w:val="single" w:color="auto" w:sz="4" w:space="0"/>
              <w:left w:val="single" w:color="auto" w:sz="4" w:space="0"/>
              <w:bottom w:val="single" w:color="auto" w:sz="4" w:space="0"/>
              <w:right w:val="single" w:color="auto" w:sz="4" w:space="0"/>
            </w:tcBorders>
            <w:noWrap w:val="0"/>
            <w:vAlign w:val="center"/>
          </w:tcPr>
          <w:p w14:paraId="0897D97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直接费</w:t>
            </w:r>
          </w:p>
        </w:tc>
        <w:tc>
          <w:tcPr>
            <w:tcW w:w="1119" w:type="pct"/>
            <w:tcBorders>
              <w:top w:val="single" w:color="auto" w:sz="4" w:space="0"/>
              <w:left w:val="single" w:color="auto" w:sz="4" w:space="0"/>
              <w:bottom w:val="single" w:color="auto" w:sz="4" w:space="0"/>
              <w:right w:val="single" w:color="auto" w:sz="4" w:space="0"/>
            </w:tcBorders>
            <w:noWrap w:val="0"/>
            <w:vAlign w:val="center"/>
          </w:tcPr>
          <w:p w14:paraId="0754F7F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5</w:t>
            </w:r>
          </w:p>
        </w:tc>
      </w:tr>
      <w:tr w14:paraId="0C9A5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68" w:type="pct"/>
            <w:tcBorders>
              <w:top w:val="single" w:color="auto" w:sz="4" w:space="0"/>
              <w:left w:val="single" w:color="auto" w:sz="4" w:space="0"/>
              <w:bottom w:val="single" w:color="auto" w:sz="4" w:space="0"/>
              <w:right w:val="single" w:color="auto" w:sz="4" w:space="0"/>
            </w:tcBorders>
            <w:noWrap w:val="0"/>
            <w:vAlign w:val="center"/>
          </w:tcPr>
          <w:p w14:paraId="4ABEE01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4</w:t>
            </w:r>
          </w:p>
        </w:tc>
        <w:tc>
          <w:tcPr>
            <w:tcW w:w="1401" w:type="pct"/>
            <w:tcBorders>
              <w:top w:val="single" w:color="auto" w:sz="4" w:space="0"/>
              <w:left w:val="single" w:color="auto" w:sz="4" w:space="0"/>
              <w:bottom w:val="single" w:color="auto" w:sz="4" w:space="0"/>
              <w:right w:val="single" w:color="auto" w:sz="4" w:space="0"/>
            </w:tcBorders>
            <w:noWrap w:val="0"/>
            <w:vAlign w:val="center"/>
          </w:tcPr>
          <w:p w14:paraId="7D2036F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混凝土工程</w:t>
            </w:r>
          </w:p>
        </w:tc>
        <w:tc>
          <w:tcPr>
            <w:tcW w:w="1411" w:type="pct"/>
            <w:tcBorders>
              <w:top w:val="single" w:color="auto" w:sz="4" w:space="0"/>
              <w:left w:val="single" w:color="auto" w:sz="4" w:space="0"/>
              <w:bottom w:val="single" w:color="auto" w:sz="4" w:space="0"/>
              <w:right w:val="single" w:color="auto" w:sz="4" w:space="0"/>
            </w:tcBorders>
            <w:noWrap w:val="0"/>
            <w:vAlign w:val="center"/>
          </w:tcPr>
          <w:p w14:paraId="03C8CE7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直接费</w:t>
            </w:r>
          </w:p>
        </w:tc>
        <w:tc>
          <w:tcPr>
            <w:tcW w:w="1119" w:type="pct"/>
            <w:tcBorders>
              <w:top w:val="single" w:color="auto" w:sz="4" w:space="0"/>
              <w:left w:val="single" w:color="auto" w:sz="4" w:space="0"/>
              <w:bottom w:val="single" w:color="auto" w:sz="4" w:space="0"/>
              <w:right w:val="single" w:color="auto" w:sz="4" w:space="0"/>
            </w:tcBorders>
            <w:noWrap w:val="0"/>
            <w:vAlign w:val="center"/>
          </w:tcPr>
          <w:p w14:paraId="312E3D7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6</w:t>
            </w:r>
          </w:p>
        </w:tc>
      </w:tr>
      <w:tr w14:paraId="3266F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68" w:type="pct"/>
            <w:tcBorders>
              <w:top w:val="single" w:color="auto" w:sz="4" w:space="0"/>
              <w:left w:val="single" w:color="auto" w:sz="4" w:space="0"/>
              <w:bottom w:val="single" w:color="auto" w:sz="4" w:space="0"/>
              <w:right w:val="single" w:color="auto" w:sz="4" w:space="0"/>
            </w:tcBorders>
            <w:noWrap w:val="0"/>
            <w:vAlign w:val="center"/>
          </w:tcPr>
          <w:p w14:paraId="3B4C8CC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5</w:t>
            </w:r>
          </w:p>
        </w:tc>
        <w:tc>
          <w:tcPr>
            <w:tcW w:w="1401" w:type="pct"/>
            <w:tcBorders>
              <w:top w:val="single" w:color="auto" w:sz="4" w:space="0"/>
              <w:left w:val="single" w:color="auto" w:sz="4" w:space="0"/>
              <w:bottom w:val="single" w:color="auto" w:sz="4" w:space="0"/>
              <w:right w:val="single" w:color="auto" w:sz="4" w:space="0"/>
            </w:tcBorders>
            <w:noWrap w:val="0"/>
            <w:vAlign w:val="center"/>
          </w:tcPr>
          <w:p w14:paraId="4CC3AB4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植被工程</w:t>
            </w:r>
          </w:p>
        </w:tc>
        <w:tc>
          <w:tcPr>
            <w:tcW w:w="1411" w:type="pct"/>
            <w:tcBorders>
              <w:top w:val="single" w:color="auto" w:sz="4" w:space="0"/>
              <w:left w:val="single" w:color="auto" w:sz="4" w:space="0"/>
              <w:bottom w:val="single" w:color="auto" w:sz="4" w:space="0"/>
              <w:right w:val="single" w:color="auto" w:sz="4" w:space="0"/>
            </w:tcBorders>
            <w:noWrap w:val="0"/>
            <w:vAlign w:val="center"/>
          </w:tcPr>
          <w:p w14:paraId="7EE999B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直接费</w:t>
            </w:r>
          </w:p>
        </w:tc>
        <w:tc>
          <w:tcPr>
            <w:tcW w:w="1119" w:type="pct"/>
            <w:tcBorders>
              <w:top w:val="single" w:color="auto" w:sz="4" w:space="0"/>
              <w:left w:val="single" w:color="auto" w:sz="4" w:space="0"/>
              <w:bottom w:val="single" w:color="auto" w:sz="4" w:space="0"/>
              <w:right w:val="single" w:color="auto" w:sz="4" w:space="0"/>
            </w:tcBorders>
            <w:noWrap w:val="0"/>
            <w:vAlign w:val="center"/>
          </w:tcPr>
          <w:p w14:paraId="42D53B2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5</w:t>
            </w:r>
          </w:p>
        </w:tc>
      </w:tr>
      <w:tr w14:paraId="36770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68" w:type="pct"/>
            <w:tcBorders>
              <w:top w:val="single" w:color="auto" w:sz="4" w:space="0"/>
              <w:left w:val="single" w:color="auto" w:sz="4" w:space="0"/>
              <w:bottom w:val="single" w:color="auto" w:sz="4" w:space="0"/>
              <w:right w:val="single" w:color="auto" w:sz="4" w:space="0"/>
            </w:tcBorders>
            <w:noWrap w:val="0"/>
            <w:vAlign w:val="center"/>
          </w:tcPr>
          <w:p w14:paraId="5657055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6</w:t>
            </w:r>
          </w:p>
        </w:tc>
        <w:tc>
          <w:tcPr>
            <w:tcW w:w="1401" w:type="pct"/>
            <w:tcBorders>
              <w:top w:val="single" w:color="auto" w:sz="4" w:space="0"/>
              <w:left w:val="single" w:color="auto" w:sz="4" w:space="0"/>
              <w:bottom w:val="single" w:color="auto" w:sz="4" w:space="0"/>
              <w:right w:val="single" w:color="auto" w:sz="4" w:space="0"/>
            </w:tcBorders>
            <w:noWrap w:val="0"/>
            <w:vAlign w:val="center"/>
          </w:tcPr>
          <w:p w14:paraId="505CFFE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辅助工程</w:t>
            </w:r>
          </w:p>
        </w:tc>
        <w:tc>
          <w:tcPr>
            <w:tcW w:w="1411" w:type="pct"/>
            <w:tcBorders>
              <w:top w:val="single" w:color="auto" w:sz="4" w:space="0"/>
              <w:left w:val="single" w:color="auto" w:sz="4" w:space="0"/>
              <w:bottom w:val="single" w:color="auto" w:sz="4" w:space="0"/>
              <w:right w:val="single" w:color="auto" w:sz="4" w:space="0"/>
            </w:tcBorders>
            <w:noWrap w:val="0"/>
            <w:vAlign w:val="center"/>
          </w:tcPr>
          <w:p w14:paraId="7B8C270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直接费</w:t>
            </w:r>
          </w:p>
        </w:tc>
        <w:tc>
          <w:tcPr>
            <w:tcW w:w="1119" w:type="pct"/>
            <w:tcBorders>
              <w:top w:val="single" w:color="auto" w:sz="4" w:space="0"/>
              <w:left w:val="single" w:color="auto" w:sz="4" w:space="0"/>
              <w:bottom w:val="single" w:color="auto" w:sz="4" w:space="0"/>
              <w:right w:val="single" w:color="auto" w:sz="4" w:space="0"/>
            </w:tcBorders>
            <w:noWrap w:val="0"/>
            <w:vAlign w:val="center"/>
          </w:tcPr>
          <w:p w14:paraId="29DBFDE8">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lang w:val="zh-CN"/>
                <w14:textFill>
                  <w14:solidFill>
                    <w14:schemeClr w14:val="tx1"/>
                  </w14:solidFill>
                </w14:textFill>
              </w:rPr>
            </w:pPr>
            <w:r>
              <w:rPr>
                <w:rFonts w:hint="default" w:ascii="Times New Roman" w:hAnsi="Times New Roman" w:eastAsia="宋体" w:cs="Times New Roman"/>
                <w:color w:val="000000" w:themeColor="text1"/>
                <w:sz w:val="21"/>
                <w:szCs w:val="21"/>
                <w:lang w:val="zh-CN"/>
                <w14:textFill>
                  <w14:solidFill>
                    <w14:schemeClr w14:val="tx1"/>
                  </w14:solidFill>
                </w14:textFill>
              </w:rPr>
              <w:t>5</w:t>
            </w:r>
          </w:p>
        </w:tc>
      </w:tr>
    </w:tbl>
    <w:p w14:paraId="2746D33B">
      <w:pPr>
        <w:rPr>
          <w:rFonts w:hint="eastAsia" w:cs="Times New Roman"/>
          <w:color w:val="000000" w:themeColor="text1"/>
          <w:sz w:val="28"/>
          <w:szCs w:val="21"/>
          <w:lang w:val="en-US" w:eastAsia="zh-CN"/>
          <w14:textFill>
            <w14:solidFill>
              <w14:schemeClr w14:val="tx1"/>
            </w14:solidFill>
          </w14:textFill>
        </w:rPr>
      </w:pPr>
      <w:r>
        <w:rPr>
          <w:rFonts w:hint="eastAsia" w:cs="Times New Roman"/>
          <w:color w:val="000000" w:themeColor="text1"/>
          <w:sz w:val="28"/>
          <w:szCs w:val="21"/>
          <w:lang w:val="en-US" w:eastAsia="zh-CN"/>
          <w14:textFill>
            <w14:solidFill>
              <w14:schemeClr w14:val="tx1"/>
            </w14:solidFill>
          </w14:textFill>
        </w:rPr>
        <w:br w:type="page"/>
      </w:r>
    </w:p>
    <w:p w14:paraId="109F306F">
      <w:pPr>
        <w:keepNext w:val="0"/>
        <w:keepLines w:val="0"/>
        <w:pageBreakBefore w:val="0"/>
        <w:widowControl/>
        <w:kinsoku/>
        <w:wordWrap/>
        <w:overflowPunct/>
        <w:topLinePunct w:val="0"/>
        <w:autoSpaceDE/>
        <w:autoSpaceDN/>
        <w:bidi w:val="0"/>
        <w:adjustRightInd/>
        <w:snapToGrid/>
        <w:spacing w:before="157" w:beforeLines="50" w:after="0" w:line="360" w:lineRule="auto"/>
        <w:ind w:firstLine="560" w:firstLineChars="200"/>
        <w:jc w:val="left"/>
        <w:textAlignment w:val="auto"/>
        <w:rPr>
          <w:rFonts w:hint="default" w:ascii="Times New Roman" w:hAnsi="Times New Roman" w:eastAsia="宋体" w:cs="Times New Roman"/>
          <w:color w:val="000000" w:themeColor="text1"/>
          <w:sz w:val="28"/>
          <w:szCs w:val="21"/>
          <w14:textFill>
            <w14:solidFill>
              <w14:schemeClr w14:val="tx1"/>
            </w14:solidFill>
          </w14:textFill>
        </w:rPr>
      </w:pPr>
      <w:r>
        <w:rPr>
          <w:rFonts w:hint="eastAsia" w:cs="Times New Roman"/>
          <w:color w:val="000000" w:themeColor="text1"/>
          <w:sz w:val="28"/>
          <w:szCs w:val="21"/>
          <w:lang w:val="en-US" w:eastAsia="zh-CN"/>
          <w14:textFill>
            <w14:solidFill>
              <w14:schemeClr w14:val="tx1"/>
            </w14:solidFill>
          </w14:textFill>
        </w:rPr>
        <w:t>3、</w:t>
      </w:r>
      <w:r>
        <w:rPr>
          <w:rFonts w:hint="default" w:ascii="Times New Roman" w:hAnsi="Times New Roman" w:eastAsia="宋体" w:cs="Times New Roman"/>
          <w:color w:val="000000" w:themeColor="text1"/>
          <w:sz w:val="28"/>
          <w:szCs w:val="21"/>
          <w14:textFill>
            <w14:solidFill>
              <w14:schemeClr w14:val="tx1"/>
            </w14:solidFill>
          </w14:textFill>
        </w:rPr>
        <w:t>利润</w:t>
      </w:r>
    </w:p>
    <w:p w14:paraId="633778A3">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color w:val="000000" w:themeColor="text1"/>
          <w:sz w:val="28"/>
          <w:szCs w:val="21"/>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依据《内蒙古自治区矿山地质环境治理工程预算定额标准》规定，利润按直接费与间接费之和的3%计取。</w:t>
      </w:r>
    </w:p>
    <w:p w14:paraId="34D8FC5C">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color w:val="000000" w:themeColor="text1"/>
          <w:sz w:val="28"/>
          <w:szCs w:val="21"/>
          <w14:textFill>
            <w14:solidFill>
              <w14:schemeClr w14:val="tx1"/>
            </w14:solidFill>
          </w14:textFill>
        </w:rPr>
      </w:pPr>
      <w:r>
        <w:rPr>
          <w:rFonts w:hint="eastAsia" w:cs="Times New Roman"/>
          <w:color w:val="000000" w:themeColor="text1"/>
          <w:sz w:val="28"/>
          <w:szCs w:val="21"/>
          <w:lang w:val="en-US" w:eastAsia="zh-CN"/>
          <w14:textFill>
            <w14:solidFill>
              <w14:schemeClr w14:val="tx1"/>
            </w14:solidFill>
          </w14:textFill>
        </w:rPr>
        <w:t>4、</w:t>
      </w:r>
      <w:r>
        <w:rPr>
          <w:rFonts w:hint="default" w:ascii="Times New Roman" w:hAnsi="Times New Roman" w:eastAsia="宋体" w:cs="Times New Roman"/>
          <w:color w:val="000000" w:themeColor="text1"/>
          <w:sz w:val="28"/>
          <w:szCs w:val="21"/>
          <w14:textFill>
            <w14:solidFill>
              <w14:schemeClr w14:val="tx1"/>
            </w14:solidFill>
          </w14:textFill>
        </w:rPr>
        <w:t>税金</w:t>
      </w:r>
    </w:p>
    <w:p w14:paraId="4351CADE">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color w:val="000000" w:themeColor="text1"/>
          <w:sz w:val="28"/>
          <w:szCs w:val="21"/>
          <w14:textFill>
            <w14:solidFill>
              <w14:schemeClr w14:val="tx1"/>
            </w14:solidFill>
          </w14:textFill>
        </w:rPr>
      </w:pPr>
      <w:r>
        <w:rPr>
          <w:rFonts w:hint="default" w:ascii="Times New Roman" w:hAnsi="Times New Roman" w:eastAsia="宋体" w:cs="Times New Roman"/>
          <w:color w:val="000000" w:themeColor="text1"/>
          <w:sz w:val="28"/>
          <w:szCs w:val="21"/>
          <w14:textFill>
            <w14:solidFill>
              <w14:schemeClr w14:val="tx1"/>
            </w14:solidFill>
          </w14:textFill>
        </w:rPr>
        <w:t>依据《关于深化增值税改革有关政策的公告》</w:t>
      </w:r>
      <w:r>
        <w:rPr>
          <w:rFonts w:hint="eastAsia" w:ascii="Times New Roman" w:hAnsi="Times New Roman" w:eastAsia="宋体" w:cs="Times New Roman"/>
          <w:color w:val="000000" w:themeColor="text1"/>
          <w:sz w:val="28"/>
          <w:szCs w:val="21"/>
          <w:lang w:eastAsia="zh-CN"/>
          <w14:textFill>
            <w14:solidFill>
              <w14:schemeClr w14:val="tx1"/>
            </w14:solidFill>
          </w14:textFill>
        </w:rPr>
        <w:t>（</w:t>
      </w:r>
      <w:r>
        <w:rPr>
          <w:rFonts w:hint="default" w:ascii="Times New Roman" w:hAnsi="Times New Roman" w:eastAsia="宋体" w:cs="Times New Roman"/>
          <w:color w:val="000000" w:themeColor="text1"/>
          <w:sz w:val="28"/>
          <w:szCs w:val="21"/>
          <w14:textFill>
            <w14:solidFill>
              <w14:schemeClr w14:val="tx1"/>
            </w14:solidFill>
          </w14:textFill>
        </w:rPr>
        <w:t>财税〔2019〕39号</w:t>
      </w:r>
      <w:r>
        <w:rPr>
          <w:rFonts w:hint="eastAsia" w:ascii="Times New Roman" w:hAnsi="Times New Roman" w:eastAsia="宋体" w:cs="Times New Roman"/>
          <w:color w:val="000000" w:themeColor="text1"/>
          <w:sz w:val="28"/>
          <w:szCs w:val="21"/>
          <w:lang w:eastAsia="zh-CN"/>
          <w14:textFill>
            <w14:solidFill>
              <w14:schemeClr w14:val="tx1"/>
            </w14:solidFill>
          </w14:textFill>
        </w:rPr>
        <w:t>）</w:t>
      </w:r>
      <w:r>
        <w:rPr>
          <w:rFonts w:hint="default" w:ascii="Times New Roman" w:hAnsi="Times New Roman" w:eastAsia="宋体" w:cs="Times New Roman"/>
          <w:color w:val="000000" w:themeColor="text1"/>
          <w:sz w:val="28"/>
          <w:szCs w:val="21"/>
          <w14:textFill>
            <w14:solidFill>
              <w14:schemeClr w14:val="tx1"/>
            </w14:solidFill>
          </w14:textFill>
        </w:rPr>
        <w:t>等文件，税金按直接费、间接费、利润之和的9%计取。</w:t>
      </w:r>
    </w:p>
    <w:p w14:paraId="06FD614D">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color w:val="000000" w:themeColor="text1"/>
          <w:sz w:val="28"/>
          <w:szCs w:val="21"/>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（二）其它费用取费标准及计算方法</w:t>
      </w:r>
    </w:p>
    <w:p w14:paraId="1A703BE5">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color w:val="000000" w:themeColor="text1"/>
          <w:sz w:val="28"/>
          <w:szCs w:val="21"/>
          <w14:textFill>
            <w14:solidFill>
              <w14:schemeClr w14:val="tx1"/>
            </w14:solidFill>
          </w14:textFill>
        </w:rPr>
      </w:pPr>
      <w:r>
        <w:rPr>
          <w:rFonts w:hint="default" w:ascii="Times New Roman" w:hAnsi="Times New Roman" w:eastAsia="宋体" w:cs="Times New Roman"/>
          <w:color w:val="000000" w:themeColor="text1"/>
          <w:sz w:val="28"/>
          <w:szCs w:val="21"/>
          <w14:textFill>
            <w14:solidFill>
              <w14:schemeClr w14:val="tx1"/>
            </w14:solidFill>
          </w14:textFill>
        </w:rPr>
        <w:t>其他费用包括前期工作费、工程监理费、竣工验收费、业主管理费。</w:t>
      </w:r>
    </w:p>
    <w:p w14:paraId="7C369082">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color w:val="000000" w:themeColor="text1"/>
          <w:sz w:val="28"/>
          <w:szCs w:val="21"/>
          <w14:textFill>
            <w14:solidFill>
              <w14:schemeClr w14:val="tx1"/>
            </w14:solidFill>
          </w14:textFill>
        </w:rPr>
      </w:pPr>
      <w:r>
        <w:rPr>
          <w:rFonts w:hint="eastAsia" w:cs="Times New Roman"/>
          <w:color w:val="000000" w:themeColor="text1"/>
          <w:sz w:val="28"/>
          <w:szCs w:val="21"/>
          <w:lang w:val="en-US" w:eastAsia="zh-CN"/>
          <w14:textFill>
            <w14:solidFill>
              <w14:schemeClr w14:val="tx1"/>
            </w14:solidFill>
          </w14:textFill>
        </w:rPr>
        <w:t>1、</w:t>
      </w:r>
      <w:r>
        <w:rPr>
          <w:rFonts w:hint="default" w:ascii="Times New Roman" w:hAnsi="Times New Roman" w:eastAsia="宋体" w:cs="Times New Roman"/>
          <w:color w:val="000000" w:themeColor="text1"/>
          <w:sz w:val="28"/>
          <w:szCs w:val="21"/>
          <w14:textFill>
            <w14:solidFill>
              <w14:schemeClr w14:val="tx1"/>
            </w14:solidFill>
          </w14:textFill>
        </w:rPr>
        <w:t>前期工作费</w:t>
      </w:r>
    </w:p>
    <w:p w14:paraId="1599FEDB">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color w:val="000000" w:themeColor="text1"/>
          <w:sz w:val="28"/>
          <w:szCs w:val="21"/>
          <w14:textFill>
            <w14:solidFill>
              <w14:schemeClr w14:val="tx1"/>
            </w14:solidFill>
          </w14:textFill>
        </w:rPr>
      </w:pPr>
      <w:r>
        <w:rPr>
          <w:rFonts w:hint="default" w:ascii="Times New Roman" w:hAnsi="Times New Roman" w:eastAsia="宋体" w:cs="Times New Roman"/>
          <w:color w:val="000000" w:themeColor="text1"/>
          <w:sz w:val="28"/>
          <w:szCs w:val="21"/>
          <w14:textFill>
            <w14:solidFill>
              <w14:schemeClr w14:val="tx1"/>
            </w14:solidFill>
          </w14:textFill>
        </w:rPr>
        <w:t>包括土地清查费、项目可行性研究费、项目勘测费、项目设计与预算编制费和项目招标代理费。土地复垦前期工作费，以工程程施工费与设备费之和作为计费基数，采用分档定额计费方式计算，各区间按内指法确定。</w:t>
      </w:r>
    </w:p>
    <w:p w14:paraId="5147D75C">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color w:val="000000" w:themeColor="text1"/>
          <w:sz w:val="28"/>
          <w:szCs w:val="21"/>
          <w14:textFill>
            <w14:solidFill>
              <w14:schemeClr w14:val="tx1"/>
            </w14:solidFill>
          </w14:textFill>
        </w:rPr>
      </w:pPr>
      <w:r>
        <w:rPr>
          <w:rFonts w:hint="default" w:ascii="Times New Roman" w:hAnsi="Times New Roman" w:eastAsia="宋体" w:cs="Times New Roman"/>
          <w:color w:val="000000" w:themeColor="text1"/>
          <w:sz w:val="28"/>
          <w:szCs w:val="21"/>
          <w14:textFill>
            <w14:solidFill>
              <w14:schemeClr w14:val="tx1"/>
            </w14:solidFill>
          </w14:textFill>
        </w:rPr>
        <w:t>土地清查费按不超过工程施工费的0.5％计算。计算公式为：土地清查费＝工程施工费×费率，见表</w:t>
      </w:r>
      <w:r>
        <w:rPr>
          <w:rFonts w:hint="eastAsia" w:ascii="Times New Roman" w:hAnsi="Times New Roman" w:eastAsia="宋体" w:cs="Times New Roman"/>
          <w:color w:val="000000" w:themeColor="text1"/>
          <w:sz w:val="28"/>
          <w:szCs w:val="21"/>
          <w:lang w:val="en-US" w:eastAsia="zh-CN"/>
          <w14:textFill>
            <w14:solidFill>
              <w14:schemeClr w14:val="tx1"/>
            </w14:solidFill>
          </w14:textFill>
        </w:rPr>
        <w:t>6</w:t>
      </w:r>
      <w:r>
        <w:rPr>
          <w:rFonts w:hint="default" w:ascii="Times New Roman" w:hAnsi="Times New Roman" w:eastAsia="宋体" w:cs="Times New Roman"/>
          <w:color w:val="000000" w:themeColor="text1"/>
          <w:sz w:val="28"/>
          <w:szCs w:val="21"/>
          <w14:textFill>
            <w14:solidFill>
              <w14:schemeClr w14:val="tx1"/>
            </w14:solidFill>
          </w14:textFill>
        </w:rPr>
        <w:t>-</w:t>
      </w:r>
      <w:r>
        <w:rPr>
          <w:rFonts w:hint="eastAsia" w:cs="Times New Roman"/>
          <w:color w:val="000000" w:themeColor="text1"/>
          <w:sz w:val="28"/>
          <w:szCs w:val="21"/>
          <w:lang w:val="en-US" w:eastAsia="zh-CN"/>
          <w14:textFill>
            <w14:solidFill>
              <w14:schemeClr w14:val="tx1"/>
            </w14:solidFill>
          </w14:textFill>
        </w:rPr>
        <w:t>4</w:t>
      </w:r>
      <w:r>
        <w:rPr>
          <w:rFonts w:hint="default" w:ascii="Times New Roman" w:hAnsi="Times New Roman" w:eastAsia="宋体" w:cs="Times New Roman"/>
          <w:color w:val="000000" w:themeColor="text1"/>
          <w:sz w:val="28"/>
          <w:szCs w:val="21"/>
          <w14:textFill>
            <w14:solidFill>
              <w14:schemeClr w14:val="tx1"/>
            </w14:solidFill>
          </w14:textFill>
        </w:rPr>
        <w:t>。</w:t>
      </w:r>
    </w:p>
    <w:p w14:paraId="6F1D1CFD">
      <w:pPr>
        <w:keepNext w:val="0"/>
        <w:keepLines w:val="0"/>
        <w:pageBreakBefore w:val="0"/>
        <w:widowControl/>
        <w:tabs>
          <w:tab w:val="left" w:pos="7235"/>
        </w:tabs>
        <w:kinsoku/>
        <w:wordWrap/>
        <w:overflowPunct/>
        <w:topLinePunct w:val="0"/>
        <w:autoSpaceDE/>
        <w:autoSpaceDN/>
        <w:bidi w:val="0"/>
        <w:adjustRightInd/>
        <w:snapToGrid/>
        <w:spacing w:after="0" w:line="360" w:lineRule="auto"/>
        <w:ind w:right="0" w:rightChars="0"/>
        <w:jc w:val="center"/>
        <w:textAlignment w:val="auto"/>
        <w:rPr>
          <w:rFonts w:hint="default" w:ascii="黑体" w:hAnsi="黑体" w:eastAsia="黑体" w:cs="黑体"/>
          <w:b w:val="0"/>
          <w:bCs/>
          <w:color w:val="000000" w:themeColor="text1"/>
          <w:sz w:val="24"/>
          <w:szCs w:val="24"/>
          <w14:textFill>
            <w14:solidFill>
              <w14:schemeClr w14:val="tx1"/>
            </w14:solidFill>
          </w14:textFill>
        </w:rPr>
      </w:pPr>
      <w:r>
        <w:rPr>
          <w:rFonts w:hint="default" w:ascii="黑体" w:hAnsi="黑体" w:eastAsia="黑体" w:cs="黑体"/>
          <w:b w:val="0"/>
          <w:bCs/>
          <w:color w:val="000000" w:themeColor="text1"/>
          <w:sz w:val="24"/>
          <w:szCs w:val="24"/>
          <w14:textFill>
            <w14:solidFill>
              <w14:schemeClr w14:val="tx1"/>
            </w14:solidFill>
          </w14:textFill>
        </w:rPr>
        <w:t>表</w:t>
      </w:r>
      <w:r>
        <w:rPr>
          <w:rFonts w:hint="eastAsia" w:ascii="黑体" w:hAnsi="黑体" w:eastAsia="黑体" w:cs="黑体"/>
          <w:b w:val="0"/>
          <w:bCs/>
          <w:color w:val="000000" w:themeColor="text1"/>
          <w:sz w:val="24"/>
          <w:szCs w:val="24"/>
          <w:lang w:val="en-US" w:eastAsia="zh-CN"/>
          <w14:textFill>
            <w14:solidFill>
              <w14:schemeClr w14:val="tx1"/>
            </w14:solidFill>
          </w14:textFill>
        </w:rPr>
        <w:t>6</w:t>
      </w:r>
      <w:r>
        <w:rPr>
          <w:rFonts w:hint="default" w:ascii="黑体" w:hAnsi="黑体" w:eastAsia="黑体" w:cs="黑体"/>
          <w:b w:val="0"/>
          <w:bCs/>
          <w:color w:val="000000" w:themeColor="text1"/>
          <w:sz w:val="24"/>
          <w:szCs w:val="24"/>
          <w14:textFill>
            <w14:solidFill>
              <w14:schemeClr w14:val="tx1"/>
            </w14:solidFill>
          </w14:textFill>
        </w:rPr>
        <w:t>-</w:t>
      </w:r>
      <w:r>
        <w:rPr>
          <w:rFonts w:hint="eastAsia" w:ascii="黑体" w:hAnsi="黑体" w:eastAsia="黑体" w:cs="黑体"/>
          <w:b w:val="0"/>
          <w:bCs/>
          <w:color w:val="000000" w:themeColor="text1"/>
          <w:sz w:val="24"/>
          <w:szCs w:val="24"/>
          <w:lang w:val="en-US" w:eastAsia="zh-CN"/>
          <w14:textFill>
            <w14:solidFill>
              <w14:schemeClr w14:val="tx1"/>
            </w14:solidFill>
          </w14:textFill>
        </w:rPr>
        <w:t>4</w:t>
      </w:r>
      <w:r>
        <w:rPr>
          <w:rFonts w:hint="default" w:ascii="黑体" w:hAnsi="黑体" w:eastAsia="黑体" w:cs="黑体"/>
          <w:b w:val="0"/>
          <w:bCs/>
          <w:color w:val="000000" w:themeColor="text1"/>
          <w:sz w:val="24"/>
          <w:szCs w:val="24"/>
          <w14:textFill>
            <w14:solidFill>
              <w14:schemeClr w14:val="tx1"/>
            </w14:solidFill>
          </w14:textFill>
        </w:rPr>
        <w:t xml:space="preserve">  前期工作费</w:t>
      </w:r>
    </w:p>
    <w:tbl>
      <w:tblPr>
        <w:tblStyle w:val="30"/>
        <w:tblW w:w="4998" w:type="pct"/>
        <w:jc w:val="center"/>
        <w:tblLayout w:type="autofit"/>
        <w:tblCellMar>
          <w:top w:w="0" w:type="dxa"/>
          <w:left w:w="108" w:type="dxa"/>
          <w:bottom w:w="0" w:type="dxa"/>
          <w:right w:w="108" w:type="dxa"/>
        </w:tblCellMar>
      </w:tblPr>
      <w:tblGrid>
        <w:gridCol w:w="808"/>
        <w:gridCol w:w="1369"/>
        <w:gridCol w:w="2026"/>
        <w:gridCol w:w="4322"/>
      </w:tblGrid>
      <w:tr w14:paraId="041E4ED4">
        <w:tblPrEx>
          <w:tblCellMar>
            <w:top w:w="0" w:type="dxa"/>
            <w:left w:w="108" w:type="dxa"/>
            <w:bottom w:w="0" w:type="dxa"/>
            <w:right w:w="108" w:type="dxa"/>
          </w:tblCellMar>
        </w:tblPrEx>
        <w:trPr>
          <w:trHeight w:val="283" w:hRule="atLeast"/>
          <w:jc w:val="center"/>
        </w:trPr>
        <w:tc>
          <w:tcPr>
            <w:tcW w:w="474" w:type="pct"/>
            <w:tcBorders>
              <w:top w:val="single" w:color="auto" w:sz="4" w:space="0"/>
              <w:left w:val="single" w:color="auto" w:sz="4" w:space="0"/>
              <w:bottom w:val="single" w:color="auto" w:sz="4" w:space="0"/>
              <w:right w:val="single" w:color="auto" w:sz="4" w:space="0"/>
            </w:tcBorders>
            <w:noWrap w:val="0"/>
            <w:vAlign w:val="center"/>
          </w:tcPr>
          <w:p w14:paraId="2EF0924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14:textFill>
                  <w14:solidFill>
                    <w14:schemeClr w14:val="tx1"/>
                  </w14:solidFill>
                </w14:textFill>
              </w:rPr>
            </w:pPr>
            <w:bookmarkStart w:id="75" w:name="OLE_LINK7" w:colFirst="0" w:colLast="4"/>
            <w:r>
              <w:rPr>
                <w:rFonts w:hint="default" w:ascii="Times New Roman" w:hAnsi="Times New Roman" w:eastAsia="宋体" w:cs="Times New Roman"/>
                <w:color w:val="000000" w:themeColor="text1"/>
                <w:sz w:val="21"/>
                <w:szCs w:val="21"/>
                <w14:textFill>
                  <w14:solidFill>
                    <w14:schemeClr w14:val="tx1"/>
                  </w14:solidFill>
                </w14:textFill>
              </w:rPr>
              <w:t>序号</w:t>
            </w:r>
          </w:p>
        </w:tc>
        <w:tc>
          <w:tcPr>
            <w:tcW w:w="803" w:type="pct"/>
            <w:tcBorders>
              <w:top w:val="single" w:color="auto" w:sz="4" w:space="0"/>
              <w:left w:val="single" w:color="auto" w:sz="4" w:space="0"/>
              <w:bottom w:val="single" w:color="auto" w:sz="4" w:space="0"/>
              <w:right w:val="single" w:color="auto" w:sz="4" w:space="0"/>
            </w:tcBorders>
            <w:noWrap w:val="0"/>
            <w:vAlign w:val="center"/>
          </w:tcPr>
          <w:p w14:paraId="56F834C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费用名称</w:t>
            </w:r>
          </w:p>
        </w:tc>
        <w:tc>
          <w:tcPr>
            <w:tcW w:w="1188" w:type="pct"/>
            <w:tcBorders>
              <w:top w:val="single" w:color="auto" w:sz="4" w:space="0"/>
              <w:left w:val="single" w:color="auto" w:sz="4" w:space="0"/>
              <w:bottom w:val="single" w:color="auto" w:sz="4" w:space="0"/>
              <w:right w:val="single" w:color="auto" w:sz="4" w:space="0"/>
            </w:tcBorders>
            <w:noWrap w:val="0"/>
            <w:vAlign w:val="center"/>
          </w:tcPr>
          <w:p w14:paraId="500809A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包括费用</w:t>
            </w:r>
          </w:p>
        </w:tc>
        <w:tc>
          <w:tcPr>
            <w:tcW w:w="2534" w:type="pct"/>
            <w:tcBorders>
              <w:top w:val="single" w:color="auto" w:sz="4" w:space="0"/>
              <w:left w:val="single" w:color="auto" w:sz="4" w:space="0"/>
              <w:bottom w:val="single" w:color="auto" w:sz="4" w:space="0"/>
              <w:right w:val="single" w:color="auto" w:sz="4" w:space="0"/>
            </w:tcBorders>
            <w:noWrap w:val="0"/>
            <w:vAlign w:val="center"/>
          </w:tcPr>
          <w:p w14:paraId="3D6A0EB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计费基数（万元）</w:t>
            </w:r>
          </w:p>
        </w:tc>
      </w:tr>
      <w:tr w14:paraId="6E7C744B">
        <w:tblPrEx>
          <w:tblCellMar>
            <w:top w:w="0" w:type="dxa"/>
            <w:left w:w="108" w:type="dxa"/>
            <w:bottom w:w="0" w:type="dxa"/>
            <w:right w:w="108" w:type="dxa"/>
          </w:tblCellMar>
        </w:tblPrEx>
        <w:trPr>
          <w:trHeight w:val="283" w:hRule="atLeast"/>
          <w:jc w:val="center"/>
        </w:trPr>
        <w:tc>
          <w:tcPr>
            <w:tcW w:w="474" w:type="pct"/>
            <w:tcBorders>
              <w:top w:val="nil"/>
              <w:left w:val="single" w:color="auto" w:sz="4" w:space="0"/>
              <w:bottom w:val="single" w:color="auto" w:sz="4" w:space="0"/>
              <w:right w:val="single" w:color="auto" w:sz="4" w:space="0"/>
            </w:tcBorders>
            <w:noWrap w:val="0"/>
            <w:vAlign w:val="center"/>
          </w:tcPr>
          <w:p w14:paraId="0EDED7A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p>
        </w:tc>
        <w:tc>
          <w:tcPr>
            <w:tcW w:w="803" w:type="pct"/>
            <w:vMerge w:val="restart"/>
            <w:tcBorders>
              <w:top w:val="nil"/>
              <w:left w:val="single" w:color="auto" w:sz="4" w:space="0"/>
              <w:bottom w:val="single" w:color="000000" w:sz="4" w:space="0"/>
              <w:right w:val="single" w:color="auto" w:sz="4" w:space="0"/>
            </w:tcBorders>
            <w:noWrap w:val="0"/>
            <w:vAlign w:val="center"/>
          </w:tcPr>
          <w:p w14:paraId="6A80006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前期工作费</w:t>
            </w:r>
          </w:p>
        </w:tc>
        <w:tc>
          <w:tcPr>
            <w:tcW w:w="1188" w:type="pct"/>
            <w:tcBorders>
              <w:top w:val="nil"/>
              <w:left w:val="nil"/>
              <w:bottom w:val="single" w:color="auto" w:sz="4" w:space="0"/>
              <w:right w:val="single" w:color="auto" w:sz="4" w:space="0"/>
            </w:tcBorders>
            <w:noWrap w:val="0"/>
            <w:vAlign w:val="center"/>
          </w:tcPr>
          <w:p w14:paraId="5DC6AF5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项目可研论证费</w:t>
            </w:r>
          </w:p>
        </w:tc>
        <w:tc>
          <w:tcPr>
            <w:tcW w:w="2534" w:type="pct"/>
            <w:tcBorders>
              <w:top w:val="nil"/>
              <w:left w:val="nil"/>
              <w:bottom w:val="single" w:color="auto" w:sz="4" w:space="0"/>
              <w:right w:val="single" w:color="auto" w:sz="4" w:space="0"/>
            </w:tcBorders>
            <w:noWrap w:val="0"/>
            <w:vAlign w:val="center"/>
          </w:tcPr>
          <w:p w14:paraId="2AEA9D4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工程施工费(工程费≤180万，直接为2.0万元)</w:t>
            </w:r>
          </w:p>
        </w:tc>
      </w:tr>
      <w:tr w14:paraId="00330598">
        <w:tblPrEx>
          <w:tblCellMar>
            <w:top w:w="0" w:type="dxa"/>
            <w:left w:w="108" w:type="dxa"/>
            <w:bottom w:w="0" w:type="dxa"/>
            <w:right w:w="108" w:type="dxa"/>
          </w:tblCellMar>
        </w:tblPrEx>
        <w:trPr>
          <w:trHeight w:val="283" w:hRule="atLeast"/>
          <w:jc w:val="center"/>
        </w:trPr>
        <w:tc>
          <w:tcPr>
            <w:tcW w:w="474" w:type="pct"/>
            <w:tcBorders>
              <w:top w:val="nil"/>
              <w:left w:val="single" w:color="auto" w:sz="4" w:space="0"/>
              <w:bottom w:val="single" w:color="auto" w:sz="4" w:space="0"/>
              <w:right w:val="single" w:color="auto" w:sz="4" w:space="0"/>
            </w:tcBorders>
            <w:noWrap w:val="0"/>
            <w:vAlign w:val="center"/>
          </w:tcPr>
          <w:p w14:paraId="78E2778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w:t>
            </w:r>
          </w:p>
        </w:tc>
        <w:tc>
          <w:tcPr>
            <w:tcW w:w="803" w:type="pct"/>
            <w:vMerge w:val="continue"/>
            <w:tcBorders>
              <w:top w:val="nil"/>
              <w:left w:val="single" w:color="auto" w:sz="4" w:space="0"/>
              <w:bottom w:val="single" w:color="000000" w:sz="4" w:space="0"/>
              <w:right w:val="single" w:color="auto" w:sz="4" w:space="0"/>
            </w:tcBorders>
            <w:noWrap w:val="0"/>
            <w:vAlign w:val="center"/>
          </w:tcPr>
          <w:p w14:paraId="033C3A4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1188" w:type="pct"/>
            <w:tcBorders>
              <w:top w:val="nil"/>
              <w:left w:val="nil"/>
              <w:bottom w:val="single" w:color="auto" w:sz="4" w:space="0"/>
              <w:right w:val="single" w:color="auto" w:sz="4" w:space="0"/>
            </w:tcBorders>
            <w:noWrap w:val="0"/>
            <w:vAlign w:val="center"/>
          </w:tcPr>
          <w:p w14:paraId="59CB131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项目勘测与设计费</w:t>
            </w:r>
          </w:p>
        </w:tc>
        <w:tc>
          <w:tcPr>
            <w:tcW w:w="2534" w:type="pct"/>
            <w:tcBorders>
              <w:top w:val="nil"/>
              <w:left w:val="nil"/>
              <w:bottom w:val="single" w:color="auto" w:sz="4" w:space="0"/>
              <w:right w:val="single" w:color="auto" w:sz="4" w:space="0"/>
            </w:tcBorders>
            <w:noWrap w:val="0"/>
            <w:vAlign w:val="center"/>
          </w:tcPr>
          <w:p w14:paraId="3401AE5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工程施工费(工程费≤180万，直接为7.5万元)</w:t>
            </w:r>
          </w:p>
        </w:tc>
      </w:tr>
      <w:tr w14:paraId="7E395E1F">
        <w:tblPrEx>
          <w:tblCellMar>
            <w:top w:w="0" w:type="dxa"/>
            <w:left w:w="108" w:type="dxa"/>
            <w:bottom w:w="0" w:type="dxa"/>
            <w:right w:w="108" w:type="dxa"/>
          </w:tblCellMar>
        </w:tblPrEx>
        <w:trPr>
          <w:trHeight w:val="283" w:hRule="atLeast"/>
          <w:jc w:val="center"/>
        </w:trPr>
        <w:tc>
          <w:tcPr>
            <w:tcW w:w="474" w:type="pct"/>
            <w:tcBorders>
              <w:top w:val="nil"/>
              <w:left w:val="single" w:color="auto" w:sz="4" w:space="0"/>
              <w:bottom w:val="single" w:color="auto" w:sz="4" w:space="0"/>
              <w:right w:val="single" w:color="auto" w:sz="4" w:space="0"/>
            </w:tcBorders>
            <w:noWrap w:val="0"/>
            <w:vAlign w:val="center"/>
          </w:tcPr>
          <w:p w14:paraId="331B484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w:t>
            </w:r>
          </w:p>
        </w:tc>
        <w:tc>
          <w:tcPr>
            <w:tcW w:w="803" w:type="pct"/>
            <w:vMerge w:val="continue"/>
            <w:tcBorders>
              <w:top w:val="nil"/>
              <w:left w:val="single" w:color="auto" w:sz="4" w:space="0"/>
              <w:bottom w:val="single" w:color="000000" w:sz="4" w:space="0"/>
              <w:right w:val="single" w:color="auto" w:sz="4" w:space="0"/>
            </w:tcBorders>
            <w:noWrap w:val="0"/>
            <w:vAlign w:val="center"/>
          </w:tcPr>
          <w:p w14:paraId="2CBA310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14:textFill>
                  <w14:solidFill>
                    <w14:schemeClr w14:val="tx1"/>
                  </w14:solidFill>
                </w14:textFill>
              </w:rPr>
            </w:pPr>
          </w:p>
        </w:tc>
        <w:tc>
          <w:tcPr>
            <w:tcW w:w="1188" w:type="pct"/>
            <w:tcBorders>
              <w:top w:val="nil"/>
              <w:left w:val="nil"/>
              <w:bottom w:val="single" w:color="auto" w:sz="4" w:space="0"/>
              <w:right w:val="single" w:color="auto" w:sz="4" w:space="0"/>
            </w:tcBorders>
            <w:noWrap w:val="0"/>
            <w:vAlign w:val="center"/>
          </w:tcPr>
          <w:p w14:paraId="788CB84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项目招标代理费</w:t>
            </w:r>
          </w:p>
        </w:tc>
        <w:tc>
          <w:tcPr>
            <w:tcW w:w="2534" w:type="pct"/>
            <w:tcBorders>
              <w:top w:val="nil"/>
              <w:left w:val="nil"/>
              <w:bottom w:val="single" w:color="auto" w:sz="4" w:space="0"/>
              <w:right w:val="single" w:color="auto" w:sz="4" w:space="0"/>
            </w:tcBorders>
            <w:noWrap w:val="0"/>
            <w:vAlign w:val="center"/>
          </w:tcPr>
          <w:p w14:paraId="776F0D9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工程施工费</w:t>
            </w:r>
          </w:p>
        </w:tc>
      </w:tr>
      <w:bookmarkEnd w:id="75"/>
    </w:tbl>
    <w:p w14:paraId="6CC8FCAF">
      <w:pPr>
        <w:keepNext w:val="0"/>
        <w:keepLines w:val="0"/>
        <w:pageBreakBefore w:val="0"/>
        <w:widowControl/>
        <w:kinsoku/>
        <w:wordWrap/>
        <w:overflowPunct/>
        <w:topLinePunct w:val="0"/>
        <w:autoSpaceDE/>
        <w:autoSpaceDN/>
        <w:bidi w:val="0"/>
        <w:adjustRightInd/>
        <w:snapToGrid/>
        <w:spacing w:before="157" w:beforeLines="50" w:after="0" w:line="360" w:lineRule="auto"/>
        <w:ind w:firstLine="560" w:firstLineChars="200"/>
        <w:jc w:val="left"/>
        <w:textAlignment w:val="auto"/>
        <w:rPr>
          <w:rFonts w:hint="default" w:ascii="Times New Roman" w:hAnsi="Times New Roman" w:eastAsia="宋体" w:cs="Times New Roman"/>
          <w:color w:val="000000" w:themeColor="text1"/>
          <w:sz w:val="28"/>
          <w:szCs w:val="21"/>
          <w14:textFill>
            <w14:solidFill>
              <w14:schemeClr w14:val="tx1"/>
            </w14:solidFill>
          </w14:textFill>
        </w:rPr>
      </w:pPr>
      <w:r>
        <w:rPr>
          <w:rFonts w:hint="default" w:ascii="Times New Roman" w:hAnsi="Times New Roman" w:eastAsia="宋体" w:cs="Times New Roman"/>
          <w:color w:val="000000" w:themeColor="text1"/>
          <w:sz w:val="28"/>
          <w:szCs w:val="21"/>
          <w14:textFill>
            <w14:solidFill>
              <w14:schemeClr w14:val="tx1"/>
            </w14:solidFill>
          </w14:textFill>
        </w:rPr>
        <w:t>项目可研论证费以工程施工费作为计费基数，采用分档定额计费方式计算，各区间按内插法确定，见表</w:t>
      </w:r>
      <w:r>
        <w:rPr>
          <w:rFonts w:hint="eastAsia" w:ascii="Times New Roman" w:hAnsi="Times New Roman" w:eastAsia="宋体" w:cs="Times New Roman"/>
          <w:color w:val="000000" w:themeColor="text1"/>
          <w:sz w:val="28"/>
          <w:szCs w:val="21"/>
          <w:lang w:val="en-US" w:eastAsia="zh-CN"/>
          <w14:textFill>
            <w14:solidFill>
              <w14:schemeClr w14:val="tx1"/>
            </w14:solidFill>
          </w14:textFill>
        </w:rPr>
        <w:t>6</w:t>
      </w:r>
      <w:r>
        <w:rPr>
          <w:rFonts w:hint="default" w:ascii="Times New Roman" w:hAnsi="Times New Roman" w:eastAsia="宋体" w:cs="Times New Roman"/>
          <w:color w:val="000000" w:themeColor="text1"/>
          <w:sz w:val="28"/>
          <w:szCs w:val="21"/>
          <w14:textFill>
            <w14:solidFill>
              <w14:schemeClr w14:val="tx1"/>
            </w14:solidFill>
          </w14:textFill>
        </w:rPr>
        <w:t>-</w:t>
      </w:r>
      <w:r>
        <w:rPr>
          <w:rFonts w:hint="eastAsia" w:cs="Times New Roman"/>
          <w:color w:val="000000" w:themeColor="text1"/>
          <w:sz w:val="28"/>
          <w:szCs w:val="21"/>
          <w:lang w:val="en-US" w:eastAsia="zh-CN"/>
          <w14:textFill>
            <w14:solidFill>
              <w14:schemeClr w14:val="tx1"/>
            </w14:solidFill>
          </w14:textFill>
        </w:rPr>
        <w:t>5</w:t>
      </w:r>
      <w:r>
        <w:rPr>
          <w:rFonts w:hint="default" w:ascii="Times New Roman" w:hAnsi="Times New Roman" w:eastAsia="宋体" w:cs="Times New Roman"/>
          <w:color w:val="000000" w:themeColor="text1"/>
          <w:sz w:val="28"/>
          <w:szCs w:val="21"/>
          <w14:textFill>
            <w14:solidFill>
              <w14:schemeClr w14:val="tx1"/>
            </w14:solidFill>
          </w14:textFill>
        </w:rPr>
        <w:t>。</w:t>
      </w:r>
    </w:p>
    <w:p w14:paraId="2B02455D">
      <w:pPr>
        <w:keepNext w:val="0"/>
        <w:keepLines w:val="0"/>
        <w:pageBreakBefore w:val="0"/>
        <w:widowControl/>
        <w:tabs>
          <w:tab w:val="left" w:pos="7235"/>
        </w:tabs>
        <w:kinsoku/>
        <w:wordWrap/>
        <w:overflowPunct/>
        <w:topLinePunct w:val="0"/>
        <w:autoSpaceDE/>
        <w:autoSpaceDN/>
        <w:bidi w:val="0"/>
        <w:adjustRightInd/>
        <w:snapToGrid/>
        <w:spacing w:after="0" w:line="360" w:lineRule="auto"/>
        <w:ind w:right="0" w:rightChars="0"/>
        <w:jc w:val="center"/>
        <w:textAlignment w:val="auto"/>
        <w:rPr>
          <w:rFonts w:hint="default" w:ascii="黑体" w:hAnsi="黑体" w:eastAsia="黑体" w:cs="黑体"/>
          <w:b w:val="0"/>
          <w:bCs/>
          <w:color w:val="000000" w:themeColor="text1"/>
          <w:sz w:val="24"/>
          <w:szCs w:val="24"/>
          <w14:textFill>
            <w14:solidFill>
              <w14:schemeClr w14:val="tx1"/>
            </w14:solidFill>
          </w14:textFill>
        </w:rPr>
      </w:pPr>
      <w:r>
        <w:rPr>
          <w:rFonts w:hint="default" w:ascii="黑体" w:hAnsi="黑体" w:eastAsia="黑体" w:cs="黑体"/>
          <w:b w:val="0"/>
          <w:bCs/>
          <w:color w:val="000000" w:themeColor="text1"/>
          <w:sz w:val="24"/>
          <w:szCs w:val="24"/>
          <w14:textFill>
            <w14:solidFill>
              <w14:schemeClr w14:val="tx1"/>
            </w14:solidFill>
          </w14:textFill>
        </w:rPr>
        <w:t>表</w:t>
      </w:r>
      <w:r>
        <w:rPr>
          <w:rFonts w:hint="eastAsia" w:ascii="黑体" w:hAnsi="黑体" w:eastAsia="黑体" w:cs="黑体"/>
          <w:b w:val="0"/>
          <w:bCs/>
          <w:color w:val="000000" w:themeColor="text1"/>
          <w:sz w:val="24"/>
          <w:szCs w:val="24"/>
          <w:lang w:val="en-US" w:eastAsia="zh-CN"/>
          <w14:textFill>
            <w14:solidFill>
              <w14:schemeClr w14:val="tx1"/>
            </w14:solidFill>
          </w14:textFill>
        </w:rPr>
        <w:t>6</w:t>
      </w:r>
      <w:r>
        <w:rPr>
          <w:rFonts w:hint="default" w:ascii="黑体" w:hAnsi="黑体" w:eastAsia="黑体" w:cs="黑体"/>
          <w:b w:val="0"/>
          <w:bCs/>
          <w:color w:val="000000" w:themeColor="text1"/>
          <w:sz w:val="24"/>
          <w:szCs w:val="24"/>
          <w14:textFill>
            <w14:solidFill>
              <w14:schemeClr w14:val="tx1"/>
            </w14:solidFill>
          </w14:textFill>
        </w:rPr>
        <w:t>-</w:t>
      </w:r>
      <w:r>
        <w:rPr>
          <w:rFonts w:hint="eastAsia" w:ascii="黑体" w:hAnsi="黑体" w:eastAsia="黑体" w:cs="黑体"/>
          <w:b w:val="0"/>
          <w:bCs/>
          <w:color w:val="000000" w:themeColor="text1"/>
          <w:sz w:val="24"/>
          <w:szCs w:val="24"/>
          <w:lang w:val="en-US" w:eastAsia="zh-CN"/>
          <w14:textFill>
            <w14:solidFill>
              <w14:schemeClr w14:val="tx1"/>
            </w14:solidFill>
          </w14:textFill>
        </w:rPr>
        <w:t>5</w:t>
      </w:r>
      <w:r>
        <w:rPr>
          <w:rFonts w:hint="default" w:ascii="黑体" w:hAnsi="黑体" w:eastAsia="黑体" w:cs="黑体"/>
          <w:b w:val="0"/>
          <w:bCs/>
          <w:color w:val="000000" w:themeColor="text1"/>
          <w:sz w:val="24"/>
          <w:szCs w:val="24"/>
          <w14:textFill>
            <w14:solidFill>
              <w14:schemeClr w14:val="tx1"/>
            </w14:solidFill>
          </w14:textFill>
        </w:rPr>
        <w:t xml:space="preserve">  项目可研论证费计费标准</w:t>
      </w:r>
    </w:p>
    <w:tbl>
      <w:tblPr>
        <w:tblStyle w:val="30"/>
        <w:tblW w:w="4951" w:type="pct"/>
        <w:jc w:val="center"/>
        <w:tblLayout w:type="autofit"/>
        <w:tblCellMar>
          <w:top w:w="0" w:type="dxa"/>
          <w:left w:w="108" w:type="dxa"/>
          <w:bottom w:w="0" w:type="dxa"/>
          <w:right w:w="108" w:type="dxa"/>
        </w:tblCellMar>
      </w:tblPr>
      <w:tblGrid>
        <w:gridCol w:w="1398"/>
        <w:gridCol w:w="3826"/>
        <w:gridCol w:w="3220"/>
      </w:tblGrid>
      <w:tr w14:paraId="7D8C6A82">
        <w:tblPrEx>
          <w:tblCellMar>
            <w:top w:w="0" w:type="dxa"/>
            <w:left w:w="108" w:type="dxa"/>
            <w:bottom w:w="0" w:type="dxa"/>
            <w:right w:w="108" w:type="dxa"/>
          </w:tblCellMar>
        </w:tblPrEx>
        <w:trPr>
          <w:trHeight w:val="283" w:hRule="atLeast"/>
          <w:jc w:val="center"/>
        </w:trPr>
        <w:tc>
          <w:tcPr>
            <w:tcW w:w="828" w:type="pct"/>
            <w:tcBorders>
              <w:top w:val="single" w:color="auto" w:sz="4" w:space="0"/>
              <w:left w:val="single" w:color="auto" w:sz="4" w:space="0"/>
              <w:bottom w:val="single" w:color="auto" w:sz="4" w:space="0"/>
              <w:right w:val="single" w:color="auto" w:sz="4" w:space="0"/>
            </w:tcBorders>
            <w:noWrap w:val="0"/>
            <w:vAlign w:val="center"/>
          </w:tcPr>
          <w:p w14:paraId="5527D8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序号</w:t>
            </w:r>
          </w:p>
        </w:tc>
        <w:tc>
          <w:tcPr>
            <w:tcW w:w="2265" w:type="pct"/>
            <w:tcBorders>
              <w:top w:val="single" w:color="auto" w:sz="4" w:space="0"/>
              <w:left w:val="single" w:color="auto" w:sz="4" w:space="0"/>
              <w:bottom w:val="single" w:color="auto" w:sz="4" w:space="0"/>
              <w:right w:val="single" w:color="auto" w:sz="4" w:space="0"/>
            </w:tcBorders>
            <w:noWrap w:val="0"/>
            <w:vAlign w:val="center"/>
          </w:tcPr>
          <w:p w14:paraId="4BE466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计费基数（万元）</w:t>
            </w:r>
          </w:p>
        </w:tc>
        <w:tc>
          <w:tcPr>
            <w:tcW w:w="1906" w:type="pct"/>
            <w:tcBorders>
              <w:top w:val="single" w:color="auto" w:sz="4" w:space="0"/>
              <w:left w:val="single" w:color="auto" w:sz="4" w:space="0"/>
              <w:bottom w:val="single" w:color="auto" w:sz="4" w:space="0"/>
              <w:right w:val="single" w:color="auto" w:sz="4" w:space="0"/>
            </w:tcBorders>
            <w:noWrap w:val="0"/>
            <w:vAlign w:val="center"/>
          </w:tcPr>
          <w:p w14:paraId="794D98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项目可研论证费（万元）</w:t>
            </w:r>
          </w:p>
        </w:tc>
      </w:tr>
      <w:tr w14:paraId="034CB36F">
        <w:tblPrEx>
          <w:tblCellMar>
            <w:top w:w="0" w:type="dxa"/>
            <w:left w:w="108" w:type="dxa"/>
            <w:bottom w:w="0" w:type="dxa"/>
            <w:right w:w="108" w:type="dxa"/>
          </w:tblCellMar>
        </w:tblPrEx>
        <w:trPr>
          <w:trHeight w:val="283" w:hRule="atLeast"/>
          <w:jc w:val="center"/>
        </w:trPr>
        <w:tc>
          <w:tcPr>
            <w:tcW w:w="828" w:type="pct"/>
            <w:tcBorders>
              <w:top w:val="nil"/>
              <w:left w:val="single" w:color="auto" w:sz="4" w:space="0"/>
              <w:bottom w:val="single" w:color="auto" w:sz="4" w:space="0"/>
              <w:right w:val="single" w:color="auto" w:sz="4" w:space="0"/>
            </w:tcBorders>
            <w:noWrap w:val="0"/>
            <w:vAlign w:val="center"/>
          </w:tcPr>
          <w:p w14:paraId="44F566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p>
        </w:tc>
        <w:tc>
          <w:tcPr>
            <w:tcW w:w="2265" w:type="pct"/>
            <w:tcBorders>
              <w:top w:val="nil"/>
              <w:left w:val="nil"/>
              <w:bottom w:val="single" w:color="auto" w:sz="4" w:space="0"/>
              <w:right w:val="single" w:color="auto" w:sz="4" w:space="0"/>
            </w:tcBorders>
            <w:noWrap w:val="0"/>
            <w:vAlign w:val="center"/>
          </w:tcPr>
          <w:p w14:paraId="0BB57F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≤180</w:t>
            </w:r>
          </w:p>
        </w:tc>
        <w:tc>
          <w:tcPr>
            <w:tcW w:w="1906" w:type="pct"/>
            <w:tcBorders>
              <w:top w:val="nil"/>
              <w:left w:val="nil"/>
              <w:bottom w:val="single" w:color="auto" w:sz="4" w:space="0"/>
              <w:right w:val="single" w:color="auto" w:sz="4" w:space="0"/>
            </w:tcBorders>
            <w:noWrap w:val="0"/>
            <w:vAlign w:val="center"/>
          </w:tcPr>
          <w:p w14:paraId="5F8CAC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w:t>
            </w:r>
          </w:p>
        </w:tc>
      </w:tr>
      <w:tr w14:paraId="07BFABF2">
        <w:tblPrEx>
          <w:tblCellMar>
            <w:top w:w="0" w:type="dxa"/>
            <w:left w:w="108" w:type="dxa"/>
            <w:bottom w:w="0" w:type="dxa"/>
            <w:right w:w="108" w:type="dxa"/>
          </w:tblCellMar>
        </w:tblPrEx>
        <w:trPr>
          <w:trHeight w:val="283" w:hRule="atLeast"/>
          <w:jc w:val="center"/>
        </w:trPr>
        <w:tc>
          <w:tcPr>
            <w:tcW w:w="828" w:type="pct"/>
            <w:tcBorders>
              <w:top w:val="single" w:color="auto" w:sz="4" w:space="0"/>
              <w:left w:val="single" w:color="auto" w:sz="4" w:space="0"/>
              <w:bottom w:val="single" w:color="auto" w:sz="4" w:space="0"/>
              <w:right w:val="single" w:color="auto" w:sz="4" w:space="0"/>
            </w:tcBorders>
            <w:noWrap w:val="0"/>
            <w:vAlign w:val="center"/>
          </w:tcPr>
          <w:p w14:paraId="28B1A4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w:t>
            </w:r>
          </w:p>
        </w:tc>
        <w:tc>
          <w:tcPr>
            <w:tcW w:w="2265" w:type="pct"/>
            <w:tcBorders>
              <w:top w:val="single" w:color="auto" w:sz="4" w:space="0"/>
              <w:left w:val="nil"/>
              <w:bottom w:val="single" w:color="auto" w:sz="4" w:space="0"/>
              <w:right w:val="single" w:color="auto" w:sz="4" w:space="0"/>
            </w:tcBorders>
            <w:noWrap w:val="0"/>
            <w:vAlign w:val="center"/>
          </w:tcPr>
          <w:p w14:paraId="11F92A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w:t>
            </w:r>
          </w:p>
        </w:tc>
        <w:tc>
          <w:tcPr>
            <w:tcW w:w="1906" w:type="pct"/>
            <w:tcBorders>
              <w:top w:val="single" w:color="auto" w:sz="4" w:space="0"/>
              <w:left w:val="nil"/>
              <w:bottom w:val="single" w:color="auto" w:sz="4" w:space="0"/>
              <w:right w:val="single" w:color="auto" w:sz="4" w:space="0"/>
            </w:tcBorders>
            <w:noWrap w:val="0"/>
            <w:vAlign w:val="center"/>
          </w:tcPr>
          <w:p w14:paraId="08BB46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w:t>
            </w:r>
          </w:p>
        </w:tc>
      </w:tr>
      <w:tr w14:paraId="0834011D">
        <w:tblPrEx>
          <w:tblCellMar>
            <w:top w:w="0" w:type="dxa"/>
            <w:left w:w="108" w:type="dxa"/>
            <w:bottom w:w="0" w:type="dxa"/>
            <w:right w:w="108" w:type="dxa"/>
          </w:tblCellMar>
        </w:tblPrEx>
        <w:trPr>
          <w:trHeight w:val="283" w:hRule="atLeast"/>
          <w:jc w:val="center"/>
        </w:trPr>
        <w:tc>
          <w:tcPr>
            <w:tcW w:w="828" w:type="pct"/>
            <w:tcBorders>
              <w:top w:val="single" w:color="auto" w:sz="4" w:space="0"/>
              <w:left w:val="single" w:color="auto" w:sz="4" w:space="0"/>
              <w:bottom w:val="single" w:color="auto" w:sz="4" w:space="0"/>
              <w:right w:val="single" w:color="auto" w:sz="4" w:space="0"/>
            </w:tcBorders>
            <w:noWrap w:val="0"/>
            <w:vAlign w:val="center"/>
          </w:tcPr>
          <w:p w14:paraId="5B1771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w:t>
            </w:r>
          </w:p>
        </w:tc>
        <w:tc>
          <w:tcPr>
            <w:tcW w:w="2265" w:type="pct"/>
            <w:tcBorders>
              <w:top w:val="single" w:color="auto" w:sz="4" w:space="0"/>
              <w:left w:val="nil"/>
              <w:bottom w:val="single" w:color="auto" w:sz="4" w:space="0"/>
              <w:right w:val="single" w:color="auto" w:sz="4" w:space="0"/>
            </w:tcBorders>
            <w:noWrap w:val="0"/>
            <w:vAlign w:val="center"/>
          </w:tcPr>
          <w:p w14:paraId="5CA459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1000</w:t>
            </w:r>
          </w:p>
        </w:tc>
        <w:tc>
          <w:tcPr>
            <w:tcW w:w="1906" w:type="pct"/>
            <w:tcBorders>
              <w:top w:val="single" w:color="auto" w:sz="4" w:space="0"/>
              <w:left w:val="nil"/>
              <w:bottom w:val="single" w:color="auto" w:sz="4" w:space="0"/>
              <w:right w:val="single" w:color="auto" w:sz="4" w:space="0"/>
            </w:tcBorders>
            <w:noWrap w:val="0"/>
            <w:vAlign w:val="center"/>
          </w:tcPr>
          <w:p w14:paraId="7D2ACF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w:t>
            </w:r>
          </w:p>
        </w:tc>
      </w:tr>
      <w:tr w14:paraId="40AD5AC3">
        <w:tblPrEx>
          <w:tblCellMar>
            <w:top w:w="0" w:type="dxa"/>
            <w:left w:w="108" w:type="dxa"/>
            <w:bottom w:w="0" w:type="dxa"/>
            <w:right w:w="108" w:type="dxa"/>
          </w:tblCellMar>
        </w:tblPrEx>
        <w:trPr>
          <w:trHeight w:val="283" w:hRule="atLeast"/>
          <w:jc w:val="center"/>
        </w:trPr>
        <w:tc>
          <w:tcPr>
            <w:tcW w:w="828" w:type="pct"/>
            <w:tcBorders>
              <w:top w:val="single" w:color="auto" w:sz="4" w:space="0"/>
              <w:left w:val="single" w:color="auto" w:sz="4" w:space="0"/>
              <w:bottom w:val="single" w:color="auto" w:sz="4" w:space="0"/>
              <w:right w:val="single" w:color="auto" w:sz="4" w:space="0"/>
            </w:tcBorders>
            <w:noWrap w:val="0"/>
            <w:vAlign w:val="center"/>
          </w:tcPr>
          <w:p w14:paraId="133AF0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w:t>
            </w:r>
          </w:p>
        </w:tc>
        <w:tc>
          <w:tcPr>
            <w:tcW w:w="2265" w:type="pct"/>
            <w:tcBorders>
              <w:top w:val="single" w:color="auto" w:sz="4" w:space="0"/>
              <w:left w:val="nil"/>
              <w:bottom w:val="single" w:color="auto" w:sz="4" w:space="0"/>
              <w:right w:val="single" w:color="auto" w:sz="4" w:space="0"/>
            </w:tcBorders>
            <w:noWrap w:val="0"/>
            <w:vAlign w:val="center"/>
          </w:tcPr>
          <w:p w14:paraId="198842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3000</w:t>
            </w:r>
          </w:p>
        </w:tc>
        <w:tc>
          <w:tcPr>
            <w:tcW w:w="1906" w:type="pct"/>
            <w:tcBorders>
              <w:top w:val="single" w:color="auto" w:sz="4" w:space="0"/>
              <w:left w:val="nil"/>
              <w:bottom w:val="single" w:color="auto" w:sz="4" w:space="0"/>
              <w:right w:val="single" w:color="auto" w:sz="4" w:space="0"/>
            </w:tcBorders>
            <w:noWrap w:val="0"/>
            <w:vAlign w:val="center"/>
          </w:tcPr>
          <w:p w14:paraId="0CB2B7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12</w:t>
            </w:r>
          </w:p>
        </w:tc>
      </w:tr>
      <w:tr w14:paraId="1F702509">
        <w:tblPrEx>
          <w:tblCellMar>
            <w:top w:w="0" w:type="dxa"/>
            <w:left w:w="108" w:type="dxa"/>
            <w:bottom w:w="0" w:type="dxa"/>
            <w:right w:w="108" w:type="dxa"/>
          </w:tblCellMar>
        </w:tblPrEx>
        <w:trPr>
          <w:trHeight w:val="283" w:hRule="atLeast"/>
          <w:jc w:val="center"/>
        </w:trPr>
        <w:tc>
          <w:tcPr>
            <w:tcW w:w="828" w:type="pct"/>
            <w:tcBorders>
              <w:top w:val="single" w:color="auto" w:sz="4" w:space="0"/>
              <w:left w:val="single" w:color="auto" w:sz="4" w:space="0"/>
              <w:bottom w:val="single" w:color="auto" w:sz="4" w:space="0"/>
              <w:right w:val="single" w:color="auto" w:sz="4" w:space="0"/>
            </w:tcBorders>
            <w:noWrap w:val="0"/>
            <w:vAlign w:val="center"/>
          </w:tcPr>
          <w:p w14:paraId="5BEC6D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w:t>
            </w:r>
          </w:p>
        </w:tc>
        <w:tc>
          <w:tcPr>
            <w:tcW w:w="2265" w:type="pct"/>
            <w:tcBorders>
              <w:top w:val="single" w:color="auto" w:sz="4" w:space="0"/>
              <w:left w:val="nil"/>
              <w:bottom w:val="single" w:color="auto" w:sz="4" w:space="0"/>
              <w:right w:val="single" w:color="auto" w:sz="4" w:space="0"/>
            </w:tcBorders>
            <w:noWrap w:val="0"/>
            <w:vAlign w:val="center"/>
          </w:tcPr>
          <w:p w14:paraId="366E01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5000</w:t>
            </w:r>
          </w:p>
        </w:tc>
        <w:tc>
          <w:tcPr>
            <w:tcW w:w="1906" w:type="pct"/>
            <w:tcBorders>
              <w:top w:val="single" w:color="auto" w:sz="4" w:space="0"/>
              <w:left w:val="nil"/>
              <w:bottom w:val="single" w:color="auto" w:sz="4" w:space="0"/>
              <w:right w:val="single" w:color="auto" w:sz="4" w:space="0"/>
            </w:tcBorders>
            <w:noWrap w:val="0"/>
            <w:vAlign w:val="center"/>
          </w:tcPr>
          <w:p w14:paraId="6FAFED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15</w:t>
            </w:r>
          </w:p>
        </w:tc>
      </w:tr>
      <w:tr w14:paraId="1EDD7D6D">
        <w:tblPrEx>
          <w:tblCellMar>
            <w:top w:w="0" w:type="dxa"/>
            <w:left w:w="108" w:type="dxa"/>
            <w:bottom w:w="0" w:type="dxa"/>
            <w:right w:w="108" w:type="dxa"/>
          </w:tblCellMar>
        </w:tblPrEx>
        <w:trPr>
          <w:trHeight w:val="283" w:hRule="atLeast"/>
          <w:jc w:val="center"/>
        </w:trPr>
        <w:tc>
          <w:tcPr>
            <w:tcW w:w="828" w:type="pct"/>
            <w:tcBorders>
              <w:top w:val="single" w:color="auto" w:sz="4" w:space="0"/>
              <w:left w:val="single" w:color="auto" w:sz="4" w:space="0"/>
              <w:bottom w:val="single" w:color="auto" w:sz="4" w:space="0"/>
              <w:right w:val="single" w:color="auto" w:sz="4" w:space="0"/>
            </w:tcBorders>
            <w:noWrap w:val="0"/>
            <w:vAlign w:val="center"/>
          </w:tcPr>
          <w:p w14:paraId="6EDAFE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w:t>
            </w:r>
          </w:p>
        </w:tc>
        <w:tc>
          <w:tcPr>
            <w:tcW w:w="2265" w:type="pct"/>
            <w:tcBorders>
              <w:top w:val="single" w:color="auto" w:sz="4" w:space="0"/>
              <w:left w:val="nil"/>
              <w:bottom w:val="single" w:color="auto" w:sz="4" w:space="0"/>
              <w:right w:val="single" w:color="auto" w:sz="4" w:space="0"/>
            </w:tcBorders>
            <w:noWrap w:val="0"/>
            <w:vAlign w:val="center"/>
          </w:tcPr>
          <w:p w14:paraId="73590F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10000</w:t>
            </w:r>
          </w:p>
        </w:tc>
        <w:tc>
          <w:tcPr>
            <w:tcW w:w="1906" w:type="pct"/>
            <w:tcBorders>
              <w:top w:val="single" w:color="auto" w:sz="4" w:space="0"/>
              <w:left w:val="nil"/>
              <w:bottom w:val="single" w:color="auto" w:sz="4" w:space="0"/>
              <w:right w:val="single" w:color="auto" w:sz="4" w:space="0"/>
            </w:tcBorders>
            <w:noWrap w:val="0"/>
            <w:vAlign w:val="center"/>
          </w:tcPr>
          <w:p w14:paraId="53A407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25</w:t>
            </w:r>
          </w:p>
        </w:tc>
      </w:tr>
    </w:tbl>
    <w:p w14:paraId="0485C2F9">
      <w:pPr>
        <w:pStyle w:val="40"/>
        <w:keepNext w:val="0"/>
        <w:keepLines w:val="0"/>
        <w:pageBreakBefore w:val="0"/>
        <w:widowControl/>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b/>
          <w:color w:val="000000" w:themeColor="text1"/>
          <w14:textFill>
            <w14:solidFill>
              <w14:schemeClr w14:val="tx1"/>
            </w14:solidFill>
          </w14:textFill>
        </w:rPr>
      </w:pPr>
      <w:r>
        <w:rPr>
          <w:rFonts w:hint="default" w:ascii="Times New Roman" w:hAnsi="Times New Roman" w:eastAsia="宋体" w:cs="Times New Roman"/>
          <w:b/>
          <w:color w:val="000000" w:themeColor="text1"/>
          <w14:textFill>
            <w14:solidFill>
              <w14:schemeClr w14:val="tx1"/>
            </w14:solidFill>
          </w14:textFill>
        </w:rPr>
        <w:t>注：计费基数大于1亿元时，按计费基数的0.25%计取。</w:t>
      </w:r>
    </w:p>
    <w:p w14:paraId="323B8DA1">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auto"/>
        <w:rPr>
          <w:rFonts w:hint="default" w:ascii="Times New Roman" w:hAnsi="Times New Roman" w:eastAsia="宋体" w:cs="Times New Roman"/>
          <w:color w:val="000000" w:themeColor="text1"/>
          <w:sz w:val="28"/>
          <w:szCs w:val="21"/>
          <w14:textFill>
            <w14:solidFill>
              <w14:schemeClr w14:val="tx1"/>
            </w14:solidFill>
          </w14:textFill>
        </w:rPr>
      </w:pPr>
      <w:r>
        <w:rPr>
          <w:rFonts w:hint="default" w:ascii="Times New Roman" w:hAnsi="Times New Roman" w:eastAsia="宋体" w:cs="Times New Roman"/>
          <w:color w:val="000000" w:themeColor="text1"/>
          <w:sz w:val="28"/>
          <w:szCs w:val="21"/>
          <w14:textFill>
            <w14:solidFill>
              <w14:schemeClr w14:val="tx1"/>
            </w14:solidFill>
          </w14:textFill>
        </w:rPr>
        <w:t>项目勘测与设计费以工程施工费作为计费基数，采用分档定额计费方式计算，各区间按内插法确定。其中勘测费可按不超过工程施工费的1.5%单独计算，剩余部分可计为项目设计与预算编制费。</w:t>
      </w:r>
    </w:p>
    <w:p w14:paraId="19C725DA">
      <w:pPr>
        <w:keepNext w:val="0"/>
        <w:keepLines w:val="0"/>
        <w:pageBreakBefore w:val="0"/>
        <w:widowControl/>
        <w:tabs>
          <w:tab w:val="left" w:pos="7235"/>
        </w:tabs>
        <w:kinsoku/>
        <w:wordWrap/>
        <w:overflowPunct/>
        <w:topLinePunct w:val="0"/>
        <w:autoSpaceDE/>
        <w:autoSpaceDN/>
        <w:bidi w:val="0"/>
        <w:adjustRightInd/>
        <w:snapToGrid/>
        <w:spacing w:after="0" w:line="360" w:lineRule="auto"/>
        <w:ind w:right="0" w:rightChars="0"/>
        <w:jc w:val="center"/>
        <w:textAlignment w:val="auto"/>
        <w:rPr>
          <w:rFonts w:hint="default" w:ascii="黑体" w:hAnsi="黑体" w:eastAsia="黑体" w:cs="黑体"/>
          <w:b w:val="0"/>
          <w:bCs/>
          <w:color w:val="000000" w:themeColor="text1"/>
          <w:sz w:val="24"/>
          <w:szCs w:val="24"/>
          <w14:textFill>
            <w14:solidFill>
              <w14:schemeClr w14:val="tx1"/>
            </w14:solidFill>
          </w14:textFill>
        </w:rPr>
      </w:pPr>
      <w:r>
        <w:rPr>
          <w:rFonts w:hint="default" w:ascii="黑体" w:hAnsi="黑体" w:eastAsia="黑体" w:cs="黑体"/>
          <w:b w:val="0"/>
          <w:bCs/>
          <w:color w:val="000000" w:themeColor="text1"/>
          <w:sz w:val="24"/>
          <w:szCs w:val="24"/>
          <w14:textFill>
            <w14:solidFill>
              <w14:schemeClr w14:val="tx1"/>
            </w14:solidFill>
          </w14:textFill>
        </w:rPr>
        <w:t>表</w:t>
      </w:r>
      <w:r>
        <w:rPr>
          <w:rFonts w:hint="eastAsia" w:ascii="黑体" w:hAnsi="黑体" w:eastAsia="黑体" w:cs="黑体"/>
          <w:b w:val="0"/>
          <w:bCs/>
          <w:color w:val="000000" w:themeColor="text1"/>
          <w:sz w:val="24"/>
          <w:szCs w:val="24"/>
          <w:lang w:val="en-US" w:eastAsia="zh-CN"/>
          <w14:textFill>
            <w14:solidFill>
              <w14:schemeClr w14:val="tx1"/>
            </w14:solidFill>
          </w14:textFill>
        </w:rPr>
        <w:t>6</w:t>
      </w:r>
      <w:r>
        <w:rPr>
          <w:rFonts w:hint="default" w:ascii="黑体" w:hAnsi="黑体" w:eastAsia="黑体" w:cs="黑体"/>
          <w:b w:val="0"/>
          <w:bCs/>
          <w:color w:val="000000" w:themeColor="text1"/>
          <w:sz w:val="24"/>
          <w:szCs w:val="24"/>
          <w14:textFill>
            <w14:solidFill>
              <w14:schemeClr w14:val="tx1"/>
            </w14:solidFill>
          </w14:textFill>
        </w:rPr>
        <w:t>-</w:t>
      </w:r>
      <w:r>
        <w:rPr>
          <w:rFonts w:hint="eastAsia" w:ascii="黑体" w:hAnsi="黑体" w:eastAsia="黑体" w:cs="黑体"/>
          <w:b w:val="0"/>
          <w:bCs/>
          <w:color w:val="000000" w:themeColor="text1"/>
          <w:sz w:val="24"/>
          <w:szCs w:val="24"/>
          <w:lang w:val="en-US" w:eastAsia="zh-CN"/>
          <w14:textFill>
            <w14:solidFill>
              <w14:schemeClr w14:val="tx1"/>
            </w14:solidFill>
          </w14:textFill>
        </w:rPr>
        <w:t>6</w:t>
      </w:r>
      <w:r>
        <w:rPr>
          <w:rFonts w:hint="default" w:ascii="黑体" w:hAnsi="黑体" w:eastAsia="黑体" w:cs="黑体"/>
          <w:b w:val="0"/>
          <w:bCs/>
          <w:color w:val="000000" w:themeColor="text1"/>
          <w:sz w:val="24"/>
          <w:szCs w:val="24"/>
          <w14:textFill>
            <w14:solidFill>
              <w14:schemeClr w14:val="tx1"/>
            </w14:solidFill>
          </w14:textFill>
        </w:rPr>
        <w:t xml:space="preserve">  项目勘测与设计计费标准</w:t>
      </w:r>
    </w:p>
    <w:tbl>
      <w:tblPr>
        <w:tblStyle w:val="30"/>
        <w:tblW w:w="4997" w:type="pct"/>
        <w:tblInd w:w="0" w:type="dxa"/>
        <w:tblLayout w:type="autofit"/>
        <w:tblCellMar>
          <w:top w:w="0" w:type="dxa"/>
          <w:left w:w="108" w:type="dxa"/>
          <w:bottom w:w="0" w:type="dxa"/>
          <w:right w:w="108" w:type="dxa"/>
        </w:tblCellMar>
      </w:tblPr>
      <w:tblGrid>
        <w:gridCol w:w="1504"/>
        <w:gridCol w:w="3154"/>
        <w:gridCol w:w="3865"/>
      </w:tblGrid>
      <w:tr w14:paraId="6A7E2C32">
        <w:tblPrEx>
          <w:tblCellMar>
            <w:top w:w="0" w:type="dxa"/>
            <w:left w:w="108" w:type="dxa"/>
            <w:bottom w:w="0" w:type="dxa"/>
            <w:right w:w="108" w:type="dxa"/>
          </w:tblCellMar>
        </w:tblPrEx>
        <w:trPr>
          <w:trHeight w:val="283" w:hRule="atLeast"/>
        </w:trPr>
        <w:tc>
          <w:tcPr>
            <w:tcW w:w="882" w:type="pct"/>
            <w:tcBorders>
              <w:top w:val="single" w:color="auto" w:sz="4" w:space="0"/>
              <w:left w:val="single" w:color="auto" w:sz="4" w:space="0"/>
              <w:bottom w:val="single" w:color="auto" w:sz="4" w:space="0"/>
              <w:right w:val="single" w:color="auto" w:sz="4" w:space="0"/>
            </w:tcBorders>
            <w:noWrap w:val="0"/>
            <w:vAlign w:val="center"/>
          </w:tcPr>
          <w:p w14:paraId="3F67AF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序号</w:t>
            </w:r>
          </w:p>
        </w:tc>
        <w:tc>
          <w:tcPr>
            <w:tcW w:w="1850" w:type="pct"/>
            <w:tcBorders>
              <w:top w:val="single" w:color="auto" w:sz="4" w:space="0"/>
              <w:left w:val="single" w:color="auto" w:sz="4" w:space="0"/>
              <w:bottom w:val="single" w:color="auto" w:sz="4" w:space="0"/>
              <w:right w:val="single" w:color="auto" w:sz="4" w:space="0"/>
            </w:tcBorders>
            <w:noWrap w:val="0"/>
            <w:vAlign w:val="center"/>
          </w:tcPr>
          <w:p w14:paraId="6DD607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计费基数（万元）</w:t>
            </w:r>
          </w:p>
        </w:tc>
        <w:tc>
          <w:tcPr>
            <w:tcW w:w="2267" w:type="pct"/>
            <w:tcBorders>
              <w:top w:val="single" w:color="auto" w:sz="4" w:space="0"/>
              <w:left w:val="single" w:color="auto" w:sz="4" w:space="0"/>
              <w:bottom w:val="single" w:color="auto" w:sz="4" w:space="0"/>
              <w:right w:val="single" w:color="auto" w:sz="4" w:space="0"/>
            </w:tcBorders>
            <w:noWrap w:val="0"/>
            <w:vAlign w:val="center"/>
          </w:tcPr>
          <w:p w14:paraId="360DC0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项目勘测与设计计费（万元）</w:t>
            </w:r>
          </w:p>
        </w:tc>
      </w:tr>
      <w:tr w14:paraId="2C7B7782">
        <w:tblPrEx>
          <w:tblCellMar>
            <w:top w:w="0" w:type="dxa"/>
            <w:left w:w="108" w:type="dxa"/>
            <w:bottom w:w="0" w:type="dxa"/>
            <w:right w:w="108" w:type="dxa"/>
          </w:tblCellMar>
        </w:tblPrEx>
        <w:trPr>
          <w:trHeight w:val="283" w:hRule="atLeast"/>
        </w:trPr>
        <w:tc>
          <w:tcPr>
            <w:tcW w:w="882" w:type="pct"/>
            <w:tcBorders>
              <w:top w:val="nil"/>
              <w:left w:val="single" w:color="auto" w:sz="4" w:space="0"/>
              <w:bottom w:val="single" w:color="auto" w:sz="4" w:space="0"/>
              <w:right w:val="single" w:color="auto" w:sz="4" w:space="0"/>
            </w:tcBorders>
            <w:noWrap w:val="0"/>
            <w:vAlign w:val="center"/>
          </w:tcPr>
          <w:p w14:paraId="3F3EDB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p>
        </w:tc>
        <w:tc>
          <w:tcPr>
            <w:tcW w:w="1850" w:type="pct"/>
            <w:tcBorders>
              <w:top w:val="nil"/>
              <w:left w:val="nil"/>
              <w:bottom w:val="single" w:color="auto" w:sz="4" w:space="0"/>
              <w:right w:val="single" w:color="auto" w:sz="4" w:space="0"/>
            </w:tcBorders>
            <w:noWrap w:val="0"/>
            <w:vAlign w:val="center"/>
          </w:tcPr>
          <w:p w14:paraId="4A8C97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≤180</w:t>
            </w:r>
          </w:p>
        </w:tc>
        <w:tc>
          <w:tcPr>
            <w:tcW w:w="2267" w:type="pct"/>
            <w:tcBorders>
              <w:top w:val="nil"/>
              <w:left w:val="nil"/>
              <w:bottom w:val="single" w:color="auto" w:sz="4" w:space="0"/>
              <w:right w:val="single" w:color="auto" w:sz="4" w:space="0"/>
            </w:tcBorders>
            <w:noWrap w:val="0"/>
            <w:vAlign w:val="center"/>
          </w:tcPr>
          <w:p w14:paraId="33F798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7.5</w:t>
            </w:r>
          </w:p>
        </w:tc>
      </w:tr>
      <w:tr w14:paraId="351A000B">
        <w:tblPrEx>
          <w:tblCellMar>
            <w:top w:w="0" w:type="dxa"/>
            <w:left w:w="108" w:type="dxa"/>
            <w:bottom w:w="0" w:type="dxa"/>
            <w:right w:w="108" w:type="dxa"/>
          </w:tblCellMar>
        </w:tblPrEx>
        <w:trPr>
          <w:trHeight w:val="283" w:hRule="atLeast"/>
        </w:trPr>
        <w:tc>
          <w:tcPr>
            <w:tcW w:w="882" w:type="pct"/>
            <w:tcBorders>
              <w:top w:val="single" w:color="auto" w:sz="4" w:space="0"/>
              <w:left w:val="single" w:color="auto" w:sz="4" w:space="0"/>
              <w:bottom w:val="single" w:color="auto" w:sz="4" w:space="0"/>
              <w:right w:val="single" w:color="auto" w:sz="4" w:space="0"/>
            </w:tcBorders>
            <w:noWrap w:val="0"/>
            <w:vAlign w:val="center"/>
          </w:tcPr>
          <w:p w14:paraId="47786E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w:t>
            </w:r>
          </w:p>
        </w:tc>
        <w:tc>
          <w:tcPr>
            <w:tcW w:w="1850" w:type="pct"/>
            <w:tcBorders>
              <w:top w:val="single" w:color="auto" w:sz="4" w:space="0"/>
              <w:left w:val="nil"/>
              <w:bottom w:val="single" w:color="auto" w:sz="4" w:space="0"/>
              <w:right w:val="single" w:color="auto" w:sz="4" w:space="0"/>
            </w:tcBorders>
            <w:noWrap w:val="0"/>
            <w:vAlign w:val="center"/>
          </w:tcPr>
          <w:p w14:paraId="62A4D6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w:t>
            </w:r>
          </w:p>
        </w:tc>
        <w:tc>
          <w:tcPr>
            <w:tcW w:w="2267" w:type="pct"/>
            <w:tcBorders>
              <w:top w:val="single" w:color="auto" w:sz="4" w:space="0"/>
              <w:left w:val="nil"/>
              <w:bottom w:val="single" w:color="auto" w:sz="4" w:space="0"/>
              <w:right w:val="single" w:color="auto" w:sz="4" w:space="0"/>
            </w:tcBorders>
            <w:noWrap w:val="0"/>
            <w:vAlign w:val="center"/>
          </w:tcPr>
          <w:p w14:paraId="4537B1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20</w:t>
            </w:r>
          </w:p>
        </w:tc>
      </w:tr>
      <w:tr w14:paraId="488B3705">
        <w:tblPrEx>
          <w:tblCellMar>
            <w:top w:w="0" w:type="dxa"/>
            <w:left w:w="108" w:type="dxa"/>
            <w:bottom w:w="0" w:type="dxa"/>
            <w:right w:w="108" w:type="dxa"/>
          </w:tblCellMar>
        </w:tblPrEx>
        <w:trPr>
          <w:trHeight w:val="283" w:hRule="atLeast"/>
        </w:trPr>
        <w:tc>
          <w:tcPr>
            <w:tcW w:w="882" w:type="pct"/>
            <w:tcBorders>
              <w:top w:val="single" w:color="auto" w:sz="4" w:space="0"/>
              <w:left w:val="single" w:color="auto" w:sz="4" w:space="0"/>
              <w:bottom w:val="single" w:color="auto" w:sz="4" w:space="0"/>
              <w:right w:val="single" w:color="auto" w:sz="4" w:space="0"/>
            </w:tcBorders>
            <w:noWrap w:val="0"/>
            <w:vAlign w:val="center"/>
          </w:tcPr>
          <w:p w14:paraId="2F5483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w:t>
            </w:r>
          </w:p>
        </w:tc>
        <w:tc>
          <w:tcPr>
            <w:tcW w:w="1850" w:type="pct"/>
            <w:tcBorders>
              <w:top w:val="single" w:color="auto" w:sz="4" w:space="0"/>
              <w:left w:val="nil"/>
              <w:bottom w:val="single" w:color="auto" w:sz="4" w:space="0"/>
              <w:right w:val="single" w:color="auto" w:sz="4" w:space="0"/>
            </w:tcBorders>
            <w:noWrap w:val="0"/>
            <w:vAlign w:val="center"/>
          </w:tcPr>
          <w:p w14:paraId="55CE5B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1000</w:t>
            </w:r>
          </w:p>
        </w:tc>
        <w:tc>
          <w:tcPr>
            <w:tcW w:w="2267" w:type="pct"/>
            <w:tcBorders>
              <w:top w:val="single" w:color="auto" w:sz="4" w:space="0"/>
              <w:left w:val="nil"/>
              <w:bottom w:val="single" w:color="auto" w:sz="4" w:space="0"/>
              <w:right w:val="single" w:color="auto" w:sz="4" w:space="0"/>
            </w:tcBorders>
            <w:noWrap w:val="0"/>
            <w:vAlign w:val="center"/>
          </w:tcPr>
          <w:p w14:paraId="7D90C5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39</w:t>
            </w:r>
          </w:p>
        </w:tc>
      </w:tr>
      <w:tr w14:paraId="5AA2B603">
        <w:tblPrEx>
          <w:tblCellMar>
            <w:top w:w="0" w:type="dxa"/>
            <w:left w:w="108" w:type="dxa"/>
            <w:bottom w:w="0" w:type="dxa"/>
            <w:right w:w="108" w:type="dxa"/>
          </w:tblCellMar>
        </w:tblPrEx>
        <w:trPr>
          <w:trHeight w:val="283" w:hRule="atLeast"/>
        </w:trPr>
        <w:tc>
          <w:tcPr>
            <w:tcW w:w="882" w:type="pct"/>
            <w:tcBorders>
              <w:top w:val="single" w:color="auto" w:sz="4" w:space="0"/>
              <w:left w:val="single" w:color="auto" w:sz="4" w:space="0"/>
              <w:bottom w:val="single" w:color="auto" w:sz="4" w:space="0"/>
              <w:right w:val="single" w:color="auto" w:sz="4" w:space="0"/>
            </w:tcBorders>
            <w:noWrap w:val="0"/>
            <w:vAlign w:val="center"/>
          </w:tcPr>
          <w:p w14:paraId="4F19C4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w:t>
            </w:r>
          </w:p>
        </w:tc>
        <w:tc>
          <w:tcPr>
            <w:tcW w:w="1850" w:type="pct"/>
            <w:tcBorders>
              <w:top w:val="single" w:color="auto" w:sz="4" w:space="0"/>
              <w:left w:val="nil"/>
              <w:bottom w:val="single" w:color="auto" w:sz="4" w:space="0"/>
              <w:right w:val="single" w:color="auto" w:sz="4" w:space="0"/>
            </w:tcBorders>
            <w:noWrap w:val="0"/>
            <w:vAlign w:val="center"/>
          </w:tcPr>
          <w:p w14:paraId="6DD9D3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3000</w:t>
            </w:r>
          </w:p>
        </w:tc>
        <w:tc>
          <w:tcPr>
            <w:tcW w:w="2267" w:type="pct"/>
            <w:tcBorders>
              <w:top w:val="single" w:color="auto" w:sz="4" w:space="0"/>
              <w:left w:val="nil"/>
              <w:bottom w:val="single" w:color="auto" w:sz="4" w:space="0"/>
              <w:right w:val="single" w:color="auto" w:sz="4" w:space="0"/>
            </w:tcBorders>
            <w:noWrap w:val="0"/>
            <w:vAlign w:val="center"/>
          </w:tcPr>
          <w:p w14:paraId="1E53DA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93</w:t>
            </w:r>
          </w:p>
        </w:tc>
      </w:tr>
      <w:tr w14:paraId="34FF2B3F">
        <w:tblPrEx>
          <w:tblCellMar>
            <w:top w:w="0" w:type="dxa"/>
            <w:left w:w="108" w:type="dxa"/>
            <w:bottom w:w="0" w:type="dxa"/>
            <w:right w:w="108" w:type="dxa"/>
          </w:tblCellMar>
        </w:tblPrEx>
        <w:trPr>
          <w:trHeight w:val="283" w:hRule="atLeast"/>
        </w:trPr>
        <w:tc>
          <w:tcPr>
            <w:tcW w:w="882" w:type="pct"/>
            <w:tcBorders>
              <w:top w:val="single" w:color="auto" w:sz="4" w:space="0"/>
              <w:left w:val="single" w:color="auto" w:sz="4" w:space="0"/>
              <w:bottom w:val="single" w:color="auto" w:sz="4" w:space="0"/>
              <w:right w:val="single" w:color="auto" w:sz="4" w:space="0"/>
            </w:tcBorders>
            <w:noWrap w:val="0"/>
            <w:vAlign w:val="center"/>
          </w:tcPr>
          <w:p w14:paraId="53117D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w:t>
            </w:r>
          </w:p>
        </w:tc>
        <w:tc>
          <w:tcPr>
            <w:tcW w:w="1850" w:type="pct"/>
            <w:tcBorders>
              <w:top w:val="single" w:color="auto" w:sz="4" w:space="0"/>
              <w:left w:val="nil"/>
              <w:bottom w:val="single" w:color="auto" w:sz="4" w:space="0"/>
              <w:right w:val="single" w:color="auto" w:sz="4" w:space="0"/>
            </w:tcBorders>
            <w:noWrap w:val="0"/>
            <w:vAlign w:val="center"/>
          </w:tcPr>
          <w:p w14:paraId="524C15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5000</w:t>
            </w:r>
          </w:p>
        </w:tc>
        <w:tc>
          <w:tcPr>
            <w:tcW w:w="2267" w:type="pct"/>
            <w:tcBorders>
              <w:top w:val="single" w:color="auto" w:sz="4" w:space="0"/>
              <w:left w:val="nil"/>
              <w:bottom w:val="single" w:color="auto" w:sz="4" w:space="0"/>
              <w:right w:val="single" w:color="auto" w:sz="4" w:space="0"/>
            </w:tcBorders>
            <w:noWrap w:val="0"/>
            <w:vAlign w:val="center"/>
          </w:tcPr>
          <w:p w14:paraId="23DA81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145</w:t>
            </w:r>
          </w:p>
        </w:tc>
      </w:tr>
      <w:tr w14:paraId="3F75219A">
        <w:tblPrEx>
          <w:tblCellMar>
            <w:top w:w="0" w:type="dxa"/>
            <w:left w:w="108" w:type="dxa"/>
            <w:bottom w:w="0" w:type="dxa"/>
            <w:right w:w="108" w:type="dxa"/>
          </w:tblCellMar>
        </w:tblPrEx>
        <w:trPr>
          <w:trHeight w:val="283" w:hRule="atLeast"/>
        </w:trPr>
        <w:tc>
          <w:tcPr>
            <w:tcW w:w="882" w:type="pct"/>
            <w:tcBorders>
              <w:top w:val="single" w:color="auto" w:sz="4" w:space="0"/>
              <w:left w:val="single" w:color="auto" w:sz="4" w:space="0"/>
              <w:bottom w:val="single" w:color="auto" w:sz="4" w:space="0"/>
              <w:right w:val="single" w:color="auto" w:sz="4" w:space="0"/>
            </w:tcBorders>
            <w:noWrap w:val="0"/>
            <w:vAlign w:val="center"/>
          </w:tcPr>
          <w:p w14:paraId="33B104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w:t>
            </w:r>
          </w:p>
        </w:tc>
        <w:tc>
          <w:tcPr>
            <w:tcW w:w="1850" w:type="pct"/>
            <w:tcBorders>
              <w:top w:val="single" w:color="auto" w:sz="4" w:space="0"/>
              <w:left w:val="nil"/>
              <w:bottom w:val="single" w:color="auto" w:sz="4" w:space="0"/>
              <w:right w:val="single" w:color="auto" w:sz="4" w:space="0"/>
            </w:tcBorders>
            <w:noWrap w:val="0"/>
            <w:vAlign w:val="center"/>
          </w:tcPr>
          <w:p w14:paraId="472E46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10000</w:t>
            </w:r>
          </w:p>
        </w:tc>
        <w:tc>
          <w:tcPr>
            <w:tcW w:w="2267" w:type="pct"/>
            <w:tcBorders>
              <w:top w:val="single" w:color="auto" w:sz="4" w:space="0"/>
              <w:left w:val="nil"/>
              <w:bottom w:val="single" w:color="auto" w:sz="4" w:space="0"/>
              <w:right w:val="single" w:color="auto" w:sz="4" w:space="0"/>
            </w:tcBorders>
            <w:noWrap w:val="0"/>
            <w:vAlign w:val="center"/>
          </w:tcPr>
          <w:p w14:paraId="5FC1BF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270</w:t>
            </w:r>
          </w:p>
        </w:tc>
      </w:tr>
    </w:tbl>
    <w:p w14:paraId="4000633D">
      <w:pPr>
        <w:keepNext w:val="0"/>
        <w:keepLines w:val="0"/>
        <w:pageBreakBefore w:val="0"/>
        <w:widowControl/>
        <w:kinsoku/>
        <w:wordWrap/>
        <w:overflowPunct/>
        <w:topLinePunct w:val="0"/>
        <w:autoSpaceDE/>
        <w:autoSpaceDN/>
        <w:bidi w:val="0"/>
        <w:adjustRightInd/>
        <w:snapToGrid/>
        <w:spacing w:after="0" w:line="360" w:lineRule="auto"/>
        <w:ind w:firstLine="422" w:firstLineChars="200"/>
        <w:jc w:val="left"/>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注：计费基数大于1亿元时，按计费基数的2.70%计取。</w:t>
      </w:r>
    </w:p>
    <w:p w14:paraId="48C9A12B">
      <w:pPr>
        <w:keepNext w:val="0"/>
        <w:keepLines w:val="0"/>
        <w:pageBreakBefore w:val="0"/>
        <w:widowControl/>
        <w:kinsoku/>
        <w:wordWrap/>
        <w:overflowPunct/>
        <w:topLinePunct w:val="0"/>
        <w:autoSpaceDE/>
        <w:autoSpaceDN/>
        <w:bidi w:val="0"/>
        <w:adjustRightInd/>
        <w:snapToGrid/>
        <w:spacing w:after="0" w:line="360" w:lineRule="auto"/>
        <w:ind w:right="0" w:rightChars="0" w:firstLine="560" w:firstLineChars="200"/>
        <w:jc w:val="left"/>
        <w:textAlignment w:val="auto"/>
        <w:rPr>
          <w:rFonts w:hint="default" w:ascii="Times New Roman" w:hAnsi="Times New Roman" w:eastAsia="宋体" w:cs="Times New Roman"/>
          <w:color w:val="000000" w:themeColor="text1"/>
          <w:sz w:val="28"/>
          <w:szCs w:val="21"/>
          <w14:textFill>
            <w14:solidFill>
              <w14:schemeClr w14:val="tx1"/>
            </w14:solidFill>
          </w14:textFill>
        </w:rPr>
      </w:pPr>
      <w:r>
        <w:rPr>
          <w:rFonts w:hint="default" w:ascii="Times New Roman" w:hAnsi="Times New Roman" w:eastAsia="宋体" w:cs="Times New Roman"/>
          <w:color w:val="000000" w:themeColor="text1"/>
          <w:sz w:val="28"/>
          <w:szCs w:val="21"/>
          <w14:textFill>
            <w14:solidFill>
              <w14:schemeClr w14:val="tx1"/>
            </w14:solidFill>
          </w14:textFill>
        </w:rPr>
        <w:t>项目招标代理费以工程施工费作为计费基数，采用差额定率累进法计算。</w:t>
      </w:r>
    </w:p>
    <w:p w14:paraId="7D40E58D">
      <w:pPr>
        <w:keepNext w:val="0"/>
        <w:keepLines w:val="0"/>
        <w:pageBreakBefore w:val="0"/>
        <w:widowControl/>
        <w:tabs>
          <w:tab w:val="left" w:pos="7235"/>
        </w:tabs>
        <w:kinsoku/>
        <w:wordWrap/>
        <w:overflowPunct/>
        <w:topLinePunct w:val="0"/>
        <w:autoSpaceDE/>
        <w:autoSpaceDN/>
        <w:bidi w:val="0"/>
        <w:adjustRightInd/>
        <w:snapToGrid/>
        <w:spacing w:after="0" w:line="360" w:lineRule="auto"/>
        <w:ind w:right="0" w:rightChars="0"/>
        <w:jc w:val="center"/>
        <w:textAlignment w:val="auto"/>
        <w:rPr>
          <w:rFonts w:hint="default" w:ascii="黑体" w:hAnsi="黑体" w:eastAsia="黑体" w:cs="黑体"/>
          <w:b w:val="0"/>
          <w:bCs/>
          <w:color w:val="000000" w:themeColor="text1"/>
          <w:sz w:val="24"/>
          <w:szCs w:val="24"/>
          <w14:textFill>
            <w14:solidFill>
              <w14:schemeClr w14:val="tx1"/>
            </w14:solidFill>
          </w14:textFill>
        </w:rPr>
      </w:pPr>
      <w:r>
        <w:rPr>
          <w:rFonts w:hint="default" w:ascii="黑体" w:hAnsi="黑体" w:eastAsia="黑体" w:cs="黑体"/>
          <w:b w:val="0"/>
          <w:bCs/>
          <w:color w:val="000000" w:themeColor="text1"/>
          <w:sz w:val="24"/>
          <w:szCs w:val="24"/>
          <w14:textFill>
            <w14:solidFill>
              <w14:schemeClr w14:val="tx1"/>
            </w14:solidFill>
          </w14:textFill>
        </w:rPr>
        <w:t>表</w:t>
      </w:r>
      <w:r>
        <w:rPr>
          <w:rFonts w:hint="eastAsia" w:ascii="黑体" w:hAnsi="黑体" w:eastAsia="黑体" w:cs="黑体"/>
          <w:b w:val="0"/>
          <w:bCs/>
          <w:color w:val="000000" w:themeColor="text1"/>
          <w:sz w:val="24"/>
          <w:szCs w:val="24"/>
          <w:lang w:val="en-US" w:eastAsia="zh-CN"/>
          <w14:textFill>
            <w14:solidFill>
              <w14:schemeClr w14:val="tx1"/>
            </w14:solidFill>
          </w14:textFill>
        </w:rPr>
        <w:t>6</w:t>
      </w:r>
      <w:r>
        <w:rPr>
          <w:rFonts w:hint="default" w:ascii="黑体" w:hAnsi="黑体" w:eastAsia="黑体" w:cs="黑体"/>
          <w:b w:val="0"/>
          <w:bCs/>
          <w:color w:val="000000" w:themeColor="text1"/>
          <w:sz w:val="24"/>
          <w:szCs w:val="24"/>
          <w14:textFill>
            <w14:solidFill>
              <w14:schemeClr w14:val="tx1"/>
            </w14:solidFill>
          </w14:textFill>
        </w:rPr>
        <w:t>-</w:t>
      </w:r>
      <w:r>
        <w:rPr>
          <w:rFonts w:hint="eastAsia" w:ascii="黑体" w:hAnsi="黑体" w:eastAsia="黑体" w:cs="黑体"/>
          <w:b w:val="0"/>
          <w:bCs/>
          <w:color w:val="000000" w:themeColor="text1"/>
          <w:sz w:val="24"/>
          <w:szCs w:val="24"/>
          <w:lang w:val="en-US" w:eastAsia="zh-CN"/>
          <w14:textFill>
            <w14:solidFill>
              <w14:schemeClr w14:val="tx1"/>
            </w14:solidFill>
          </w14:textFill>
        </w:rPr>
        <w:t>7</w:t>
      </w:r>
      <w:r>
        <w:rPr>
          <w:rFonts w:hint="default" w:ascii="黑体" w:hAnsi="黑体" w:eastAsia="黑体" w:cs="黑体"/>
          <w:b w:val="0"/>
          <w:bCs/>
          <w:color w:val="000000" w:themeColor="text1"/>
          <w:sz w:val="24"/>
          <w:szCs w:val="24"/>
          <w14:textFill>
            <w14:solidFill>
              <w14:schemeClr w14:val="tx1"/>
            </w14:solidFill>
          </w14:textFill>
        </w:rPr>
        <w:t xml:space="preserve">  项目招标代理费计费标准</w:t>
      </w:r>
    </w:p>
    <w:tbl>
      <w:tblPr>
        <w:tblStyle w:val="30"/>
        <w:tblW w:w="4997" w:type="pct"/>
        <w:tblInd w:w="0" w:type="dxa"/>
        <w:tblLayout w:type="autofit"/>
        <w:tblCellMar>
          <w:top w:w="0" w:type="dxa"/>
          <w:left w:w="108" w:type="dxa"/>
          <w:bottom w:w="0" w:type="dxa"/>
          <w:right w:w="108" w:type="dxa"/>
        </w:tblCellMar>
      </w:tblPr>
      <w:tblGrid>
        <w:gridCol w:w="666"/>
        <w:gridCol w:w="1739"/>
        <w:gridCol w:w="1197"/>
        <w:gridCol w:w="1843"/>
        <w:gridCol w:w="3078"/>
      </w:tblGrid>
      <w:tr w14:paraId="1419302A">
        <w:tblPrEx>
          <w:tblCellMar>
            <w:top w:w="0" w:type="dxa"/>
            <w:left w:w="108" w:type="dxa"/>
            <w:bottom w:w="0" w:type="dxa"/>
            <w:right w:w="108" w:type="dxa"/>
          </w:tblCellMar>
        </w:tblPrEx>
        <w:trPr>
          <w:trHeight w:val="312" w:hRule="atLeast"/>
        </w:trPr>
        <w:tc>
          <w:tcPr>
            <w:tcW w:w="391" w:type="pct"/>
            <w:vMerge w:val="restart"/>
            <w:tcBorders>
              <w:top w:val="single" w:color="auto" w:sz="4" w:space="0"/>
              <w:left w:val="single" w:color="auto" w:sz="4" w:space="0"/>
              <w:right w:val="single" w:color="auto" w:sz="4" w:space="0"/>
            </w:tcBorders>
            <w:noWrap w:val="0"/>
            <w:vAlign w:val="center"/>
          </w:tcPr>
          <w:p w14:paraId="45D3A1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序号</w:t>
            </w:r>
          </w:p>
        </w:tc>
        <w:tc>
          <w:tcPr>
            <w:tcW w:w="1020" w:type="pct"/>
            <w:vMerge w:val="restart"/>
            <w:tcBorders>
              <w:top w:val="single" w:color="auto" w:sz="4" w:space="0"/>
              <w:left w:val="single" w:color="auto" w:sz="4" w:space="0"/>
              <w:right w:val="single" w:color="auto" w:sz="4" w:space="0"/>
            </w:tcBorders>
            <w:noWrap w:val="0"/>
            <w:vAlign w:val="center"/>
          </w:tcPr>
          <w:p w14:paraId="4DCFD2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计费基础（万元）</w:t>
            </w:r>
          </w:p>
        </w:tc>
        <w:tc>
          <w:tcPr>
            <w:tcW w:w="702" w:type="pct"/>
            <w:vMerge w:val="restart"/>
            <w:tcBorders>
              <w:top w:val="single" w:color="auto" w:sz="4" w:space="0"/>
              <w:left w:val="single" w:color="auto" w:sz="4" w:space="0"/>
              <w:right w:val="single" w:color="auto" w:sz="4" w:space="0"/>
            </w:tcBorders>
            <w:noWrap w:val="0"/>
            <w:vAlign w:val="center"/>
          </w:tcPr>
          <w:p w14:paraId="5BD9EB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费率（%）</w:t>
            </w:r>
          </w:p>
        </w:tc>
        <w:tc>
          <w:tcPr>
            <w:tcW w:w="2886" w:type="pct"/>
            <w:gridSpan w:val="2"/>
            <w:tcBorders>
              <w:top w:val="single" w:color="auto" w:sz="4" w:space="0"/>
              <w:left w:val="single" w:color="auto" w:sz="4" w:space="0"/>
              <w:bottom w:val="single" w:color="auto" w:sz="4" w:space="0"/>
              <w:right w:val="single" w:color="auto" w:sz="4" w:space="0"/>
            </w:tcBorders>
            <w:noWrap w:val="0"/>
            <w:vAlign w:val="center"/>
          </w:tcPr>
          <w:p w14:paraId="4B7E36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算例</w:t>
            </w:r>
          </w:p>
        </w:tc>
      </w:tr>
      <w:tr w14:paraId="0B000890">
        <w:tblPrEx>
          <w:tblCellMar>
            <w:top w:w="0" w:type="dxa"/>
            <w:left w:w="108" w:type="dxa"/>
            <w:bottom w:w="0" w:type="dxa"/>
            <w:right w:w="108" w:type="dxa"/>
          </w:tblCellMar>
        </w:tblPrEx>
        <w:trPr>
          <w:trHeight w:val="312" w:hRule="atLeast"/>
        </w:trPr>
        <w:tc>
          <w:tcPr>
            <w:tcW w:w="391" w:type="pct"/>
            <w:vMerge w:val="continue"/>
            <w:tcBorders>
              <w:left w:val="single" w:color="auto" w:sz="4" w:space="0"/>
              <w:bottom w:val="single" w:color="auto" w:sz="4" w:space="0"/>
              <w:right w:val="single" w:color="auto" w:sz="4" w:space="0"/>
            </w:tcBorders>
            <w:noWrap w:val="0"/>
            <w:vAlign w:val="center"/>
          </w:tcPr>
          <w:p w14:paraId="0C373D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1020" w:type="pct"/>
            <w:vMerge w:val="continue"/>
            <w:tcBorders>
              <w:left w:val="single" w:color="auto" w:sz="4" w:space="0"/>
              <w:bottom w:val="single" w:color="auto" w:sz="4" w:space="0"/>
              <w:right w:val="single" w:color="auto" w:sz="4" w:space="0"/>
            </w:tcBorders>
            <w:noWrap w:val="0"/>
            <w:vAlign w:val="center"/>
          </w:tcPr>
          <w:p w14:paraId="764FCC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702" w:type="pct"/>
            <w:vMerge w:val="continue"/>
            <w:tcBorders>
              <w:left w:val="single" w:color="auto" w:sz="4" w:space="0"/>
              <w:bottom w:val="single" w:color="auto" w:sz="4" w:space="0"/>
              <w:right w:val="single" w:color="auto" w:sz="4" w:space="0"/>
            </w:tcBorders>
            <w:noWrap w:val="0"/>
            <w:vAlign w:val="center"/>
          </w:tcPr>
          <w:p w14:paraId="466022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1081" w:type="pct"/>
            <w:tcBorders>
              <w:top w:val="single" w:color="auto" w:sz="4" w:space="0"/>
              <w:left w:val="single" w:color="auto" w:sz="4" w:space="0"/>
              <w:bottom w:val="single" w:color="auto" w:sz="4" w:space="0"/>
              <w:right w:val="single" w:color="auto" w:sz="4" w:space="0"/>
            </w:tcBorders>
            <w:noWrap w:val="0"/>
            <w:vAlign w:val="center"/>
          </w:tcPr>
          <w:p w14:paraId="0DC17D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计费基础（万元）</w:t>
            </w:r>
          </w:p>
        </w:tc>
        <w:tc>
          <w:tcPr>
            <w:tcW w:w="1805" w:type="pct"/>
            <w:tcBorders>
              <w:top w:val="single" w:color="auto" w:sz="4" w:space="0"/>
              <w:left w:val="single" w:color="auto" w:sz="4" w:space="0"/>
              <w:bottom w:val="single" w:color="auto" w:sz="4" w:space="0"/>
              <w:right w:val="single" w:color="auto" w:sz="4" w:space="0"/>
            </w:tcBorders>
            <w:noWrap w:val="0"/>
            <w:vAlign w:val="center"/>
          </w:tcPr>
          <w:p w14:paraId="6E381E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项目招标代理费（万元）</w:t>
            </w:r>
          </w:p>
        </w:tc>
      </w:tr>
      <w:tr w14:paraId="77DE30B4">
        <w:tblPrEx>
          <w:tblCellMar>
            <w:top w:w="0" w:type="dxa"/>
            <w:left w:w="108" w:type="dxa"/>
            <w:bottom w:w="0" w:type="dxa"/>
            <w:right w:w="108" w:type="dxa"/>
          </w:tblCellMar>
        </w:tblPrEx>
        <w:trPr>
          <w:trHeight w:val="312" w:hRule="atLeast"/>
        </w:trPr>
        <w:tc>
          <w:tcPr>
            <w:tcW w:w="391" w:type="pct"/>
            <w:tcBorders>
              <w:top w:val="nil"/>
              <w:left w:val="single" w:color="auto" w:sz="4" w:space="0"/>
              <w:bottom w:val="single" w:color="auto" w:sz="4" w:space="0"/>
              <w:right w:val="single" w:color="auto" w:sz="4" w:space="0"/>
            </w:tcBorders>
            <w:noWrap w:val="0"/>
            <w:vAlign w:val="center"/>
          </w:tcPr>
          <w:p w14:paraId="41C236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p>
        </w:tc>
        <w:tc>
          <w:tcPr>
            <w:tcW w:w="1020" w:type="pct"/>
            <w:tcBorders>
              <w:top w:val="nil"/>
              <w:left w:val="nil"/>
              <w:bottom w:val="single" w:color="auto" w:sz="4" w:space="0"/>
              <w:right w:val="single" w:color="auto" w:sz="4" w:space="0"/>
            </w:tcBorders>
            <w:noWrap w:val="0"/>
            <w:vAlign w:val="center"/>
          </w:tcPr>
          <w:p w14:paraId="394106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≤180</w:t>
            </w:r>
          </w:p>
        </w:tc>
        <w:tc>
          <w:tcPr>
            <w:tcW w:w="702" w:type="pct"/>
            <w:tcBorders>
              <w:top w:val="nil"/>
              <w:left w:val="nil"/>
              <w:bottom w:val="single" w:color="auto" w:sz="4" w:space="0"/>
              <w:right w:val="single" w:color="auto" w:sz="4" w:space="0"/>
            </w:tcBorders>
            <w:noWrap w:val="0"/>
            <w:vAlign w:val="center"/>
          </w:tcPr>
          <w:p w14:paraId="3D9DE0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0.5</w:t>
            </w:r>
          </w:p>
        </w:tc>
        <w:tc>
          <w:tcPr>
            <w:tcW w:w="1081" w:type="pct"/>
            <w:tcBorders>
              <w:top w:val="nil"/>
              <w:left w:val="nil"/>
              <w:bottom w:val="single" w:color="auto" w:sz="4" w:space="0"/>
              <w:right w:val="single" w:color="auto" w:sz="4" w:space="0"/>
            </w:tcBorders>
            <w:noWrap w:val="0"/>
            <w:vAlign w:val="center"/>
          </w:tcPr>
          <w:p w14:paraId="429D40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w:t>
            </w:r>
          </w:p>
        </w:tc>
        <w:tc>
          <w:tcPr>
            <w:tcW w:w="1805" w:type="pct"/>
            <w:tcBorders>
              <w:top w:val="nil"/>
              <w:left w:val="nil"/>
              <w:bottom w:val="single" w:color="auto" w:sz="4" w:space="0"/>
              <w:right w:val="single" w:color="auto" w:sz="4" w:space="0"/>
            </w:tcBorders>
            <w:noWrap w:val="0"/>
            <w:vAlign w:val="center"/>
          </w:tcPr>
          <w:p w14:paraId="7534A6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500×0.5%=2.5</w:t>
            </w:r>
          </w:p>
        </w:tc>
      </w:tr>
      <w:tr w14:paraId="4A7EFFD4">
        <w:tblPrEx>
          <w:tblCellMar>
            <w:top w:w="0" w:type="dxa"/>
            <w:left w:w="108" w:type="dxa"/>
            <w:bottom w:w="0" w:type="dxa"/>
            <w:right w:w="108" w:type="dxa"/>
          </w:tblCellMar>
        </w:tblPrEx>
        <w:trPr>
          <w:trHeight w:val="312" w:hRule="atLeast"/>
        </w:trPr>
        <w:tc>
          <w:tcPr>
            <w:tcW w:w="391" w:type="pct"/>
            <w:tcBorders>
              <w:top w:val="nil"/>
              <w:left w:val="single" w:color="auto" w:sz="4" w:space="0"/>
              <w:bottom w:val="single" w:color="auto" w:sz="4" w:space="0"/>
              <w:right w:val="single" w:color="auto" w:sz="4" w:space="0"/>
            </w:tcBorders>
            <w:noWrap w:val="0"/>
            <w:vAlign w:val="center"/>
          </w:tcPr>
          <w:p w14:paraId="529D57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w:t>
            </w:r>
          </w:p>
        </w:tc>
        <w:tc>
          <w:tcPr>
            <w:tcW w:w="1020" w:type="pct"/>
            <w:tcBorders>
              <w:top w:val="nil"/>
              <w:left w:val="nil"/>
              <w:bottom w:val="single" w:color="auto" w:sz="4" w:space="0"/>
              <w:right w:val="single" w:color="auto" w:sz="4" w:space="0"/>
            </w:tcBorders>
            <w:noWrap w:val="0"/>
            <w:vAlign w:val="center"/>
          </w:tcPr>
          <w:p w14:paraId="704C9E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500-1000</w:t>
            </w:r>
          </w:p>
        </w:tc>
        <w:tc>
          <w:tcPr>
            <w:tcW w:w="702" w:type="pct"/>
            <w:tcBorders>
              <w:top w:val="nil"/>
              <w:left w:val="nil"/>
              <w:bottom w:val="single" w:color="auto" w:sz="4" w:space="0"/>
              <w:right w:val="single" w:color="auto" w:sz="4" w:space="0"/>
            </w:tcBorders>
            <w:noWrap w:val="0"/>
            <w:vAlign w:val="center"/>
          </w:tcPr>
          <w:p w14:paraId="3518D2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0.4</w:t>
            </w:r>
          </w:p>
        </w:tc>
        <w:tc>
          <w:tcPr>
            <w:tcW w:w="1081" w:type="pct"/>
            <w:tcBorders>
              <w:top w:val="nil"/>
              <w:left w:val="nil"/>
              <w:bottom w:val="single" w:color="auto" w:sz="4" w:space="0"/>
              <w:right w:val="single" w:color="auto" w:sz="4" w:space="0"/>
            </w:tcBorders>
            <w:noWrap w:val="0"/>
            <w:vAlign w:val="center"/>
          </w:tcPr>
          <w:p w14:paraId="272DA6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1000</w:t>
            </w:r>
          </w:p>
        </w:tc>
        <w:tc>
          <w:tcPr>
            <w:tcW w:w="1805" w:type="pct"/>
            <w:tcBorders>
              <w:top w:val="nil"/>
              <w:left w:val="nil"/>
              <w:bottom w:val="single" w:color="auto" w:sz="4" w:space="0"/>
              <w:right w:val="single" w:color="auto" w:sz="4" w:space="0"/>
            </w:tcBorders>
            <w:noWrap w:val="0"/>
            <w:vAlign w:val="center"/>
          </w:tcPr>
          <w:p w14:paraId="4AEEAC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2.5+（1000-500）×0.4%=4.5</w:t>
            </w:r>
          </w:p>
        </w:tc>
      </w:tr>
      <w:tr w14:paraId="16715D23">
        <w:tblPrEx>
          <w:tblCellMar>
            <w:top w:w="0" w:type="dxa"/>
            <w:left w:w="108" w:type="dxa"/>
            <w:bottom w:w="0" w:type="dxa"/>
            <w:right w:w="108" w:type="dxa"/>
          </w:tblCellMar>
        </w:tblPrEx>
        <w:trPr>
          <w:trHeight w:val="312" w:hRule="atLeast"/>
        </w:trPr>
        <w:tc>
          <w:tcPr>
            <w:tcW w:w="391" w:type="pct"/>
            <w:tcBorders>
              <w:top w:val="single" w:color="auto" w:sz="4" w:space="0"/>
              <w:left w:val="single" w:color="auto" w:sz="4" w:space="0"/>
              <w:bottom w:val="single" w:color="auto" w:sz="4" w:space="0"/>
              <w:right w:val="single" w:color="auto" w:sz="4" w:space="0"/>
            </w:tcBorders>
            <w:noWrap w:val="0"/>
            <w:vAlign w:val="center"/>
          </w:tcPr>
          <w:p w14:paraId="7AD0C0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w:t>
            </w:r>
          </w:p>
        </w:tc>
        <w:tc>
          <w:tcPr>
            <w:tcW w:w="1020" w:type="pct"/>
            <w:tcBorders>
              <w:top w:val="single" w:color="auto" w:sz="4" w:space="0"/>
              <w:left w:val="nil"/>
              <w:bottom w:val="single" w:color="auto" w:sz="4" w:space="0"/>
              <w:right w:val="single" w:color="auto" w:sz="4" w:space="0"/>
            </w:tcBorders>
            <w:noWrap w:val="0"/>
            <w:vAlign w:val="center"/>
          </w:tcPr>
          <w:p w14:paraId="39D356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1000-3000</w:t>
            </w:r>
          </w:p>
        </w:tc>
        <w:tc>
          <w:tcPr>
            <w:tcW w:w="702" w:type="pct"/>
            <w:tcBorders>
              <w:top w:val="single" w:color="auto" w:sz="4" w:space="0"/>
              <w:left w:val="nil"/>
              <w:bottom w:val="single" w:color="auto" w:sz="4" w:space="0"/>
              <w:right w:val="single" w:color="auto" w:sz="4" w:space="0"/>
            </w:tcBorders>
            <w:noWrap w:val="0"/>
            <w:vAlign w:val="center"/>
          </w:tcPr>
          <w:p w14:paraId="40867F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0.3</w:t>
            </w:r>
          </w:p>
        </w:tc>
        <w:tc>
          <w:tcPr>
            <w:tcW w:w="1081" w:type="pct"/>
            <w:tcBorders>
              <w:top w:val="single" w:color="auto" w:sz="4" w:space="0"/>
              <w:left w:val="nil"/>
              <w:bottom w:val="single" w:color="auto" w:sz="4" w:space="0"/>
              <w:right w:val="single" w:color="auto" w:sz="4" w:space="0"/>
            </w:tcBorders>
            <w:noWrap w:val="0"/>
            <w:vAlign w:val="center"/>
          </w:tcPr>
          <w:p w14:paraId="6BDF0F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3000</w:t>
            </w:r>
          </w:p>
        </w:tc>
        <w:tc>
          <w:tcPr>
            <w:tcW w:w="1805" w:type="pct"/>
            <w:tcBorders>
              <w:top w:val="single" w:color="auto" w:sz="4" w:space="0"/>
              <w:left w:val="nil"/>
              <w:bottom w:val="single" w:color="auto" w:sz="4" w:space="0"/>
              <w:right w:val="single" w:color="auto" w:sz="4" w:space="0"/>
            </w:tcBorders>
            <w:noWrap w:val="0"/>
            <w:vAlign w:val="center"/>
          </w:tcPr>
          <w:p w14:paraId="315727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4.5+（3000-1000）×0.3%=10.5</w:t>
            </w:r>
          </w:p>
        </w:tc>
      </w:tr>
      <w:tr w14:paraId="671A43C8">
        <w:tblPrEx>
          <w:tblCellMar>
            <w:top w:w="0" w:type="dxa"/>
            <w:left w:w="108" w:type="dxa"/>
            <w:bottom w:w="0" w:type="dxa"/>
            <w:right w:w="108" w:type="dxa"/>
          </w:tblCellMar>
        </w:tblPrEx>
        <w:trPr>
          <w:trHeight w:val="312" w:hRule="atLeast"/>
        </w:trPr>
        <w:tc>
          <w:tcPr>
            <w:tcW w:w="391" w:type="pct"/>
            <w:tcBorders>
              <w:top w:val="single" w:color="auto" w:sz="4" w:space="0"/>
              <w:left w:val="single" w:color="auto" w:sz="4" w:space="0"/>
              <w:bottom w:val="single" w:color="auto" w:sz="4" w:space="0"/>
              <w:right w:val="single" w:color="auto" w:sz="4" w:space="0"/>
            </w:tcBorders>
            <w:noWrap w:val="0"/>
            <w:vAlign w:val="center"/>
          </w:tcPr>
          <w:p w14:paraId="116633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w:t>
            </w:r>
          </w:p>
        </w:tc>
        <w:tc>
          <w:tcPr>
            <w:tcW w:w="1020" w:type="pct"/>
            <w:tcBorders>
              <w:top w:val="single" w:color="auto" w:sz="4" w:space="0"/>
              <w:left w:val="nil"/>
              <w:bottom w:val="single" w:color="auto" w:sz="4" w:space="0"/>
              <w:right w:val="single" w:color="auto" w:sz="4" w:space="0"/>
            </w:tcBorders>
            <w:noWrap w:val="0"/>
            <w:vAlign w:val="center"/>
          </w:tcPr>
          <w:p w14:paraId="75F581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3000-5000</w:t>
            </w:r>
          </w:p>
        </w:tc>
        <w:tc>
          <w:tcPr>
            <w:tcW w:w="702" w:type="pct"/>
            <w:tcBorders>
              <w:top w:val="single" w:color="auto" w:sz="4" w:space="0"/>
              <w:left w:val="nil"/>
              <w:bottom w:val="single" w:color="auto" w:sz="4" w:space="0"/>
              <w:right w:val="single" w:color="auto" w:sz="4" w:space="0"/>
            </w:tcBorders>
            <w:noWrap w:val="0"/>
            <w:vAlign w:val="center"/>
          </w:tcPr>
          <w:p w14:paraId="665272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0.2</w:t>
            </w:r>
          </w:p>
        </w:tc>
        <w:tc>
          <w:tcPr>
            <w:tcW w:w="1081" w:type="pct"/>
            <w:tcBorders>
              <w:top w:val="single" w:color="auto" w:sz="4" w:space="0"/>
              <w:left w:val="nil"/>
              <w:bottom w:val="single" w:color="auto" w:sz="4" w:space="0"/>
              <w:right w:val="single" w:color="auto" w:sz="4" w:space="0"/>
            </w:tcBorders>
            <w:noWrap w:val="0"/>
            <w:vAlign w:val="center"/>
          </w:tcPr>
          <w:p w14:paraId="3DA244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5000</w:t>
            </w:r>
          </w:p>
        </w:tc>
        <w:tc>
          <w:tcPr>
            <w:tcW w:w="1805" w:type="pct"/>
            <w:tcBorders>
              <w:top w:val="single" w:color="auto" w:sz="4" w:space="0"/>
              <w:left w:val="nil"/>
              <w:bottom w:val="single" w:color="auto" w:sz="4" w:space="0"/>
              <w:right w:val="single" w:color="auto" w:sz="4" w:space="0"/>
            </w:tcBorders>
            <w:noWrap w:val="0"/>
            <w:vAlign w:val="center"/>
          </w:tcPr>
          <w:p w14:paraId="14A455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10.5+（5000-3000）×0.2%=13.5</w:t>
            </w:r>
          </w:p>
        </w:tc>
      </w:tr>
      <w:tr w14:paraId="59CBC8CB">
        <w:tblPrEx>
          <w:tblCellMar>
            <w:top w:w="0" w:type="dxa"/>
            <w:left w:w="108" w:type="dxa"/>
            <w:bottom w:w="0" w:type="dxa"/>
            <w:right w:w="108" w:type="dxa"/>
          </w:tblCellMar>
        </w:tblPrEx>
        <w:trPr>
          <w:trHeight w:val="312" w:hRule="atLeast"/>
        </w:trPr>
        <w:tc>
          <w:tcPr>
            <w:tcW w:w="391" w:type="pct"/>
            <w:tcBorders>
              <w:top w:val="single" w:color="auto" w:sz="4" w:space="0"/>
              <w:left w:val="single" w:color="auto" w:sz="4" w:space="0"/>
              <w:bottom w:val="single" w:color="auto" w:sz="4" w:space="0"/>
              <w:right w:val="single" w:color="auto" w:sz="4" w:space="0"/>
            </w:tcBorders>
            <w:noWrap w:val="0"/>
            <w:vAlign w:val="center"/>
          </w:tcPr>
          <w:p w14:paraId="61250D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w:t>
            </w:r>
          </w:p>
        </w:tc>
        <w:tc>
          <w:tcPr>
            <w:tcW w:w="1020" w:type="pct"/>
            <w:tcBorders>
              <w:top w:val="single" w:color="auto" w:sz="4" w:space="0"/>
              <w:left w:val="nil"/>
              <w:bottom w:val="single" w:color="auto" w:sz="4" w:space="0"/>
              <w:right w:val="single" w:color="auto" w:sz="4" w:space="0"/>
            </w:tcBorders>
            <w:noWrap w:val="0"/>
            <w:vAlign w:val="center"/>
          </w:tcPr>
          <w:p w14:paraId="799922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5000-10000</w:t>
            </w:r>
          </w:p>
        </w:tc>
        <w:tc>
          <w:tcPr>
            <w:tcW w:w="702" w:type="pct"/>
            <w:tcBorders>
              <w:top w:val="single" w:color="auto" w:sz="4" w:space="0"/>
              <w:left w:val="nil"/>
              <w:bottom w:val="single" w:color="auto" w:sz="4" w:space="0"/>
              <w:right w:val="single" w:color="auto" w:sz="4" w:space="0"/>
            </w:tcBorders>
            <w:noWrap w:val="0"/>
            <w:vAlign w:val="center"/>
          </w:tcPr>
          <w:p w14:paraId="566E01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0.1</w:t>
            </w:r>
          </w:p>
        </w:tc>
        <w:tc>
          <w:tcPr>
            <w:tcW w:w="1081" w:type="pct"/>
            <w:tcBorders>
              <w:top w:val="single" w:color="auto" w:sz="4" w:space="0"/>
              <w:left w:val="nil"/>
              <w:bottom w:val="single" w:color="auto" w:sz="4" w:space="0"/>
              <w:right w:val="single" w:color="auto" w:sz="4" w:space="0"/>
            </w:tcBorders>
            <w:noWrap w:val="0"/>
            <w:vAlign w:val="center"/>
          </w:tcPr>
          <w:p w14:paraId="250291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10000</w:t>
            </w:r>
          </w:p>
        </w:tc>
        <w:tc>
          <w:tcPr>
            <w:tcW w:w="1805" w:type="pct"/>
            <w:tcBorders>
              <w:top w:val="single" w:color="auto" w:sz="4" w:space="0"/>
              <w:left w:val="nil"/>
              <w:bottom w:val="single" w:color="auto" w:sz="4" w:space="0"/>
              <w:right w:val="single" w:color="auto" w:sz="4" w:space="0"/>
            </w:tcBorders>
            <w:noWrap w:val="0"/>
            <w:vAlign w:val="center"/>
          </w:tcPr>
          <w:p w14:paraId="436815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13.5+（10000-5000）×0.1%=18.5</w:t>
            </w:r>
          </w:p>
        </w:tc>
      </w:tr>
      <w:tr w14:paraId="2608F04C">
        <w:tblPrEx>
          <w:tblCellMar>
            <w:top w:w="0" w:type="dxa"/>
            <w:left w:w="108" w:type="dxa"/>
            <w:bottom w:w="0" w:type="dxa"/>
            <w:right w:w="108" w:type="dxa"/>
          </w:tblCellMar>
        </w:tblPrEx>
        <w:trPr>
          <w:trHeight w:val="312" w:hRule="atLeast"/>
        </w:trPr>
        <w:tc>
          <w:tcPr>
            <w:tcW w:w="391" w:type="pct"/>
            <w:tcBorders>
              <w:top w:val="single" w:color="auto" w:sz="4" w:space="0"/>
              <w:left w:val="single" w:color="auto" w:sz="4" w:space="0"/>
              <w:bottom w:val="single" w:color="auto" w:sz="4" w:space="0"/>
              <w:right w:val="single" w:color="auto" w:sz="4" w:space="0"/>
            </w:tcBorders>
            <w:noWrap w:val="0"/>
            <w:vAlign w:val="center"/>
          </w:tcPr>
          <w:p w14:paraId="7B767B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w:t>
            </w:r>
          </w:p>
        </w:tc>
        <w:tc>
          <w:tcPr>
            <w:tcW w:w="1020" w:type="pct"/>
            <w:tcBorders>
              <w:top w:val="single" w:color="auto" w:sz="4" w:space="0"/>
              <w:left w:val="nil"/>
              <w:bottom w:val="single" w:color="auto" w:sz="4" w:space="0"/>
              <w:right w:val="single" w:color="auto" w:sz="4" w:space="0"/>
            </w:tcBorders>
            <w:noWrap w:val="0"/>
            <w:vAlign w:val="center"/>
          </w:tcPr>
          <w:p w14:paraId="47AF44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10000以上</w:t>
            </w:r>
          </w:p>
        </w:tc>
        <w:tc>
          <w:tcPr>
            <w:tcW w:w="702" w:type="pct"/>
            <w:tcBorders>
              <w:top w:val="single" w:color="auto" w:sz="4" w:space="0"/>
              <w:left w:val="nil"/>
              <w:bottom w:val="single" w:color="auto" w:sz="4" w:space="0"/>
              <w:right w:val="single" w:color="auto" w:sz="4" w:space="0"/>
            </w:tcBorders>
            <w:noWrap w:val="0"/>
            <w:vAlign w:val="center"/>
          </w:tcPr>
          <w:p w14:paraId="134550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0.05</w:t>
            </w:r>
          </w:p>
        </w:tc>
        <w:tc>
          <w:tcPr>
            <w:tcW w:w="1081" w:type="pct"/>
            <w:tcBorders>
              <w:top w:val="single" w:color="auto" w:sz="4" w:space="0"/>
              <w:left w:val="nil"/>
              <w:bottom w:val="single" w:color="auto" w:sz="4" w:space="0"/>
              <w:right w:val="single" w:color="auto" w:sz="4" w:space="0"/>
            </w:tcBorders>
            <w:noWrap w:val="0"/>
            <w:vAlign w:val="center"/>
          </w:tcPr>
          <w:p w14:paraId="08D7A4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15000</w:t>
            </w:r>
          </w:p>
        </w:tc>
        <w:tc>
          <w:tcPr>
            <w:tcW w:w="1805" w:type="pct"/>
            <w:tcBorders>
              <w:top w:val="single" w:color="auto" w:sz="4" w:space="0"/>
              <w:left w:val="nil"/>
              <w:bottom w:val="single" w:color="auto" w:sz="4" w:space="0"/>
              <w:right w:val="single" w:color="auto" w:sz="4" w:space="0"/>
            </w:tcBorders>
            <w:noWrap w:val="0"/>
            <w:vAlign w:val="center"/>
          </w:tcPr>
          <w:p w14:paraId="0DA25D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18.5+（15000-10000）×0.05%=21</w:t>
            </w:r>
          </w:p>
        </w:tc>
      </w:tr>
    </w:tbl>
    <w:p w14:paraId="646564A8">
      <w:pPr>
        <w:pStyle w:val="40"/>
        <w:keepNext w:val="0"/>
        <w:keepLines w:val="0"/>
        <w:pageBreakBefore w:val="0"/>
        <w:widowControl/>
        <w:kinsoku/>
        <w:wordWrap/>
        <w:overflowPunct/>
        <w:topLinePunct w:val="0"/>
        <w:autoSpaceDE/>
        <w:autoSpaceDN/>
        <w:bidi w:val="0"/>
        <w:adjustRightInd/>
        <w:snapToGrid/>
        <w:spacing w:after="0" w:line="360" w:lineRule="auto"/>
        <w:textAlignment w:val="auto"/>
        <w:rPr>
          <w:rFonts w:hint="default" w:ascii="Times New Roman" w:hAnsi="Times New Roman" w:eastAsia="宋体" w:cs="Times New Roman"/>
          <w:b/>
          <w:bCs/>
          <w:color w:val="000000" w:themeColor="text1"/>
          <w:szCs w:val="21"/>
          <w14:textFill>
            <w14:solidFill>
              <w14:schemeClr w14:val="tx1"/>
            </w14:solidFill>
          </w14:textFill>
        </w:rPr>
      </w:pPr>
      <w:r>
        <w:rPr>
          <w:rFonts w:hint="default" w:ascii="Times New Roman" w:hAnsi="Times New Roman" w:eastAsia="宋体" w:cs="Times New Roman"/>
          <w:b/>
          <w:bCs/>
          <w:color w:val="000000" w:themeColor="text1"/>
          <w:szCs w:val="21"/>
          <w14:textFill>
            <w14:solidFill>
              <w14:schemeClr w14:val="tx1"/>
            </w14:solidFill>
          </w14:textFill>
        </w:rPr>
        <w:t>注：计费基数小于100万元时，按计费基数的1.0%计取。</w:t>
      </w:r>
    </w:p>
    <w:p w14:paraId="52F5859A">
      <w:pPr>
        <w:keepNext w:val="0"/>
        <w:keepLines w:val="0"/>
        <w:pageBreakBefore w:val="0"/>
        <w:widowControl/>
        <w:kinsoku/>
        <w:wordWrap/>
        <w:overflowPunct/>
        <w:topLinePunct w:val="0"/>
        <w:autoSpaceDE/>
        <w:autoSpaceDN/>
        <w:bidi w:val="0"/>
        <w:adjustRightInd/>
        <w:snapToGrid/>
        <w:spacing w:after="0" w:line="360" w:lineRule="auto"/>
        <w:ind w:right="0" w:rightChars="0" w:firstLine="560" w:firstLineChars="200"/>
        <w:textAlignment w:val="auto"/>
        <w:rPr>
          <w:rFonts w:hint="default" w:ascii="Times New Roman" w:hAnsi="Times New Roman" w:eastAsia="宋体" w:cs="Times New Roman"/>
          <w:color w:val="000000" w:themeColor="text1"/>
          <w:sz w:val="28"/>
          <w:szCs w:val="21"/>
          <w14:textFill>
            <w14:solidFill>
              <w14:schemeClr w14:val="tx1"/>
            </w14:solidFill>
          </w14:textFill>
        </w:rPr>
      </w:pPr>
      <w:r>
        <w:rPr>
          <w:rFonts w:hint="eastAsia" w:cs="Times New Roman"/>
          <w:color w:val="000000" w:themeColor="text1"/>
          <w:sz w:val="28"/>
          <w:szCs w:val="21"/>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1"/>
          <w14:textFill>
            <w14:solidFill>
              <w14:schemeClr w14:val="tx1"/>
            </w14:solidFill>
          </w14:textFill>
        </w:rPr>
        <w:t>工程监理费</w:t>
      </w:r>
    </w:p>
    <w:p w14:paraId="5FEC9A86">
      <w:pPr>
        <w:keepNext w:val="0"/>
        <w:keepLines w:val="0"/>
        <w:pageBreakBefore w:val="0"/>
        <w:widowControl/>
        <w:kinsoku/>
        <w:wordWrap/>
        <w:overflowPunct/>
        <w:topLinePunct w:val="0"/>
        <w:autoSpaceDE/>
        <w:autoSpaceDN/>
        <w:bidi w:val="0"/>
        <w:adjustRightInd/>
        <w:snapToGrid/>
        <w:spacing w:after="0" w:line="360" w:lineRule="auto"/>
        <w:ind w:right="0" w:rightChars="0" w:firstLine="560" w:firstLineChars="200"/>
        <w:textAlignment w:val="auto"/>
        <w:rPr>
          <w:rFonts w:hint="default" w:ascii="Times New Roman" w:hAnsi="Times New Roman" w:eastAsia="宋体" w:cs="Times New Roman"/>
          <w:color w:val="000000" w:themeColor="text1"/>
          <w:sz w:val="28"/>
          <w:szCs w:val="21"/>
          <w14:textFill>
            <w14:solidFill>
              <w14:schemeClr w14:val="tx1"/>
            </w14:solidFill>
          </w14:textFill>
        </w:rPr>
      </w:pPr>
      <w:r>
        <w:rPr>
          <w:rFonts w:hint="default" w:ascii="Times New Roman" w:hAnsi="Times New Roman" w:eastAsia="宋体" w:cs="Times New Roman"/>
          <w:color w:val="000000" w:themeColor="text1"/>
          <w:sz w:val="28"/>
          <w:szCs w:val="21"/>
          <w14:textFill>
            <w14:solidFill>
              <w14:schemeClr w14:val="tx1"/>
            </w14:solidFill>
          </w14:textFill>
        </w:rPr>
        <w:t>以工程施工费作为计费基数，采用分档定额计算方式计算，各区间按内插法确定，具体费率如下表</w:t>
      </w:r>
      <w:r>
        <w:rPr>
          <w:rFonts w:hint="eastAsia" w:ascii="Times New Roman" w:hAnsi="Times New Roman" w:eastAsia="宋体" w:cs="Times New Roman"/>
          <w:color w:val="000000" w:themeColor="text1"/>
          <w:sz w:val="28"/>
          <w:szCs w:val="21"/>
          <w:lang w:val="en-US" w:eastAsia="zh-CN"/>
          <w14:textFill>
            <w14:solidFill>
              <w14:schemeClr w14:val="tx1"/>
            </w14:solidFill>
          </w14:textFill>
        </w:rPr>
        <w:t>6</w:t>
      </w:r>
      <w:r>
        <w:rPr>
          <w:rFonts w:hint="default" w:ascii="Times New Roman" w:hAnsi="Times New Roman" w:eastAsia="宋体" w:cs="Times New Roman"/>
          <w:color w:val="000000" w:themeColor="text1"/>
          <w:sz w:val="28"/>
          <w:szCs w:val="21"/>
          <w14:textFill>
            <w14:solidFill>
              <w14:schemeClr w14:val="tx1"/>
            </w14:solidFill>
          </w14:textFill>
        </w:rPr>
        <w:t>-</w:t>
      </w:r>
      <w:r>
        <w:rPr>
          <w:rFonts w:hint="eastAsia" w:cs="Times New Roman"/>
          <w:color w:val="000000" w:themeColor="text1"/>
          <w:sz w:val="28"/>
          <w:szCs w:val="21"/>
          <w:lang w:val="en-US" w:eastAsia="zh-CN"/>
          <w14:textFill>
            <w14:solidFill>
              <w14:schemeClr w14:val="tx1"/>
            </w14:solidFill>
          </w14:textFill>
        </w:rPr>
        <w:t>8</w:t>
      </w:r>
      <w:r>
        <w:rPr>
          <w:rFonts w:hint="default" w:ascii="Times New Roman" w:hAnsi="Times New Roman" w:eastAsia="宋体" w:cs="Times New Roman"/>
          <w:color w:val="000000" w:themeColor="text1"/>
          <w:sz w:val="28"/>
          <w:szCs w:val="21"/>
          <w14:textFill>
            <w14:solidFill>
              <w14:schemeClr w14:val="tx1"/>
            </w14:solidFill>
          </w14:textFill>
        </w:rPr>
        <w:t>。</w:t>
      </w:r>
    </w:p>
    <w:p w14:paraId="2F1068B5">
      <w:pPr>
        <w:keepNext w:val="0"/>
        <w:keepLines w:val="0"/>
        <w:pageBreakBefore w:val="0"/>
        <w:widowControl/>
        <w:tabs>
          <w:tab w:val="left" w:pos="7235"/>
        </w:tabs>
        <w:kinsoku/>
        <w:wordWrap/>
        <w:overflowPunct/>
        <w:topLinePunct w:val="0"/>
        <w:autoSpaceDE/>
        <w:autoSpaceDN/>
        <w:bidi w:val="0"/>
        <w:adjustRightInd/>
        <w:snapToGrid/>
        <w:spacing w:after="0" w:line="360" w:lineRule="auto"/>
        <w:ind w:right="0" w:rightChars="0"/>
        <w:jc w:val="center"/>
        <w:textAlignment w:val="auto"/>
        <w:rPr>
          <w:rFonts w:hint="default" w:ascii="黑体" w:hAnsi="黑体" w:eastAsia="黑体" w:cs="黑体"/>
          <w:b w:val="0"/>
          <w:bCs/>
          <w:color w:val="000000" w:themeColor="text1"/>
          <w:sz w:val="24"/>
          <w:szCs w:val="24"/>
          <w14:textFill>
            <w14:solidFill>
              <w14:schemeClr w14:val="tx1"/>
            </w14:solidFill>
          </w14:textFill>
        </w:rPr>
      </w:pPr>
      <w:r>
        <w:rPr>
          <w:rFonts w:hint="default" w:ascii="黑体" w:hAnsi="黑体" w:eastAsia="黑体" w:cs="黑体"/>
          <w:b w:val="0"/>
          <w:bCs/>
          <w:color w:val="000000" w:themeColor="text1"/>
          <w:sz w:val="24"/>
          <w:szCs w:val="24"/>
          <w14:textFill>
            <w14:solidFill>
              <w14:schemeClr w14:val="tx1"/>
            </w14:solidFill>
          </w14:textFill>
        </w:rPr>
        <w:t>表</w:t>
      </w:r>
      <w:r>
        <w:rPr>
          <w:rFonts w:hint="eastAsia" w:ascii="黑体" w:hAnsi="黑体" w:eastAsia="黑体" w:cs="黑体"/>
          <w:b w:val="0"/>
          <w:bCs/>
          <w:color w:val="000000" w:themeColor="text1"/>
          <w:sz w:val="24"/>
          <w:szCs w:val="24"/>
          <w:lang w:val="en-US" w:eastAsia="zh-CN"/>
          <w14:textFill>
            <w14:solidFill>
              <w14:schemeClr w14:val="tx1"/>
            </w14:solidFill>
          </w14:textFill>
        </w:rPr>
        <w:t>6</w:t>
      </w:r>
      <w:r>
        <w:rPr>
          <w:rFonts w:hint="default" w:ascii="黑体" w:hAnsi="黑体" w:eastAsia="黑体" w:cs="黑体"/>
          <w:b w:val="0"/>
          <w:bCs/>
          <w:color w:val="000000" w:themeColor="text1"/>
          <w:sz w:val="24"/>
          <w:szCs w:val="24"/>
          <w14:textFill>
            <w14:solidFill>
              <w14:schemeClr w14:val="tx1"/>
            </w14:solidFill>
          </w14:textFill>
        </w:rPr>
        <w:t>-</w:t>
      </w:r>
      <w:r>
        <w:rPr>
          <w:rFonts w:hint="eastAsia" w:ascii="黑体" w:hAnsi="黑体" w:eastAsia="黑体" w:cs="黑体"/>
          <w:b w:val="0"/>
          <w:bCs/>
          <w:color w:val="000000" w:themeColor="text1"/>
          <w:sz w:val="24"/>
          <w:szCs w:val="24"/>
          <w:lang w:val="en-US" w:eastAsia="zh-CN"/>
          <w14:textFill>
            <w14:solidFill>
              <w14:schemeClr w14:val="tx1"/>
            </w14:solidFill>
          </w14:textFill>
        </w:rPr>
        <w:t>8</w:t>
      </w:r>
      <w:r>
        <w:rPr>
          <w:rFonts w:hint="default" w:ascii="黑体" w:hAnsi="黑体" w:eastAsia="黑体" w:cs="黑体"/>
          <w:b w:val="0"/>
          <w:bCs/>
          <w:color w:val="000000" w:themeColor="text1"/>
          <w:sz w:val="24"/>
          <w:szCs w:val="24"/>
          <w14:textFill>
            <w14:solidFill>
              <w14:schemeClr w14:val="tx1"/>
            </w14:solidFill>
          </w14:textFill>
        </w:rPr>
        <w:t xml:space="preserve">  工程监理费计费标准</w:t>
      </w:r>
    </w:p>
    <w:tbl>
      <w:tblPr>
        <w:tblStyle w:val="30"/>
        <w:tblW w:w="4926" w:type="pct"/>
        <w:jc w:val="center"/>
        <w:tblLayout w:type="autofit"/>
        <w:tblCellMar>
          <w:top w:w="0" w:type="dxa"/>
          <w:left w:w="108" w:type="dxa"/>
          <w:bottom w:w="0" w:type="dxa"/>
          <w:right w:w="108" w:type="dxa"/>
        </w:tblCellMar>
      </w:tblPr>
      <w:tblGrid>
        <w:gridCol w:w="1512"/>
        <w:gridCol w:w="3933"/>
        <w:gridCol w:w="2957"/>
      </w:tblGrid>
      <w:tr w14:paraId="5D1B36AD">
        <w:tblPrEx>
          <w:tblCellMar>
            <w:top w:w="0" w:type="dxa"/>
            <w:left w:w="108" w:type="dxa"/>
            <w:bottom w:w="0" w:type="dxa"/>
            <w:right w:w="108" w:type="dxa"/>
          </w:tblCellMar>
        </w:tblPrEx>
        <w:trPr>
          <w:trHeight w:val="312" w:hRule="exact"/>
          <w:jc w:val="center"/>
        </w:trPr>
        <w:tc>
          <w:tcPr>
            <w:tcW w:w="900" w:type="pct"/>
            <w:tcBorders>
              <w:top w:val="single" w:color="auto" w:sz="4" w:space="0"/>
              <w:left w:val="single" w:color="auto" w:sz="4" w:space="0"/>
              <w:bottom w:val="single" w:color="auto" w:sz="4" w:space="0"/>
              <w:right w:val="single" w:color="auto" w:sz="4" w:space="0"/>
            </w:tcBorders>
            <w:noWrap w:val="0"/>
            <w:vAlign w:val="center"/>
          </w:tcPr>
          <w:p w14:paraId="067344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序号</w:t>
            </w:r>
          </w:p>
        </w:tc>
        <w:tc>
          <w:tcPr>
            <w:tcW w:w="2340" w:type="pct"/>
            <w:tcBorders>
              <w:top w:val="single" w:color="auto" w:sz="4" w:space="0"/>
              <w:left w:val="single" w:color="auto" w:sz="4" w:space="0"/>
              <w:bottom w:val="single" w:color="auto" w:sz="4" w:space="0"/>
              <w:right w:val="single" w:color="auto" w:sz="4" w:space="0"/>
            </w:tcBorders>
            <w:noWrap w:val="0"/>
            <w:vAlign w:val="center"/>
          </w:tcPr>
          <w:p w14:paraId="15EEE1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计费基数（万元）</w:t>
            </w:r>
          </w:p>
        </w:tc>
        <w:tc>
          <w:tcPr>
            <w:tcW w:w="1759" w:type="pct"/>
            <w:tcBorders>
              <w:top w:val="single" w:color="auto" w:sz="4" w:space="0"/>
              <w:left w:val="single" w:color="auto" w:sz="4" w:space="0"/>
              <w:bottom w:val="single" w:color="auto" w:sz="4" w:space="0"/>
              <w:right w:val="single" w:color="auto" w:sz="4" w:space="0"/>
            </w:tcBorders>
            <w:noWrap w:val="0"/>
            <w:vAlign w:val="center"/>
          </w:tcPr>
          <w:p w14:paraId="59CACB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工程监理费（万元）</w:t>
            </w:r>
          </w:p>
        </w:tc>
      </w:tr>
      <w:tr w14:paraId="06F67ACC">
        <w:tblPrEx>
          <w:tblCellMar>
            <w:top w:w="0" w:type="dxa"/>
            <w:left w:w="108" w:type="dxa"/>
            <w:bottom w:w="0" w:type="dxa"/>
            <w:right w:w="108" w:type="dxa"/>
          </w:tblCellMar>
        </w:tblPrEx>
        <w:trPr>
          <w:trHeight w:val="312" w:hRule="exact"/>
          <w:jc w:val="center"/>
        </w:trPr>
        <w:tc>
          <w:tcPr>
            <w:tcW w:w="900" w:type="pct"/>
            <w:tcBorders>
              <w:top w:val="nil"/>
              <w:left w:val="single" w:color="auto" w:sz="4" w:space="0"/>
              <w:bottom w:val="single" w:color="auto" w:sz="4" w:space="0"/>
              <w:right w:val="single" w:color="auto" w:sz="4" w:space="0"/>
            </w:tcBorders>
            <w:noWrap w:val="0"/>
            <w:vAlign w:val="center"/>
          </w:tcPr>
          <w:p w14:paraId="2B9449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p>
        </w:tc>
        <w:tc>
          <w:tcPr>
            <w:tcW w:w="2340" w:type="pct"/>
            <w:tcBorders>
              <w:top w:val="nil"/>
              <w:left w:val="nil"/>
              <w:bottom w:val="single" w:color="auto" w:sz="4" w:space="0"/>
              <w:right w:val="single" w:color="auto" w:sz="4" w:space="0"/>
            </w:tcBorders>
            <w:noWrap w:val="0"/>
            <w:vAlign w:val="center"/>
          </w:tcPr>
          <w:p w14:paraId="3FF681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≤180</w:t>
            </w:r>
          </w:p>
        </w:tc>
        <w:tc>
          <w:tcPr>
            <w:tcW w:w="1759" w:type="pct"/>
            <w:tcBorders>
              <w:top w:val="nil"/>
              <w:left w:val="nil"/>
              <w:bottom w:val="single" w:color="auto" w:sz="4" w:space="0"/>
              <w:right w:val="single" w:color="auto" w:sz="4" w:space="0"/>
            </w:tcBorders>
            <w:noWrap w:val="0"/>
            <w:vAlign w:val="center"/>
          </w:tcPr>
          <w:p w14:paraId="3EB1C1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w:t>
            </w:r>
          </w:p>
        </w:tc>
      </w:tr>
      <w:tr w14:paraId="7E531EDB">
        <w:tblPrEx>
          <w:tblCellMar>
            <w:top w:w="0" w:type="dxa"/>
            <w:left w:w="108" w:type="dxa"/>
            <w:bottom w:w="0" w:type="dxa"/>
            <w:right w:w="108" w:type="dxa"/>
          </w:tblCellMar>
        </w:tblPrEx>
        <w:trPr>
          <w:trHeight w:val="312" w:hRule="exact"/>
          <w:jc w:val="center"/>
        </w:trPr>
        <w:tc>
          <w:tcPr>
            <w:tcW w:w="900" w:type="pct"/>
            <w:tcBorders>
              <w:top w:val="single" w:color="auto" w:sz="4" w:space="0"/>
              <w:left w:val="single" w:color="auto" w:sz="4" w:space="0"/>
              <w:bottom w:val="single" w:color="auto" w:sz="4" w:space="0"/>
              <w:right w:val="single" w:color="auto" w:sz="4" w:space="0"/>
            </w:tcBorders>
            <w:noWrap w:val="0"/>
            <w:vAlign w:val="center"/>
          </w:tcPr>
          <w:p w14:paraId="555847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w:t>
            </w:r>
          </w:p>
        </w:tc>
        <w:tc>
          <w:tcPr>
            <w:tcW w:w="2340" w:type="pct"/>
            <w:tcBorders>
              <w:top w:val="single" w:color="auto" w:sz="4" w:space="0"/>
              <w:left w:val="nil"/>
              <w:bottom w:val="single" w:color="auto" w:sz="4" w:space="0"/>
              <w:right w:val="single" w:color="auto" w:sz="4" w:space="0"/>
            </w:tcBorders>
            <w:noWrap w:val="0"/>
            <w:vAlign w:val="center"/>
          </w:tcPr>
          <w:p w14:paraId="1A1957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w:t>
            </w:r>
          </w:p>
        </w:tc>
        <w:tc>
          <w:tcPr>
            <w:tcW w:w="1759" w:type="pct"/>
            <w:tcBorders>
              <w:top w:val="single" w:color="auto" w:sz="4" w:space="0"/>
              <w:left w:val="nil"/>
              <w:bottom w:val="single" w:color="auto" w:sz="4" w:space="0"/>
              <w:right w:val="single" w:color="auto" w:sz="4" w:space="0"/>
            </w:tcBorders>
            <w:noWrap w:val="0"/>
            <w:vAlign w:val="center"/>
          </w:tcPr>
          <w:p w14:paraId="0CF3E0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w:t>
            </w:r>
          </w:p>
        </w:tc>
      </w:tr>
      <w:tr w14:paraId="11517063">
        <w:tblPrEx>
          <w:tblCellMar>
            <w:top w:w="0" w:type="dxa"/>
            <w:left w:w="108" w:type="dxa"/>
            <w:bottom w:w="0" w:type="dxa"/>
            <w:right w:w="108" w:type="dxa"/>
          </w:tblCellMar>
        </w:tblPrEx>
        <w:trPr>
          <w:trHeight w:val="312" w:hRule="exact"/>
          <w:jc w:val="center"/>
        </w:trPr>
        <w:tc>
          <w:tcPr>
            <w:tcW w:w="900" w:type="pct"/>
            <w:tcBorders>
              <w:top w:val="single" w:color="auto" w:sz="4" w:space="0"/>
              <w:left w:val="single" w:color="auto" w:sz="4" w:space="0"/>
              <w:bottom w:val="single" w:color="auto" w:sz="4" w:space="0"/>
              <w:right w:val="single" w:color="auto" w:sz="4" w:space="0"/>
            </w:tcBorders>
            <w:noWrap w:val="0"/>
            <w:vAlign w:val="center"/>
          </w:tcPr>
          <w:p w14:paraId="21B588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w:t>
            </w:r>
          </w:p>
        </w:tc>
        <w:tc>
          <w:tcPr>
            <w:tcW w:w="2340" w:type="pct"/>
            <w:tcBorders>
              <w:top w:val="single" w:color="auto" w:sz="4" w:space="0"/>
              <w:left w:val="nil"/>
              <w:bottom w:val="single" w:color="auto" w:sz="4" w:space="0"/>
              <w:right w:val="single" w:color="auto" w:sz="4" w:space="0"/>
            </w:tcBorders>
            <w:noWrap w:val="0"/>
            <w:vAlign w:val="center"/>
          </w:tcPr>
          <w:p w14:paraId="2AFB64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1000</w:t>
            </w:r>
          </w:p>
        </w:tc>
        <w:tc>
          <w:tcPr>
            <w:tcW w:w="1759" w:type="pct"/>
            <w:tcBorders>
              <w:top w:val="single" w:color="auto" w:sz="4" w:space="0"/>
              <w:left w:val="nil"/>
              <w:bottom w:val="single" w:color="auto" w:sz="4" w:space="0"/>
              <w:right w:val="single" w:color="auto" w:sz="4" w:space="0"/>
            </w:tcBorders>
            <w:noWrap w:val="0"/>
            <w:vAlign w:val="center"/>
          </w:tcPr>
          <w:p w14:paraId="1349E7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18</w:t>
            </w:r>
          </w:p>
        </w:tc>
      </w:tr>
      <w:tr w14:paraId="72B8D14E">
        <w:tblPrEx>
          <w:tblCellMar>
            <w:top w:w="0" w:type="dxa"/>
            <w:left w:w="108" w:type="dxa"/>
            <w:bottom w:w="0" w:type="dxa"/>
            <w:right w:w="108" w:type="dxa"/>
          </w:tblCellMar>
        </w:tblPrEx>
        <w:trPr>
          <w:trHeight w:val="312" w:hRule="exact"/>
          <w:jc w:val="center"/>
        </w:trPr>
        <w:tc>
          <w:tcPr>
            <w:tcW w:w="900" w:type="pct"/>
            <w:tcBorders>
              <w:top w:val="single" w:color="auto" w:sz="4" w:space="0"/>
              <w:left w:val="single" w:color="auto" w:sz="4" w:space="0"/>
              <w:bottom w:val="single" w:color="auto" w:sz="4" w:space="0"/>
              <w:right w:val="single" w:color="auto" w:sz="4" w:space="0"/>
            </w:tcBorders>
            <w:noWrap w:val="0"/>
            <w:vAlign w:val="center"/>
          </w:tcPr>
          <w:p w14:paraId="48C46E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w:t>
            </w:r>
          </w:p>
        </w:tc>
        <w:tc>
          <w:tcPr>
            <w:tcW w:w="2340" w:type="pct"/>
            <w:tcBorders>
              <w:top w:val="single" w:color="auto" w:sz="4" w:space="0"/>
              <w:left w:val="nil"/>
              <w:bottom w:val="single" w:color="auto" w:sz="4" w:space="0"/>
              <w:right w:val="single" w:color="auto" w:sz="4" w:space="0"/>
            </w:tcBorders>
            <w:noWrap w:val="0"/>
            <w:vAlign w:val="center"/>
          </w:tcPr>
          <w:p w14:paraId="1C4D2A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3000</w:t>
            </w:r>
          </w:p>
        </w:tc>
        <w:tc>
          <w:tcPr>
            <w:tcW w:w="1759" w:type="pct"/>
            <w:tcBorders>
              <w:top w:val="single" w:color="auto" w:sz="4" w:space="0"/>
              <w:left w:val="nil"/>
              <w:bottom w:val="single" w:color="auto" w:sz="4" w:space="0"/>
              <w:right w:val="single" w:color="auto" w:sz="4" w:space="0"/>
            </w:tcBorders>
            <w:noWrap w:val="0"/>
            <w:vAlign w:val="center"/>
          </w:tcPr>
          <w:p w14:paraId="323CF7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45</w:t>
            </w:r>
          </w:p>
        </w:tc>
      </w:tr>
      <w:tr w14:paraId="27185B29">
        <w:tblPrEx>
          <w:tblCellMar>
            <w:top w:w="0" w:type="dxa"/>
            <w:left w:w="108" w:type="dxa"/>
            <w:bottom w:w="0" w:type="dxa"/>
            <w:right w:w="108" w:type="dxa"/>
          </w:tblCellMar>
        </w:tblPrEx>
        <w:trPr>
          <w:trHeight w:val="312" w:hRule="exact"/>
          <w:jc w:val="center"/>
        </w:trPr>
        <w:tc>
          <w:tcPr>
            <w:tcW w:w="900" w:type="pct"/>
            <w:tcBorders>
              <w:top w:val="single" w:color="auto" w:sz="4" w:space="0"/>
              <w:left w:val="single" w:color="auto" w:sz="4" w:space="0"/>
              <w:bottom w:val="single" w:color="auto" w:sz="4" w:space="0"/>
              <w:right w:val="single" w:color="auto" w:sz="4" w:space="0"/>
            </w:tcBorders>
            <w:noWrap w:val="0"/>
            <w:vAlign w:val="center"/>
          </w:tcPr>
          <w:p w14:paraId="4E2604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w:t>
            </w:r>
          </w:p>
        </w:tc>
        <w:tc>
          <w:tcPr>
            <w:tcW w:w="2340" w:type="pct"/>
            <w:tcBorders>
              <w:top w:val="single" w:color="auto" w:sz="4" w:space="0"/>
              <w:left w:val="nil"/>
              <w:bottom w:val="single" w:color="auto" w:sz="4" w:space="0"/>
              <w:right w:val="single" w:color="auto" w:sz="4" w:space="0"/>
            </w:tcBorders>
            <w:noWrap w:val="0"/>
            <w:vAlign w:val="center"/>
          </w:tcPr>
          <w:p w14:paraId="1C3F31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5000</w:t>
            </w:r>
          </w:p>
        </w:tc>
        <w:tc>
          <w:tcPr>
            <w:tcW w:w="1759" w:type="pct"/>
            <w:tcBorders>
              <w:top w:val="single" w:color="auto" w:sz="4" w:space="0"/>
              <w:left w:val="nil"/>
              <w:bottom w:val="single" w:color="auto" w:sz="4" w:space="0"/>
              <w:right w:val="single" w:color="auto" w:sz="4" w:space="0"/>
            </w:tcBorders>
            <w:noWrap w:val="0"/>
            <w:vAlign w:val="center"/>
          </w:tcPr>
          <w:p w14:paraId="690CB6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70</w:t>
            </w:r>
          </w:p>
        </w:tc>
      </w:tr>
      <w:tr w14:paraId="2E3495F0">
        <w:tblPrEx>
          <w:tblCellMar>
            <w:top w:w="0" w:type="dxa"/>
            <w:left w:w="108" w:type="dxa"/>
            <w:bottom w:w="0" w:type="dxa"/>
            <w:right w:w="108" w:type="dxa"/>
          </w:tblCellMar>
        </w:tblPrEx>
        <w:trPr>
          <w:trHeight w:val="312" w:hRule="exact"/>
          <w:jc w:val="center"/>
        </w:trPr>
        <w:tc>
          <w:tcPr>
            <w:tcW w:w="900" w:type="pct"/>
            <w:tcBorders>
              <w:top w:val="single" w:color="auto" w:sz="4" w:space="0"/>
              <w:left w:val="single" w:color="auto" w:sz="4" w:space="0"/>
              <w:bottom w:val="single" w:color="auto" w:sz="4" w:space="0"/>
              <w:right w:val="single" w:color="auto" w:sz="4" w:space="0"/>
            </w:tcBorders>
            <w:noWrap w:val="0"/>
            <w:vAlign w:val="center"/>
          </w:tcPr>
          <w:p w14:paraId="1D2499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w:t>
            </w:r>
          </w:p>
        </w:tc>
        <w:tc>
          <w:tcPr>
            <w:tcW w:w="2340" w:type="pct"/>
            <w:tcBorders>
              <w:top w:val="single" w:color="auto" w:sz="4" w:space="0"/>
              <w:left w:val="nil"/>
              <w:bottom w:val="single" w:color="auto" w:sz="4" w:space="0"/>
              <w:right w:val="single" w:color="auto" w:sz="4" w:space="0"/>
            </w:tcBorders>
            <w:noWrap w:val="0"/>
            <w:vAlign w:val="center"/>
          </w:tcPr>
          <w:p w14:paraId="688C0D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10000</w:t>
            </w:r>
          </w:p>
        </w:tc>
        <w:tc>
          <w:tcPr>
            <w:tcW w:w="1759" w:type="pct"/>
            <w:tcBorders>
              <w:top w:val="single" w:color="auto" w:sz="4" w:space="0"/>
              <w:left w:val="nil"/>
              <w:bottom w:val="single" w:color="auto" w:sz="4" w:space="0"/>
              <w:right w:val="single" w:color="auto" w:sz="4" w:space="0"/>
            </w:tcBorders>
            <w:noWrap w:val="0"/>
            <w:vAlign w:val="center"/>
          </w:tcPr>
          <w:p w14:paraId="63FE81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120</w:t>
            </w:r>
          </w:p>
        </w:tc>
      </w:tr>
    </w:tbl>
    <w:p w14:paraId="4FB584B1">
      <w:pPr>
        <w:keepNext w:val="0"/>
        <w:keepLines w:val="0"/>
        <w:pageBreakBefore w:val="0"/>
        <w:widowControl/>
        <w:kinsoku/>
        <w:wordWrap/>
        <w:overflowPunct/>
        <w:topLinePunct w:val="0"/>
        <w:autoSpaceDE/>
        <w:autoSpaceDN/>
        <w:bidi w:val="0"/>
        <w:adjustRightInd/>
        <w:snapToGrid/>
        <w:spacing w:after="0" w:line="360" w:lineRule="auto"/>
        <w:ind w:firstLine="211" w:firstLineChars="100"/>
        <w:textAlignment w:val="auto"/>
        <w:rPr>
          <w:rFonts w:hint="default" w:ascii="Times New Roman" w:hAnsi="Times New Roman" w:eastAsia="宋体" w:cs="Times New Roman"/>
          <w:b/>
          <w:color w:val="000000" w:themeColor="text1"/>
          <w14:textFill>
            <w14:solidFill>
              <w14:schemeClr w14:val="tx1"/>
            </w14:solidFill>
          </w14:textFill>
        </w:rPr>
      </w:pPr>
      <w:r>
        <w:rPr>
          <w:rFonts w:hint="default" w:ascii="Times New Roman" w:hAnsi="Times New Roman" w:eastAsia="宋体" w:cs="Times New Roman"/>
          <w:b/>
          <w:color w:val="000000" w:themeColor="text1"/>
          <w14:textFill>
            <w14:solidFill>
              <w14:schemeClr w14:val="tx1"/>
            </w14:solidFill>
          </w14:textFill>
        </w:rPr>
        <w:t>注：计费基数大于1亿元时，按计费基数的1.20%计取。</w:t>
      </w:r>
    </w:p>
    <w:p w14:paraId="1E9F1B7F">
      <w:pPr>
        <w:keepNext w:val="0"/>
        <w:keepLines w:val="0"/>
        <w:pageBreakBefore w:val="0"/>
        <w:widowControl/>
        <w:kinsoku/>
        <w:wordWrap/>
        <w:overflowPunct/>
        <w:topLinePunct w:val="0"/>
        <w:autoSpaceDE/>
        <w:autoSpaceDN/>
        <w:bidi w:val="0"/>
        <w:adjustRightInd/>
        <w:snapToGrid/>
        <w:spacing w:after="0" w:line="360" w:lineRule="auto"/>
        <w:ind w:firstLine="560" w:firstLineChars="200"/>
        <w:jc w:val="left"/>
        <w:textAlignment w:val="auto"/>
        <w:rPr>
          <w:rFonts w:hint="default" w:ascii="Times New Roman" w:hAnsi="Times New Roman" w:eastAsia="宋体" w:cs="Times New Roman"/>
          <w:color w:val="000000" w:themeColor="text1"/>
          <w:sz w:val="28"/>
          <w:szCs w:val="21"/>
          <w14:textFill>
            <w14:solidFill>
              <w14:schemeClr w14:val="tx1"/>
            </w14:solidFill>
          </w14:textFill>
        </w:rPr>
      </w:pPr>
      <w:r>
        <w:rPr>
          <w:rFonts w:hint="eastAsia" w:cs="Times New Roman"/>
          <w:color w:val="000000" w:themeColor="text1"/>
          <w:sz w:val="28"/>
          <w:szCs w:val="21"/>
          <w:lang w:val="en-US" w:eastAsia="zh-CN"/>
          <w14:textFill>
            <w14:solidFill>
              <w14:schemeClr w14:val="tx1"/>
            </w14:solidFill>
          </w14:textFill>
        </w:rPr>
        <w:t>3、</w:t>
      </w:r>
      <w:r>
        <w:rPr>
          <w:rFonts w:hint="default" w:ascii="Times New Roman" w:hAnsi="Times New Roman" w:eastAsia="宋体" w:cs="Times New Roman"/>
          <w:color w:val="000000" w:themeColor="text1"/>
          <w:sz w:val="28"/>
          <w:szCs w:val="21"/>
          <w14:textFill>
            <w14:solidFill>
              <w14:schemeClr w14:val="tx1"/>
            </w14:solidFill>
          </w14:textFill>
        </w:rPr>
        <w:t>竣工验收费</w:t>
      </w:r>
    </w:p>
    <w:p w14:paraId="093F48D8">
      <w:pPr>
        <w:keepNext w:val="0"/>
        <w:keepLines w:val="0"/>
        <w:pageBreakBefore w:val="0"/>
        <w:widowControl/>
        <w:kinsoku/>
        <w:wordWrap/>
        <w:overflowPunct/>
        <w:topLinePunct w:val="0"/>
        <w:autoSpaceDE/>
        <w:autoSpaceDN/>
        <w:bidi w:val="0"/>
        <w:adjustRightInd/>
        <w:snapToGrid/>
        <w:spacing w:after="0" w:line="360" w:lineRule="auto"/>
        <w:ind w:right="0" w:rightChars="0" w:firstLine="560" w:firstLineChars="200"/>
        <w:jc w:val="left"/>
        <w:textAlignment w:val="auto"/>
        <w:rPr>
          <w:rFonts w:hint="default" w:ascii="Times New Roman" w:hAnsi="Times New Roman" w:eastAsia="宋体" w:cs="Times New Roman"/>
          <w:color w:val="000000" w:themeColor="text1"/>
          <w:sz w:val="28"/>
          <w:szCs w:val="21"/>
          <w14:textFill>
            <w14:solidFill>
              <w14:schemeClr w14:val="tx1"/>
            </w14:solidFill>
          </w14:textFill>
        </w:rPr>
      </w:pPr>
      <w:r>
        <w:rPr>
          <w:rFonts w:hint="default" w:ascii="Times New Roman" w:hAnsi="Times New Roman" w:eastAsia="宋体" w:cs="Times New Roman"/>
          <w:color w:val="000000" w:themeColor="text1"/>
          <w:sz w:val="28"/>
          <w:szCs w:val="21"/>
          <w14:textFill>
            <w14:solidFill>
              <w14:schemeClr w14:val="tx1"/>
            </w14:solidFill>
          </w14:textFill>
        </w:rPr>
        <w:t>竣工验收费包括工程验收费、项目决算编制与审计费，工程验收费以工程施工费作为计费基数，采用差额定率累进法计算，见表</w:t>
      </w:r>
      <w:r>
        <w:rPr>
          <w:rFonts w:hint="eastAsia" w:ascii="Times New Roman" w:hAnsi="Times New Roman" w:eastAsia="宋体" w:cs="Times New Roman"/>
          <w:color w:val="000000" w:themeColor="text1"/>
          <w:sz w:val="28"/>
          <w:szCs w:val="21"/>
          <w:lang w:val="en-US" w:eastAsia="zh-CN"/>
          <w14:textFill>
            <w14:solidFill>
              <w14:schemeClr w14:val="tx1"/>
            </w14:solidFill>
          </w14:textFill>
        </w:rPr>
        <w:t>6</w:t>
      </w:r>
      <w:r>
        <w:rPr>
          <w:rFonts w:hint="default" w:ascii="Times New Roman" w:hAnsi="Times New Roman" w:eastAsia="宋体" w:cs="Times New Roman"/>
          <w:color w:val="000000" w:themeColor="text1"/>
          <w:sz w:val="28"/>
          <w:szCs w:val="21"/>
          <w14:textFill>
            <w14:solidFill>
              <w14:schemeClr w14:val="tx1"/>
            </w14:solidFill>
          </w14:textFill>
        </w:rPr>
        <w:t>-</w:t>
      </w:r>
      <w:r>
        <w:rPr>
          <w:rFonts w:hint="eastAsia" w:cs="Times New Roman"/>
          <w:color w:val="000000" w:themeColor="text1"/>
          <w:sz w:val="28"/>
          <w:szCs w:val="21"/>
          <w:lang w:val="en-US" w:eastAsia="zh-CN"/>
          <w14:textFill>
            <w14:solidFill>
              <w14:schemeClr w14:val="tx1"/>
            </w14:solidFill>
          </w14:textFill>
        </w:rPr>
        <w:t>9</w:t>
      </w:r>
      <w:r>
        <w:rPr>
          <w:rFonts w:hint="default" w:ascii="Times New Roman" w:hAnsi="Times New Roman" w:eastAsia="宋体" w:cs="Times New Roman"/>
          <w:color w:val="000000" w:themeColor="text1"/>
          <w:sz w:val="28"/>
          <w:szCs w:val="21"/>
          <w14:textFill>
            <w14:solidFill>
              <w14:schemeClr w14:val="tx1"/>
            </w14:solidFill>
          </w14:textFill>
        </w:rPr>
        <w:t>。</w:t>
      </w:r>
    </w:p>
    <w:p w14:paraId="1F5F15B8">
      <w:pPr>
        <w:keepNext w:val="0"/>
        <w:keepLines w:val="0"/>
        <w:pageBreakBefore w:val="0"/>
        <w:widowControl/>
        <w:tabs>
          <w:tab w:val="left" w:pos="7235"/>
        </w:tabs>
        <w:kinsoku/>
        <w:wordWrap/>
        <w:overflowPunct/>
        <w:topLinePunct w:val="0"/>
        <w:autoSpaceDE/>
        <w:autoSpaceDN/>
        <w:bidi w:val="0"/>
        <w:adjustRightInd/>
        <w:snapToGrid/>
        <w:spacing w:after="0" w:line="360" w:lineRule="auto"/>
        <w:ind w:right="0" w:rightChars="0"/>
        <w:jc w:val="center"/>
        <w:textAlignment w:val="auto"/>
        <w:rPr>
          <w:rFonts w:hint="default" w:ascii="黑体" w:hAnsi="黑体" w:eastAsia="黑体" w:cs="黑体"/>
          <w:b w:val="0"/>
          <w:bCs/>
          <w:color w:val="000000" w:themeColor="text1"/>
          <w:sz w:val="24"/>
          <w:szCs w:val="24"/>
          <w14:textFill>
            <w14:solidFill>
              <w14:schemeClr w14:val="tx1"/>
            </w14:solidFill>
          </w14:textFill>
        </w:rPr>
      </w:pPr>
      <w:r>
        <w:rPr>
          <w:rFonts w:hint="default" w:ascii="黑体" w:hAnsi="黑体" w:eastAsia="黑体" w:cs="黑体"/>
          <w:b w:val="0"/>
          <w:bCs/>
          <w:color w:val="000000" w:themeColor="text1"/>
          <w:sz w:val="24"/>
          <w:szCs w:val="24"/>
          <w14:textFill>
            <w14:solidFill>
              <w14:schemeClr w14:val="tx1"/>
            </w14:solidFill>
          </w14:textFill>
        </w:rPr>
        <w:t>表</w:t>
      </w:r>
      <w:r>
        <w:rPr>
          <w:rFonts w:hint="eastAsia" w:ascii="黑体" w:hAnsi="黑体" w:eastAsia="黑体" w:cs="黑体"/>
          <w:b w:val="0"/>
          <w:bCs/>
          <w:color w:val="000000" w:themeColor="text1"/>
          <w:sz w:val="24"/>
          <w:szCs w:val="24"/>
          <w:lang w:val="en-US" w:eastAsia="zh-CN"/>
          <w14:textFill>
            <w14:solidFill>
              <w14:schemeClr w14:val="tx1"/>
            </w14:solidFill>
          </w14:textFill>
        </w:rPr>
        <w:t>6</w:t>
      </w:r>
      <w:r>
        <w:rPr>
          <w:rFonts w:hint="default" w:ascii="黑体" w:hAnsi="黑体" w:eastAsia="黑体" w:cs="黑体"/>
          <w:b w:val="0"/>
          <w:bCs/>
          <w:color w:val="000000" w:themeColor="text1"/>
          <w:sz w:val="24"/>
          <w:szCs w:val="24"/>
          <w14:textFill>
            <w14:solidFill>
              <w14:schemeClr w14:val="tx1"/>
            </w14:solidFill>
          </w14:textFill>
        </w:rPr>
        <w:t>-</w:t>
      </w:r>
      <w:r>
        <w:rPr>
          <w:rFonts w:hint="eastAsia" w:ascii="黑体" w:hAnsi="黑体" w:eastAsia="黑体" w:cs="黑体"/>
          <w:b w:val="0"/>
          <w:bCs/>
          <w:color w:val="000000" w:themeColor="text1"/>
          <w:sz w:val="24"/>
          <w:szCs w:val="24"/>
          <w:lang w:val="en-US" w:eastAsia="zh-CN"/>
          <w14:textFill>
            <w14:solidFill>
              <w14:schemeClr w14:val="tx1"/>
            </w14:solidFill>
          </w14:textFill>
        </w:rPr>
        <w:t>9</w:t>
      </w:r>
      <w:r>
        <w:rPr>
          <w:rFonts w:hint="default" w:ascii="黑体" w:hAnsi="黑体" w:eastAsia="黑体" w:cs="黑体"/>
          <w:b w:val="0"/>
          <w:bCs/>
          <w:color w:val="000000" w:themeColor="text1"/>
          <w:sz w:val="24"/>
          <w:szCs w:val="24"/>
          <w14:textFill>
            <w14:solidFill>
              <w14:schemeClr w14:val="tx1"/>
            </w14:solidFill>
          </w14:textFill>
        </w:rPr>
        <w:t xml:space="preserve">  工程验收费计费标准</w:t>
      </w:r>
    </w:p>
    <w:tbl>
      <w:tblPr>
        <w:tblStyle w:val="30"/>
        <w:tblW w:w="4998" w:type="pct"/>
        <w:jc w:val="center"/>
        <w:tblLayout w:type="autofit"/>
        <w:tblCellMar>
          <w:top w:w="0" w:type="dxa"/>
          <w:left w:w="108" w:type="dxa"/>
          <w:bottom w:w="0" w:type="dxa"/>
          <w:right w:w="108" w:type="dxa"/>
        </w:tblCellMar>
      </w:tblPr>
      <w:tblGrid>
        <w:gridCol w:w="777"/>
        <w:gridCol w:w="1537"/>
        <w:gridCol w:w="1140"/>
        <w:gridCol w:w="1778"/>
        <w:gridCol w:w="3293"/>
      </w:tblGrid>
      <w:tr w14:paraId="79F9BAC3">
        <w:tblPrEx>
          <w:tblCellMar>
            <w:top w:w="0" w:type="dxa"/>
            <w:left w:w="108" w:type="dxa"/>
            <w:bottom w:w="0" w:type="dxa"/>
            <w:right w:w="108" w:type="dxa"/>
          </w:tblCellMar>
        </w:tblPrEx>
        <w:trPr>
          <w:trHeight w:val="312" w:hRule="atLeast"/>
          <w:jc w:val="center"/>
        </w:trPr>
        <w:tc>
          <w:tcPr>
            <w:tcW w:w="456" w:type="pct"/>
            <w:vMerge w:val="restart"/>
            <w:tcBorders>
              <w:top w:val="single" w:color="auto" w:sz="4" w:space="0"/>
              <w:left w:val="single" w:color="auto" w:sz="4" w:space="0"/>
              <w:right w:val="single" w:color="auto" w:sz="4" w:space="0"/>
            </w:tcBorders>
            <w:noWrap w:val="0"/>
            <w:vAlign w:val="center"/>
          </w:tcPr>
          <w:p w14:paraId="2D1359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序号</w:t>
            </w:r>
          </w:p>
        </w:tc>
        <w:tc>
          <w:tcPr>
            <w:tcW w:w="901" w:type="pct"/>
            <w:vMerge w:val="restart"/>
            <w:tcBorders>
              <w:top w:val="single" w:color="auto" w:sz="4" w:space="0"/>
              <w:left w:val="single" w:color="auto" w:sz="4" w:space="0"/>
              <w:right w:val="single" w:color="auto" w:sz="4" w:space="0"/>
            </w:tcBorders>
            <w:noWrap w:val="0"/>
            <w:vAlign w:val="center"/>
          </w:tcPr>
          <w:p w14:paraId="13ADE2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计费基础</w:t>
            </w:r>
          </w:p>
          <w:p w14:paraId="6281EE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（万元）</w:t>
            </w:r>
          </w:p>
        </w:tc>
        <w:tc>
          <w:tcPr>
            <w:tcW w:w="668" w:type="pct"/>
            <w:vMerge w:val="restart"/>
            <w:tcBorders>
              <w:top w:val="single" w:color="auto" w:sz="4" w:space="0"/>
              <w:left w:val="single" w:color="auto" w:sz="4" w:space="0"/>
              <w:right w:val="single" w:color="auto" w:sz="4" w:space="0"/>
            </w:tcBorders>
            <w:noWrap w:val="0"/>
            <w:vAlign w:val="center"/>
          </w:tcPr>
          <w:p w14:paraId="613351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费率（%）</w:t>
            </w:r>
          </w:p>
        </w:tc>
        <w:tc>
          <w:tcPr>
            <w:tcW w:w="2972" w:type="pct"/>
            <w:gridSpan w:val="2"/>
            <w:tcBorders>
              <w:top w:val="single" w:color="auto" w:sz="4" w:space="0"/>
              <w:left w:val="single" w:color="auto" w:sz="4" w:space="0"/>
              <w:bottom w:val="single" w:color="auto" w:sz="4" w:space="0"/>
              <w:right w:val="single" w:color="auto" w:sz="4" w:space="0"/>
            </w:tcBorders>
            <w:noWrap w:val="0"/>
            <w:vAlign w:val="center"/>
          </w:tcPr>
          <w:p w14:paraId="4DC97C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算例</w:t>
            </w:r>
          </w:p>
        </w:tc>
      </w:tr>
      <w:tr w14:paraId="47146EBA">
        <w:tblPrEx>
          <w:tblCellMar>
            <w:top w:w="0" w:type="dxa"/>
            <w:left w:w="108" w:type="dxa"/>
            <w:bottom w:w="0" w:type="dxa"/>
            <w:right w:w="108" w:type="dxa"/>
          </w:tblCellMar>
        </w:tblPrEx>
        <w:trPr>
          <w:trHeight w:val="312" w:hRule="atLeast"/>
          <w:jc w:val="center"/>
        </w:trPr>
        <w:tc>
          <w:tcPr>
            <w:tcW w:w="456" w:type="pct"/>
            <w:vMerge w:val="continue"/>
            <w:tcBorders>
              <w:left w:val="single" w:color="auto" w:sz="4" w:space="0"/>
              <w:bottom w:val="single" w:color="auto" w:sz="4" w:space="0"/>
              <w:right w:val="single" w:color="auto" w:sz="4" w:space="0"/>
            </w:tcBorders>
            <w:noWrap w:val="0"/>
            <w:vAlign w:val="center"/>
          </w:tcPr>
          <w:p w14:paraId="111467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901" w:type="pct"/>
            <w:vMerge w:val="continue"/>
            <w:tcBorders>
              <w:left w:val="single" w:color="auto" w:sz="4" w:space="0"/>
              <w:bottom w:val="single" w:color="auto" w:sz="4" w:space="0"/>
              <w:right w:val="single" w:color="auto" w:sz="4" w:space="0"/>
            </w:tcBorders>
            <w:noWrap w:val="0"/>
            <w:vAlign w:val="center"/>
          </w:tcPr>
          <w:p w14:paraId="5303DD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68" w:type="pct"/>
            <w:vMerge w:val="continue"/>
            <w:tcBorders>
              <w:left w:val="single" w:color="auto" w:sz="4" w:space="0"/>
              <w:bottom w:val="single" w:color="auto" w:sz="4" w:space="0"/>
              <w:right w:val="single" w:color="auto" w:sz="4" w:space="0"/>
            </w:tcBorders>
            <w:noWrap w:val="0"/>
            <w:vAlign w:val="center"/>
          </w:tcPr>
          <w:p w14:paraId="0F75A4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1042" w:type="pct"/>
            <w:tcBorders>
              <w:top w:val="single" w:color="auto" w:sz="4" w:space="0"/>
              <w:left w:val="single" w:color="auto" w:sz="4" w:space="0"/>
              <w:bottom w:val="single" w:color="auto" w:sz="4" w:space="0"/>
              <w:right w:val="single" w:color="auto" w:sz="4" w:space="0"/>
            </w:tcBorders>
            <w:noWrap w:val="0"/>
            <w:vAlign w:val="center"/>
          </w:tcPr>
          <w:p w14:paraId="160D9B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计费基础（万元）</w:t>
            </w:r>
          </w:p>
        </w:tc>
        <w:tc>
          <w:tcPr>
            <w:tcW w:w="1929" w:type="pct"/>
            <w:tcBorders>
              <w:top w:val="single" w:color="auto" w:sz="4" w:space="0"/>
              <w:left w:val="single" w:color="auto" w:sz="4" w:space="0"/>
              <w:bottom w:val="single" w:color="auto" w:sz="4" w:space="0"/>
              <w:right w:val="single" w:color="auto" w:sz="4" w:space="0"/>
            </w:tcBorders>
            <w:noWrap w:val="0"/>
            <w:vAlign w:val="center"/>
          </w:tcPr>
          <w:p w14:paraId="49CD65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工程验收费（万元）</w:t>
            </w:r>
          </w:p>
        </w:tc>
      </w:tr>
      <w:tr w14:paraId="2C8C1317">
        <w:tblPrEx>
          <w:tblCellMar>
            <w:top w:w="0" w:type="dxa"/>
            <w:left w:w="108" w:type="dxa"/>
            <w:bottom w:w="0" w:type="dxa"/>
            <w:right w:w="108" w:type="dxa"/>
          </w:tblCellMar>
        </w:tblPrEx>
        <w:trPr>
          <w:trHeight w:val="312" w:hRule="atLeast"/>
          <w:jc w:val="center"/>
        </w:trPr>
        <w:tc>
          <w:tcPr>
            <w:tcW w:w="456" w:type="pct"/>
            <w:tcBorders>
              <w:top w:val="nil"/>
              <w:left w:val="single" w:color="auto" w:sz="4" w:space="0"/>
              <w:bottom w:val="single" w:color="auto" w:sz="4" w:space="0"/>
              <w:right w:val="single" w:color="auto" w:sz="4" w:space="0"/>
            </w:tcBorders>
            <w:noWrap w:val="0"/>
            <w:vAlign w:val="center"/>
          </w:tcPr>
          <w:p w14:paraId="0FBA7E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p>
        </w:tc>
        <w:tc>
          <w:tcPr>
            <w:tcW w:w="901" w:type="pct"/>
            <w:tcBorders>
              <w:top w:val="nil"/>
              <w:left w:val="nil"/>
              <w:bottom w:val="single" w:color="auto" w:sz="4" w:space="0"/>
              <w:right w:val="single" w:color="auto" w:sz="4" w:space="0"/>
            </w:tcBorders>
            <w:noWrap w:val="0"/>
            <w:vAlign w:val="center"/>
          </w:tcPr>
          <w:p w14:paraId="48774C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≤180</w:t>
            </w:r>
          </w:p>
        </w:tc>
        <w:tc>
          <w:tcPr>
            <w:tcW w:w="668" w:type="pct"/>
            <w:tcBorders>
              <w:top w:val="nil"/>
              <w:left w:val="nil"/>
              <w:bottom w:val="single" w:color="auto" w:sz="4" w:space="0"/>
              <w:right w:val="single" w:color="auto" w:sz="4" w:space="0"/>
            </w:tcBorders>
            <w:noWrap w:val="0"/>
            <w:vAlign w:val="center"/>
          </w:tcPr>
          <w:p w14:paraId="5A7AC6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1.7</w:t>
            </w:r>
          </w:p>
        </w:tc>
        <w:tc>
          <w:tcPr>
            <w:tcW w:w="1042" w:type="pct"/>
            <w:tcBorders>
              <w:top w:val="nil"/>
              <w:left w:val="nil"/>
              <w:bottom w:val="single" w:color="auto" w:sz="4" w:space="0"/>
              <w:right w:val="single" w:color="auto" w:sz="4" w:space="0"/>
            </w:tcBorders>
            <w:noWrap w:val="0"/>
            <w:vAlign w:val="center"/>
          </w:tcPr>
          <w:p w14:paraId="1D9992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180</w:t>
            </w:r>
          </w:p>
        </w:tc>
        <w:tc>
          <w:tcPr>
            <w:tcW w:w="1929" w:type="pct"/>
            <w:tcBorders>
              <w:top w:val="nil"/>
              <w:left w:val="nil"/>
              <w:bottom w:val="single" w:color="auto" w:sz="4" w:space="0"/>
              <w:right w:val="single" w:color="auto" w:sz="4" w:space="0"/>
            </w:tcBorders>
            <w:noWrap w:val="0"/>
            <w:vAlign w:val="center"/>
          </w:tcPr>
          <w:p w14:paraId="49A4D4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180×1.7%=3.06</w:t>
            </w:r>
          </w:p>
        </w:tc>
      </w:tr>
      <w:tr w14:paraId="2B2A95E7">
        <w:tblPrEx>
          <w:tblCellMar>
            <w:top w:w="0" w:type="dxa"/>
            <w:left w:w="108" w:type="dxa"/>
            <w:bottom w:w="0" w:type="dxa"/>
            <w:right w:w="108" w:type="dxa"/>
          </w:tblCellMar>
        </w:tblPrEx>
        <w:trPr>
          <w:trHeight w:val="312" w:hRule="atLeast"/>
          <w:jc w:val="center"/>
        </w:trPr>
        <w:tc>
          <w:tcPr>
            <w:tcW w:w="456" w:type="pct"/>
            <w:tcBorders>
              <w:top w:val="nil"/>
              <w:left w:val="single" w:color="auto" w:sz="4" w:space="0"/>
              <w:bottom w:val="single" w:color="auto" w:sz="4" w:space="0"/>
              <w:right w:val="single" w:color="auto" w:sz="4" w:space="0"/>
            </w:tcBorders>
            <w:noWrap w:val="0"/>
            <w:vAlign w:val="center"/>
          </w:tcPr>
          <w:p w14:paraId="61F8AD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w:t>
            </w:r>
          </w:p>
        </w:tc>
        <w:tc>
          <w:tcPr>
            <w:tcW w:w="901" w:type="pct"/>
            <w:tcBorders>
              <w:top w:val="nil"/>
              <w:left w:val="nil"/>
              <w:bottom w:val="single" w:color="auto" w:sz="4" w:space="0"/>
              <w:right w:val="single" w:color="auto" w:sz="4" w:space="0"/>
            </w:tcBorders>
            <w:noWrap w:val="0"/>
            <w:vAlign w:val="center"/>
          </w:tcPr>
          <w:p w14:paraId="458233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180-500</w:t>
            </w:r>
          </w:p>
        </w:tc>
        <w:tc>
          <w:tcPr>
            <w:tcW w:w="668" w:type="pct"/>
            <w:tcBorders>
              <w:top w:val="nil"/>
              <w:left w:val="nil"/>
              <w:bottom w:val="single" w:color="auto" w:sz="4" w:space="0"/>
              <w:right w:val="single" w:color="auto" w:sz="4" w:space="0"/>
            </w:tcBorders>
            <w:noWrap w:val="0"/>
            <w:vAlign w:val="center"/>
          </w:tcPr>
          <w:p w14:paraId="79CDCD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1.2</w:t>
            </w:r>
          </w:p>
        </w:tc>
        <w:tc>
          <w:tcPr>
            <w:tcW w:w="1042" w:type="pct"/>
            <w:tcBorders>
              <w:top w:val="nil"/>
              <w:left w:val="nil"/>
              <w:bottom w:val="single" w:color="auto" w:sz="4" w:space="0"/>
              <w:right w:val="single" w:color="auto" w:sz="4" w:space="0"/>
            </w:tcBorders>
            <w:noWrap w:val="0"/>
            <w:vAlign w:val="center"/>
          </w:tcPr>
          <w:p w14:paraId="051D24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w:t>
            </w:r>
          </w:p>
        </w:tc>
        <w:tc>
          <w:tcPr>
            <w:tcW w:w="1929" w:type="pct"/>
            <w:tcBorders>
              <w:top w:val="nil"/>
              <w:left w:val="nil"/>
              <w:bottom w:val="single" w:color="auto" w:sz="4" w:space="0"/>
              <w:right w:val="single" w:color="auto" w:sz="4" w:space="0"/>
            </w:tcBorders>
            <w:noWrap w:val="0"/>
            <w:vAlign w:val="center"/>
          </w:tcPr>
          <w:p w14:paraId="1F57D5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3.06+（500-180）×1.2%=6.9</w:t>
            </w:r>
          </w:p>
        </w:tc>
      </w:tr>
      <w:tr w14:paraId="470D3829">
        <w:tblPrEx>
          <w:tblCellMar>
            <w:top w:w="0" w:type="dxa"/>
            <w:left w:w="108" w:type="dxa"/>
            <w:bottom w:w="0" w:type="dxa"/>
            <w:right w:w="108" w:type="dxa"/>
          </w:tblCellMar>
        </w:tblPrEx>
        <w:trPr>
          <w:trHeight w:val="312" w:hRule="atLeast"/>
          <w:jc w:val="center"/>
        </w:trPr>
        <w:tc>
          <w:tcPr>
            <w:tcW w:w="456" w:type="pct"/>
            <w:tcBorders>
              <w:top w:val="single" w:color="auto" w:sz="4" w:space="0"/>
              <w:left w:val="single" w:color="auto" w:sz="4" w:space="0"/>
              <w:bottom w:val="single" w:color="auto" w:sz="4" w:space="0"/>
              <w:right w:val="single" w:color="auto" w:sz="4" w:space="0"/>
            </w:tcBorders>
            <w:noWrap w:val="0"/>
            <w:vAlign w:val="center"/>
          </w:tcPr>
          <w:p w14:paraId="3F4087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w:t>
            </w:r>
          </w:p>
        </w:tc>
        <w:tc>
          <w:tcPr>
            <w:tcW w:w="901" w:type="pct"/>
            <w:tcBorders>
              <w:top w:val="single" w:color="auto" w:sz="4" w:space="0"/>
              <w:left w:val="nil"/>
              <w:bottom w:val="single" w:color="auto" w:sz="4" w:space="0"/>
              <w:right w:val="single" w:color="auto" w:sz="4" w:space="0"/>
            </w:tcBorders>
            <w:noWrap w:val="0"/>
            <w:vAlign w:val="center"/>
          </w:tcPr>
          <w:p w14:paraId="4BA38E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500-1000</w:t>
            </w:r>
          </w:p>
        </w:tc>
        <w:tc>
          <w:tcPr>
            <w:tcW w:w="668" w:type="pct"/>
            <w:tcBorders>
              <w:top w:val="single" w:color="auto" w:sz="4" w:space="0"/>
              <w:left w:val="nil"/>
              <w:bottom w:val="single" w:color="auto" w:sz="4" w:space="0"/>
              <w:right w:val="single" w:color="auto" w:sz="4" w:space="0"/>
            </w:tcBorders>
            <w:noWrap w:val="0"/>
            <w:vAlign w:val="center"/>
          </w:tcPr>
          <w:p w14:paraId="0722D0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1.1</w:t>
            </w:r>
          </w:p>
        </w:tc>
        <w:tc>
          <w:tcPr>
            <w:tcW w:w="1042" w:type="pct"/>
            <w:tcBorders>
              <w:top w:val="single" w:color="auto" w:sz="4" w:space="0"/>
              <w:left w:val="nil"/>
              <w:bottom w:val="single" w:color="auto" w:sz="4" w:space="0"/>
              <w:right w:val="single" w:color="auto" w:sz="4" w:space="0"/>
            </w:tcBorders>
            <w:noWrap w:val="0"/>
            <w:vAlign w:val="center"/>
          </w:tcPr>
          <w:p w14:paraId="4735B1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1000</w:t>
            </w:r>
          </w:p>
        </w:tc>
        <w:tc>
          <w:tcPr>
            <w:tcW w:w="1929" w:type="pct"/>
            <w:tcBorders>
              <w:top w:val="single" w:color="auto" w:sz="4" w:space="0"/>
              <w:left w:val="nil"/>
              <w:bottom w:val="single" w:color="auto" w:sz="4" w:space="0"/>
              <w:right w:val="single" w:color="auto" w:sz="4" w:space="0"/>
            </w:tcBorders>
            <w:noWrap w:val="0"/>
            <w:vAlign w:val="center"/>
          </w:tcPr>
          <w:p w14:paraId="0429C4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6.9+（1000-500）×1.1%=12.4</w:t>
            </w:r>
          </w:p>
        </w:tc>
      </w:tr>
      <w:tr w14:paraId="4C25A36B">
        <w:tblPrEx>
          <w:tblCellMar>
            <w:top w:w="0" w:type="dxa"/>
            <w:left w:w="108" w:type="dxa"/>
            <w:bottom w:w="0" w:type="dxa"/>
            <w:right w:w="108" w:type="dxa"/>
          </w:tblCellMar>
        </w:tblPrEx>
        <w:trPr>
          <w:trHeight w:val="312" w:hRule="atLeast"/>
          <w:jc w:val="center"/>
        </w:trPr>
        <w:tc>
          <w:tcPr>
            <w:tcW w:w="456" w:type="pct"/>
            <w:tcBorders>
              <w:top w:val="single" w:color="auto" w:sz="4" w:space="0"/>
              <w:left w:val="single" w:color="auto" w:sz="4" w:space="0"/>
              <w:bottom w:val="single" w:color="auto" w:sz="4" w:space="0"/>
              <w:right w:val="single" w:color="auto" w:sz="4" w:space="0"/>
            </w:tcBorders>
            <w:noWrap w:val="0"/>
            <w:vAlign w:val="center"/>
          </w:tcPr>
          <w:p w14:paraId="4F6789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w:t>
            </w:r>
          </w:p>
        </w:tc>
        <w:tc>
          <w:tcPr>
            <w:tcW w:w="901" w:type="pct"/>
            <w:tcBorders>
              <w:top w:val="single" w:color="auto" w:sz="4" w:space="0"/>
              <w:left w:val="nil"/>
              <w:bottom w:val="single" w:color="auto" w:sz="4" w:space="0"/>
              <w:right w:val="single" w:color="auto" w:sz="4" w:space="0"/>
            </w:tcBorders>
            <w:noWrap w:val="0"/>
            <w:vAlign w:val="center"/>
          </w:tcPr>
          <w:p w14:paraId="557A10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1000-3000</w:t>
            </w:r>
          </w:p>
        </w:tc>
        <w:tc>
          <w:tcPr>
            <w:tcW w:w="668" w:type="pct"/>
            <w:tcBorders>
              <w:top w:val="single" w:color="auto" w:sz="4" w:space="0"/>
              <w:left w:val="nil"/>
              <w:bottom w:val="single" w:color="auto" w:sz="4" w:space="0"/>
              <w:right w:val="single" w:color="auto" w:sz="4" w:space="0"/>
            </w:tcBorders>
            <w:noWrap w:val="0"/>
            <w:vAlign w:val="center"/>
          </w:tcPr>
          <w:p w14:paraId="25AFFE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w:t>
            </w:r>
          </w:p>
        </w:tc>
        <w:tc>
          <w:tcPr>
            <w:tcW w:w="1042" w:type="pct"/>
            <w:tcBorders>
              <w:top w:val="single" w:color="auto" w:sz="4" w:space="0"/>
              <w:left w:val="nil"/>
              <w:bottom w:val="single" w:color="auto" w:sz="4" w:space="0"/>
              <w:right w:val="single" w:color="auto" w:sz="4" w:space="0"/>
            </w:tcBorders>
            <w:noWrap w:val="0"/>
            <w:vAlign w:val="center"/>
          </w:tcPr>
          <w:p w14:paraId="3749EC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3000</w:t>
            </w:r>
          </w:p>
        </w:tc>
        <w:tc>
          <w:tcPr>
            <w:tcW w:w="1929" w:type="pct"/>
            <w:tcBorders>
              <w:top w:val="single" w:color="auto" w:sz="4" w:space="0"/>
              <w:left w:val="nil"/>
              <w:bottom w:val="single" w:color="auto" w:sz="4" w:space="0"/>
              <w:right w:val="single" w:color="auto" w:sz="4" w:space="0"/>
            </w:tcBorders>
            <w:noWrap w:val="0"/>
            <w:vAlign w:val="center"/>
          </w:tcPr>
          <w:p w14:paraId="28097F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12.4+（3000-1000）×1.0%=32.4</w:t>
            </w:r>
          </w:p>
        </w:tc>
      </w:tr>
      <w:tr w14:paraId="7A1D16FC">
        <w:tblPrEx>
          <w:tblCellMar>
            <w:top w:w="0" w:type="dxa"/>
            <w:left w:w="108" w:type="dxa"/>
            <w:bottom w:w="0" w:type="dxa"/>
            <w:right w:w="108" w:type="dxa"/>
          </w:tblCellMar>
        </w:tblPrEx>
        <w:trPr>
          <w:trHeight w:val="312" w:hRule="atLeast"/>
          <w:jc w:val="center"/>
        </w:trPr>
        <w:tc>
          <w:tcPr>
            <w:tcW w:w="456" w:type="pct"/>
            <w:tcBorders>
              <w:top w:val="single" w:color="auto" w:sz="4" w:space="0"/>
              <w:left w:val="single" w:color="auto" w:sz="4" w:space="0"/>
              <w:bottom w:val="single" w:color="auto" w:sz="4" w:space="0"/>
              <w:right w:val="single" w:color="auto" w:sz="4" w:space="0"/>
            </w:tcBorders>
            <w:noWrap w:val="0"/>
            <w:vAlign w:val="center"/>
          </w:tcPr>
          <w:p w14:paraId="37AEB2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w:t>
            </w:r>
          </w:p>
        </w:tc>
        <w:tc>
          <w:tcPr>
            <w:tcW w:w="901" w:type="pct"/>
            <w:tcBorders>
              <w:top w:val="single" w:color="auto" w:sz="4" w:space="0"/>
              <w:left w:val="nil"/>
              <w:bottom w:val="single" w:color="auto" w:sz="4" w:space="0"/>
              <w:right w:val="single" w:color="auto" w:sz="4" w:space="0"/>
            </w:tcBorders>
            <w:noWrap w:val="0"/>
            <w:vAlign w:val="center"/>
          </w:tcPr>
          <w:p w14:paraId="771634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3000-5000</w:t>
            </w:r>
          </w:p>
        </w:tc>
        <w:tc>
          <w:tcPr>
            <w:tcW w:w="668" w:type="pct"/>
            <w:tcBorders>
              <w:top w:val="single" w:color="auto" w:sz="4" w:space="0"/>
              <w:left w:val="nil"/>
              <w:bottom w:val="single" w:color="auto" w:sz="4" w:space="0"/>
              <w:right w:val="single" w:color="auto" w:sz="4" w:space="0"/>
            </w:tcBorders>
            <w:noWrap w:val="0"/>
            <w:vAlign w:val="center"/>
          </w:tcPr>
          <w:p w14:paraId="03A760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0.9</w:t>
            </w:r>
          </w:p>
        </w:tc>
        <w:tc>
          <w:tcPr>
            <w:tcW w:w="1042" w:type="pct"/>
            <w:tcBorders>
              <w:top w:val="single" w:color="auto" w:sz="4" w:space="0"/>
              <w:left w:val="nil"/>
              <w:bottom w:val="single" w:color="auto" w:sz="4" w:space="0"/>
              <w:right w:val="single" w:color="auto" w:sz="4" w:space="0"/>
            </w:tcBorders>
            <w:noWrap w:val="0"/>
            <w:vAlign w:val="center"/>
          </w:tcPr>
          <w:p w14:paraId="6C55E1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5000</w:t>
            </w:r>
          </w:p>
        </w:tc>
        <w:tc>
          <w:tcPr>
            <w:tcW w:w="1929" w:type="pct"/>
            <w:tcBorders>
              <w:top w:val="single" w:color="auto" w:sz="4" w:space="0"/>
              <w:left w:val="nil"/>
              <w:bottom w:val="single" w:color="auto" w:sz="4" w:space="0"/>
              <w:right w:val="single" w:color="auto" w:sz="4" w:space="0"/>
            </w:tcBorders>
            <w:noWrap w:val="0"/>
            <w:vAlign w:val="center"/>
          </w:tcPr>
          <w:p w14:paraId="2C80EA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32.4+（5000-3000）×0.9%=50.4</w:t>
            </w:r>
          </w:p>
        </w:tc>
      </w:tr>
      <w:tr w14:paraId="240CF3F8">
        <w:tblPrEx>
          <w:tblCellMar>
            <w:top w:w="0" w:type="dxa"/>
            <w:left w:w="108" w:type="dxa"/>
            <w:bottom w:w="0" w:type="dxa"/>
            <w:right w:w="108" w:type="dxa"/>
          </w:tblCellMar>
        </w:tblPrEx>
        <w:trPr>
          <w:trHeight w:val="312" w:hRule="atLeast"/>
          <w:jc w:val="center"/>
        </w:trPr>
        <w:tc>
          <w:tcPr>
            <w:tcW w:w="456" w:type="pct"/>
            <w:tcBorders>
              <w:top w:val="single" w:color="auto" w:sz="4" w:space="0"/>
              <w:left w:val="single" w:color="auto" w:sz="4" w:space="0"/>
              <w:bottom w:val="single" w:color="auto" w:sz="4" w:space="0"/>
              <w:right w:val="single" w:color="auto" w:sz="4" w:space="0"/>
            </w:tcBorders>
            <w:noWrap w:val="0"/>
            <w:vAlign w:val="center"/>
          </w:tcPr>
          <w:p w14:paraId="0534A8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w:t>
            </w:r>
          </w:p>
        </w:tc>
        <w:tc>
          <w:tcPr>
            <w:tcW w:w="901" w:type="pct"/>
            <w:tcBorders>
              <w:top w:val="single" w:color="auto" w:sz="4" w:space="0"/>
              <w:left w:val="nil"/>
              <w:bottom w:val="single" w:color="auto" w:sz="4" w:space="0"/>
              <w:right w:val="single" w:color="auto" w:sz="4" w:space="0"/>
            </w:tcBorders>
            <w:noWrap w:val="0"/>
            <w:vAlign w:val="center"/>
          </w:tcPr>
          <w:p w14:paraId="1E2D5B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5000-10000</w:t>
            </w:r>
          </w:p>
        </w:tc>
        <w:tc>
          <w:tcPr>
            <w:tcW w:w="668" w:type="pct"/>
            <w:tcBorders>
              <w:top w:val="single" w:color="auto" w:sz="4" w:space="0"/>
              <w:left w:val="nil"/>
              <w:bottom w:val="single" w:color="auto" w:sz="4" w:space="0"/>
              <w:right w:val="single" w:color="auto" w:sz="4" w:space="0"/>
            </w:tcBorders>
            <w:noWrap w:val="0"/>
            <w:vAlign w:val="center"/>
          </w:tcPr>
          <w:p w14:paraId="170F21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0.8</w:t>
            </w:r>
          </w:p>
        </w:tc>
        <w:tc>
          <w:tcPr>
            <w:tcW w:w="1042" w:type="pct"/>
            <w:tcBorders>
              <w:top w:val="single" w:color="auto" w:sz="4" w:space="0"/>
              <w:left w:val="nil"/>
              <w:bottom w:val="single" w:color="auto" w:sz="4" w:space="0"/>
              <w:right w:val="single" w:color="auto" w:sz="4" w:space="0"/>
            </w:tcBorders>
            <w:noWrap w:val="0"/>
            <w:vAlign w:val="center"/>
          </w:tcPr>
          <w:p w14:paraId="57F5DF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10000</w:t>
            </w:r>
          </w:p>
        </w:tc>
        <w:tc>
          <w:tcPr>
            <w:tcW w:w="1929" w:type="pct"/>
            <w:tcBorders>
              <w:top w:val="single" w:color="auto" w:sz="4" w:space="0"/>
              <w:left w:val="nil"/>
              <w:bottom w:val="single" w:color="auto" w:sz="4" w:space="0"/>
              <w:right w:val="single" w:color="auto" w:sz="4" w:space="0"/>
            </w:tcBorders>
            <w:noWrap w:val="0"/>
            <w:vAlign w:val="center"/>
          </w:tcPr>
          <w:p w14:paraId="7D39CE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50.4+（10000-5000）×0.8%=90.4</w:t>
            </w:r>
          </w:p>
        </w:tc>
      </w:tr>
      <w:tr w14:paraId="684001A9">
        <w:tblPrEx>
          <w:tblCellMar>
            <w:top w:w="0" w:type="dxa"/>
            <w:left w:w="108" w:type="dxa"/>
            <w:bottom w:w="0" w:type="dxa"/>
            <w:right w:w="108" w:type="dxa"/>
          </w:tblCellMar>
        </w:tblPrEx>
        <w:trPr>
          <w:trHeight w:val="312" w:hRule="atLeast"/>
          <w:jc w:val="center"/>
        </w:trPr>
        <w:tc>
          <w:tcPr>
            <w:tcW w:w="456" w:type="pct"/>
            <w:tcBorders>
              <w:top w:val="single" w:color="auto" w:sz="4" w:space="0"/>
              <w:left w:val="single" w:color="auto" w:sz="4" w:space="0"/>
              <w:bottom w:val="single" w:color="auto" w:sz="4" w:space="0"/>
              <w:right w:val="single" w:color="auto" w:sz="4" w:space="0"/>
            </w:tcBorders>
            <w:noWrap w:val="0"/>
            <w:vAlign w:val="center"/>
          </w:tcPr>
          <w:p w14:paraId="077055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7</w:t>
            </w:r>
          </w:p>
        </w:tc>
        <w:tc>
          <w:tcPr>
            <w:tcW w:w="901" w:type="pct"/>
            <w:tcBorders>
              <w:top w:val="single" w:color="auto" w:sz="4" w:space="0"/>
              <w:left w:val="nil"/>
              <w:bottom w:val="single" w:color="auto" w:sz="4" w:space="0"/>
              <w:right w:val="single" w:color="auto" w:sz="4" w:space="0"/>
            </w:tcBorders>
            <w:noWrap w:val="0"/>
            <w:vAlign w:val="center"/>
          </w:tcPr>
          <w:p w14:paraId="16294F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10000以上</w:t>
            </w:r>
          </w:p>
        </w:tc>
        <w:tc>
          <w:tcPr>
            <w:tcW w:w="668" w:type="pct"/>
            <w:tcBorders>
              <w:top w:val="single" w:color="auto" w:sz="4" w:space="0"/>
              <w:left w:val="nil"/>
              <w:bottom w:val="single" w:color="auto" w:sz="4" w:space="0"/>
              <w:right w:val="single" w:color="auto" w:sz="4" w:space="0"/>
            </w:tcBorders>
            <w:noWrap w:val="0"/>
            <w:vAlign w:val="center"/>
          </w:tcPr>
          <w:p w14:paraId="48C179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0.7</w:t>
            </w:r>
          </w:p>
        </w:tc>
        <w:tc>
          <w:tcPr>
            <w:tcW w:w="1042" w:type="pct"/>
            <w:tcBorders>
              <w:top w:val="single" w:color="auto" w:sz="4" w:space="0"/>
              <w:left w:val="nil"/>
              <w:bottom w:val="single" w:color="auto" w:sz="4" w:space="0"/>
              <w:right w:val="single" w:color="auto" w:sz="4" w:space="0"/>
            </w:tcBorders>
            <w:noWrap w:val="0"/>
            <w:vAlign w:val="center"/>
          </w:tcPr>
          <w:p w14:paraId="3ACC1C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15000</w:t>
            </w:r>
          </w:p>
        </w:tc>
        <w:tc>
          <w:tcPr>
            <w:tcW w:w="1929" w:type="pct"/>
            <w:tcBorders>
              <w:top w:val="single" w:color="auto" w:sz="4" w:space="0"/>
              <w:left w:val="nil"/>
              <w:bottom w:val="single" w:color="auto" w:sz="4" w:space="0"/>
              <w:right w:val="single" w:color="auto" w:sz="4" w:space="0"/>
            </w:tcBorders>
            <w:noWrap w:val="0"/>
            <w:vAlign w:val="center"/>
          </w:tcPr>
          <w:p w14:paraId="633A2C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90.4+（15000-10000）×0.7%=125.4</w:t>
            </w:r>
          </w:p>
        </w:tc>
      </w:tr>
    </w:tbl>
    <w:p w14:paraId="578233A8">
      <w:pPr>
        <w:keepNext w:val="0"/>
        <w:keepLines w:val="0"/>
        <w:pageBreakBefore w:val="0"/>
        <w:widowControl w:val="0"/>
        <w:kinsoku/>
        <w:wordWrap/>
        <w:overflowPunct/>
        <w:topLinePunct w:val="0"/>
        <w:autoSpaceDE/>
        <w:autoSpaceDN/>
        <w:bidi w:val="0"/>
        <w:adjustRightInd/>
        <w:snapToGrid/>
        <w:spacing w:before="157" w:beforeLines="50" w:after="0" w:line="360" w:lineRule="auto"/>
        <w:ind w:right="0" w:rightChars="0" w:firstLine="560" w:firstLineChars="200"/>
        <w:jc w:val="left"/>
        <w:textAlignment w:val="auto"/>
        <w:rPr>
          <w:rFonts w:hint="default" w:ascii="Times New Roman" w:hAnsi="Times New Roman" w:eastAsia="宋体" w:cs="Times New Roman"/>
          <w:color w:val="000000" w:themeColor="text1"/>
          <w:sz w:val="28"/>
          <w:szCs w:val="21"/>
          <w14:textFill>
            <w14:solidFill>
              <w14:schemeClr w14:val="tx1"/>
            </w14:solidFill>
          </w14:textFill>
        </w:rPr>
      </w:pPr>
      <w:r>
        <w:rPr>
          <w:rFonts w:hint="default" w:ascii="Times New Roman" w:hAnsi="Times New Roman" w:eastAsia="宋体" w:cs="Times New Roman"/>
          <w:color w:val="000000" w:themeColor="text1"/>
          <w:sz w:val="28"/>
          <w:szCs w:val="21"/>
          <w14:textFill>
            <w14:solidFill>
              <w14:schemeClr w14:val="tx1"/>
            </w14:solidFill>
          </w14:textFill>
        </w:rPr>
        <w:t>项目决算编制与审计费以工程施工费作为计费基数，采用差额定率累进法计算，见表</w:t>
      </w:r>
      <w:r>
        <w:rPr>
          <w:rFonts w:hint="eastAsia" w:ascii="Times New Roman" w:hAnsi="Times New Roman" w:eastAsia="宋体" w:cs="Times New Roman"/>
          <w:color w:val="000000" w:themeColor="text1"/>
          <w:sz w:val="28"/>
          <w:szCs w:val="21"/>
          <w:lang w:val="en-US" w:eastAsia="zh-CN"/>
          <w14:textFill>
            <w14:solidFill>
              <w14:schemeClr w14:val="tx1"/>
            </w14:solidFill>
          </w14:textFill>
        </w:rPr>
        <w:t>6</w:t>
      </w:r>
      <w:r>
        <w:rPr>
          <w:rFonts w:hint="default" w:ascii="Times New Roman" w:hAnsi="Times New Roman" w:eastAsia="宋体" w:cs="Times New Roman"/>
          <w:color w:val="000000" w:themeColor="text1"/>
          <w:sz w:val="28"/>
          <w:szCs w:val="21"/>
          <w14:textFill>
            <w14:solidFill>
              <w14:schemeClr w14:val="tx1"/>
            </w14:solidFill>
          </w14:textFill>
        </w:rPr>
        <w:t>-</w:t>
      </w:r>
      <w:r>
        <w:rPr>
          <w:rFonts w:hint="eastAsia" w:cs="Times New Roman"/>
          <w:color w:val="000000" w:themeColor="text1"/>
          <w:sz w:val="28"/>
          <w:szCs w:val="21"/>
          <w:lang w:val="en-US" w:eastAsia="zh-CN"/>
          <w14:textFill>
            <w14:solidFill>
              <w14:schemeClr w14:val="tx1"/>
            </w14:solidFill>
          </w14:textFill>
        </w:rPr>
        <w:t>10</w:t>
      </w:r>
      <w:r>
        <w:rPr>
          <w:rFonts w:hint="default" w:ascii="Times New Roman" w:hAnsi="Times New Roman" w:eastAsia="宋体" w:cs="Times New Roman"/>
          <w:color w:val="000000" w:themeColor="text1"/>
          <w:sz w:val="28"/>
          <w:szCs w:val="21"/>
          <w14:textFill>
            <w14:solidFill>
              <w14:schemeClr w14:val="tx1"/>
            </w14:solidFill>
          </w14:textFill>
        </w:rPr>
        <w:t>。</w:t>
      </w:r>
    </w:p>
    <w:p w14:paraId="54C0F511">
      <w:pPr>
        <w:keepNext w:val="0"/>
        <w:keepLines w:val="0"/>
        <w:pageBreakBefore w:val="0"/>
        <w:widowControl/>
        <w:tabs>
          <w:tab w:val="left" w:pos="7235"/>
        </w:tabs>
        <w:kinsoku/>
        <w:wordWrap/>
        <w:overflowPunct/>
        <w:topLinePunct w:val="0"/>
        <w:autoSpaceDE/>
        <w:autoSpaceDN/>
        <w:bidi w:val="0"/>
        <w:adjustRightInd/>
        <w:snapToGrid/>
        <w:spacing w:after="0" w:line="360" w:lineRule="auto"/>
        <w:ind w:right="0" w:rightChars="0"/>
        <w:jc w:val="center"/>
        <w:textAlignment w:val="auto"/>
        <w:rPr>
          <w:rFonts w:hint="default" w:ascii="黑体" w:hAnsi="黑体" w:eastAsia="黑体" w:cs="黑体"/>
          <w:b w:val="0"/>
          <w:bCs/>
          <w:color w:val="000000" w:themeColor="text1"/>
          <w:sz w:val="24"/>
          <w:szCs w:val="24"/>
          <w14:textFill>
            <w14:solidFill>
              <w14:schemeClr w14:val="tx1"/>
            </w14:solidFill>
          </w14:textFill>
        </w:rPr>
      </w:pPr>
      <w:r>
        <w:rPr>
          <w:rFonts w:hint="default" w:ascii="黑体" w:hAnsi="黑体" w:eastAsia="黑体" w:cs="黑体"/>
          <w:b w:val="0"/>
          <w:bCs/>
          <w:color w:val="000000" w:themeColor="text1"/>
          <w:sz w:val="24"/>
          <w:szCs w:val="24"/>
          <w14:textFill>
            <w14:solidFill>
              <w14:schemeClr w14:val="tx1"/>
            </w14:solidFill>
          </w14:textFill>
        </w:rPr>
        <w:t>表</w:t>
      </w:r>
      <w:r>
        <w:rPr>
          <w:rFonts w:hint="eastAsia" w:ascii="黑体" w:hAnsi="黑体" w:eastAsia="黑体" w:cs="黑体"/>
          <w:b w:val="0"/>
          <w:bCs/>
          <w:color w:val="000000" w:themeColor="text1"/>
          <w:sz w:val="24"/>
          <w:szCs w:val="24"/>
          <w:lang w:val="en-US" w:eastAsia="zh-CN"/>
          <w14:textFill>
            <w14:solidFill>
              <w14:schemeClr w14:val="tx1"/>
            </w14:solidFill>
          </w14:textFill>
        </w:rPr>
        <w:t>6</w:t>
      </w:r>
      <w:r>
        <w:rPr>
          <w:rFonts w:hint="default" w:ascii="黑体" w:hAnsi="黑体" w:eastAsia="黑体" w:cs="黑体"/>
          <w:b w:val="0"/>
          <w:bCs/>
          <w:color w:val="000000" w:themeColor="text1"/>
          <w:sz w:val="24"/>
          <w:szCs w:val="24"/>
          <w14:textFill>
            <w14:solidFill>
              <w14:schemeClr w14:val="tx1"/>
            </w14:solidFill>
          </w14:textFill>
        </w:rPr>
        <w:t>-</w:t>
      </w:r>
      <w:r>
        <w:rPr>
          <w:rFonts w:hint="eastAsia" w:ascii="黑体" w:hAnsi="黑体" w:eastAsia="黑体" w:cs="黑体"/>
          <w:b w:val="0"/>
          <w:bCs/>
          <w:color w:val="000000" w:themeColor="text1"/>
          <w:sz w:val="24"/>
          <w:szCs w:val="24"/>
          <w:lang w:val="en-US" w:eastAsia="zh-CN"/>
          <w14:textFill>
            <w14:solidFill>
              <w14:schemeClr w14:val="tx1"/>
            </w14:solidFill>
          </w14:textFill>
        </w:rPr>
        <w:t>10</w:t>
      </w:r>
      <w:r>
        <w:rPr>
          <w:rFonts w:hint="default" w:ascii="黑体" w:hAnsi="黑体" w:eastAsia="黑体" w:cs="黑体"/>
          <w:b w:val="0"/>
          <w:bCs/>
          <w:color w:val="000000" w:themeColor="text1"/>
          <w:sz w:val="24"/>
          <w:szCs w:val="24"/>
          <w14:textFill>
            <w14:solidFill>
              <w14:schemeClr w14:val="tx1"/>
            </w14:solidFill>
          </w14:textFill>
        </w:rPr>
        <w:t xml:space="preserve">  项目决算编制与审计费标准</w:t>
      </w:r>
    </w:p>
    <w:tbl>
      <w:tblPr>
        <w:tblStyle w:val="30"/>
        <w:tblW w:w="4998" w:type="pct"/>
        <w:jc w:val="center"/>
        <w:tblLayout w:type="autofit"/>
        <w:tblCellMar>
          <w:top w:w="0" w:type="dxa"/>
          <w:left w:w="108" w:type="dxa"/>
          <w:bottom w:w="0" w:type="dxa"/>
          <w:right w:w="108" w:type="dxa"/>
        </w:tblCellMar>
      </w:tblPr>
      <w:tblGrid>
        <w:gridCol w:w="790"/>
        <w:gridCol w:w="1561"/>
        <w:gridCol w:w="1083"/>
        <w:gridCol w:w="1782"/>
        <w:gridCol w:w="3309"/>
      </w:tblGrid>
      <w:tr w14:paraId="70500E33">
        <w:tblPrEx>
          <w:tblCellMar>
            <w:top w:w="0" w:type="dxa"/>
            <w:left w:w="108" w:type="dxa"/>
            <w:bottom w:w="0" w:type="dxa"/>
            <w:right w:w="108" w:type="dxa"/>
          </w:tblCellMar>
        </w:tblPrEx>
        <w:trPr>
          <w:trHeight w:val="312" w:hRule="atLeast"/>
          <w:jc w:val="center"/>
        </w:trPr>
        <w:tc>
          <w:tcPr>
            <w:tcW w:w="463" w:type="pct"/>
            <w:vMerge w:val="restart"/>
            <w:tcBorders>
              <w:top w:val="single" w:color="auto" w:sz="4" w:space="0"/>
              <w:left w:val="single" w:color="auto" w:sz="4" w:space="0"/>
              <w:right w:val="single" w:color="auto" w:sz="4" w:space="0"/>
            </w:tcBorders>
            <w:noWrap w:val="0"/>
            <w:vAlign w:val="center"/>
          </w:tcPr>
          <w:p w14:paraId="075314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序号</w:t>
            </w:r>
          </w:p>
        </w:tc>
        <w:tc>
          <w:tcPr>
            <w:tcW w:w="915" w:type="pct"/>
            <w:vMerge w:val="restart"/>
            <w:tcBorders>
              <w:top w:val="single" w:color="auto" w:sz="4" w:space="0"/>
              <w:left w:val="single" w:color="auto" w:sz="4" w:space="0"/>
              <w:right w:val="single" w:color="auto" w:sz="4" w:space="0"/>
            </w:tcBorders>
            <w:noWrap w:val="0"/>
            <w:vAlign w:val="center"/>
          </w:tcPr>
          <w:p w14:paraId="2F1A54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计费基础</w:t>
            </w:r>
          </w:p>
          <w:p w14:paraId="025AC2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（万元）</w:t>
            </w:r>
          </w:p>
        </w:tc>
        <w:tc>
          <w:tcPr>
            <w:tcW w:w="635" w:type="pct"/>
            <w:vMerge w:val="restart"/>
            <w:tcBorders>
              <w:top w:val="single" w:color="auto" w:sz="4" w:space="0"/>
              <w:left w:val="single" w:color="auto" w:sz="4" w:space="0"/>
              <w:right w:val="single" w:color="auto" w:sz="4" w:space="0"/>
            </w:tcBorders>
            <w:noWrap w:val="0"/>
            <w:vAlign w:val="center"/>
          </w:tcPr>
          <w:p w14:paraId="797C5E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费率（%）</w:t>
            </w:r>
          </w:p>
        </w:tc>
        <w:tc>
          <w:tcPr>
            <w:tcW w:w="2985" w:type="pct"/>
            <w:gridSpan w:val="2"/>
            <w:tcBorders>
              <w:top w:val="single" w:color="auto" w:sz="4" w:space="0"/>
              <w:left w:val="single" w:color="auto" w:sz="4" w:space="0"/>
              <w:bottom w:val="single" w:color="auto" w:sz="4" w:space="0"/>
              <w:right w:val="single" w:color="auto" w:sz="4" w:space="0"/>
            </w:tcBorders>
            <w:noWrap w:val="0"/>
            <w:vAlign w:val="center"/>
          </w:tcPr>
          <w:p w14:paraId="70D976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算例</w:t>
            </w:r>
          </w:p>
        </w:tc>
      </w:tr>
      <w:tr w14:paraId="69D22754">
        <w:tblPrEx>
          <w:tblCellMar>
            <w:top w:w="0" w:type="dxa"/>
            <w:left w:w="108" w:type="dxa"/>
            <w:bottom w:w="0" w:type="dxa"/>
            <w:right w:w="108" w:type="dxa"/>
          </w:tblCellMar>
        </w:tblPrEx>
        <w:trPr>
          <w:trHeight w:val="312" w:hRule="atLeast"/>
          <w:jc w:val="center"/>
        </w:trPr>
        <w:tc>
          <w:tcPr>
            <w:tcW w:w="463" w:type="pct"/>
            <w:vMerge w:val="continue"/>
            <w:tcBorders>
              <w:left w:val="single" w:color="auto" w:sz="4" w:space="0"/>
              <w:bottom w:val="single" w:color="auto" w:sz="4" w:space="0"/>
              <w:right w:val="single" w:color="auto" w:sz="4" w:space="0"/>
            </w:tcBorders>
            <w:noWrap w:val="0"/>
            <w:vAlign w:val="center"/>
          </w:tcPr>
          <w:p w14:paraId="383A11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915" w:type="pct"/>
            <w:vMerge w:val="continue"/>
            <w:tcBorders>
              <w:left w:val="single" w:color="auto" w:sz="4" w:space="0"/>
              <w:bottom w:val="single" w:color="auto" w:sz="4" w:space="0"/>
              <w:right w:val="single" w:color="auto" w:sz="4" w:space="0"/>
            </w:tcBorders>
            <w:noWrap w:val="0"/>
            <w:vAlign w:val="center"/>
          </w:tcPr>
          <w:p w14:paraId="7841DC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35" w:type="pct"/>
            <w:vMerge w:val="continue"/>
            <w:tcBorders>
              <w:left w:val="single" w:color="auto" w:sz="4" w:space="0"/>
              <w:bottom w:val="single" w:color="auto" w:sz="4" w:space="0"/>
              <w:right w:val="single" w:color="auto" w:sz="4" w:space="0"/>
            </w:tcBorders>
            <w:noWrap w:val="0"/>
            <w:vAlign w:val="center"/>
          </w:tcPr>
          <w:p w14:paraId="4B577C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1045" w:type="pct"/>
            <w:tcBorders>
              <w:top w:val="single" w:color="auto" w:sz="4" w:space="0"/>
              <w:left w:val="single" w:color="auto" w:sz="4" w:space="0"/>
              <w:bottom w:val="single" w:color="auto" w:sz="4" w:space="0"/>
              <w:right w:val="single" w:color="auto" w:sz="4" w:space="0"/>
            </w:tcBorders>
            <w:noWrap w:val="0"/>
            <w:vAlign w:val="center"/>
          </w:tcPr>
          <w:p w14:paraId="565014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计费基础（万元）</w:t>
            </w:r>
          </w:p>
        </w:tc>
        <w:tc>
          <w:tcPr>
            <w:tcW w:w="1940" w:type="pct"/>
            <w:tcBorders>
              <w:top w:val="single" w:color="auto" w:sz="4" w:space="0"/>
              <w:left w:val="single" w:color="auto" w:sz="4" w:space="0"/>
              <w:bottom w:val="single" w:color="auto" w:sz="4" w:space="0"/>
              <w:right w:val="single" w:color="auto" w:sz="4" w:space="0"/>
            </w:tcBorders>
            <w:noWrap w:val="0"/>
            <w:vAlign w:val="center"/>
          </w:tcPr>
          <w:p w14:paraId="46FA12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项目决算编制与审计费（万元）</w:t>
            </w:r>
          </w:p>
        </w:tc>
      </w:tr>
      <w:tr w14:paraId="198D158B">
        <w:tblPrEx>
          <w:tblCellMar>
            <w:top w:w="0" w:type="dxa"/>
            <w:left w:w="108" w:type="dxa"/>
            <w:bottom w:w="0" w:type="dxa"/>
            <w:right w:w="108" w:type="dxa"/>
          </w:tblCellMar>
        </w:tblPrEx>
        <w:trPr>
          <w:trHeight w:val="312" w:hRule="atLeast"/>
          <w:jc w:val="center"/>
        </w:trPr>
        <w:tc>
          <w:tcPr>
            <w:tcW w:w="463" w:type="pct"/>
            <w:tcBorders>
              <w:top w:val="nil"/>
              <w:left w:val="single" w:color="auto" w:sz="4" w:space="0"/>
              <w:bottom w:val="single" w:color="auto" w:sz="4" w:space="0"/>
              <w:right w:val="single" w:color="auto" w:sz="4" w:space="0"/>
            </w:tcBorders>
            <w:noWrap w:val="0"/>
            <w:vAlign w:val="center"/>
          </w:tcPr>
          <w:p w14:paraId="0DA78F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p>
        </w:tc>
        <w:tc>
          <w:tcPr>
            <w:tcW w:w="915" w:type="pct"/>
            <w:tcBorders>
              <w:top w:val="nil"/>
              <w:left w:val="nil"/>
              <w:bottom w:val="single" w:color="auto" w:sz="4" w:space="0"/>
              <w:right w:val="single" w:color="auto" w:sz="4" w:space="0"/>
            </w:tcBorders>
            <w:noWrap w:val="0"/>
            <w:vAlign w:val="center"/>
          </w:tcPr>
          <w:p w14:paraId="23CE0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w:t>
            </w:r>
          </w:p>
        </w:tc>
        <w:tc>
          <w:tcPr>
            <w:tcW w:w="635" w:type="pct"/>
            <w:tcBorders>
              <w:top w:val="nil"/>
              <w:left w:val="nil"/>
              <w:bottom w:val="single" w:color="auto" w:sz="4" w:space="0"/>
              <w:right w:val="single" w:color="auto" w:sz="4" w:space="0"/>
            </w:tcBorders>
            <w:noWrap w:val="0"/>
            <w:vAlign w:val="center"/>
          </w:tcPr>
          <w:p w14:paraId="04AE89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w:t>
            </w:r>
          </w:p>
        </w:tc>
        <w:tc>
          <w:tcPr>
            <w:tcW w:w="1045" w:type="pct"/>
            <w:tcBorders>
              <w:top w:val="nil"/>
              <w:left w:val="nil"/>
              <w:bottom w:val="single" w:color="auto" w:sz="4" w:space="0"/>
              <w:right w:val="single" w:color="auto" w:sz="4" w:space="0"/>
            </w:tcBorders>
            <w:noWrap w:val="0"/>
            <w:vAlign w:val="center"/>
          </w:tcPr>
          <w:p w14:paraId="353657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w:t>
            </w:r>
          </w:p>
        </w:tc>
        <w:tc>
          <w:tcPr>
            <w:tcW w:w="1940" w:type="pct"/>
            <w:tcBorders>
              <w:top w:val="nil"/>
              <w:left w:val="nil"/>
              <w:bottom w:val="single" w:color="auto" w:sz="4" w:space="0"/>
              <w:right w:val="single" w:color="auto" w:sz="4" w:space="0"/>
            </w:tcBorders>
            <w:noWrap w:val="0"/>
            <w:vAlign w:val="center"/>
          </w:tcPr>
          <w:p w14:paraId="41A66C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500×1.0%=5</w:t>
            </w:r>
          </w:p>
        </w:tc>
      </w:tr>
      <w:tr w14:paraId="0D9A0844">
        <w:tblPrEx>
          <w:tblCellMar>
            <w:top w:w="0" w:type="dxa"/>
            <w:left w:w="108" w:type="dxa"/>
            <w:bottom w:w="0" w:type="dxa"/>
            <w:right w:w="108" w:type="dxa"/>
          </w:tblCellMar>
        </w:tblPrEx>
        <w:trPr>
          <w:trHeight w:val="312" w:hRule="atLeast"/>
          <w:jc w:val="center"/>
        </w:trPr>
        <w:tc>
          <w:tcPr>
            <w:tcW w:w="463" w:type="pct"/>
            <w:tcBorders>
              <w:top w:val="nil"/>
              <w:left w:val="single" w:color="auto" w:sz="4" w:space="0"/>
              <w:bottom w:val="single" w:color="auto" w:sz="4" w:space="0"/>
              <w:right w:val="single" w:color="auto" w:sz="4" w:space="0"/>
            </w:tcBorders>
            <w:noWrap w:val="0"/>
            <w:vAlign w:val="center"/>
          </w:tcPr>
          <w:p w14:paraId="3EBFEE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w:t>
            </w:r>
          </w:p>
        </w:tc>
        <w:tc>
          <w:tcPr>
            <w:tcW w:w="915" w:type="pct"/>
            <w:tcBorders>
              <w:top w:val="nil"/>
              <w:left w:val="nil"/>
              <w:bottom w:val="single" w:color="auto" w:sz="4" w:space="0"/>
              <w:right w:val="single" w:color="auto" w:sz="4" w:space="0"/>
            </w:tcBorders>
            <w:noWrap w:val="0"/>
            <w:vAlign w:val="center"/>
          </w:tcPr>
          <w:p w14:paraId="0FBFC8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500-1000</w:t>
            </w:r>
          </w:p>
        </w:tc>
        <w:tc>
          <w:tcPr>
            <w:tcW w:w="635" w:type="pct"/>
            <w:tcBorders>
              <w:top w:val="nil"/>
              <w:left w:val="nil"/>
              <w:bottom w:val="single" w:color="auto" w:sz="4" w:space="0"/>
              <w:right w:val="single" w:color="auto" w:sz="4" w:space="0"/>
            </w:tcBorders>
            <w:noWrap w:val="0"/>
            <w:vAlign w:val="center"/>
          </w:tcPr>
          <w:p w14:paraId="0EE13F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0.9</w:t>
            </w:r>
          </w:p>
        </w:tc>
        <w:tc>
          <w:tcPr>
            <w:tcW w:w="1045" w:type="pct"/>
            <w:tcBorders>
              <w:top w:val="nil"/>
              <w:left w:val="nil"/>
              <w:bottom w:val="single" w:color="auto" w:sz="4" w:space="0"/>
              <w:right w:val="single" w:color="auto" w:sz="4" w:space="0"/>
            </w:tcBorders>
            <w:noWrap w:val="0"/>
            <w:vAlign w:val="center"/>
          </w:tcPr>
          <w:p w14:paraId="048BC2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1000</w:t>
            </w:r>
          </w:p>
        </w:tc>
        <w:tc>
          <w:tcPr>
            <w:tcW w:w="1940" w:type="pct"/>
            <w:tcBorders>
              <w:top w:val="nil"/>
              <w:left w:val="nil"/>
              <w:bottom w:val="single" w:color="auto" w:sz="4" w:space="0"/>
              <w:right w:val="single" w:color="auto" w:sz="4" w:space="0"/>
            </w:tcBorders>
            <w:noWrap w:val="0"/>
            <w:vAlign w:val="center"/>
          </w:tcPr>
          <w:p w14:paraId="234B6B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5+（1000-500）×0.9%=9.5</w:t>
            </w:r>
          </w:p>
        </w:tc>
      </w:tr>
      <w:tr w14:paraId="55038A24">
        <w:tblPrEx>
          <w:tblCellMar>
            <w:top w:w="0" w:type="dxa"/>
            <w:left w:w="108" w:type="dxa"/>
            <w:bottom w:w="0" w:type="dxa"/>
            <w:right w:w="108" w:type="dxa"/>
          </w:tblCellMar>
        </w:tblPrEx>
        <w:trPr>
          <w:trHeight w:val="312" w:hRule="atLeast"/>
          <w:jc w:val="center"/>
        </w:trPr>
        <w:tc>
          <w:tcPr>
            <w:tcW w:w="463" w:type="pct"/>
            <w:tcBorders>
              <w:top w:val="single" w:color="auto" w:sz="4" w:space="0"/>
              <w:left w:val="single" w:color="auto" w:sz="4" w:space="0"/>
              <w:bottom w:val="single" w:color="auto" w:sz="4" w:space="0"/>
              <w:right w:val="single" w:color="auto" w:sz="4" w:space="0"/>
            </w:tcBorders>
            <w:noWrap w:val="0"/>
            <w:vAlign w:val="center"/>
          </w:tcPr>
          <w:p w14:paraId="24021B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w:t>
            </w:r>
          </w:p>
        </w:tc>
        <w:tc>
          <w:tcPr>
            <w:tcW w:w="915" w:type="pct"/>
            <w:tcBorders>
              <w:top w:val="single" w:color="auto" w:sz="4" w:space="0"/>
              <w:left w:val="nil"/>
              <w:bottom w:val="single" w:color="auto" w:sz="4" w:space="0"/>
              <w:right w:val="single" w:color="auto" w:sz="4" w:space="0"/>
            </w:tcBorders>
            <w:noWrap w:val="0"/>
            <w:vAlign w:val="center"/>
          </w:tcPr>
          <w:p w14:paraId="577D5E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1000-3000</w:t>
            </w:r>
          </w:p>
        </w:tc>
        <w:tc>
          <w:tcPr>
            <w:tcW w:w="635" w:type="pct"/>
            <w:tcBorders>
              <w:top w:val="single" w:color="auto" w:sz="4" w:space="0"/>
              <w:left w:val="nil"/>
              <w:bottom w:val="single" w:color="auto" w:sz="4" w:space="0"/>
              <w:right w:val="single" w:color="auto" w:sz="4" w:space="0"/>
            </w:tcBorders>
            <w:noWrap w:val="0"/>
            <w:vAlign w:val="center"/>
          </w:tcPr>
          <w:p w14:paraId="41D730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0.8</w:t>
            </w:r>
          </w:p>
        </w:tc>
        <w:tc>
          <w:tcPr>
            <w:tcW w:w="1045" w:type="pct"/>
            <w:tcBorders>
              <w:top w:val="single" w:color="auto" w:sz="4" w:space="0"/>
              <w:left w:val="nil"/>
              <w:bottom w:val="single" w:color="auto" w:sz="4" w:space="0"/>
              <w:right w:val="single" w:color="auto" w:sz="4" w:space="0"/>
            </w:tcBorders>
            <w:noWrap w:val="0"/>
            <w:vAlign w:val="center"/>
          </w:tcPr>
          <w:p w14:paraId="11E593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3000</w:t>
            </w:r>
          </w:p>
        </w:tc>
        <w:tc>
          <w:tcPr>
            <w:tcW w:w="1940" w:type="pct"/>
            <w:tcBorders>
              <w:top w:val="single" w:color="auto" w:sz="4" w:space="0"/>
              <w:left w:val="nil"/>
              <w:bottom w:val="single" w:color="auto" w:sz="4" w:space="0"/>
              <w:right w:val="single" w:color="auto" w:sz="4" w:space="0"/>
            </w:tcBorders>
            <w:noWrap w:val="0"/>
            <w:vAlign w:val="center"/>
          </w:tcPr>
          <w:p w14:paraId="439DEA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9.5+（3000-1000）×0.8%=25.5</w:t>
            </w:r>
          </w:p>
        </w:tc>
      </w:tr>
      <w:tr w14:paraId="77BC7279">
        <w:tblPrEx>
          <w:tblCellMar>
            <w:top w:w="0" w:type="dxa"/>
            <w:left w:w="108" w:type="dxa"/>
            <w:bottom w:w="0" w:type="dxa"/>
            <w:right w:w="108" w:type="dxa"/>
          </w:tblCellMar>
        </w:tblPrEx>
        <w:trPr>
          <w:trHeight w:val="312" w:hRule="atLeast"/>
          <w:jc w:val="center"/>
        </w:trPr>
        <w:tc>
          <w:tcPr>
            <w:tcW w:w="463" w:type="pct"/>
            <w:tcBorders>
              <w:top w:val="single" w:color="auto" w:sz="4" w:space="0"/>
              <w:left w:val="single" w:color="auto" w:sz="4" w:space="0"/>
              <w:bottom w:val="single" w:color="auto" w:sz="4" w:space="0"/>
              <w:right w:val="single" w:color="auto" w:sz="4" w:space="0"/>
            </w:tcBorders>
            <w:noWrap w:val="0"/>
            <w:vAlign w:val="center"/>
          </w:tcPr>
          <w:p w14:paraId="6C3732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w:t>
            </w:r>
          </w:p>
        </w:tc>
        <w:tc>
          <w:tcPr>
            <w:tcW w:w="915" w:type="pct"/>
            <w:tcBorders>
              <w:top w:val="single" w:color="auto" w:sz="4" w:space="0"/>
              <w:left w:val="nil"/>
              <w:bottom w:val="single" w:color="auto" w:sz="4" w:space="0"/>
              <w:right w:val="single" w:color="auto" w:sz="4" w:space="0"/>
            </w:tcBorders>
            <w:noWrap w:val="0"/>
            <w:vAlign w:val="center"/>
          </w:tcPr>
          <w:p w14:paraId="49A455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3000-5000</w:t>
            </w:r>
          </w:p>
        </w:tc>
        <w:tc>
          <w:tcPr>
            <w:tcW w:w="635" w:type="pct"/>
            <w:tcBorders>
              <w:top w:val="single" w:color="auto" w:sz="4" w:space="0"/>
              <w:left w:val="nil"/>
              <w:bottom w:val="single" w:color="auto" w:sz="4" w:space="0"/>
              <w:right w:val="single" w:color="auto" w:sz="4" w:space="0"/>
            </w:tcBorders>
            <w:noWrap w:val="0"/>
            <w:vAlign w:val="center"/>
          </w:tcPr>
          <w:p w14:paraId="0F3F8B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0.7</w:t>
            </w:r>
          </w:p>
        </w:tc>
        <w:tc>
          <w:tcPr>
            <w:tcW w:w="1045" w:type="pct"/>
            <w:tcBorders>
              <w:top w:val="single" w:color="auto" w:sz="4" w:space="0"/>
              <w:left w:val="nil"/>
              <w:bottom w:val="single" w:color="auto" w:sz="4" w:space="0"/>
              <w:right w:val="single" w:color="auto" w:sz="4" w:space="0"/>
            </w:tcBorders>
            <w:noWrap w:val="0"/>
            <w:vAlign w:val="center"/>
          </w:tcPr>
          <w:p w14:paraId="2A62A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5000</w:t>
            </w:r>
          </w:p>
        </w:tc>
        <w:tc>
          <w:tcPr>
            <w:tcW w:w="1940" w:type="pct"/>
            <w:tcBorders>
              <w:top w:val="single" w:color="auto" w:sz="4" w:space="0"/>
              <w:left w:val="nil"/>
              <w:bottom w:val="single" w:color="auto" w:sz="4" w:space="0"/>
              <w:right w:val="single" w:color="auto" w:sz="4" w:space="0"/>
            </w:tcBorders>
            <w:noWrap w:val="0"/>
            <w:vAlign w:val="center"/>
          </w:tcPr>
          <w:p w14:paraId="667551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25.5+（5000-3000）×0.7%=39.5</w:t>
            </w:r>
          </w:p>
        </w:tc>
      </w:tr>
      <w:tr w14:paraId="43EA9B26">
        <w:tblPrEx>
          <w:tblCellMar>
            <w:top w:w="0" w:type="dxa"/>
            <w:left w:w="108" w:type="dxa"/>
            <w:bottom w:w="0" w:type="dxa"/>
            <w:right w:w="108" w:type="dxa"/>
          </w:tblCellMar>
        </w:tblPrEx>
        <w:trPr>
          <w:trHeight w:val="312" w:hRule="atLeast"/>
          <w:jc w:val="center"/>
        </w:trPr>
        <w:tc>
          <w:tcPr>
            <w:tcW w:w="463" w:type="pct"/>
            <w:tcBorders>
              <w:top w:val="single" w:color="auto" w:sz="4" w:space="0"/>
              <w:left w:val="single" w:color="auto" w:sz="4" w:space="0"/>
              <w:bottom w:val="single" w:color="auto" w:sz="4" w:space="0"/>
              <w:right w:val="single" w:color="auto" w:sz="4" w:space="0"/>
            </w:tcBorders>
            <w:noWrap w:val="0"/>
            <w:vAlign w:val="center"/>
          </w:tcPr>
          <w:p w14:paraId="7AEAB2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w:t>
            </w:r>
          </w:p>
        </w:tc>
        <w:tc>
          <w:tcPr>
            <w:tcW w:w="915" w:type="pct"/>
            <w:tcBorders>
              <w:top w:val="single" w:color="auto" w:sz="4" w:space="0"/>
              <w:left w:val="nil"/>
              <w:bottom w:val="single" w:color="auto" w:sz="4" w:space="0"/>
              <w:right w:val="single" w:color="auto" w:sz="4" w:space="0"/>
            </w:tcBorders>
            <w:noWrap w:val="0"/>
            <w:vAlign w:val="center"/>
          </w:tcPr>
          <w:p w14:paraId="7F6064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5000-10000</w:t>
            </w:r>
          </w:p>
        </w:tc>
        <w:tc>
          <w:tcPr>
            <w:tcW w:w="635" w:type="pct"/>
            <w:tcBorders>
              <w:top w:val="single" w:color="auto" w:sz="4" w:space="0"/>
              <w:left w:val="nil"/>
              <w:bottom w:val="single" w:color="auto" w:sz="4" w:space="0"/>
              <w:right w:val="single" w:color="auto" w:sz="4" w:space="0"/>
            </w:tcBorders>
            <w:noWrap w:val="0"/>
            <w:vAlign w:val="center"/>
          </w:tcPr>
          <w:p w14:paraId="21244C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0.6</w:t>
            </w:r>
          </w:p>
        </w:tc>
        <w:tc>
          <w:tcPr>
            <w:tcW w:w="1045" w:type="pct"/>
            <w:tcBorders>
              <w:top w:val="single" w:color="auto" w:sz="4" w:space="0"/>
              <w:left w:val="nil"/>
              <w:bottom w:val="single" w:color="auto" w:sz="4" w:space="0"/>
              <w:right w:val="single" w:color="auto" w:sz="4" w:space="0"/>
            </w:tcBorders>
            <w:noWrap w:val="0"/>
            <w:vAlign w:val="center"/>
          </w:tcPr>
          <w:p w14:paraId="303196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10000</w:t>
            </w:r>
          </w:p>
        </w:tc>
        <w:tc>
          <w:tcPr>
            <w:tcW w:w="1940" w:type="pct"/>
            <w:tcBorders>
              <w:top w:val="single" w:color="auto" w:sz="4" w:space="0"/>
              <w:left w:val="nil"/>
              <w:bottom w:val="single" w:color="auto" w:sz="4" w:space="0"/>
              <w:right w:val="single" w:color="auto" w:sz="4" w:space="0"/>
            </w:tcBorders>
            <w:noWrap w:val="0"/>
            <w:vAlign w:val="center"/>
          </w:tcPr>
          <w:p w14:paraId="300371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39.5+（10000-5000）×0.6%=69.5</w:t>
            </w:r>
          </w:p>
        </w:tc>
      </w:tr>
      <w:tr w14:paraId="65A9E307">
        <w:tblPrEx>
          <w:tblCellMar>
            <w:top w:w="0" w:type="dxa"/>
            <w:left w:w="108" w:type="dxa"/>
            <w:bottom w:w="0" w:type="dxa"/>
            <w:right w:w="108" w:type="dxa"/>
          </w:tblCellMar>
        </w:tblPrEx>
        <w:trPr>
          <w:trHeight w:val="312" w:hRule="atLeast"/>
          <w:jc w:val="center"/>
        </w:trPr>
        <w:tc>
          <w:tcPr>
            <w:tcW w:w="463" w:type="pct"/>
            <w:tcBorders>
              <w:top w:val="single" w:color="auto" w:sz="4" w:space="0"/>
              <w:left w:val="single" w:color="auto" w:sz="4" w:space="0"/>
              <w:bottom w:val="single" w:color="auto" w:sz="4" w:space="0"/>
              <w:right w:val="single" w:color="auto" w:sz="4" w:space="0"/>
            </w:tcBorders>
            <w:noWrap w:val="0"/>
            <w:vAlign w:val="center"/>
          </w:tcPr>
          <w:p w14:paraId="5766AB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w:t>
            </w:r>
          </w:p>
        </w:tc>
        <w:tc>
          <w:tcPr>
            <w:tcW w:w="915" w:type="pct"/>
            <w:tcBorders>
              <w:top w:val="single" w:color="auto" w:sz="4" w:space="0"/>
              <w:left w:val="nil"/>
              <w:bottom w:val="single" w:color="auto" w:sz="4" w:space="0"/>
              <w:right w:val="single" w:color="auto" w:sz="4" w:space="0"/>
            </w:tcBorders>
            <w:noWrap w:val="0"/>
            <w:vAlign w:val="center"/>
          </w:tcPr>
          <w:p w14:paraId="565669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10000以上</w:t>
            </w:r>
          </w:p>
        </w:tc>
        <w:tc>
          <w:tcPr>
            <w:tcW w:w="635" w:type="pct"/>
            <w:tcBorders>
              <w:top w:val="single" w:color="auto" w:sz="4" w:space="0"/>
              <w:left w:val="nil"/>
              <w:bottom w:val="single" w:color="auto" w:sz="4" w:space="0"/>
              <w:right w:val="single" w:color="auto" w:sz="4" w:space="0"/>
            </w:tcBorders>
            <w:noWrap w:val="0"/>
            <w:vAlign w:val="center"/>
          </w:tcPr>
          <w:p w14:paraId="06D508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0.5</w:t>
            </w:r>
          </w:p>
        </w:tc>
        <w:tc>
          <w:tcPr>
            <w:tcW w:w="1045" w:type="pct"/>
            <w:tcBorders>
              <w:top w:val="single" w:color="auto" w:sz="4" w:space="0"/>
              <w:left w:val="nil"/>
              <w:bottom w:val="single" w:color="auto" w:sz="4" w:space="0"/>
              <w:right w:val="single" w:color="auto" w:sz="4" w:space="0"/>
            </w:tcBorders>
            <w:noWrap w:val="0"/>
            <w:vAlign w:val="center"/>
          </w:tcPr>
          <w:p w14:paraId="7DE1AB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15000</w:t>
            </w:r>
          </w:p>
        </w:tc>
        <w:tc>
          <w:tcPr>
            <w:tcW w:w="1940" w:type="pct"/>
            <w:tcBorders>
              <w:top w:val="single" w:color="auto" w:sz="4" w:space="0"/>
              <w:left w:val="nil"/>
              <w:bottom w:val="single" w:color="auto" w:sz="4" w:space="0"/>
              <w:right w:val="single" w:color="auto" w:sz="4" w:space="0"/>
            </w:tcBorders>
            <w:noWrap w:val="0"/>
            <w:vAlign w:val="center"/>
          </w:tcPr>
          <w:p w14:paraId="211053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69.5+（15000-10000）×0.5%=94.5</w:t>
            </w:r>
          </w:p>
        </w:tc>
      </w:tr>
    </w:tbl>
    <w:p w14:paraId="437B0AB4">
      <w:pPr>
        <w:keepNext w:val="0"/>
        <w:keepLines w:val="0"/>
        <w:pageBreakBefore w:val="0"/>
        <w:widowControl w:val="0"/>
        <w:kinsoku/>
        <w:wordWrap/>
        <w:overflowPunct/>
        <w:topLinePunct w:val="0"/>
        <w:autoSpaceDE/>
        <w:autoSpaceDN/>
        <w:bidi w:val="0"/>
        <w:adjustRightInd/>
        <w:snapToGrid/>
        <w:spacing w:before="157" w:beforeLines="50" w:after="0" w:line="360" w:lineRule="auto"/>
        <w:ind w:right="0" w:rightChars="0" w:firstLine="560" w:firstLineChars="200"/>
        <w:jc w:val="left"/>
        <w:textAlignment w:val="auto"/>
        <w:rPr>
          <w:rFonts w:hint="default" w:ascii="Times New Roman" w:hAnsi="Times New Roman" w:eastAsia="宋体" w:cs="Times New Roman"/>
          <w:color w:val="000000" w:themeColor="text1"/>
          <w:sz w:val="28"/>
          <w:szCs w:val="21"/>
          <w14:textFill>
            <w14:solidFill>
              <w14:schemeClr w14:val="tx1"/>
            </w14:solidFill>
          </w14:textFill>
        </w:rPr>
      </w:pPr>
      <w:r>
        <w:rPr>
          <w:rFonts w:hint="eastAsia" w:cs="Times New Roman"/>
          <w:color w:val="000000" w:themeColor="text1"/>
          <w:sz w:val="28"/>
          <w:szCs w:val="21"/>
          <w:lang w:val="en-US" w:eastAsia="zh-CN"/>
          <w14:textFill>
            <w14:solidFill>
              <w14:schemeClr w14:val="tx1"/>
            </w14:solidFill>
          </w14:textFill>
        </w:rPr>
        <w:t>4、</w:t>
      </w:r>
      <w:r>
        <w:rPr>
          <w:rFonts w:hint="default" w:ascii="Times New Roman" w:hAnsi="Times New Roman" w:eastAsia="宋体" w:cs="Times New Roman"/>
          <w:color w:val="000000" w:themeColor="text1"/>
          <w:sz w:val="28"/>
          <w:szCs w:val="21"/>
          <w14:textFill>
            <w14:solidFill>
              <w14:schemeClr w14:val="tx1"/>
            </w14:solidFill>
          </w14:textFill>
        </w:rPr>
        <w:t>项目管理费</w:t>
      </w:r>
    </w:p>
    <w:p w14:paraId="1579301F">
      <w:pPr>
        <w:keepNext w:val="0"/>
        <w:keepLines w:val="0"/>
        <w:pageBreakBefore w:val="0"/>
        <w:kinsoku/>
        <w:wordWrap/>
        <w:overflowPunct/>
        <w:topLinePunct w:val="0"/>
        <w:autoSpaceDE/>
        <w:autoSpaceDN/>
        <w:bidi w:val="0"/>
        <w:adjustRightInd/>
        <w:snapToGrid/>
        <w:spacing w:after="0" w:line="360" w:lineRule="auto"/>
        <w:ind w:right="0" w:rightChars="0" w:firstLine="560" w:firstLineChars="200"/>
        <w:jc w:val="left"/>
        <w:textAlignment w:val="auto"/>
        <w:rPr>
          <w:rFonts w:hint="default" w:ascii="Times New Roman" w:hAnsi="Times New Roman" w:eastAsia="宋体" w:cs="Times New Roman"/>
          <w:color w:val="000000" w:themeColor="text1"/>
          <w:sz w:val="28"/>
          <w:szCs w:val="21"/>
          <w14:textFill>
            <w14:solidFill>
              <w14:schemeClr w14:val="tx1"/>
            </w14:solidFill>
          </w14:textFill>
        </w:rPr>
      </w:pPr>
      <w:r>
        <w:rPr>
          <w:rFonts w:hint="default" w:ascii="Times New Roman" w:hAnsi="Times New Roman" w:eastAsia="宋体" w:cs="Times New Roman"/>
          <w:color w:val="000000" w:themeColor="text1"/>
          <w:sz w:val="28"/>
          <w:szCs w:val="21"/>
          <w14:textFill>
            <w14:solidFill>
              <w14:schemeClr w14:val="tx1"/>
            </w14:solidFill>
          </w14:textFill>
        </w:rPr>
        <w:t>以工程施工费、前期工作费、工程监理费和竣工验收费之和作为计费基数，采用差额定率累进法计算，见表</w:t>
      </w:r>
      <w:r>
        <w:rPr>
          <w:rFonts w:hint="eastAsia" w:ascii="Times New Roman" w:hAnsi="Times New Roman" w:eastAsia="宋体" w:cs="Times New Roman"/>
          <w:color w:val="000000" w:themeColor="text1"/>
          <w:sz w:val="28"/>
          <w:szCs w:val="21"/>
          <w:lang w:val="en-US" w:eastAsia="zh-CN"/>
          <w14:textFill>
            <w14:solidFill>
              <w14:schemeClr w14:val="tx1"/>
            </w14:solidFill>
          </w14:textFill>
        </w:rPr>
        <w:t>6</w:t>
      </w:r>
      <w:r>
        <w:rPr>
          <w:rFonts w:hint="default" w:ascii="Times New Roman" w:hAnsi="Times New Roman" w:eastAsia="宋体" w:cs="Times New Roman"/>
          <w:color w:val="000000" w:themeColor="text1"/>
          <w:sz w:val="28"/>
          <w:szCs w:val="21"/>
          <w14:textFill>
            <w14:solidFill>
              <w14:schemeClr w14:val="tx1"/>
            </w14:solidFill>
          </w14:textFill>
        </w:rPr>
        <w:t>-</w:t>
      </w:r>
      <w:r>
        <w:rPr>
          <w:rFonts w:hint="eastAsia" w:ascii="Times New Roman" w:hAnsi="Times New Roman" w:eastAsia="宋体" w:cs="Times New Roman"/>
          <w:color w:val="000000" w:themeColor="text1"/>
          <w:sz w:val="28"/>
          <w:szCs w:val="21"/>
          <w:lang w:val="en-US" w:eastAsia="zh-CN"/>
          <w14:textFill>
            <w14:solidFill>
              <w14:schemeClr w14:val="tx1"/>
            </w14:solidFill>
          </w14:textFill>
        </w:rPr>
        <w:t>1</w:t>
      </w:r>
      <w:r>
        <w:rPr>
          <w:rFonts w:hint="eastAsia" w:cs="Times New Roman"/>
          <w:color w:val="000000" w:themeColor="text1"/>
          <w:sz w:val="28"/>
          <w:szCs w:val="21"/>
          <w:lang w:val="en-US" w:eastAsia="zh-CN"/>
          <w14:textFill>
            <w14:solidFill>
              <w14:schemeClr w14:val="tx1"/>
            </w14:solidFill>
          </w14:textFill>
        </w:rPr>
        <w:t>1</w:t>
      </w:r>
      <w:r>
        <w:rPr>
          <w:rFonts w:hint="default" w:ascii="Times New Roman" w:hAnsi="Times New Roman" w:eastAsia="宋体" w:cs="Times New Roman"/>
          <w:color w:val="000000" w:themeColor="text1"/>
          <w:sz w:val="28"/>
          <w:szCs w:val="21"/>
          <w14:textFill>
            <w14:solidFill>
              <w14:schemeClr w14:val="tx1"/>
            </w14:solidFill>
          </w14:textFill>
        </w:rPr>
        <w:t>。</w:t>
      </w:r>
    </w:p>
    <w:p w14:paraId="287DBC08">
      <w:pPr>
        <w:keepNext w:val="0"/>
        <w:keepLines w:val="0"/>
        <w:pageBreakBefore w:val="0"/>
        <w:widowControl/>
        <w:tabs>
          <w:tab w:val="left" w:pos="7235"/>
        </w:tabs>
        <w:kinsoku/>
        <w:wordWrap/>
        <w:overflowPunct/>
        <w:topLinePunct w:val="0"/>
        <w:autoSpaceDE/>
        <w:autoSpaceDN/>
        <w:bidi w:val="0"/>
        <w:adjustRightInd/>
        <w:snapToGrid/>
        <w:spacing w:after="0" w:line="360" w:lineRule="auto"/>
        <w:ind w:right="0" w:rightChars="0"/>
        <w:jc w:val="center"/>
        <w:textAlignment w:val="auto"/>
        <w:rPr>
          <w:rFonts w:hint="default" w:ascii="黑体" w:hAnsi="黑体" w:eastAsia="黑体" w:cs="黑体"/>
          <w:b w:val="0"/>
          <w:bCs/>
          <w:color w:val="000000" w:themeColor="text1"/>
          <w:sz w:val="24"/>
          <w:szCs w:val="24"/>
          <w14:textFill>
            <w14:solidFill>
              <w14:schemeClr w14:val="tx1"/>
            </w14:solidFill>
          </w14:textFill>
        </w:rPr>
      </w:pPr>
      <w:r>
        <w:rPr>
          <w:rFonts w:hint="default" w:ascii="黑体" w:hAnsi="黑体" w:eastAsia="黑体" w:cs="黑体"/>
          <w:b w:val="0"/>
          <w:bCs/>
          <w:color w:val="000000" w:themeColor="text1"/>
          <w:sz w:val="24"/>
          <w:szCs w:val="24"/>
          <w14:textFill>
            <w14:solidFill>
              <w14:schemeClr w14:val="tx1"/>
            </w14:solidFill>
          </w14:textFill>
        </w:rPr>
        <w:t>表</w:t>
      </w:r>
      <w:r>
        <w:rPr>
          <w:rFonts w:hint="eastAsia" w:ascii="黑体" w:hAnsi="黑体" w:eastAsia="黑体" w:cs="黑体"/>
          <w:b w:val="0"/>
          <w:bCs/>
          <w:color w:val="000000" w:themeColor="text1"/>
          <w:sz w:val="24"/>
          <w:szCs w:val="24"/>
          <w:lang w:val="en-US" w:eastAsia="zh-CN"/>
          <w14:textFill>
            <w14:solidFill>
              <w14:schemeClr w14:val="tx1"/>
            </w14:solidFill>
          </w14:textFill>
        </w:rPr>
        <w:t>6</w:t>
      </w:r>
      <w:r>
        <w:rPr>
          <w:rFonts w:hint="default" w:ascii="黑体" w:hAnsi="黑体" w:eastAsia="黑体" w:cs="黑体"/>
          <w:b w:val="0"/>
          <w:bCs/>
          <w:color w:val="000000" w:themeColor="text1"/>
          <w:sz w:val="24"/>
          <w:szCs w:val="24"/>
          <w14:textFill>
            <w14:solidFill>
              <w14:schemeClr w14:val="tx1"/>
            </w14:solidFill>
          </w14:textFill>
        </w:rPr>
        <w:t>-</w:t>
      </w:r>
      <w:r>
        <w:rPr>
          <w:rFonts w:hint="eastAsia" w:ascii="黑体" w:hAnsi="黑体" w:eastAsia="黑体" w:cs="黑体"/>
          <w:b w:val="0"/>
          <w:bCs/>
          <w:color w:val="000000" w:themeColor="text1"/>
          <w:sz w:val="24"/>
          <w:szCs w:val="24"/>
          <w:lang w:val="en-US" w:eastAsia="zh-CN"/>
          <w14:textFill>
            <w14:solidFill>
              <w14:schemeClr w14:val="tx1"/>
            </w14:solidFill>
          </w14:textFill>
        </w:rPr>
        <w:t>11</w:t>
      </w:r>
      <w:r>
        <w:rPr>
          <w:rFonts w:hint="default" w:ascii="黑体" w:hAnsi="黑体" w:eastAsia="黑体" w:cs="黑体"/>
          <w:b w:val="0"/>
          <w:bCs/>
          <w:color w:val="000000" w:themeColor="text1"/>
          <w:sz w:val="24"/>
          <w:szCs w:val="24"/>
          <w14:textFill>
            <w14:solidFill>
              <w14:schemeClr w14:val="tx1"/>
            </w14:solidFill>
          </w14:textFill>
        </w:rPr>
        <w:t xml:space="preserve">  项目管理费计费标准</w:t>
      </w:r>
    </w:p>
    <w:tbl>
      <w:tblPr>
        <w:tblStyle w:val="30"/>
        <w:tblW w:w="4999" w:type="pct"/>
        <w:jc w:val="center"/>
        <w:tblLayout w:type="autofit"/>
        <w:tblCellMar>
          <w:top w:w="0" w:type="dxa"/>
          <w:left w:w="108" w:type="dxa"/>
          <w:bottom w:w="0" w:type="dxa"/>
          <w:right w:w="108" w:type="dxa"/>
        </w:tblCellMar>
      </w:tblPr>
      <w:tblGrid>
        <w:gridCol w:w="856"/>
        <w:gridCol w:w="1458"/>
        <w:gridCol w:w="1098"/>
        <w:gridCol w:w="1784"/>
        <w:gridCol w:w="3330"/>
      </w:tblGrid>
      <w:tr w14:paraId="73185343">
        <w:tblPrEx>
          <w:tblCellMar>
            <w:top w:w="0" w:type="dxa"/>
            <w:left w:w="108" w:type="dxa"/>
            <w:bottom w:w="0" w:type="dxa"/>
            <w:right w:w="108" w:type="dxa"/>
          </w:tblCellMar>
        </w:tblPrEx>
        <w:trPr>
          <w:trHeight w:val="312" w:hRule="atLeast"/>
          <w:jc w:val="center"/>
        </w:trPr>
        <w:tc>
          <w:tcPr>
            <w:tcW w:w="502" w:type="pct"/>
            <w:vMerge w:val="restart"/>
            <w:tcBorders>
              <w:top w:val="single" w:color="auto" w:sz="4" w:space="0"/>
              <w:left w:val="single" w:color="auto" w:sz="4" w:space="0"/>
              <w:right w:val="single" w:color="auto" w:sz="4" w:space="0"/>
            </w:tcBorders>
            <w:noWrap w:val="0"/>
            <w:vAlign w:val="center"/>
          </w:tcPr>
          <w:p w14:paraId="57A385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序号</w:t>
            </w:r>
          </w:p>
        </w:tc>
        <w:tc>
          <w:tcPr>
            <w:tcW w:w="855" w:type="pct"/>
            <w:vMerge w:val="restart"/>
            <w:tcBorders>
              <w:top w:val="single" w:color="auto" w:sz="4" w:space="0"/>
              <w:left w:val="single" w:color="auto" w:sz="4" w:space="0"/>
              <w:right w:val="single" w:color="auto" w:sz="4" w:space="0"/>
            </w:tcBorders>
            <w:noWrap w:val="0"/>
            <w:vAlign w:val="center"/>
          </w:tcPr>
          <w:p w14:paraId="4FFFDA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计费基础</w:t>
            </w:r>
          </w:p>
          <w:p w14:paraId="1C65BA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（万元）</w:t>
            </w:r>
          </w:p>
        </w:tc>
        <w:tc>
          <w:tcPr>
            <w:tcW w:w="644" w:type="pct"/>
            <w:vMerge w:val="restart"/>
            <w:tcBorders>
              <w:top w:val="single" w:color="auto" w:sz="4" w:space="0"/>
              <w:left w:val="single" w:color="auto" w:sz="4" w:space="0"/>
              <w:right w:val="single" w:color="auto" w:sz="4" w:space="0"/>
            </w:tcBorders>
            <w:noWrap w:val="0"/>
            <w:vAlign w:val="center"/>
          </w:tcPr>
          <w:p w14:paraId="4CBA5F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费率（%）</w:t>
            </w:r>
          </w:p>
        </w:tc>
        <w:tc>
          <w:tcPr>
            <w:tcW w:w="2998" w:type="pct"/>
            <w:gridSpan w:val="2"/>
            <w:tcBorders>
              <w:top w:val="single" w:color="auto" w:sz="4" w:space="0"/>
              <w:left w:val="single" w:color="auto" w:sz="4" w:space="0"/>
              <w:bottom w:val="single" w:color="auto" w:sz="4" w:space="0"/>
              <w:right w:val="single" w:color="auto" w:sz="4" w:space="0"/>
            </w:tcBorders>
            <w:noWrap w:val="0"/>
            <w:vAlign w:val="center"/>
          </w:tcPr>
          <w:p w14:paraId="51CDAE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算例</w:t>
            </w:r>
          </w:p>
        </w:tc>
      </w:tr>
      <w:tr w14:paraId="26D01ED9">
        <w:tblPrEx>
          <w:tblCellMar>
            <w:top w:w="0" w:type="dxa"/>
            <w:left w:w="108" w:type="dxa"/>
            <w:bottom w:w="0" w:type="dxa"/>
            <w:right w:w="108" w:type="dxa"/>
          </w:tblCellMar>
        </w:tblPrEx>
        <w:trPr>
          <w:trHeight w:val="312" w:hRule="atLeast"/>
          <w:jc w:val="center"/>
        </w:trPr>
        <w:tc>
          <w:tcPr>
            <w:tcW w:w="502" w:type="pct"/>
            <w:vMerge w:val="continue"/>
            <w:tcBorders>
              <w:left w:val="single" w:color="auto" w:sz="4" w:space="0"/>
              <w:bottom w:val="single" w:color="auto" w:sz="4" w:space="0"/>
              <w:right w:val="single" w:color="auto" w:sz="4" w:space="0"/>
            </w:tcBorders>
            <w:noWrap w:val="0"/>
            <w:vAlign w:val="center"/>
          </w:tcPr>
          <w:p w14:paraId="641758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855" w:type="pct"/>
            <w:vMerge w:val="continue"/>
            <w:tcBorders>
              <w:left w:val="single" w:color="auto" w:sz="4" w:space="0"/>
              <w:bottom w:val="single" w:color="auto" w:sz="4" w:space="0"/>
              <w:right w:val="single" w:color="auto" w:sz="4" w:space="0"/>
            </w:tcBorders>
            <w:noWrap w:val="0"/>
            <w:vAlign w:val="center"/>
          </w:tcPr>
          <w:p w14:paraId="112C5E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644" w:type="pct"/>
            <w:vMerge w:val="continue"/>
            <w:tcBorders>
              <w:left w:val="single" w:color="auto" w:sz="4" w:space="0"/>
              <w:bottom w:val="single" w:color="auto" w:sz="4" w:space="0"/>
              <w:right w:val="single" w:color="auto" w:sz="4" w:space="0"/>
            </w:tcBorders>
            <w:noWrap w:val="0"/>
            <w:vAlign w:val="center"/>
          </w:tcPr>
          <w:p w14:paraId="553B91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p>
        </w:tc>
        <w:tc>
          <w:tcPr>
            <w:tcW w:w="1046" w:type="pct"/>
            <w:tcBorders>
              <w:top w:val="single" w:color="auto" w:sz="4" w:space="0"/>
              <w:left w:val="single" w:color="auto" w:sz="4" w:space="0"/>
              <w:bottom w:val="single" w:color="auto" w:sz="4" w:space="0"/>
              <w:right w:val="single" w:color="auto" w:sz="4" w:space="0"/>
            </w:tcBorders>
            <w:noWrap w:val="0"/>
            <w:vAlign w:val="center"/>
          </w:tcPr>
          <w:p w14:paraId="30BC60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计费基础（万元）</w:t>
            </w:r>
          </w:p>
        </w:tc>
        <w:tc>
          <w:tcPr>
            <w:tcW w:w="1951" w:type="pct"/>
            <w:tcBorders>
              <w:top w:val="single" w:color="auto" w:sz="4" w:space="0"/>
              <w:left w:val="single" w:color="auto" w:sz="4" w:space="0"/>
              <w:bottom w:val="single" w:color="auto" w:sz="4" w:space="0"/>
              <w:right w:val="single" w:color="auto" w:sz="4" w:space="0"/>
            </w:tcBorders>
            <w:noWrap w:val="0"/>
            <w:vAlign w:val="center"/>
          </w:tcPr>
          <w:p w14:paraId="279848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项目管理费（万元）</w:t>
            </w:r>
          </w:p>
        </w:tc>
      </w:tr>
      <w:tr w14:paraId="0054A060">
        <w:tblPrEx>
          <w:tblCellMar>
            <w:top w:w="0" w:type="dxa"/>
            <w:left w:w="108" w:type="dxa"/>
            <w:bottom w:w="0" w:type="dxa"/>
            <w:right w:w="108" w:type="dxa"/>
          </w:tblCellMar>
        </w:tblPrEx>
        <w:trPr>
          <w:trHeight w:val="312" w:hRule="atLeast"/>
          <w:jc w:val="center"/>
        </w:trPr>
        <w:tc>
          <w:tcPr>
            <w:tcW w:w="502" w:type="pct"/>
            <w:tcBorders>
              <w:top w:val="nil"/>
              <w:left w:val="single" w:color="auto" w:sz="4" w:space="0"/>
              <w:bottom w:val="single" w:color="auto" w:sz="4" w:space="0"/>
              <w:right w:val="single" w:color="auto" w:sz="4" w:space="0"/>
            </w:tcBorders>
            <w:noWrap w:val="0"/>
            <w:vAlign w:val="center"/>
          </w:tcPr>
          <w:p w14:paraId="6C9802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w:t>
            </w:r>
          </w:p>
        </w:tc>
        <w:tc>
          <w:tcPr>
            <w:tcW w:w="855" w:type="pct"/>
            <w:tcBorders>
              <w:top w:val="nil"/>
              <w:left w:val="nil"/>
              <w:bottom w:val="single" w:color="auto" w:sz="4" w:space="0"/>
              <w:right w:val="single" w:color="auto" w:sz="4" w:space="0"/>
            </w:tcBorders>
            <w:noWrap w:val="0"/>
            <w:vAlign w:val="center"/>
          </w:tcPr>
          <w:p w14:paraId="6819B5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w:t>
            </w:r>
          </w:p>
        </w:tc>
        <w:tc>
          <w:tcPr>
            <w:tcW w:w="644" w:type="pct"/>
            <w:tcBorders>
              <w:top w:val="nil"/>
              <w:left w:val="nil"/>
              <w:bottom w:val="single" w:color="auto" w:sz="4" w:space="0"/>
              <w:right w:val="single" w:color="auto" w:sz="4" w:space="0"/>
            </w:tcBorders>
            <w:noWrap w:val="0"/>
            <w:vAlign w:val="center"/>
          </w:tcPr>
          <w:p w14:paraId="263596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1.5</w:t>
            </w:r>
          </w:p>
        </w:tc>
        <w:tc>
          <w:tcPr>
            <w:tcW w:w="1046" w:type="pct"/>
            <w:tcBorders>
              <w:top w:val="nil"/>
              <w:left w:val="nil"/>
              <w:bottom w:val="single" w:color="auto" w:sz="4" w:space="0"/>
              <w:right w:val="single" w:color="auto" w:sz="4" w:space="0"/>
            </w:tcBorders>
            <w:noWrap w:val="0"/>
            <w:vAlign w:val="center"/>
          </w:tcPr>
          <w:p w14:paraId="7D0EF2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w:t>
            </w:r>
          </w:p>
        </w:tc>
        <w:tc>
          <w:tcPr>
            <w:tcW w:w="1951" w:type="pct"/>
            <w:tcBorders>
              <w:top w:val="nil"/>
              <w:left w:val="nil"/>
              <w:bottom w:val="single" w:color="auto" w:sz="4" w:space="0"/>
              <w:right w:val="single" w:color="auto" w:sz="4" w:space="0"/>
            </w:tcBorders>
            <w:noWrap w:val="0"/>
            <w:vAlign w:val="center"/>
          </w:tcPr>
          <w:p w14:paraId="131337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500×1.5%=7.5</w:t>
            </w:r>
          </w:p>
        </w:tc>
      </w:tr>
      <w:tr w14:paraId="557E0734">
        <w:tblPrEx>
          <w:tblCellMar>
            <w:top w:w="0" w:type="dxa"/>
            <w:left w:w="108" w:type="dxa"/>
            <w:bottom w:w="0" w:type="dxa"/>
            <w:right w:w="108" w:type="dxa"/>
          </w:tblCellMar>
        </w:tblPrEx>
        <w:trPr>
          <w:trHeight w:val="312" w:hRule="atLeast"/>
          <w:jc w:val="center"/>
        </w:trPr>
        <w:tc>
          <w:tcPr>
            <w:tcW w:w="502" w:type="pct"/>
            <w:tcBorders>
              <w:top w:val="nil"/>
              <w:left w:val="single" w:color="auto" w:sz="4" w:space="0"/>
              <w:bottom w:val="single" w:color="auto" w:sz="4" w:space="0"/>
              <w:right w:val="single" w:color="auto" w:sz="4" w:space="0"/>
            </w:tcBorders>
            <w:noWrap w:val="0"/>
            <w:vAlign w:val="center"/>
          </w:tcPr>
          <w:p w14:paraId="4C1661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w:t>
            </w:r>
          </w:p>
        </w:tc>
        <w:tc>
          <w:tcPr>
            <w:tcW w:w="855" w:type="pct"/>
            <w:tcBorders>
              <w:top w:val="nil"/>
              <w:left w:val="nil"/>
              <w:bottom w:val="single" w:color="auto" w:sz="4" w:space="0"/>
              <w:right w:val="single" w:color="auto" w:sz="4" w:space="0"/>
            </w:tcBorders>
            <w:noWrap w:val="0"/>
            <w:vAlign w:val="center"/>
          </w:tcPr>
          <w:p w14:paraId="2FD36A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500-1000</w:t>
            </w:r>
          </w:p>
        </w:tc>
        <w:tc>
          <w:tcPr>
            <w:tcW w:w="644" w:type="pct"/>
            <w:tcBorders>
              <w:top w:val="nil"/>
              <w:left w:val="nil"/>
              <w:bottom w:val="single" w:color="auto" w:sz="4" w:space="0"/>
              <w:right w:val="single" w:color="auto" w:sz="4" w:space="0"/>
            </w:tcBorders>
            <w:noWrap w:val="0"/>
            <w:vAlign w:val="center"/>
          </w:tcPr>
          <w:p w14:paraId="232190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w:t>
            </w:r>
          </w:p>
        </w:tc>
        <w:tc>
          <w:tcPr>
            <w:tcW w:w="1046" w:type="pct"/>
            <w:tcBorders>
              <w:top w:val="nil"/>
              <w:left w:val="nil"/>
              <w:bottom w:val="single" w:color="auto" w:sz="4" w:space="0"/>
              <w:right w:val="single" w:color="auto" w:sz="4" w:space="0"/>
            </w:tcBorders>
            <w:noWrap w:val="0"/>
            <w:vAlign w:val="center"/>
          </w:tcPr>
          <w:p w14:paraId="5F3B5A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1000</w:t>
            </w:r>
          </w:p>
        </w:tc>
        <w:tc>
          <w:tcPr>
            <w:tcW w:w="1951" w:type="pct"/>
            <w:tcBorders>
              <w:top w:val="nil"/>
              <w:left w:val="nil"/>
              <w:bottom w:val="single" w:color="auto" w:sz="4" w:space="0"/>
              <w:right w:val="single" w:color="auto" w:sz="4" w:space="0"/>
            </w:tcBorders>
            <w:noWrap w:val="0"/>
            <w:vAlign w:val="center"/>
          </w:tcPr>
          <w:p w14:paraId="3FF460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5+（1000-500）×1.0%=12.5</w:t>
            </w:r>
          </w:p>
        </w:tc>
      </w:tr>
      <w:tr w14:paraId="08B19365">
        <w:tblPrEx>
          <w:tblCellMar>
            <w:top w:w="0" w:type="dxa"/>
            <w:left w:w="108" w:type="dxa"/>
            <w:bottom w:w="0" w:type="dxa"/>
            <w:right w:w="108" w:type="dxa"/>
          </w:tblCellMar>
        </w:tblPrEx>
        <w:trPr>
          <w:trHeight w:val="312" w:hRule="atLeast"/>
          <w:jc w:val="center"/>
        </w:trPr>
        <w:tc>
          <w:tcPr>
            <w:tcW w:w="502" w:type="pct"/>
            <w:tcBorders>
              <w:top w:val="single" w:color="auto" w:sz="4" w:space="0"/>
              <w:left w:val="single" w:color="auto" w:sz="4" w:space="0"/>
              <w:bottom w:val="single" w:color="auto" w:sz="4" w:space="0"/>
              <w:right w:val="single" w:color="auto" w:sz="4" w:space="0"/>
            </w:tcBorders>
            <w:noWrap w:val="0"/>
            <w:vAlign w:val="center"/>
          </w:tcPr>
          <w:p w14:paraId="3EE11C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w:t>
            </w:r>
          </w:p>
        </w:tc>
        <w:tc>
          <w:tcPr>
            <w:tcW w:w="855" w:type="pct"/>
            <w:tcBorders>
              <w:top w:val="single" w:color="auto" w:sz="4" w:space="0"/>
              <w:left w:val="nil"/>
              <w:bottom w:val="single" w:color="auto" w:sz="4" w:space="0"/>
              <w:right w:val="single" w:color="auto" w:sz="4" w:space="0"/>
            </w:tcBorders>
            <w:noWrap w:val="0"/>
            <w:vAlign w:val="center"/>
          </w:tcPr>
          <w:p w14:paraId="7E832E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1000-3000</w:t>
            </w:r>
          </w:p>
        </w:tc>
        <w:tc>
          <w:tcPr>
            <w:tcW w:w="644" w:type="pct"/>
            <w:tcBorders>
              <w:top w:val="single" w:color="auto" w:sz="4" w:space="0"/>
              <w:left w:val="nil"/>
              <w:bottom w:val="single" w:color="auto" w:sz="4" w:space="0"/>
              <w:right w:val="single" w:color="auto" w:sz="4" w:space="0"/>
            </w:tcBorders>
            <w:noWrap w:val="0"/>
            <w:vAlign w:val="center"/>
          </w:tcPr>
          <w:p w14:paraId="6CDDC5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0.5</w:t>
            </w:r>
          </w:p>
        </w:tc>
        <w:tc>
          <w:tcPr>
            <w:tcW w:w="1046" w:type="pct"/>
            <w:tcBorders>
              <w:top w:val="single" w:color="auto" w:sz="4" w:space="0"/>
              <w:left w:val="nil"/>
              <w:bottom w:val="single" w:color="auto" w:sz="4" w:space="0"/>
              <w:right w:val="single" w:color="auto" w:sz="4" w:space="0"/>
            </w:tcBorders>
            <w:noWrap w:val="0"/>
            <w:vAlign w:val="center"/>
          </w:tcPr>
          <w:p w14:paraId="7D85C0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3000</w:t>
            </w:r>
          </w:p>
        </w:tc>
        <w:tc>
          <w:tcPr>
            <w:tcW w:w="1951" w:type="pct"/>
            <w:tcBorders>
              <w:top w:val="single" w:color="auto" w:sz="4" w:space="0"/>
              <w:left w:val="nil"/>
              <w:bottom w:val="single" w:color="auto" w:sz="4" w:space="0"/>
              <w:right w:val="single" w:color="auto" w:sz="4" w:space="0"/>
            </w:tcBorders>
            <w:noWrap w:val="0"/>
            <w:vAlign w:val="center"/>
          </w:tcPr>
          <w:p w14:paraId="169E91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12.5+（3000-1000）×</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0.5</w:t>
            </w:r>
            <w:r>
              <w:rPr>
                <w:rFonts w:hint="default" w:ascii="Times New Roman" w:hAnsi="Times New Roman" w:eastAsia="宋体" w:cs="Times New Roman"/>
                <w:color w:val="000000" w:themeColor="text1"/>
                <w:sz w:val="21"/>
                <w:szCs w:val="21"/>
                <w14:textFill>
                  <w14:solidFill>
                    <w14:schemeClr w14:val="tx1"/>
                  </w14:solidFill>
                </w14:textFill>
              </w:rPr>
              <w:t>%=22.5</w:t>
            </w:r>
          </w:p>
        </w:tc>
      </w:tr>
      <w:tr w14:paraId="5D9ED18B">
        <w:tblPrEx>
          <w:tblCellMar>
            <w:top w:w="0" w:type="dxa"/>
            <w:left w:w="108" w:type="dxa"/>
            <w:bottom w:w="0" w:type="dxa"/>
            <w:right w:w="108" w:type="dxa"/>
          </w:tblCellMar>
        </w:tblPrEx>
        <w:trPr>
          <w:trHeight w:val="312" w:hRule="atLeast"/>
          <w:jc w:val="center"/>
        </w:trPr>
        <w:tc>
          <w:tcPr>
            <w:tcW w:w="502" w:type="pct"/>
            <w:tcBorders>
              <w:top w:val="single" w:color="auto" w:sz="4" w:space="0"/>
              <w:left w:val="single" w:color="auto" w:sz="4" w:space="0"/>
              <w:bottom w:val="single" w:color="auto" w:sz="4" w:space="0"/>
              <w:right w:val="single" w:color="auto" w:sz="4" w:space="0"/>
            </w:tcBorders>
            <w:noWrap w:val="0"/>
            <w:vAlign w:val="center"/>
          </w:tcPr>
          <w:p w14:paraId="691323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4</w:t>
            </w:r>
          </w:p>
        </w:tc>
        <w:tc>
          <w:tcPr>
            <w:tcW w:w="855" w:type="pct"/>
            <w:tcBorders>
              <w:top w:val="single" w:color="auto" w:sz="4" w:space="0"/>
              <w:left w:val="nil"/>
              <w:bottom w:val="single" w:color="auto" w:sz="4" w:space="0"/>
              <w:right w:val="single" w:color="auto" w:sz="4" w:space="0"/>
            </w:tcBorders>
            <w:noWrap w:val="0"/>
            <w:vAlign w:val="center"/>
          </w:tcPr>
          <w:p w14:paraId="650B77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3000-5000</w:t>
            </w:r>
          </w:p>
        </w:tc>
        <w:tc>
          <w:tcPr>
            <w:tcW w:w="644" w:type="pct"/>
            <w:tcBorders>
              <w:top w:val="single" w:color="auto" w:sz="4" w:space="0"/>
              <w:left w:val="nil"/>
              <w:bottom w:val="single" w:color="auto" w:sz="4" w:space="0"/>
              <w:right w:val="single" w:color="auto" w:sz="4" w:space="0"/>
            </w:tcBorders>
            <w:noWrap w:val="0"/>
            <w:vAlign w:val="center"/>
          </w:tcPr>
          <w:p w14:paraId="068090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0.3</w:t>
            </w:r>
          </w:p>
        </w:tc>
        <w:tc>
          <w:tcPr>
            <w:tcW w:w="1046" w:type="pct"/>
            <w:tcBorders>
              <w:top w:val="single" w:color="auto" w:sz="4" w:space="0"/>
              <w:left w:val="nil"/>
              <w:bottom w:val="single" w:color="auto" w:sz="4" w:space="0"/>
              <w:right w:val="single" w:color="auto" w:sz="4" w:space="0"/>
            </w:tcBorders>
            <w:noWrap w:val="0"/>
            <w:vAlign w:val="center"/>
          </w:tcPr>
          <w:p w14:paraId="53F41D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5000</w:t>
            </w:r>
          </w:p>
        </w:tc>
        <w:tc>
          <w:tcPr>
            <w:tcW w:w="1951" w:type="pct"/>
            <w:tcBorders>
              <w:top w:val="single" w:color="auto" w:sz="4" w:space="0"/>
              <w:left w:val="nil"/>
              <w:bottom w:val="single" w:color="auto" w:sz="4" w:space="0"/>
              <w:right w:val="single" w:color="auto" w:sz="4" w:space="0"/>
            </w:tcBorders>
            <w:noWrap w:val="0"/>
            <w:vAlign w:val="center"/>
          </w:tcPr>
          <w:p w14:paraId="12B709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22.5+（5000-3000）×0.3%=28.5</w:t>
            </w:r>
          </w:p>
        </w:tc>
      </w:tr>
      <w:tr w14:paraId="4CB99FA0">
        <w:tblPrEx>
          <w:tblCellMar>
            <w:top w:w="0" w:type="dxa"/>
            <w:left w:w="108" w:type="dxa"/>
            <w:bottom w:w="0" w:type="dxa"/>
            <w:right w:w="108" w:type="dxa"/>
          </w:tblCellMar>
        </w:tblPrEx>
        <w:trPr>
          <w:trHeight w:val="312" w:hRule="atLeast"/>
          <w:jc w:val="center"/>
        </w:trPr>
        <w:tc>
          <w:tcPr>
            <w:tcW w:w="502" w:type="pct"/>
            <w:tcBorders>
              <w:top w:val="single" w:color="auto" w:sz="4" w:space="0"/>
              <w:left w:val="single" w:color="auto" w:sz="4" w:space="0"/>
              <w:bottom w:val="single" w:color="auto" w:sz="4" w:space="0"/>
              <w:right w:val="single" w:color="auto" w:sz="4" w:space="0"/>
            </w:tcBorders>
            <w:noWrap w:val="0"/>
            <w:vAlign w:val="center"/>
          </w:tcPr>
          <w:p w14:paraId="26CE42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w:t>
            </w:r>
          </w:p>
        </w:tc>
        <w:tc>
          <w:tcPr>
            <w:tcW w:w="855" w:type="pct"/>
            <w:tcBorders>
              <w:top w:val="single" w:color="auto" w:sz="4" w:space="0"/>
              <w:left w:val="nil"/>
              <w:bottom w:val="single" w:color="auto" w:sz="4" w:space="0"/>
              <w:right w:val="single" w:color="auto" w:sz="4" w:space="0"/>
            </w:tcBorders>
            <w:noWrap w:val="0"/>
            <w:vAlign w:val="center"/>
          </w:tcPr>
          <w:p w14:paraId="293FFD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5000-10000</w:t>
            </w:r>
          </w:p>
        </w:tc>
        <w:tc>
          <w:tcPr>
            <w:tcW w:w="644" w:type="pct"/>
            <w:tcBorders>
              <w:top w:val="single" w:color="auto" w:sz="4" w:space="0"/>
              <w:left w:val="nil"/>
              <w:bottom w:val="single" w:color="auto" w:sz="4" w:space="0"/>
              <w:right w:val="single" w:color="auto" w:sz="4" w:space="0"/>
            </w:tcBorders>
            <w:noWrap w:val="0"/>
            <w:vAlign w:val="center"/>
          </w:tcPr>
          <w:p w14:paraId="50DAAB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0.1</w:t>
            </w:r>
          </w:p>
        </w:tc>
        <w:tc>
          <w:tcPr>
            <w:tcW w:w="1046" w:type="pct"/>
            <w:tcBorders>
              <w:top w:val="single" w:color="auto" w:sz="4" w:space="0"/>
              <w:left w:val="nil"/>
              <w:bottom w:val="single" w:color="auto" w:sz="4" w:space="0"/>
              <w:right w:val="single" w:color="auto" w:sz="4" w:space="0"/>
            </w:tcBorders>
            <w:noWrap w:val="0"/>
            <w:vAlign w:val="center"/>
          </w:tcPr>
          <w:p w14:paraId="4EF48F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10000</w:t>
            </w:r>
          </w:p>
        </w:tc>
        <w:tc>
          <w:tcPr>
            <w:tcW w:w="1951" w:type="pct"/>
            <w:tcBorders>
              <w:top w:val="single" w:color="auto" w:sz="4" w:space="0"/>
              <w:left w:val="nil"/>
              <w:bottom w:val="single" w:color="auto" w:sz="4" w:space="0"/>
              <w:right w:val="single" w:color="auto" w:sz="4" w:space="0"/>
            </w:tcBorders>
            <w:noWrap w:val="0"/>
            <w:vAlign w:val="center"/>
          </w:tcPr>
          <w:p w14:paraId="56775A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28.5+（10000-5000）×0.1%=33.5</w:t>
            </w:r>
          </w:p>
        </w:tc>
      </w:tr>
      <w:tr w14:paraId="672B02C4">
        <w:tblPrEx>
          <w:tblCellMar>
            <w:top w:w="0" w:type="dxa"/>
            <w:left w:w="108" w:type="dxa"/>
            <w:bottom w:w="0" w:type="dxa"/>
            <w:right w:w="108" w:type="dxa"/>
          </w:tblCellMar>
        </w:tblPrEx>
        <w:trPr>
          <w:trHeight w:val="312" w:hRule="atLeast"/>
          <w:jc w:val="center"/>
        </w:trPr>
        <w:tc>
          <w:tcPr>
            <w:tcW w:w="502" w:type="pct"/>
            <w:tcBorders>
              <w:top w:val="single" w:color="auto" w:sz="4" w:space="0"/>
              <w:left w:val="single" w:color="auto" w:sz="4" w:space="0"/>
              <w:bottom w:val="single" w:color="auto" w:sz="4" w:space="0"/>
              <w:right w:val="single" w:color="auto" w:sz="4" w:space="0"/>
            </w:tcBorders>
            <w:noWrap w:val="0"/>
            <w:vAlign w:val="center"/>
          </w:tcPr>
          <w:p w14:paraId="06591B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6</w:t>
            </w:r>
          </w:p>
        </w:tc>
        <w:tc>
          <w:tcPr>
            <w:tcW w:w="855" w:type="pct"/>
            <w:tcBorders>
              <w:top w:val="single" w:color="auto" w:sz="4" w:space="0"/>
              <w:left w:val="nil"/>
              <w:bottom w:val="single" w:color="auto" w:sz="4" w:space="0"/>
              <w:right w:val="single" w:color="auto" w:sz="4" w:space="0"/>
            </w:tcBorders>
            <w:noWrap w:val="0"/>
            <w:vAlign w:val="center"/>
          </w:tcPr>
          <w:p w14:paraId="2008B0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100</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0</w:t>
            </w:r>
            <w:r>
              <w:rPr>
                <w:rFonts w:hint="default" w:ascii="Times New Roman" w:hAnsi="Times New Roman" w:eastAsia="宋体" w:cs="Times New Roman"/>
                <w:color w:val="000000" w:themeColor="text1"/>
                <w:sz w:val="21"/>
                <w:szCs w:val="21"/>
                <w14:textFill>
                  <w14:solidFill>
                    <w14:schemeClr w14:val="tx1"/>
                  </w14:solidFill>
                </w14:textFill>
              </w:rPr>
              <w:t>0以上</w:t>
            </w:r>
          </w:p>
        </w:tc>
        <w:tc>
          <w:tcPr>
            <w:tcW w:w="644" w:type="pct"/>
            <w:tcBorders>
              <w:top w:val="single" w:color="auto" w:sz="4" w:space="0"/>
              <w:left w:val="nil"/>
              <w:bottom w:val="single" w:color="auto" w:sz="4" w:space="0"/>
              <w:right w:val="single" w:color="auto" w:sz="4" w:space="0"/>
            </w:tcBorders>
            <w:noWrap w:val="0"/>
            <w:vAlign w:val="center"/>
          </w:tcPr>
          <w:p w14:paraId="787387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0.08</w:t>
            </w:r>
          </w:p>
        </w:tc>
        <w:tc>
          <w:tcPr>
            <w:tcW w:w="1046" w:type="pct"/>
            <w:tcBorders>
              <w:top w:val="single" w:color="auto" w:sz="4" w:space="0"/>
              <w:left w:val="nil"/>
              <w:bottom w:val="single" w:color="auto" w:sz="4" w:space="0"/>
              <w:right w:val="single" w:color="auto" w:sz="4" w:space="0"/>
            </w:tcBorders>
            <w:noWrap w:val="0"/>
            <w:vAlign w:val="center"/>
          </w:tcPr>
          <w:p w14:paraId="35BD3D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15000</w:t>
            </w:r>
          </w:p>
        </w:tc>
        <w:tc>
          <w:tcPr>
            <w:tcW w:w="1951" w:type="pct"/>
            <w:tcBorders>
              <w:top w:val="single" w:color="auto" w:sz="4" w:space="0"/>
              <w:left w:val="nil"/>
              <w:bottom w:val="single" w:color="auto" w:sz="4" w:space="0"/>
              <w:right w:val="single" w:color="auto" w:sz="4" w:space="0"/>
            </w:tcBorders>
            <w:noWrap w:val="0"/>
            <w:vAlign w:val="center"/>
          </w:tcPr>
          <w:p w14:paraId="729599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33.5+（15000-10000）×0.08%=37.5</w:t>
            </w:r>
          </w:p>
        </w:tc>
      </w:tr>
    </w:tbl>
    <w:p w14:paraId="7B5EE82A">
      <w:pPr>
        <w:widowControl w:val="0"/>
        <w:adjustRightInd w:val="0"/>
        <w:snapToGrid w:val="0"/>
        <w:spacing w:before="120" w:beforeLines="50" w:after="0" w:line="360" w:lineRule="auto"/>
        <w:ind w:firstLine="560" w:firstLineChars="200"/>
        <w:jc w:val="both"/>
        <w:outlineLvl w:val="9"/>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14:textFill>
            <w14:solidFill>
              <w14:schemeClr w14:val="tx1"/>
            </w14:solidFill>
          </w14:textFill>
        </w:rPr>
        <w:t>（三）不可预见费取费标准及计算方法</w:t>
      </w:r>
    </w:p>
    <w:p w14:paraId="0169246E">
      <w:pPr>
        <w:widowControl w:val="0"/>
        <w:adjustRightInd w:val="0"/>
        <w:snapToGrid w:val="0"/>
        <w:spacing w:after="0" w:line="360" w:lineRule="auto"/>
        <w:ind w:firstLine="560" w:firstLineChars="200"/>
        <w:jc w:val="both"/>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14:textFill>
            <w14:solidFill>
              <w14:schemeClr w14:val="tx1"/>
            </w14:solidFill>
          </w14:textFill>
        </w:rPr>
        <w:t>不可预见费=（工程施工费+其它费用）×费率，费率按工程施工费、其它费用合计的3%计取。</w:t>
      </w:r>
    </w:p>
    <w:p w14:paraId="24E096BD">
      <w:pPr>
        <w:widowControl w:val="0"/>
        <w:adjustRightInd w:val="0"/>
        <w:snapToGrid w:val="0"/>
        <w:spacing w:after="0" w:line="360" w:lineRule="auto"/>
        <w:ind w:firstLine="560" w:firstLineChars="200"/>
        <w:jc w:val="both"/>
        <w:outlineLvl w:val="9"/>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14:textFill>
            <w14:solidFill>
              <w14:schemeClr w14:val="tx1"/>
            </w14:solidFill>
          </w14:textFill>
        </w:rPr>
        <w:t>（四）监测管护费取费标准及计算方法</w:t>
      </w:r>
    </w:p>
    <w:p w14:paraId="63472E64">
      <w:pPr>
        <w:keepNext w:val="0"/>
        <w:keepLines w:val="0"/>
        <w:pageBreakBefore w:val="0"/>
        <w:kinsoku/>
        <w:wordWrap/>
        <w:overflowPunct/>
        <w:topLinePunct w:val="0"/>
        <w:autoSpaceDE/>
        <w:autoSpaceDN/>
        <w:bidi w:val="0"/>
        <w:adjustRightInd/>
        <w:snapToGrid/>
        <w:spacing w:after="0" w:line="360" w:lineRule="auto"/>
        <w:ind w:right="0" w:rightChars="0" w:firstLine="560" w:firstLineChars="200"/>
        <w:jc w:val="left"/>
        <w:textAlignment w:val="auto"/>
        <w:rPr>
          <w:rFonts w:hint="default" w:ascii="Times New Roman" w:hAnsi="Times New Roman" w:eastAsia="宋体" w:cs="Times New Roman"/>
          <w:color w:val="000000" w:themeColor="text1"/>
          <w:sz w:val="28"/>
          <w:szCs w:val="21"/>
          <w14:textFill>
            <w14:solidFill>
              <w14:schemeClr w14:val="tx1"/>
            </w14:solidFill>
          </w14:textFill>
        </w:rPr>
      </w:pPr>
      <w:r>
        <w:rPr>
          <w:rFonts w:hint="default" w:ascii="Times New Roman" w:hAnsi="Times New Roman" w:eastAsia="宋体" w:cs="Times New Roman"/>
          <w:color w:val="000000" w:themeColor="text1"/>
          <w:sz w:val="28"/>
          <w:szCs w:val="21"/>
          <w14:textFill>
            <w14:solidFill>
              <w14:schemeClr w14:val="tx1"/>
            </w14:solidFill>
          </w14:textFill>
        </w:rPr>
        <w:t>监测管护费=监测费+管护费</w:t>
      </w:r>
    </w:p>
    <w:p w14:paraId="1B60CCCE">
      <w:pPr>
        <w:keepNext w:val="0"/>
        <w:keepLines w:val="0"/>
        <w:pageBreakBefore w:val="0"/>
        <w:kinsoku/>
        <w:wordWrap/>
        <w:overflowPunct/>
        <w:topLinePunct w:val="0"/>
        <w:autoSpaceDE/>
        <w:autoSpaceDN/>
        <w:bidi w:val="0"/>
        <w:adjustRightInd/>
        <w:snapToGrid/>
        <w:spacing w:after="0" w:line="360" w:lineRule="auto"/>
        <w:ind w:right="0" w:rightChars="0" w:firstLine="560" w:firstLineChars="200"/>
        <w:jc w:val="left"/>
        <w:textAlignment w:val="auto"/>
        <w:rPr>
          <w:rFonts w:hint="default" w:ascii="Times New Roman" w:hAnsi="Times New Roman" w:eastAsia="宋体" w:cs="Times New Roman"/>
          <w:color w:val="000000" w:themeColor="text1"/>
          <w:sz w:val="28"/>
          <w:szCs w:val="21"/>
          <w:highlight w:val="none"/>
          <w14:textFill>
            <w14:solidFill>
              <w14:schemeClr w14:val="tx1"/>
            </w14:solidFill>
          </w14:textFill>
        </w:rPr>
      </w:pPr>
      <w:r>
        <w:rPr>
          <w:rFonts w:hint="eastAsia" w:eastAsia="宋体" w:cs="Times New Roman"/>
          <w:color w:val="000000" w:themeColor="text1"/>
          <w:sz w:val="28"/>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8"/>
          <w:szCs w:val="21"/>
          <w:highlight w:val="none"/>
          <w14:textFill>
            <w14:solidFill>
              <w14:schemeClr w14:val="tx1"/>
            </w14:solidFill>
          </w14:textFill>
        </w:rPr>
        <w:t>监测费</w:t>
      </w:r>
    </w:p>
    <w:p w14:paraId="1F3D9581">
      <w:pPr>
        <w:keepNext w:val="0"/>
        <w:keepLines w:val="0"/>
        <w:pageBreakBefore w:val="0"/>
        <w:kinsoku/>
        <w:wordWrap/>
        <w:overflowPunct/>
        <w:topLinePunct w:val="0"/>
        <w:autoSpaceDE/>
        <w:autoSpaceDN/>
        <w:bidi w:val="0"/>
        <w:adjustRightInd/>
        <w:snapToGrid/>
        <w:spacing w:after="0" w:line="360" w:lineRule="auto"/>
        <w:ind w:right="0" w:rightChars="0" w:firstLine="560" w:firstLineChars="200"/>
        <w:jc w:val="left"/>
        <w:textAlignment w:val="auto"/>
        <w:rPr>
          <w:rFonts w:hint="default" w:ascii="Times New Roman" w:hAnsi="Times New Roman" w:eastAsia="宋体" w:cs="Times New Roman"/>
          <w:color w:val="000000" w:themeColor="text1"/>
          <w:sz w:val="28"/>
          <w:szCs w:val="21"/>
          <w:highlight w:val="none"/>
          <w14:textFill>
            <w14:solidFill>
              <w14:schemeClr w14:val="tx1"/>
            </w14:solidFill>
          </w14:textFill>
        </w:rPr>
      </w:pPr>
      <w:r>
        <w:rPr>
          <w:rFonts w:hint="default" w:ascii="Times New Roman" w:hAnsi="Times New Roman" w:eastAsia="宋体" w:cs="Times New Roman"/>
          <w:color w:val="000000" w:themeColor="text1"/>
          <w:sz w:val="28"/>
          <w:szCs w:val="21"/>
          <w:highlight w:val="none"/>
          <w14:textFill>
            <w14:solidFill>
              <w14:schemeClr w14:val="tx1"/>
            </w14:solidFill>
          </w14:textFill>
        </w:rPr>
        <w:t>包括</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矿山地质环境监测、土地资源监测</w:t>
      </w:r>
      <w:r>
        <w:rPr>
          <w:rFonts w:hint="default" w:ascii="Times New Roman" w:hAnsi="Times New Roman" w:eastAsia="宋体" w:cs="Times New Roman"/>
          <w:color w:val="000000" w:themeColor="text1"/>
          <w:sz w:val="28"/>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生态系统监测</w:t>
      </w:r>
      <w:r>
        <w:rPr>
          <w:rFonts w:hint="default" w:ascii="Times New Roman" w:hAnsi="Times New Roman" w:eastAsia="宋体" w:cs="Times New Roman"/>
          <w:color w:val="000000" w:themeColor="text1"/>
          <w:sz w:val="28"/>
          <w:szCs w:val="21"/>
          <w:highlight w:val="none"/>
          <w14:textFill>
            <w14:solidFill>
              <w14:schemeClr w14:val="tx1"/>
            </w14:solidFill>
          </w14:textFill>
        </w:rPr>
        <w:t>等监测费等。本方案将监测费用单独列出。各项监测措施取费标准详见表</w:t>
      </w:r>
      <w:r>
        <w:rPr>
          <w:rFonts w:hint="default" w:ascii="Times New Roman" w:hAnsi="Times New Roman" w:eastAsia="宋体" w:cs="Times New Roman"/>
          <w:color w:val="000000" w:themeColor="text1"/>
          <w:sz w:val="28"/>
          <w:szCs w:val="21"/>
          <w:highlight w:val="none"/>
          <w:lang w:val="en-US" w:eastAsia="zh-CN"/>
          <w14:textFill>
            <w14:solidFill>
              <w14:schemeClr w14:val="tx1"/>
            </w14:solidFill>
          </w14:textFill>
        </w:rPr>
        <w:t>6-1</w:t>
      </w:r>
      <w:r>
        <w:rPr>
          <w:rFonts w:hint="eastAsia" w:ascii="Times New Roman" w:hAnsi="Times New Roman" w:eastAsia="宋体" w:cs="Times New Roman"/>
          <w:color w:val="000000" w:themeColor="text1"/>
          <w:sz w:val="28"/>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1"/>
          <w:highlight w:val="none"/>
          <w14:textFill>
            <w14:solidFill>
              <w14:schemeClr w14:val="tx1"/>
            </w14:solidFill>
          </w14:textFill>
        </w:rPr>
        <w:t>。</w:t>
      </w:r>
    </w:p>
    <w:p w14:paraId="6B573750">
      <w:pPr>
        <w:keepNext w:val="0"/>
        <w:keepLines w:val="0"/>
        <w:pageBreakBefore w:val="0"/>
        <w:widowControl/>
        <w:tabs>
          <w:tab w:val="left" w:pos="7235"/>
        </w:tabs>
        <w:kinsoku/>
        <w:wordWrap/>
        <w:overflowPunct/>
        <w:topLinePunct w:val="0"/>
        <w:autoSpaceDE/>
        <w:autoSpaceDN/>
        <w:bidi w:val="0"/>
        <w:adjustRightInd/>
        <w:snapToGrid/>
        <w:spacing w:after="0" w:line="360" w:lineRule="auto"/>
        <w:ind w:right="0" w:rightChars="0"/>
        <w:jc w:val="center"/>
        <w:textAlignment w:val="auto"/>
        <w:rPr>
          <w:rFonts w:hint="default" w:ascii="黑体" w:hAnsi="黑体" w:eastAsia="黑体" w:cs="黑体"/>
          <w:b w:val="0"/>
          <w:bCs/>
          <w:color w:val="000000" w:themeColor="text1"/>
          <w:sz w:val="24"/>
          <w:szCs w:val="24"/>
          <w14:textFill>
            <w14:solidFill>
              <w14:schemeClr w14:val="tx1"/>
            </w14:solidFill>
          </w14:textFill>
        </w:rPr>
      </w:pPr>
      <w:r>
        <w:rPr>
          <w:rFonts w:hint="default" w:ascii="黑体" w:hAnsi="黑体" w:eastAsia="黑体" w:cs="黑体"/>
          <w:b w:val="0"/>
          <w:bCs/>
          <w:color w:val="000000" w:themeColor="text1"/>
          <w:sz w:val="24"/>
          <w:szCs w:val="24"/>
          <w14:textFill>
            <w14:solidFill>
              <w14:schemeClr w14:val="tx1"/>
            </w14:solidFill>
          </w14:textFill>
        </w:rPr>
        <w:t>表</w:t>
      </w:r>
      <w:r>
        <w:rPr>
          <w:rFonts w:hint="default" w:ascii="黑体" w:hAnsi="黑体" w:eastAsia="黑体" w:cs="黑体"/>
          <w:b w:val="0"/>
          <w:bCs/>
          <w:color w:val="000000" w:themeColor="text1"/>
          <w:sz w:val="24"/>
          <w:szCs w:val="24"/>
          <w:lang w:val="en-US" w:eastAsia="zh-CN"/>
          <w14:textFill>
            <w14:solidFill>
              <w14:schemeClr w14:val="tx1"/>
            </w14:solidFill>
          </w14:textFill>
        </w:rPr>
        <w:t>6-1</w:t>
      </w:r>
      <w:r>
        <w:rPr>
          <w:rFonts w:hint="eastAsia" w:ascii="黑体" w:hAnsi="黑体" w:eastAsia="黑体" w:cs="黑体"/>
          <w:b w:val="0"/>
          <w:bCs/>
          <w:color w:val="000000" w:themeColor="text1"/>
          <w:sz w:val="24"/>
          <w:szCs w:val="24"/>
          <w:lang w:val="en-US" w:eastAsia="zh-CN"/>
          <w14:textFill>
            <w14:solidFill>
              <w14:schemeClr w14:val="tx1"/>
            </w14:solidFill>
          </w14:textFill>
        </w:rPr>
        <w:t>2</w:t>
      </w:r>
      <w:r>
        <w:rPr>
          <w:rFonts w:hint="default" w:ascii="黑体" w:hAnsi="黑体" w:eastAsia="黑体" w:cs="黑体"/>
          <w:b w:val="0"/>
          <w:bCs/>
          <w:color w:val="000000" w:themeColor="text1"/>
          <w:sz w:val="24"/>
          <w:szCs w:val="24"/>
          <w14:textFill>
            <w14:solidFill>
              <w14:schemeClr w14:val="tx1"/>
            </w14:solidFill>
          </w14:textFill>
        </w:rPr>
        <w:t xml:space="preserve">  监测取费标准参考表</w:t>
      </w:r>
    </w:p>
    <w:tbl>
      <w:tblPr>
        <w:tblStyle w:val="139"/>
        <w:tblW w:w="503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78"/>
        <w:gridCol w:w="3089"/>
        <w:gridCol w:w="2076"/>
        <w:gridCol w:w="1639"/>
      </w:tblGrid>
      <w:tr w14:paraId="3E7A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1" w:type="pct"/>
            <w:noWrap w:val="0"/>
            <w:vAlign w:val="center"/>
          </w:tcPr>
          <w:p w14:paraId="58BD3803">
            <w:pPr>
              <w:pStyle w:val="138"/>
              <w:keepNext w:val="0"/>
              <w:keepLines w:val="0"/>
              <w:pageBreakBefore w:val="0"/>
              <w:widowControl/>
              <w:kinsoku/>
              <w:wordWrap/>
              <w:overflowPunct/>
              <w:topLinePunct w:val="0"/>
              <w:autoSpaceDE/>
              <w:autoSpaceDN/>
              <w:bidi w:val="0"/>
              <w:adjustRightInd/>
              <w:snapToGrid/>
              <w:spacing w:after="0" w:line="240" w:lineRule="auto"/>
              <w:ind w:left="0" w:right="0" w:firstLine="0"/>
              <w:jc w:val="center"/>
              <w:textAlignment w:val="auto"/>
              <w:rPr>
                <w:rFonts w:hint="default" w:ascii="Times New Roman" w:hAnsi="Times New Roman" w:eastAsia="宋体" w:cs="Times New Roman"/>
                <w:color w:val="000000" w:themeColor="text1"/>
                <w:spacing w:val="-2"/>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lang w:eastAsia="zh-CN"/>
                <w14:textFill>
                  <w14:solidFill>
                    <w14:schemeClr w14:val="tx1"/>
                  </w14:solidFill>
                </w14:textFill>
              </w:rPr>
              <w:t>序号</w:t>
            </w:r>
          </w:p>
        </w:tc>
        <w:tc>
          <w:tcPr>
            <w:tcW w:w="1842" w:type="pct"/>
            <w:noWrap w:val="0"/>
            <w:vAlign w:val="center"/>
          </w:tcPr>
          <w:p w14:paraId="0E576D1B">
            <w:pPr>
              <w:pStyle w:val="138"/>
              <w:keepNext w:val="0"/>
              <w:keepLines w:val="0"/>
              <w:pageBreakBefore w:val="0"/>
              <w:widowControl/>
              <w:kinsoku/>
              <w:wordWrap/>
              <w:overflowPunct/>
              <w:topLinePunct w:val="0"/>
              <w:autoSpaceDE/>
              <w:autoSpaceDN/>
              <w:bidi w:val="0"/>
              <w:adjustRightInd/>
              <w:snapToGrid/>
              <w:spacing w:after="0"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监测项目</w:t>
            </w:r>
          </w:p>
        </w:tc>
        <w:tc>
          <w:tcPr>
            <w:tcW w:w="1238" w:type="pct"/>
            <w:noWrap w:val="0"/>
            <w:vAlign w:val="center"/>
          </w:tcPr>
          <w:p w14:paraId="6BFFD5A7">
            <w:pPr>
              <w:pStyle w:val="138"/>
              <w:keepNext w:val="0"/>
              <w:keepLines w:val="0"/>
              <w:pageBreakBefore w:val="0"/>
              <w:widowControl/>
              <w:kinsoku/>
              <w:wordWrap/>
              <w:overflowPunct/>
              <w:topLinePunct w:val="0"/>
              <w:autoSpaceDE/>
              <w:autoSpaceDN/>
              <w:bidi w:val="0"/>
              <w:adjustRightInd/>
              <w:snapToGrid/>
              <w:spacing w:after="0"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2"/>
                <w:sz w:val="21"/>
                <w:szCs w:val="21"/>
                <w:highlight w:val="none"/>
                <w14:textFill>
                  <w14:solidFill>
                    <w14:schemeClr w14:val="tx1"/>
                  </w14:solidFill>
                </w14:textFill>
              </w:rPr>
              <w:t>频率</w:t>
            </w:r>
          </w:p>
        </w:tc>
        <w:tc>
          <w:tcPr>
            <w:tcW w:w="977" w:type="pct"/>
            <w:noWrap w:val="0"/>
            <w:vAlign w:val="center"/>
          </w:tcPr>
          <w:p w14:paraId="17B1CA6B">
            <w:pPr>
              <w:pStyle w:val="138"/>
              <w:keepNext w:val="0"/>
              <w:keepLines w:val="0"/>
              <w:pageBreakBefore w:val="0"/>
              <w:widowControl/>
              <w:kinsoku/>
              <w:wordWrap/>
              <w:overflowPunct/>
              <w:topLinePunct w:val="0"/>
              <w:autoSpaceDE/>
              <w:autoSpaceDN/>
              <w:bidi w:val="0"/>
              <w:adjustRightInd/>
              <w:snapToGrid/>
              <w:spacing w:after="0" w:line="240" w:lineRule="auto"/>
              <w:ind w:left="0" w:right="0" w:firstLine="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5"/>
                <w:sz w:val="21"/>
                <w:szCs w:val="21"/>
                <w:highlight w:val="none"/>
                <w14:textFill>
                  <w14:solidFill>
                    <w14:schemeClr w14:val="tx1"/>
                  </w14:solidFill>
                </w14:textFill>
              </w:rPr>
              <w:t>单价（元）</w:t>
            </w:r>
          </w:p>
        </w:tc>
      </w:tr>
      <w:tr w14:paraId="0C7AE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1" w:type="pct"/>
            <w:noWrap w:val="0"/>
            <w:vAlign w:val="center"/>
          </w:tcPr>
          <w:p w14:paraId="28C56470">
            <w:pPr>
              <w:pStyle w:val="138"/>
              <w:keepNext w:val="0"/>
              <w:keepLines w:val="0"/>
              <w:pageBreakBefore w:val="0"/>
              <w:widowControl/>
              <w:kinsoku/>
              <w:wordWrap/>
              <w:overflowPunct/>
              <w:topLinePunct w:val="0"/>
              <w:autoSpaceDE/>
              <w:autoSpaceDN/>
              <w:bidi w:val="0"/>
              <w:adjustRightInd/>
              <w:snapToGrid/>
              <w:spacing w:after="0" w:line="240" w:lineRule="auto"/>
              <w:ind w:left="0" w:right="0" w:firstLine="0"/>
              <w:jc w:val="center"/>
              <w:textAlignment w:val="auto"/>
              <w:rPr>
                <w:rFonts w:hint="default" w:ascii="Times New Roman" w:hAnsi="Times New Roman" w:eastAsia="宋体" w:cs="Times New Roman"/>
                <w:b/>
                <w:bCs/>
                <w:color w:val="000000" w:themeColor="text1"/>
                <w:spacing w:val="-1"/>
                <w:sz w:val="21"/>
                <w:szCs w:val="21"/>
                <w:highlight w:val="none"/>
                <w:lang w:eastAsia="zh-CN"/>
                <w14:textFill>
                  <w14:solidFill>
                    <w14:schemeClr w14:val="tx1"/>
                  </w14:solidFill>
                </w14:textFill>
              </w:rPr>
            </w:pPr>
            <w:r>
              <w:rPr>
                <w:rFonts w:hint="default" w:ascii="Times New Roman" w:hAnsi="Times New Roman" w:eastAsia="宋体" w:cs="Times New Roman"/>
                <w:b/>
                <w:bCs/>
                <w:color w:val="000000" w:themeColor="text1"/>
                <w:spacing w:val="-1"/>
                <w:sz w:val="21"/>
                <w:szCs w:val="21"/>
                <w:highlight w:val="none"/>
                <w:lang w:eastAsia="zh-CN"/>
                <w14:textFill>
                  <w14:solidFill>
                    <w14:schemeClr w14:val="tx1"/>
                  </w14:solidFill>
                </w14:textFill>
              </w:rPr>
              <w:t>一</w:t>
            </w:r>
          </w:p>
        </w:tc>
        <w:tc>
          <w:tcPr>
            <w:tcW w:w="1842" w:type="pct"/>
            <w:noWrap w:val="0"/>
            <w:vAlign w:val="center"/>
          </w:tcPr>
          <w:p w14:paraId="64CD28A5">
            <w:pPr>
              <w:pStyle w:val="138"/>
              <w:keepNext w:val="0"/>
              <w:keepLines w:val="0"/>
              <w:pageBreakBefore w:val="0"/>
              <w:widowControl/>
              <w:kinsoku/>
              <w:wordWrap/>
              <w:overflowPunct/>
              <w:topLinePunct w:val="0"/>
              <w:autoSpaceDE/>
              <w:autoSpaceDN/>
              <w:bidi w:val="0"/>
              <w:adjustRightInd/>
              <w:snapToGrid/>
              <w:spacing w:after="0" w:line="240" w:lineRule="auto"/>
              <w:ind w:left="0" w:right="0" w:firstLine="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t>矿山地质环境监测</w:t>
            </w:r>
          </w:p>
        </w:tc>
        <w:tc>
          <w:tcPr>
            <w:tcW w:w="1238" w:type="pct"/>
            <w:noWrap w:val="0"/>
            <w:vAlign w:val="center"/>
          </w:tcPr>
          <w:p w14:paraId="1179107D">
            <w:pPr>
              <w:pStyle w:val="138"/>
              <w:keepNext w:val="0"/>
              <w:keepLines w:val="0"/>
              <w:pageBreakBefore w:val="0"/>
              <w:widowControl/>
              <w:kinsoku/>
              <w:wordWrap/>
              <w:overflowPunct/>
              <w:topLinePunct w:val="0"/>
              <w:autoSpaceDE/>
              <w:autoSpaceDN/>
              <w:bidi w:val="0"/>
              <w:adjustRightInd/>
              <w:snapToGrid/>
              <w:spacing w:after="0" w:line="240" w:lineRule="auto"/>
              <w:ind w:left="0" w:right="0" w:firstLine="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pacing w:val="-5"/>
                <w:sz w:val="21"/>
                <w:szCs w:val="21"/>
                <w:highlight w:val="none"/>
                <w14:textFill>
                  <w14:solidFill>
                    <w14:schemeClr w14:val="tx1"/>
                  </w14:solidFill>
                </w14:textFill>
              </w:rPr>
              <w:t>点次</w:t>
            </w:r>
          </w:p>
        </w:tc>
        <w:tc>
          <w:tcPr>
            <w:tcW w:w="977" w:type="pct"/>
            <w:noWrap w:val="0"/>
            <w:vAlign w:val="center"/>
          </w:tcPr>
          <w:p w14:paraId="539FD45C">
            <w:pPr>
              <w:keepNext w:val="0"/>
              <w:keepLines w:val="0"/>
              <w:pageBreakBefore w:val="0"/>
              <w:widowControl/>
              <w:kinsoku/>
              <w:wordWrap/>
              <w:overflowPunct/>
              <w:topLinePunct w:val="0"/>
              <w:autoSpaceDE/>
              <w:autoSpaceDN/>
              <w:bidi w:val="0"/>
              <w:adjustRightInd/>
              <w:snapToGrid/>
              <w:spacing w:after="0" w:line="240" w:lineRule="auto"/>
              <w:ind w:left="0" w:right="0" w:firstLine="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p>
        </w:tc>
      </w:tr>
      <w:tr w14:paraId="0BDBF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1" w:type="pct"/>
            <w:noWrap w:val="0"/>
            <w:vAlign w:val="center"/>
          </w:tcPr>
          <w:p w14:paraId="16CF1595">
            <w:pPr>
              <w:keepNext w:val="0"/>
              <w:keepLines w:val="0"/>
              <w:widowControl/>
              <w:suppressLineNumbers w:val="0"/>
              <w:jc w:val="center"/>
              <w:textAlignment w:val="center"/>
              <w:rPr>
                <w:rFonts w:hint="default" w:ascii="Times New Roman" w:hAnsi="Times New Roman" w:eastAsia="宋体" w:cs="Times New Roman"/>
                <w:color w:val="000000" w:themeColor="text1"/>
                <w:spacing w:val="-1"/>
                <w:sz w:val="21"/>
                <w:szCs w:val="21"/>
                <w:highlight w:val="none"/>
                <w:lang w:eastAsia="zh-CN"/>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（一）</w:t>
            </w:r>
          </w:p>
        </w:tc>
        <w:tc>
          <w:tcPr>
            <w:tcW w:w="1842" w:type="pct"/>
            <w:noWrap w:val="0"/>
            <w:vAlign w:val="center"/>
          </w:tcPr>
          <w:p w14:paraId="6342B157">
            <w:pPr>
              <w:keepNext w:val="0"/>
              <w:keepLines w:val="0"/>
              <w:widowControl/>
              <w:suppressLineNumbers w:val="0"/>
              <w:jc w:val="center"/>
              <w:textAlignment w:val="cente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t>地质灾害监测</w:t>
            </w:r>
          </w:p>
        </w:tc>
        <w:tc>
          <w:tcPr>
            <w:tcW w:w="1238" w:type="pct"/>
            <w:noWrap w:val="0"/>
            <w:vAlign w:val="center"/>
          </w:tcPr>
          <w:p w14:paraId="146EF9F4">
            <w:pPr>
              <w:pStyle w:val="138"/>
              <w:keepNext w:val="0"/>
              <w:keepLines w:val="0"/>
              <w:pageBreakBefore w:val="0"/>
              <w:widowControl/>
              <w:kinsoku/>
              <w:wordWrap/>
              <w:overflowPunct/>
              <w:topLinePunct w:val="0"/>
              <w:autoSpaceDE/>
              <w:autoSpaceDN/>
              <w:bidi w:val="0"/>
              <w:adjustRightInd/>
              <w:snapToGrid/>
              <w:spacing w:after="0" w:line="240" w:lineRule="auto"/>
              <w:ind w:left="0" w:right="0" w:firstLine="0"/>
              <w:jc w:val="center"/>
              <w:textAlignment w:val="auto"/>
              <w:rPr>
                <w:rFonts w:hint="default" w:ascii="Times New Roman" w:hAnsi="Times New Roman" w:eastAsia="宋体" w:cs="Times New Roman"/>
                <w:color w:val="000000" w:themeColor="text1"/>
                <w:spacing w:val="-5"/>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5"/>
                <w:sz w:val="21"/>
                <w:szCs w:val="21"/>
                <w:highlight w:val="none"/>
                <w14:textFill>
                  <w14:solidFill>
                    <w14:schemeClr w14:val="tx1"/>
                  </w14:solidFill>
                </w14:textFill>
              </w:rPr>
              <w:t>点次</w:t>
            </w:r>
          </w:p>
        </w:tc>
        <w:tc>
          <w:tcPr>
            <w:tcW w:w="977" w:type="pct"/>
            <w:noWrap w:val="0"/>
            <w:vAlign w:val="center"/>
          </w:tcPr>
          <w:p w14:paraId="4EFDDD9E">
            <w:pPr>
              <w:keepNext w:val="0"/>
              <w:keepLines w:val="0"/>
              <w:pageBreakBefore w:val="0"/>
              <w:widowControl/>
              <w:kinsoku/>
              <w:wordWrap/>
              <w:overflowPunct/>
              <w:topLinePunct w:val="0"/>
              <w:autoSpaceDE/>
              <w:autoSpaceDN/>
              <w:bidi w:val="0"/>
              <w:adjustRightInd/>
              <w:snapToGrid/>
              <w:spacing w:after="0" w:line="240" w:lineRule="auto"/>
              <w:ind w:left="0" w:right="0" w:firstLine="0"/>
              <w:jc w:val="center"/>
              <w:textAlignment w:val="auto"/>
              <w:rPr>
                <w:rFonts w:hint="default" w:ascii="Times New Roman" w:hAnsi="Times New Roman" w:eastAsia="宋体" w:cs="Times New Roman"/>
                <w:color w:val="000000" w:themeColor="text1"/>
                <w:spacing w:val="-6"/>
                <w:sz w:val="21"/>
                <w:szCs w:val="21"/>
                <w:highlight w:val="none"/>
                <w:lang w:val="en-US" w:eastAsia="zh-CN"/>
                <w14:textFill>
                  <w14:solidFill>
                    <w14:schemeClr w14:val="tx1"/>
                  </w14:solidFill>
                </w14:textFill>
              </w:rPr>
            </w:pPr>
          </w:p>
        </w:tc>
      </w:tr>
      <w:tr w14:paraId="6DE8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1" w:type="pct"/>
            <w:noWrap w:val="0"/>
            <w:vAlign w:val="center"/>
          </w:tcPr>
          <w:p w14:paraId="5AA41E8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1842" w:type="pct"/>
            <w:noWrap w:val="0"/>
            <w:vAlign w:val="center"/>
          </w:tcPr>
          <w:p w14:paraId="5126654A">
            <w:pPr>
              <w:keepNext w:val="0"/>
              <w:keepLines w:val="0"/>
              <w:widowControl/>
              <w:suppressLineNumbers w:val="0"/>
              <w:jc w:val="center"/>
              <w:textAlignment w:val="cente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崩塌</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、滑坡</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监测</w:t>
            </w:r>
          </w:p>
        </w:tc>
        <w:tc>
          <w:tcPr>
            <w:tcW w:w="1238" w:type="pct"/>
            <w:noWrap w:val="0"/>
            <w:vAlign w:val="center"/>
          </w:tcPr>
          <w:p w14:paraId="17DA1070">
            <w:pPr>
              <w:keepNext w:val="0"/>
              <w:keepLines w:val="0"/>
              <w:pageBreakBefore w:val="0"/>
              <w:widowControl/>
              <w:kinsoku/>
              <w:wordWrap/>
              <w:overflowPunct/>
              <w:topLinePunct w:val="0"/>
              <w:autoSpaceDE/>
              <w:autoSpaceDN/>
              <w:bidi w:val="0"/>
              <w:adjustRightInd/>
              <w:snapToGrid/>
              <w:spacing w:after="0" w:line="240" w:lineRule="auto"/>
              <w:ind w:left="0" w:right="0" w:firstLine="0"/>
              <w:jc w:val="center"/>
              <w:textAlignment w:val="auto"/>
              <w:rPr>
                <w:rFonts w:hint="default" w:ascii="Times New Roman" w:hAnsi="Times New Roman" w:eastAsia="宋体" w:cs="Times New Roman"/>
                <w:color w:val="000000" w:themeColor="text1"/>
                <w:spacing w:val="-5"/>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5"/>
                <w:sz w:val="21"/>
                <w:szCs w:val="21"/>
                <w:highlight w:val="none"/>
                <w14:textFill>
                  <w14:solidFill>
                    <w14:schemeClr w14:val="tx1"/>
                  </w14:solidFill>
                </w14:textFill>
              </w:rPr>
              <w:t>点次</w:t>
            </w:r>
          </w:p>
        </w:tc>
        <w:tc>
          <w:tcPr>
            <w:tcW w:w="977" w:type="pct"/>
            <w:noWrap w:val="0"/>
            <w:vAlign w:val="center"/>
          </w:tcPr>
          <w:p w14:paraId="3CCAF158">
            <w:pPr>
              <w:keepNext w:val="0"/>
              <w:keepLines w:val="0"/>
              <w:pageBreakBefore w:val="0"/>
              <w:widowControl/>
              <w:kinsoku/>
              <w:wordWrap/>
              <w:overflowPunct/>
              <w:topLinePunct w:val="0"/>
              <w:autoSpaceDE/>
              <w:autoSpaceDN/>
              <w:bidi w:val="0"/>
              <w:adjustRightInd/>
              <w:snapToGrid/>
              <w:spacing w:after="0" w:line="240" w:lineRule="auto"/>
              <w:ind w:left="0" w:right="0" w:firstLine="0"/>
              <w:jc w:val="center"/>
              <w:textAlignment w:val="auto"/>
              <w:rPr>
                <w:rFonts w:hint="default" w:eastAsia="宋体" w:cs="Times New Roman"/>
                <w:color w:val="000000" w:themeColor="text1"/>
                <w:spacing w:val="-6"/>
                <w:sz w:val="21"/>
                <w:szCs w:val="21"/>
                <w:highlight w:val="none"/>
                <w:lang w:val="en-US" w:eastAsia="zh-CN"/>
                <w14:textFill>
                  <w14:solidFill>
                    <w14:schemeClr w14:val="tx1"/>
                  </w14:solidFill>
                </w14:textFill>
              </w:rPr>
            </w:pPr>
            <w:r>
              <w:rPr>
                <w:rFonts w:hint="eastAsia" w:eastAsia="宋体" w:cs="Times New Roman"/>
                <w:color w:val="000000" w:themeColor="text1"/>
                <w:spacing w:val="-6"/>
                <w:sz w:val="21"/>
                <w:szCs w:val="21"/>
                <w:highlight w:val="none"/>
                <w:lang w:val="en-US" w:eastAsia="zh-CN"/>
                <w14:textFill>
                  <w14:solidFill>
                    <w14:schemeClr w14:val="tx1"/>
                  </w14:solidFill>
                </w14:textFill>
              </w:rPr>
              <w:t>200</w:t>
            </w:r>
          </w:p>
        </w:tc>
      </w:tr>
      <w:tr w14:paraId="1EE10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1" w:type="pct"/>
            <w:shd w:val="clear" w:color="auto" w:fill="auto"/>
            <w:noWrap w:val="0"/>
            <w:vAlign w:val="center"/>
          </w:tcPr>
          <w:p w14:paraId="7E684B79">
            <w:pPr>
              <w:keepNext w:val="0"/>
              <w:keepLines w:val="0"/>
              <w:widowControl/>
              <w:suppressLineNumbers w:val="0"/>
              <w:jc w:val="center"/>
              <w:textAlignment w:val="center"/>
              <w:rPr>
                <w:rFonts w:hint="default" w:ascii="Times New Roman" w:hAnsi="Times New Roman" w:eastAsia="宋体" w:cs="Times New Roman"/>
                <w:color w:val="000000" w:themeColor="text1"/>
                <w:spacing w:val="-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（二）</w:t>
            </w:r>
          </w:p>
        </w:tc>
        <w:tc>
          <w:tcPr>
            <w:tcW w:w="1842" w:type="pct"/>
            <w:shd w:val="clear" w:color="auto" w:fill="auto"/>
            <w:noWrap w:val="0"/>
            <w:vAlign w:val="center"/>
          </w:tcPr>
          <w:p w14:paraId="4DD16FC1">
            <w:pPr>
              <w:keepNext w:val="0"/>
              <w:keepLines w:val="0"/>
              <w:widowControl/>
              <w:suppressLineNumbers w:val="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含水层监测</w:t>
            </w:r>
          </w:p>
        </w:tc>
        <w:tc>
          <w:tcPr>
            <w:tcW w:w="1238" w:type="pct"/>
            <w:shd w:val="clear" w:color="auto" w:fill="auto"/>
            <w:noWrap w:val="0"/>
            <w:vAlign w:val="center"/>
          </w:tcPr>
          <w:p w14:paraId="2A8C48B5">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5"/>
                <w:sz w:val="21"/>
                <w:szCs w:val="21"/>
                <w:highlight w:val="none"/>
                <w14:textFill>
                  <w14:solidFill>
                    <w14:schemeClr w14:val="tx1"/>
                  </w14:solidFill>
                </w14:textFill>
              </w:rPr>
              <w:t>点次</w:t>
            </w:r>
          </w:p>
        </w:tc>
        <w:tc>
          <w:tcPr>
            <w:tcW w:w="977" w:type="pct"/>
            <w:shd w:val="clear" w:color="auto" w:fill="auto"/>
            <w:noWrap w:val="0"/>
            <w:vAlign w:val="center"/>
          </w:tcPr>
          <w:p w14:paraId="21A70C43">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1F589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1" w:type="pct"/>
            <w:noWrap w:val="0"/>
            <w:vAlign w:val="center"/>
          </w:tcPr>
          <w:p w14:paraId="3C46D26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1842" w:type="pct"/>
            <w:shd w:val="clear" w:color="auto" w:fill="auto"/>
            <w:noWrap w:val="0"/>
            <w:vAlign w:val="center"/>
          </w:tcPr>
          <w:p w14:paraId="46F04C5A">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水质、水污染</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监测</w:t>
            </w:r>
          </w:p>
        </w:tc>
        <w:tc>
          <w:tcPr>
            <w:tcW w:w="1238" w:type="pct"/>
            <w:shd w:val="clear" w:color="auto" w:fill="auto"/>
            <w:noWrap w:val="0"/>
            <w:vAlign w:val="center"/>
          </w:tcPr>
          <w:p w14:paraId="289BE69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点次</w:t>
            </w:r>
          </w:p>
        </w:tc>
        <w:tc>
          <w:tcPr>
            <w:tcW w:w="977" w:type="pct"/>
            <w:shd w:val="clear" w:color="auto" w:fill="auto"/>
            <w:noWrap w:val="0"/>
            <w:vAlign w:val="center"/>
          </w:tcPr>
          <w:p w14:paraId="4B0D200A">
            <w:pPr>
              <w:keepNext w:val="0"/>
              <w:keepLines w:val="0"/>
              <w:widowControl/>
              <w:suppressLineNumbers w:val="0"/>
              <w:jc w:val="center"/>
              <w:textAlignment w:val="center"/>
              <w:rPr>
                <w:rFonts w:hint="eastAsia"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0</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00</w:t>
            </w:r>
          </w:p>
        </w:tc>
      </w:tr>
      <w:tr w14:paraId="72E5C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1" w:type="pct"/>
            <w:noWrap w:val="0"/>
            <w:vAlign w:val="center"/>
          </w:tcPr>
          <w:p w14:paraId="7BF3AC3C">
            <w:pPr>
              <w:keepNext w:val="0"/>
              <w:keepLines w:val="0"/>
              <w:widowControl/>
              <w:suppressLineNumbers w:val="0"/>
              <w:jc w:val="center"/>
              <w:textAlignment w:val="cente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（三）</w:t>
            </w:r>
          </w:p>
        </w:tc>
        <w:tc>
          <w:tcPr>
            <w:tcW w:w="1842" w:type="pct"/>
            <w:noWrap w:val="0"/>
            <w:vAlign w:val="center"/>
          </w:tcPr>
          <w:p w14:paraId="41DA7957">
            <w:pPr>
              <w:keepNext w:val="0"/>
              <w:keepLines w:val="0"/>
              <w:widowControl/>
              <w:suppressLineNumbers w:val="0"/>
              <w:jc w:val="center"/>
              <w:textAlignment w:val="center"/>
              <w:rPr>
                <w:rFonts w:hint="default" w:ascii="Times New Roman" w:hAnsi="Times New Roman" w:eastAsia="宋体" w:cs="Times New Roman"/>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地形地貌景观监测</w:t>
            </w:r>
          </w:p>
        </w:tc>
        <w:tc>
          <w:tcPr>
            <w:tcW w:w="1238" w:type="pct"/>
            <w:noWrap w:val="0"/>
            <w:vAlign w:val="center"/>
          </w:tcPr>
          <w:p w14:paraId="11D937EC">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5"/>
                <w:sz w:val="21"/>
                <w:szCs w:val="21"/>
                <w:highlight w:val="none"/>
                <w14:textFill>
                  <w14:solidFill>
                    <w14:schemeClr w14:val="tx1"/>
                  </w14:solidFill>
                </w14:textFill>
              </w:rPr>
              <w:t>点次</w:t>
            </w:r>
          </w:p>
        </w:tc>
        <w:tc>
          <w:tcPr>
            <w:tcW w:w="977" w:type="pct"/>
            <w:noWrap w:val="0"/>
            <w:vAlign w:val="center"/>
          </w:tcPr>
          <w:p w14:paraId="370D123D">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pacing w:val="-1"/>
                <w:sz w:val="21"/>
                <w:szCs w:val="21"/>
                <w:highlight w:val="none"/>
                <w:lang w:val="en-US" w:eastAsia="zh-CN"/>
                <w14:textFill>
                  <w14:solidFill>
                    <w14:schemeClr w14:val="tx1"/>
                  </w14:solidFill>
                </w14:textFill>
              </w:rPr>
              <w:t>00</w:t>
            </w:r>
          </w:p>
        </w:tc>
      </w:tr>
      <w:tr w14:paraId="17771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1" w:type="pct"/>
            <w:shd w:val="clear" w:color="auto" w:fill="auto"/>
            <w:noWrap w:val="0"/>
            <w:vAlign w:val="center"/>
          </w:tcPr>
          <w:p w14:paraId="5536ADFE">
            <w:pPr>
              <w:keepNext w:val="0"/>
              <w:keepLines w:val="0"/>
              <w:widowControl/>
              <w:suppressLineNumbers w:val="0"/>
              <w:jc w:val="center"/>
              <w:textAlignment w:val="center"/>
              <w:rPr>
                <w:rFonts w:hint="default" w:ascii="Times New Roman" w:hAnsi="Times New Roman" w:eastAsia="宋体" w:cs="Times New Roman"/>
                <w:b/>
                <w:bCs/>
                <w:color w:val="000000" w:themeColor="text1"/>
                <w:spacing w:val="-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二</w:t>
            </w:r>
          </w:p>
        </w:tc>
        <w:tc>
          <w:tcPr>
            <w:tcW w:w="1842" w:type="pct"/>
            <w:shd w:val="clear" w:color="auto" w:fill="auto"/>
            <w:noWrap w:val="0"/>
            <w:vAlign w:val="center"/>
          </w:tcPr>
          <w:p w14:paraId="33C68465">
            <w:pPr>
              <w:keepNext w:val="0"/>
              <w:keepLines w:val="0"/>
              <w:widowControl/>
              <w:suppressLineNumbers w:val="0"/>
              <w:jc w:val="center"/>
              <w:textAlignment w:val="center"/>
              <w:rPr>
                <w:rFonts w:hint="default" w:ascii="Times New Roman" w:hAnsi="Times New Roman" w:eastAsia="宋体" w:cs="Times New Roman"/>
                <w:b/>
                <w:bCs/>
                <w:color w:val="000000" w:themeColor="text1"/>
                <w:spacing w:val="-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土地资源监测</w:t>
            </w:r>
          </w:p>
        </w:tc>
        <w:tc>
          <w:tcPr>
            <w:tcW w:w="1238" w:type="pct"/>
            <w:shd w:val="clear" w:color="auto" w:fill="auto"/>
            <w:noWrap w:val="0"/>
            <w:vAlign w:val="center"/>
          </w:tcPr>
          <w:p w14:paraId="759B4429">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pacing w:val="-5"/>
                <w:sz w:val="21"/>
                <w:szCs w:val="21"/>
                <w:highlight w:val="none"/>
                <w14:textFill>
                  <w14:solidFill>
                    <w14:schemeClr w14:val="tx1"/>
                  </w14:solidFill>
                </w14:textFill>
              </w:rPr>
              <w:t>点次</w:t>
            </w:r>
          </w:p>
        </w:tc>
        <w:tc>
          <w:tcPr>
            <w:tcW w:w="977" w:type="pct"/>
            <w:shd w:val="clear" w:color="auto" w:fill="auto"/>
            <w:noWrap w:val="0"/>
            <w:vAlign w:val="center"/>
          </w:tcPr>
          <w:p w14:paraId="54B801A5">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pacing w:val="-1"/>
                <w:kern w:val="2"/>
                <w:sz w:val="21"/>
                <w:szCs w:val="21"/>
                <w:highlight w:val="none"/>
                <w:lang w:val="en-US" w:eastAsia="zh-CN" w:bidi="ar-SA"/>
                <w14:textFill>
                  <w14:solidFill>
                    <w14:schemeClr w14:val="tx1"/>
                  </w14:solidFill>
                </w14:textFill>
              </w:rPr>
            </w:pPr>
          </w:p>
        </w:tc>
      </w:tr>
      <w:tr w14:paraId="665ED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1" w:type="pct"/>
            <w:shd w:val="clear" w:color="auto" w:fill="auto"/>
            <w:noWrap w:val="0"/>
            <w:vAlign w:val="center"/>
          </w:tcPr>
          <w:p w14:paraId="4915BB2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1842" w:type="pct"/>
            <w:shd w:val="clear" w:color="auto" w:fill="auto"/>
            <w:noWrap w:val="0"/>
            <w:vAlign w:val="center"/>
          </w:tcPr>
          <w:p w14:paraId="27ABA78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土壤质量、土壤污染</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监测</w:t>
            </w:r>
          </w:p>
        </w:tc>
        <w:tc>
          <w:tcPr>
            <w:tcW w:w="1238" w:type="pct"/>
            <w:shd w:val="clear" w:color="auto" w:fill="auto"/>
            <w:noWrap w:val="0"/>
            <w:vAlign w:val="center"/>
          </w:tcPr>
          <w:p w14:paraId="67649874">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pacing w:val="-5"/>
                <w:sz w:val="21"/>
                <w:szCs w:val="21"/>
                <w:highlight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点次</w:t>
            </w:r>
          </w:p>
        </w:tc>
        <w:tc>
          <w:tcPr>
            <w:tcW w:w="977" w:type="pct"/>
            <w:shd w:val="clear" w:color="auto" w:fill="auto"/>
            <w:noWrap w:val="0"/>
            <w:vAlign w:val="center"/>
          </w:tcPr>
          <w:p w14:paraId="6964A492">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center"/>
              <w:textAlignment w:val="auto"/>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1</w:t>
            </w:r>
            <w:r>
              <w:rPr>
                <w:rFonts w:hint="default" w:ascii="Times New Roman" w:hAnsi="Times New Roman" w:eastAsia="宋体" w:cs="Times New Roman"/>
                <w:b w:val="0"/>
                <w:bCs w:val="0"/>
                <w:color w:val="000000" w:themeColor="text1"/>
                <w:spacing w:val="-1"/>
                <w:sz w:val="21"/>
                <w:szCs w:val="21"/>
                <w:highlight w:val="none"/>
                <w:lang w:val="en-US" w:eastAsia="zh-CN"/>
                <w14:textFill>
                  <w14:solidFill>
                    <w14:schemeClr w14:val="tx1"/>
                  </w14:solidFill>
                </w14:textFill>
              </w:rPr>
              <w:t>000</w:t>
            </w:r>
          </w:p>
        </w:tc>
      </w:tr>
      <w:tr w14:paraId="54DF3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1" w:type="pct"/>
            <w:noWrap w:val="0"/>
            <w:vAlign w:val="center"/>
          </w:tcPr>
          <w:p w14:paraId="16F7EDEA">
            <w:pPr>
              <w:keepNext w:val="0"/>
              <w:keepLines w:val="0"/>
              <w:widowControl/>
              <w:suppressLineNumbers w:val="0"/>
              <w:jc w:val="center"/>
              <w:textAlignment w:val="center"/>
              <w:rPr>
                <w:rFonts w:hint="default" w:ascii="Times New Roman" w:hAnsi="Times New Roman" w:eastAsia="宋体" w:cs="Times New Roman"/>
                <w:b/>
                <w:bCs/>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三</w:t>
            </w:r>
          </w:p>
        </w:tc>
        <w:tc>
          <w:tcPr>
            <w:tcW w:w="1842" w:type="pct"/>
            <w:noWrap w:val="0"/>
            <w:vAlign w:val="center"/>
          </w:tcPr>
          <w:p w14:paraId="246F2C24">
            <w:pPr>
              <w:keepNext w:val="0"/>
              <w:keepLines w:val="0"/>
              <w:widowControl/>
              <w:suppressLineNumbers w:val="0"/>
              <w:jc w:val="center"/>
              <w:textAlignment w:val="center"/>
              <w:rPr>
                <w:rFonts w:hint="default" w:ascii="Times New Roman" w:hAnsi="Times New Roman" w:eastAsia="宋体" w:cs="Times New Roman"/>
                <w:b/>
                <w:bCs/>
                <w:color w:val="000000" w:themeColor="text1"/>
                <w:spacing w:val="-1"/>
                <w:sz w:val="21"/>
                <w:szCs w:val="21"/>
                <w:highlight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生态系统监测</w:t>
            </w:r>
          </w:p>
        </w:tc>
        <w:tc>
          <w:tcPr>
            <w:tcW w:w="1238" w:type="pct"/>
            <w:noWrap w:val="0"/>
            <w:vAlign w:val="center"/>
          </w:tcPr>
          <w:p w14:paraId="0989CA1A">
            <w:pPr>
              <w:keepNext w:val="0"/>
              <w:keepLines w:val="0"/>
              <w:pageBreakBefore w:val="0"/>
              <w:widowControl/>
              <w:kinsoku/>
              <w:wordWrap/>
              <w:overflowPunct/>
              <w:topLinePunct w:val="0"/>
              <w:autoSpaceDE/>
              <w:autoSpaceDN/>
              <w:bidi w:val="0"/>
              <w:adjustRightInd/>
              <w:snapToGrid/>
              <w:spacing w:after="0" w:line="240" w:lineRule="auto"/>
              <w:ind w:left="0" w:right="0" w:firstLine="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pacing w:val="-5"/>
                <w:sz w:val="21"/>
                <w:szCs w:val="21"/>
                <w:highlight w:val="none"/>
                <w14:textFill>
                  <w14:solidFill>
                    <w14:schemeClr w14:val="tx1"/>
                  </w14:solidFill>
                </w14:textFill>
              </w:rPr>
              <w:t>点次</w:t>
            </w:r>
          </w:p>
        </w:tc>
        <w:tc>
          <w:tcPr>
            <w:tcW w:w="977" w:type="pct"/>
            <w:noWrap w:val="0"/>
            <w:vAlign w:val="center"/>
          </w:tcPr>
          <w:p w14:paraId="20FB0937">
            <w:pPr>
              <w:keepNext w:val="0"/>
              <w:keepLines w:val="0"/>
              <w:pageBreakBefore w:val="0"/>
              <w:widowControl/>
              <w:kinsoku/>
              <w:wordWrap/>
              <w:overflowPunct/>
              <w:topLinePunct w:val="0"/>
              <w:autoSpaceDE/>
              <w:autoSpaceDN/>
              <w:bidi w:val="0"/>
              <w:adjustRightInd/>
              <w:snapToGrid/>
              <w:spacing w:after="0" w:line="240" w:lineRule="auto"/>
              <w:ind w:left="0" w:right="0" w:firstLine="0"/>
              <w:jc w:val="center"/>
              <w:textAlignment w:val="auto"/>
              <w:rPr>
                <w:rFonts w:hint="default" w:ascii="Times New Roman" w:hAnsi="Times New Roman" w:eastAsia="宋体" w:cs="Times New Roman"/>
                <w:b/>
                <w:bCs/>
                <w:color w:val="000000" w:themeColor="text1"/>
                <w:spacing w:val="-1"/>
                <w:sz w:val="21"/>
                <w:szCs w:val="21"/>
                <w:highlight w:val="none"/>
                <w:lang w:val="en-US" w:eastAsia="zh-CN"/>
                <w14:textFill>
                  <w14:solidFill>
                    <w14:schemeClr w14:val="tx1"/>
                  </w14:solidFill>
                </w14:textFill>
              </w:rPr>
            </w:pPr>
            <w:r>
              <w:rPr>
                <w:rFonts w:hint="eastAsia" w:eastAsia="宋体" w:cs="Times New Roman"/>
                <w:b/>
                <w:bCs/>
                <w:color w:val="000000" w:themeColor="text1"/>
                <w:spacing w:val="-1"/>
                <w:sz w:val="21"/>
                <w:szCs w:val="21"/>
                <w:highlight w:val="none"/>
                <w:lang w:val="en-US" w:eastAsia="zh-CN"/>
                <w14:textFill>
                  <w14:solidFill>
                    <w14:schemeClr w14:val="tx1"/>
                  </w14:solidFill>
                </w14:textFill>
              </w:rPr>
              <w:t>2</w:t>
            </w:r>
            <w:r>
              <w:rPr>
                <w:rFonts w:hint="default" w:ascii="Times New Roman" w:hAnsi="Times New Roman" w:eastAsia="宋体" w:cs="Times New Roman"/>
                <w:b/>
                <w:bCs/>
                <w:color w:val="000000" w:themeColor="text1"/>
                <w:spacing w:val="-1"/>
                <w:sz w:val="21"/>
                <w:szCs w:val="21"/>
                <w:highlight w:val="none"/>
                <w:lang w:val="en-US" w:eastAsia="zh-CN"/>
                <w14:textFill>
                  <w14:solidFill>
                    <w14:schemeClr w14:val="tx1"/>
                  </w14:solidFill>
                </w14:textFill>
              </w:rPr>
              <w:t>000</w:t>
            </w:r>
          </w:p>
        </w:tc>
      </w:tr>
    </w:tbl>
    <w:p w14:paraId="5BD76E8A">
      <w:pPr>
        <w:keepNext w:val="0"/>
        <w:keepLines w:val="0"/>
        <w:pageBreakBefore w:val="0"/>
        <w:widowControl w:val="0"/>
        <w:kinsoku/>
        <w:wordWrap/>
        <w:overflowPunct/>
        <w:topLinePunct w:val="0"/>
        <w:autoSpaceDE/>
        <w:autoSpaceDN/>
        <w:bidi w:val="0"/>
        <w:adjustRightInd/>
        <w:snapToGrid/>
        <w:spacing w:before="157" w:beforeLines="50" w:after="0" w:line="360" w:lineRule="auto"/>
        <w:ind w:right="0" w:rightChars="0" w:firstLine="560" w:firstLineChars="200"/>
        <w:jc w:val="left"/>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lang w:val="en-US" w:eastAsia="zh-CN"/>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管护费</w:t>
      </w:r>
    </w:p>
    <w:p w14:paraId="03D71FEE">
      <w:pPr>
        <w:keepNext w:val="0"/>
        <w:keepLines w:val="0"/>
        <w:pageBreakBefore w:val="0"/>
        <w:kinsoku/>
        <w:wordWrap/>
        <w:overflowPunct/>
        <w:topLinePunct w:val="0"/>
        <w:autoSpaceDE/>
        <w:autoSpaceDN/>
        <w:bidi w:val="0"/>
        <w:adjustRightInd/>
        <w:snapToGrid/>
        <w:spacing w:after="0" w:line="360" w:lineRule="auto"/>
        <w:ind w:right="0" w:rightChars="0" w:firstLine="560" w:firstLineChars="200"/>
        <w:jc w:val="left"/>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管护费是对复垦区域土地植被进行有针对性的巡查、补植、除草、施肥浇水、修枝、喷药、刷白等管护工作所发生的费用，主要包括管理和养护两大类。每年管护2次。本方案管护单价为</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20</w:t>
      </w:r>
      <w:r>
        <w:rPr>
          <w:rFonts w:hint="default" w:ascii="Times New Roman" w:hAnsi="Times New Roman" w:eastAsia="宋体" w:cs="Times New Roman"/>
          <w:color w:val="000000" w:themeColor="text1"/>
          <w:sz w:val="28"/>
          <w:szCs w:val="28"/>
          <w14:textFill>
            <w14:solidFill>
              <w14:schemeClr w14:val="tx1"/>
            </w14:solidFill>
          </w14:textFill>
        </w:rPr>
        <w:t>00元/</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次</w:t>
      </w:r>
      <w:r>
        <w:rPr>
          <w:rFonts w:hint="default" w:ascii="Times New Roman" w:hAnsi="Times New Roman" w:eastAsia="宋体" w:cs="Times New Roman"/>
          <w:color w:val="000000" w:themeColor="text1"/>
          <w:sz w:val="28"/>
          <w:szCs w:val="28"/>
          <w14:textFill>
            <w14:solidFill>
              <w14:schemeClr w14:val="tx1"/>
            </w14:solidFill>
          </w14:textFill>
        </w:rPr>
        <w:t>。</w:t>
      </w:r>
    </w:p>
    <w:p w14:paraId="2CC65A3C">
      <w:pPr>
        <w:keepNext w:val="0"/>
        <w:keepLines w:val="0"/>
        <w:pageBreakBefore w:val="0"/>
        <w:kinsoku/>
        <w:wordWrap/>
        <w:overflowPunct/>
        <w:topLinePunct w:val="0"/>
        <w:autoSpaceDE/>
        <w:autoSpaceDN/>
        <w:bidi w:val="0"/>
        <w:adjustRightInd/>
        <w:snapToGrid/>
        <w:spacing w:after="0" w:line="360" w:lineRule="auto"/>
        <w:ind w:right="0" w:rightChars="0" w:firstLine="560" w:firstLineChars="200"/>
        <w:jc w:val="left"/>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（五）价差预备费</w:t>
      </w:r>
    </w:p>
    <w:p w14:paraId="4EE9CB4B">
      <w:pPr>
        <w:widowControl w:val="0"/>
        <w:adjustRightInd w:val="0"/>
        <w:snapToGrid w:val="0"/>
        <w:spacing w:after="0" w:line="360" w:lineRule="auto"/>
        <w:ind w:firstLine="560" w:firstLineChars="200"/>
        <w:jc w:val="both"/>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预备费是在考虑了矿山地质环境保护与土地复垦期间可能发生的风险因素，从而导致矿山地质环境保护与复垦费用增加的一项费用。本方案预备费主要包括基本预备费、价差预备费和风险金。</w:t>
      </w:r>
    </w:p>
    <w:p w14:paraId="38DB888F">
      <w:pPr>
        <w:keepNext w:val="0"/>
        <w:keepLines w:val="0"/>
        <w:pageBreakBefore w:val="0"/>
        <w:widowControl w:val="0"/>
        <w:kinsoku/>
        <w:wordWrap/>
        <w:overflowPunct/>
        <w:topLinePunct w:val="0"/>
        <w:autoSpaceDE/>
        <w:autoSpaceDN/>
        <w:bidi w:val="0"/>
        <w:adjustRightInd w:val="0"/>
        <w:snapToGrid/>
        <w:spacing w:after="0" w:line="360" w:lineRule="auto"/>
        <w:ind w:firstLine="560" w:firstLineChars="200"/>
        <w:jc w:val="both"/>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lang w:val="en-US" w:eastAsia="zh-CN"/>
          <w14:textFill>
            <w14:solidFill>
              <w14:schemeClr w14:val="tx1"/>
            </w14:solidFill>
          </w14:textFill>
        </w:rPr>
        <w:t>1、</w:t>
      </w:r>
      <w:r>
        <w:rPr>
          <w:rFonts w:hint="default" w:ascii="Times New Roman" w:hAnsi="Times New Roman" w:eastAsia="宋体" w:cs="Times New Roman"/>
          <w:color w:val="000000" w:themeColor="text1"/>
          <w:sz w:val="28"/>
          <w:szCs w:val="28"/>
          <w14:textFill>
            <w14:solidFill>
              <w14:schemeClr w14:val="tx1"/>
            </w14:solidFill>
          </w14:textFill>
        </w:rPr>
        <w:t>基本预备费</w:t>
      </w:r>
    </w:p>
    <w:p w14:paraId="2C007178">
      <w:pPr>
        <w:keepNext w:val="0"/>
        <w:keepLines w:val="0"/>
        <w:pageBreakBefore w:val="0"/>
        <w:widowControl w:val="0"/>
        <w:kinsoku/>
        <w:wordWrap/>
        <w:overflowPunct/>
        <w:topLinePunct w:val="0"/>
        <w:autoSpaceDE/>
        <w:autoSpaceDN/>
        <w:bidi w:val="0"/>
        <w:adjustRightInd w:val="0"/>
        <w:snapToGrid/>
        <w:spacing w:after="0" w:line="360" w:lineRule="auto"/>
        <w:ind w:firstLine="560" w:firstLineChars="200"/>
        <w:jc w:val="both"/>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指为解决在工程施工过程中因自然灾害、设计变更等所增加的费用。本项目按工程施工费和其他费用之和的3.0%计取。</w:t>
      </w:r>
    </w:p>
    <w:p w14:paraId="44EE0173">
      <w:pPr>
        <w:keepNext w:val="0"/>
        <w:keepLines w:val="0"/>
        <w:pageBreakBefore w:val="0"/>
        <w:widowControl w:val="0"/>
        <w:kinsoku/>
        <w:wordWrap/>
        <w:overflowPunct/>
        <w:topLinePunct w:val="0"/>
        <w:autoSpaceDE/>
        <w:autoSpaceDN/>
        <w:bidi w:val="0"/>
        <w:snapToGrid/>
        <w:spacing w:line="360" w:lineRule="auto"/>
        <w:ind w:firstLine="560" w:firstLineChars="200"/>
        <w:jc w:val="left"/>
        <w:textAlignment w:val="auto"/>
        <w:rPr>
          <w:color w:val="000000" w:themeColor="text1"/>
          <w:sz w:val="28"/>
          <w:szCs w:val="28"/>
          <w:highlight w:val="yellow"/>
          <w14:textFill>
            <w14:solidFill>
              <w14:schemeClr w14:val="tx1"/>
            </w14:solidFill>
          </w14:textFill>
        </w:rPr>
      </w:pPr>
      <w:r>
        <w:rPr>
          <w:rFonts w:hint="eastAsia" w:ascii="Times New Roman" w:hAnsi="Times New Roman" w:eastAsia="宋体" w:cs="Times New Roman"/>
          <w:color w:val="000000" w:themeColor="text1"/>
          <w:kern w:val="2"/>
          <w:sz w:val="28"/>
          <w:szCs w:val="28"/>
          <w:lang w:val="en-US" w:eastAsia="zh-CN"/>
          <w14:textFill>
            <w14:solidFill>
              <w14:schemeClr w14:val="tx1"/>
            </w14:solidFill>
          </w14:textFill>
        </w:rPr>
        <w:t>2、</w:t>
      </w:r>
      <w:r>
        <w:rPr>
          <w:rFonts w:hint="default" w:ascii="Times New Roman" w:hAnsi="Times New Roman" w:eastAsia="宋体" w:cs="Times New Roman"/>
          <w:color w:val="000000" w:themeColor="text1"/>
          <w:kern w:val="2"/>
          <w:sz w:val="28"/>
          <w:szCs w:val="28"/>
          <w:lang w:eastAsia="zh-CN"/>
          <w14:textFill>
            <w14:solidFill>
              <w14:schemeClr w14:val="tx1"/>
            </w14:solidFill>
          </w14:textFill>
        </w:rPr>
        <w:t>价差预备费</w:t>
      </w:r>
    </w:p>
    <w:p w14:paraId="1F715015">
      <w:pPr>
        <w:keepNext w:val="0"/>
        <w:keepLines w:val="0"/>
        <w:pageBreakBefore w:val="0"/>
        <w:widowControl w:val="0"/>
        <w:kinsoku/>
        <w:wordWrap/>
        <w:overflowPunct/>
        <w:topLinePunct w:val="0"/>
        <w:autoSpaceDE/>
        <w:autoSpaceDN/>
        <w:bidi w:val="0"/>
        <w:adjustRightInd w:val="0"/>
        <w:snapToGrid/>
        <w:spacing w:after="0" w:line="360" w:lineRule="auto"/>
        <w:ind w:firstLine="560" w:firstLineChars="200"/>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lang w:eastAsia="zh-CN"/>
          <w14:textFill>
            <w14:solidFill>
              <w14:schemeClr w14:val="tx1"/>
            </w14:solidFill>
          </w14:textFill>
        </w:rPr>
        <w:t>价差预备费</w:t>
      </w:r>
      <w:r>
        <w:rPr>
          <w:rFonts w:hint="default" w:ascii="Times New Roman" w:hAnsi="Times New Roman" w:eastAsia="宋体" w:cs="Times New Roman"/>
          <w:color w:val="000000" w:themeColor="text1"/>
          <w:kern w:val="2"/>
          <w:sz w:val="28"/>
          <w:szCs w:val="28"/>
          <w14:textFill>
            <w14:solidFill>
              <w14:schemeClr w14:val="tx1"/>
            </w14:solidFill>
          </w14:textFill>
        </w:rPr>
        <w:t>根据施工年限，以分年度静态投资为计算基数；按照国家发改委根据物价变动趋势，适时调整和发布的年物价指数计算。计算公式：</w:t>
      </w:r>
    </w:p>
    <w:p w14:paraId="33C138F8">
      <w:pPr>
        <w:adjustRightInd w:val="0"/>
        <w:snapToGrid w:val="0"/>
        <w:spacing w:after="0" w:line="360" w:lineRule="auto"/>
        <w:ind w:firstLine="560" w:firstLineChars="200"/>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14:textFill>
            <w14:solidFill>
              <w14:schemeClr w14:val="tx1"/>
            </w14:solidFill>
          </w14:textFill>
        </w:rPr>
        <w:t xml:space="preserve">价差预备费=ΣP*[(1+i) </w:t>
      </w:r>
      <w:r>
        <w:rPr>
          <w:rFonts w:hint="default" w:ascii="Times New Roman" w:hAnsi="Times New Roman" w:eastAsia="宋体" w:cs="Times New Roman"/>
          <w:color w:val="000000" w:themeColor="text1"/>
          <w:kern w:val="2"/>
          <w:sz w:val="28"/>
          <w:szCs w:val="28"/>
          <w:vertAlign w:val="superscript"/>
          <w14:textFill>
            <w14:solidFill>
              <w14:schemeClr w14:val="tx1"/>
            </w14:solidFill>
          </w14:textFill>
        </w:rPr>
        <w:t>(n-1)</w:t>
      </w:r>
      <w:r>
        <w:rPr>
          <w:rFonts w:hint="default" w:ascii="Times New Roman" w:hAnsi="Times New Roman" w:eastAsia="宋体" w:cs="Times New Roman"/>
          <w:color w:val="000000" w:themeColor="text1"/>
          <w:kern w:val="2"/>
          <w:sz w:val="28"/>
          <w:szCs w:val="28"/>
          <w14:textFill>
            <w14:solidFill>
              <w14:schemeClr w14:val="tx1"/>
            </w14:solidFill>
          </w14:textFill>
        </w:rPr>
        <w:t>-1]</w:t>
      </w:r>
    </w:p>
    <w:p w14:paraId="607FD21E">
      <w:pPr>
        <w:adjustRightInd w:val="0"/>
        <w:snapToGrid w:val="0"/>
        <w:spacing w:after="0" w:line="360" w:lineRule="auto"/>
        <w:ind w:firstLine="840" w:firstLineChars="300"/>
        <w:outlineLvl w:val="9"/>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14:textFill>
            <w14:solidFill>
              <w14:schemeClr w14:val="tx1"/>
            </w14:solidFill>
          </w14:textFill>
        </w:rPr>
        <w:t>式中：P—每年静态投资总额（元）</w:t>
      </w:r>
    </w:p>
    <w:p w14:paraId="7DC791E3">
      <w:pPr>
        <w:keepNext w:val="0"/>
        <w:keepLines w:val="0"/>
        <w:pageBreakBefore w:val="0"/>
        <w:widowControl w:val="0"/>
        <w:kinsoku/>
        <w:wordWrap/>
        <w:overflowPunct/>
        <w:topLinePunct w:val="0"/>
        <w:autoSpaceDE/>
        <w:autoSpaceDN/>
        <w:bidi w:val="0"/>
        <w:adjustRightInd w:val="0"/>
        <w:snapToGrid/>
        <w:spacing w:after="0" w:line="360" w:lineRule="auto"/>
        <w:ind w:firstLine="1680" w:firstLineChars="600"/>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14:textFill>
            <w14:solidFill>
              <w14:schemeClr w14:val="tx1"/>
            </w14:solidFill>
          </w14:textFill>
        </w:rPr>
        <w:t>i—年工程造价增涨率（%）</w:t>
      </w:r>
    </w:p>
    <w:p w14:paraId="6872B9AC">
      <w:pPr>
        <w:keepNext w:val="0"/>
        <w:keepLines w:val="0"/>
        <w:pageBreakBefore w:val="0"/>
        <w:widowControl w:val="0"/>
        <w:kinsoku/>
        <w:wordWrap/>
        <w:overflowPunct/>
        <w:topLinePunct w:val="0"/>
        <w:autoSpaceDE/>
        <w:autoSpaceDN/>
        <w:bidi w:val="0"/>
        <w:adjustRightInd w:val="0"/>
        <w:snapToGrid/>
        <w:spacing w:after="0" w:line="360" w:lineRule="auto"/>
        <w:ind w:firstLine="1680" w:firstLineChars="600"/>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14:textFill>
            <w14:solidFill>
              <w14:schemeClr w14:val="tx1"/>
            </w14:solidFill>
          </w14:textFill>
        </w:rPr>
        <w:t>n—方案服务年限（年）</w:t>
      </w:r>
    </w:p>
    <w:p w14:paraId="1F402652">
      <w:pPr>
        <w:keepNext w:val="0"/>
        <w:keepLines w:val="0"/>
        <w:pageBreakBefore w:val="0"/>
        <w:widowControl w:val="0"/>
        <w:kinsoku/>
        <w:wordWrap/>
        <w:overflowPunct/>
        <w:topLinePunct w:val="0"/>
        <w:autoSpaceDE/>
        <w:autoSpaceDN/>
        <w:bidi w:val="0"/>
        <w:adjustRightInd/>
        <w:snapToGrid/>
        <w:spacing w:after="0" w:line="360" w:lineRule="auto"/>
        <w:ind w:right="0" w:rightChars="0" w:firstLine="560" w:firstLineChars="200"/>
        <w:jc w:val="left"/>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14:textFill>
            <w14:solidFill>
              <w14:schemeClr w14:val="tx1"/>
            </w14:solidFill>
          </w14:textFill>
        </w:rPr>
        <w:t>结合项目自身特点及物价上涨指数，i取6%。</w:t>
      </w:r>
    </w:p>
    <w:p w14:paraId="101800CB">
      <w:pPr>
        <w:keepNext w:val="0"/>
        <w:keepLines w:val="0"/>
        <w:pageBreakBefore w:val="0"/>
        <w:widowControl w:val="0"/>
        <w:kinsoku/>
        <w:wordWrap/>
        <w:overflowPunct/>
        <w:topLinePunct w:val="0"/>
        <w:autoSpaceDE/>
        <w:autoSpaceDN/>
        <w:bidi w:val="0"/>
        <w:adjustRightInd w:val="0"/>
        <w:snapToGrid/>
        <w:spacing w:after="0" w:line="360" w:lineRule="auto"/>
        <w:ind w:firstLine="560" w:firstLineChars="200"/>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eastAsia" w:ascii="Times New Roman" w:hAnsi="Times New Roman" w:eastAsia="宋体" w:cs="Times New Roman"/>
          <w:color w:val="000000" w:themeColor="text1"/>
          <w:kern w:val="2"/>
          <w:sz w:val="28"/>
          <w:szCs w:val="28"/>
          <w:lang w:val="en-US" w:eastAsia="zh-CN"/>
          <w14:textFill>
            <w14:solidFill>
              <w14:schemeClr w14:val="tx1"/>
            </w14:solidFill>
          </w14:textFill>
        </w:rPr>
        <w:t>3、</w:t>
      </w:r>
      <w:r>
        <w:rPr>
          <w:rFonts w:hint="default" w:ascii="Times New Roman" w:hAnsi="Times New Roman" w:eastAsia="宋体" w:cs="Times New Roman"/>
          <w:color w:val="000000" w:themeColor="text1"/>
          <w:kern w:val="2"/>
          <w:sz w:val="28"/>
          <w:szCs w:val="28"/>
          <w14:textFill>
            <w14:solidFill>
              <w14:schemeClr w14:val="tx1"/>
            </w14:solidFill>
          </w14:textFill>
        </w:rPr>
        <w:t>风险金</w:t>
      </w:r>
    </w:p>
    <w:p w14:paraId="3588621D">
      <w:pPr>
        <w:keepNext w:val="0"/>
        <w:keepLines w:val="0"/>
        <w:pageBreakBefore w:val="0"/>
        <w:widowControl w:val="0"/>
        <w:kinsoku/>
        <w:wordWrap/>
        <w:overflowPunct/>
        <w:topLinePunct w:val="0"/>
        <w:autoSpaceDE/>
        <w:autoSpaceDN/>
        <w:bidi w:val="0"/>
        <w:adjustRightInd w:val="0"/>
        <w:snapToGrid/>
        <w:spacing w:after="0" w:line="360" w:lineRule="auto"/>
        <w:ind w:firstLine="560" w:firstLineChars="200"/>
        <w:textAlignment w:val="auto"/>
        <w:rPr>
          <w:rFonts w:hint="default" w:ascii="Times New Roman" w:hAnsi="Times New Roman" w:eastAsia="宋体" w:cs="Times New Roman"/>
          <w:color w:val="000000" w:themeColor="text1"/>
          <w:kern w:val="2"/>
          <w:sz w:val="28"/>
          <w:szCs w:val="28"/>
          <w14:textFill>
            <w14:solidFill>
              <w14:schemeClr w14:val="tx1"/>
            </w14:solidFill>
          </w14:textFill>
        </w:rPr>
      </w:pPr>
      <w:r>
        <w:rPr>
          <w:rFonts w:hint="default" w:ascii="Times New Roman" w:hAnsi="Times New Roman" w:eastAsia="宋体" w:cs="Times New Roman"/>
          <w:color w:val="000000" w:themeColor="text1"/>
          <w:kern w:val="2"/>
          <w:sz w:val="28"/>
          <w:szCs w:val="28"/>
          <w14:textFill>
            <w14:solidFill>
              <w14:schemeClr w14:val="tx1"/>
            </w14:solidFill>
          </w14:textFill>
        </w:rPr>
        <w:t>风险金是指可预见而目前技术上无法完全避免的矿山地质环境治理过程中可能发生风险的备用金。本方案确定风险金按工程施工费、设备费、其他费用三项之和的10%计取。</w:t>
      </w:r>
    </w:p>
    <w:p w14:paraId="43881AA6">
      <w:pPr>
        <w:pStyle w:val="5"/>
        <w:bidi w:val="0"/>
        <w:spacing w:line="360" w:lineRule="auto"/>
        <w:ind w:firstLine="562" w:firstLineChars="200"/>
        <w:rPr>
          <w:rFonts w:hint="default" w:hAnsi="Times New Roman" w:cs="Times New Roman"/>
          <w:b/>
          <w:bCs/>
          <w:color w:val="000000" w:themeColor="text1"/>
          <w:sz w:val="28"/>
          <w:szCs w:val="24"/>
          <w:lang w:val="en-US" w:eastAsia="zh-CN"/>
          <w14:textFill>
            <w14:solidFill>
              <w14:schemeClr w14:val="tx1"/>
            </w14:solidFill>
          </w14:textFill>
        </w:rPr>
      </w:pPr>
      <w:r>
        <w:rPr>
          <w:rFonts w:hint="default" w:hAnsi="Times New Roman" w:cs="Times New Roman"/>
          <w:b/>
          <w:bCs/>
          <w:color w:val="000000" w:themeColor="text1"/>
          <w:sz w:val="28"/>
          <w:szCs w:val="24"/>
          <w:lang w:val="en-US" w:eastAsia="zh-CN"/>
          <w14:textFill>
            <w14:solidFill>
              <w14:schemeClr w14:val="tx1"/>
            </w14:solidFill>
          </w14:textFill>
        </w:rPr>
        <w:t>二</w:t>
      </w:r>
      <w:r>
        <w:rPr>
          <w:rFonts w:hint="eastAsia" w:hAnsi="Times New Roman" w:cs="Times New Roman"/>
          <w:b/>
          <w:bCs/>
          <w:color w:val="000000" w:themeColor="text1"/>
          <w:sz w:val="28"/>
          <w:szCs w:val="24"/>
          <w:lang w:val="en-US" w:eastAsia="zh-CN"/>
          <w14:textFill>
            <w14:solidFill>
              <w14:schemeClr w14:val="tx1"/>
            </w14:solidFill>
          </w14:textFill>
        </w:rPr>
        <w:t>、</w:t>
      </w:r>
      <w:r>
        <w:rPr>
          <w:rFonts w:hint="default" w:hAnsi="Times New Roman" w:cs="Times New Roman"/>
          <w:b/>
          <w:bCs/>
          <w:color w:val="000000" w:themeColor="text1"/>
          <w:sz w:val="28"/>
          <w:szCs w:val="24"/>
          <w:lang w:val="en-US" w:eastAsia="zh-CN"/>
          <w14:textFill>
            <w14:solidFill>
              <w14:schemeClr w14:val="tx1"/>
            </w14:solidFill>
          </w14:textFill>
        </w:rPr>
        <w:t>单项工程量及其经费估算</w:t>
      </w:r>
    </w:p>
    <w:p w14:paraId="44FAA204">
      <w:pPr>
        <w:kinsoku/>
        <w:wordWrap/>
        <w:topLinePunct/>
        <w:bidi w:val="0"/>
        <w:spacing w:line="360" w:lineRule="auto"/>
        <w:ind w:firstLine="560" w:firstLineChars="200"/>
        <w:jc w:val="left"/>
        <w:rPr>
          <w:rFonts w:hint="default" w:ascii="Times New Roman" w:hAnsi="Times New Roman" w:eastAsia="宋体" w:cs="Times New Roman"/>
          <w:color w:val="000000" w:themeColor="text1"/>
          <w:sz w:val="28"/>
          <w:szCs w:val="28"/>
          <w:highlight w:val="none"/>
          <w14:textFill>
            <w14:solidFill>
              <w14:schemeClr w14:val="tx1"/>
            </w14:solidFill>
          </w14:textFill>
        </w:rPr>
      </w:pPr>
      <w:r>
        <w:rPr>
          <w:rFonts w:hint="default" w:ascii="Times New Roman" w:hAnsi="Times New Roman" w:eastAsia="宋体" w:cs="Times New Roman"/>
          <w:color w:val="000000" w:themeColor="text1"/>
          <w:sz w:val="28"/>
          <w:szCs w:val="28"/>
          <w:highlight w:val="none"/>
          <w14:textFill>
            <w14:solidFill>
              <w14:schemeClr w14:val="tx1"/>
            </w14:solidFill>
          </w14:textFill>
        </w:rPr>
        <w:t>根据所涉及的工程类型、工程设计、工程部署、工程量及工程技术手段等，参照相关标准，进行经费估算，</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工程施工费总费用</w:t>
      </w:r>
      <w:r>
        <w:rPr>
          <w:rFonts w:hint="eastAsia" w:cs="Times New Roman"/>
          <w:color w:val="000000" w:themeColor="text1"/>
          <w:sz w:val="28"/>
          <w:szCs w:val="28"/>
          <w:highlight w:val="none"/>
          <w:lang w:val="en-US" w:eastAsia="zh-CN"/>
          <w14:textFill>
            <w14:solidFill>
              <w14:schemeClr w14:val="tx1"/>
            </w14:solidFill>
          </w14:textFill>
        </w:rPr>
        <w:t>265.22</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万元</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，其中</w:t>
      </w:r>
      <w:r>
        <w:rPr>
          <w:rFonts w:hint="default" w:ascii="Times New Roman" w:hAnsi="Times New Roman" w:eastAsia="宋体" w:cs="Times New Roman"/>
          <w:color w:val="000000" w:themeColor="text1"/>
          <w:sz w:val="28"/>
          <w:szCs w:val="28"/>
          <w:highlight w:val="none"/>
          <w14:textFill>
            <w14:solidFill>
              <w14:schemeClr w14:val="tx1"/>
            </w14:solidFill>
          </w14:textFill>
        </w:rPr>
        <w:t>地貌重塑经费</w:t>
      </w:r>
      <w:r>
        <w:rPr>
          <w:rFonts w:hint="eastAsia" w:cs="Times New Roman"/>
          <w:color w:val="000000" w:themeColor="text1"/>
          <w:sz w:val="28"/>
          <w:szCs w:val="28"/>
          <w:highlight w:val="none"/>
          <w:lang w:val="en-US" w:eastAsia="zh-CN"/>
          <w14:textFill>
            <w14:solidFill>
              <w14:schemeClr w14:val="tx1"/>
            </w14:solidFill>
          </w14:textFill>
        </w:rPr>
        <w:t>197.07</w:t>
      </w:r>
      <w:r>
        <w:rPr>
          <w:rFonts w:hint="default" w:ascii="Times New Roman" w:hAnsi="Times New Roman" w:eastAsia="宋体" w:cs="Times New Roman"/>
          <w:color w:val="000000" w:themeColor="text1"/>
          <w:sz w:val="28"/>
          <w:szCs w:val="28"/>
          <w:highlight w:val="none"/>
          <w14:textFill>
            <w14:solidFill>
              <w14:schemeClr w14:val="tx1"/>
            </w14:solidFill>
          </w14:textFill>
        </w:rPr>
        <w:t>万元、土壤重构经费</w:t>
      </w:r>
      <w:r>
        <w:rPr>
          <w:rFonts w:hint="eastAsia" w:cs="Times New Roman"/>
          <w:color w:val="000000" w:themeColor="text1"/>
          <w:sz w:val="28"/>
          <w:szCs w:val="28"/>
          <w:highlight w:val="none"/>
          <w:lang w:val="en-US" w:eastAsia="zh-CN"/>
          <w14:textFill>
            <w14:solidFill>
              <w14:schemeClr w14:val="tx1"/>
            </w14:solidFill>
          </w14:textFill>
        </w:rPr>
        <w:t>62.80</w:t>
      </w:r>
      <w:r>
        <w:rPr>
          <w:rFonts w:hint="default" w:ascii="Times New Roman" w:hAnsi="Times New Roman" w:eastAsia="宋体" w:cs="Times New Roman"/>
          <w:color w:val="000000" w:themeColor="text1"/>
          <w:sz w:val="28"/>
          <w:szCs w:val="28"/>
          <w:highlight w:val="none"/>
          <w14:textFill>
            <w14:solidFill>
              <w14:schemeClr w14:val="tx1"/>
            </w14:solidFill>
          </w14:textFill>
        </w:rPr>
        <w:t>万元、植被重建经费</w:t>
      </w:r>
      <w:r>
        <w:rPr>
          <w:rFonts w:hint="eastAsia" w:cs="Times New Roman"/>
          <w:color w:val="000000" w:themeColor="text1"/>
          <w:sz w:val="28"/>
          <w:szCs w:val="28"/>
          <w:highlight w:val="none"/>
          <w:lang w:val="en-US" w:eastAsia="zh-CN"/>
          <w14:textFill>
            <w14:solidFill>
              <w14:schemeClr w14:val="tx1"/>
            </w14:solidFill>
          </w14:textFill>
        </w:rPr>
        <w:t>5.36</w:t>
      </w:r>
      <w:r>
        <w:rPr>
          <w:rFonts w:hint="default" w:ascii="Times New Roman" w:hAnsi="Times New Roman" w:eastAsia="宋体" w:cs="Times New Roman"/>
          <w:color w:val="000000" w:themeColor="text1"/>
          <w:sz w:val="28"/>
          <w:szCs w:val="28"/>
          <w:highlight w:val="none"/>
          <w14:textFill>
            <w14:solidFill>
              <w14:schemeClr w14:val="tx1"/>
            </w14:solidFill>
          </w14:textFill>
        </w:rPr>
        <w:t>万元</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14:textFill>
            <w14:solidFill>
              <w14:schemeClr w14:val="tx1"/>
            </w14:solidFill>
          </w14:textFill>
        </w:rPr>
        <w:t>监测工程经费</w:t>
      </w:r>
      <w:r>
        <w:rPr>
          <w:rFonts w:hint="eastAsia" w:cs="Times New Roman"/>
          <w:color w:val="000000" w:themeColor="text1"/>
          <w:sz w:val="28"/>
          <w:szCs w:val="28"/>
          <w:highlight w:val="none"/>
          <w:lang w:val="en-US" w:eastAsia="zh-CN"/>
          <w14:textFill>
            <w14:solidFill>
              <w14:schemeClr w14:val="tx1"/>
            </w14:solidFill>
          </w14:textFill>
        </w:rPr>
        <w:t>14.04</w:t>
      </w:r>
      <w:r>
        <w:rPr>
          <w:rFonts w:hint="default" w:ascii="Times New Roman" w:hAnsi="Times New Roman" w:eastAsia="宋体" w:cs="Times New Roman"/>
          <w:color w:val="000000" w:themeColor="text1"/>
          <w:sz w:val="28"/>
          <w:szCs w:val="28"/>
          <w:highlight w:val="none"/>
          <w14:textFill>
            <w14:solidFill>
              <w14:schemeClr w14:val="tx1"/>
            </w14:solidFill>
          </w14:textFill>
        </w:rPr>
        <w:t>万元、管护工程经费</w:t>
      </w:r>
      <w:r>
        <w:rPr>
          <w:rFonts w:hint="eastAsia" w:cs="Times New Roman"/>
          <w:color w:val="000000" w:themeColor="text1"/>
          <w:sz w:val="28"/>
          <w:szCs w:val="28"/>
          <w:highlight w:val="none"/>
          <w:lang w:val="en-US" w:eastAsia="zh-CN"/>
          <w14:textFill>
            <w14:solidFill>
              <w14:schemeClr w14:val="tx1"/>
            </w14:solidFill>
          </w14:textFill>
        </w:rPr>
        <w:t>1.20</w:t>
      </w:r>
      <w:r>
        <w:rPr>
          <w:rFonts w:hint="default" w:ascii="Times New Roman" w:hAnsi="Times New Roman" w:eastAsia="宋体" w:cs="Times New Roman"/>
          <w:color w:val="000000" w:themeColor="text1"/>
          <w:sz w:val="28"/>
          <w:szCs w:val="28"/>
          <w:highlight w:val="none"/>
          <w14:textFill>
            <w14:solidFill>
              <w14:schemeClr w14:val="tx1"/>
            </w14:solidFill>
          </w14:textFill>
        </w:rPr>
        <w:t>万元。单项工程量</w:t>
      </w:r>
      <w:r>
        <w:rPr>
          <w:rFonts w:hint="default" w:ascii="Times New Roman" w:hAnsi="Times New Roman" w:eastAsia="宋体" w:cs="Times New Roman"/>
          <w:color w:val="000000" w:themeColor="text1"/>
          <w:sz w:val="28"/>
          <w:szCs w:val="28"/>
          <w:highlight w:val="none"/>
          <w:lang w:eastAsia="zh-CN"/>
          <w14:textFill>
            <w14:solidFill>
              <w14:schemeClr w14:val="tx1"/>
            </w14:solidFill>
          </w14:textFill>
        </w:rPr>
        <w:t>及</w:t>
      </w:r>
      <w:r>
        <w:rPr>
          <w:rFonts w:hint="default" w:ascii="Times New Roman" w:hAnsi="Times New Roman" w:eastAsia="宋体" w:cs="Times New Roman"/>
          <w:color w:val="000000" w:themeColor="text1"/>
          <w:sz w:val="28"/>
          <w:szCs w:val="28"/>
          <w:highlight w:val="none"/>
          <w14:textFill>
            <w14:solidFill>
              <w14:schemeClr w14:val="tx1"/>
            </w14:solidFill>
          </w14:textFill>
        </w:rPr>
        <w:t>经费估算详见下表。</w:t>
      </w:r>
    </w:p>
    <w:p w14:paraId="68F56BC6">
      <w:pPr>
        <w:rPr>
          <w:rFonts w:hint="default" w:ascii="黑体" w:hAnsi="黑体" w:eastAsia="黑体" w:cs="黑体"/>
          <w:b w:val="0"/>
          <w:bCs/>
          <w:color w:val="000000" w:themeColor="text1"/>
          <w:sz w:val="24"/>
          <w:szCs w:val="24"/>
          <w:highlight w:val="none"/>
          <w14:textFill>
            <w14:solidFill>
              <w14:schemeClr w14:val="tx1"/>
            </w14:solidFill>
          </w14:textFill>
        </w:rPr>
      </w:pPr>
      <w:r>
        <w:rPr>
          <w:rFonts w:hint="default" w:ascii="黑体" w:hAnsi="黑体" w:eastAsia="黑体" w:cs="黑体"/>
          <w:b w:val="0"/>
          <w:bCs/>
          <w:color w:val="000000" w:themeColor="text1"/>
          <w:sz w:val="24"/>
          <w:szCs w:val="24"/>
          <w:highlight w:val="none"/>
          <w14:textFill>
            <w14:solidFill>
              <w14:schemeClr w14:val="tx1"/>
            </w14:solidFill>
          </w14:textFill>
        </w:rPr>
        <w:br w:type="page"/>
      </w:r>
    </w:p>
    <w:p w14:paraId="56A05213">
      <w:pPr>
        <w:keepNext w:val="0"/>
        <w:keepLines w:val="0"/>
        <w:pageBreakBefore w:val="0"/>
        <w:widowControl/>
        <w:tabs>
          <w:tab w:val="left" w:pos="7235"/>
        </w:tabs>
        <w:kinsoku/>
        <w:wordWrap/>
        <w:overflowPunct/>
        <w:topLinePunct w:val="0"/>
        <w:autoSpaceDE/>
        <w:autoSpaceDN/>
        <w:bidi w:val="0"/>
        <w:adjustRightInd/>
        <w:snapToGrid/>
        <w:spacing w:after="0" w:line="360" w:lineRule="auto"/>
        <w:ind w:right="0" w:rightChars="0"/>
        <w:jc w:val="center"/>
        <w:textAlignment w:val="auto"/>
        <w:rPr>
          <w:rFonts w:hint="default" w:ascii="黑体" w:hAnsi="黑体" w:eastAsia="黑体" w:cs="黑体"/>
          <w:b w:val="0"/>
          <w:bCs/>
          <w:color w:val="000000" w:themeColor="text1"/>
          <w:sz w:val="24"/>
          <w:szCs w:val="24"/>
          <w:highlight w:val="none"/>
          <w:lang w:val="en-US" w:eastAsia="zh-CN"/>
          <w14:textFill>
            <w14:solidFill>
              <w14:schemeClr w14:val="tx1"/>
            </w14:solidFill>
          </w14:textFill>
        </w:rPr>
      </w:pPr>
      <w:r>
        <w:rPr>
          <w:rFonts w:hint="default" w:ascii="黑体" w:hAnsi="黑体" w:eastAsia="黑体" w:cs="黑体"/>
          <w:b w:val="0"/>
          <w:bCs/>
          <w:color w:val="000000" w:themeColor="text1"/>
          <w:sz w:val="24"/>
          <w:szCs w:val="24"/>
          <w:highlight w:val="none"/>
          <w14:textFill>
            <w14:solidFill>
              <w14:schemeClr w14:val="tx1"/>
            </w14:solidFill>
          </w14:textFill>
        </w:rPr>
        <w:t>表</w:t>
      </w:r>
      <w:r>
        <w:rPr>
          <w:rFonts w:hint="default" w:ascii="黑体" w:hAnsi="黑体" w:eastAsia="黑体" w:cs="黑体"/>
          <w:b w:val="0"/>
          <w:bCs/>
          <w:color w:val="000000" w:themeColor="text1"/>
          <w:sz w:val="24"/>
          <w:szCs w:val="24"/>
          <w:highlight w:val="none"/>
          <w:lang w:val="en-US" w:eastAsia="zh-CN"/>
          <w14:textFill>
            <w14:solidFill>
              <w14:schemeClr w14:val="tx1"/>
            </w14:solidFill>
          </w14:textFill>
        </w:rPr>
        <w:t>6-1</w:t>
      </w:r>
      <w:r>
        <w:rPr>
          <w:rFonts w:hint="eastAsia" w:ascii="黑体" w:hAnsi="黑体" w:eastAsia="黑体" w:cs="黑体"/>
          <w:b w:val="0"/>
          <w:bCs/>
          <w:color w:val="000000" w:themeColor="text1"/>
          <w:sz w:val="24"/>
          <w:szCs w:val="24"/>
          <w:highlight w:val="none"/>
          <w:lang w:val="en-US" w:eastAsia="zh-CN"/>
          <w14:textFill>
            <w14:solidFill>
              <w14:schemeClr w14:val="tx1"/>
            </w14:solidFill>
          </w14:textFill>
        </w:rPr>
        <w:t>3</w:t>
      </w:r>
      <w:r>
        <w:rPr>
          <w:rFonts w:hint="default" w:ascii="黑体" w:hAnsi="黑体" w:eastAsia="黑体" w:cs="黑体"/>
          <w:b w:val="0"/>
          <w:bCs/>
          <w:color w:val="000000" w:themeColor="text1"/>
          <w:sz w:val="24"/>
          <w:szCs w:val="24"/>
          <w:highlight w:val="none"/>
          <w14:textFill>
            <w14:solidFill>
              <w14:schemeClr w14:val="tx1"/>
            </w14:solidFill>
          </w14:textFill>
        </w:rPr>
        <w:t xml:space="preserve">  单项</w:t>
      </w:r>
      <w:r>
        <w:rPr>
          <w:rFonts w:hint="default" w:ascii="黑体" w:hAnsi="黑体" w:eastAsia="黑体" w:cs="黑体"/>
          <w:b w:val="0"/>
          <w:bCs/>
          <w:color w:val="000000" w:themeColor="text1"/>
          <w:sz w:val="24"/>
          <w:szCs w:val="24"/>
          <w:highlight w:val="none"/>
          <w:lang w:val="en-US" w:eastAsia="zh-CN"/>
          <w14:textFill>
            <w14:solidFill>
              <w14:schemeClr w14:val="tx1"/>
            </w14:solidFill>
          </w14:textFill>
        </w:rPr>
        <w:t>生态修复工程总费用表</w:t>
      </w:r>
    </w:p>
    <w:p w14:paraId="390F0A35">
      <w:pPr>
        <w:pStyle w:val="5"/>
        <w:keepNext w:val="0"/>
        <w:keepLines w:val="0"/>
        <w:pageBreakBefore w:val="0"/>
        <w:widowControl w:val="0"/>
        <w:kinsoku/>
        <w:wordWrap/>
        <w:overflowPunct/>
        <w:topLinePunct w:val="0"/>
        <w:autoSpaceDE/>
        <w:autoSpaceDN/>
        <w:bidi w:val="0"/>
        <w:adjustRightInd/>
        <w:snapToGrid/>
        <w:spacing w:before="157" w:beforeLines="50" w:line="360" w:lineRule="auto"/>
        <w:ind w:firstLine="562" w:firstLineChars="200"/>
        <w:textAlignment w:val="auto"/>
        <w:rPr>
          <w:rFonts w:hint="default" w:hAnsi="Times New Roman" w:cs="Times New Roman"/>
          <w:b/>
          <w:bCs/>
          <w:color w:val="000000" w:themeColor="text1"/>
          <w:sz w:val="28"/>
          <w:szCs w:val="24"/>
          <w:lang w:val="en-US" w:eastAsia="zh-CN"/>
          <w14:textFill>
            <w14:solidFill>
              <w14:schemeClr w14:val="tx1"/>
            </w14:solidFill>
          </w14:textFill>
        </w:rPr>
      </w:pPr>
      <w:r>
        <w:rPr>
          <w:rFonts w:hint="default" w:hAnsi="Times New Roman" w:cs="Times New Roman"/>
          <w:b/>
          <w:bCs/>
          <w:color w:val="000000" w:themeColor="text1"/>
          <w:sz w:val="28"/>
          <w:szCs w:val="24"/>
          <w:lang w:val="en-US" w:eastAsia="zh-CN"/>
          <w14:textFill>
            <w14:solidFill>
              <w14:schemeClr w14:val="tx1"/>
            </w14:solidFill>
          </w14:textFill>
        </w:rPr>
        <w:t>三</w:t>
      </w:r>
      <w:r>
        <w:rPr>
          <w:rFonts w:hint="eastAsia" w:hAnsi="Times New Roman" w:cs="Times New Roman"/>
          <w:b/>
          <w:bCs/>
          <w:color w:val="000000" w:themeColor="text1"/>
          <w:sz w:val="28"/>
          <w:szCs w:val="24"/>
          <w:lang w:val="en-US" w:eastAsia="zh-CN"/>
          <w14:textFill>
            <w14:solidFill>
              <w14:schemeClr w14:val="tx1"/>
            </w14:solidFill>
          </w14:textFill>
        </w:rPr>
        <w:t>、</w:t>
      </w:r>
      <w:r>
        <w:rPr>
          <w:rFonts w:hint="default" w:hAnsi="Times New Roman" w:cs="Times New Roman"/>
          <w:b/>
          <w:bCs/>
          <w:color w:val="000000" w:themeColor="text1"/>
          <w:sz w:val="28"/>
          <w:szCs w:val="24"/>
          <w:lang w:val="en-US" w:eastAsia="zh-CN"/>
          <w14:textFill>
            <w14:solidFill>
              <w14:schemeClr w14:val="tx1"/>
            </w14:solidFill>
          </w14:textFill>
        </w:rPr>
        <w:t>总工程量</w:t>
      </w:r>
      <w:r>
        <w:rPr>
          <w:rFonts w:hint="eastAsia" w:hAnsi="Times New Roman" w:cs="Times New Roman"/>
          <w:b/>
          <w:bCs/>
          <w:color w:val="000000" w:themeColor="text1"/>
          <w:sz w:val="28"/>
          <w:szCs w:val="24"/>
          <w:lang w:val="en-US" w:eastAsia="zh-CN"/>
          <w14:textFill>
            <w14:solidFill>
              <w14:schemeClr w14:val="tx1"/>
            </w14:solidFill>
          </w14:textFill>
        </w:rPr>
        <w:t>及其</w:t>
      </w:r>
      <w:r>
        <w:rPr>
          <w:rFonts w:hint="default" w:hAnsi="Times New Roman" w:cs="Times New Roman"/>
          <w:b/>
          <w:bCs/>
          <w:color w:val="000000" w:themeColor="text1"/>
          <w:sz w:val="28"/>
          <w:szCs w:val="24"/>
          <w:lang w:val="en-US" w:eastAsia="zh-CN"/>
          <w14:textFill>
            <w14:solidFill>
              <w14:schemeClr w14:val="tx1"/>
            </w14:solidFill>
          </w14:textFill>
        </w:rPr>
        <w:t>经费预算</w:t>
      </w:r>
    </w:p>
    <w:p w14:paraId="20164830">
      <w:pPr>
        <w:keepNext w:val="0"/>
        <w:keepLines w:val="0"/>
        <w:pageBreakBefore w:val="0"/>
        <w:widowControl w:val="0"/>
        <w:kinsoku/>
        <w:wordWrap/>
        <w:overflowPunct/>
        <w:topLinePunct w:val="0"/>
        <w:autoSpaceDE/>
        <w:autoSpaceDN/>
        <w:bidi w:val="0"/>
        <w:adjustRightInd w:val="0"/>
        <w:snapToGrid/>
        <w:spacing w:line="360" w:lineRule="auto"/>
        <w:ind w:left="0" w:firstLine="560" w:firstLineChars="200"/>
        <w:textAlignment w:val="auto"/>
        <w:outlineLvl w:val="9"/>
        <w:rPr>
          <w:rFonts w:hint="default" w:ascii="宋体" w:hAnsi="宋体" w:eastAsia="宋体" w:cs="宋体"/>
          <w:b w:val="0"/>
          <w:bCs w:val="0"/>
          <w:snapToGrid w:val="0"/>
          <w:color w:val="000000" w:themeColor="text1"/>
          <w:sz w:val="28"/>
          <w:szCs w:val="28"/>
          <w:lang w:val="en-US" w:eastAsia="zh-CN"/>
          <w14:textFill>
            <w14:solidFill>
              <w14:schemeClr w14:val="tx1"/>
            </w14:solidFill>
          </w14:textFill>
        </w:rPr>
      </w:pPr>
      <w:r>
        <w:rPr>
          <w:rFonts w:hint="eastAsia" w:ascii="宋体" w:hAnsi="宋体" w:cs="宋体"/>
          <w:b w:val="0"/>
          <w:bCs w:val="0"/>
          <w:snapToGrid w:val="0"/>
          <w:color w:val="000000" w:themeColor="text1"/>
          <w:sz w:val="28"/>
          <w:szCs w:val="28"/>
          <w:lang w:val="en-US" w:eastAsia="zh-CN"/>
          <w14:textFill>
            <w14:solidFill>
              <w14:schemeClr w14:val="tx1"/>
            </w14:solidFill>
          </w14:textFill>
        </w:rPr>
        <w:t>矿山生态修复工程量汇总表如下：</w:t>
      </w:r>
    </w:p>
    <w:p w14:paraId="7A6F82BE">
      <w:pPr>
        <w:pStyle w:val="66"/>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黑体" w:hAnsi="黑体" w:eastAsia="黑体" w:cs="黑体"/>
          <w:b w:val="0"/>
          <w:bCs w:val="0"/>
          <w:color w:val="000000" w:themeColor="text1"/>
          <w:sz w:val="24"/>
          <w:szCs w:val="24"/>
          <w:highlight w:val="none"/>
          <w:lang w:eastAsia="zh-CN"/>
          <w14:textFill>
            <w14:solidFill>
              <w14:schemeClr w14:val="tx1"/>
            </w14:solidFill>
          </w14:textFill>
        </w:rPr>
      </w:pPr>
      <w:r>
        <w:rPr>
          <w:rFonts w:hint="default" w:ascii="黑体" w:hAnsi="黑体" w:eastAsia="黑体" w:cs="黑体"/>
          <w:b w:val="0"/>
          <w:bCs w:val="0"/>
          <w:color w:val="000000" w:themeColor="text1"/>
          <w:sz w:val="24"/>
          <w:szCs w:val="24"/>
          <w:highlight w:val="none"/>
          <w14:textFill>
            <w14:solidFill>
              <w14:schemeClr w14:val="tx1"/>
            </w14:solidFill>
          </w14:textFill>
        </w:rPr>
        <w:t>表</w:t>
      </w:r>
      <w:r>
        <w:rPr>
          <w:rFonts w:hint="default" w:ascii="黑体" w:hAnsi="黑体" w:eastAsia="黑体" w:cs="黑体"/>
          <w:b w:val="0"/>
          <w:bCs w:val="0"/>
          <w:color w:val="000000" w:themeColor="text1"/>
          <w:sz w:val="24"/>
          <w:szCs w:val="24"/>
          <w:highlight w:val="none"/>
          <w:lang w:val="en-US" w:eastAsia="zh-CN"/>
          <w14:textFill>
            <w14:solidFill>
              <w14:schemeClr w14:val="tx1"/>
            </w14:solidFill>
          </w14:textFill>
        </w:rPr>
        <w:t>6-1</w:t>
      </w:r>
      <w:r>
        <w:rPr>
          <w:rFonts w:hint="eastAsia" w:ascii="黑体" w:hAnsi="黑体" w:eastAsia="黑体" w:cs="黑体"/>
          <w:b w:val="0"/>
          <w:bCs w:val="0"/>
          <w:color w:val="000000" w:themeColor="text1"/>
          <w:sz w:val="24"/>
          <w:szCs w:val="24"/>
          <w:highlight w:val="none"/>
          <w:lang w:val="en-US" w:eastAsia="zh-CN"/>
          <w14:textFill>
            <w14:solidFill>
              <w14:schemeClr w14:val="tx1"/>
            </w14:solidFill>
          </w14:textFill>
        </w:rPr>
        <w:t>4</w:t>
      </w:r>
      <w:r>
        <w:rPr>
          <w:rFonts w:hint="default" w:ascii="黑体" w:hAnsi="黑体" w:eastAsia="黑体" w:cs="黑体"/>
          <w:b w:val="0"/>
          <w:bCs w:val="0"/>
          <w:color w:val="000000" w:themeColor="text1"/>
          <w:sz w:val="24"/>
          <w:szCs w:val="24"/>
          <w:highlight w:val="none"/>
          <w14:textFill>
            <w14:solidFill>
              <w14:schemeClr w14:val="tx1"/>
            </w14:solidFill>
          </w14:textFill>
        </w:rPr>
        <w:t xml:space="preserve">  </w:t>
      </w:r>
      <w:r>
        <w:rPr>
          <w:rFonts w:hint="default" w:ascii="黑体" w:hAnsi="黑体" w:eastAsia="黑体" w:cs="黑体"/>
          <w:b w:val="0"/>
          <w:bCs w:val="0"/>
          <w:color w:val="000000" w:themeColor="text1"/>
          <w:sz w:val="24"/>
          <w:szCs w:val="24"/>
          <w:highlight w:val="none"/>
          <w:lang w:val="en-US" w:eastAsia="zh-CN"/>
          <w14:textFill>
            <w14:solidFill>
              <w14:schemeClr w14:val="tx1"/>
            </w14:solidFill>
          </w14:textFill>
        </w:rPr>
        <w:t>生态修复</w:t>
      </w:r>
      <w:r>
        <w:rPr>
          <w:rFonts w:hint="default" w:ascii="黑体" w:hAnsi="黑体" w:eastAsia="黑体" w:cs="黑体"/>
          <w:b w:val="0"/>
          <w:bCs w:val="0"/>
          <w:color w:val="000000" w:themeColor="text1"/>
          <w:sz w:val="24"/>
          <w:szCs w:val="24"/>
          <w:highlight w:val="none"/>
          <w14:textFill>
            <w14:solidFill>
              <w14:schemeClr w14:val="tx1"/>
            </w14:solidFill>
          </w14:textFill>
        </w:rPr>
        <w:t>工程量汇总表</w:t>
      </w:r>
    </w:p>
    <w:p w14:paraId="4196A8D2">
      <w:pPr>
        <w:pStyle w:val="167"/>
        <w:keepNext w:val="0"/>
        <w:keepLines w:val="0"/>
        <w:pageBreakBefore w:val="0"/>
        <w:widowControl/>
        <w:numPr>
          <w:ilvl w:val="0"/>
          <w:numId w:val="0"/>
        </w:numPr>
        <w:kinsoku/>
        <w:wordWrap/>
        <w:overflowPunct/>
        <w:topLinePunct w:val="0"/>
        <w:autoSpaceDE/>
        <w:autoSpaceDN/>
        <w:bidi w:val="0"/>
        <w:adjustRightInd w:val="0"/>
        <w:snapToGrid/>
        <w:spacing w:before="157" w:beforeLines="50" w:after="0" w:line="360" w:lineRule="auto"/>
        <w:ind w:left="0" w:leftChars="0" w:firstLine="560" w:firstLineChars="200"/>
        <w:jc w:val="left"/>
        <w:textAlignment w:val="auto"/>
        <w:outlineLvl w:val="9"/>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t>矿区生态修复工程总投资经费</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493.38</w:t>
      </w:r>
      <w:r>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t>万元，其中工程施工费</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265.22</w:t>
      </w:r>
      <w:r>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t>万元，其他费用</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34.59</w:t>
      </w:r>
      <w:r>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t>万元，监测</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与</w:t>
      </w:r>
      <w:r>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t>管护费</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15.24</w:t>
      </w:r>
      <w:r>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t>万元，</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预备费178.32</w:t>
      </w:r>
      <w:r>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t>万元。经费估算见表6-1</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5</w:t>
      </w:r>
      <w:r>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t>至表6-3</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5</w:t>
      </w:r>
      <w:r>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t>。</w:t>
      </w:r>
    </w:p>
    <w:p w14:paraId="395E3F11">
      <w:pPr>
        <w:rPr>
          <w:rFonts w:hint="eastAsia" w:ascii="黑体" w:hAnsi="黑体" w:eastAsia="黑体" w:cs="黑体"/>
          <w:b w:val="0"/>
          <w:bCs/>
          <w:color w:val="000000" w:themeColor="text1"/>
          <w:sz w:val="24"/>
          <w:szCs w:val="24"/>
          <w:lang w:val="en-US" w:eastAsia="zh-CN"/>
          <w14:textFill>
            <w14:solidFill>
              <w14:schemeClr w14:val="tx1"/>
            </w14:solidFill>
          </w14:textFill>
        </w:rPr>
      </w:pPr>
    </w:p>
    <w:p w14:paraId="318C41AA">
      <w:pPr>
        <w:pStyle w:val="3"/>
        <w:spacing w:before="0" w:beforeLines="0"/>
        <w:jc w:val="center"/>
        <w:rPr>
          <w:rFonts w:ascii="宋体" w:hAnsi="宋体" w:cs="宋体"/>
          <w:color w:val="000000" w:themeColor="text1"/>
          <w14:textFill>
            <w14:solidFill>
              <w14:schemeClr w14:val="tx1"/>
            </w14:solidFill>
          </w14:textFill>
        </w:rPr>
      </w:pPr>
      <w:bookmarkStart w:id="76" w:name="_Toc6382"/>
      <w:r>
        <w:rPr>
          <w:rFonts w:hint="eastAsia" w:ascii="宋体" w:hAnsi="宋体" w:cs="宋体"/>
          <w:color w:val="000000" w:themeColor="text1"/>
          <w:lang w:val="en-US" w:eastAsia="zh-CN"/>
          <w14:textFill>
            <w14:solidFill>
              <w14:schemeClr w14:val="tx1"/>
            </w14:solidFill>
          </w14:textFill>
        </w:rPr>
        <w:t xml:space="preserve">第三节  </w:t>
      </w:r>
      <w:r>
        <w:rPr>
          <w:rFonts w:hint="eastAsia" w:ascii="宋体" w:hAnsi="宋体" w:cs="宋体"/>
          <w:color w:val="000000" w:themeColor="text1"/>
          <w14:textFill>
            <w14:solidFill>
              <w14:schemeClr w14:val="tx1"/>
            </w14:solidFill>
          </w14:textFill>
        </w:rPr>
        <w:t>阶段工作任务与经费安排</w:t>
      </w:r>
      <w:bookmarkEnd w:id="76"/>
    </w:p>
    <w:p w14:paraId="29B7A0BF">
      <w:pPr>
        <w:pStyle w:val="5"/>
        <w:bidi w:val="0"/>
        <w:spacing w:line="360" w:lineRule="auto"/>
        <w:ind w:firstLine="562" w:firstLineChars="200"/>
        <w:rPr>
          <w:rFonts w:hint="default"/>
          <w:b/>
          <w:bCs/>
          <w:color w:val="000000" w:themeColor="text1"/>
          <w:sz w:val="28"/>
          <w:szCs w:val="24"/>
          <w:lang w:val="en-US" w:eastAsia="zh-CN"/>
          <w14:textFill>
            <w14:solidFill>
              <w14:schemeClr w14:val="tx1"/>
            </w14:solidFill>
          </w14:textFill>
        </w:rPr>
      </w:pPr>
      <w:r>
        <w:rPr>
          <w:rFonts w:hint="eastAsia"/>
          <w:b/>
          <w:bCs/>
          <w:color w:val="000000" w:themeColor="text1"/>
          <w:sz w:val="28"/>
          <w:szCs w:val="24"/>
          <w:lang w:val="en-US" w:eastAsia="zh-CN"/>
          <w14:textFill>
            <w14:solidFill>
              <w14:schemeClr w14:val="tx1"/>
            </w14:solidFill>
          </w14:textFill>
        </w:rPr>
        <w:t>一、</w:t>
      </w:r>
      <w:r>
        <w:rPr>
          <w:rFonts w:hint="default"/>
          <w:b/>
          <w:bCs/>
          <w:color w:val="000000" w:themeColor="text1"/>
          <w:sz w:val="28"/>
          <w:szCs w:val="24"/>
          <w:lang w:val="en-US" w:eastAsia="zh-CN"/>
          <w14:textFill>
            <w14:solidFill>
              <w14:schemeClr w14:val="tx1"/>
            </w14:solidFill>
          </w14:textFill>
        </w:rPr>
        <w:t>阶段工作任务</w:t>
      </w:r>
    </w:p>
    <w:p w14:paraId="270196EB">
      <w:pPr>
        <w:pStyle w:val="66"/>
        <w:spacing w:line="360" w:lineRule="auto"/>
        <w:ind w:firstLine="560" w:firstLineChars="200"/>
        <w:jc w:val="both"/>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根据</w:t>
      </w: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开发与治理综合方案</w:t>
      </w: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default" w:ascii="Times New Roman" w:hAnsi="Times New Roman" w:eastAsia="宋体" w:cs="Times New Roman"/>
          <w:color w:val="000000" w:themeColor="text1"/>
          <w:sz w:val="28"/>
          <w:szCs w:val="28"/>
          <w14:textFill>
            <w14:solidFill>
              <w14:schemeClr w14:val="tx1"/>
            </w14:solidFill>
          </w14:textFill>
        </w:rPr>
        <w:t>设计，按照矿区生态修复与采矿工程相结合的原则，同时根据现状问题识别和受损预测分析，综合诊断评价，按照轻重缓急、分阶段实施的原则，将矿区生态修复划分为</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生产</w:t>
      </w:r>
      <w:r>
        <w:rPr>
          <w:rFonts w:hint="default" w:ascii="Times New Roman" w:hAnsi="Times New Roman" w:eastAsia="宋体" w:cs="Times New Roman"/>
          <w:color w:val="000000" w:themeColor="text1"/>
          <w:sz w:val="28"/>
          <w:szCs w:val="28"/>
          <w14:textFill>
            <w14:solidFill>
              <w14:schemeClr w14:val="tx1"/>
            </w14:solidFill>
          </w14:textFill>
        </w:rPr>
        <w:t>期和</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修复</w:t>
      </w:r>
      <w:r>
        <w:rPr>
          <w:rFonts w:hint="default" w:ascii="Times New Roman" w:hAnsi="Times New Roman" w:eastAsia="宋体" w:cs="Times New Roman"/>
          <w:color w:val="000000" w:themeColor="text1"/>
          <w:sz w:val="28"/>
          <w:szCs w:val="28"/>
          <w14:textFill>
            <w14:solidFill>
              <w14:schemeClr w14:val="tx1"/>
            </w14:solidFill>
          </w14:textFill>
        </w:rPr>
        <w:t>管护期</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两</w:t>
      </w:r>
      <w:r>
        <w:rPr>
          <w:rFonts w:hint="default" w:ascii="Times New Roman" w:hAnsi="Times New Roman" w:eastAsia="宋体" w:cs="Times New Roman"/>
          <w:color w:val="000000" w:themeColor="text1"/>
          <w:sz w:val="28"/>
          <w:szCs w:val="28"/>
          <w14:textFill>
            <w14:solidFill>
              <w14:schemeClr w14:val="tx1"/>
            </w14:solidFill>
          </w14:textFill>
        </w:rPr>
        <w:t>个阶段。各阶段实施时间计划见表6-</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34</w:t>
      </w:r>
      <w:r>
        <w:rPr>
          <w:rFonts w:hint="default" w:ascii="Times New Roman" w:hAnsi="Times New Roman" w:eastAsia="宋体" w:cs="Times New Roman"/>
          <w:color w:val="000000" w:themeColor="text1"/>
          <w:sz w:val="28"/>
          <w:szCs w:val="28"/>
          <w14:textFill>
            <w14:solidFill>
              <w14:schemeClr w14:val="tx1"/>
            </w14:solidFill>
          </w14:textFill>
        </w:rPr>
        <w:t>。</w:t>
      </w:r>
    </w:p>
    <w:p w14:paraId="22080E74">
      <w:pPr>
        <w:spacing w:line="360" w:lineRule="auto"/>
        <w:jc w:val="center"/>
        <w:rPr>
          <w:rFonts w:eastAsia="黑体"/>
          <w:color w:val="000000" w:themeColor="text1"/>
          <w:sz w:val="24"/>
          <w:szCs w:val="24"/>
          <w14:textFill>
            <w14:solidFill>
              <w14:schemeClr w14:val="tx1"/>
            </w14:solidFill>
          </w14:textFill>
        </w:rPr>
      </w:pPr>
      <w:r>
        <w:rPr>
          <w:rFonts w:eastAsia="黑体"/>
          <w:color w:val="000000" w:themeColor="text1"/>
          <w:sz w:val="24"/>
          <w:szCs w:val="24"/>
          <w14:textFill>
            <w14:solidFill>
              <w14:schemeClr w14:val="tx1"/>
            </w14:solidFill>
          </w14:textFill>
        </w:rPr>
        <w:t>表6-</w:t>
      </w:r>
      <w:r>
        <w:rPr>
          <w:rFonts w:hint="eastAsia" w:eastAsia="黑体"/>
          <w:color w:val="000000" w:themeColor="text1"/>
          <w:sz w:val="24"/>
          <w:szCs w:val="24"/>
          <w:lang w:val="en-US" w:eastAsia="zh-CN"/>
          <w14:textFill>
            <w14:solidFill>
              <w14:schemeClr w14:val="tx1"/>
            </w14:solidFill>
          </w14:textFill>
        </w:rPr>
        <w:t>34</w:t>
      </w:r>
      <w:r>
        <w:rPr>
          <w:rFonts w:eastAsia="黑体"/>
          <w:color w:val="000000" w:themeColor="text1"/>
          <w:sz w:val="24"/>
          <w:szCs w:val="24"/>
          <w14:textFill>
            <w14:solidFill>
              <w14:schemeClr w14:val="tx1"/>
            </w14:solidFill>
          </w14:textFill>
        </w:rPr>
        <w:t xml:space="preserve">  矿山地质环境治理阶段时间</w:t>
      </w:r>
    </w:p>
    <w:tbl>
      <w:tblPr>
        <w:tblStyle w:val="30"/>
        <w:tblW w:w="85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7"/>
        <w:gridCol w:w="2087"/>
        <w:gridCol w:w="2275"/>
        <w:gridCol w:w="2088"/>
      </w:tblGrid>
      <w:tr w14:paraId="098CE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087" w:type="dxa"/>
            <w:vAlign w:val="center"/>
          </w:tcPr>
          <w:p w14:paraId="22A00463">
            <w:pPr>
              <w:keepNext w:val="0"/>
              <w:keepLines w:val="0"/>
              <w:suppressLineNumbers w:val="0"/>
              <w:spacing w:before="0" w:beforeAutospacing="0" w:after="0" w:afterAutospacing="0" w:line="240" w:lineRule="atLeast"/>
              <w:ind w:left="0" w:right="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分期</w:t>
            </w:r>
          </w:p>
        </w:tc>
        <w:tc>
          <w:tcPr>
            <w:tcW w:w="2087" w:type="dxa"/>
            <w:vAlign w:val="center"/>
          </w:tcPr>
          <w:p w14:paraId="12B94A6E">
            <w:pPr>
              <w:keepNext w:val="0"/>
              <w:keepLines w:val="0"/>
              <w:suppressLineNumbers w:val="0"/>
              <w:spacing w:before="0" w:beforeAutospacing="0" w:after="0" w:afterAutospacing="0" w:line="240" w:lineRule="atLeast"/>
              <w:ind w:left="0" w:right="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阶段划分</w:t>
            </w:r>
          </w:p>
        </w:tc>
        <w:tc>
          <w:tcPr>
            <w:tcW w:w="2275" w:type="dxa"/>
            <w:vAlign w:val="center"/>
          </w:tcPr>
          <w:p w14:paraId="1F77E63F">
            <w:pPr>
              <w:keepNext w:val="0"/>
              <w:keepLines w:val="0"/>
              <w:suppressLineNumbers w:val="0"/>
              <w:spacing w:before="0" w:beforeAutospacing="0" w:after="0" w:afterAutospacing="0" w:line="240" w:lineRule="atLeast"/>
              <w:ind w:left="0" w:right="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时段</w:t>
            </w:r>
          </w:p>
        </w:tc>
        <w:tc>
          <w:tcPr>
            <w:tcW w:w="2088" w:type="dxa"/>
            <w:vAlign w:val="center"/>
          </w:tcPr>
          <w:p w14:paraId="24D79154">
            <w:pPr>
              <w:keepNext w:val="0"/>
              <w:keepLines w:val="0"/>
              <w:suppressLineNumbers w:val="0"/>
              <w:spacing w:before="0" w:beforeAutospacing="0" w:after="0" w:afterAutospacing="0" w:line="240" w:lineRule="atLeast"/>
              <w:ind w:left="0" w:right="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年限</w:t>
            </w:r>
          </w:p>
        </w:tc>
      </w:tr>
      <w:tr w14:paraId="246E2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087" w:type="dxa"/>
            <w:vAlign w:val="center"/>
          </w:tcPr>
          <w:p w14:paraId="64EB87EC">
            <w:pPr>
              <w:keepNext w:val="0"/>
              <w:keepLines w:val="0"/>
              <w:suppressLineNumbers w:val="0"/>
              <w:spacing w:before="0" w:beforeAutospacing="0" w:after="0" w:afterAutospacing="0" w:line="240" w:lineRule="atLeast"/>
              <w:ind w:left="0" w:right="0"/>
              <w:jc w:val="center"/>
              <w:rPr>
                <w:rFonts w:hint="default"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生产</w:t>
            </w:r>
            <w:r>
              <w:rPr>
                <w:rFonts w:hint="default" w:ascii="Times New Roman" w:hAnsi="Times New Roman" w:cs="Times New Roman"/>
                <w:color w:val="000000" w:themeColor="text1"/>
                <w:sz w:val="21"/>
                <w:szCs w:val="21"/>
                <w14:textFill>
                  <w14:solidFill>
                    <w14:schemeClr w14:val="tx1"/>
                  </w14:solidFill>
                </w14:textFill>
              </w:rPr>
              <w:t>期</w:t>
            </w:r>
          </w:p>
        </w:tc>
        <w:tc>
          <w:tcPr>
            <w:tcW w:w="2087" w:type="dxa"/>
            <w:vAlign w:val="center"/>
          </w:tcPr>
          <w:p w14:paraId="6B534667">
            <w:pPr>
              <w:keepNext w:val="0"/>
              <w:keepLines w:val="0"/>
              <w:suppressLineNumbers w:val="0"/>
              <w:spacing w:before="0" w:beforeAutospacing="0" w:after="0" w:afterAutospacing="0" w:line="240" w:lineRule="atLeast"/>
              <w:ind w:left="0" w:right="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第</w:t>
            </w:r>
            <w:r>
              <w:rPr>
                <w:rFonts w:hint="eastAsia" w:ascii="Times New Roman" w:hAnsi="Times New Roman" w:cs="Times New Roman"/>
                <w:color w:val="000000" w:themeColor="text1"/>
                <w:sz w:val="21"/>
                <w:szCs w:val="21"/>
                <w:lang w:val="en-US" w:eastAsia="zh-CN"/>
                <w14:textFill>
                  <w14:solidFill>
                    <w14:schemeClr w14:val="tx1"/>
                  </w14:solidFill>
                </w14:textFill>
              </w:rPr>
              <w:t>二</w:t>
            </w:r>
            <w:r>
              <w:rPr>
                <w:rFonts w:hint="default" w:ascii="Times New Roman" w:hAnsi="Times New Roman" w:cs="Times New Roman"/>
                <w:color w:val="000000" w:themeColor="text1"/>
                <w:sz w:val="21"/>
                <w:szCs w:val="21"/>
                <w14:textFill>
                  <w14:solidFill>
                    <w14:schemeClr w14:val="tx1"/>
                  </w14:solidFill>
                </w14:textFill>
              </w:rPr>
              <w:t>阶段</w:t>
            </w:r>
          </w:p>
        </w:tc>
        <w:tc>
          <w:tcPr>
            <w:tcW w:w="2275" w:type="dxa"/>
            <w:vAlign w:val="center"/>
          </w:tcPr>
          <w:p w14:paraId="0EB83890">
            <w:pPr>
              <w:keepNext w:val="0"/>
              <w:keepLines w:val="0"/>
              <w:suppressLineNumbers w:val="0"/>
              <w:spacing w:before="0" w:beforeAutospacing="0" w:after="0" w:afterAutospacing="0" w:line="240" w:lineRule="atLeast"/>
              <w:ind w:left="0" w:right="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202</w:t>
            </w:r>
            <w:r>
              <w:rPr>
                <w:rFonts w:hint="eastAsia" w:cs="Times New Roman"/>
                <w:color w:val="000000" w:themeColor="text1"/>
                <w:sz w:val="21"/>
                <w:szCs w:val="21"/>
                <w:lang w:val="en-US" w:eastAsia="zh-CN"/>
                <w14:textFill>
                  <w14:solidFill>
                    <w14:schemeClr w14:val="tx1"/>
                  </w14:solidFill>
                </w14:textFill>
              </w:rPr>
              <w:t>6</w:t>
            </w:r>
            <w:r>
              <w:rPr>
                <w:rFonts w:hint="default" w:ascii="Times New Roman" w:hAnsi="Times New Roman" w:cs="Times New Roman"/>
                <w:color w:val="000000" w:themeColor="text1"/>
                <w:sz w:val="21"/>
                <w:szCs w:val="21"/>
                <w14:textFill>
                  <w14:solidFill>
                    <w14:schemeClr w14:val="tx1"/>
                  </w14:solidFill>
                </w14:textFill>
              </w:rPr>
              <w:t>.1</w:t>
            </w:r>
            <w:r>
              <w:rPr>
                <w:rFonts w:hint="default" w:ascii="Times New Roman" w:hAnsi="Times New Roman" w:cs="Times New Roman"/>
                <w:color w:val="000000" w:themeColor="text1"/>
                <w:sz w:val="21"/>
                <w:szCs w:val="21"/>
                <w:lang w:val="en-US" w:eastAsia="zh-CN"/>
                <w14:textFill>
                  <w14:solidFill>
                    <w14:schemeClr w14:val="tx1"/>
                  </w14:solidFill>
                </w14:textFill>
              </w:rPr>
              <w:t>.1</w:t>
            </w:r>
            <w:r>
              <w:rPr>
                <w:rFonts w:hint="default" w:ascii="Times New Roman" w:hAnsi="Times New Roman" w:cs="Times New Roman"/>
                <w:color w:val="000000" w:themeColor="text1"/>
                <w:sz w:val="21"/>
                <w:szCs w:val="21"/>
                <w14:textFill>
                  <w14:solidFill>
                    <w14:schemeClr w14:val="tx1"/>
                  </w14:solidFill>
                </w14:textFill>
              </w:rPr>
              <w:t>-20</w:t>
            </w:r>
            <w:r>
              <w:rPr>
                <w:rFonts w:hint="default" w:ascii="Times New Roman" w:hAnsi="Times New Roman" w:cs="Times New Roman"/>
                <w:color w:val="000000" w:themeColor="text1"/>
                <w:sz w:val="21"/>
                <w:szCs w:val="21"/>
                <w:lang w:val="en-US" w:eastAsia="zh-CN"/>
                <w14:textFill>
                  <w14:solidFill>
                    <w14:schemeClr w14:val="tx1"/>
                  </w14:solidFill>
                </w14:textFill>
              </w:rPr>
              <w:t>3</w:t>
            </w:r>
            <w:r>
              <w:rPr>
                <w:rFonts w:hint="eastAsia" w:cs="Times New Roman"/>
                <w:color w:val="000000" w:themeColor="text1"/>
                <w:sz w:val="21"/>
                <w:szCs w:val="21"/>
                <w:lang w:val="en-US" w:eastAsia="zh-CN"/>
                <w14:textFill>
                  <w14:solidFill>
                    <w14:schemeClr w14:val="tx1"/>
                  </w14:solidFill>
                </w14:textFill>
              </w:rPr>
              <w:t>4</w:t>
            </w:r>
            <w:r>
              <w:rPr>
                <w:rFonts w:hint="default" w:ascii="Times New Roman" w:hAnsi="Times New Roman" w:cs="Times New Roman"/>
                <w:color w:val="000000" w:themeColor="text1"/>
                <w:sz w:val="21"/>
                <w:szCs w:val="21"/>
                <w14:textFill>
                  <w14:solidFill>
                    <w14:schemeClr w14:val="tx1"/>
                  </w14:solidFill>
                </w14:textFill>
              </w:rPr>
              <w:t>.12</w:t>
            </w:r>
            <w:r>
              <w:rPr>
                <w:rFonts w:hint="default" w:ascii="Times New Roman" w:hAnsi="Times New Roman" w:cs="Times New Roman"/>
                <w:color w:val="000000" w:themeColor="text1"/>
                <w:sz w:val="21"/>
                <w:szCs w:val="21"/>
                <w:lang w:val="en-US" w:eastAsia="zh-CN"/>
                <w14:textFill>
                  <w14:solidFill>
                    <w14:schemeClr w14:val="tx1"/>
                  </w14:solidFill>
                </w14:textFill>
              </w:rPr>
              <w:t>.31</w:t>
            </w:r>
          </w:p>
        </w:tc>
        <w:tc>
          <w:tcPr>
            <w:tcW w:w="2088" w:type="dxa"/>
            <w:vAlign w:val="center"/>
          </w:tcPr>
          <w:p w14:paraId="4047558D">
            <w:pPr>
              <w:keepNext w:val="0"/>
              <w:keepLines w:val="0"/>
              <w:suppressLineNumbers w:val="0"/>
              <w:spacing w:before="0" w:beforeAutospacing="0" w:after="0" w:afterAutospacing="0" w:line="240" w:lineRule="atLeast"/>
              <w:ind w:left="0" w:right="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9</w:t>
            </w:r>
          </w:p>
        </w:tc>
      </w:tr>
      <w:tr w14:paraId="6876F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087" w:type="dxa"/>
            <w:vAlign w:val="center"/>
          </w:tcPr>
          <w:p w14:paraId="5719DD51">
            <w:pPr>
              <w:keepNext w:val="0"/>
              <w:keepLines w:val="0"/>
              <w:suppressLineNumbers w:val="0"/>
              <w:spacing w:before="0" w:beforeAutospacing="0" w:after="0" w:afterAutospacing="0" w:line="240" w:lineRule="atLeast"/>
              <w:ind w:left="0" w:right="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修复</w:t>
            </w:r>
            <w:r>
              <w:rPr>
                <w:rFonts w:hint="eastAsia" w:ascii="Times New Roman" w:hAnsi="Times New Roman" w:cs="Times New Roman"/>
                <w:color w:val="000000" w:themeColor="text1"/>
                <w:sz w:val="21"/>
                <w:szCs w:val="21"/>
                <w:lang w:val="en-US" w:eastAsia="zh-CN"/>
                <w14:textFill>
                  <w14:solidFill>
                    <w14:schemeClr w14:val="tx1"/>
                  </w14:solidFill>
                </w14:textFill>
              </w:rPr>
              <w:t>管护</w:t>
            </w:r>
            <w:r>
              <w:rPr>
                <w:rFonts w:hint="default" w:ascii="Times New Roman" w:hAnsi="Times New Roman" w:cs="Times New Roman"/>
                <w:color w:val="000000" w:themeColor="text1"/>
                <w:sz w:val="21"/>
                <w:szCs w:val="21"/>
                <w14:textFill>
                  <w14:solidFill>
                    <w14:schemeClr w14:val="tx1"/>
                  </w14:solidFill>
                </w14:textFill>
              </w:rPr>
              <w:t>期</w:t>
            </w:r>
          </w:p>
        </w:tc>
        <w:tc>
          <w:tcPr>
            <w:tcW w:w="2087" w:type="dxa"/>
            <w:vAlign w:val="center"/>
          </w:tcPr>
          <w:p w14:paraId="02DDC74F">
            <w:pPr>
              <w:keepNext w:val="0"/>
              <w:keepLines w:val="0"/>
              <w:suppressLineNumbers w:val="0"/>
              <w:spacing w:before="0" w:beforeAutospacing="0" w:after="0" w:afterAutospacing="0" w:line="240" w:lineRule="atLeast"/>
              <w:ind w:left="0" w:right="0"/>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第</w:t>
            </w:r>
            <w:r>
              <w:rPr>
                <w:rFonts w:hint="eastAsia" w:cs="Times New Roman"/>
                <w:color w:val="000000" w:themeColor="text1"/>
                <w:sz w:val="21"/>
                <w:szCs w:val="21"/>
                <w:lang w:val="en-US" w:eastAsia="zh-CN"/>
                <w14:textFill>
                  <w14:solidFill>
                    <w14:schemeClr w14:val="tx1"/>
                  </w14:solidFill>
                </w14:textFill>
              </w:rPr>
              <w:t>二</w:t>
            </w:r>
            <w:r>
              <w:rPr>
                <w:rFonts w:hint="default" w:ascii="Times New Roman" w:hAnsi="Times New Roman" w:cs="Times New Roman"/>
                <w:color w:val="000000" w:themeColor="text1"/>
                <w:sz w:val="21"/>
                <w:szCs w:val="21"/>
                <w14:textFill>
                  <w14:solidFill>
                    <w14:schemeClr w14:val="tx1"/>
                  </w14:solidFill>
                </w14:textFill>
              </w:rPr>
              <w:t>阶段</w:t>
            </w:r>
          </w:p>
        </w:tc>
        <w:tc>
          <w:tcPr>
            <w:tcW w:w="2275" w:type="dxa"/>
            <w:vAlign w:val="center"/>
          </w:tcPr>
          <w:p w14:paraId="31AB33FE">
            <w:pPr>
              <w:keepNext w:val="0"/>
              <w:keepLines w:val="0"/>
              <w:suppressLineNumbers w:val="0"/>
              <w:spacing w:before="0" w:beforeAutospacing="0" w:after="0" w:afterAutospacing="0" w:line="240" w:lineRule="atLeast"/>
              <w:ind w:left="0" w:right="0"/>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20</w:t>
            </w:r>
            <w:r>
              <w:rPr>
                <w:rFonts w:hint="default" w:ascii="Times New Roman" w:hAnsi="Times New Roman" w:cs="Times New Roman"/>
                <w:color w:val="000000" w:themeColor="text1"/>
                <w:sz w:val="21"/>
                <w:szCs w:val="21"/>
                <w:lang w:val="en-US" w:eastAsia="zh-CN"/>
                <w14:textFill>
                  <w14:solidFill>
                    <w14:schemeClr w14:val="tx1"/>
                  </w14:solidFill>
                </w14:textFill>
              </w:rPr>
              <w:t>3</w:t>
            </w:r>
            <w:r>
              <w:rPr>
                <w:rFonts w:hint="eastAsia" w:cs="Times New Roman"/>
                <w:color w:val="000000" w:themeColor="text1"/>
                <w:sz w:val="21"/>
                <w:szCs w:val="21"/>
                <w:lang w:val="en-US" w:eastAsia="zh-CN"/>
                <w14:textFill>
                  <w14:solidFill>
                    <w14:schemeClr w14:val="tx1"/>
                  </w14:solidFill>
                </w14:textFill>
              </w:rPr>
              <w:t>5</w:t>
            </w:r>
            <w:r>
              <w:rPr>
                <w:rFonts w:hint="default" w:ascii="Times New Roman" w:hAnsi="Times New Roman" w:cs="Times New Roman"/>
                <w:color w:val="000000" w:themeColor="text1"/>
                <w:sz w:val="21"/>
                <w:szCs w:val="21"/>
                <w14:textFill>
                  <w14:solidFill>
                    <w14:schemeClr w14:val="tx1"/>
                  </w14:solidFill>
                </w14:textFill>
              </w:rPr>
              <w:t>.1</w:t>
            </w:r>
            <w:r>
              <w:rPr>
                <w:rFonts w:hint="default" w:ascii="Times New Roman" w:hAnsi="Times New Roman" w:cs="Times New Roman"/>
                <w:color w:val="000000" w:themeColor="text1"/>
                <w:sz w:val="21"/>
                <w:szCs w:val="21"/>
                <w:lang w:val="en-US" w:eastAsia="zh-CN"/>
                <w14:textFill>
                  <w14:solidFill>
                    <w14:schemeClr w14:val="tx1"/>
                  </w14:solidFill>
                </w14:textFill>
              </w:rPr>
              <w:t>.1</w:t>
            </w:r>
            <w:r>
              <w:rPr>
                <w:rFonts w:hint="default" w:ascii="Times New Roman" w:hAnsi="Times New Roman" w:cs="Times New Roman"/>
                <w:color w:val="000000" w:themeColor="text1"/>
                <w:sz w:val="21"/>
                <w:szCs w:val="21"/>
                <w14:textFill>
                  <w14:solidFill>
                    <w14:schemeClr w14:val="tx1"/>
                  </w14:solidFill>
                </w14:textFill>
              </w:rPr>
              <w:t>-20</w:t>
            </w:r>
            <w:r>
              <w:rPr>
                <w:rFonts w:hint="default" w:ascii="Times New Roman" w:hAnsi="Times New Roman" w:cs="Times New Roman"/>
                <w:color w:val="000000" w:themeColor="text1"/>
                <w:sz w:val="21"/>
                <w:szCs w:val="21"/>
                <w:lang w:val="en-US" w:eastAsia="zh-CN"/>
                <w14:textFill>
                  <w14:solidFill>
                    <w14:schemeClr w14:val="tx1"/>
                  </w14:solidFill>
                </w14:textFill>
              </w:rPr>
              <w:t>3</w:t>
            </w:r>
            <w:r>
              <w:rPr>
                <w:rFonts w:hint="eastAsia" w:cs="Times New Roman"/>
                <w:color w:val="000000" w:themeColor="text1"/>
                <w:sz w:val="21"/>
                <w:szCs w:val="21"/>
                <w:lang w:val="en-US" w:eastAsia="zh-CN"/>
                <w14:textFill>
                  <w14:solidFill>
                    <w14:schemeClr w14:val="tx1"/>
                  </w14:solidFill>
                </w14:textFill>
              </w:rPr>
              <w:t>8</w:t>
            </w:r>
            <w:r>
              <w:rPr>
                <w:rFonts w:hint="default" w:ascii="Times New Roman" w:hAnsi="Times New Roman" w:cs="Times New Roman"/>
                <w:color w:val="000000" w:themeColor="text1"/>
                <w:sz w:val="21"/>
                <w:szCs w:val="21"/>
                <w14:textFill>
                  <w14:solidFill>
                    <w14:schemeClr w14:val="tx1"/>
                  </w14:solidFill>
                </w14:textFill>
              </w:rPr>
              <w:t>.12</w:t>
            </w:r>
            <w:r>
              <w:rPr>
                <w:rFonts w:hint="default" w:ascii="Times New Roman" w:hAnsi="Times New Roman" w:cs="Times New Roman"/>
                <w:color w:val="000000" w:themeColor="text1"/>
                <w:sz w:val="21"/>
                <w:szCs w:val="21"/>
                <w:lang w:val="en-US" w:eastAsia="zh-CN"/>
                <w14:textFill>
                  <w14:solidFill>
                    <w14:schemeClr w14:val="tx1"/>
                  </w14:solidFill>
                </w14:textFill>
              </w:rPr>
              <w:t>.31</w:t>
            </w:r>
          </w:p>
        </w:tc>
        <w:tc>
          <w:tcPr>
            <w:tcW w:w="2088" w:type="dxa"/>
            <w:vAlign w:val="center"/>
          </w:tcPr>
          <w:p w14:paraId="6A0DE070">
            <w:pPr>
              <w:keepNext w:val="0"/>
              <w:keepLines w:val="0"/>
              <w:suppressLineNumbers w:val="0"/>
              <w:spacing w:before="0" w:beforeAutospacing="0" w:after="0" w:afterAutospacing="0" w:line="240" w:lineRule="atLeast"/>
              <w:ind w:left="0" w:right="0"/>
              <w:jc w:val="center"/>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w:t>
            </w:r>
          </w:p>
        </w:tc>
      </w:tr>
    </w:tbl>
    <w:p w14:paraId="3012A0B2">
      <w:pPr>
        <w:pStyle w:val="66"/>
        <w:keepNext w:val="0"/>
        <w:keepLines w:val="0"/>
        <w:pageBreakBefore w:val="0"/>
        <w:widowControl w:val="0"/>
        <w:kinsoku/>
        <w:wordWrap/>
        <w:overflowPunct/>
        <w:topLinePunct w:val="0"/>
        <w:autoSpaceDE/>
        <w:autoSpaceDN/>
        <w:bidi w:val="0"/>
        <w:adjustRightInd/>
        <w:snapToGrid/>
        <w:spacing w:before="157" w:beforeLines="50" w:line="360" w:lineRule="auto"/>
        <w:ind w:firstLine="562" w:firstLineChars="200"/>
        <w:jc w:val="both"/>
        <w:textAlignment w:val="auto"/>
        <w:rPr>
          <w:rFonts w:hint="default" w:ascii="Times New Roman" w:hAnsi="Times New Roman" w:eastAsia="宋体" w:cs="Times New Roman"/>
          <w:b/>
          <w:bCs/>
          <w:color w:val="000000" w:themeColor="text1"/>
          <w:sz w:val="28"/>
          <w:szCs w:val="28"/>
          <w14:textFill>
            <w14:solidFill>
              <w14:schemeClr w14:val="tx1"/>
            </w14:solidFill>
          </w14:textFill>
        </w:rPr>
      </w:pPr>
      <w:r>
        <w:rPr>
          <w:rFonts w:hint="default" w:ascii="Times New Roman" w:hAnsi="Times New Roman" w:eastAsia="宋体" w:cs="Times New Roman"/>
          <w:b/>
          <w:bCs/>
          <w:color w:val="000000" w:themeColor="text1"/>
          <w:sz w:val="28"/>
          <w:szCs w:val="28"/>
          <w14:textFill>
            <w14:solidFill>
              <w14:schemeClr w14:val="tx1"/>
            </w14:solidFill>
          </w14:textFill>
        </w:rPr>
        <w:t>（</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一</w:t>
      </w:r>
      <w:r>
        <w:rPr>
          <w:rFonts w:hint="default" w:ascii="Times New Roman" w:hAnsi="Times New Roman" w:eastAsia="宋体" w:cs="Times New Roman"/>
          <w:b/>
          <w:bCs/>
          <w:color w:val="000000" w:themeColor="text1"/>
          <w:sz w:val="28"/>
          <w:szCs w:val="28"/>
          <w14:textFill>
            <w14:solidFill>
              <w14:schemeClr w14:val="tx1"/>
            </w14:solidFill>
          </w14:textFill>
        </w:rPr>
        <w:t>）第</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一</w:t>
      </w:r>
      <w:r>
        <w:rPr>
          <w:rFonts w:hint="default" w:ascii="Times New Roman" w:hAnsi="Times New Roman" w:eastAsia="宋体" w:cs="Times New Roman"/>
          <w:b/>
          <w:bCs/>
          <w:color w:val="000000" w:themeColor="text1"/>
          <w:sz w:val="28"/>
          <w:szCs w:val="28"/>
          <w14:textFill>
            <w14:solidFill>
              <w14:schemeClr w14:val="tx1"/>
            </w14:solidFill>
          </w14:textFill>
        </w:rPr>
        <w:t>阶段（</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生产期：</w:t>
      </w:r>
      <w:r>
        <w:rPr>
          <w:rFonts w:hint="default" w:ascii="Times New Roman" w:hAnsi="Times New Roman" w:eastAsia="宋体" w:cs="Times New Roman"/>
          <w:b/>
          <w:bCs/>
          <w:color w:val="000000" w:themeColor="text1"/>
          <w:sz w:val="28"/>
          <w:szCs w:val="28"/>
          <w14:textFill>
            <w14:solidFill>
              <w14:schemeClr w14:val="tx1"/>
            </w14:solidFill>
          </w14:textFill>
        </w:rPr>
        <w:t>202</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6</w:t>
      </w:r>
      <w:r>
        <w:rPr>
          <w:rFonts w:hint="default" w:ascii="Times New Roman" w:hAnsi="Times New Roman" w:eastAsia="宋体" w:cs="Times New Roman"/>
          <w:b/>
          <w:bCs/>
          <w:color w:val="000000" w:themeColor="text1"/>
          <w:sz w:val="28"/>
          <w:szCs w:val="28"/>
          <w14:textFill>
            <w14:solidFill>
              <w14:schemeClr w14:val="tx1"/>
            </w14:solidFill>
          </w14:textFill>
        </w:rPr>
        <w:t>年1月1日-20</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34</w:t>
      </w:r>
      <w:r>
        <w:rPr>
          <w:rFonts w:hint="default" w:ascii="Times New Roman" w:hAnsi="Times New Roman" w:eastAsia="宋体" w:cs="Times New Roman"/>
          <w:b/>
          <w:bCs/>
          <w:color w:val="000000" w:themeColor="text1"/>
          <w:sz w:val="28"/>
          <w:szCs w:val="28"/>
          <w14:textFill>
            <w14:solidFill>
              <w14:schemeClr w14:val="tx1"/>
            </w14:solidFill>
          </w14:textFill>
        </w:rPr>
        <w:t>年12月31日）</w:t>
      </w:r>
    </w:p>
    <w:p w14:paraId="31E13497">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1、</w:t>
      </w:r>
      <w:r>
        <w:rPr>
          <w:rFonts w:hint="eastAsia" w:cs="Times New Roman"/>
          <w:color w:val="000000" w:themeColor="text1"/>
          <w:sz w:val="28"/>
          <w:szCs w:val="28"/>
          <w:lang w:val="en-US" w:eastAsia="zh-CN"/>
          <w14:textFill>
            <w14:solidFill>
              <w14:schemeClr w14:val="tx1"/>
            </w14:solidFill>
          </w14:textFill>
        </w:rPr>
        <w:t>拟建露天采场1</w:t>
      </w:r>
      <w:r>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8"/>
          <w:szCs w:val="28"/>
          <w:highlight w:val="none"/>
          <w:lang w:eastAsia="zh-CN"/>
          <w14:textFill>
            <w14:solidFill>
              <w14:schemeClr w14:val="tx1"/>
            </w14:solidFill>
          </w14:textFill>
        </w:rPr>
        <w:t>表土剥离、</w:t>
      </w:r>
      <w:r>
        <w:rPr>
          <w:rFonts w:hint="eastAsia" w:ascii="Times New Roman" w:cs="Times New Roman"/>
          <w:color w:val="000000" w:themeColor="text1"/>
          <w:sz w:val="28"/>
          <w:szCs w:val="28"/>
          <w:lang w:val="en-US" w:eastAsia="zh-CN"/>
          <w14:textFill>
            <w14:solidFill>
              <w14:schemeClr w14:val="tx1"/>
            </w14:solidFill>
          </w14:textFill>
        </w:rPr>
        <w:t>危</w:t>
      </w:r>
      <w:r>
        <w:rPr>
          <w:rFonts w:hint="eastAsia" w:cs="Times New Roman"/>
          <w:color w:val="000000" w:themeColor="text1"/>
          <w:sz w:val="28"/>
          <w:szCs w:val="28"/>
          <w:lang w:val="en-US" w:eastAsia="zh-CN"/>
          <w14:textFill>
            <w14:solidFill>
              <w14:schemeClr w14:val="tx1"/>
            </w14:solidFill>
          </w14:textFill>
        </w:rPr>
        <w:t>土</w:t>
      </w:r>
      <w:r>
        <w:rPr>
          <w:rFonts w:hint="eastAsia" w:ascii="Times New Roman" w:cs="Times New Roman"/>
          <w:color w:val="000000" w:themeColor="text1"/>
          <w:sz w:val="28"/>
          <w:szCs w:val="28"/>
          <w:lang w:val="en-US" w:eastAsia="zh-CN"/>
          <w14:textFill>
            <w14:solidFill>
              <w14:schemeClr w14:val="tx1"/>
            </w14:solidFill>
          </w14:textFill>
        </w:rPr>
        <w:t>体清理</w:t>
      </w:r>
      <w:r>
        <w:rPr>
          <w:rFonts w:hint="default" w:ascii="Times New Roman" w:hAnsi="Times New Roman" w:eastAsia="宋体" w:cs="Times New Roman"/>
          <w:color w:val="000000" w:themeColor="text1"/>
          <w:kern w:val="0"/>
          <w:sz w:val="28"/>
          <w:szCs w:val="28"/>
          <w:highlight w:val="none"/>
          <w:lang w:eastAsia="zh-CN"/>
          <w14:textFill>
            <w14:solidFill>
              <w14:schemeClr w14:val="tx1"/>
            </w14:solidFill>
          </w14:textFill>
        </w:rPr>
        <w:t>、设置警示牌、布设网围栏</w:t>
      </w:r>
      <w:r>
        <w:rPr>
          <w:rFonts w:hint="eastAsia" w:ascii="Times New Roman" w:hAnsi="Times New Roman" w:eastAsia="宋体" w:cs="Times New Roman"/>
          <w:color w:val="000000" w:themeColor="text1"/>
          <w:kern w:val="0"/>
          <w:sz w:val="28"/>
          <w:szCs w:val="28"/>
          <w:highlight w:val="none"/>
          <w:lang w:eastAsia="zh-CN"/>
          <w14:textFill>
            <w14:solidFill>
              <w14:schemeClr w14:val="tx1"/>
            </w14:solidFill>
          </w14:textFill>
        </w:rPr>
        <w:t>；</w:t>
      </w:r>
    </w:p>
    <w:p w14:paraId="21BCA0CA">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cs="Times New Roman"/>
          <w:color w:val="000000" w:themeColor="text1"/>
          <w:kern w:val="0"/>
          <w:sz w:val="28"/>
          <w:szCs w:val="28"/>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2、</w:t>
      </w:r>
      <w:r>
        <w:rPr>
          <w:rFonts w:hint="eastAsia" w:cs="Times New Roman"/>
          <w:color w:val="000000" w:themeColor="text1"/>
          <w:sz w:val="28"/>
          <w:szCs w:val="28"/>
          <w:lang w:val="en-US" w:eastAsia="zh-CN"/>
          <w14:textFill>
            <w14:solidFill>
              <w14:schemeClr w14:val="tx1"/>
            </w14:solidFill>
          </w14:textFill>
        </w:rPr>
        <w:t>拟建露天采场2</w:t>
      </w:r>
      <w:r>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8"/>
          <w:szCs w:val="28"/>
          <w:highlight w:val="none"/>
          <w:lang w:eastAsia="zh-CN"/>
          <w14:textFill>
            <w14:solidFill>
              <w14:schemeClr w14:val="tx1"/>
            </w14:solidFill>
          </w14:textFill>
        </w:rPr>
        <w:t>表土剥离、</w:t>
      </w:r>
      <w:r>
        <w:rPr>
          <w:rFonts w:hint="eastAsia" w:ascii="Times New Roman" w:cs="Times New Roman"/>
          <w:color w:val="000000" w:themeColor="text1"/>
          <w:sz w:val="28"/>
          <w:szCs w:val="28"/>
          <w:lang w:val="en-US" w:eastAsia="zh-CN"/>
          <w14:textFill>
            <w14:solidFill>
              <w14:schemeClr w14:val="tx1"/>
            </w14:solidFill>
          </w14:textFill>
        </w:rPr>
        <w:t>危</w:t>
      </w:r>
      <w:r>
        <w:rPr>
          <w:rFonts w:hint="eastAsia" w:cs="Times New Roman"/>
          <w:color w:val="000000" w:themeColor="text1"/>
          <w:sz w:val="28"/>
          <w:szCs w:val="28"/>
          <w:lang w:val="en-US" w:eastAsia="zh-CN"/>
          <w14:textFill>
            <w14:solidFill>
              <w14:schemeClr w14:val="tx1"/>
            </w14:solidFill>
          </w14:textFill>
        </w:rPr>
        <w:t>土</w:t>
      </w:r>
      <w:r>
        <w:rPr>
          <w:rFonts w:hint="eastAsia" w:ascii="Times New Roman" w:cs="Times New Roman"/>
          <w:color w:val="000000" w:themeColor="text1"/>
          <w:sz w:val="28"/>
          <w:szCs w:val="28"/>
          <w:lang w:val="en-US" w:eastAsia="zh-CN"/>
          <w14:textFill>
            <w14:solidFill>
              <w14:schemeClr w14:val="tx1"/>
            </w14:solidFill>
          </w14:textFill>
        </w:rPr>
        <w:t>体清理</w:t>
      </w:r>
      <w:r>
        <w:rPr>
          <w:rFonts w:hint="default" w:ascii="Times New Roman" w:hAnsi="Times New Roman" w:eastAsia="宋体" w:cs="Times New Roman"/>
          <w:color w:val="000000" w:themeColor="text1"/>
          <w:kern w:val="0"/>
          <w:sz w:val="28"/>
          <w:szCs w:val="28"/>
          <w:highlight w:val="none"/>
          <w:lang w:eastAsia="zh-CN"/>
          <w14:textFill>
            <w14:solidFill>
              <w14:schemeClr w14:val="tx1"/>
            </w14:solidFill>
          </w14:textFill>
        </w:rPr>
        <w:t>、设置警示牌、布设网围栏</w:t>
      </w:r>
      <w:r>
        <w:rPr>
          <w:rFonts w:hint="eastAsia" w:ascii="Times New Roman" w:hAnsi="Times New Roman" w:eastAsia="宋体" w:cs="Times New Roman"/>
          <w:color w:val="000000" w:themeColor="text1"/>
          <w:kern w:val="0"/>
          <w:sz w:val="28"/>
          <w:szCs w:val="28"/>
          <w:highlight w:val="none"/>
          <w:lang w:eastAsia="zh-CN"/>
          <w14:textFill>
            <w14:solidFill>
              <w14:schemeClr w14:val="tx1"/>
            </w14:solidFill>
          </w14:textFill>
        </w:rPr>
        <w:t>；</w:t>
      </w:r>
    </w:p>
    <w:p w14:paraId="34D6F69D">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3、露天采场2（界外区域）：回填、土地平整、撒播种草；</w:t>
      </w:r>
    </w:p>
    <w:p w14:paraId="7FFA3CE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4、拟建储水池：表土剥离；</w:t>
      </w:r>
    </w:p>
    <w:p w14:paraId="3DF6C93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5、表土存放场：清运、翻耕、土地平整、栽植乔木、撒播种草；</w:t>
      </w:r>
    </w:p>
    <w:p w14:paraId="7FF6C66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6、料堆：清运、翻耕、土地平整、恢复水浇地；</w:t>
      </w:r>
    </w:p>
    <w:p w14:paraId="703E669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7、对矿山地质环境、土地资源、生态系统开展监测；</w:t>
      </w:r>
    </w:p>
    <w:p w14:paraId="5BD1D48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8、对复垦区进行管护。</w:t>
      </w:r>
    </w:p>
    <w:p w14:paraId="1484D498">
      <w:pPr>
        <w:pStyle w:val="66"/>
        <w:spacing w:line="360" w:lineRule="auto"/>
        <w:ind w:firstLine="562" w:firstLineChars="200"/>
        <w:jc w:val="both"/>
        <w:rPr>
          <w:rFonts w:hint="default" w:ascii="Times New Roman" w:hAnsi="Times New Roman" w:eastAsia="宋体" w:cs="Times New Roman"/>
          <w:b/>
          <w:bCs/>
          <w:color w:val="000000" w:themeColor="text1"/>
          <w:sz w:val="28"/>
          <w:szCs w:val="28"/>
          <w14:textFill>
            <w14:solidFill>
              <w14:schemeClr w14:val="tx1"/>
            </w14:solidFill>
          </w14:textFill>
        </w:rPr>
      </w:pPr>
      <w:r>
        <w:rPr>
          <w:rFonts w:hint="default" w:ascii="Times New Roman" w:hAnsi="Times New Roman" w:eastAsia="宋体" w:cs="Times New Roman"/>
          <w:b/>
          <w:bCs/>
          <w:color w:val="000000" w:themeColor="text1"/>
          <w:sz w:val="28"/>
          <w:szCs w:val="28"/>
          <w14:textFill>
            <w14:solidFill>
              <w14:schemeClr w14:val="tx1"/>
            </w14:solidFill>
          </w14:textFill>
        </w:rPr>
        <w:t>（</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二</w:t>
      </w:r>
      <w:r>
        <w:rPr>
          <w:rFonts w:hint="default" w:ascii="Times New Roman" w:hAnsi="Times New Roman" w:eastAsia="宋体" w:cs="Times New Roman"/>
          <w:b/>
          <w:bCs/>
          <w:color w:val="000000" w:themeColor="text1"/>
          <w:sz w:val="28"/>
          <w:szCs w:val="28"/>
          <w14:textFill>
            <w14:solidFill>
              <w14:schemeClr w14:val="tx1"/>
            </w14:solidFill>
          </w14:textFill>
        </w:rPr>
        <w:t>）第</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二</w:t>
      </w:r>
      <w:r>
        <w:rPr>
          <w:rFonts w:hint="default" w:ascii="Times New Roman" w:hAnsi="Times New Roman" w:eastAsia="宋体" w:cs="Times New Roman"/>
          <w:b/>
          <w:bCs/>
          <w:color w:val="000000" w:themeColor="text1"/>
          <w:sz w:val="28"/>
          <w:szCs w:val="28"/>
          <w14:textFill>
            <w14:solidFill>
              <w14:schemeClr w14:val="tx1"/>
            </w14:solidFill>
          </w14:textFill>
        </w:rPr>
        <w:t>阶段（</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修复管护期</w:t>
      </w:r>
      <w:r>
        <w:rPr>
          <w:rFonts w:hint="default" w:ascii="Times New Roman" w:hAnsi="Times New Roman" w:eastAsia="宋体" w:cs="Times New Roman"/>
          <w:b/>
          <w:bCs/>
          <w:color w:val="000000" w:themeColor="text1"/>
          <w:sz w:val="28"/>
          <w:szCs w:val="28"/>
          <w14:textFill>
            <w14:solidFill>
              <w14:schemeClr w14:val="tx1"/>
            </w14:solidFill>
          </w14:textFill>
        </w:rPr>
        <w:t>20</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35</w:t>
      </w:r>
      <w:r>
        <w:rPr>
          <w:rFonts w:hint="default" w:ascii="Times New Roman" w:hAnsi="Times New Roman" w:eastAsia="宋体" w:cs="Times New Roman"/>
          <w:b/>
          <w:bCs/>
          <w:color w:val="000000" w:themeColor="text1"/>
          <w:sz w:val="28"/>
          <w:szCs w:val="28"/>
          <w14:textFill>
            <w14:solidFill>
              <w14:schemeClr w14:val="tx1"/>
            </w14:solidFill>
          </w14:textFill>
        </w:rPr>
        <w:t>年1月1日-20</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38</w:t>
      </w:r>
      <w:r>
        <w:rPr>
          <w:rFonts w:hint="default" w:ascii="Times New Roman" w:hAnsi="Times New Roman" w:eastAsia="宋体" w:cs="Times New Roman"/>
          <w:b/>
          <w:bCs/>
          <w:color w:val="000000" w:themeColor="text1"/>
          <w:sz w:val="28"/>
          <w:szCs w:val="28"/>
          <w14:textFill>
            <w14:solidFill>
              <w14:schemeClr w14:val="tx1"/>
            </w14:solidFill>
          </w14:textFill>
        </w:rPr>
        <w:t>年12月31日）</w:t>
      </w:r>
    </w:p>
    <w:p w14:paraId="5967CDA6">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cs="Times New Roman"/>
          <w:b w:val="0"/>
          <w:bCs w:val="0"/>
          <w:color w:val="000000" w:themeColor="text1"/>
          <w:kern w:val="0"/>
          <w:sz w:val="28"/>
          <w:szCs w:val="28"/>
          <w:highlight w:val="none"/>
          <w:lang w:val="en-US" w:eastAsia="zh-CN"/>
          <w14:textFill>
            <w14:solidFill>
              <w14:schemeClr w14:val="tx1"/>
            </w14:solidFill>
          </w14:textFill>
        </w:rPr>
      </w:pPr>
      <w:r>
        <w:rPr>
          <w:rFonts w:hint="eastAsia" w:cs="Times New Roman"/>
          <w:b w:val="0"/>
          <w:bCs w:val="0"/>
          <w:color w:val="000000" w:themeColor="text1"/>
          <w:kern w:val="0"/>
          <w:sz w:val="28"/>
          <w:szCs w:val="28"/>
          <w:highlight w:val="none"/>
          <w:lang w:val="en-US" w:eastAsia="zh-CN"/>
          <w14:textFill>
            <w14:solidFill>
              <w14:schemeClr w14:val="tx1"/>
            </w14:solidFill>
          </w14:textFill>
        </w:rPr>
        <w:t>1、拟建露天采场1：回填、翻耕、土地平整、栽植乔木、撒播种草；</w:t>
      </w:r>
    </w:p>
    <w:p w14:paraId="2213FAB3">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cs="Times New Roman"/>
          <w:b w:val="0"/>
          <w:bCs w:val="0"/>
          <w:color w:val="000000" w:themeColor="text1"/>
          <w:kern w:val="0"/>
          <w:sz w:val="28"/>
          <w:szCs w:val="28"/>
          <w:highlight w:val="none"/>
          <w:lang w:val="en-US" w:eastAsia="zh-CN"/>
          <w14:textFill>
            <w14:solidFill>
              <w14:schemeClr w14:val="tx1"/>
            </w14:solidFill>
          </w14:textFill>
        </w:rPr>
      </w:pPr>
      <w:r>
        <w:rPr>
          <w:rFonts w:hint="eastAsia" w:cs="Times New Roman"/>
          <w:b w:val="0"/>
          <w:bCs w:val="0"/>
          <w:color w:val="000000" w:themeColor="text1"/>
          <w:kern w:val="0"/>
          <w:sz w:val="28"/>
          <w:szCs w:val="28"/>
          <w:highlight w:val="none"/>
          <w:lang w:val="en-US" w:eastAsia="zh-CN"/>
          <w14:textFill>
            <w14:solidFill>
              <w14:schemeClr w14:val="tx1"/>
            </w14:solidFill>
          </w14:textFill>
        </w:rPr>
        <w:t>2、拟建露天采场2：回填、翻耕、土地平整、栽植乔木、撒播种草；</w:t>
      </w:r>
    </w:p>
    <w:p w14:paraId="0ED812FC">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cs="Times New Roman"/>
          <w:b w:val="0"/>
          <w:bCs w:val="0"/>
          <w:color w:val="000000" w:themeColor="text1"/>
          <w:kern w:val="0"/>
          <w:sz w:val="28"/>
          <w:szCs w:val="28"/>
          <w:highlight w:val="none"/>
          <w:lang w:val="en-US" w:eastAsia="zh-CN"/>
          <w14:textFill>
            <w14:solidFill>
              <w14:schemeClr w14:val="tx1"/>
            </w14:solidFill>
          </w14:textFill>
        </w:rPr>
      </w:pPr>
      <w:r>
        <w:rPr>
          <w:rFonts w:hint="eastAsia" w:cs="Times New Roman"/>
          <w:b w:val="0"/>
          <w:bCs w:val="0"/>
          <w:color w:val="000000" w:themeColor="text1"/>
          <w:kern w:val="0"/>
          <w:sz w:val="28"/>
          <w:szCs w:val="28"/>
          <w:highlight w:val="none"/>
          <w:lang w:val="en-US" w:eastAsia="zh-CN"/>
          <w14:textFill>
            <w14:solidFill>
              <w14:schemeClr w14:val="tx1"/>
            </w14:solidFill>
          </w14:textFill>
        </w:rPr>
        <w:t>3、拟建储水池：拆除、清运、翻耕、土地平整、撒播种草；</w:t>
      </w:r>
    </w:p>
    <w:p w14:paraId="7C71C4DD">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cs="Times New Roman"/>
          <w:b w:val="0"/>
          <w:bCs w:val="0"/>
          <w:color w:val="000000" w:themeColor="text1"/>
          <w:kern w:val="0"/>
          <w:sz w:val="28"/>
          <w:szCs w:val="28"/>
          <w:highlight w:val="none"/>
          <w:lang w:val="en-US" w:eastAsia="zh-CN"/>
          <w14:textFill>
            <w14:solidFill>
              <w14:schemeClr w14:val="tx1"/>
            </w14:solidFill>
          </w14:textFill>
        </w:rPr>
      </w:pPr>
      <w:r>
        <w:rPr>
          <w:rFonts w:hint="eastAsia" w:cs="Times New Roman"/>
          <w:b w:val="0"/>
          <w:bCs w:val="0"/>
          <w:color w:val="000000" w:themeColor="text1"/>
          <w:kern w:val="0"/>
          <w:sz w:val="28"/>
          <w:szCs w:val="28"/>
          <w:highlight w:val="none"/>
          <w:lang w:val="en-US" w:eastAsia="zh-CN"/>
          <w14:textFill>
            <w14:solidFill>
              <w14:schemeClr w14:val="tx1"/>
            </w14:solidFill>
          </w14:textFill>
        </w:rPr>
        <w:t>4、工业场地：拆除、清运、翻耕、土地平整、撒播种草；</w:t>
      </w:r>
    </w:p>
    <w:p w14:paraId="651D5F61">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cs="Times New Roman"/>
          <w:b w:val="0"/>
          <w:bCs w:val="0"/>
          <w:color w:val="000000" w:themeColor="text1"/>
          <w:kern w:val="0"/>
          <w:sz w:val="28"/>
          <w:szCs w:val="28"/>
          <w:highlight w:val="none"/>
          <w:lang w:val="en-US" w:eastAsia="zh-CN"/>
          <w14:textFill>
            <w14:solidFill>
              <w14:schemeClr w14:val="tx1"/>
            </w14:solidFill>
          </w14:textFill>
        </w:rPr>
      </w:pPr>
      <w:r>
        <w:rPr>
          <w:rFonts w:hint="eastAsia" w:cs="Times New Roman"/>
          <w:b w:val="0"/>
          <w:bCs w:val="0"/>
          <w:color w:val="000000" w:themeColor="text1"/>
          <w:kern w:val="0"/>
          <w:sz w:val="28"/>
          <w:szCs w:val="28"/>
          <w:highlight w:val="none"/>
          <w:lang w:val="en-US" w:eastAsia="zh-CN"/>
          <w14:textFill>
            <w14:solidFill>
              <w14:schemeClr w14:val="tx1"/>
            </w14:solidFill>
          </w14:textFill>
        </w:rPr>
        <w:t>5、成品砖堆放场：翻耕、土地平整、撒播种草；</w:t>
      </w:r>
    </w:p>
    <w:p w14:paraId="0F466117">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cs="Times New Roman"/>
          <w:b w:val="0"/>
          <w:bCs w:val="0"/>
          <w:color w:val="000000" w:themeColor="text1"/>
          <w:kern w:val="0"/>
          <w:sz w:val="28"/>
          <w:szCs w:val="28"/>
          <w:highlight w:val="none"/>
          <w:lang w:val="en-US" w:eastAsia="zh-CN"/>
          <w14:textFill>
            <w14:solidFill>
              <w14:schemeClr w14:val="tx1"/>
            </w14:solidFill>
          </w14:textFill>
        </w:rPr>
      </w:pPr>
      <w:r>
        <w:rPr>
          <w:rFonts w:hint="eastAsia" w:cs="Times New Roman"/>
          <w:b w:val="0"/>
          <w:bCs w:val="0"/>
          <w:color w:val="000000" w:themeColor="text1"/>
          <w:kern w:val="0"/>
          <w:sz w:val="28"/>
          <w:szCs w:val="28"/>
          <w:highlight w:val="none"/>
          <w:lang w:val="en-US" w:eastAsia="zh-CN"/>
          <w14:textFill>
            <w14:solidFill>
              <w14:schemeClr w14:val="tx1"/>
            </w14:solidFill>
          </w14:textFill>
        </w:rPr>
        <w:t>6、料堆：清运、翻耕、土地平整、撒播种草；</w:t>
      </w:r>
    </w:p>
    <w:p w14:paraId="7295BA4D">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cs="Times New Roman"/>
          <w:b w:val="0"/>
          <w:bCs w:val="0"/>
          <w:color w:val="000000" w:themeColor="text1"/>
          <w:kern w:val="0"/>
          <w:sz w:val="28"/>
          <w:szCs w:val="28"/>
          <w:highlight w:val="none"/>
          <w:lang w:val="en-US" w:eastAsia="zh-CN"/>
          <w14:textFill>
            <w14:solidFill>
              <w14:schemeClr w14:val="tx1"/>
            </w14:solidFill>
          </w14:textFill>
        </w:rPr>
      </w:pPr>
      <w:r>
        <w:rPr>
          <w:rFonts w:hint="eastAsia" w:cs="Times New Roman"/>
          <w:b w:val="0"/>
          <w:bCs w:val="0"/>
          <w:color w:val="000000" w:themeColor="text1"/>
          <w:kern w:val="0"/>
          <w:sz w:val="28"/>
          <w:szCs w:val="28"/>
          <w:highlight w:val="none"/>
          <w:lang w:val="en-US" w:eastAsia="zh-CN"/>
          <w14:textFill>
            <w14:solidFill>
              <w14:schemeClr w14:val="tx1"/>
            </w14:solidFill>
          </w14:textFill>
        </w:rPr>
        <w:t>7、表土存放场：清运、翻耕、土地平整、栽植乔木、撒播种草；</w:t>
      </w:r>
    </w:p>
    <w:p w14:paraId="08C5C8A1">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cs="Times New Roman"/>
          <w:b w:val="0"/>
          <w:bCs w:val="0"/>
          <w:color w:val="000000" w:themeColor="text1"/>
          <w:kern w:val="0"/>
          <w:sz w:val="28"/>
          <w:szCs w:val="28"/>
          <w:highlight w:val="none"/>
          <w:lang w:val="en-US" w:eastAsia="zh-CN"/>
          <w14:textFill>
            <w14:solidFill>
              <w14:schemeClr w14:val="tx1"/>
            </w14:solidFill>
          </w14:textFill>
        </w:rPr>
      </w:pPr>
      <w:r>
        <w:rPr>
          <w:rFonts w:hint="eastAsia" w:cs="Times New Roman"/>
          <w:b w:val="0"/>
          <w:bCs w:val="0"/>
          <w:color w:val="000000" w:themeColor="text1"/>
          <w:kern w:val="0"/>
          <w:sz w:val="28"/>
          <w:szCs w:val="28"/>
          <w:highlight w:val="none"/>
          <w:lang w:val="en-US" w:eastAsia="zh-CN"/>
          <w14:textFill>
            <w14:solidFill>
              <w14:schemeClr w14:val="tx1"/>
            </w14:solidFill>
          </w14:textFill>
        </w:rPr>
        <w:t>8、办公生活区：拆除、清运、垫坡整形、翻耕、土地平整、撒播种草；</w:t>
      </w:r>
    </w:p>
    <w:p w14:paraId="4246BDC5">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cs="Times New Roman"/>
          <w:b w:val="0"/>
          <w:bCs w:val="0"/>
          <w:color w:val="000000" w:themeColor="text1"/>
          <w:kern w:val="0"/>
          <w:sz w:val="28"/>
          <w:szCs w:val="28"/>
          <w:highlight w:val="none"/>
          <w:lang w:val="en-US" w:eastAsia="zh-CN"/>
          <w14:textFill>
            <w14:solidFill>
              <w14:schemeClr w14:val="tx1"/>
            </w14:solidFill>
          </w14:textFill>
        </w:rPr>
      </w:pPr>
      <w:r>
        <w:rPr>
          <w:rFonts w:hint="eastAsia" w:cs="Times New Roman"/>
          <w:b w:val="0"/>
          <w:bCs w:val="0"/>
          <w:color w:val="000000" w:themeColor="text1"/>
          <w:kern w:val="0"/>
          <w:sz w:val="28"/>
          <w:szCs w:val="28"/>
          <w:highlight w:val="none"/>
          <w:lang w:val="en-US" w:eastAsia="zh-CN"/>
          <w14:textFill>
            <w14:solidFill>
              <w14:schemeClr w14:val="tx1"/>
            </w14:solidFill>
          </w14:textFill>
        </w:rPr>
        <w:t>9、矿区道路：翻耕、土地平整、撒播种草；</w:t>
      </w:r>
    </w:p>
    <w:p w14:paraId="64E7914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pPr>
      <w:r>
        <w:rPr>
          <w:rFonts w:hint="eastAsia" w:cs="Times New Roman"/>
          <w:color w:val="000000" w:themeColor="text1"/>
          <w:sz w:val="28"/>
          <w:szCs w:val="28"/>
          <w:highlight w:val="none"/>
          <w:lang w:val="en-US" w:eastAsia="zh-CN"/>
          <w14:textFill>
            <w14:solidFill>
              <w14:schemeClr w14:val="tx1"/>
            </w14:solidFill>
          </w14:textFill>
        </w:rPr>
        <w:t>10</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对矿山地质环境、土地资源、生态系统开展监测。</w:t>
      </w:r>
    </w:p>
    <w:p w14:paraId="0FCF17F9">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sz w:val="28"/>
          <w:szCs w:val="28"/>
          <w:highlight w:val="none"/>
          <w:lang w:val="en-US" w:eastAsia="zh-CN"/>
          <w14:textFill>
            <w14:solidFill>
              <w14:schemeClr w14:val="tx1"/>
            </w14:solidFill>
          </w14:textFill>
        </w:rPr>
        <w:t>11</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对复垦区进行管护。</w:t>
      </w:r>
    </w:p>
    <w:p w14:paraId="253931B2">
      <w:pPr>
        <w:pStyle w:val="66"/>
        <w:spacing w:line="360" w:lineRule="auto"/>
        <w:ind w:firstLine="560" w:firstLineChars="200"/>
        <w:jc w:val="both"/>
        <w:rPr>
          <w:rFonts w:hint="eastAsia" w:ascii="Times New Roman" w:hAnsi="Times New Roman" w:eastAsia="宋体" w:cs="Times New Roman"/>
          <w:color w:val="000000" w:themeColor="text1"/>
          <w:sz w:val="28"/>
          <w:szCs w:val="28"/>
          <w:lang w:eastAsia="zh-CN"/>
          <w14:textFill>
            <w14:solidFill>
              <w14:schemeClr w14:val="tx1"/>
            </w14:solidFill>
          </w14:textFill>
        </w:rPr>
      </w:pPr>
      <w:r>
        <w:rPr>
          <w:rFonts w:hint="eastAsia" w:ascii="Times New Roman" w:hAnsi="Times New Roman" w:eastAsia="宋体" w:cs="Times New Roman"/>
          <w:color w:val="000000" w:themeColor="text1"/>
          <w:sz w:val="28"/>
          <w:szCs w:val="28"/>
          <w:lang w:val="en-US" w:eastAsia="zh-CN"/>
          <w14:textFill>
            <w14:solidFill>
              <w14:schemeClr w14:val="tx1"/>
            </w14:solidFill>
          </w14:textFill>
        </w:rPr>
        <w:t>12</w:t>
      </w:r>
      <w:r>
        <w:rPr>
          <w:rFonts w:hint="default" w:ascii="Times New Roman" w:hAnsi="Times New Roman" w:eastAsia="宋体" w:cs="Times New Roman"/>
          <w:color w:val="000000" w:themeColor="text1"/>
          <w:sz w:val="28"/>
          <w:szCs w:val="28"/>
          <w14:textFill>
            <w14:solidFill>
              <w14:schemeClr w14:val="tx1"/>
            </w14:solidFill>
          </w14:textFill>
        </w:rPr>
        <w:t>、完善地面变形监测点，采用人工形式实施监测、巡视，为地质灾害监测预警提供技术依据</w:t>
      </w:r>
      <w:r>
        <w:rPr>
          <w:rFonts w:hint="eastAsia" w:ascii="Times New Roman" w:hAnsi="Times New Roman" w:eastAsia="宋体" w:cs="Times New Roman"/>
          <w:color w:val="000000" w:themeColor="text1"/>
          <w:sz w:val="28"/>
          <w:szCs w:val="28"/>
          <w:lang w:eastAsia="zh-CN"/>
          <w14:textFill>
            <w14:solidFill>
              <w14:schemeClr w14:val="tx1"/>
            </w14:solidFill>
          </w14:textFill>
        </w:rPr>
        <w:t>；</w:t>
      </w:r>
    </w:p>
    <w:p w14:paraId="07135B4D">
      <w:pPr>
        <w:pStyle w:val="66"/>
        <w:spacing w:line="360" w:lineRule="auto"/>
        <w:ind w:firstLine="560" w:firstLineChars="200"/>
        <w:jc w:val="both"/>
        <w:rPr>
          <w:rFonts w:hint="default"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lang w:val="en-US" w:eastAsia="zh-CN"/>
          <w14:textFill>
            <w14:solidFill>
              <w14:schemeClr w14:val="tx1"/>
            </w14:solidFill>
          </w14:textFill>
        </w:rPr>
        <w:t>13</w:t>
      </w:r>
      <w:r>
        <w:rPr>
          <w:rFonts w:hint="default" w:ascii="Times New Roman" w:hAnsi="Times New Roman" w:eastAsia="宋体" w:cs="Times New Roman"/>
          <w:color w:val="000000" w:themeColor="text1"/>
          <w:sz w:val="28"/>
          <w:szCs w:val="28"/>
          <w14:textFill>
            <w14:solidFill>
              <w14:schemeClr w14:val="tx1"/>
            </w14:solidFill>
          </w14:textFill>
        </w:rPr>
        <w:t>、定期对地下水采集水质样品进行分析，监测水质污染状况；</w:t>
      </w:r>
    </w:p>
    <w:p w14:paraId="02E55FED">
      <w:pPr>
        <w:pStyle w:val="66"/>
        <w:spacing w:line="360" w:lineRule="auto"/>
        <w:ind w:firstLine="560" w:firstLineChars="200"/>
        <w:jc w:val="both"/>
        <w:rPr>
          <w:rFonts w:hint="default"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lang w:val="en-US" w:eastAsia="zh-CN"/>
          <w14:textFill>
            <w14:solidFill>
              <w14:schemeClr w14:val="tx1"/>
            </w14:solidFill>
          </w14:textFill>
        </w:rPr>
        <w:t>14</w:t>
      </w:r>
      <w:r>
        <w:rPr>
          <w:rFonts w:hint="default" w:ascii="Times New Roman" w:hAnsi="Times New Roman" w:eastAsia="宋体" w:cs="Times New Roman"/>
          <w:color w:val="000000" w:themeColor="text1"/>
          <w:sz w:val="28"/>
          <w:szCs w:val="28"/>
          <w14:textFill>
            <w14:solidFill>
              <w14:schemeClr w14:val="tx1"/>
            </w14:solidFill>
          </w14:textFill>
        </w:rPr>
        <w:t>、建立土壤污染监测点并定期观测，并定期采样分析，监测土壤污染状况。</w:t>
      </w:r>
    </w:p>
    <w:p w14:paraId="4DADAADB">
      <w:pPr>
        <w:spacing w:line="360" w:lineRule="auto"/>
        <w:jc w:val="center"/>
        <w:rPr>
          <w:rFonts w:hint="eastAsia" w:ascii="黑体" w:hAnsi="黑体" w:eastAsia="黑体" w:cs="黑体"/>
          <w:b w:val="0"/>
          <w:bCs w:val="0"/>
          <w:color w:val="000000" w:themeColor="text1"/>
          <w:sz w:val="24"/>
          <w:szCs w:val="24"/>
          <w14:textFill>
            <w14:solidFill>
              <w14:schemeClr w14:val="tx1"/>
            </w14:solidFill>
          </w14:textFill>
        </w:rPr>
      </w:pPr>
      <w:r>
        <w:rPr>
          <w:rFonts w:hint="eastAsia" w:ascii="黑体" w:hAnsi="黑体" w:eastAsia="黑体" w:cs="黑体"/>
          <w:b w:val="0"/>
          <w:bCs w:val="0"/>
          <w:color w:val="000000" w:themeColor="text1"/>
          <w:sz w:val="24"/>
          <w:szCs w:val="24"/>
          <w14:textFill>
            <w14:solidFill>
              <w14:schemeClr w14:val="tx1"/>
            </w14:solidFill>
          </w14:textFill>
        </w:rPr>
        <w:t>表6-</w:t>
      </w:r>
      <w:r>
        <w:rPr>
          <w:rFonts w:hint="eastAsia" w:ascii="黑体" w:hAnsi="黑体" w:eastAsia="黑体" w:cs="黑体"/>
          <w:b w:val="0"/>
          <w:bCs w:val="0"/>
          <w:color w:val="000000" w:themeColor="text1"/>
          <w:sz w:val="24"/>
          <w:szCs w:val="24"/>
          <w:lang w:val="en-US" w:eastAsia="zh-CN"/>
          <w14:textFill>
            <w14:solidFill>
              <w14:schemeClr w14:val="tx1"/>
            </w14:solidFill>
          </w14:textFill>
        </w:rPr>
        <w:t>35</w:t>
      </w:r>
      <w:r>
        <w:rPr>
          <w:rFonts w:hint="eastAsia" w:ascii="黑体" w:hAnsi="黑体" w:eastAsia="黑体" w:cs="黑体"/>
          <w:b w:val="0"/>
          <w:bCs w:val="0"/>
          <w:color w:val="000000" w:themeColor="text1"/>
          <w:sz w:val="24"/>
          <w:szCs w:val="24"/>
          <w14:textFill>
            <w14:solidFill>
              <w14:schemeClr w14:val="tx1"/>
            </w14:solidFill>
          </w14:textFill>
        </w:rPr>
        <w:t xml:space="preserve">  生态修复复垦工作部署安排表</w:t>
      </w:r>
    </w:p>
    <w:p w14:paraId="1562B9DD">
      <w:pPr>
        <w:pStyle w:val="5"/>
        <w:keepNext w:val="0"/>
        <w:keepLines w:val="0"/>
        <w:pageBreakBefore w:val="0"/>
        <w:widowControl w:val="0"/>
        <w:kinsoku/>
        <w:wordWrap/>
        <w:overflowPunct/>
        <w:topLinePunct w:val="0"/>
        <w:autoSpaceDE/>
        <w:autoSpaceDN/>
        <w:bidi w:val="0"/>
        <w:adjustRightInd/>
        <w:snapToGrid/>
        <w:spacing w:before="157" w:beforeLines="50" w:line="360" w:lineRule="auto"/>
        <w:ind w:firstLine="562" w:firstLineChars="200"/>
        <w:textAlignment w:val="auto"/>
        <w:rPr>
          <w:rFonts w:hint="default" w:hAnsi="Times New Roman" w:cs="Times New Roman"/>
          <w:b/>
          <w:bCs/>
          <w:color w:val="000000" w:themeColor="text1"/>
          <w:sz w:val="28"/>
          <w:szCs w:val="24"/>
          <w:lang w:val="en-US" w:eastAsia="zh-CN"/>
          <w14:textFill>
            <w14:solidFill>
              <w14:schemeClr w14:val="tx1"/>
            </w14:solidFill>
          </w14:textFill>
        </w:rPr>
      </w:pPr>
      <w:r>
        <w:rPr>
          <w:rFonts w:hint="eastAsia" w:hAnsi="Times New Roman" w:cs="Times New Roman"/>
          <w:b/>
          <w:bCs/>
          <w:color w:val="000000" w:themeColor="text1"/>
          <w:sz w:val="28"/>
          <w:szCs w:val="24"/>
          <w:lang w:val="en-US" w:eastAsia="zh-CN"/>
          <w14:textFill>
            <w14:solidFill>
              <w14:schemeClr w14:val="tx1"/>
            </w14:solidFill>
          </w14:textFill>
        </w:rPr>
        <w:t>二、</w:t>
      </w:r>
      <w:r>
        <w:rPr>
          <w:rFonts w:hint="default" w:hAnsi="Times New Roman" w:cs="Times New Roman"/>
          <w:b/>
          <w:bCs/>
          <w:color w:val="000000" w:themeColor="text1"/>
          <w:sz w:val="28"/>
          <w:szCs w:val="24"/>
          <w:lang w:val="en-US" w:eastAsia="zh-CN"/>
          <w14:textFill>
            <w14:solidFill>
              <w14:schemeClr w14:val="tx1"/>
            </w14:solidFill>
          </w14:textFill>
        </w:rPr>
        <w:t>近年工作任务与经费进度安排</w:t>
      </w:r>
    </w:p>
    <w:p w14:paraId="4B4CBAED">
      <w:pPr>
        <w:pStyle w:val="66"/>
        <w:spacing w:line="360" w:lineRule="auto"/>
        <w:ind w:firstLine="560" w:firstLineChars="200"/>
        <w:jc w:val="both"/>
        <w:rPr>
          <w:rFonts w:hint="default" w:ascii="Times New Roman" w:hAnsi="Times New Roman" w:eastAsia="宋体" w:cs="Times New Roman"/>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一</w:t>
      </w:r>
      <w:r>
        <w:rPr>
          <w:rFonts w:hint="eastAsia" w:ascii="Times New Roman" w:hAnsi="Times New Roman" w:eastAsia="宋体" w:cs="Times New Roman"/>
          <w:color w:val="000000" w:themeColor="text1"/>
          <w:sz w:val="28"/>
          <w:szCs w:val="28"/>
          <w:lang w:eastAsia="zh-CN"/>
          <w14:textFill>
            <w14:solidFill>
              <w14:schemeClr w14:val="tx1"/>
            </w14:solidFill>
          </w14:textFill>
        </w:rPr>
        <w:t>）</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近年工作任务</w:t>
      </w:r>
    </w:p>
    <w:p w14:paraId="6391D0B3">
      <w:pPr>
        <w:pStyle w:val="66"/>
        <w:spacing w:line="360" w:lineRule="auto"/>
        <w:ind w:firstLine="560" w:firstLineChars="200"/>
        <w:jc w:val="both"/>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近年度工作任务为近三年矿山生态修复工作，即矿区</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生产期</w:t>
      </w:r>
      <w:r>
        <w:rPr>
          <w:rFonts w:hint="default" w:ascii="Times New Roman" w:hAnsi="Times New Roman" w:eastAsia="宋体" w:cs="Times New Roman"/>
          <w:color w:val="000000" w:themeColor="text1"/>
          <w:sz w:val="28"/>
          <w:szCs w:val="28"/>
          <w14:textFill>
            <w14:solidFill>
              <w14:schemeClr w14:val="tx1"/>
            </w14:solidFill>
          </w14:textFill>
        </w:rPr>
        <w:t>第</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一</w:t>
      </w:r>
      <w:r>
        <w:rPr>
          <w:rFonts w:hint="default" w:ascii="Times New Roman" w:hAnsi="Times New Roman" w:eastAsia="宋体" w:cs="Times New Roman"/>
          <w:color w:val="000000" w:themeColor="text1"/>
          <w:sz w:val="28"/>
          <w:szCs w:val="28"/>
          <w14:textFill>
            <w14:solidFill>
              <w14:schemeClr w14:val="tx1"/>
            </w14:solidFill>
          </w14:textFill>
        </w:rPr>
        <w:t>阶段（202</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6</w:t>
      </w:r>
      <w:r>
        <w:rPr>
          <w:rFonts w:hint="default" w:ascii="Times New Roman" w:hAnsi="Times New Roman" w:eastAsia="宋体" w:cs="Times New Roman"/>
          <w:color w:val="000000" w:themeColor="text1"/>
          <w:sz w:val="28"/>
          <w:szCs w:val="28"/>
          <w14:textFill>
            <w14:solidFill>
              <w14:schemeClr w14:val="tx1"/>
            </w14:solidFill>
          </w14:textFill>
        </w:rPr>
        <w:t>年1月1日-20</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28</w:t>
      </w:r>
      <w:r>
        <w:rPr>
          <w:rFonts w:hint="default" w:ascii="Times New Roman" w:hAnsi="Times New Roman" w:eastAsia="宋体" w:cs="Times New Roman"/>
          <w:color w:val="000000" w:themeColor="text1"/>
          <w:sz w:val="28"/>
          <w:szCs w:val="28"/>
          <w14:textFill>
            <w14:solidFill>
              <w14:schemeClr w14:val="tx1"/>
            </w14:solidFill>
          </w14:textFill>
        </w:rPr>
        <w:t>年12月31日）</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前三年的工作任务</w:t>
      </w:r>
      <w:r>
        <w:rPr>
          <w:rFonts w:hint="default" w:ascii="Times New Roman" w:hAnsi="Times New Roman" w:eastAsia="宋体" w:cs="Times New Roman"/>
          <w:color w:val="000000" w:themeColor="text1"/>
          <w:sz w:val="28"/>
          <w:szCs w:val="28"/>
          <w14:textFill>
            <w14:solidFill>
              <w14:schemeClr w14:val="tx1"/>
            </w14:solidFill>
          </w14:textFill>
        </w:rPr>
        <w:t>，年度实施计划具体如下：</w:t>
      </w:r>
    </w:p>
    <w:p w14:paraId="24A46729">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Times New Roman" w:hAnsi="Times New Roman" w:eastAsia="宋体" w:cs="Times New Roman"/>
          <w:b/>
          <w:bCs/>
          <w:color w:val="000000" w:themeColor="text1"/>
          <w:kern w:val="0"/>
          <w:sz w:val="28"/>
          <w:szCs w:val="28"/>
          <w:highlight w:val="none"/>
          <w:lang w:val="en-US" w:eastAsia="zh-CN"/>
          <w14:textFill>
            <w14:solidFill>
              <w14:schemeClr w14:val="tx1"/>
            </w14:solidFill>
          </w14:textFill>
        </w:rPr>
      </w:pPr>
      <w:r>
        <w:rPr>
          <w:rFonts w:hint="eastAsia" w:cs="Times New Roman"/>
          <w:b/>
          <w:bCs/>
          <w:color w:val="000000" w:themeColor="text1"/>
          <w:sz w:val="28"/>
          <w:szCs w:val="28"/>
          <w:lang w:val="en-US" w:eastAsia="zh-CN"/>
          <w14:textFill>
            <w14:solidFill>
              <w14:schemeClr w14:val="tx1"/>
            </w14:solidFill>
          </w14:textFill>
        </w:rPr>
        <w:t>1</w:t>
      </w:r>
      <w:r>
        <w:rPr>
          <w:rFonts w:hint="default" w:ascii="Times New Roman" w:hAnsi="Times New Roman" w:eastAsia="宋体" w:cs="Times New Roman"/>
          <w:b/>
          <w:bCs/>
          <w:color w:val="000000" w:themeColor="text1"/>
          <w:sz w:val="28"/>
          <w:szCs w:val="28"/>
          <w14:textFill>
            <w14:solidFill>
              <w14:schemeClr w14:val="tx1"/>
            </w14:solidFill>
          </w14:textFill>
        </w:rPr>
        <w:t>、第一年</w:t>
      </w:r>
      <w:r>
        <w:rPr>
          <w:rFonts w:hint="eastAsia" w:ascii="Times New Roman" w:hAnsi="Times New Roman" w:eastAsia="宋体" w:cs="Times New Roman"/>
          <w:b/>
          <w:bCs/>
          <w:color w:val="000000" w:themeColor="text1"/>
          <w:sz w:val="28"/>
          <w:szCs w:val="28"/>
          <w:lang w:eastAsia="zh-CN"/>
          <w14:textFill>
            <w14:solidFill>
              <w14:schemeClr w14:val="tx1"/>
            </w14:solidFill>
          </w14:textFill>
        </w:rPr>
        <w:t>（</w:t>
      </w:r>
      <w:r>
        <w:rPr>
          <w:rFonts w:hint="default" w:ascii="Times New Roman" w:hAnsi="Times New Roman" w:eastAsia="宋体" w:cs="Times New Roman"/>
          <w:b/>
          <w:bCs/>
          <w:color w:val="000000" w:themeColor="text1"/>
          <w:sz w:val="28"/>
          <w:szCs w:val="28"/>
          <w14:textFill>
            <w14:solidFill>
              <w14:schemeClr w14:val="tx1"/>
            </w14:solidFill>
          </w14:textFill>
        </w:rPr>
        <w:t>202</w:t>
      </w:r>
      <w:r>
        <w:rPr>
          <w:rFonts w:hint="eastAsia" w:cs="Times New Roman"/>
          <w:b/>
          <w:bCs/>
          <w:color w:val="000000" w:themeColor="text1"/>
          <w:sz w:val="28"/>
          <w:szCs w:val="28"/>
          <w:lang w:val="en-US" w:eastAsia="zh-CN"/>
          <w14:textFill>
            <w14:solidFill>
              <w14:schemeClr w14:val="tx1"/>
            </w14:solidFill>
          </w14:textFill>
        </w:rPr>
        <w:t>6</w:t>
      </w:r>
      <w:r>
        <w:rPr>
          <w:rFonts w:hint="default" w:ascii="Times New Roman" w:hAnsi="Times New Roman" w:eastAsia="宋体" w:cs="Times New Roman"/>
          <w:b/>
          <w:bCs/>
          <w:color w:val="000000" w:themeColor="text1"/>
          <w:sz w:val="28"/>
          <w:szCs w:val="28"/>
          <w14:textFill>
            <w14:solidFill>
              <w14:schemeClr w14:val="tx1"/>
            </w14:solidFill>
          </w14:textFill>
        </w:rPr>
        <w:t>年1月1日-202</w:t>
      </w:r>
      <w:r>
        <w:rPr>
          <w:rFonts w:hint="eastAsia" w:cs="Times New Roman"/>
          <w:b/>
          <w:bCs/>
          <w:color w:val="000000" w:themeColor="text1"/>
          <w:sz w:val="28"/>
          <w:szCs w:val="28"/>
          <w:lang w:val="en-US" w:eastAsia="zh-CN"/>
          <w14:textFill>
            <w14:solidFill>
              <w14:schemeClr w14:val="tx1"/>
            </w14:solidFill>
          </w14:textFill>
        </w:rPr>
        <w:t>6</w:t>
      </w:r>
      <w:r>
        <w:rPr>
          <w:rFonts w:hint="default" w:ascii="Times New Roman" w:hAnsi="Times New Roman" w:eastAsia="宋体" w:cs="Times New Roman"/>
          <w:b/>
          <w:bCs/>
          <w:color w:val="000000" w:themeColor="text1"/>
          <w:sz w:val="28"/>
          <w:szCs w:val="28"/>
          <w14:textFill>
            <w14:solidFill>
              <w14:schemeClr w14:val="tx1"/>
            </w14:solidFill>
          </w14:textFill>
        </w:rPr>
        <w:t>年12月31日</w:t>
      </w:r>
      <w:r>
        <w:rPr>
          <w:rFonts w:hint="eastAsia" w:ascii="Times New Roman" w:hAnsi="Times New Roman" w:eastAsia="宋体" w:cs="Times New Roman"/>
          <w:b/>
          <w:bCs/>
          <w:color w:val="000000" w:themeColor="text1"/>
          <w:sz w:val="28"/>
          <w:szCs w:val="28"/>
          <w:lang w:eastAsia="zh-CN"/>
          <w14:textFill>
            <w14:solidFill>
              <w14:schemeClr w14:val="tx1"/>
            </w14:solidFill>
          </w14:textFill>
        </w:rPr>
        <w:t>）</w:t>
      </w:r>
    </w:p>
    <w:p w14:paraId="72AF053E">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（1）</w:t>
      </w:r>
      <w:r>
        <w:rPr>
          <w:rFonts w:hint="eastAsia" w:cs="Times New Roman"/>
          <w:color w:val="000000" w:themeColor="text1"/>
          <w:sz w:val="28"/>
          <w:szCs w:val="28"/>
          <w:lang w:val="en-US" w:eastAsia="zh-CN"/>
          <w14:textFill>
            <w14:solidFill>
              <w14:schemeClr w14:val="tx1"/>
            </w14:solidFill>
          </w14:textFill>
        </w:rPr>
        <w:t>拟建露天采场1</w:t>
      </w:r>
      <w:r>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8"/>
          <w:szCs w:val="28"/>
          <w:highlight w:val="none"/>
          <w:lang w:eastAsia="zh-CN"/>
          <w14:textFill>
            <w14:solidFill>
              <w14:schemeClr w14:val="tx1"/>
            </w14:solidFill>
          </w14:textFill>
        </w:rPr>
        <w:t>表土剥离、危</w:t>
      </w:r>
      <w:r>
        <w:rPr>
          <w:rFonts w:hint="eastAsia" w:cs="Times New Roman"/>
          <w:color w:val="000000" w:themeColor="text1"/>
          <w:kern w:val="0"/>
          <w:sz w:val="28"/>
          <w:szCs w:val="28"/>
          <w:highlight w:val="none"/>
          <w:lang w:val="en-US" w:eastAsia="zh-CN"/>
          <w14:textFill>
            <w14:solidFill>
              <w14:schemeClr w14:val="tx1"/>
            </w14:solidFill>
          </w14:textFill>
        </w:rPr>
        <w:t>土</w:t>
      </w:r>
      <w:r>
        <w:rPr>
          <w:rFonts w:hint="default" w:ascii="Times New Roman" w:hAnsi="Times New Roman" w:eastAsia="宋体" w:cs="Times New Roman"/>
          <w:color w:val="000000" w:themeColor="text1"/>
          <w:kern w:val="0"/>
          <w:sz w:val="28"/>
          <w:szCs w:val="28"/>
          <w:highlight w:val="none"/>
          <w:lang w:eastAsia="zh-CN"/>
          <w14:textFill>
            <w14:solidFill>
              <w14:schemeClr w14:val="tx1"/>
            </w14:solidFill>
          </w14:textFill>
        </w:rPr>
        <w:t>体清理、设置警示牌、布设网围栏</w:t>
      </w:r>
      <w:r>
        <w:rPr>
          <w:rFonts w:hint="eastAsia" w:ascii="Times New Roman" w:hAnsi="Times New Roman" w:eastAsia="宋体" w:cs="Times New Roman"/>
          <w:color w:val="000000" w:themeColor="text1"/>
          <w:kern w:val="0"/>
          <w:sz w:val="28"/>
          <w:szCs w:val="28"/>
          <w:highlight w:val="none"/>
          <w:lang w:eastAsia="zh-CN"/>
          <w14:textFill>
            <w14:solidFill>
              <w14:schemeClr w14:val="tx1"/>
            </w14:solidFill>
          </w14:textFill>
        </w:rPr>
        <w:t>；</w:t>
      </w:r>
    </w:p>
    <w:p w14:paraId="5EEE887A">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（2）</w:t>
      </w:r>
      <w:r>
        <w:rPr>
          <w:rFonts w:hint="eastAsia" w:cs="Times New Roman"/>
          <w:color w:val="000000" w:themeColor="text1"/>
          <w:sz w:val="28"/>
          <w:szCs w:val="28"/>
          <w:lang w:val="en-US" w:eastAsia="zh-CN"/>
          <w14:textFill>
            <w14:solidFill>
              <w14:schemeClr w14:val="tx1"/>
            </w14:solidFill>
          </w14:textFill>
        </w:rPr>
        <w:t>拟建露天采场2</w:t>
      </w:r>
      <w:r>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8"/>
          <w:szCs w:val="28"/>
          <w:highlight w:val="none"/>
          <w:lang w:eastAsia="zh-CN"/>
          <w14:textFill>
            <w14:solidFill>
              <w14:schemeClr w14:val="tx1"/>
            </w14:solidFill>
          </w14:textFill>
        </w:rPr>
        <w:t>表土剥离、危</w:t>
      </w:r>
      <w:r>
        <w:rPr>
          <w:rFonts w:hint="eastAsia" w:cs="Times New Roman"/>
          <w:color w:val="000000" w:themeColor="text1"/>
          <w:kern w:val="0"/>
          <w:sz w:val="28"/>
          <w:szCs w:val="28"/>
          <w:highlight w:val="none"/>
          <w:lang w:val="en-US" w:eastAsia="zh-CN"/>
          <w14:textFill>
            <w14:solidFill>
              <w14:schemeClr w14:val="tx1"/>
            </w14:solidFill>
          </w14:textFill>
        </w:rPr>
        <w:t>土</w:t>
      </w:r>
      <w:r>
        <w:rPr>
          <w:rFonts w:hint="default" w:ascii="Times New Roman" w:hAnsi="Times New Roman" w:eastAsia="宋体" w:cs="Times New Roman"/>
          <w:color w:val="000000" w:themeColor="text1"/>
          <w:kern w:val="0"/>
          <w:sz w:val="28"/>
          <w:szCs w:val="28"/>
          <w:highlight w:val="none"/>
          <w:lang w:eastAsia="zh-CN"/>
          <w14:textFill>
            <w14:solidFill>
              <w14:schemeClr w14:val="tx1"/>
            </w14:solidFill>
          </w14:textFill>
        </w:rPr>
        <w:t>体清理、设置警示牌、布设网围栏</w:t>
      </w:r>
      <w:r>
        <w:rPr>
          <w:rFonts w:hint="eastAsia" w:ascii="Times New Roman" w:hAnsi="Times New Roman" w:eastAsia="宋体" w:cs="Times New Roman"/>
          <w:color w:val="000000" w:themeColor="text1"/>
          <w:kern w:val="0"/>
          <w:sz w:val="28"/>
          <w:szCs w:val="28"/>
          <w:highlight w:val="none"/>
          <w:lang w:eastAsia="zh-CN"/>
          <w14:textFill>
            <w14:solidFill>
              <w14:schemeClr w14:val="tx1"/>
            </w14:solidFill>
          </w14:textFill>
        </w:rPr>
        <w:t>；</w:t>
      </w:r>
    </w:p>
    <w:p w14:paraId="140ACCB2">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（3）露天采场2（界外区域）：回填、土地平整、撒播种草；</w:t>
      </w:r>
    </w:p>
    <w:p w14:paraId="47F17BF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（4）拟建储水池：表土剥离；</w:t>
      </w:r>
    </w:p>
    <w:p w14:paraId="4917869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（5）表土存放场：清运、翻耕、土地平整、栽植乔木、撒播种草；</w:t>
      </w:r>
    </w:p>
    <w:p w14:paraId="1A1917B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（6）料堆：清运、翻耕、土地平整、恢复水浇地；</w:t>
      </w:r>
    </w:p>
    <w:p w14:paraId="173423D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（7）对矿山地质环境、土地资源、生态系统开展监测；</w:t>
      </w:r>
    </w:p>
    <w:p w14:paraId="4FACC1C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（8）对复垦区进行管护。</w:t>
      </w:r>
    </w:p>
    <w:p w14:paraId="0A50F51B">
      <w:pPr>
        <w:pStyle w:val="66"/>
        <w:spacing w:line="360" w:lineRule="auto"/>
        <w:ind w:firstLine="562" w:firstLineChars="200"/>
        <w:jc w:val="both"/>
        <w:rPr>
          <w:rFonts w:hint="default" w:ascii="Times New Roman" w:hAnsi="Times New Roman" w:eastAsia="宋体" w:cs="Times New Roman"/>
          <w:b/>
          <w:bCs/>
          <w:color w:val="000000" w:themeColor="text1"/>
          <w:sz w:val="28"/>
          <w:szCs w:val="28"/>
          <w14:textFill>
            <w14:solidFill>
              <w14:schemeClr w14:val="tx1"/>
            </w14:solidFill>
          </w14:textFill>
        </w:rPr>
      </w:pP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2</w:t>
      </w:r>
      <w:r>
        <w:rPr>
          <w:rFonts w:hint="default" w:ascii="Times New Roman" w:hAnsi="Times New Roman" w:eastAsia="宋体" w:cs="Times New Roman"/>
          <w:b/>
          <w:bCs/>
          <w:color w:val="000000" w:themeColor="text1"/>
          <w:sz w:val="28"/>
          <w:szCs w:val="28"/>
          <w14:textFill>
            <w14:solidFill>
              <w14:schemeClr w14:val="tx1"/>
            </w14:solidFill>
          </w14:textFill>
        </w:rPr>
        <w:t>、第</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二</w:t>
      </w:r>
      <w:r>
        <w:rPr>
          <w:rFonts w:hint="default" w:ascii="Times New Roman" w:hAnsi="Times New Roman" w:eastAsia="宋体" w:cs="Times New Roman"/>
          <w:b/>
          <w:bCs/>
          <w:color w:val="000000" w:themeColor="text1"/>
          <w:sz w:val="28"/>
          <w:szCs w:val="28"/>
          <w14:textFill>
            <w14:solidFill>
              <w14:schemeClr w14:val="tx1"/>
            </w14:solidFill>
          </w14:textFill>
        </w:rPr>
        <w:t>年</w:t>
      </w:r>
      <w:r>
        <w:rPr>
          <w:rFonts w:hint="eastAsia" w:ascii="Times New Roman" w:hAnsi="Times New Roman" w:eastAsia="宋体" w:cs="Times New Roman"/>
          <w:b/>
          <w:bCs/>
          <w:color w:val="000000" w:themeColor="text1"/>
          <w:sz w:val="28"/>
          <w:szCs w:val="28"/>
          <w:lang w:eastAsia="zh-CN"/>
          <w14:textFill>
            <w14:solidFill>
              <w14:schemeClr w14:val="tx1"/>
            </w14:solidFill>
          </w14:textFill>
        </w:rPr>
        <w:t>（</w:t>
      </w:r>
      <w:r>
        <w:rPr>
          <w:rFonts w:hint="default" w:ascii="Times New Roman" w:hAnsi="Times New Roman" w:eastAsia="宋体" w:cs="Times New Roman"/>
          <w:b/>
          <w:bCs/>
          <w:color w:val="000000" w:themeColor="text1"/>
          <w:sz w:val="28"/>
          <w:szCs w:val="28"/>
          <w14:textFill>
            <w14:solidFill>
              <w14:schemeClr w14:val="tx1"/>
            </w14:solidFill>
          </w14:textFill>
        </w:rPr>
        <w:t>202</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7</w:t>
      </w:r>
      <w:r>
        <w:rPr>
          <w:rFonts w:hint="default" w:ascii="Times New Roman" w:hAnsi="Times New Roman" w:eastAsia="宋体" w:cs="Times New Roman"/>
          <w:b/>
          <w:bCs/>
          <w:color w:val="000000" w:themeColor="text1"/>
          <w:sz w:val="28"/>
          <w:szCs w:val="28"/>
          <w14:textFill>
            <w14:solidFill>
              <w14:schemeClr w14:val="tx1"/>
            </w14:solidFill>
          </w14:textFill>
        </w:rPr>
        <w:t>年1月1日-202</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7</w:t>
      </w:r>
      <w:r>
        <w:rPr>
          <w:rFonts w:hint="default" w:ascii="Times New Roman" w:hAnsi="Times New Roman" w:eastAsia="宋体" w:cs="Times New Roman"/>
          <w:b/>
          <w:bCs/>
          <w:color w:val="000000" w:themeColor="text1"/>
          <w:sz w:val="28"/>
          <w:szCs w:val="28"/>
          <w14:textFill>
            <w14:solidFill>
              <w14:schemeClr w14:val="tx1"/>
            </w14:solidFill>
          </w14:textFill>
        </w:rPr>
        <w:t>年12月31日</w:t>
      </w:r>
      <w:r>
        <w:rPr>
          <w:rFonts w:hint="eastAsia" w:ascii="Times New Roman" w:hAnsi="Times New Roman" w:eastAsia="宋体" w:cs="Times New Roman"/>
          <w:b/>
          <w:bCs/>
          <w:color w:val="000000" w:themeColor="text1"/>
          <w:sz w:val="28"/>
          <w:szCs w:val="28"/>
          <w:lang w:eastAsia="zh-CN"/>
          <w14:textFill>
            <w14:solidFill>
              <w14:schemeClr w14:val="tx1"/>
            </w14:solidFill>
          </w14:textFill>
        </w:rPr>
        <w:t>）</w:t>
      </w:r>
    </w:p>
    <w:p w14:paraId="0C0CC7E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（6）对矿山地质环境、土地资源、生态系统开展监测；</w:t>
      </w:r>
    </w:p>
    <w:p w14:paraId="1938F36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（7）对复垦区进行管护。</w:t>
      </w:r>
    </w:p>
    <w:p w14:paraId="04561CBF">
      <w:pPr>
        <w:pStyle w:val="66"/>
        <w:spacing w:line="360" w:lineRule="auto"/>
        <w:ind w:firstLine="562" w:firstLineChars="200"/>
        <w:jc w:val="both"/>
        <w:rPr>
          <w:rFonts w:hint="default" w:ascii="Times New Roman" w:hAnsi="Times New Roman" w:eastAsia="宋体" w:cs="Times New Roman"/>
          <w:b/>
          <w:bCs/>
          <w:color w:val="000000" w:themeColor="text1"/>
          <w:sz w:val="28"/>
          <w:szCs w:val="28"/>
          <w14:textFill>
            <w14:solidFill>
              <w14:schemeClr w14:val="tx1"/>
            </w14:solidFill>
          </w14:textFill>
        </w:rPr>
      </w:pP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3</w:t>
      </w:r>
      <w:r>
        <w:rPr>
          <w:rFonts w:hint="default" w:ascii="Times New Roman" w:hAnsi="Times New Roman" w:eastAsia="宋体" w:cs="Times New Roman"/>
          <w:b/>
          <w:bCs/>
          <w:color w:val="000000" w:themeColor="text1"/>
          <w:sz w:val="28"/>
          <w:szCs w:val="28"/>
          <w14:textFill>
            <w14:solidFill>
              <w14:schemeClr w14:val="tx1"/>
            </w14:solidFill>
          </w14:textFill>
        </w:rPr>
        <w:t>、第</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三</w:t>
      </w:r>
      <w:r>
        <w:rPr>
          <w:rFonts w:hint="default" w:ascii="Times New Roman" w:hAnsi="Times New Roman" w:eastAsia="宋体" w:cs="Times New Roman"/>
          <w:b/>
          <w:bCs/>
          <w:color w:val="000000" w:themeColor="text1"/>
          <w:sz w:val="28"/>
          <w:szCs w:val="28"/>
          <w14:textFill>
            <w14:solidFill>
              <w14:schemeClr w14:val="tx1"/>
            </w14:solidFill>
          </w14:textFill>
        </w:rPr>
        <w:t>年</w:t>
      </w:r>
      <w:r>
        <w:rPr>
          <w:rFonts w:hint="eastAsia" w:ascii="Times New Roman" w:hAnsi="Times New Roman" w:eastAsia="宋体" w:cs="Times New Roman"/>
          <w:b/>
          <w:bCs/>
          <w:color w:val="000000" w:themeColor="text1"/>
          <w:sz w:val="28"/>
          <w:szCs w:val="28"/>
          <w:lang w:eastAsia="zh-CN"/>
          <w14:textFill>
            <w14:solidFill>
              <w14:schemeClr w14:val="tx1"/>
            </w14:solidFill>
          </w14:textFill>
        </w:rPr>
        <w:t>（</w:t>
      </w:r>
      <w:r>
        <w:rPr>
          <w:rFonts w:hint="default" w:ascii="Times New Roman" w:hAnsi="Times New Roman" w:eastAsia="宋体" w:cs="Times New Roman"/>
          <w:b/>
          <w:bCs/>
          <w:color w:val="000000" w:themeColor="text1"/>
          <w:sz w:val="28"/>
          <w:szCs w:val="28"/>
          <w14:textFill>
            <w14:solidFill>
              <w14:schemeClr w14:val="tx1"/>
            </w14:solidFill>
          </w14:textFill>
        </w:rPr>
        <w:t>202</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8</w:t>
      </w:r>
      <w:r>
        <w:rPr>
          <w:rFonts w:hint="default" w:ascii="Times New Roman" w:hAnsi="Times New Roman" w:eastAsia="宋体" w:cs="Times New Roman"/>
          <w:b/>
          <w:bCs/>
          <w:color w:val="000000" w:themeColor="text1"/>
          <w:sz w:val="28"/>
          <w:szCs w:val="28"/>
          <w14:textFill>
            <w14:solidFill>
              <w14:schemeClr w14:val="tx1"/>
            </w14:solidFill>
          </w14:textFill>
        </w:rPr>
        <w:t>年1月1日-202</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8</w:t>
      </w:r>
      <w:r>
        <w:rPr>
          <w:rFonts w:hint="default" w:ascii="Times New Roman" w:hAnsi="Times New Roman" w:eastAsia="宋体" w:cs="Times New Roman"/>
          <w:b/>
          <w:bCs/>
          <w:color w:val="000000" w:themeColor="text1"/>
          <w:sz w:val="28"/>
          <w:szCs w:val="28"/>
          <w14:textFill>
            <w14:solidFill>
              <w14:schemeClr w14:val="tx1"/>
            </w14:solidFill>
          </w14:textFill>
        </w:rPr>
        <w:t>年12月31日</w:t>
      </w:r>
      <w:r>
        <w:rPr>
          <w:rFonts w:hint="eastAsia" w:ascii="Times New Roman" w:hAnsi="Times New Roman" w:eastAsia="宋体" w:cs="Times New Roman"/>
          <w:b/>
          <w:bCs/>
          <w:color w:val="000000" w:themeColor="text1"/>
          <w:sz w:val="28"/>
          <w:szCs w:val="28"/>
          <w:lang w:eastAsia="zh-CN"/>
          <w14:textFill>
            <w14:solidFill>
              <w14:schemeClr w14:val="tx1"/>
            </w14:solidFill>
          </w14:textFill>
        </w:rPr>
        <w:t>）</w:t>
      </w:r>
    </w:p>
    <w:p w14:paraId="46E2422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（6）对矿山地质环境、土地资源、生态系统开展监测；</w:t>
      </w:r>
    </w:p>
    <w:p w14:paraId="37F38CC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（7）对复垦区进行管护。</w:t>
      </w:r>
    </w:p>
    <w:p w14:paraId="22E28148">
      <w:pPr>
        <w:pStyle w:val="66"/>
        <w:spacing w:line="360" w:lineRule="auto"/>
        <w:ind w:firstLine="560" w:firstLineChars="200"/>
        <w:jc w:val="both"/>
        <w:rPr>
          <w:rFonts w:cs="宋体"/>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各年度矿区生态修复工作安排情况见表6-</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36</w:t>
      </w:r>
      <w:r>
        <w:rPr>
          <w:rFonts w:hint="default" w:ascii="Times New Roman" w:hAnsi="Times New Roman" w:eastAsia="宋体" w:cs="Times New Roman"/>
          <w:color w:val="000000" w:themeColor="text1"/>
          <w:sz w:val="28"/>
          <w:szCs w:val="28"/>
          <w14:textFill>
            <w14:solidFill>
              <w14:schemeClr w14:val="tx1"/>
            </w14:solidFill>
          </w14:textFill>
        </w:rPr>
        <w:t>。</w:t>
      </w:r>
    </w:p>
    <w:p w14:paraId="370FD4CE">
      <w:pPr>
        <w:pStyle w:val="66"/>
        <w:spacing w:line="360" w:lineRule="auto"/>
        <w:ind w:firstLine="560" w:firstLineChars="200"/>
        <w:jc w:val="both"/>
        <w:rPr>
          <w:rFonts w:cs="宋体"/>
          <w:color w:val="000000" w:themeColor="text1"/>
          <w:sz w:val="28"/>
          <w:szCs w:val="28"/>
          <w14:textFill>
            <w14:solidFill>
              <w14:schemeClr w14:val="tx1"/>
            </w14:solidFill>
          </w14:textFill>
        </w:rPr>
        <w:sectPr>
          <w:headerReference r:id="rId28" w:type="default"/>
          <w:footerReference r:id="rId29" w:type="default"/>
          <w:pgSz w:w="11906" w:h="16838"/>
          <w:pgMar w:top="1219" w:right="1797" w:bottom="1440" w:left="1797" w:header="851" w:footer="992" w:gutter="0"/>
          <w:pgNumType w:fmt="decimal"/>
          <w:cols w:space="720" w:num="1"/>
          <w:docGrid w:linePitch="312" w:charSpace="0"/>
        </w:sectPr>
      </w:pPr>
    </w:p>
    <w:p w14:paraId="22BEF1D2">
      <w:pPr>
        <w:pStyle w:val="66"/>
        <w:spacing w:line="360" w:lineRule="auto"/>
        <w:ind w:left="0" w:leftChars="0" w:firstLine="0" w:firstLineChars="0"/>
        <w:jc w:val="center"/>
        <w:rPr>
          <w:rFonts w:hint="default" w:ascii="黑体" w:hAnsi="黑体" w:eastAsia="黑体" w:cs="宋体"/>
          <w:color w:val="000000" w:themeColor="text1"/>
          <w:kern w:val="2"/>
          <w:sz w:val="24"/>
          <w:szCs w:val="24"/>
          <w:highlight w:val="none"/>
          <w:lang w:val="en-US" w:eastAsia="zh-CN" w:bidi="ar-SA"/>
          <w14:textFill>
            <w14:solidFill>
              <w14:schemeClr w14:val="tx1"/>
            </w14:solidFill>
          </w14:textFill>
        </w:rPr>
      </w:pPr>
      <w:r>
        <w:rPr>
          <w:rFonts w:hint="default" w:ascii="黑体" w:hAnsi="黑体" w:eastAsia="黑体" w:cs="宋体"/>
          <w:color w:val="000000" w:themeColor="text1"/>
          <w:kern w:val="2"/>
          <w:sz w:val="24"/>
          <w:szCs w:val="24"/>
          <w:highlight w:val="none"/>
          <w:lang w:val="en-US" w:eastAsia="zh-CN" w:bidi="ar-SA"/>
          <w14:textFill>
            <w14:solidFill>
              <w14:schemeClr w14:val="tx1"/>
            </w14:solidFill>
          </w14:textFill>
        </w:rPr>
        <w:t>表6-3</w:t>
      </w:r>
      <w:r>
        <w:rPr>
          <w:rFonts w:hint="eastAsia" w:ascii="黑体" w:hAnsi="黑体" w:eastAsia="黑体" w:cs="宋体"/>
          <w:color w:val="000000" w:themeColor="text1"/>
          <w:kern w:val="2"/>
          <w:sz w:val="24"/>
          <w:szCs w:val="24"/>
          <w:highlight w:val="none"/>
          <w:lang w:val="en-US" w:eastAsia="zh-CN" w:bidi="ar-SA"/>
          <w14:textFill>
            <w14:solidFill>
              <w14:schemeClr w14:val="tx1"/>
            </w14:solidFill>
          </w14:textFill>
        </w:rPr>
        <w:t>6</w:t>
      </w:r>
      <w:r>
        <w:rPr>
          <w:rFonts w:hint="default" w:ascii="黑体" w:hAnsi="黑体" w:eastAsia="黑体" w:cs="宋体"/>
          <w:color w:val="000000" w:themeColor="text1"/>
          <w:kern w:val="2"/>
          <w:sz w:val="24"/>
          <w:szCs w:val="24"/>
          <w:highlight w:val="none"/>
          <w:lang w:val="en-US" w:eastAsia="zh-CN" w:bidi="ar-SA"/>
          <w14:textFill>
            <w14:solidFill>
              <w14:schemeClr w14:val="tx1"/>
            </w14:solidFill>
          </w14:textFill>
        </w:rPr>
        <w:t xml:space="preserve">  </w:t>
      </w:r>
      <w:r>
        <w:rPr>
          <w:rFonts w:hint="eastAsia" w:ascii="黑体" w:hAnsi="黑体" w:eastAsia="黑体" w:cs="宋体"/>
          <w:color w:val="000000" w:themeColor="text1"/>
          <w:kern w:val="2"/>
          <w:sz w:val="24"/>
          <w:szCs w:val="24"/>
          <w:highlight w:val="none"/>
          <w:lang w:val="en-US" w:eastAsia="zh-CN" w:bidi="ar-SA"/>
          <w14:textFill>
            <w14:solidFill>
              <w14:schemeClr w14:val="tx1"/>
            </w14:solidFill>
          </w14:textFill>
        </w:rPr>
        <w:t>前</w:t>
      </w:r>
      <w:r>
        <w:rPr>
          <w:rFonts w:hint="default" w:ascii="黑体" w:hAnsi="黑体" w:eastAsia="黑体" w:cs="宋体"/>
          <w:color w:val="000000" w:themeColor="text1"/>
          <w:kern w:val="2"/>
          <w:sz w:val="24"/>
          <w:szCs w:val="24"/>
          <w:highlight w:val="none"/>
          <w:lang w:val="en-US" w:eastAsia="zh-CN" w:bidi="ar-SA"/>
          <w14:textFill>
            <w14:solidFill>
              <w14:schemeClr w14:val="tx1"/>
            </w14:solidFill>
          </w14:textFill>
        </w:rPr>
        <w:t>三年度矿区生态修复工作计划表</w:t>
      </w:r>
    </w:p>
    <w:tbl>
      <w:tblPr>
        <w:tblStyle w:val="30"/>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2"/>
        <w:gridCol w:w="1056"/>
        <w:gridCol w:w="1262"/>
        <w:gridCol w:w="1986"/>
        <w:gridCol w:w="1069"/>
        <w:gridCol w:w="2563"/>
        <w:gridCol w:w="895"/>
        <w:gridCol w:w="1058"/>
        <w:gridCol w:w="1364"/>
        <w:gridCol w:w="1096"/>
        <w:gridCol w:w="1347"/>
      </w:tblGrid>
      <w:tr w14:paraId="30754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2D8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序号</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50A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修复阶段</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58F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范围</w:t>
            </w:r>
          </w:p>
          <w:p w14:paraId="6A6C94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lang w:val="en-US"/>
                <w14:textFill>
                  <w14:solidFill>
                    <w14:schemeClr w14:val="tx1"/>
                  </w14:solidFill>
                </w14:textFill>
              </w:rPr>
            </w:pP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拐点坐标</w:t>
            </w:r>
            <w:r>
              <w:rPr>
                <w:rFonts w:hint="eastAsia"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DD7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所属生态修复区块</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9884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是否为</w:t>
            </w:r>
          </w:p>
          <w:p w14:paraId="3E6C539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临时用地</w:t>
            </w: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D491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主要工程措施</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4C6C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单位</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FF4B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工程量</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999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目标地类</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8C94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面积（m</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2</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330B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费用（万元）</w:t>
            </w:r>
          </w:p>
        </w:tc>
      </w:tr>
      <w:tr w14:paraId="641EF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67F0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C499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第一年度</w:t>
            </w:r>
          </w:p>
        </w:tc>
        <w:tc>
          <w:tcPr>
            <w:tcW w:w="126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7B6A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见表3-52</w:t>
            </w:r>
          </w:p>
        </w:tc>
        <w:tc>
          <w:tcPr>
            <w:tcW w:w="1986" w:type="dxa"/>
            <w:vMerge w:val="restart"/>
            <w:tcBorders>
              <w:top w:val="single" w:color="000000" w:sz="4" w:space="0"/>
              <w:left w:val="nil"/>
              <w:bottom w:val="single" w:color="000000" w:sz="4" w:space="0"/>
              <w:right w:val="single" w:color="000000" w:sz="4" w:space="0"/>
            </w:tcBorders>
            <w:shd w:val="clear" w:color="auto" w:fill="auto"/>
            <w:noWrap/>
            <w:vAlign w:val="center"/>
          </w:tcPr>
          <w:p w14:paraId="301C621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拟建露天采场1</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0F36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否</w:t>
            </w: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52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表土剥离</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E428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ACFE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22810</w:t>
            </w:r>
          </w:p>
        </w:tc>
        <w:tc>
          <w:tcPr>
            <w:tcW w:w="136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5810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43A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8B9F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03A73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0F84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86D3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7419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14D74C5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D8DD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85FF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清理危</w:t>
            </w:r>
            <w:r>
              <w:rPr>
                <w:rFonts w:hint="eastAsia" w:cs="Times New Roman"/>
                <w:i w:val="0"/>
                <w:iCs w:val="0"/>
                <w:color w:val="000000" w:themeColor="text1"/>
                <w:kern w:val="0"/>
                <w:sz w:val="21"/>
                <w:szCs w:val="21"/>
                <w:u w:val="none"/>
                <w:lang w:val="en-US" w:eastAsia="zh-CN" w:bidi="ar"/>
                <w14:textFill>
                  <w14:solidFill>
                    <w14:schemeClr w14:val="tx1"/>
                  </w14:solidFill>
                </w14:textFill>
              </w:rPr>
              <w:t>土</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体</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EC0E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bidi="ar"/>
                <w14:textFill>
                  <w14:solidFill>
                    <w14:schemeClr w14:val="tx1"/>
                  </w14:solidFill>
                </w14:textFill>
              </w:rPr>
              <w:t>3</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5ED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53</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61B1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A621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1F4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 </w:t>
            </w:r>
          </w:p>
        </w:tc>
      </w:tr>
      <w:tr w14:paraId="110F4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0510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A245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42D9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59074CA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9DE8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3117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警示牌</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2128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块</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CBA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2440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87DF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73D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2.05 </w:t>
            </w:r>
          </w:p>
        </w:tc>
      </w:tr>
      <w:tr w14:paraId="66E18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13E5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EA65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9E67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496F084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6F40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940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网围栏</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F4B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1F69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140</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886D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D603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479F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0.16 </w:t>
            </w:r>
          </w:p>
        </w:tc>
      </w:tr>
      <w:tr w14:paraId="4F6E0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5FFF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1B04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CD6D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restart"/>
            <w:tcBorders>
              <w:top w:val="single" w:color="000000" w:sz="4" w:space="0"/>
              <w:left w:val="nil"/>
              <w:bottom w:val="single" w:color="000000" w:sz="4" w:space="0"/>
              <w:right w:val="single" w:color="000000" w:sz="4" w:space="0"/>
            </w:tcBorders>
            <w:shd w:val="clear" w:color="auto" w:fill="auto"/>
            <w:noWrap/>
            <w:vAlign w:val="center"/>
          </w:tcPr>
          <w:p w14:paraId="2E9F74F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拟建露天采场2</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CD8D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否</w:t>
            </w: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2994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表土剥离</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C262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47D0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23167</w:t>
            </w:r>
          </w:p>
        </w:tc>
        <w:tc>
          <w:tcPr>
            <w:tcW w:w="136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E84B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680F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C4EB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1F6DE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0C52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31D5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87E2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3C6DE71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6B50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BA1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清理危</w:t>
            </w:r>
            <w:r>
              <w:rPr>
                <w:rFonts w:hint="eastAsia" w:cs="Times New Roman"/>
                <w:i w:val="0"/>
                <w:iCs w:val="0"/>
                <w:color w:val="000000" w:themeColor="text1"/>
                <w:kern w:val="0"/>
                <w:sz w:val="21"/>
                <w:szCs w:val="21"/>
                <w:u w:val="none"/>
                <w:lang w:val="en-US" w:eastAsia="zh-CN" w:bidi="ar"/>
                <w14:textFill>
                  <w14:solidFill>
                    <w14:schemeClr w14:val="tx1"/>
                  </w14:solidFill>
                </w14:textFill>
              </w:rPr>
              <w:t>土</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体</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4E72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bidi="ar"/>
                <w14:textFill>
                  <w14:solidFill>
                    <w14:schemeClr w14:val="tx1"/>
                  </w14:solidFill>
                </w14:textFill>
              </w:rPr>
              <w:t>3</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F995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63</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8FC5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7B69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9AEA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 </w:t>
            </w:r>
          </w:p>
        </w:tc>
      </w:tr>
      <w:tr w14:paraId="2F1F2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1C96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0E6B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B3FB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61C0AB7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7A67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215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警示牌</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414B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块</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498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10</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F581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E627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26B4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3.41 </w:t>
            </w:r>
          </w:p>
        </w:tc>
      </w:tr>
      <w:tr w14:paraId="39AA9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60B6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13C5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EE4A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4364824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70CF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45BE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网围栏</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99CD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75EC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690</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B467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48EE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4D15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0.80 </w:t>
            </w:r>
          </w:p>
        </w:tc>
      </w:tr>
      <w:tr w14:paraId="0066F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5C37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F4BD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FFDE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restart"/>
            <w:tcBorders>
              <w:top w:val="single" w:color="000000" w:sz="4" w:space="0"/>
              <w:left w:val="nil"/>
              <w:bottom w:val="single" w:color="000000" w:sz="4" w:space="0"/>
              <w:right w:val="single" w:color="000000" w:sz="4" w:space="0"/>
            </w:tcBorders>
            <w:shd w:val="clear" w:color="auto" w:fill="auto"/>
            <w:noWrap/>
            <w:vAlign w:val="center"/>
          </w:tcPr>
          <w:p w14:paraId="1E4747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露天采场2</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7365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否</w:t>
            </w: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994D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回填</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DC54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bidi="ar"/>
                <w14:textFill>
                  <w14:solidFill>
                    <w14:schemeClr w14:val="tx1"/>
                  </w14:solidFill>
                </w14:textFill>
              </w:rPr>
              <w:t>3</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3378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125</w:t>
            </w:r>
          </w:p>
        </w:tc>
        <w:tc>
          <w:tcPr>
            <w:tcW w:w="136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DCD4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人工牧草地</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E888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756</w:t>
            </w: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F063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0.20 </w:t>
            </w:r>
          </w:p>
        </w:tc>
      </w:tr>
      <w:tr w14:paraId="53FDC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E4F0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46D4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ABBF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0CAA18F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322C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7BEF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土地平整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53FF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bidi="ar"/>
                <w14:textFill>
                  <w14:solidFill>
                    <w14:schemeClr w14:val="tx1"/>
                  </w14:solidFill>
                </w14:textFill>
              </w:rPr>
              <w:t>3</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DD8D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227</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1904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D7F2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33FE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0.03 </w:t>
            </w:r>
          </w:p>
        </w:tc>
      </w:tr>
      <w:tr w14:paraId="75917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F4CB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7EFF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490C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06B71EA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EDCB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14B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播撒草籽</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C87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hm</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2</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B669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0.0756</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C5BD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2429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8ECE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0.04 </w:t>
            </w:r>
          </w:p>
        </w:tc>
      </w:tr>
      <w:tr w14:paraId="3CE3E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538A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DD74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4B8A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tcBorders>
              <w:top w:val="single" w:color="000000" w:sz="4" w:space="0"/>
              <w:left w:val="nil"/>
              <w:bottom w:val="single" w:color="000000" w:sz="4" w:space="0"/>
              <w:right w:val="single" w:color="000000" w:sz="4" w:space="0"/>
            </w:tcBorders>
            <w:shd w:val="clear" w:color="auto" w:fill="auto"/>
            <w:noWrap/>
            <w:vAlign w:val="center"/>
          </w:tcPr>
          <w:p w14:paraId="022811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拟建储水池</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C4D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否</w:t>
            </w: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6092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表土剥离</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196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3</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1C88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150</w:t>
            </w:r>
          </w:p>
        </w:tc>
        <w:tc>
          <w:tcPr>
            <w:tcW w:w="13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0B3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A69C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0AE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r>
      <w:tr w14:paraId="520F9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F27C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DF46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0902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restart"/>
            <w:tcBorders>
              <w:top w:val="single" w:color="000000" w:sz="4" w:space="0"/>
              <w:left w:val="nil"/>
              <w:bottom w:val="single" w:color="000000" w:sz="4" w:space="0"/>
              <w:right w:val="single" w:color="000000" w:sz="4" w:space="0"/>
            </w:tcBorders>
            <w:shd w:val="clear" w:color="auto" w:fill="auto"/>
            <w:noWrap/>
            <w:vAlign w:val="center"/>
          </w:tcPr>
          <w:p w14:paraId="53327DF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表土存放场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428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否</w:t>
            </w: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606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清运</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93C6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bidi="ar"/>
                <w14:textFill>
                  <w14:solidFill>
                    <w14:schemeClr w14:val="tx1"/>
                  </w14:solidFill>
                </w14:textFill>
              </w:rPr>
              <w:t>3</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A37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5866</w:t>
            </w:r>
          </w:p>
        </w:tc>
        <w:tc>
          <w:tcPr>
            <w:tcW w:w="136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9741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人工牧草地</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F27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9101</w:t>
            </w: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9E4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9.23 </w:t>
            </w:r>
          </w:p>
        </w:tc>
      </w:tr>
      <w:tr w14:paraId="381C9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AB8D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04D5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FD5B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33739F3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34B1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8967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翻耕</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AB43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bidi="ar"/>
                <w14:textFill>
                  <w14:solidFill>
                    <w14:schemeClr w14:val="tx1"/>
                  </w14:solidFill>
                </w14:textFill>
              </w:rPr>
              <w:t>3</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2311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4881</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6750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FBC7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599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10.33 </w:t>
            </w:r>
          </w:p>
        </w:tc>
      </w:tr>
      <w:tr w14:paraId="708E4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5404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7B2C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B942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30C3FF4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A187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AE1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土地平整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496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bidi="ar"/>
                <w14:textFill>
                  <w14:solidFill>
                    <w14:schemeClr w14:val="tx1"/>
                  </w14:solidFill>
                </w14:textFill>
              </w:rPr>
              <w:t>3</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491B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2929</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F6F7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7B0D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2D0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0.39 </w:t>
            </w:r>
          </w:p>
        </w:tc>
      </w:tr>
      <w:tr w14:paraId="0CB2A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5A3C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241B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A011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1B0FAF7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3142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889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栽植乔木</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5B50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株</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EF1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74</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E20A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229B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68B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0.09 </w:t>
            </w:r>
          </w:p>
        </w:tc>
      </w:tr>
      <w:tr w14:paraId="66C3D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B06B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881B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3EB0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68A1E0F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8E34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7C9A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播撒草籽</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D776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hm</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2</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8095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0.9101</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114B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FF1C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E998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0.48 </w:t>
            </w:r>
          </w:p>
        </w:tc>
      </w:tr>
      <w:tr w14:paraId="6B2A5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494A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0C62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BF27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restart"/>
            <w:tcBorders>
              <w:top w:val="single" w:color="000000" w:sz="4" w:space="0"/>
              <w:left w:val="nil"/>
              <w:right w:val="single" w:color="000000" w:sz="4" w:space="0"/>
            </w:tcBorders>
            <w:shd w:val="clear" w:color="auto" w:fill="auto"/>
            <w:noWrap/>
            <w:vAlign w:val="center"/>
          </w:tcPr>
          <w:p w14:paraId="00B1A061">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cs="Times New Roman"/>
                <w:i w:val="0"/>
                <w:iCs w:val="0"/>
                <w:color w:val="000000" w:themeColor="text1"/>
                <w:sz w:val="21"/>
                <w:szCs w:val="21"/>
                <w:u w:val="none"/>
                <w:lang w:val="en-US" w:eastAsia="zh-CN"/>
                <w14:textFill>
                  <w14:solidFill>
                    <w14:schemeClr w14:val="tx1"/>
                  </w14:solidFill>
                </w14:textFill>
              </w:rPr>
              <w:t>料堆</w:t>
            </w:r>
          </w:p>
        </w:tc>
        <w:tc>
          <w:tcPr>
            <w:tcW w:w="1069" w:type="dxa"/>
            <w:vMerge w:val="restart"/>
            <w:tcBorders>
              <w:top w:val="single" w:color="000000" w:sz="4" w:space="0"/>
              <w:left w:val="single" w:color="000000" w:sz="4" w:space="0"/>
              <w:right w:val="single" w:color="000000" w:sz="4" w:space="0"/>
            </w:tcBorders>
            <w:shd w:val="clear" w:color="auto" w:fill="auto"/>
            <w:noWrap/>
            <w:vAlign w:val="center"/>
          </w:tcPr>
          <w:p w14:paraId="0F9169CC">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cs="Times New Roman"/>
                <w:i w:val="0"/>
                <w:iCs w:val="0"/>
                <w:color w:val="000000" w:themeColor="text1"/>
                <w:sz w:val="21"/>
                <w:szCs w:val="21"/>
                <w:u w:val="none"/>
                <w:lang w:val="en-US" w:eastAsia="zh-CN"/>
                <w14:textFill>
                  <w14:solidFill>
                    <w14:schemeClr w14:val="tx1"/>
                  </w14:solidFill>
                </w14:textFill>
              </w:rPr>
              <w:t>否</w:t>
            </w: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DBE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清运</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E1F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bidi="ar"/>
                <w14:textFill>
                  <w14:solidFill>
                    <w14:schemeClr w14:val="tx1"/>
                  </w14:solidFill>
                </w14:textFill>
              </w:rPr>
              <w:t>3</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FFE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1135</w:t>
            </w:r>
          </w:p>
        </w:tc>
        <w:tc>
          <w:tcPr>
            <w:tcW w:w="1364" w:type="dxa"/>
            <w:vMerge w:val="restart"/>
            <w:tcBorders>
              <w:top w:val="single" w:color="000000" w:sz="4" w:space="0"/>
              <w:left w:val="single" w:color="000000" w:sz="4" w:space="0"/>
              <w:right w:val="single" w:color="000000" w:sz="4" w:space="0"/>
            </w:tcBorders>
            <w:shd w:val="clear" w:color="auto" w:fill="auto"/>
            <w:noWrap/>
            <w:vAlign w:val="center"/>
          </w:tcPr>
          <w:p w14:paraId="7CF99B3B">
            <w:pPr>
              <w:keepNext w:val="0"/>
              <w:keepLines w:val="0"/>
              <w:suppressLineNumbers w:val="0"/>
              <w:spacing w:before="0" w:beforeAutospacing="0" w:after="0" w:afterAutospacing="0"/>
              <w:ind w:left="0" w:right="0"/>
              <w:jc w:val="center"/>
              <w:rPr>
                <w:rFonts w:hint="eastAsia"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cs="Times New Roman"/>
                <w:i w:val="0"/>
                <w:iCs w:val="0"/>
                <w:color w:val="000000" w:themeColor="text1"/>
                <w:sz w:val="21"/>
                <w:szCs w:val="21"/>
                <w:u w:val="none"/>
                <w:lang w:val="en-US" w:eastAsia="zh-CN"/>
                <w14:textFill>
                  <w14:solidFill>
                    <w14:schemeClr w14:val="tx1"/>
                  </w14:solidFill>
                </w14:textFill>
              </w:rPr>
              <w:t>水浇地</w:t>
            </w:r>
          </w:p>
        </w:tc>
        <w:tc>
          <w:tcPr>
            <w:tcW w:w="1096" w:type="dxa"/>
            <w:vMerge w:val="restart"/>
            <w:tcBorders>
              <w:top w:val="single" w:color="000000" w:sz="4" w:space="0"/>
              <w:left w:val="single" w:color="000000" w:sz="4" w:space="0"/>
              <w:right w:val="single" w:color="000000" w:sz="4" w:space="0"/>
            </w:tcBorders>
            <w:shd w:val="clear" w:color="auto" w:fill="auto"/>
            <w:noWrap/>
            <w:vAlign w:val="center"/>
          </w:tcPr>
          <w:p w14:paraId="6528B2D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lang w:val="en-US" w:eastAsia="zh-CN"/>
                <w14:textFill>
                  <w14:solidFill>
                    <w14:schemeClr w14:val="tx1"/>
                  </w14:solidFill>
                </w14:textFill>
              </w:rPr>
            </w:pPr>
            <w:r>
              <w:rPr>
                <w:rFonts w:hint="eastAsia" w:cs="Times New Roman"/>
                <w:i w:val="0"/>
                <w:iCs w:val="0"/>
                <w:color w:val="000000" w:themeColor="text1"/>
                <w:sz w:val="21"/>
                <w:szCs w:val="21"/>
                <w:u w:val="none"/>
                <w:lang w:val="en-US" w:eastAsia="zh-CN"/>
                <w14:textFill>
                  <w14:solidFill>
                    <w14:schemeClr w14:val="tx1"/>
                  </w14:solidFill>
                </w14:textFill>
              </w:rPr>
              <w:t>926</w:t>
            </w: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8C64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1.79</w:t>
            </w:r>
          </w:p>
        </w:tc>
      </w:tr>
      <w:tr w14:paraId="39D5E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FA90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A20C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EC06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left w:val="nil"/>
              <w:right w:val="single" w:color="000000" w:sz="4" w:space="0"/>
            </w:tcBorders>
            <w:shd w:val="clear" w:color="auto" w:fill="auto"/>
            <w:noWrap/>
            <w:vAlign w:val="center"/>
          </w:tcPr>
          <w:p w14:paraId="256D1AE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left w:val="single" w:color="000000" w:sz="4" w:space="0"/>
              <w:right w:val="single" w:color="000000" w:sz="4" w:space="0"/>
            </w:tcBorders>
            <w:shd w:val="clear" w:color="auto" w:fill="auto"/>
            <w:noWrap/>
            <w:vAlign w:val="center"/>
          </w:tcPr>
          <w:p w14:paraId="1AD7A46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B7B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翻耕</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CF33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bidi="ar"/>
                <w14:textFill>
                  <w14:solidFill>
                    <w14:schemeClr w14:val="tx1"/>
                  </w14:solidFill>
                </w14:textFill>
              </w:rPr>
              <w:t>3</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914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463</w:t>
            </w:r>
          </w:p>
        </w:tc>
        <w:tc>
          <w:tcPr>
            <w:tcW w:w="1364" w:type="dxa"/>
            <w:vMerge w:val="continue"/>
            <w:tcBorders>
              <w:left w:val="single" w:color="000000" w:sz="4" w:space="0"/>
              <w:right w:val="single" w:color="000000" w:sz="4" w:space="0"/>
            </w:tcBorders>
            <w:shd w:val="clear" w:color="auto" w:fill="auto"/>
            <w:noWrap/>
            <w:vAlign w:val="center"/>
          </w:tcPr>
          <w:p w14:paraId="4284380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left w:val="single" w:color="000000" w:sz="4" w:space="0"/>
              <w:right w:val="single" w:color="000000" w:sz="4" w:space="0"/>
            </w:tcBorders>
            <w:shd w:val="clear" w:color="auto" w:fill="auto"/>
            <w:noWrap/>
            <w:vAlign w:val="center"/>
          </w:tcPr>
          <w:p w14:paraId="1D06970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AE2E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0.98</w:t>
            </w:r>
          </w:p>
        </w:tc>
      </w:tr>
      <w:tr w14:paraId="7E5B6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F2F5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3000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853F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left w:val="nil"/>
              <w:right w:val="single" w:color="000000" w:sz="4" w:space="0"/>
            </w:tcBorders>
            <w:shd w:val="clear" w:color="auto" w:fill="auto"/>
            <w:noWrap/>
            <w:vAlign w:val="center"/>
          </w:tcPr>
          <w:p w14:paraId="264AB35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left w:val="single" w:color="000000" w:sz="4" w:space="0"/>
              <w:right w:val="single" w:color="000000" w:sz="4" w:space="0"/>
            </w:tcBorders>
            <w:shd w:val="clear" w:color="auto" w:fill="auto"/>
            <w:noWrap/>
            <w:vAlign w:val="center"/>
          </w:tcPr>
          <w:p w14:paraId="6A5F170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D41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土地平整</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81A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w:t>
            </w:r>
            <w:r>
              <w:rPr>
                <w:rFonts w:hint="default" w:ascii="Times New Roman" w:hAnsi="Times New Roman" w:eastAsia="宋体" w:cs="Times New Roman"/>
                <w:b/>
                <w:bCs/>
                <w:i w:val="0"/>
                <w:iCs w:val="0"/>
                <w:color w:val="000000" w:themeColor="text1"/>
                <w:kern w:val="0"/>
                <w:sz w:val="21"/>
                <w:szCs w:val="21"/>
                <w:u w:val="none"/>
                <w:vertAlign w:val="superscript"/>
                <w:lang w:val="en-US" w:eastAsia="zh-CN" w:bidi="ar"/>
                <w14:textFill>
                  <w14:solidFill>
                    <w14:schemeClr w14:val="tx1"/>
                  </w14:solidFill>
                </w14:textFill>
              </w:rPr>
              <w:t>3</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CDD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278</w:t>
            </w:r>
          </w:p>
        </w:tc>
        <w:tc>
          <w:tcPr>
            <w:tcW w:w="1364" w:type="dxa"/>
            <w:vMerge w:val="continue"/>
            <w:tcBorders>
              <w:left w:val="single" w:color="000000" w:sz="4" w:space="0"/>
              <w:right w:val="single" w:color="000000" w:sz="4" w:space="0"/>
            </w:tcBorders>
            <w:shd w:val="clear" w:color="auto" w:fill="auto"/>
            <w:noWrap/>
            <w:vAlign w:val="center"/>
          </w:tcPr>
          <w:p w14:paraId="676545B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left w:val="single" w:color="000000" w:sz="4" w:space="0"/>
              <w:right w:val="single" w:color="000000" w:sz="4" w:space="0"/>
            </w:tcBorders>
            <w:shd w:val="clear" w:color="auto" w:fill="auto"/>
            <w:noWrap/>
            <w:vAlign w:val="center"/>
          </w:tcPr>
          <w:p w14:paraId="53CC20C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DB22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0.04</w:t>
            </w:r>
          </w:p>
        </w:tc>
      </w:tr>
      <w:tr w14:paraId="6DCAD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F592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48BC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55CD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left w:val="nil"/>
              <w:bottom w:val="single" w:color="000000" w:sz="4" w:space="0"/>
              <w:right w:val="single" w:color="000000" w:sz="4" w:space="0"/>
            </w:tcBorders>
            <w:shd w:val="clear" w:color="auto" w:fill="auto"/>
            <w:noWrap/>
            <w:vAlign w:val="center"/>
          </w:tcPr>
          <w:p w14:paraId="5F8808E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left w:val="single" w:color="000000" w:sz="4" w:space="0"/>
              <w:bottom w:val="single" w:color="000000" w:sz="4" w:space="0"/>
              <w:right w:val="single" w:color="000000" w:sz="4" w:space="0"/>
            </w:tcBorders>
            <w:shd w:val="clear" w:color="auto" w:fill="auto"/>
            <w:noWrap/>
            <w:vAlign w:val="center"/>
          </w:tcPr>
          <w:p w14:paraId="4DF28FC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BF2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恢复水浇地</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E5B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m</w:t>
            </w:r>
            <w:r>
              <w:rPr>
                <w:rFonts w:hint="default" w:ascii="Times New Roman" w:hAnsi="Times New Roman" w:eastAsia="宋体" w:cs="Times New Roman"/>
                <w:i w:val="0"/>
                <w:iCs w:val="0"/>
                <w:color w:val="000000" w:themeColor="text1"/>
                <w:kern w:val="0"/>
                <w:sz w:val="21"/>
                <w:szCs w:val="21"/>
                <w:u w:val="none"/>
                <w:vertAlign w:val="superscript"/>
                <w:lang w:val="en-US" w:eastAsia="zh-CN" w:bidi="ar"/>
                <w14:textFill>
                  <w14:solidFill>
                    <w14:schemeClr w14:val="tx1"/>
                  </w14:solidFill>
                </w14:textFill>
              </w:rPr>
              <w:t>2</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754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926</w:t>
            </w:r>
          </w:p>
        </w:tc>
        <w:tc>
          <w:tcPr>
            <w:tcW w:w="1364" w:type="dxa"/>
            <w:vMerge w:val="continue"/>
            <w:tcBorders>
              <w:left w:val="single" w:color="000000" w:sz="4" w:space="0"/>
              <w:bottom w:val="single" w:color="000000" w:sz="4" w:space="0"/>
              <w:right w:val="single" w:color="000000" w:sz="4" w:space="0"/>
            </w:tcBorders>
            <w:shd w:val="clear" w:color="auto" w:fill="auto"/>
            <w:noWrap/>
            <w:vAlign w:val="center"/>
          </w:tcPr>
          <w:p w14:paraId="6B5CF49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left w:val="single" w:color="000000" w:sz="4" w:space="0"/>
              <w:bottom w:val="single" w:color="000000" w:sz="4" w:space="0"/>
              <w:right w:val="single" w:color="000000" w:sz="4" w:space="0"/>
            </w:tcBorders>
            <w:shd w:val="clear" w:color="auto" w:fill="auto"/>
            <w:noWrap/>
            <w:vAlign w:val="center"/>
          </w:tcPr>
          <w:p w14:paraId="7859E3B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6CD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r>
      <w:tr w14:paraId="58ED0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0949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70A2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8243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restart"/>
            <w:tcBorders>
              <w:top w:val="single" w:color="000000" w:sz="4" w:space="0"/>
              <w:left w:val="nil"/>
              <w:bottom w:val="single" w:color="000000" w:sz="4" w:space="0"/>
              <w:right w:val="single" w:color="000000" w:sz="4" w:space="0"/>
            </w:tcBorders>
            <w:shd w:val="clear" w:color="auto" w:fill="auto"/>
            <w:noWrap/>
            <w:vAlign w:val="center"/>
          </w:tcPr>
          <w:p w14:paraId="0152C3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全矿区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45F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否</w:t>
            </w: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452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崩塌、滑坡监测</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EB89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点次</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0DE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w:t>
            </w:r>
          </w:p>
        </w:tc>
        <w:tc>
          <w:tcPr>
            <w:tcW w:w="136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131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75AF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23C6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0.24 </w:t>
            </w:r>
          </w:p>
        </w:tc>
      </w:tr>
      <w:tr w14:paraId="497AE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8301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85D7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732D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24F0907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ECE5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EF23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水质、水污染监测</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F586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点次</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72AA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AF1D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1EA1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E6A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0.10 </w:t>
            </w:r>
          </w:p>
        </w:tc>
      </w:tr>
      <w:tr w14:paraId="4A907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7DA3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8CEF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9F4D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138C16E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3E9C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6D3D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地形地貌景观监测</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A86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点次</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957D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F2F2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442B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3DF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0.24 </w:t>
            </w:r>
          </w:p>
        </w:tc>
      </w:tr>
      <w:tr w14:paraId="02102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5F78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F391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F6FE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1C4C244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D749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2A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土壤质量、土壤污染监测</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591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点次</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FCF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7BB4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56A3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3FAF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0.10 </w:t>
            </w:r>
          </w:p>
        </w:tc>
      </w:tr>
      <w:tr w14:paraId="10C6D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977F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90BF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0184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4BE7463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2F1C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35C7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生态系统监测</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1397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点次</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8A4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AFE8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5DC8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1759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0.40 </w:t>
            </w:r>
          </w:p>
        </w:tc>
      </w:tr>
      <w:tr w14:paraId="4F2B7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CFDC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82C0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7614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1E893DC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9B4E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1D54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管护次数</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218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点次</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E335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B1B0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5B48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AD7D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0.20 </w:t>
            </w:r>
          </w:p>
        </w:tc>
      </w:tr>
      <w:tr w14:paraId="24E27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A134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3ACE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第二年度</w:t>
            </w:r>
          </w:p>
        </w:tc>
        <w:tc>
          <w:tcPr>
            <w:tcW w:w="126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BBB8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986" w:type="dxa"/>
            <w:vMerge w:val="restart"/>
            <w:tcBorders>
              <w:top w:val="single" w:color="000000" w:sz="4" w:space="0"/>
              <w:left w:val="nil"/>
              <w:bottom w:val="single" w:color="000000" w:sz="4" w:space="0"/>
              <w:right w:val="single" w:color="000000" w:sz="4" w:space="0"/>
            </w:tcBorders>
            <w:shd w:val="clear" w:color="auto" w:fill="auto"/>
            <w:noWrap/>
            <w:vAlign w:val="center"/>
          </w:tcPr>
          <w:p w14:paraId="7FE458E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全矿区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EDC0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否</w:t>
            </w: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4B8C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崩塌、滑坡监测</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2806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点次</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104F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w:t>
            </w:r>
          </w:p>
        </w:tc>
        <w:tc>
          <w:tcPr>
            <w:tcW w:w="136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116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6701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D8D1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0.24 </w:t>
            </w:r>
          </w:p>
        </w:tc>
      </w:tr>
      <w:tr w14:paraId="245B6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44BE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6E28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F481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4080BE0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0BEA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7AA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水质、水污染监测</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119B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点次</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2AFB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349B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2200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D762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0.10 </w:t>
            </w:r>
          </w:p>
        </w:tc>
      </w:tr>
      <w:tr w14:paraId="4FE12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5063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B878A">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B821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122B2BD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9295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BDF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地形地貌景观监测</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93A6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点次</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DB1C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969E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E3D9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2DEF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0.24 </w:t>
            </w:r>
          </w:p>
        </w:tc>
      </w:tr>
      <w:tr w14:paraId="705B2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E0FD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DD65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BB7F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72570AE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3773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7F0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土壤质量、土壤污染监测</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5188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点次</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518E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1137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3838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C2C1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0.10 </w:t>
            </w:r>
          </w:p>
        </w:tc>
      </w:tr>
      <w:tr w14:paraId="00B70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7B42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B3DC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8B0E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60248C8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AAA7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DDEB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生态系统监测</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AC3F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点次</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4D9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06F1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242A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ED1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0.40 </w:t>
            </w:r>
          </w:p>
        </w:tc>
      </w:tr>
      <w:tr w14:paraId="37BCF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525E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2BE3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3807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5FF19E4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62A7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653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管护次数</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797C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点次</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567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5640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1FFD8">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0C29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0.20 </w:t>
            </w:r>
          </w:p>
        </w:tc>
      </w:tr>
      <w:tr w14:paraId="0010C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FBBF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3</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ED7F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第二年度</w:t>
            </w:r>
          </w:p>
        </w:tc>
        <w:tc>
          <w:tcPr>
            <w:tcW w:w="126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3E9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986" w:type="dxa"/>
            <w:vMerge w:val="restart"/>
            <w:tcBorders>
              <w:top w:val="single" w:color="000000" w:sz="4" w:space="0"/>
              <w:left w:val="nil"/>
              <w:bottom w:val="single" w:color="000000" w:sz="4" w:space="0"/>
              <w:right w:val="single" w:color="000000" w:sz="4" w:space="0"/>
            </w:tcBorders>
            <w:shd w:val="clear" w:color="auto" w:fill="auto"/>
            <w:noWrap/>
            <w:vAlign w:val="center"/>
          </w:tcPr>
          <w:p w14:paraId="1984954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全矿区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BB5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否</w:t>
            </w: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59A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崩塌、滑坡监测</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D8B1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点次</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AC9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w:t>
            </w:r>
          </w:p>
        </w:tc>
        <w:tc>
          <w:tcPr>
            <w:tcW w:w="136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583E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0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7D4D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C61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0.24 </w:t>
            </w:r>
          </w:p>
        </w:tc>
      </w:tr>
      <w:tr w14:paraId="359EC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C499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461A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5D59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326A6DE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8C13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B09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水质、水污染监测</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7B6F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点次</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B73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8CDB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64EF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187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0.10 </w:t>
            </w:r>
          </w:p>
        </w:tc>
      </w:tr>
      <w:tr w14:paraId="42709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E977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DB8B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4D4D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5A0A1EF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344D5">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811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地形地貌景观监测</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8581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点次</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03F1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12</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F082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3162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5D63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0.24 </w:t>
            </w:r>
          </w:p>
        </w:tc>
      </w:tr>
      <w:tr w14:paraId="33A03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339D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4017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3F2F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5BC2F56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6C94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04D9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土壤质量、土壤污染监测</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7D6D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点次</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74AF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3F66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6467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A23E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0.10 </w:t>
            </w:r>
          </w:p>
        </w:tc>
      </w:tr>
      <w:tr w14:paraId="21ECA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BC7D4">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BCF5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FD6E6">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16B69F1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D2B1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CE49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生态系统监测</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DD3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点次</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2337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2</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C5B1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D5DE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70BA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0.40 </w:t>
            </w:r>
          </w:p>
        </w:tc>
      </w:tr>
      <w:tr w14:paraId="7E74E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1830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7525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1A83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986" w:type="dxa"/>
            <w:vMerge w:val="continue"/>
            <w:tcBorders>
              <w:top w:val="single" w:color="000000" w:sz="4" w:space="0"/>
              <w:left w:val="nil"/>
              <w:bottom w:val="single" w:color="000000" w:sz="4" w:space="0"/>
              <w:right w:val="single" w:color="000000" w:sz="4" w:space="0"/>
            </w:tcBorders>
            <w:shd w:val="clear" w:color="auto" w:fill="auto"/>
            <w:noWrap/>
            <w:vAlign w:val="center"/>
          </w:tcPr>
          <w:p w14:paraId="26308F2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E0E1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2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F459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管护次数</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630F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点次</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B22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5F150">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0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DB21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2915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themeColor="text1"/>
                <w:sz w:val="21"/>
                <w:szCs w:val="21"/>
                <w:u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0.20 </w:t>
            </w:r>
          </w:p>
        </w:tc>
      </w:tr>
    </w:tbl>
    <w:p w14:paraId="45C90E09">
      <w:pPr>
        <w:rPr>
          <w:rFonts w:hint="eastAsia" w:ascii="黑体" w:hAnsi="黑体" w:eastAsia="黑体" w:cs="宋体"/>
          <w:color w:val="000000" w:themeColor="text1"/>
          <w:sz w:val="24"/>
          <w:szCs w:val="24"/>
          <w14:textFill>
            <w14:solidFill>
              <w14:schemeClr w14:val="tx1"/>
            </w14:solidFill>
          </w14:textFill>
        </w:rPr>
      </w:pPr>
      <w:r>
        <w:rPr>
          <w:rFonts w:hint="eastAsia" w:ascii="黑体" w:hAnsi="黑体" w:eastAsia="黑体" w:cs="宋体"/>
          <w:color w:val="000000" w:themeColor="text1"/>
          <w:sz w:val="24"/>
          <w:szCs w:val="24"/>
          <w14:textFill>
            <w14:solidFill>
              <w14:schemeClr w14:val="tx1"/>
            </w14:solidFill>
          </w14:textFill>
        </w:rPr>
        <w:br w:type="page"/>
      </w:r>
    </w:p>
    <w:p w14:paraId="7428AC4C">
      <w:pPr>
        <w:jc w:val="center"/>
        <w:rPr>
          <w:rFonts w:hint="eastAsia" w:eastAsia="宋体"/>
          <w:color w:val="000000" w:themeColor="text1"/>
          <w:lang w:eastAsia="zh-CN"/>
          <w14:textFill>
            <w14:solidFill>
              <w14:schemeClr w14:val="tx1"/>
            </w14:solidFill>
          </w14:textFill>
        </w:rPr>
      </w:pPr>
      <w:bookmarkStart w:id="77" w:name="_Toc12079"/>
      <w:bookmarkStart w:id="78" w:name="_Toc37947591"/>
      <w:bookmarkStart w:id="79" w:name="_Toc523390681"/>
      <w:r>
        <w:rPr>
          <w:rFonts w:hint="eastAsia"/>
          <w:color w:val="000000" w:themeColor="text1"/>
          <w:lang w:eastAsia="zh-CN"/>
          <w14:textFill>
            <w14:solidFill>
              <w14:schemeClr w14:val="tx1"/>
            </w14:solidFill>
          </w14:textFill>
        </w:rPr>
        <w:t xml:space="preserve">   </w:t>
      </w:r>
    </w:p>
    <w:p w14:paraId="7F56D8CD">
      <w:pPr>
        <w:pStyle w:val="2"/>
        <w:spacing w:line="360" w:lineRule="auto"/>
        <w:jc w:val="center"/>
        <w:rPr>
          <w:rFonts w:ascii="黑体" w:hAnsi="黑体" w:eastAsia="黑体" w:cs="黑体"/>
          <w:bCs/>
          <w:color w:val="000000" w:themeColor="text1"/>
          <w14:textFill>
            <w14:solidFill>
              <w14:schemeClr w14:val="tx1"/>
            </w14:solidFill>
          </w14:textFill>
        </w:rPr>
      </w:pPr>
      <w:r>
        <w:rPr>
          <w:rFonts w:hint="eastAsia" w:ascii="黑体" w:hAnsi="黑体" w:eastAsia="黑体" w:cs="黑体"/>
          <w:bCs/>
          <w:color w:val="000000" w:themeColor="text1"/>
          <w14:textFill>
            <w14:solidFill>
              <w14:schemeClr w14:val="tx1"/>
            </w14:solidFill>
          </w14:textFill>
        </w:rPr>
        <w:t>第七章  保障措施与公众参与</w:t>
      </w:r>
      <w:bookmarkEnd w:id="77"/>
    </w:p>
    <w:p w14:paraId="41C8389E">
      <w:pPr>
        <w:pStyle w:val="3"/>
        <w:spacing w:before="0" w:beforeLines="0"/>
        <w:jc w:val="center"/>
        <w:rPr>
          <w:color w:val="000000" w:themeColor="text1"/>
          <w14:textFill>
            <w14:solidFill>
              <w14:schemeClr w14:val="tx1"/>
            </w14:solidFill>
          </w14:textFill>
        </w:rPr>
      </w:pPr>
      <w:bookmarkStart w:id="80" w:name="_Toc3531"/>
      <w:r>
        <w:rPr>
          <w:rFonts w:hint="eastAsia"/>
          <w:color w:val="000000" w:themeColor="text1"/>
          <w:lang w:val="en-US" w:eastAsia="zh-CN"/>
          <w14:textFill>
            <w14:solidFill>
              <w14:schemeClr w14:val="tx1"/>
            </w14:solidFill>
          </w14:textFill>
        </w:rPr>
        <w:t xml:space="preserve">第一节  </w:t>
      </w:r>
      <w:r>
        <w:rPr>
          <w:rFonts w:hint="eastAsia"/>
          <w:color w:val="000000" w:themeColor="text1"/>
          <w14:textFill>
            <w14:solidFill>
              <w14:schemeClr w14:val="tx1"/>
            </w14:solidFill>
          </w14:textFill>
        </w:rPr>
        <w:t>保障措施</w:t>
      </w:r>
      <w:bookmarkEnd w:id="80"/>
    </w:p>
    <w:bookmarkEnd w:id="78"/>
    <w:bookmarkEnd w:id="79"/>
    <w:p w14:paraId="1D8E7892">
      <w:pPr>
        <w:pStyle w:val="5"/>
        <w:bidi w:val="0"/>
        <w:spacing w:line="360" w:lineRule="auto"/>
        <w:ind w:firstLine="562" w:firstLineChars="200"/>
        <w:rPr>
          <w:rFonts w:hint="default"/>
          <w:b/>
          <w:bCs/>
          <w:color w:val="000000" w:themeColor="text1"/>
          <w:sz w:val="28"/>
          <w:szCs w:val="24"/>
          <w14:textFill>
            <w14:solidFill>
              <w14:schemeClr w14:val="tx1"/>
            </w14:solidFill>
          </w14:textFill>
        </w:rPr>
      </w:pPr>
      <w:r>
        <w:rPr>
          <w:rFonts w:hint="default"/>
          <w:b/>
          <w:bCs/>
          <w:color w:val="000000" w:themeColor="text1"/>
          <w:sz w:val="28"/>
          <w:szCs w:val="24"/>
          <w:lang w:val="en-US" w:eastAsia="zh-CN"/>
          <w14:textFill>
            <w14:solidFill>
              <w14:schemeClr w14:val="tx1"/>
            </w14:solidFill>
          </w14:textFill>
        </w:rPr>
        <w:t>一、</w:t>
      </w:r>
      <w:r>
        <w:rPr>
          <w:rFonts w:hint="default"/>
          <w:b/>
          <w:bCs/>
          <w:color w:val="000000" w:themeColor="text1"/>
          <w:sz w:val="28"/>
          <w:szCs w:val="24"/>
          <w14:textFill>
            <w14:solidFill>
              <w14:schemeClr w14:val="tx1"/>
            </w14:solidFill>
          </w14:textFill>
        </w:rPr>
        <w:t>组织保障</w:t>
      </w:r>
    </w:p>
    <w:p w14:paraId="233035FD">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bookmarkStart w:id="81" w:name="_Toc6689"/>
      <w:r>
        <w:rPr>
          <w:rFonts w:hint="default" w:ascii="Times New Roman" w:hAnsi="Times New Roman" w:cs="Times New Roman"/>
          <w:color w:val="000000" w:themeColor="text1"/>
          <w:sz w:val="28"/>
          <w:szCs w:val="28"/>
          <w14:textFill>
            <w14:solidFill>
              <w14:schemeClr w14:val="tx1"/>
            </w14:solidFill>
          </w14:textFill>
        </w:rPr>
        <w:t>1、管理机构</w:t>
      </w:r>
    </w:p>
    <w:p w14:paraId="0B93F65E">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健全的组织管理机构是矿区生态修复工作顺利实施的可靠保证。为保障矿区生态修复方案的实施，</w:t>
      </w:r>
      <w:r>
        <w:rPr>
          <w:rFonts w:hint="eastAsia" w:ascii="宋体" w:hAnsi="宋体" w:cs="宋体"/>
          <w:color w:val="000000" w:themeColor="text1"/>
          <w:sz w:val="28"/>
          <w:szCs w:val="28"/>
          <w14:textFill>
            <w14:solidFill>
              <w14:schemeClr w14:val="tx1"/>
            </w14:solidFill>
          </w14:textFill>
        </w:rPr>
        <w:t>赤峰太安新型建筑材料有限公司</w:t>
      </w:r>
      <w:r>
        <w:rPr>
          <w:rFonts w:hint="default" w:ascii="Times New Roman" w:hAnsi="Times New Roman" w:cs="Times New Roman"/>
          <w:color w:val="000000" w:themeColor="text1"/>
          <w:sz w:val="28"/>
          <w:szCs w:val="28"/>
          <w14:textFill>
            <w14:solidFill>
              <w14:schemeClr w14:val="tx1"/>
            </w14:solidFill>
          </w14:textFill>
        </w:rPr>
        <w:t>将设立矿区生态修复工作领导小组，全面负责矿区生态修复工作，由总经理任组长，副总经理任副组长，由生产部、地测部、环保部、财务部、保卫部等部门主管任组员。</w:t>
      </w:r>
    </w:p>
    <w:p w14:paraId="465F2441">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2、主要职责和分工</w:t>
      </w:r>
    </w:p>
    <w:p w14:paraId="4AFE9C9E">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领导小组主要任务是宣传、贯彻、落实生态修复相关法律政策，制定矿区生态修复规划和实施计划。负责选取生态修复工程施工单位，对施工队伍的资质、人员的素质乃至项目经理、工程师的经历、能力进行必要的严格考核，并全程参与生态修复工程实施。负责生态修复资金调配，组织生态修复工程验收。同时，加强规章制度建设和业务学习培训，防止质量事故和安全事故的发生。每年向管理机关汇报当年工作进展、资金使用情况和第二年项目进度安排与资金预算，自觉接受监督管理。</w:t>
      </w:r>
    </w:p>
    <w:p w14:paraId="24CB2C6C">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组长负责全局统筹工作，副组长负责协调各部门间的分工合作，小组成员根据自己所在部门的职责做好上级领导安排的各项事宜，加强与其他部门的合作，同时定期向组长及副组长汇报计划制定和项目施工进展情况。</w:t>
      </w:r>
    </w:p>
    <w:p w14:paraId="2173E89A">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3、管理制度</w:t>
      </w:r>
    </w:p>
    <w:p w14:paraId="76AF2CB7">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实行目标责任制及问责制。对主要责任人实施目标管理责任制度，将其作为责任人年度考核的主要内容。矿区生态修复工程实施监管不力、生态修复资金管理和使用不合格，追究主管领导的责任，情节严重的追究法律责任。</w:t>
      </w:r>
    </w:p>
    <w:p w14:paraId="39536157">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实行矿区生态修复资金审计制度。委托中介机构对土地复垦资金使用情况进行审计，审计方式及内容详见</w:t>
      </w:r>
      <w:r>
        <w:rPr>
          <w:rFonts w:hint="eastAsia"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资金保障</w:t>
      </w:r>
      <w:r>
        <w:rPr>
          <w:rFonts w:hint="eastAsia"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部分。</w:t>
      </w:r>
    </w:p>
    <w:p w14:paraId="61227939">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实行重大事项报告制度。矿区生态修复工程开工以前，领导小组将矿区生态修复规划和实施计划、确定的矿区生态修复工程施工单位，上报自然资源主管部门。开采工艺、实施计划、治理和复垦工程等发生重大变更，及时上报自然资源主管部门。</w:t>
      </w:r>
    </w:p>
    <w:p w14:paraId="2D80EB29">
      <w:pPr>
        <w:pStyle w:val="5"/>
        <w:bidi w:val="0"/>
        <w:spacing w:line="360" w:lineRule="auto"/>
        <w:ind w:firstLine="562" w:firstLineChars="200"/>
        <w:rPr>
          <w:rFonts w:hint="default" w:hAnsi="Times New Roman" w:cs="Times New Roman"/>
          <w:b/>
          <w:bCs/>
          <w:color w:val="000000" w:themeColor="text1"/>
          <w:sz w:val="28"/>
          <w:szCs w:val="24"/>
          <w:lang w:val="en-US" w:eastAsia="zh-CN"/>
          <w14:textFill>
            <w14:solidFill>
              <w14:schemeClr w14:val="tx1"/>
            </w14:solidFill>
          </w14:textFill>
        </w:rPr>
      </w:pPr>
      <w:r>
        <w:rPr>
          <w:rFonts w:hint="default" w:hAnsi="Times New Roman" w:cs="Times New Roman"/>
          <w:b/>
          <w:bCs/>
          <w:color w:val="000000" w:themeColor="text1"/>
          <w:sz w:val="28"/>
          <w:szCs w:val="24"/>
          <w:lang w:val="en-US" w:eastAsia="zh-CN"/>
          <w14:textFill>
            <w14:solidFill>
              <w14:schemeClr w14:val="tx1"/>
            </w14:solidFill>
          </w14:textFill>
        </w:rPr>
        <w:t>二、技术保障</w:t>
      </w:r>
      <w:bookmarkEnd w:id="81"/>
    </w:p>
    <w:p w14:paraId="45E3B50A">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bookmarkStart w:id="82" w:name="_Toc10758"/>
      <w:r>
        <w:rPr>
          <w:rFonts w:hint="default" w:ascii="Times New Roman" w:hAnsi="Times New Roman" w:cs="Times New Roman"/>
          <w:color w:val="000000" w:themeColor="text1"/>
          <w:sz w:val="28"/>
          <w:szCs w:val="28"/>
          <w14:textFill>
            <w14:solidFill>
              <w14:schemeClr w14:val="tx1"/>
            </w14:solidFill>
          </w14:textFill>
        </w:rPr>
        <w:t>根据矿区生态修复工作内容和质量要求，具体可以采用以下技术保障措施：</w:t>
      </w:r>
    </w:p>
    <w:p w14:paraId="4BA50C9C">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1、为加强技术指导和管理工作，矿山应成立专业技术人员组成的技术小组，对本矿区生态修复方案进行专门研究、全面了解，根据各项工程的技术要求，提供技术支持和质量把关，以保证项目的顺利实施。</w:t>
      </w:r>
    </w:p>
    <w:p w14:paraId="15E19D8F">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2、复垦实施中，根据修复方案内容，与相关实力雄厚的技术单位合作，编制年度计划，分阶段进行复垦。及时总结阶段性复垦实施经验，并修订本方案。</w:t>
      </w:r>
    </w:p>
    <w:p w14:paraId="0B66251C">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3、加强与相关技术单位的合作，加强与省内外具有先进矿山复垦技术单位的交流合作，及时吸取相关经验，完善复垦措施。</w:t>
      </w:r>
    </w:p>
    <w:p w14:paraId="68AA5273">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4、根据矿山环境影响和土地损毁实际情况变化，进一步完善矿区生态修复方案，扩展生态修复方案报告编制的深度、广度和适宜度，让方案更贴合矿山实际情况，更利于方案实施。</w:t>
      </w:r>
    </w:p>
    <w:p w14:paraId="6929F737">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5、严格按照建设工程招投标制度选择施工队伍，要求施工队伍具有相应资质等级和技术实力。项目施工过程中，严格遵守国家规定的工程建设程序、制度规范和技术标准。</w:t>
      </w:r>
    </w:p>
    <w:p w14:paraId="09FDF956">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6、项目领导小组应定期组织企业技术人员培训，学习国内外矿区生态修复的先进经验、先进技术、先进管理方法。在管理中遇到技术问题向相关专家咨询，向当地农业、林业、环保等主管部门请教，确保矿区生态修复工程技术可行，达到预期治理效果。</w:t>
      </w:r>
    </w:p>
    <w:p w14:paraId="6F53117C">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7、治理项目完成后，及时提请主管部门组织竣工验收，逐项核实工程量、鉴定工程质量和完成效果，对不合格工程及时返工，并会同参建单位进行经验总结，改进管理工作和技术方法。</w:t>
      </w:r>
    </w:p>
    <w:p w14:paraId="76F7D7F6">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8、做好项目后续维护管理及监测工作，确保项目目标得以实现。</w:t>
      </w:r>
      <w:r>
        <w:rPr>
          <w:rFonts w:hint="eastAsia" w:ascii="宋体" w:hAnsi="宋体" w:cs="宋体"/>
          <w:color w:val="000000" w:themeColor="text1"/>
          <w:sz w:val="28"/>
          <w:szCs w:val="28"/>
          <w:lang w:val="en-US" w:eastAsia="zh-CN"/>
          <w14:textFill>
            <w14:solidFill>
              <w14:schemeClr w14:val="tx1"/>
            </w14:solidFill>
          </w14:textFill>
        </w:rPr>
        <w:t>矿业权人</w:t>
      </w:r>
      <w:r>
        <w:rPr>
          <w:rFonts w:hint="default" w:ascii="Times New Roman" w:hAnsi="Times New Roman" w:cs="Times New Roman"/>
          <w:color w:val="000000" w:themeColor="text1"/>
          <w:sz w:val="28"/>
          <w:szCs w:val="28"/>
          <w14:textFill>
            <w14:solidFill>
              <w14:schemeClr w14:val="tx1"/>
            </w14:solidFill>
          </w14:textFill>
        </w:rPr>
        <w:t>承诺将加强对监测人员的技术培训，确保监测人员能及时发现问题；加强与相关单位的合作，定期邀请相关技术人员对矿区生态修复工程效果进行监测评估。</w:t>
      </w:r>
    </w:p>
    <w:p w14:paraId="1FB23836">
      <w:pPr>
        <w:pStyle w:val="5"/>
        <w:bidi w:val="0"/>
        <w:spacing w:line="360" w:lineRule="auto"/>
        <w:ind w:firstLine="562" w:firstLineChars="200"/>
        <w:rPr>
          <w:rFonts w:hint="default" w:hAnsi="Times New Roman" w:cs="Times New Roman"/>
          <w:b/>
          <w:bCs/>
          <w:color w:val="000000" w:themeColor="text1"/>
          <w:sz w:val="28"/>
          <w:szCs w:val="24"/>
          <w:lang w:val="en-US" w:eastAsia="zh-CN"/>
          <w14:textFill>
            <w14:solidFill>
              <w14:schemeClr w14:val="tx1"/>
            </w14:solidFill>
          </w14:textFill>
        </w:rPr>
      </w:pPr>
      <w:r>
        <w:rPr>
          <w:rFonts w:hint="default" w:hAnsi="Times New Roman" w:cs="Times New Roman"/>
          <w:b/>
          <w:bCs/>
          <w:color w:val="000000" w:themeColor="text1"/>
          <w:sz w:val="28"/>
          <w:szCs w:val="24"/>
          <w:lang w:val="en-US" w:eastAsia="zh-CN"/>
          <w14:textFill>
            <w14:solidFill>
              <w14:schemeClr w14:val="tx1"/>
            </w14:solidFill>
          </w14:textFill>
        </w:rPr>
        <w:t>三、资金保障</w:t>
      </w:r>
      <w:bookmarkEnd w:id="82"/>
    </w:p>
    <w:p w14:paraId="2A9335AE">
      <w:pPr>
        <w:adjustRightInd w:val="0"/>
        <w:snapToGrid w:val="0"/>
        <w:spacing w:line="360" w:lineRule="auto"/>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bookmarkStart w:id="83" w:name="_Toc297042231"/>
      <w:bookmarkStart w:id="84" w:name="_Toc351821392"/>
      <w:bookmarkStart w:id="85" w:name="_Toc295220712"/>
      <w:bookmarkStart w:id="86" w:name="_Toc4679"/>
      <w:r>
        <w:rPr>
          <w:rFonts w:hint="default" w:ascii="Times New Roman" w:hAnsi="Times New Roman" w:cs="Times New Roman"/>
          <w:color w:val="000000" w:themeColor="text1"/>
          <w:sz w:val="28"/>
          <w:szCs w:val="28"/>
          <w14:textFill>
            <w14:solidFill>
              <w14:schemeClr w14:val="tx1"/>
            </w14:solidFill>
          </w14:textFill>
        </w:rPr>
        <w:t>根据内蒙古自治区财政厅、自然资源厅和生态环境厅制定《内蒙古自治区矿山地质环境治理恢复基金管理办法（试行）》（内国土资规</w:t>
      </w:r>
      <w:r>
        <w:rPr>
          <w:rFonts w:hint="default" w:ascii="Times New Roman" w:hAnsi="Times New Roman" w:eastAsia="宋体" w:cs="Times New Roman"/>
          <w:color w:val="000000" w:themeColor="text1"/>
          <w:sz w:val="28"/>
          <w:szCs w:val="28"/>
          <w14:textFill>
            <w14:solidFill>
              <w14:schemeClr w14:val="tx1"/>
            </w14:solidFill>
          </w14:textFill>
        </w:rPr>
        <w:t>〔20</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19</w:t>
      </w:r>
      <w:r>
        <w:rPr>
          <w:rFonts w:hint="default" w:ascii="Times New Roman" w:hAnsi="Times New Roman" w:eastAsia="宋体" w:cs="Times New Roman"/>
          <w:color w:val="000000" w:themeColor="text1"/>
          <w:sz w:val="28"/>
          <w:szCs w:val="28"/>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3号），该文件指明取消传统保证金，建立</w:t>
      </w:r>
      <w:r>
        <w:rPr>
          <w:rFonts w:hint="eastAsia"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企业计提、专项使用、属地监管</w:t>
      </w:r>
      <w:r>
        <w:rPr>
          <w:rFonts w:hint="eastAsia"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的基金制度，按年度提取，额度=矿类基数×开采影响系数（</w:t>
      </w:r>
      <w:r>
        <w:rPr>
          <w:rFonts w:hint="eastAsia" w:ascii="Times New Roman" w:hAnsi="Times New Roman" w:cs="Times New Roman"/>
          <w:color w:val="000000" w:themeColor="text1"/>
          <w:sz w:val="28"/>
          <w:szCs w:val="28"/>
          <w:lang w:val="en-US" w:eastAsia="zh-CN"/>
          <w14:textFill>
            <w14:solidFill>
              <w14:schemeClr w14:val="tx1"/>
            </w14:solidFill>
          </w14:textFill>
        </w:rPr>
        <w:t>露天</w:t>
      </w:r>
      <w:r>
        <w:rPr>
          <w:rFonts w:hint="default" w:ascii="Times New Roman" w:hAnsi="Times New Roman" w:cs="Times New Roman"/>
          <w:color w:val="000000" w:themeColor="text1"/>
          <w:sz w:val="28"/>
          <w:szCs w:val="28"/>
          <w14:textFill>
            <w14:solidFill>
              <w14:schemeClr w14:val="tx1"/>
            </w14:solidFill>
          </w14:textFill>
        </w:rPr>
        <w:t>）×土地复垦难度系数×地区影响系数×年度实际矿石产量，实行动态调整机制；2018年成立了矿山生态修复基金，专门核算基金的提取与使用，实现</w:t>
      </w:r>
      <w:r>
        <w:rPr>
          <w:rFonts w:hint="eastAsia"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资金与生产经营账户物理分离</w:t>
      </w:r>
      <w:r>
        <w:rPr>
          <w:rFonts w:hint="eastAsia"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专款专用，不得用于非治理类支出。将矿区生态修复费用列入企业生产会计科目之中，保证资金落实。遵循企业所有、政府监管、专户存储、专款专用的原则，绝不准许挪用矿区生态修复经费。高度重视矿区生态修复工作，按相关方案制定</w:t>
      </w:r>
      <w:r>
        <w:rPr>
          <w:rFonts w:hint="default" w:ascii="Times New Roman" w:hAnsi="Times New Roman" w:eastAsia="宋体" w:cs="Times New Roman"/>
          <w:color w:val="000000" w:themeColor="text1"/>
          <w:sz w:val="28"/>
          <w:szCs w:val="28"/>
          <w14:textFill>
            <w14:solidFill>
              <w14:schemeClr w14:val="tx1"/>
            </w14:solidFill>
          </w14:textFill>
        </w:rPr>
        <w:t>的治理规划，分期分批把治理复垦资金纳入每个年度预算之中，确保各项治理工作能落实到位。</w:t>
      </w:r>
    </w:p>
    <w:p w14:paraId="0909D163">
      <w:pPr>
        <w:snapToGrid w:val="0"/>
        <w:spacing w:line="360" w:lineRule="auto"/>
        <w:ind w:firstLine="560" w:firstLineChars="200"/>
        <w:outlineLvl w:val="9"/>
        <w:rPr>
          <w:rFonts w:hint="default" w:ascii="Times New Roman" w:hAnsi="Times New Roman" w:eastAsia="宋体" w:cs="Times New Roman"/>
          <w:color w:val="000000" w:themeColor="text1"/>
          <w:sz w:val="28"/>
          <w:szCs w:val="21"/>
          <w:highlight w:val="none"/>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将土地复垦费用存入该矿山生态修复基金专用账户，首次预存额占本次土地复垦费用总金额的20.00%以上，并在采矿证到期前1年计提完毕，在确保满足土地复垦工程各年度费用的基础上，根据土地复垦工程动态投资总额度制定年度复垦费用计提计划。</w:t>
      </w:r>
    </w:p>
    <w:bookmarkEnd w:id="83"/>
    <w:bookmarkEnd w:id="84"/>
    <w:bookmarkEnd w:id="85"/>
    <w:p w14:paraId="4A4BA0AC">
      <w:pPr>
        <w:rPr>
          <w:rFonts w:hint="eastAsia" w:hAnsi="Times New Roman" w:cs="Times New Roman"/>
          <w:b/>
          <w:bCs/>
          <w:color w:val="000000" w:themeColor="text1"/>
          <w:sz w:val="28"/>
          <w:szCs w:val="24"/>
          <w:lang w:val="en-US" w:eastAsia="zh-CN"/>
          <w14:textFill>
            <w14:solidFill>
              <w14:schemeClr w14:val="tx1"/>
            </w14:solidFill>
          </w14:textFill>
        </w:rPr>
      </w:pPr>
      <w:r>
        <w:rPr>
          <w:rFonts w:hint="eastAsia" w:hAnsi="Times New Roman" w:cs="Times New Roman"/>
          <w:b/>
          <w:bCs/>
          <w:color w:val="000000" w:themeColor="text1"/>
          <w:sz w:val="28"/>
          <w:szCs w:val="24"/>
          <w:lang w:val="en-US" w:eastAsia="zh-CN"/>
          <w14:textFill>
            <w14:solidFill>
              <w14:schemeClr w14:val="tx1"/>
            </w14:solidFill>
          </w14:textFill>
        </w:rPr>
        <w:br w:type="page"/>
      </w:r>
    </w:p>
    <w:p w14:paraId="7C85D755">
      <w:pPr>
        <w:pStyle w:val="5"/>
        <w:bidi w:val="0"/>
        <w:spacing w:line="360" w:lineRule="auto"/>
        <w:ind w:firstLine="562" w:firstLineChars="200"/>
        <w:rPr>
          <w:rFonts w:hint="default" w:hAnsi="Times New Roman" w:cs="Times New Roman"/>
          <w:b/>
          <w:bCs/>
          <w:color w:val="000000" w:themeColor="text1"/>
          <w:sz w:val="28"/>
          <w:szCs w:val="24"/>
          <w:lang w:val="en-US" w:eastAsia="zh-CN"/>
          <w14:textFill>
            <w14:solidFill>
              <w14:schemeClr w14:val="tx1"/>
            </w14:solidFill>
          </w14:textFill>
        </w:rPr>
      </w:pPr>
      <w:r>
        <w:rPr>
          <w:rFonts w:hint="eastAsia" w:hAnsi="Times New Roman" w:cs="Times New Roman"/>
          <w:b/>
          <w:bCs/>
          <w:color w:val="000000" w:themeColor="text1"/>
          <w:sz w:val="28"/>
          <w:szCs w:val="24"/>
          <w:lang w:val="en-US" w:eastAsia="zh-CN"/>
          <w14:textFill>
            <w14:solidFill>
              <w14:schemeClr w14:val="tx1"/>
            </w14:solidFill>
          </w14:textFill>
        </w:rPr>
        <w:t>四</w:t>
      </w:r>
      <w:r>
        <w:rPr>
          <w:rFonts w:hint="default" w:hAnsi="Times New Roman" w:cs="Times New Roman"/>
          <w:b/>
          <w:bCs/>
          <w:color w:val="000000" w:themeColor="text1"/>
          <w:sz w:val="28"/>
          <w:szCs w:val="24"/>
          <w:lang w:val="en-US" w:eastAsia="zh-CN"/>
          <w14:textFill>
            <w14:solidFill>
              <w14:schemeClr w14:val="tx1"/>
            </w14:solidFill>
          </w14:textFill>
        </w:rPr>
        <w:t>、监管保障</w:t>
      </w:r>
    </w:p>
    <w:p w14:paraId="64E33AE3">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《矿区生态修复方案》报请中华人民共和国自然资源部批准后，由本矿区土地复垦义务人：</w:t>
      </w:r>
      <w:r>
        <w:rPr>
          <w:rFonts w:hint="eastAsia" w:ascii="宋体" w:hAnsi="宋体" w:cs="宋体"/>
          <w:color w:val="000000" w:themeColor="text1"/>
          <w:sz w:val="28"/>
          <w:szCs w:val="28"/>
          <w14:textFill>
            <w14:solidFill>
              <w14:schemeClr w14:val="tx1"/>
            </w14:solidFill>
          </w14:textFill>
        </w:rPr>
        <w:t>赤峰太安新型建筑材料有限公司</w:t>
      </w:r>
      <w:r>
        <w:rPr>
          <w:rFonts w:hint="default" w:ascii="Times New Roman" w:hAnsi="Times New Roman" w:cs="Times New Roman"/>
          <w:color w:val="000000" w:themeColor="text1"/>
          <w:sz w:val="28"/>
          <w:szCs w:val="28"/>
          <w14:textFill>
            <w14:solidFill>
              <w14:schemeClr w14:val="tx1"/>
            </w14:solidFill>
          </w14:textFill>
        </w:rPr>
        <w:t>负责组织实施。监管控制应坚持</w:t>
      </w:r>
      <w:r>
        <w:rPr>
          <w:rFonts w:hint="eastAsia"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预防为主</w:t>
      </w:r>
      <w:r>
        <w:rPr>
          <w:rFonts w:hint="eastAsia" w:ascii="Times New Roman" w:hAnsi="Times New Roman"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方针，从事后检验变为事先管理，在项目管理的全过程中，注重事前、事中控制，采取处罚监管措施，消除不合质量要求的因素，以有效地控制工程质量。建立动态监管调控体系，确保项目建设的社会效益、环境态效益和经济效益的充分发挥，确保土地资源的可持续发展。</w:t>
      </w:r>
    </w:p>
    <w:p w14:paraId="7C570FC5">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土地复垦义务人应当于每年12月31日前向所在地县级自然资源主管部门报告当年土地复垦义务履行情况，包括下列内容：</w:t>
      </w:r>
    </w:p>
    <w:p w14:paraId="3304FBB1">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1、年度土地损毁情况，包括土地损毁方式、地类、位置、权属、面积、程度等；</w:t>
      </w:r>
    </w:p>
    <w:p w14:paraId="61388A58">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2、年度恢复治理与土地复垦基金费用预存、使用和管理等情况；</w:t>
      </w:r>
    </w:p>
    <w:p w14:paraId="51203207">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3、年度土地复垦实施情况，包括复垦地类、位置、面积、权属、主要复垦措施、工程量等；</w:t>
      </w:r>
    </w:p>
    <w:p w14:paraId="5B2C0B23">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4、自然资源主管部门规定的其他年度报告内容。</w:t>
      </w:r>
    </w:p>
    <w:p w14:paraId="43B41A54">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县级自然资源主管部门应当加强对土地复垦义务人报告事项履行情况的监督核实，并可以根据情况将土地复垦义务履行情况年度报告在门户网站上公开。</w:t>
      </w:r>
    </w:p>
    <w:p w14:paraId="6F62CF78">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赤峰太安新型建筑材料有限公司</w:t>
      </w:r>
      <w:r>
        <w:rPr>
          <w:rFonts w:hint="default" w:ascii="Times New Roman" w:hAnsi="Times New Roman" w:cs="Times New Roman"/>
          <w:color w:val="000000" w:themeColor="text1"/>
          <w:sz w:val="28"/>
          <w:szCs w:val="28"/>
          <w14:textFill>
            <w14:solidFill>
              <w14:schemeClr w14:val="tx1"/>
            </w14:solidFill>
          </w14:textFill>
        </w:rPr>
        <w:t>应定期向本地自然资源局报告当年复垦情况，接受县级以上自然资源主管部门对土地复垦实施情况的监督检查，接受社会对土地复垦实施情况的监督等保障措施。</w:t>
      </w:r>
    </w:p>
    <w:p w14:paraId="4718F789">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赤峰太安新型建筑材料有限公司</w:t>
      </w:r>
      <w:r>
        <w:rPr>
          <w:rFonts w:hint="default" w:ascii="Times New Roman" w:hAnsi="Times New Roman" w:cs="Times New Roman"/>
          <w:color w:val="000000" w:themeColor="text1"/>
          <w:sz w:val="28"/>
          <w:szCs w:val="28"/>
          <w14:textFill>
            <w14:solidFill>
              <w14:schemeClr w14:val="tx1"/>
            </w14:solidFill>
          </w14:textFill>
        </w:rPr>
        <w:t>如不履行复垦义务，按照《土地管理法》、《土地复垦条例》等法律法规和政策文件的规定依法处罚。</w:t>
      </w:r>
    </w:p>
    <w:bookmarkEnd w:id="86"/>
    <w:p w14:paraId="1E209721">
      <w:pPr>
        <w:rPr>
          <w:rFonts w:hint="eastAsia" w:ascii="Times New Roman" w:hAnsi="Times New Roman" w:eastAsia="宋体" w:cs="Times New Roman"/>
          <w:b/>
          <w:bCs/>
          <w:color w:val="000000" w:themeColor="text1"/>
          <w:sz w:val="30"/>
          <w:szCs w:val="30"/>
          <w:highlight w:val="none"/>
          <w:lang w:val="en-US" w:eastAsia="zh-CN"/>
          <w14:textFill>
            <w14:solidFill>
              <w14:schemeClr w14:val="tx1"/>
            </w14:solidFill>
          </w14:textFill>
        </w:rPr>
      </w:pPr>
      <w:bookmarkStart w:id="87" w:name="_Toc20235"/>
      <w:bookmarkStart w:id="88" w:name="_Toc32033"/>
      <w:r>
        <w:rPr>
          <w:rFonts w:hint="eastAsia" w:ascii="Times New Roman" w:hAnsi="Times New Roman" w:eastAsia="宋体" w:cs="Times New Roman"/>
          <w:b/>
          <w:bCs/>
          <w:color w:val="000000" w:themeColor="text1"/>
          <w:sz w:val="30"/>
          <w:szCs w:val="30"/>
          <w:highlight w:val="none"/>
          <w:lang w:val="en-US" w:eastAsia="zh-CN"/>
          <w14:textFill>
            <w14:solidFill>
              <w14:schemeClr w14:val="tx1"/>
            </w14:solidFill>
          </w14:textFill>
        </w:rPr>
        <w:br w:type="page"/>
      </w:r>
    </w:p>
    <w:p w14:paraId="029B81B7">
      <w:pPr>
        <w:pStyle w:val="3"/>
        <w:keepNext/>
        <w:keepLines/>
        <w:pageBreakBefore w:val="0"/>
        <w:widowControl w:val="0"/>
        <w:kinsoku/>
        <w:wordWrap/>
        <w:overflowPunct w:val="0"/>
        <w:topLinePunct/>
        <w:autoSpaceDE/>
        <w:autoSpaceDN/>
        <w:bidi w:val="0"/>
        <w:adjustRightInd/>
        <w:snapToGrid/>
        <w:spacing w:before="0" w:beforeLines="-2147483648" w:beforeAutospacing="0" w:after="0" w:afterAutospacing="0" w:line="360" w:lineRule="auto"/>
        <w:ind w:left="0"/>
        <w:jc w:val="center"/>
        <w:textAlignment w:val="auto"/>
        <w:outlineLvl w:val="1"/>
        <w:rPr>
          <w:rFonts w:hint="eastAsia" w:ascii="Times New Roman" w:hAnsi="Times New Roman" w:eastAsia="宋体" w:cs="Times New Roman"/>
          <w:b/>
          <w:bCs/>
          <w:color w:val="000000" w:themeColor="text1"/>
          <w:sz w:val="30"/>
          <w:szCs w:val="30"/>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30"/>
          <w:szCs w:val="30"/>
          <w:highlight w:val="none"/>
          <w:lang w:val="en-US" w:eastAsia="zh-CN"/>
          <w14:textFill>
            <w14:solidFill>
              <w14:schemeClr w14:val="tx1"/>
            </w14:solidFill>
          </w14:textFill>
        </w:rPr>
        <w:t>第二节  公众参与</w:t>
      </w:r>
      <w:bookmarkEnd w:id="87"/>
      <w:bookmarkEnd w:id="88"/>
    </w:p>
    <w:p w14:paraId="410A2FFD">
      <w:pPr>
        <w:adjustRightInd w:val="0"/>
        <w:snapToGrid w:val="0"/>
        <w:spacing w:line="360" w:lineRule="auto"/>
        <w:ind w:firstLine="560" w:firstLineChars="200"/>
        <w:rPr>
          <w:rFonts w:hint="default" w:ascii="Times New Roman" w:hAnsi="Times New Roman" w:eastAsia="宋体" w:cs="Times New Roman"/>
          <w:color w:val="000000" w:themeColor="text1"/>
          <w:sz w:val="28"/>
          <w:szCs w:val="28"/>
          <w:highlight w:val="none"/>
          <w14:textFill>
            <w14:solidFill>
              <w14:schemeClr w14:val="tx1"/>
            </w14:solidFill>
          </w14:textFill>
        </w:rPr>
      </w:pPr>
      <w:r>
        <w:rPr>
          <w:rFonts w:hint="default" w:ascii="Times New Roman" w:hAnsi="Times New Roman" w:eastAsia="宋体" w:cs="Times New Roman"/>
          <w:color w:val="000000" w:themeColor="text1"/>
          <w:sz w:val="28"/>
          <w:szCs w:val="28"/>
          <w:highlight w:val="none"/>
          <w14:textFill>
            <w14:solidFill>
              <w14:schemeClr w14:val="tx1"/>
            </w14:solidFill>
          </w14:textFill>
        </w:rPr>
        <w:t>生态修复是一项复杂的系统工程，不仅关乎矿区自然生态环境的修复成效，更与周边村民的基本民生保障紧密相连。为实现矿山治理与区域原始生态</w:t>
      </w:r>
      <w:r>
        <w:rPr>
          <w:rFonts w:hint="eastAsia" w:eastAsia="宋体" w:cs="Times New Roman"/>
          <w:color w:val="000000" w:themeColor="text1"/>
          <w:sz w:val="28"/>
          <w:szCs w:val="28"/>
          <w:highlight w:val="none"/>
          <w:lang w:val="en-US" w:eastAsia="zh-CN"/>
          <w14:textFill>
            <w14:solidFill>
              <w14:schemeClr w14:val="tx1"/>
            </w14:solidFill>
          </w14:textFill>
        </w:rPr>
        <w:t>环</w:t>
      </w:r>
      <w:r>
        <w:rPr>
          <w:rFonts w:hint="default" w:ascii="Times New Roman" w:hAnsi="Times New Roman" w:eastAsia="宋体" w:cs="Times New Roman"/>
          <w:color w:val="000000" w:themeColor="text1"/>
          <w:sz w:val="28"/>
          <w:szCs w:val="28"/>
          <w:highlight w:val="none"/>
          <w14:textFill>
            <w14:solidFill>
              <w14:schemeClr w14:val="tx1"/>
            </w14:solidFill>
          </w14:textFill>
        </w:rPr>
        <w:t>境有机衔接，确保矿山终采后向原始权属人交付时无争议，在生态修复工作推进过程中，需充分尊重权属村民的意愿，主动征询村集体及村民代表意见，保障修复成果符合权属人后续使用需求。</w:t>
      </w:r>
    </w:p>
    <w:p w14:paraId="720C0DB9">
      <w:pPr>
        <w:adjustRightInd w:val="0"/>
        <w:snapToGrid w:val="0"/>
        <w:spacing w:line="360" w:lineRule="auto"/>
        <w:ind w:firstLine="560" w:firstLineChars="200"/>
        <w:rPr>
          <w:rFonts w:hint="eastAsia" w:eastAsia="宋体" w:cs="Times New Roman"/>
          <w:color w:val="000000" w:themeColor="text1"/>
          <w:sz w:val="28"/>
          <w:szCs w:val="28"/>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8"/>
          <w:szCs w:val="28"/>
          <w:highlight w:val="none"/>
          <w14:textFill>
            <w14:solidFill>
              <w14:schemeClr w14:val="tx1"/>
            </w14:solidFill>
          </w14:textFill>
        </w:rPr>
        <w:t>经实地走访核查确认，该矿区影响范围土地所有权归</w:t>
      </w:r>
      <w:r>
        <w:rPr>
          <w:rFonts w:hint="default" w:ascii="Times New Roman" w:hAnsi="Times New Roman" w:cs="Times New Roman"/>
          <w:color w:val="000000" w:themeColor="text1"/>
          <w:sz w:val="28"/>
          <w:szCs w:val="21"/>
          <w:highlight w:val="none"/>
          <w14:textFill>
            <w14:solidFill>
              <w14:schemeClr w14:val="tx1"/>
            </w14:solidFill>
          </w14:textFill>
        </w:rPr>
        <w:t>松山区</w:t>
      </w:r>
      <w:r>
        <w:rPr>
          <w:rFonts w:hint="default" w:ascii="Times New Roman" w:hAnsi="Times New Roman" w:cs="Times New Roman"/>
          <w:color w:val="000000" w:themeColor="text1"/>
          <w:sz w:val="28"/>
          <w:szCs w:val="21"/>
          <w:highlight w:val="none"/>
          <w:lang w:val="zh-CN"/>
          <w14:textFill>
            <w14:solidFill>
              <w14:schemeClr w14:val="tx1"/>
            </w14:solidFill>
          </w14:textFill>
        </w:rPr>
        <w:t>太平地镇五十家子村</w:t>
      </w:r>
      <w:r>
        <w:rPr>
          <w:rFonts w:hint="default" w:ascii="Times New Roman" w:hAnsi="Times New Roman" w:eastAsia="宋体" w:cs="Times New Roman"/>
          <w:color w:val="000000" w:themeColor="text1"/>
          <w:sz w:val="28"/>
          <w:szCs w:val="28"/>
          <w:highlight w:val="none"/>
          <w14:textFill>
            <w14:solidFill>
              <w14:schemeClr w14:val="tx1"/>
            </w14:solidFill>
          </w14:textFill>
        </w:rPr>
        <w:t>集体所有。</w:t>
      </w:r>
      <w:r>
        <w:rPr>
          <w:rFonts w:hint="eastAsia" w:eastAsia="宋体" w:cs="Times New Roman"/>
          <w:color w:val="000000" w:themeColor="text1"/>
          <w:sz w:val="28"/>
          <w:szCs w:val="28"/>
          <w:highlight w:val="none"/>
          <w:lang w:val="en-US" w:eastAsia="zh-CN"/>
          <w14:textFill>
            <w14:solidFill>
              <w14:schemeClr w14:val="tx1"/>
            </w14:solidFill>
          </w14:textFill>
        </w:rPr>
        <w:t>其</w:t>
      </w:r>
      <w:r>
        <w:rPr>
          <w:rFonts w:hint="default" w:ascii="Times New Roman" w:hAnsi="Times New Roman" w:eastAsia="宋体" w:cs="Times New Roman"/>
          <w:color w:val="000000" w:themeColor="text1"/>
          <w:sz w:val="28"/>
          <w:szCs w:val="28"/>
          <w:highlight w:val="none"/>
          <w14:textFill>
            <w14:solidFill>
              <w14:schemeClr w14:val="tx1"/>
            </w14:solidFill>
          </w14:textFill>
        </w:rPr>
        <w:t>公众参与过程</w:t>
      </w:r>
      <w:r>
        <w:rPr>
          <w:rFonts w:hint="eastAsia" w:eastAsia="宋体" w:cs="Times New Roman"/>
          <w:color w:val="000000" w:themeColor="text1"/>
          <w:sz w:val="28"/>
          <w:szCs w:val="28"/>
          <w:highlight w:val="none"/>
          <w:lang w:val="en-US" w:eastAsia="zh-CN"/>
          <w14:textFill>
            <w14:solidFill>
              <w14:schemeClr w14:val="tx1"/>
            </w14:solidFill>
          </w14:textFill>
        </w:rPr>
        <w:t>如下：</w:t>
      </w:r>
    </w:p>
    <w:p w14:paraId="5FF0DC18">
      <w:pPr>
        <w:pStyle w:val="5"/>
        <w:bidi w:val="0"/>
        <w:spacing w:line="360" w:lineRule="auto"/>
        <w:ind w:firstLine="562" w:firstLineChars="200"/>
        <w:rPr>
          <w:rFonts w:hint="eastAsia" w:hAnsi="Times New Roman" w:cs="Times New Roman"/>
          <w:b/>
          <w:bCs/>
          <w:color w:val="000000" w:themeColor="text1"/>
          <w:sz w:val="28"/>
          <w:szCs w:val="24"/>
          <w:lang w:val="en-US" w:eastAsia="zh-CN"/>
          <w14:textFill>
            <w14:solidFill>
              <w14:schemeClr w14:val="tx1"/>
            </w14:solidFill>
          </w14:textFill>
        </w:rPr>
      </w:pPr>
      <w:r>
        <w:rPr>
          <w:rFonts w:hint="eastAsia" w:hAnsi="Times New Roman" w:cs="Times New Roman"/>
          <w:b/>
          <w:bCs/>
          <w:color w:val="000000" w:themeColor="text1"/>
          <w:sz w:val="28"/>
          <w:szCs w:val="24"/>
          <w:lang w:val="en-US" w:eastAsia="zh-CN"/>
          <w14:textFill>
            <w14:solidFill>
              <w14:schemeClr w14:val="tx1"/>
            </w14:solidFill>
          </w14:textFill>
        </w:rPr>
        <w:t>一、公众参与开展情况</w:t>
      </w:r>
    </w:p>
    <w:p w14:paraId="6B9952CC">
      <w:pPr>
        <w:adjustRightInd w:val="0"/>
        <w:snapToGrid w:val="0"/>
        <w:spacing w:line="360" w:lineRule="auto"/>
        <w:ind w:firstLine="560" w:firstLineChars="200"/>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在《赤峰太安新型建筑材料有限公司太平地镇粘土矿矿区生态修复方案》（以下简称《方案》）编制过程中，项目组严格遵循TD/T 1031.1-2011《矿山地质环境恢复和综合治理方案编制规范》6.10.5条款相关要求，对矿区涉及的利益相关方</w:t>
      </w:r>
      <w:r>
        <w:rPr>
          <w:rFonts w:hint="default" w:ascii="Times New Roman" w:hAnsi="Times New Roman" w:cs="Times New Roman"/>
          <w:color w:val="000000" w:themeColor="text1"/>
          <w:sz w:val="28"/>
          <w:szCs w:val="21"/>
          <w:highlight w:val="none"/>
          <w14:textFill>
            <w14:solidFill>
              <w14:schemeClr w14:val="tx1"/>
            </w14:solidFill>
          </w14:textFill>
        </w:rPr>
        <w:t>松山区</w:t>
      </w:r>
      <w:r>
        <w:rPr>
          <w:rFonts w:hint="default" w:ascii="Times New Roman" w:hAnsi="Times New Roman" w:cs="Times New Roman"/>
          <w:color w:val="000000" w:themeColor="text1"/>
          <w:sz w:val="28"/>
          <w:szCs w:val="21"/>
          <w:highlight w:val="none"/>
          <w:lang w:val="zh-CN"/>
          <w14:textFill>
            <w14:solidFill>
              <w14:schemeClr w14:val="tx1"/>
            </w14:solidFill>
          </w14:textFill>
        </w:rPr>
        <w:t>太平地镇</w:t>
      </w:r>
      <w:r>
        <w:rPr>
          <w:rFonts w:hint="eastAsia" w:eastAsia="宋体" w:cs="Times New Roman"/>
          <w:color w:val="000000" w:themeColor="text1"/>
          <w:spacing w:val="0"/>
          <w:sz w:val="28"/>
          <w:szCs w:val="28"/>
          <w:highlight w:val="none"/>
          <w:lang w:val="en-US" w:eastAsia="zh-CN"/>
          <w14:textFill>
            <w14:solidFill>
              <w14:schemeClr w14:val="tx1"/>
            </w14:solidFill>
          </w14:textFill>
        </w:rPr>
        <w:t>人民政府、</w:t>
      </w:r>
      <w:r>
        <w:rPr>
          <w:rFonts w:hint="default" w:ascii="Times New Roman" w:hAnsi="Times New Roman" w:cs="Times New Roman"/>
          <w:color w:val="000000" w:themeColor="text1"/>
          <w:sz w:val="28"/>
          <w:szCs w:val="21"/>
          <w:highlight w:val="none"/>
          <w:lang w:val="zh-CN"/>
          <w14:textFill>
            <w14:solidFill>
              <w14:schemeClr w14:val="tx1"/>
            </w14:solidFill>
          </w14:textFill>
        </w:rPr>
        <w:t>五十家子村</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开展了公众参与工作，具体过程及意见处理情况如下：</w:t>
      </w:r>
    </w:p>
    <w:p w14:paraId="70105656">
      <w:pPr>
        <w:adjustRightInd w:val="0"/>
        <w:snapToGrid w:val="0"/>
        <w:spacing w:line="360" w:lineRule="auto"/>
        <w:ind w:firstLine="562" w:firstLineChars="200"/>
        <w:rPr>
          <w:rFonts w:hint="default" w:eastAsia="宋体" w:cs="Times New Roman"/>
          <w:b/>
          <w:bCs/>
          <w:color w:val="000000" w:themeColor="text1"/>
          <w:sz w:val="28"/>
          <w:szCs w:val="28"/>
          <w:highlight w:val="none"/>
          <w:lang w:val="en-US" w:eastAsia="zh-CN"/>
          <w14:textFill>
            <w14:solidFill>
              <w14:schemeClr w14:val="tx1"/>
            </w14:solidFill>
          </w14:textFill>
        </w:rPr>
      </w:pPr>
      <w:r>
        <w:rPr>
          <w:rFonts w:hint="eastAsia" w:eastAsia="宋体" w:cs="Times New Roman"/>
          <w:b/>
          <w:bCs/>
          <w:color w:val="000000" w:themeColor="text1"/>
          <w:sz w:val="28"/>
          <w:szCs w:val="28"/>
          <w:highlight w:val="none"/>
          <w:lang w:val="en-US" w:eastAsia="zh-CN"/>
          <w14:textFill>
            <w14:solidFill>
              <w14:schemeClr w14:val="tx1"/>
            </w14:solidFill>
          </w14:textFill>
        </w:rPr>
        <w:t>（一）调查走访</w:t>
      </w:r>
    </w:p>
    <w:p w14:paraId="73F4A3CA">
      <w:pPr>
        <w:adjustRightInd w:val="0"/>
        <w:snapToGrid w:val="0"/>
        <w:spacing w:line="360" w:lineRule="auto"/>
        <w:ind w:firstLine="560" w:firstLineChars="200"/>
        <w:rPr>
          <w:rFonts w:hint="eastAsia" w:eastAsia="宋体" w:cs="Times New Roman"/>
          <w:b/>
          <w:bCs/>
          <w:color w:val="000000" w:themeColor="text1"/>
          <w:sz w:val="28"/>
          <w:szCs w:val="28"/>
          <w:highlight w:val="none"/>
          <w:lang w:val="en-US" w:eastAsia="zh-CN"/>
          <w14:textFill>
            <w14:solidFill>
              <w14:schemeClr w14:val="tx1"/>
            </w14:solidFill>
          </w14:textFill>
        </w:rPr>
      </w:pPr>
      <w:r>
        <w:rPr>
          <w:rFonts w:hint="eastAsia" w:eastAsia="宋体" w:cs="Times New Roman"/>
          <w:color w:val="000000" w:themeColor="text1"/>
          <w:sz w:val="28"/>
          <w:szCs w:val="28"/>
          <w:highlight w:val="none"/>
          <w:lang w:val="en-US" w:eastAsia="zh-CN"/>
          <w14:textFill>
            <w14:solidFill>
              <w14:schemeClr w14:val="tx1"/>
            </w14:solidFill>
          </w14:textFill>
        </w:rPr>
        <w:t>在方案编制初期，项目组在</w:t>
      </w:r>
      <w:r>
        <w:rPr>
          <w:rFonts w:hint="default" w:ascii="Times New Roman" w:hAnsi="Times New Roman" w:cs="Times New Roman"/>
          <w:color w:val="000000" w:themeColor="text1"/>
          <w:sz w:val="28"/>
          <w:szCs w:val="21"/>
          <w:highlight w:val="none"/>
          <w:lang w:val="zh-CN"/>
          <w14:textFill>
            <w14:solidFill>
              <w14:schemeClr w14:val="tx1"/>
            </w14:solidFill>
          </w14:textFill>
        </w:rPr>
        <w:t>太平地镇五十家子村</w:t>
      </w:r>
      <w:r>
        <w:rPr>
          <w:rFonts w:hint="eastAsia" w:eastAsia="宋体" w:cs="Times New Roman"/>
          <w:color w:val="000000" w:themeColor="text1"/>
          <w:sz w:val="28"/>
          <w:szCs w:val="28"/>
          <w:highlight w:val="none"/>
          <w:lang w:val="en-US" w:eastAsia="zh-CN"/>
          <w14:textFill>
            <w14:solidFill>
              <w14:schemeClr w14:val="tx1"/>
            </w14:solidFill>
          </w14:textFill>
        </w:rPr>
        <w:t>进行调查、走访村名代表，详细介绍矿区现场调查的损毁情况、初步拟定的修复方向（如恢复为</w:t>
      </w:r>
      <w:r>
        <w:rPr>
          <w:rFonts w:hint="eastAsia" w:cs="Times New Roman"/>
          <w:color w:val="000000" w:themeColor="text1"/>
          <w:sz w:val="28"/>
          <w:szCs w:val="28"/>
          <w:highlight w:val="none"/>
          <w:lang w:val="en-US" w:eastAsia="zh-CN"/>
          <w14:textFill>
            <w14:solidFill>
              <w14:schemeClr w14:val="tx1"/>
            </w14:solidFill>
          </w14:textFill>
        </w:rPr>
        <w:t>水浇地</w:t>
      </w:r>
      <w:r>
        <w:rPr>
          <w:rFonts w:hint="eastAsia" w:eastAsia="宋体" w:cs="Times New Roman"/>
          <w:color w:val="000000" w:themeColor="text1"/>
          <w:sz w:val="28"/>
          <w:szCs w:val="28"/>
          <w:highlight w:val="none"/>
          <w:lang w:val="en-US" w:eastAsia="zh-CN"/>
          <w14:textFill>
            <w14:solidFill>
              <w14:schemeClr w14:val="tx1"/>
            </w14:solidFill>
          </w14:textFill>
        </w:rPr>
        <w:t>、林地、草地等），主要技术措施、施工安排及预期效果。重点针对修复后的土地利用方向、权属处理、施工期间对生产生活的影响、长期管护等与村民切身利益相关的问题进行了深入讲解和讨论。并提供了书面公众参与调查表，方便未参会村民补充提出意见，征集期持续10天。</w:t>
      </w:r>
    </w:p>
    <w:p w14:paraId="45CD26A1">
      <w:pPr>
        <w:adjustRightInd w:val="0"/>
        <w:snapToGrid w:val="0"/>
        <w:spacing w:line="360" w:lineRule="auto"/>
        <w:ind w:firstLine="562" w:firstLineChars="200"/>
        <w:rPr>
          <w:rFonts w:hint="eastAsia" w:eastAsia="宋体" w:cs="Times New Roman"/>
          <w:b/>
          <w:bCs/>
          <w:color w:val="000000" w:themeColor="text1"/>
          <w:sz w:val="28"/>
          <w:szCs w:val="28"/>
          <w:highlight w:val="none"/>
          <w:lang w:val="en-US" w:eastAsia="zh-CN"/>
          <w14:textFill>
            <w14:solidFill>
              <w14:schemeClr w14:val="tx1"/>
            </w14:solidFill>
          </w14:textFill>
        </w:rPr>
      </w:pPr>
      <w:r>
        <w:rPr>
          <w:rFonts w:hint="eastAsia" w:eastAsia="宋体" w:cs="Times New Roman"/>
          <w:b/>
          <w:bCs/>
          <w:color w:val="000000" w:themeColor="text1"/>
          <w:sz w:val="28"/>
          <w:szCs w:val="28"/>
          <w:highlight w:val="none"/>
          <w:lang w:val="en-US" w:eastAsia="zh-CN"/>
          <w14:textFill>
            <w14:solidFill>
              <w14:schemeClr w14:val="tx1"/>
            </w14:solidFill>
          </w14:textFill>
        </w:rPr>
        <w:t>（二）专题会议组织与议题</w:t>
      </w:r>
    </w:p>
    <w:p w14:paraId="42E30930">
      <w:pPr>
        <w:adjustRightInd w:val="0"/>
        <w:snapToGrid w:val="0"/>
        <w:spacing w:line="360" w:lineRule="auto"/>
        <w:ind w:firstLine="560" w:firstLineChars="200"/>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为科学确定矿区土地复垦方向、协调生态修复与民生需求，项目组组织召开“关于《赤峰太安新型建筑材料有限公司太平地镇粘土矿矿区生态修复方案》土地复垦方向专题讨论会</w:t>
      </w:r>
      <w:r>
        <w:rPr>
          <w:rFonts w:hint="eastAsia" w:eastAsia="宋体" w:cs="Times New Roman"/>
          <w:color w:val="000000" w:themeColor="text1"/>
          <w:sz w:val="28"/>
          <w:szCs w:val="28"/>
          <w:highlight w:val="none"/>
          <w:lang w:val="en-US" w:eastAsia="zh-CN"/>
          <w14:textFill>
            <w14:solidFill>
              <w14:schemeClr w14:val="tx1"/>
            </w14:solidFill>
          </w14:textFill>
        </w:rPr>
        <w:t>议</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”，会议议题明确为：讨论《方案》涉及的生态修复及土地复垦方向事宜。</w:t>
      </w:r>
    </w:p>
    <w:p w14:paraId="6EA13F8D">
      <w:pPr>
        <w:adjustRightInd w:val="0"/>
        <w:snapToGrid w:val="0"/>
        <w:spacing w:line="360" w:lineRule="auto"/>
        <w:ind w:firstLine="562" w:firstLineChars="200"/>
        <w:rPr>
          <w:rFonts w:hint="eastAsia" w:eastAsia="宋体" w:cs="Times New Roman"/>
          <w:b/>
          <w:bCs/>
          <w:color w:val="000000" w:themeColor="text1"/>
          <w:sz w:val="28"/>
          <w:szCs w:val="28"/>
          <w:highlight w:val="none"/>
          <w:lang w:val="en-US" w:eastAsia="zh-CN"/>
          <w14:textFill>
            <w14:solidFill>
              <w14:schemeClr w14:val="tx1"/>
            </w14:solidFill>
          </w14:textFill>
        </w:rPr>
      </w:pPr>
      <w:r>
        <w:rPr>
          <w:rFonts w:hint="eastAsia" w:eastAsia="宋体" w:cs="Times New Roman"/>
          <w:b/>
          <w:bCs/>
          <w:color w:val="000000" w:themeColor="text1"/>
          <w:sz w:val="28"/>
          <w:szCs w:val="28"/>
          <w:highlight w:val="none"/>
          <w:lang w:val="en-US" w:eastAsia="zh-CN"/>
          <w14:textFill>
            <w14:solidFill>
              <w14:schemeClr w14:val="tx1"/>
            </w14:solidFill>
          </w14:textFill>
        </w:rPr>
        <w:t>（三）会议内容与结论</w:t>
      </w:r>
    </w:p>
    <w:p w14:paraId="551B90B3">
      <w:pPr>
        <w:adjustRightInd w:val="0"/>
        <w:snapToGrid w:val="0"/>
        <w:spacing w:line="360" w:lineRule="auto"/>
        <w:ind w:firstLine="560" w:firstLineChars="200"/>
        <w:rPr>
          <w:rFonts w:hint="eastAsia" w:eastAsia="宋体" w:cs="Times New Roman"/>
          <w:b w:val="0"/>
          <w:bCs w:val="0"/>
          <w:color w:val="000000" w:themeColor="text1"/>
          <w:sz w:val="28"/>
          <w:szCs w:val="28"/>
          <w:highlight w:val="none"/>
          <w:lang w:val="en-US" w:eastAsia="zh-CN"/>
          <w14:textFill>
            <w14:solidFill>
              <w14:schemeClr w14:val="tx1"/>
            </w14:solidFill>
          </w14:textFill>
        </w:rPr>
      </w:pPr>
      <w:r>
        <w:rPr>
          <w:rFonts w:hint="eastAsia" w:eastAsia="宋体" w:cs="Times New Roman"/>
          <w:b w:val="0"/>
          <w:bCs w:val="0"/>
          <w:color w:val="000000" w:themeColor="text1"/>
          <w:sz w:val="28"/>
          <w:szCs w:val="28"/>
          <w:highlight w:val="none"/>
          <w:lang w:val="en-US" w:eastAsia="zh-CN"/>
          <w14:textFill>
            <w14:solidFill>
              <w14:schemeClr w14:val="tx1"/>
            </w14:solidFill>
          </w14:textFill>
        </w:rPr>
        <w:t>1、编制单位方案介绍</w:t>
      </w:r>
    </w:p>
    <w:p w14:paraId="44A59FD7">
      <w:pPr>
        <w:adjustRightInd w:val="0"/>
        <w:snapToGrid w:val="0"/>
        <w:spacing w:line="360" w:lineRule="auto"/>
        <w:ind w:firstLine="560" w:firstLineChars="200"/>
        <w:rPr>
          <w:rFonts w:hint="eastAsia" w:eastAsia="宋体" w:cs="Times New Roman"/>
          <w:b w:val="0"/>
          <w:bCs w:val="0"/>
          <w:color w:val="000000" w:themeColor="text1"/>
          <w:sz w:val="28"/>
          <w:szCs w:val="28"/>
          <w:highlight w:val="none"/>
          <w:lang w:val="en-US" w:eastAsia="zh-CN"/>
          <w14:textFill>
            <w14:solidFill>
              <w14:schemeClr w14:val="tx1"/>
            </w14:solidFill>
          </w14:textFill>
        </w:rPr>
      </w:pPr>
      <w:r>
        <w:rPr>
          <w:rFonts w:hint="eastAsia" w:eastAsia="宋体" w:cs="Times New Roman"/>
          <w:b w:val="0"/>
          <w:bCs w:val="0"/>
          <w:color w:val="000000" w:themeColor="text1"/>
          <w:sz w:val="28"/>
          <w:szCs w:val="28"/>
          <w:highlight w:val="none"/>
          <w:lang w:val="en-US" w:eastAsia="zh-CN"/>
          <w14:textFill>
            <w14:solidFill>
              <w14:schemeClr w14:val="tx1"/>
            </w14:solidFill>
          </w14:textFill>
        </w:rPr>
        <w:t>项目编制单位向与会人员（包括村民委员会、农村集体经济组织代表、村民代表等）详细汇报了《方案》核心内容，包括：矿区生态修复治理单元划分；拟采取的工程措施（如客土覆盖、植被重建、地形整治等）；初步规划的土地复垦方向（</w:t>
      </w:r>
      <w:r>
        <w:rPr>
          <w:rFonts w:hint="eastAsia" w:cs="Times New Roman"/>
          <w:b w:val="0"/>
          <w:bCs w:val="0"/>
          <w:color w:val="000000" w:themeColor="text1"/>
          <w:sz w:val="28"/>
          <w:szCs w:val="28"/>
          <w:highlight w:val="none"/>
          <w:lang w:val="en-US" w:eastAsia="zh-CN"/>
          <w14:textFill>
            <w14:solidFill>
              <w14:schemeClr w14:val="tx1"/>
            </w14:solidFill>
          </w14:textFill>
        </w:rPr>
        <w:t>水浇地</w:t>
      </w:r>
      <w:r>
        <w:rPr>
          <w:rFonts w:hint="eastAsia" w:eastAsia="宋体" w:cs="Times New Roman"/>
          <w:b w:val="0"/>
          <w:bCs w:val="0"/>
          <w:color w:val="000000" w:themeColor="text1"/>
          <w:sz w:val="28"/>
          <w:szCs w:val="28"/>
          <w:highlight w:val="none"/>
          <w:lang w:val="en-US" w:eastAsia="zh-CN"/>
          <w14:textFill>
            <w14:solidFill>
              <w14:schemeClr w14:val="tx1"/>
            </w14:solidFill>
          </w14:textFill>
        </w:rPr>
        <w:t>、乔木林地、人工牧草地）。</w:t>
      </w:r>
    </w:p>
    <w:p w14:paraId="07EAD1CC">
      <w:pPr>
        <w:adjustRightInd w:val="0"/>
        <w:snapToGrid w:val="0"/>
        <w:spacing w:line="360" w:lineRule="auto"/>
        <w:ind w:firstLine="560" w:firstLineChars="200"/>
        <w:rPr>
          <w:rFonts w:hint="eastAsia" w:eastAsia="宋体" w:cs="Times New Roman"/>
          <w:b w:val="0"/>
          <w:bCs w:val="0"/>
          <w:color w:val="000000" w:themeColor="text1"/>
          <w:sz w:val="28"/>
          <w:szCs w:val="28"/>
          <w:highlight w:val="none"/>
          <w:lang w:val="en-US" w:eastAsia="zh-CN"/>
          <w14:textFill>
            <w14:solidFill>
              <w14:schemeClr w14:val="tx1"/>
            </w14:solidFill>
          </w14:textFill>
        </w:rPr>
      </w:pPr>
      <w:r>
        <w:rPr>
          <w:rFonts w:hint="eastAsia" w:eastAsia="宋体" w:cs="Times New Roman"/>
          <w:b w:val="0"/>
          <w:bCs w:val="0"/>
          <w:color w:val="000000" w:themeColor="text1"/>
          <w:sz w:val="28"/>
          <w:szCs w:val="28"/>
          <w:highlight w:val="none"/>
          <w:lang w:val="en-US" w:eastAsia="zh-CN"/>
          <w14:textFill>
            <w14:solidFill>
              <w14:schemeClr w14:val="tx1"/>
            </w14:solidFill>
          </w14:textFill>
        </w:rPr>
        <w:t>2、与会人员讨论与方向确定</w:t>
      </w:r>
    </w:p>
    <w:p w14:paraId="2E5B8B69">
      <w:pPr>
        <w:adjustRightInd w:val="0"/>
        <w:snapToGrid w:val="0"/>
        <w:spacing w:line="360" w:lineRule="auto"/>
        <w:ind w:firstLine="560" w:firstLineChars="200"/>
        <w:rPr>
          <w:rFonts w:hint="eastAsia" w:eastAsia="宋体" w:cs="Times New Roman"/>
          <w:b w:val="0"/>
          <w:bCs w:val="0"/>
          <w:color w:val="000000" w:themeColor="text1"/>
          <w:sz w:val="28"/>
          <w:szCs w:val="28"/>
          <w:highlight w:val="none"/>
          <w:lang w:val="en-US" w:eastAsia="zh-CN"/>
          <w14:textFill>
            <w14:solidFill>
              <w14:schemeClr w14:val="tx1"/>
            </w14:solidFill>
          </w14:textFill>
        </w:rPr>
      </w:pPr>
      <w:r>
        <w:rPr>
          <w:rFonts w:hint="eastAsia" w:eastAsia="宋体" w:cs="Times New Roman"/>
          <w:b w:val="0"/>
          <w:bCs w:val="0"/>
          <w:color w:val="000000" w:themeColor="text1"/>
          <w:sz w:val="28"/>
          <w:szCs w:val="28"/>
          <w:highlight w:val="none"/>
          <w:lang w:val="en-US" w:eastAsia="zh-CN"/>
          <w14:textFill>
            <w14:solidFill>
              <w14:schemeClr w14:val="tx1"/>
            </w14:solidFill>
          </w14:textFill>
        </w:rPr>
        <w:t>与会人员围绕土地复垦方向及生态修复治理措施展开深入研讨，结合矿区立地条件、区域生态功能定位、村民生产生活需求及权属意愿，最终明确矿区土地复垦方向为：</w:t>
      </w:r>
      <w:r>
        <w:rPr>
          <w:rFonts w:hint="eastAsia" w:cs="Times New Roman"/>
          <w:b w:val="0"/>
          <w:bCs w:val="0"/>
          <w:color w:val="000000" w:themeColor="text1"/>
          <w:sz w:val="28"/>
          <w:szCs w:val="28"/>
          <w:highlight w:val="none"/>
          <w:lang w:val="en-US" w:eastAsia="zh-CN"/>
          <w14:textFill>
            <w14:solidFill>
              <w14:schemeClr w14:val="tx1"/>
            </w14:solidFill>
          </w14:textFill>
        </w:rPr>
        <w:t>水浇地</w:t>
      </w:r>
      <w:r>
        <w:rPr>
          <w:rFonts w:hint="eastAsia" w:eastAsia="宋体" w:cs="Times New Roman"/>
          <w:b w:val="0"/>
          <w:bCs w:val="0"/>
          <w:color w:val="000000" w:themeColor="text1"/>
          <w:sz w:val="28"/>
          <w:szCs w:val="28"/>
          <w:highlight w:val="none"/>
          <w:lang w:val="en-US" w:eastAsia="zh-CN"/>
          <w14:textFill>
            <w14:solidFill>
              <w14:schemeClr w14:val="tx1"/>
            </w14:solidFill>
          </w14:textFill>
        </w:rPr>
        <w:t>、乔木林地、人工牧草地，以实现土地资源的合理配置与可持续利用。</w:t>
      </w:r>
    </w:p>
    <w:p w14:paraId="4FE05906">
      <w:pPr>
        <w:adjustRightInd w:val="0"/>
        <w:snapToGrid w:val="0"/>
        <w:spacing w:line="360" w:lineRule="auto"/>
        <w:ind w:firstLine="560" w:firstLineChars="200"/>
        <w:rPr>
          <w:rFonts w:hint="eastAsia" w:eastAsia="宋体" w:cs="Times New Roman"/>
          <w:b w:val="0"/>
          <w:bCs w:val="0"/>
          <w:color w:val="000000" w:themeColor="text1"/>
          <w:sz w:val="28"/>
          <w:szCs w:val="28"/>
          <w:highlight w:val="none"/>
          <w:lang w:val="en-US" w:eastAsia="zh-CN"/>
          <w14:textFill>
            <w14:solidFill>
              <w14:schemeClr w14:val="tx1"/>
            </w14:solidFill>
          </w14:textFill>
        </w:rPr>
      </w:pPr>
      <w:r>
        <w:rPr>
          <w:rFonts w:hint="eastAsia" w:eastAsia="宋体" w:cs="Times New Roman"/>
          <w:b w:val="0"/>
          <w:bCs w:val="0"/>
          <w:color w:val="000000" w:themeColor="text1"/>
          <w:sz w:val="28"/>
          <w:szCs w:val="28"/>
          <w:highlight w:val="none"/>
          <w:lang w:val="en-US" w:eastAsia="zh-CN"/>
          <w14:textFill>
            <w14:solidFill>
              <w14:schemeClr w14:val="tx1"/>
            </w14:solidFill>
          </w14:textFill>
        </w:rPr>
        <w:t>3、会议审议意见</w:t>
      </w:r>
    </w:p>
    <w:p w14:paraId="257DDDEC">
      <w:pPr>
        <w:adjustRightInd w:val="0"/>
        <w:snapToGrid w:val="0"/>
        <w:spacing w:line="360" w:lineRule="auto"/>
        <w:ind w:firstLine="560" w:firstLineChars="200"/>
        <w:rPr>
          <w:rFonts w:hint="eastAsia" w:eastAsia="宋体" w:cs="Times New Roman"/>
          <w:b w:val="0"/>
          <w:bCs w:val="0"/>
          <w:color w:val="000000" w:themeColor="text1"/>
          <w:sz w:val="28"/>
          <w:szCs w:val="28"/>
          <w:highlight w:val="none"/>
          <w:lang w:val="en-US" w:eastAsia="zh-CN"/>
          <w14:textFill>
            <w14:solidFill>
              <w14:schemeClr w14:val="tx1"/>
            </w14:solidFill>
          </w14:textFill>
        </w:rPr>
      </w:pPr>
      <w:r>
        <w:rPr>
          <w:rFonts w:hint="eastAsia" w:eastAsia="宋体" w:cs="Times New Roman"/>
          <w:b w:val="0"/>
          <w:bCs w:val="0"/>
          <w:color w:val="000000" w:themeColor="text1"/>
          <w:sz w:val="28"/>
          <w:szCs w:val="28"/>
          <w:highlight w:val="none"/>
          <w:lang w:val="en-US" w:eastAsia="zh-CN"/>
          <w14:textFill>
            <w14:solidFill>
              <w14:schemeClr w14:val="tx1"/>
            </w14:solidFill>
          </w14:textFill>
        </w:rPr>
        <w:t>经充分讨论，与会人员达成以下共识：</w:t>
      </w:r>
    </w:p>
    <w:p w14:paraId="53153716">
      <w:pPr>
        <w:adjustRightInd w:val="0"/>
        <w:snapToGrid w:val="0"/>
        <w:spacing w:line="360" w:lineRule="auto"/>
        <w:ind w:firstLine="560" w:firstLineChars="200"/>
        <w:rPr>
          <w:rFonts w:hint="eastAsia" w:eastAsia="宋体" w:cs="Times New Roman"/>
          <w:b w:val="0"/>
          <w:bCs w:val="0"/>
          <w:color w:val="000000" w:themeColor="text1"/>
          <w:sz w:val="28"/>
          <w:szCs w:val="28"/>
          <w:highlight w:val="none"/>
          <w:lang w:val="en-US" w:eastAsia="zh-CN"/>
          <w14:textFill>
            <w14:solidFill>
              <w14:schemeClr w14:val="tx1"/>
            </w14:solidFill>
          </w14:textFill>
        </w:rPr>
      </w:pPr>
      <w:r>
        <w:rPr>
          <w:rFonts w:hint="eastAsia" w:eastAsia="宋体" w:cs="Times New Roman"/>
          <w:b w:val="0"/>
          <w:bCs w:val="0"/>
          <w:color w:val="000000" w:themeColor="text1"/>
          <w:sz w:val="28"/>
          <w:szCs w:val="28"/>
          <w:highlight w:val="none"/>
          <w:lang w:val="en-US" w:eastAsia="zh-CN"/>
          <w14:textFill>
            <w14:solidFill>
              <w14:schemeClr w14:val="tx1"/>
            </w14:solidFill>
          </w14:textFill>
        </w:rPr>
        <w:t>同意《方案》规划的生态修复措施、土地复垦方向及治理措施，认为其符合矿区实际，兼顾生态恢复与民生发展需求；</w:t>
      </w:r>
    </w:p>
    <w:p w14:paraId="17571CF0">
      <w:pPr>
        <w:adjustRightInd w:val="0"/>
        <w:snapToGrid w:val="0"/>
        <w:spacing w:line="360" w:lineRule="auto"/>
        <w:ind w:firstLine="560" w:firstLineChars="200"/>
        <w:rPr>
          <w:rFonts w:hint="eastAsia" w:eastAsia="宋体" w:cs="Times New Roman"/>
          <w:b w:val="0"/>
          <w:bCs w:val="0"/>
          <w:color w:val="000000" w:themeColor="text1"/>
          <w:sz w:val="28"/>
          <w:szCs w:val="28"/>
          <w:highlight w:val="none"/>
          <w:lang w:val="en-US" w:eastAsia="zh-CN"/>
          <w14:textFill>
            <w14:solidFill>
              <w14:schemeClr w14:val="tx1"/>
            </w14:solidFill>
          </w14:textFill>
        </w:rPr>
      </w:pPr>
      <w:r>
        <w:rPr>
          <w:rFonts w:hint="eastAsia" w:eastAsia="宋体" w:cs="Times New Roman"/>
          <w:b w:val="0"/>
          <w:bCs w:val="0"/>
          <w:color w:val="000000" w:themeColor="text1"/>
          <w:sz w:val="28"/>
          <w:szCs w:val="28"/>
          <w:highlight w:val="none"/>
          <w:lang w:val="en-US" w:eastAsia="zh-CN"/>
          <w14:textFill>
            <w14:solidFill>
              <w14:schemeClr w14:val="tx1"/>
            </w14:solidFill>
          </w14:textFill>
        </w:rPr>
        <w:t>同意《方案》按规定程序报送自然资源行业主管部门，并提请组织专家评审。</w:t>
      </w:r>
    </w:p>
    <w:p w14:paraId="196E43B2">
      <w:pPr>
        <w:pStyle w:val="5"/>
        <w:bidi w:val="0"/>
        <w:spacing w:line="360" w:lineRule="auto"/>
        <w:ind w:firstLine="562" w:firstLineChars="200"/>
        <w:rPr>
          <w:rFonts w:hint="eastAsia" w:hAnsi="Times New Roman" w:cs="Times New Roman"/>
          <w:b/>
          <w:bCs/>
          <w:color w:val="000000" w:themeColor="text1"/>
          <w:sz w:val="28"/>
          <w:szCs w:val="24"/>
          <w:lang w:val="en-US" w:eastAsia="zh-CN"/>
          <w14:textFill>
            <w14:solidFill>
              <w14:schemeClr w14:val="tx1"/>
            </w14:solidFill>
          </w14:textFill>
        </w:rPr>
      </w:pPr>
      <w:r>
        <w:rPr>
          <w:rFonts w:hint="eastAsia" w:hAnsi="Times New Roman" w:cs="Times New Roman"/>
          <w:b/>
          <w:bCs/>
          <w:color w:val="000000" w:themeColor="text1"/>
          <w:sz w:val="28"/>
          <w:szCs w:val="24"/>
          <w:lang w:val="en-US" w:eastAsia="zh-CN"/>
          <w14:textFill>
            <w14:solidFill>
              <w14:schemeClr w14:val="tx1"/>
            </w14:solidFill>
          </w14:textFill>
        </w:rPr>
        <w:t>二、主要意见汇总与采纳情况</w:t>
      </w:r>
    </w:p>
    <w:p w14:paraId="24AEFF49">
      <w:pPr>
        <w:adjustRightInd w:val="0"/>
        <w:snapToGrid w:val="0"/>
        <w:spacing w:line="360" w:lineRule="auto"/>
        <w:ind w:firstLine="560" w:firstLineChars="200"/>
        <w:rPr>
          <w:rFonts w:hint="eastAsia" w:eastAsia="宋体" w:cs="Times New Roman"/>
          <w:b w:val="0"/>
          <w:bCs w:val="0"/>
          <w:color w:val="000000" w:themeColor="text1"/>
          <w:sz w:val="28"/>
          <w:szCs w:val="28"/>
          <w:highlight w:val="none"/>
          <w:lang w:val="en-US" w:eastAsia="zh-CN"/>
          <w14:textFill>
            <w14:solidFill>
              <w14:schemeClr w14:val="tx1"/>
            </w14:solidFill>
          </w14:textFill>
        </w:rPr>
      </w:pPr>
      <w:r>
        <w:rPr>
          <w:rFonts w:hint="eastAsia" w:eastAsia="宋体" w:cs="Times New Roman"/>
          <w:b w:val="0"/>
          <w:bCs w:val="0"/>
          <w:color w:val="000000" w:themeColor="text1"/>
          <w:sz w:val="28"/>
          <w:szCs w:val="28"/>
          <w:highlight w:val="none"/>
          <w:lang w:val="en-US" w:eastAsia="zh-CN"/>
          <w14:textFill>
            <w14:solidFill>
              <w14:schemeClr w14:val="tx1"/>
            </w14:solidFill>
          </w14:textFill>
        </w:rPr>
        <w:t>项目组对公众意见（含会议讨论意见）的采纳情况、不予采纳的理由进行了梳理，详见下表：</w:t>
      </w:r>
    </w:p>
    <w:p w14:paraId="1DD0FE94">
      <w:pPr>
        <w:adjustRightInd w:val="0"/>
        <w:snapToGrid w:val="0"/>
        <w:spacing w:line="360" w:lineRule="auto"/>
        <w:jc w:val="center"/>
        <w:rPr>
          <w:rFonts w:hint="eastAsia" w:ascii="黑体" w:hAnsi="黑体" w:eastAsia="黑体" w:cs="黑体"/>
          <w:b w:val="0"/>
          <w:bCs w:val="0"/>
          <w:color w:val="000000" w:themeColor="text1"/>
          <w:sz w:val="24"/>
          <w:szCs w:val="24"/>
          <w:highlight w:val="none"/>
          <w:lang w:val="en-US" w:eastAsia="zh-CN"/>
          <w14:textFill>
            <w14:solidFill>
              <w14:schemeClr w14:val="tx1"/>
            </w14:solidFill>
          </w14:textFill>
        </w:rPr>
      </w:pPr>
      <w:r>
        <w:rPr>
          <w:rFonts w:hint="eastAsia" w:ascii="黑体" w:hAnsi="黑体" w:eastAsia="黑体" w:cs="黑体"/>
          <w:b w:val="0"/>
          <w:bCs w:val="0"/>
          <w:color w:val="000000" w:themeColor="text1"/>
          <w:sz w:val="24"/>
          <w:szCs w:val="24"/>
          <w:highlight w:val="none"/>
          <w:lang w:val="en-US" w:eastAsia="zh-CN"/>
          <w14:textFill>
            <w14:solidFill>
              <w14:schemeClr w14:val="tx1"/>
            </w14:solidFill>
          </w14:textFill>
        </w:rPr>
        <w:t>表7-1  公众参意见表</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4"/>
        <w:gridCol w:w="3098"/>
        <w:gridCol w:w="1072"/>
        <w:gridCol w:w="3573"/>
      </w:tblGrid>
      <w:tr w14:paraId="5832C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Align w:val="center"/>
          </w:tcPr>
          <w:p w14:paraId="0A98D7DD">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240" w:lineRule="atLeast"/>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意见类型</w:t>
            </w:r>
          </w:p>
        </w:tc>
        <w:tc>
          <w:tcPr>
            <w:tcW w:w="1667" w:type="pct"/>
            <w:vAlign w:val="center"/>
          </w:tcPr>
          <w:p w14:paraId="00E2E001">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240" w:lineRule="atLeast"/>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具体意见</w:t>
            </w:r>
          </w:p>
        </w:tc>
        <w:tc>
          <w:tcPr>
            <w:tcW w:w="577" w:type="pct"/>
            <w:vAlign w:val="center"/>
          </w:tcPr>
          <w:p w14:paraId="3871A8C9">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240" w:lineRule="atLeast"/>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采纳情况</w:t>
            </w:r>
          </w:p>
        </w:tc>
        <w:tc>
          <w:tcPr>
            <w:tcW w:w="1923" w:type="pct"/>
            <w:vAlign w:val="center"/>
          </w:tcPr>
          <w:p w14:paraId="387E4373">
            <w:pPr>
              <w:keepNext w:val="0"/>
              <w:keepLines w:val="0"/>
              <w:pageBreakBefore w:val="0"/>
              <w:suppressLineNumbers w:val="0"/>
              <w:kinsoku/>
              <w:wordWrap/>
              <w:overflowPunct/>
              <w:topLinePunct w:val="0"/>
              <w:autoSpaceDE/>
              <w:autoSpaceDN/>
              <w:bidi w:val="0"/>
              <w:adjustRightInd w:val="0"/>
              <w:snapToGrid/>
              <w:spacing w:before="0" w:beforeAutospacing="0" w:after="0" w:afterAutospacing="0" w:line="240" w:lineRule="atLeast"/>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理由</w:t>
            </w:r>
          </w:p>
        </w:tc>
      </w:tr>
      <w:tr w14:paraId="43D0F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Align w:val="center"/>
          </w:tcPr>
          <w:p w14:paraId="55DBA779">
            <w:pPr>
              <w:pStyle w:val="25"/>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tLeast"/>
              <w:ind w:left="0" w:right="0"/>
              <w:jc w:val="center"/>
              <w:textAlignment w:val="auto"/>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生态修复与</w:t>
            </w:r>
          </w:p>
          <w:p w14:paraId="2D570704">
            <w:pPr>
              <w:pStyle w:val="25"/>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tLeast"/>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复垦方向</w:t>
            </w:r>
          </w:p>
        </w:tc>
        <w:tc>
          <w:tcPr>
            <w:tcW w:w="1667" w:type="pct"/>
            <w:vAlign w:val="center"/>
          </w:tcPr>
          <w:p w14:paraId="58A376ED">
            <w:pPr>
              <w:pStyle w:val="25"/>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tLeast"/>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确定复垦方向为</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水浇地</w:t>
            </w:r>
            <w:r>
              <w:rPr>
                <w:rFonts w:hint="default" w:ascii="Times New Roman" w:hAnsi="Times New Roman" w:cs="Times New Roman"/>
                <w:color w:val="000000" w:themeColor="text1"/>
                <w:sz w:val="21"/>
                <w:szCs w:val="21"/>
                <w:highlight w:val="none"/>
                <w14:textFill>
                  <w14:solidFill>
                    <w14:schemeClr w14:val="tx1"/>
                  </w14:solidFill>
                </w14:textFill>
              </w:rPr>
              <w:t>、乔木林地、人工牧草地</w:t>
            </w:r>
          </w:p>
        </w:tc>
        <w:tc>
          <w:tcPr>
            <w:tcW w:w="577" w:type="pct"/>
            <w:vAlign w:val="center"/>
          </w:tcPr>
          <w:p w14:paraId="484B64C1">
            <w:pPr>
              <w:pStyle w:val="25"/>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tLeast"/>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已采纳</w:t>
            </w:r>
          </w:p>
        </w:tc>
        <w:tc>
          <w:tcPr>
            <w:tcW w:w="1923" w:type="pct"/>
            <w:vAlign w:val="center"/>
          </w:tcPr>
          <w:p w14:paraId="445E109D">
            <w:pPr>
              <w:pStyle w:val="25"/>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tLeast"/>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复垦方向结合矿区立地条件、区域生态功能、村民意愿及权属需求确定，技术可行、生态安全且符合民生发展</w:t>
            </w:r>
          </w:p>
        </w:tc>
      </w:tr>
      <w:tr w14:paraId="28A87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1" w:type="pct"/>
            <w:vAlign w:val="center"/>
          </w:tcPr>
          <w:p w14:paraId="1F766E92">
            <w:pPr>
              <w:pStyle w:val="25"/>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tLeast"/>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方案评审程序</w:t>
            </w:r>
          </w:p>
        </w:tc>
        <w:tc>
          <w:tcPr>
            <w:tcW w:w="1667" w:type="pct"/>
            <w:vAlign w:val="center"/>
          </w:tcPr>
          <w:p w14:paraId="36B52FC3">
            <w:pPr>
              <w:pStyle w:val="25"/>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tLeast"/>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同意《方案》送自然资源部门组织专家评审</w:t>
            </w:r>
          </w:p>
        </w:tc>
        <w:tc>
          <w:tcPr>
            <w:tcW w:w="577" w:type="pct"/>
            <w:vAlign w:val="center"/>
          </w:tcPr>
          <w:p w14:paraId="579BE264">
            <w:pPr>
              <w:pStyle w:val="25"/>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tLeast"/>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已采纳</w:t>
            </w:r>
          </w:p>
        </w:tc>
        <w:tc>
          <w:tcPr>
            <w:tcW w:w="1923" w:type="pct"/>
            <w:vAlign w:val="center"/>
          </w:tcPr>
          <w:p w14:paraId="3A26F1EC">
            <w:pPr>
              <w:pStyle w:val="25"/>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tLeast"/>
              <w:ind w:left="0" w:right="0"/>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符合《矿山地质环境恢复和综合治理方案编制规范》</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TD/T 1031.1-2011</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及地方生态修复方案管理要求</w:t>
            </w:r>
          </w:p>
        </w:tc>
      </w:tr>
    </w:tbl>
    <w:p w14:paraId="112A77AF">
      <w:pPr>
        <w:pStyle w:val="5"/>
        <w:keepNext w:val="0"/>
        <w:keepLines w:val="0"/>
        <w:pageBreakBefore w:val="0"/>
        <w:widowControl w:val="0"/>
        <w:kinsoku/>
        <w:wordWrap/>
        <w:overflowPunct/>
        <w:topLinePunct w:val="0"/>
        <w:autoSpaceDE/>
        <w:autoSpaceDN/>
        <w:bidi w:val="0"/>
        <w:adjustRightInd/>
        <w:snapToGrid/>
        <w:spacing w:before="157" w:beforeLines="50" w:line="360" w:lineRule="auto"/>
        <w:ind w:firstLine="562" w:firstLineChars="200"/>
        <w:textAlignment w:val="auto"/>
        <w:rPr>
          <w:rFonts w:hint="eastAsia" w:hAnsi="Times New Roman" w:cs="Times New Roman"/>
          <w:b/>
          <w:bCs/>
          <w:color w:val="000000" w:themeColor="text1"/>
          <w:sz w:val="28"/>
          <w:szCs w:val="24"/>
          <w:lang w:val="en-US" w:eastAsia="zh-CN"/>
          <w14:textFill>
            <w14:solidFill>
              <w14:schemeClr w14:val="tx1"/>
            </w14:solidFill>
          </w14:textFill>
        </w:rPr>
      </w:pPr>
      <w:r>
        <w:rPr>
          <w:rFonts w:hint="eastAsia" w:hAnsi="Times New Roman" w:cs="Times New Roman"/>
          <w:b/>
          <w:bCs/>
          <w:color w:val="000000" w:themeColor="text1"/>
          <w:sz w:val="28"/>
          <w:szCs w:val="24"/>
          <w:lang w:val="en-US" w:eastAsia="zh-CN"/>
          <w14:textFill>
            <w14:solidFill>
              <w14:schemeClr w14:val="tx1"/>
            </w14:solidFill>
          </w14:textFill>
        </w:rPr>
        <w:t>三、公众参与成效</w:t>
      </w:r>
    </w:p>
    <w:p w14:paraId="203EAB74">
      <w:pPr>
        <w:adjustRightInd w:val="0"/>
        <w:snapToGrid w:val="0"/>
        <w:spacing w:line="360" w:lineRule="auto"/>
        <w:ind w:firstLine="560" w:firstLineChars="200"/>
        <w:rPr>
          <w:rFonts w:hint="default" w:ascii="Times New Roman" w:hAnsi="Times New Roman" w:cs="Times New Roman"/>
          <w:color w:val="000000" w:themeColor="text1"/>
          <w:sz w:val="28"/>
          <w:szCs w:val="28"/>
          <w:highlight w:val="none"/>
          <w14:textFill>
            <w14:solidFill>
              <w14:schemeClr w14:val="tx1"/>
            </w14:solidFill>
          </w14:textFill>
        </w:rPr>
      </w:pPr>
      <w:r>
        <w:rPr>
          <w:rFonts w:hint="eastAsia" w:eastAsia="宋体" w:cs="Times New Roman"/>
          <w:b w:val="0"/>
          <w:bCs w:val="0"/>
          <w:color w:val="000000" w:themeColor="text1"/>
          <w:sz w:val="28"/>
          <w:szCs w:val="28"/>
          <w:highlight w:val="none"/>
          <w:lang w:val="en-US" w:eastAsia="zh-CN"/>
          <w14:textFill>
            <w14:solidFill>
              <w14:schemeClr w14:val="tx1"/>
            </w14:solidFill>
          </w14:textFill>
        </w:rPr>
        <w:t>本次公众参与通过专题会议形式，充分保障了矿区利益相关方（村委会、村集体、村民代表）的知情权、参与权与表达权，使《方案》的生态修复与土地复垦方向更贴合实际需求，为后续修复工程实施、土地移交使用及长效管护奠定了坚实基础，符合国家及地方关于矿山生态修复公众参与的政策规定。</w:t>
      </w:r>
    </w:p>
    <w:p w14:paraId="3F5D0D42">
      <w:pPr>
        <w:pStyle w:val="3"/>
        <w:keepNext/>
        <w:keepLines/>
        <w:pageBreakBefore w:val="0"/>
        <w:widowControl w:val="0"/>
        <w:kinsoku/>
        <w:wordWrap/>
        <w:overflowPunct w:val="0"/>
        <w:topLinePunct/>
        <w:autoSpaceDE/>
        <w:autoSpaceDN/>
        <w:bidi w:val="0"/>
        <w:adjustRightInd/>
        <w:snapToGrid/>
        <w:spacing w:before="0" w:beforeLines="-2147483648" w:beforeAutospacing="0" w:after="0" w:afterAutospacing="0" w:line="360" w:lineRule="auto"/>
        <w:ind w:left="0"/>
        <w:jc w:val="center"/>
        <w:textAlignment w:val="auto"/>
        <w:outlineLvl w:val="1"/>
        <w:rPr>
          <w:rFonts w:hint="eastAsia" w:ascii="Times New Roman" w:hAnsi="Times New Roman" w:eastAsia="宋体" w:cs="Times New Roman"/>
          <w:b/>
          <w:bCs/>
          <w:color w:val="000000" w:themeColor="text1"/>
          <w:sz w:val="30"/>
          <w:szCs w:val="30"/>
          <w:highlight w:val="none"/>
          <w:lang w:val="en-US" w:eastAsia="zh-CN"/>
          <w14:textFill>
            <w14:solidFill>
              <w14:schemeClr w14:val="tx1"/>
            </w14:solidFill>
          </w14:textFill>
        </w:rPr>
      </w:pPr>
      <w:bookmarkStart w:id="89" w:name="_Toc23701"/>
      <w:bookmarkStart w:id="90" w:name="_Toc28798"/>
      <w:r>
        <w:rPr>
          <w:rFonts w:hint="eastAsia" w:ascii="Times New Roman" w:hAnsi="Times New Roman" w:eastAsia="宋体" w:cs="Times New Roman"/>
          <w:b/>
          <w:bCs/>
          <w:color w:val="000000" w:themeColor="text1"/>
          <w:sz w:val="30"/>
          <w:szCs w:val="30"/>
          <w:highlight w:val="none"/>
          <w:lang w:val="en-US" w:eastAsia="zh-CN"/>
          <w14:textFill>
            <w14:solidFill>
              <w14:schemeClr w14:val="tx1"/>
            </w14:solidFill>
          </w14:textFill>
        </w:rPr>
        <w:t>第三节  效益分析</w:t>
      </w:r>
      <w:bookmarkEnd w:id="89"/>
      <w:bookmarkEnd w:id="90"/>
    </w:p>
    <w:p w14:paraId="20CA54A5">
      <w:pPr>
        <w:pStyle w:val="5"/>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hAnsi="Times New Roman" w:cs="Times New Roman"/>
          <w:b/>
          <w:bCs/>
          <w:color w:val="000000" w:themeColor="text1"/>
          <w:sz w:val="28"/>
          <w:szCs w:val="24"/>
          <w:lang w:val="en-US" w:eastAsia="zh-CN"/>
          <w14:textFill>
            <w14:solidFill>
              <w14:schemeClr w14:val="tx1"/>
            </w14:solidFill>
          </w14:textFill>
        </w:rPr>
      </w:pPr>
      <w:r>
        <w:rPr>
          <w:rFonts w:hint="default" w:hAnsi="Times New Roman" w:cs="Times New Roman"/>
          <w:b/>
          <w:bCs/>
          <w:color w:val="000000" w:themeColor="text1"/>
          <w:sz w:val="28"/>
          <w:szCs w:val="24"/>
          <w:lang w:val="en-US" w:eastAsia="zh-CN"/>
          <w14:textFill>
            <w14:solidFill>
              <w14:schemeClr w14:val="tx1"/>
            </w14:solidFill>
          </w14:textFill>
        </w:rPr>
        <w:t>一、社会效益</w:t>
      </w:r>
    </w:p>
    <w:p w14:paraId="0D1E0C52">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1、通过矿山地质环境治理，减少工程建设对项目区群众生活和农业生产的影响，缓解人地矛盾，改善了人居环境，改善矿群关系，促进安全生产。</w:t>
      </w:r>
    </w:p>
    <w:p w14:paraId="54CB591D">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2、基本消除了矿山开采遗留下的地质环境问题，还周边居民一个适宜生存的生活环境，显示了政府对当地人民负责的态度，显示有关部门治理矿山地质环境的决心和对人民的关切，也符合国家经济发展以最小的环境损失为代价的主旨。</w:t>
      </w:r>
    </w:p>
    <w:p w14:paraId="182697A3">
      <w:pPr>
        <w:pStyle w:val="5"/>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hAnsi="Times New Roman" w:cs="Times New Roman"/>
          <w:b/>
          <w:bCs/>
          <w:color w:val="000000" w:themeColor="text1"/>
          <w:sz w:val="28"/>
          <w:szCs w:val="24"/>
          <w:lang w:val="en-US" w:eastAsia="zh-CN"/>
          <w14:textFill>
            <w14:solidFill>
              <w14:schemeClr w14:val="tx1"/>
            </w14:solidFill>
          </w14:textFill>
        </w:rPr>
      </w:pPr>
      <w:r>
        <w:rPr>
          <w:rFonts w:hint="default" w:hAnsi="Times New Roman" w:cs="Times New Roman"/>
          <w:b/>
          <w:bCs/>
          <w:color w:val="000000" w:themeColor="text1"/>
          <w:sz w:val="28"/>
          <w:szCs w:val="24"/>
          <w:lang w:val="en-US" w:eastAsia="zh-CN"/>
          <w14:textFill>
            <w14:solidFill>
              <w14:schemeClr w14:val="tx1"/>
            </w14:solidFill>
          </w14:textFill>
        </w:rPr>
        <w:t>二、环境效益</w:t>
      </w:r>
    </w:p>
    <w:p w14:paraId="1B94037C">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治理工程完成后，能使矿区重新披上绿装，使资源、环境与可持续发展协调一致。通过恢复植被并涵养水土，改善当地水土环境，环境效益十分明显。具体体现在如下几个方面：</w:t>
      </w:r>
    </w:p>
    <w:p w14:paraId="18567987">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1、局部小气候得到改善：矿山地质环境治理工程使大片的因矿山开采占用损毁的土地改造成了林地、草地，大面积的植被恢复必将大大提高该地区的植被覆盖率，既改善了区域生态环境，又有利于生态良性循环。</w:t>
      </w:r>
    </w:p>
    <w:p w14:paraId="4880DC7A">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2、防风固沙，减少了水土流失：原来的废渣堆放区植被极其稀少，风蚀沙化严重，水土严重流失。经过覆土后恢复植被使得治理区的地表风蚀沙化现象得到根本控制。</w:t>
      </w:r>
    </w:p>
    <w:p w14:paraId="2273CD64">
      <w:pPr>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br w:type="page"/>
      </w:r>
    </w:p>
    <w:p w14:paraId="12970326">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3、涵养水源，改良土壤：原有的废石堆堆放区造成地表高低不平，松散的固体废弃物不能保持植物生长所必需的水份，使得土地沙化加剧；有机质与N、P、K等元素含量也非常少。经过治理废弃物被清运、覆土，表层土壤结构被改善，提高了抗冲、抗蚀能力。</w:t>
      </w:r>
    </w:p>
    <w:p w14:paraId="46607F94">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4、矿区景观格局的变化：矿山地质环境综合治理工程的实施使治理区域变绿；使矿区周围尘土飞扬的状况改变，矿区的天更蓝，矿区的空气更新鲜；从而创造一个较好的人居环境，人与自然的关系更加和谐。</w:t>
      </w:r>
    </w:p>
    <w:p w14:paraId="7F0B2222">
      <w:pPr>
        <w:pStyle w:val="5"/>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hAnsi="Times New Roman" w:cs="Times New Roman"/>
          <w:b/>
          <w:bCs/>
          <w:color w:val="000000" w:themeColor="text1"/>
          <w:sz w:val="28"/>
          <w:szCs w:val="24"/>
          <w:lang w:val="en-US" w:eastAsia="zh-CN"/>
          <w14:textFill>
            <w14:solidFill>
              <w14:schemeClr w14:val="tx1"/>
            </w14:solidFill>
          </w14:textFill>
        </w:rPr>
      </w:pPr>
      <w:r>
        <w:rPr>
          <w:rFonts w:hint="default" w:hAnsi="Times New Roman" w:cs="Times New Roman"/>
          <w:b/>
          <w:bCs/>
          <w:color w:val="000000" w:themeColor="text1"/>
          <w:sz w:val="28"/>
          <w:szCs w:val="24"/>
          <w:lang w:val="en-US" w:eastAsia="zh-CN"/>
          <w14:textFill>
            <w14:solidFill>
              <w14:schemeClr w14:val="tx1"/>
            </w14:solidFill>
          </w14:textFill>
        </w:rPr>
        <w:t>三、经济效益</w:t>
      </w:r>
    </w:p>
    <w:p w14:paraId="69297C98">
      <w:pPr>
        <w:adjustRightInd w:val="0"/>
        <w:snapToGrid w:val="0"/>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矿山地质环境综合治理工程经济效益主要由减灾效益和增值效益两部分组成。以减灾效益为主，增值效益为辅。实施矿山地质环境治理工程后，有效消除或减轻了地质灾害隐患，保护了人员生命财产及设备安全；其增值效益主要体现在废渣利用和经过治理的土地资源所产生的价值上。</w:t>
      </w:r>
    </w:p>
    <w:p w14:paraId="779DB200">
      <w:pPr>
        <w:tabs>
          <w:tab w:val="left" w:pos="720"/>
        </w:tabs>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矿区内破坏的主要土地类型为林地和草地，经设计复垦</w:t>
      </w:r>
      <w:r>
        <w:rPr>
          <w:rFonts w:hint="eastAsia" w:cs="Times New Roman"/>
          <w:color w:val="000000" w:themeColor="text1"/>
          <w:sz w:val="28"/>
          <w:szCs w:val="28"/>
          <w:lang w:val="en-US" w:eastAsia="zh-CN"/>
          <w14:textFill>
            <w14:solidFill>
              <w14:schemeClr w14:val="tx1"/>
            </w14:solidFill>
          </w14:textFill>
        </w:rPr>
        <w:t>水浇地、</w:t>
      </w:r>
      <w:r>
        <w:rPr>
          <w:rFonts w:hint="default" w:ascii="Times New Roman" w:hAnsi="Times New Roman" w:cs="Times New Roman"/>
          <w:color w:val="000000" w:themeColor="text1"/>
          <w:sz w:val="28"/>
          <w:szCs w:val="28"/>
          <w14:textFill>
            <w14:solidFill>
              <w14:schemeClr w14:val="tx1"/>
            </w14:solidFill>
          </w14:textFill>
        </w:rPr>
        <w:t>林地</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草地，通过林地、草地的直接经营、资源产出或使用权流转获得的经济收益，并且通过改善区域生态环境、优化资源配置、降低社会成本，为区域经济发展提供长期支撑，其综合价值往往高于直接经济效益。</w:t>
      </w:r>
    </w:p>
    <w:p w14:paraId="20E7DCCC">
      <w:pPr>
        <w:tabs>
          <w:tab w:val="left" w:pos="720"/>
        </w:tabs>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实施矿区生态修复过程中，对废弃物的利用和废石废渣进行回收，可产生一定经济效益。主要为废石及拆除物可用于回填</w:t>
      </w:r>
      <w:r>
        <w:rPr>
          <w:rFonts w:hint="eastAsia" w:ascii="Times New Roman" w:hAnsi="Times New Roman" w:cs="Times New Roman"/>
          <w:color w:val="000000" w:themeColor="text1"/>
          <w:sz w:val="28"/>
          <w:szCs w:val="28"/>
          <w:lang w:val="en-US" w:eastAsia="zh-CN"/>
          <w14:textFill>
            <w14:solidFill>
              <w14:schemeClr w14:val="tx1"/>
            </w14:solidFill>
          </w14:textFill>
        </w:rPr>
        <w:t>采坑</w:t>
      </w:r>
      <w:r>
        <w:rPr>
          <w:rFonts w:hint="default" w:ascii="Times New Roman" w:hAnsi="Times New Roman" w:cs="Times New Roman"/>
          <w:color w:val="000000" w:themeColor="text1"/>
          <w:sz w:val="28"/>
          <w:szCs w:val="28"/>
          <w14:textFill>
            <w14:solidFill>
              <w14:schemeClr w14:val="tx1"/>
            </w14:solidFill>
          </w14:textFill>
        </w:rPr>
        <w:t>、垫坡等工程，节省了矿山治理费用，可产生一定的经济效益。</w:t>
      </w:r>
    </w:p>
    <w:p w14:paraId="0C7F025B">
      <w:pPr>
        <w:pStyle w:val="2"/>
        <w:spacing w:line="360" w:lineRule="auto"/>
        <w:jc w:val="center"/>
        <w:rPr>
          <w:rFonts w:ascii="黑体" w:hAnsi="黑体" w:eastAsia="黑体" w:cs="黑体"/>
          <w:bCs/>
          <w:color w:val="000000" w:themeColor="text1"/>
          <w14:textFill>
            <w14:solidFill>
              <w14:schemeClr w14:val="tx1"/>
            </w14:solidFill>
          </w14:textFill>
        </w:rPr>
      </w:pPr>
      <w:bookmarkStart w:id="91" w:name="_Toc10044"/>
      <w:r>
        <w:rPr>
          <w:rFonts w:hint="eastAsia" w:ascii="黑体" w:hAnsi="黑体" w:eastAsia="黑体" w:cs="黑体"/>
          <w:bCs/>
          <w:color w:val="000000" w:themeColor="text1"/>
          <w14:textFill>
            <w14:solidFill>
              <w14:schemeClr w14:val="tx1"/>
            </w14:solidFill>
          </w14:textFill>
        </w:rPr>
        <w:t>第八章  结论</w:t>
      </w:r>
      <w:bookmarkEnd w:id="91"/>
    </w:p>
    <w:p w14:paraId="7F8A072A">
      <w:pPr>
        <w:pStyle w:val="5"/>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hAnsi="Times New Roman" w:cs="Times New Roman"/>
          <w:b/>
          <w:bCs/>
          <w:color w:val="000000" w:themeColor="text1"/>
          <w:sz w:val="28"/>
          <w:szCs w:val="24"/>
          <w:lang w:val="en-US" w:eastAsia="zh-CN"/>
          <w14:textFill>
            <w14:solidFill>
              <w14:schemeClr w14:val="tx1"/>
            </w14:solidFill>
          </w14:textFill>
        </w:rPr>
      </w:pPr>
      <w:bookmarkStart w:id="92" w:name="_Toc4524"/>
      <w:bookmarkStart w:id="93" w:name="_Toc240534855"/>
      <w:bookmarkStart w:id="94" w:name="_Toc210478065"/>
      <w:bookmarkStart w:id="95" w:name="_Toc223787916"/>
      <w:r>
        <w:rPr>
          <w:rFonts w:hint="default" w:hAnsi="Times New Roman" w:cs="Times New Roman"/>
          <w:b/>
          <w:bCs/>
          <w:color w:val="000000" w:themeColor="text1"/>
          <w:sz w:val="28"/>
          <w:szCs w:val="24"/>
          <w:lang w:val="en-US" w:eastAsia="zh-CN"/>
          <w14:textFill>
            <w14:solidFill>
              <w14:schemeClr w14:val="tx1"/>
            </w14:solidFill>
          </w14:textFill>
        </w:rPr>
        <w:t>一、结论</w:t>
      </w:r>
      <w:bookmarkEnd w:id="92"/>
    </w:p>
    <w:bookmarkEnd w:id="93"/>
    <w:bookmarkEnd w:id="94"/>
    <w:bookmarkEnd w:id="95"/>
    <w:p w14:paraId="2A26174D">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（一）赤峰太安新型建筑材料有限公司太平地镇粘土矿矿区面积为</w:t>
      </w:r>
      <w:r>
        <w:rPr>
          <w:rFonts w:hint="eastAsia" w:cs="Times New Roman"/>
          <w:color w:val="000000" w:themeColor="text1"/>
          <w:sz w:val="28"/>
          <w:szCs w:val="28"/>
          <w:lang w:val="en-US" w:eastAsia="zh-CN"/>
          <w14:textFill>
            <w14:solidFill>
              <w14:schemeClr w14:val="tx1"/>
            </w14:solidFill>
          </w14:textFill>
        </w:rPr>
        <w:t>0.1604</w:t>
      </w:r>
      <w:r>
        <w:rPr>
          <w:rFonts w:hint="default" w:ascii="Times New Roman" w:hAnsi="Times New Roman" w:cs="Times New Roman"/>
          <w:color w:val="000000" w:themeColor="text1"/>
          <w:sz w:val="28"/>
          <w:szCs w:val="28"/>
          <w14:textFill>
            <w14:solidFill>
              <w14:schemeClr w14:val="tx1"/>
            </w14:solidFill>
          </w14:textFill>
        </w:rPr>
        <w:t>km²</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开采矿种为</w:t>
      </w:r>
      <w:r>
        <w:rPr>
          <w:rFonts w:hint="eastAsia" w:cs="Times New Roman"/>
          <w:color w:val="000000" w:themeColor="text1"/>
          <w:sz w:val="28"/>
          <w:szCs w:val="28"/>
          <w:lang w:eastAsia="zh-CN"/>
          <w14:textFill>
            <w14:solidFill>
              <w14:schemeClr w14:val="tx1"/>
            </w14:solidFill>
          </w14:textFill>
        </w:rPr>
        <w:t>：</w:t>
      </w:r>
      <w:r>
        <w:rPr>
          <w:rFonts w:hint="eastAsia" w:cs="Times New Roman"/>
          <w:color w:val="000000" w:themeColor="text1"/>
          <w:sz w:val="28"/>
          <w:szCs w:val="28"/>
          <w:lang w:val="en-US" w:eastAsia="zh-CN"/>
          <w14:textFill>
            <w14:solidFill>
              <w14:schemeClr w14:val="tx1"/>
            </w14:solidFill>
          </w14:textFill>
        </w:rPr>
        <w:t>砖瓦用粘土</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开采方式为露天开采</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生产规模为</w:t>
      </w:r>
      <w:r>
        <w:rPr>
          <w:rFonts w:hint="eastAsia" w:cs="Times New Roman"/>
          <w:color w:val="000000" w:themeColor="text1"/>
          <w:sz w:val="28"/>
          <w:szCs w:val="28"/>
          <w:lang w:val="en-US" w:eastAsia="zh-CN"/>
          <w14:textFill>
            <w14:solidFill>
              <w14:schemeClr w14:val="tx1"/>
            </w14:solidFill>
          </w14:textFill>
        </w:rPr>
        <w:t>6</w:t>
      </w:r>
      <w:r>
        <w:rPr>
          <w:rFonts w:hint="default" w:ascii="Times New Roman" w:hAnsi="Times New Roman" w:cs="Times New Roman"/>
          <w:color w:val="000000" w:themeColor="text1"/>
          <w:sz w:val="28"/>
          <w:szCs w:val="28"/>
          <w14:textFill>
            <w14:solidFill>
              <w14:schemeClr w14:val="tx1"/>
            </w14:solidFill>
          </w14:textFill>
        </w:rPr>
        <w:t>×10</w:t>
      </w:r>
      <w:r>
        <w:rPr>
          <w:rFonts w:hint="default" w:ascii="Times New Roman" w:hAnsi="Times New Roman" w:cs="Times New Roman"/>
          <w:color w:val="000000" w:themeColor="text1"/>
          <w:sz w:val="28"/>
          <w:szCs w:val="28"/>
          <w:vertAlign w:val="superscript"/>
          <w14:textFill>
            <w14:solidFill>
              <w14:schemeClr w14:val="tx1"/>
            </w14:solidFill>
          </w14:textFill>
        </w:rPr>
        <w:t>4</w:t>
      </w:r>
      <w:r>
        <w:rPr>
          <w:rFonts w:hint="eastAsia" w:cs="Times New Roman"/>
          <w:color w:val="000000" w:themeColor="text1"/>
          <w:sz w:val="28"/>
          <w:szCs w:val="28"/>
          <w:lang w:val="en-US" w:eastAsia="zh-CN"/>
          <w14:textFill>
            <w14:solidFill>
              <w14:schemeClr w14:val="tx1"/>
            </w14:solidFill>
          </w14:textFill>
        </w:rPr>
        <w:t>m</w:t>
      </w:r>
      <w:r>
        <w:rPr>
          <w:rFonts w:hint="eastAsia" w:cs="Times New Roman"/>
          <w:color w:val="000000" w:themeColor="text1"/>
          <w:sz w:val="28"/>
          <w:szCs w:val="28"/>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8"/>
          <w:szCs w:val="28"/>
          <w14:textFill>
            <w14:solidFill>
              <w14:schemeClr w14:val="tx1"/>
            </w14:solidFill>
          </w14:textFill>
        </w:rPr>
        <w:t>/a</w:t>
      </w:r>
      <w:r>
        <w:rPr>
          <w:rFonts w:hint="eastAsia" w:cs="Times New Roman"/>
          <w:color w:val="000000" w:themeColor="text1"/>
          <w:sz w:val="28"/>
          <w:szCs w:val="28"/>
          <w:lang w:eastAsia="zh-CN"/>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本矿山属于已建矿山。</w:t>
      </w:r>
      <w:r>
        <w:rPr>
          <w:rFonts w:hint="eastAsia" w:cs="Times New Roman"/>
          <w:color w:val="000000" w:themeColor="text1"/>
          <w:sz w:val="28"/>
          <w:szCs w:val="28"/>
          <w:lang w:val="en-US" w:eastAsia="zh-CN"/>
          <w14:textFill>
            <w14:solidFill>
              <w14:schemeClr w14:val="tx1"/>
            </w14:solidFill>
          </w14:textFill>
        </w:rPr>
        <w:t>上期</w:t>
      </w:r>
      <w:r>
        <w:rPr>
          <w:rFonts w:hint="default" w:ascii="Times New Roman" w:hAnsi="Times New Roman" w:cs="Times New Roman"/>
          <w:color w:val="000000" w:themeColor="text1"/>
          <w:sz w:val="28"/>
          <w:szCs w:val="28"/>
          <w14:textFill>
            <w14:solidFill>
              <w14:schemeClr w14:val="tx1"/>
            </w14:solidFill>
          </w14:textFill>
        </w:rPr>
        <w:t>方案适用年限为202</w:t>
      </w:r>
      <w:r>
        <w:rPr>
          <w:rFonts w:hint="eastAsia" w:cs="Times New Roman"/>
          <w:color w:val="000000" w:themeColor="text1"/>
          <w:sz w:val="28"/>
          <w:szCs w:val="28"/>
          <w:lang w:val="en-US" w:eastAsia="zh-CN"/>
          <w14:textFill>
            <w14:solidFill>
              <w14:schemeClr w14:val="tx1"/>
            </w14:solidFill>
          </w14:textFill>
        </w:rPr>
        <w:t>1</w:t>
      </w:r>
      <w:r>
        <w:rPr>
          <w:rFonts w:hint="default" w:ascii="Times New Roman" w:hAnsi="Times New Roman" w:cs="Times New Roman"/>
          <w:color w:val="000000" w:themeColor="text1"/>
          <w:sz w:val="28"/>
          <w:szCs w:val="28"/>
          <w14:textFill>
            <w14:solidFill>
              <w14:schemeClr w14:val="tx1"/>
            </w14:solidFill>
          </w14:textFill>
        </w:rPr>
        <w:t>年</w:t>
      </w:r>
      <w:r>
        <w:rPr>
          <w:rFonts w:hint="eastAsia" w:cs="Times New Roman"/>
          <w:color w:val="000000" w:themeColor="text1"/>
          <w:sz w:val="28"/>
          <w:szCs w:val="28"/>
          <w:lang w:val="en-US" w:eastAsia="zh-CN"/>
          <w14:textFill>
            <w14:solidFill>
              <w14:schemeClr w14:val="tx1"/>
            </w14:solidFill>
          </w14:textFill>
        </w:rPr>
        <w:t>1</w:t>
      </w:r>
      <w:r>
        <w:rPr>
          <w:rFonts w:hint="default" w:ascii="Times New Roman" w:hAnsi="Times New Roman" w:cs="Times New Roman"/>
          <w:color w:val="000000" w:themeColor="text1"/>
          <w:sz w:val="28"/>
          <w:szCs w:val="28"/>
          <w14:textFill>
            <w14:solidFill>
              <w14:schemeClr w14:val="tx1"/>
            </w14:solidFill>
          </w14:textFill>
        </w:rPr>
        <w:t>月1日至2025年</w:t>
      </w:r>
      <w:r>
        <w:rPr>
          <w:rFonts w:hint="eastAsia" w:cs="Times New Roman"/>
          <w:color w:val="000000" w:themeColor="text1"/>
          <w:sz w:val="28"/>
          <w:szCs w:val="28"/>
          <w:lang w:val="en-US" w:eastAsia="zh-CN"/>
          <w14:textFill>
            <w14:solidFill>
              <w14:schemeClr w14:val="tx1"/>
            </w14:solidFill>
          </w14:textFill>
        </w:rPr>
        <w:t>12</w:t>
      </w:r>
      <w:r>
        <w:rPr>
          <w:rFonts w:hint="default" w:ascii="Times New Roman" w:hAnsi="Times New Roman" w:cs="Times New Roman"/>
          <w:color w:val="000000" w:themeColor="text1"/>
          <w:sz w:val="28"/>
          <w:szCs w:val="28"/>
          <w14:textFill>
            <w14:solidFill>
              <w14:schemeClr w14:val="tx1"/>
            </w14:solidFill>
          </w14:textFill>
        </w:rPr>
        <w:t>月3</w:t>
      </w:r>
      <w:r>
        <w:rPr>
          <w:rFonts w:hint="eastAsia" w:cs="Times New Roman"/>
          <w:color w:val="000000" w:themeColor="text1"/>
          <w:sz w:val="28"/>
          <w:szCs w:val="28"/>
          <w:lang w:val="en-US" w:eastAsia="zh-CN"/>
          <w14:textFill>
            <w14:solidFill>
              <w14:schemeClr w14:val="tx1"/>
            </w14:solidFill>
          </w14:textFill>
        </w:rPr>
        <w:t>1</w:t>
      </w:r>
      <w:r>
        <w:rPr>
          <w:rFonts w:hint="default" w:ascii="Times New Roman" w:hAnsi="Times New Roman" w:cs="Times New Roman"/>
          <w:color w:val="000000" w:themeColor="text1"/>
          <w:sz w:val="28"/>
          <w:szCs w:val="28"/>
          <w14:textFill>
            <w14:solidFill>
              <w14:schemeClr w14:val="tx1"/>
            </w14:solidFill>
          </w14:textFill>
        </w:rPr>
        <w:t>日，现已过适用期。</w:t>
      </w:r>
      <w:r>
        <w:rPr>
          <w:rFonts w:hint="eastAsia" w:cs="Times New Roman"/>
          <w:color w:val="000000" w:themeColor="text1"/>
          <w:sz w:val="28"/>
          <w:szCs w:val="28"/>
          <w:lang w:val="en-US" w:eastAsia="zh-CN"/>
          <w14:textFill>
            <w14:solidFill>
              <w14:schemeClr w14:val="tx1"/>
            </w14:solidFill>
          </w14:textFill>
        </w:rPr>
        <w:t>本次为修编。</w:t>
      </w:r>
    </w:p>
    <w:p w14:paraId="7F1B3EFD">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（二）</w:t>
      </w:r>
      <w:r>
        <w:rPr>
          <w:rFonts w:hint="eastAsia" w:cs="Times New Roman"/>
          <w:color w:val="000000" w:themeColor="text1"/>
          <w:sz w:val="28"/>
          <w:szCs w:val="28"/>
          <w:lang w:val="en-US" w:eastAsia="zh-CN"/>
          <w14:textFill>
            <w14:solidFill>
              <w14:schemeClr w14:val="tx1"/>
            </w14:solidFill>
          </w14:textFill>
        </w:rPr>
        <w:t>依据</w:t>
      </w:r>
      <w:r>
        <w:rPr>
          <w:rFonts w:hint="eastAsia" w:ascii="Times New Roman" w:hAnsi="Times New Roman" w:eastAsia="宋体" w:cs="Times New Roman"/>
          <w:color w:val="000000" w:themeColor="text1"/>
          <w:spacing w:val="-3"/>
          <w:sz w:val="28"/>
          <w:szCs w:val="28"/>
          <w:lang w:val="en-US" w:eastAsia="zh-CN"/>
          <w14:textFill>
            <w14:solidFill>
              <w14:schemeClr w14:val="tx1"/>
            </w14:solidFill>
          </w14:textFill>
        </w:rPr>
        <w:t>2026年1月，内蒙古兴程技术有限公司编制的《内蒙古自治区赤峰太安新型建筑材料有限公司太平地镇粘土矿资源储量2025年度变化表》，矿山剩余服务年限为9.2年。</w:t>
      </w:r>
      <w:r>
        <w:rPr>
          <w:rFonts w:hint="default" w:ascii="Times New Roman" w:hAnsi="Times New Roman" w:cs="Times New Roman"/>
          <w:color w:val="000000" w:themeColor="text1"/>
          <w:sz w:val="28"/>
          <w:szCs w:val="28"/>
          <w14:textFill>
            <w14:solidFill>
              <w14:schemeClr w14:val="tx1"/>
            </w14:solidFill>
          </w14:textFill>
        </w:rPr>
        <w:t>考虑到矿山在服务年限期满后</w:t>
      </w:r>
      <w:r>
        <w:rPr>
          <w:rFonts w:hint="default" w:ascii="Times New Roman" w:hAnsi="Times New Roman" w:eastAsia="宋体" w:cs="Times New Roman"/>
          <w:color w:val="000000" w:themeColor="text1"/>
          <w:sz w:val="28"/>
          <w:szCs w:val="28"/>
          <w:highlight w:val="none"/>
          <w14:textFill>
            <w14:solidFill>
              <w14:schemeClr w14:val="tx1"/>
            </w14:solidFill>
          </w14:textFill>
        </w:rPr>
        <w:t>矿山</w:t>
      </w:r>
      <w:r>
        <w:rPr>
          <w:rFonts w:hint="eastAsia" w:cs="Times New Roman"/>
          <w:color w:val="000000" w:themeColor="text1"/>
          <w:sz w:val="28"/>
          <w:szCs w:val="28"/>
          <w:highlight w:val="none"/>
          <w:lang w:val="en-US" w:eastAsia="zh-CN"/>
          <w14:textFill>
            <w14:solidFill>
              <w14:schemeClr w14:val="tx1"/>
            </w14:solidFill>
          </w14:textFill>
        </w:rPr>
        <w:t>生态修复</w:t>
      </w:r>
      <w:r>
        <w:rPr>
          <w:rFonts w:hint="default" w:ascii="Times New Roman" w:hAnsi="Times New Roman" w:cs="Times New Roman"/>
          <w:color w:val="000000" w:themeColor="text1"/>
          <w:sz w:val="28"/>
          <w:szCs w:val="28"/>
          <w14:textFill>
            <w14:solidFill>
              <w14:schemeClr w14:val="tx1"/>
            </w14:solidFill>
          </w14:textFill>
        </w:rPr>
        <w:t>时间为</w:t>
      </w:r>
      <w:r>
        <w:rPr>
          <w:rFonts w:hint="eastAsia" w:cs="Times New Roman"/>
          <w:color w:val="000000" w:themeColor="text1"/>
          <w:sz w:val="28"/>
          <w:szCs w:val="28"/>
          <w:lang w:val="en-US" w:eastAsia="zh-CN"/>
          <w14:textFill>
            <w14:solidFill>
              <w14:schemeClr w14:val="tx1"/>
            </w14:solidFill>
          </w14:textFill>
        </w:rPr>
        <w:t>0.8</w:t>
      </w:r>
      <w:r>
        <w:rPr>
          <w:rFonts w:hint="default" w:ascii="Times New Roman" w:hAnsi="Times New Roman" w:cs="Times New Roman"/>
          <w:color w:val="000000" w:themeColor="text1"/>
          <w:sz w:val="28"/>
          <w:szCs w:val="28"/>
          <w14:textFill>
            <w14:solidFill>
              <w14:schemeClr w14:val="tx1"/>
            </w14:solidFill>
          </w14:textFill>
        </w:rPr>
        <w:t>年，</w:t>
      </w:r>
      <w:r>
        <w:rPr>
          <w:rFonts w:hint="eastAsia" w:cs="Times New Roman"/>
          <w:color w:val="000000" w:themeColor="text1"/>
          <w:sz w:val="28"/>
          <w:szCs w:val="28"/>
          <w:highlight w:val="none"/>
          <w:lang w:val="en-US" w:eastAsia="zh-CN"/>
          <w14:textFill>
            <w14:solidFill>
              <w14:schemeClr w14:val="tx1"/>
            </w14:solidFill>
          </w14:textFill>
        </w:rPr>
        <w:t>管护期为3年，</w:t>
      </w:r>
      <w:r>
        <w:rPr>
          <w:rFonts w:hint="default" w:ascii="Times New Roman" w:hAnsi="Times New Roman" w:cs="Times New Roman"/>
          <w:color w:val="000000" w:themeColor="text1"/>
          <w:sz w:val="28"/>
          <w:szCs w:val="28"/>
          <w14:textFill>
            <w14:solidFill>
              <w14:schemeClr w14:val="tx1"/>
            </w14:solidFill>
          </w14:textFill>
        </w:rPr>
        <w:t>在矿山生产规模、资源储量不变的情况下，确定矿山</w:t>
      </w:r>
      <w:r>
        <w:rPr>
          <w:rFonts w:hint="default" w:ascii="Times New Roman" w:hAnsi="Times New Roman" w:cs="Times New Roman"/>
          <w:color w:val="000000" w:themeColor="text1"/>
          <w:sz w:val="28"/>
          <w:szCs w:val="28"/>
          <w:lang w:val="en-US" w:eastAsia="zh-CN"/>
          <w14:textFill>
            <w14:solidFill>
              <w14:schemeClr w14:val="tx1"/>
            </w14:solidFill>
          </w14:textFill>
        </w:rPr>
        <w:t>生态修复</w:t>
      </w:r>
      <w:r>
        <w:rPr>
          <w:rFonts w:hint="default" w:ascii="Times New Roman" w:hAnsi="Times New Roman" w:cs="Times New Roman"/>
          <w:color w:val="000000" w:themeColor="text1"/>
          <w:sz w:val="28"/>
          <w:szCs w:val="28"/>
          <w:lang w:eastAsia="zh-CN"/>
          <w14:textFill>
            <w14:solidFill>
              <w14:schemeClr w14:val="tx1"/>
            </w14:solidFill>
          </w14:textFill>
        </w:rPr>
        <w:t>方案</w:t>
      </w:r>
      <w:r>
        <w:rPr>
          <w:rFonts w:hint="default" w:ascii="Times New Roman" w:hAnsi="Times New Roman" w:cs="Times New Roman"/>
          <w:color w:val="000000" w:themeColor="text1"/>
          <w:sz w:val="28"/>
          <w:szCs w:val="28"/>
          <w14:textFill>
            <w14:solidFill>
              <w14:schemeClr w14:val="tx1"/>
            </w14:solidFill>
          </w14:textFill>
        </w:rPr>
        <w:t>规划年限为</w:t>
      </w:r>
      <w:r>
        <w:rPr>
          <w:rFonts w:hint="eastAsia" w:cs="Times New Roman"/>
          <w:color w:val="000000" w:themeColor="text1"/>
          <w:sz w:val="28"/>
          <w:szCs w:val="28"/>
          <w:lang w:val="en-US" w:eastAsia="zh-CN"/>
          <w14:textFill>
            <w14:solidFill>
              <w14:schemeClr w14:val="tx1"/>
            </w14:solidFill>
          </w14:textFill>
        </w:rPr>
        <w:t>13</w:t>
      </w:r>
      <w:r>
        <w:rPr>
          <w:rFonts w:hint="default" w:ascii="Times New Roman" w:hAnsi="Times New Roman" w:cs="Times New Roman"/>
          <w:color w:val="000000" w:themeColor="text1"/>
          <w:sz w:val="28"/>
          <w:szCs w:val="28"/>
          <w14:textFill>
            <w14:solidFill>
              <w14:schemeClr w14:val="tx1"/>
            </w14:solidFill>
          </w14:textFill>
        </w:rPr>
        <w:t>年，即202</w:t>
      </w:r>
      <w:r>
        <w:rPr>
          <w:rFonts w:hint="eastAsia" w:cs="Times New Roman"/>
          <w:color w:val="000000" w:themeColor="text1"/>
          <w:sz w:val="28"/>
          <w:szCs w:val="28"/>
          <w:lang w:val="en-US" w:eastAsia="zh-CN"/>
          <w14:textFill>
            <w14:solidFill>
              <w14:schemeClr w14:val="tx1"/>
            </w14:solidFill>
          </w14:textFill>
        </w:rPr>
        <w:t>6</w:t>
      </w:r>
      <w:r>
        <w:rPr>
          <w:rFonts w:hint="default" w:ascii="Times New Roman" w:hAnsi="Times New Roman" w:cs="Times New Roman"/>
          <w:color w:val="000000" w:themeColor="text1"/>
          <w:sz w:val="28"/>
          <w:szCs w:val="28"/>
          <w14:textFill>
            <w14:solidFill>
              <w14:schemeClr w14:val="tx1"/>
            </w14:solidFill>
          </w14:textFill>
        </w:rPr>
        <w:t>年1月1日～20</w:t>
      </w:r>
      <w:r>
        <w:rPr>
          <w:rFonts w:hint="eastAsia" w:cs="Times New Roman"/>
          <w:color w:val="000000" w:themeColor="text1"/>
          <w:sz w:val="28"/>
          <w:szCs w:val="28"/>
          <w:lang w:val="en-US" w:eastAsia="zh-CN"/>
          <w14:textFill>
            <w14:solidFill>
              <w14:schemeClr w14:val="tx1"/>
            </w14:solidFill>
          </w14:textFill>
        </w:rPr>
        <w:t>38</w:t>
      </w:r>
      <w:r>
        <w:rPr>
          <w:rFonts w:hint="default" w:ascii="Times New Roman" w:hAnsi="Times New Roman" w:cs="Times New Roman"/>
          <w:color w:val="000000" w:themeColor="text1"/>
          <w:sz w:val="28"/>
          <w:szCs w:val="28"/>
          <w14:textFill>
            <w14:solidFill>
              <w14:schemeClr w14:val="tx1"/>
            </w14:solidFill>
          </w14:textFill>
        </w:rPr>
        <w:t>年12月31日。</w:t>
      </w:r>
    </w:p>
    <w:p w14:paraId="731F8C33">
      <w:pPr>
        <w:adjustRightInd w:val="0"/>
        <w:snapToGrid w:val="0"/>
        <w:spacing w:line="360" w:lineRule="auto"/>
        <w:ind w:firstLine="560" w:firstLineChars="200"/>
        <w:rPr>
          <w:rFonts w:hint="default" w:ascii="Times New Roman" w:hAnsi="Times New Roman" w:cs="Times New Roman"/>
          <w:snapToGrid w:val="0"/>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（三）</w:t>
      </w:r>
      <w:r>
        <w:rPr>
          <w:rFonts w:hint="default" w:ascii="Times New Roman" w:hAnsi="Times New Roman" w:eastAsia="宋体" w:cs="Times New Roman"/>
          <w:color w:val="000000" w:themeColor="text1"/>
          <w:sz w:val="28"/>
          <w:szCs w:val="28"/>
          <w14:textFill>
            <w14:solidFill>
              <w14:schemeClr w14:val="tx1"/>
            </w14:solidFill>
          </w14:textFill>
        </w:rPr>
        <w:t>依据《矿区生态修复方案编制指南（临时）》矿山生态修复区范围包括：采矿权范围及采矿活动的影响范围。本次矿山地质环境影响的</w:t>
      </w:r>
      <w:r>
        <w:rPr>
          <w:rFonts w:hint="default" w:ascii="Times New Roman" w:hAnsi="Times New Roman" w:cs="Times New Roman"/>
          <w:snapToGrid w:val="0"/>
          <w:color w:val="000000" w:themeColor="text1"/>
          <w:sz w:val="28"/>
          <w:szCs w:val="28"/>
          <w14:textFill>
            <w14:solidFill>
              <w14:schemeClr w14:val="tx1"/>
            </w14:solidFill>
          </w14:textFill>
        </w:rPr>
        <w:t>修复区</w:t>
      </w:r>
      <w:r>
        <w:rPr>
          <w:rFonts w:hint="default" w:ascii="Times New Roman" w:hAnsi="Times New Roman" w:eastAsia="宋体" w:cs="Times New Roman"/>
          <w:color w:val="000000" w:themeColor="text1"/>
          <w:sz w:val="28"/>
          <w:szCs w:val="28"/>
          <w14:textFill>
            <w14:solidFill>
              <w14:schemeClr w14:val="tx1"/>
            </w14:solidFill>
          </w14:textFill>
        </w:rPr>
        <w:t>面积为</w:t>
      </w:r>
      <w:r>
        <w:rPr>
          <w:rFonts w:hint="eastAsia" w:ascii="Times New Roman" w:hAnsi="Times New Roman" w:eastAsia="宋体" w:cs="Times New Roman"/>
          <w:color w:val="000000" w:themeColor="text1"/>
          <w:sz w:val="28"/>
          <w:szCs w:val="28"/>
          <w:lang w:val="en-US" w:eastAsia="zh-CN"/>
          <w14:textFill>
            <w14:solidFill>
              <w14:schemeClr w14:val="tx1"/>
            </w14:solidFill>
          </w14:textFill>
        </w:rPr>
        <w:t>：</w:t>
      </w:r>
      <w:r>
        <w:rPr>
          <w:rFonts w:hint="eastAsia" w:cs="Times New Roman"/>
          <w:color w:val="000000" w:themeColor="text1"/>
          <w:sz w:val="28"/>
          <w:szCs w:val="21"/>
          <w:lang w:val="en-US" w:eastAsia="zh-CN"/>
          <w14:textFill>
            <w14:solidFill>
              <w14:schemeClr w14:val="tx1"/>
            </w14:solidFill>
          </w14:textFill>
        </w:rPr>
        <w:t>19.1789h</w:t>
      </w:r>
      <w:r>
        <w:rPr>
          <w:rFonts w:hint="default" w:ascii="Times New Roman" w:hAnsi="Times New Roman" w:eastAsia="宋体" w:cs="Times New Roman"/>
          <w:color w:val="000000" w:themeColor="text1"/>
          <w:sz w:val="28"/>
          <w:szCs w:val="28"/>
          <w14:textFill>
            <w14:solidFill>
              <w14:schemeClr w14:val="tx1"/>
            </w14:solidFill>
          </w14:textFill>
        </w:rPr>
        <w:t>m</w:t>
      </w:r>
      <w:r>
        <w:rPr>
          <w:rFonts w:hint="default" w:ascii="Times New Roman" w:hAnsi="Times New Roman" w:eastAsia="宋体" w:cs="Times New Roman"/>
          <w:color w:val="000000" w:themeColor="text1"/>
          <w:sz w:val="28"/>
          <w:szCs w:val="28"/>
          <w:vertAlign w:val="superscript"/>
          <w14:textFill>
            <w14:solidFill>
              <w14:schemeClr w14:val="tx1"/>
            </w14:solidFill>
          </w14:textFill>
        </w:rPr>
        <w:t>2</w:t>
      </w:r>
      <w:r>
        <w:rPr>
          <w:rFonts w:hint="default" w:ascii="Times New Roman" w:hAnsi="Times New Roman" w:eastAsia="宋体" w:cs="Times New Roman"/>
          <w:color w:val="000000" w:themeColor="text1"/>
          <w:sz w:val="28"/>
          <w:szCs w:val="28"/>
          <w14:textFill>
            <w14:solidFill>
              <w14:schemeClr w14:val="tx1"/>
            </w14:solidFill>
          </w14:textFill>
        </w:rPr>
        <w:t>。</w:t>
      </w:r>
    </w:p>
    <w:p w14:paraId="27E5A62C">
      <w:pPr>
        <w:spacing w:line="360" w:lineRule="auto"/>
        <w:ind w:firstLine="560" w:firstLineChars="200"/>
        <w:rPr>
          <w:rFonts w:hint="default" w:ascii="Times New Roman" w:hAnsi="Times New Roman" w:cs="Times New Roman"/>
          <w:color w:val="000000" w:themeColor="text1"/>
          <w:sz w:val="28"/>
          <w:szCs w:val="28"/>
          <w:lang w:val="en-US"/>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（四）生态修复范围内根据地质环境破坏问题、土地资源损毁问题、生态系统受损问题，将生态修复影响范围划分为重度、中度、轻度。</w:t>
      </w:r>
      <w:r>
        <w:rPr>
          <w:rFonts w:hint="eastAsia" w:cs="Times New Roman"/>
          <w:color w:val="000000" w:themeColor="text1"/>
          <w:sz w:val="28"/>
          <w:szCs w:val="28"/>
          <w:lang w:val="en-US" w:eastAsia="zh-CN"/>
          <w14:textFill>
            <w14:solidFill>
              <w14:schemeClr w14:val="tx1"/>
            </w14:solidFill>
          </w14:textFill>
        </w:rPr>
        <w:t>其中</w:t>
      </w:r>
      <w:r>
        <w:rPr>
          <w:rFonts w:hint="default" w:ascii="Times New Roman" w:hAnsi="Times New Roman" w:cs="Times New Roman"/>
          <w:color w:val="000000" w:themeColor="text1"/>
          <w:sz w:val="28"/>
          <w:szCs w:val="28"/>
          <w:shd w:val="clear" w:color="auto" w:fill="FFFFFF"/>
          <w14:textFill>
            <w14:solidFill>
              <w14:schemeClr w14:val="tx1"/>
            </w14:solidFill>
          </w14:textFill>
        </w:rPr>
        <w:t>拟建露天采场1、拟建露天采场2、露天采场2</w:t>
      </w:r>
      <w:r>
        <w:rPr>
          <w:rFonts w:hint="eastAsia" w:cs="Times New Roman"/>
          <w:color w:val="000000" w:themeColor="text1"/>
          <w:sz w:val="28"/>
          <w:szCs w:val="28"/>
          <w:shd w:val="clear" w:color="auto" w:fill="FFFFFF"/>
          <w:lang w:val="en-US" w:eastAsia="zh-CN"/>
          <w14:textFill>
            <w14:solidFill>
              <w14:schemeClr w14:val="tx1"/>
            </w14:solidFill>
          </w14:textFill>
        </w:rPr>
        <w:t>受损预测为重度；</w:t>
      </w:r>
      <w:r>
        <w:rPr>
          <w:rFonts w:hint="default" w:ascii="Times New Roman" w:hAnsi="Times New Roman" w:cs="Times New Roman"/>
          <w:color w:val="000000" w:themeColor="text1"/>
          <w:sz w:val="28"/>
          <w:szCs w:val="28"/>
          <w:shd w:val="clear" w:color="auto" w:fill="FFFFFF"/>
          <w14:textFill>
            <w14:solidFill>
              <w14:schemeClr w14:val="tx1"/>
            </w14:solidFill>
          </w14:textFill>
        </w:rPr>
        <w:t>拟建储水池、工业场地、成品砖堆放场、料堆、表土存放场、办公生活区与矿区道路</w:t>
      </w:r>
      <w:r>
        <w:rPr>
          <w:rFonts w:hint="eastAsia" w:cs="Times New Roman"/>
          <w:color w:val="000000" w:themeColor="text1"/>
          <w:sz w:val="28"/>
          <w:szCs w:val="28"/>
          <w:shd w:val="clear" w:color="auto" w:fill="FFFFFF"/>
          <w:lang w:val="en-US" w:eastAsia="zh-CN"/>
          <w14:textFill>
            <w14:solidFill>
              <w14:schemeClr w14:val="tx1"/>
            </w14:solidFill>
          </w14:textFill>
        </w:rPr>
        <w:t>受损预测为重度；修复区内其他区域受损预测为轻度。</w:t>
      </w:r>
    </w:p>
    <w:p w14:paraId="7DE1FB6A">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（五）矿区生态修复总体部署划分为</w:t>
      </w:r>
      <w:r>
        <w:rPr>
          <w:rFonts w:hint="eastAsia" w:cs="Times New Roman"/>
          <w:color w:val="000000" w:themeColor="text1"/>
          <w:sz w:val="28"/>
          <w:szCs w:val="28"/>
          <w:lang w:val="en-US" w:eastAsia="zh-CN"/>
          <w14:textFill>
            <w14:solidFill>
              <w14:schemeClr w14:val="tx1"/>
            </w14:solidFill>
          </w14:textFill>
        </w:rPr>
        <w:t>二</w:t>
      </w:r>
      <w:r>
        <w:rPr>
          <w:rFonts w:hint="default" w:ascii="Times New Roman" w:hAnsi="Times New Roman" w:cs="Times New Roman"/>
          <w:color w:val="000000" w:themeColor="text1"/>
          <w:sz w:val="28"/>
          <w:szCs w:val="28"/>
          <w14:textFill>
            <w14:solidFill>
              <w14:schemeClr w14:val="tx1"/>
            </w14:solidFill>
          </w14:textFill>
        </w:rPr>
        <w:t>个阶段：</w:t>
      </w:r>
      <w:r>
        <w:rPr>
          <w:rFonts w:hint="default" w:ascii="Times New Roman" w:hAnsi="Times New Roman" w:cs="Times New Roman"/>
          <w:color w:val="000000" w:themeColor="text1"/>
          <w:kern w:val="0"/>
          <w:sz w:val="28"/>
          <w:szCs w:val="28"/>
          <w14:textFill>
            <w14:solidFill>
              <w14:schemeClr w14:val="tx1"/>
            </w14:solidFill>
          </w14:textFill>
        </w:rPr>
        <w:t>生产期和修复管护期，生产期（2026年1月-2035年12月），修复管护期（2036年1月-203</w:t>
      </w:r>
      <w:r>
        <w:rPr>
          <w:rFonts w:hint="eastAsia" w:cs="Times New Roman"/>
          <w:color w:val="000000" w:themeColor="text1"/>
          <w:kern w:val="0"/>
          <w:sz w:val="28"/>
          <w:szCs w:val="28"/>
          <w:lang w:val="en-US" w:eastAsia="zh-CN"/>
          <w14:textFill>
            <w14:solidFill>
              <w14:schemeClr w14:val="tx1"/>
            </w14:solidFill>
          </w14:textFill>
        </w:rPr>
        <w:t>8</w:t>
      </w:r>
      <w:r>
        <w:rPr>
          <w:rFonts w:hint="default" w:ascii="Times New Roman" w:hAnsi="Times New Roman" w:cs="Times New Roman"/>
          <w:color w:val="000000" w:themeColor="text1"/>
          <w:kern w:val="0"/>
          <w:sz w:val="28"/>
          <w:szCs w:val="28"/>
          <w14:textFill>
            <w14:solidFill>
              <w14:schemeClr w14:val="tx1"/>
            </w14:solidFill>
          </w14:textFill>
        </w:rPr>
        <w:t>年12月）</w:t>
      </w:r>
      <w:r>
        <w:rPr>
          <w:rFonts w:hint="default" w:ascii="Times New Roman" w:hAnsi="Times New Roman" w:cs="Times New Roman"/>
          <w:color w:val="000000" w:themeColor="text1"/>
          <w:sz w:val="28"/>
          <w:szCs w:val="28"/>
          <w14:textFill>
            <w14:solidFill>
              <w14:schemeClr w14:val="tx1"/>
            </w14:solidFill>
          </w14:textFill>
        </w:rPr>
        <w:t>，生态修复工作预计在20</w:t>
      </w:r>
      <w:r>
        <w:rPr>
          <w:rFonts w:hint="eastAsia" w:cs="Times New Roman"/>
          <w:color w:val="000000" w:themeColor="text1"/>
          <w:sz w:val="28"/>
          <w:szCs w:val="28"/>
          <w:lang w:val="en-US" w:eastAsia="zh-CN"/>
          <w14:textFill>
            <w14:solidFill>
              <w14:schemeClr w14:val="tx1"/>
            </w14:solidFill>
          </w14:textFill>
        </w:rPr>
        <w:t>38</w:t>
      </w:r>
      <w:r>
        <w:rPr>
          <w:rFonts w:hint="default" w:ascii="Times New Roman" w:hAnsi="Times New Roman" w:cs="Times New Roman"/>
          <w:color w:val="000000" w:themeColor="text1"/>
          <w:sz w:val="28"/>
          <w:szCs w:val="28"/>
          <w14:textFill>
            <w14:solidFill>
              <w14:schemeClr w14:val="tx1"/>
            </w14:solidFill>
          </w14:textFill>
        </w:rPr>
        <w:t>年12月前结束。</w:t>
      </w:r>
    </w:p>
    <w:p w14:paraId="1C593351">
      <w:pPr>
        <w:pStyle w:val="66"/>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default" w:ascii="Times New Roman" w:hAnsi="Times New Roman" w:eastAsia="宋体" w:cs="Times New Roman"/>
          <w:b/>
          <w:bCs/>
          <w:color w:val="000000" w:themeColor="text1"/>
          <w:sz w:val="28"/>
          <w:szCs w:val="28"/>
          <w14:textFill>
            <w14:solidFill>
              <w14:schemeClr w14:val="tx1"/>
            </w14:solidFill>
          </w14:textFill>
        </w:rPr>
      </w:pPr>
      <w:r>
        <w:rPr>
          <w:rFonts w:hint="default" w:ascii="Times New Roman" w:hAnsi="Times New Roman" w:eastAsia="宋体" w:cs="Times New Roman"/>
          <w:b/>
          <w:bCs/>
          <w:color w:val="000000" w:themeColor="text1"/>
          <w:sz w:val="28"/>
          <w:szCs w:val="28"/>
          <w14:textFill>
            <w14:solidFill>
              <w14:schemeClr w14:val="tx1"/>
            </w14:solidFill>
          </w14:textFill>
        </w:rPr>
        <w:t>第</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一</w:t>
      </w:r>
      <w:r>
        <w:rPr>
          <w:rFonts w:hint="default" w:ascii="Times New Roman" w:hAnsi="Times New Roman" w:eastAsia="宋体" w:cs="Times New Roman"/>
          <w:b/>
          <w:bCs/>
          <w:color w:val="000000" w:themeColor="text1"/>
          <w:sz w:val="28"/>
          <w:szCs w:val="28"/>
          <w14:textFill>
            <w14:solidFill>
              <w14:schemeClr w14:val="tx1"/>
            </w14:solidFill>
          </w14:textFill>
        </w:rPr>
        <w:t>阶段（</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生产期：</w:t>
      </w:r>
      <w:r>
        <w:rPr>
          <w:rFonts w:hint="default" w:ascii="Times New Roman" w:hAnsi="Times New Roman" w:eastAsia="宋体" w:cs="Times New Roman"/>
          <w:b/>
          <w:bCs/>
          <w:color w:val="000000" w:themeColor="text1"/>
          <w:sz w:val="28"/>
          <w:szCs w:val="28"/>
          <w14:textFill>
            <w14:solidFill>
              <w14:schemeClr w14:val="tx1"/>
            </w14:solidFill>
          </w14:textFill>
        </w:rPr>
        <w:t>202</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6</w:t>
      </w:r>
      <w:r>
        <w:rPr>
          <w:rFonts w:hint="default" w:ascii="Times New Roman" w:hAnsi="Times New Roman" w:eastAsia="宋体" w:cs="Times New Roman"/>
          <w:b/>
          <w:bCs/>
          <w:color w:val="000000" w:themeColor="text1"/>
          <w:sz w:val="28"/>
          <w:szCs w:val="28"/>
          <w14:textFill>
            <w14:solidFill>
              <w14:schemeClr w14:val="tx1"/>
            </w14:solidFill>
          </w14:textFill>
        </w:rPr>
        <w:t>年1月1日-20</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34</w:t>
      </w:r>
      <w:r>
        <w:rPr>
          <w:rFonts w:hint="default" w:ascii="Times New Roman" w:hAnsi="Times New Roman" w:eastAsia="宋体" w:cs="Times New Roman"/>
          <w:b/>
          <w:bCs/>
          <w:color w:val="000000" w:themeColor="text1"/>
          <w:sz w:val="28"/>
          <w:szCs w:val="28"/>
          <w14:textFill>
            <w14:solidFill>
              <w14:schemeClr w14:val="tx1"/>
            </w14:solidFill>
          </w14:textFill>
        </w:rPr>
        <w:t>年12月31日）</w:t>
      </w:r>
    </w:p>
    <w:p w14:paraId="27A83462">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1、</w:t>
      </w:r>
      <w:r>
        <w:rPr>
          <w:rFonts w:hint="eastAsia" w:cs="Times New Roman"/>
          <w:color w:val="000000" w:themeColor="text1"/>
          <w:sz w:val="28"/>
          <w:szCs w:val="28"/>
          <w:lang w:val="en-US" w:eastAsia="zh-CN"/>
          <w14:textFill>
            <w14:solidFill>
              <w14:schemeClr w14:val="tx1"/>
            </w14:solidFill>
          </w14:textFill>
        </w:rPr>
        <w:t>拟建露天采场1</w:t>
      </w:r>
      <w:r>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8"/>
          <w:szCs w:val="28"/>
          <w:highlight w:val="none"/>
          <w:lang w:eastAsia="zh-CN"/>
          <w14:textFill>
            <w14:solidFill>
              <w14:schemeClr w14:val="tx1"/>
            </w14:solidFill>
          </w14:textFill>
        </w:rPr>
        <w:t>表土剥离、危</w:t>
      </w:r>
      <w:r>
        <w:rPr>
          <w:rFonts w:hint="eastAsia" w:cs="Times New Roman"/>
          <w:color w:val="000000" w:themeColor="text1"/>
          <w:kern w:val="0"/>
          <w:sz w:val="28"/>
          <w:szCs w:val="28"/>
          <w:highlight w:val="none"/>
          <w:lang w:val="en-US" w:eastAsia="zh-CN"/>
          <w14:textFill>
            <w14:solidFill>
              <w14:schemeClr w14:val="tx1"/>
            </w14:solidFill>
          </w14:textFill>
        </w:rPr>
        <w:t>土</w:t>
      </w:r>
      <w:r>
        <w:rPr>
          <w:rFonts w:hint="default" w:ascii="Times New Roman" w:hAnsi="Times New Roman" w:eastAsia="宋体" w:cs="Times New Roman"/>
          <w:color w:val="000000" w:themeColor="text1"/>
          <w:kern w:val="0"/>
          <w:sz w:val="28"/>
          <w:szCs w:val="28"/>
          <w:highlight w:val="none"/>
          <w:lang w:eastAsia="zh-CN"/>
          <w14:textFill>
            <w14:solidFill>
              <w14:schemeClr w14:val="tx1"/>
            </w14:solidFill>
          </w14:textFill>
        </w:rPr>
        <w:t>体清理、设置警示牌、布设网围栏</w:t>
      </w:r>
      <w:r>
        <w:rPr>
          <w:rFonts w:hint="eastAsia" w:ascii="Times New Roman" w:hAnsi="Times New Roman" w:eastAsia="宋体" w:cs="Times New Roman"/>
          <w:color w:val="000000" w:themeColor="text1"/>
          <w:kern w:val="0"/>
          <w:sz w:val="28"/>
          <w:szCs w:val="28"/>
          <w:highlight w:val="none"/>
          <w:lang w:eastAsia="zh-CN"/>
          <w14:textFill>
            <w14:solidFill>
              <w14:schemeClr w14:val="tx1"/>
            </w14:solidFill>
          </w14:textFill>
        </w:rPr>
        <w:t>；</w:t>
      </w:r>
    </w:p>
    <w:p w14:paraId="20FFA471">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cs="Times New Roman"/>
          <w:color w:val="000000" w:themeColor="text1"/>
          <w:kern w:val="0"/>
          <w:sz w:val="28"/>
          <w:szCs w:val="28"/>
          <w:highlight w:val="none"/>
          <w:lang w:val="en-US" w:eastAsia="zh-CN"/>
          <w14:textFill>
            <w14:solidFill>
              <w14:schemeClr w14:val="tx1"/>
            </w14:solidFill>
          </w14:textFill>
        </w:rPr>
      </w:pPr>
      <w:r>
        <w:rPr>
          <w:rFonts w:hint="eastAsia"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2、</w:t>
      </w:r>
      <w:r>
        <w:rPr>
          <w:rFonts w:hint="eastAsia" w:cs="Times New Roman"/>
          <w:color w:val="000000" w:themeColor="text1"/>
          <w:sz w:val="28"/>
          <w:szCs w:val="28"/>
          <w:lang w:val="en-US" w:eastAsia="zh-CN"/>
          <w14:textFill>
            <w14:solidFill>
              <w14:schemeClr w14:val="tx1"/>
            </w14:solidFill>
          </w14:textFill>
        </w:rPr>
        <w:t>拟建露天采场2</w:t>
      </w:r>
      <w:r>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8"/>
          <w:szCs w:val="28"/>
          <w:highlight w:val="none"/>
          <w:lang w:eastAsia="zh-CN"/>
          <w14:textFill>
            <w14:solidFill>
              <w14:schemeClr w14:val="tx1"/>
            </w14:solidFill>
          </w14:textFill>
        </w:rPr>
        <w:t>表土剥离、危</w:t>
      </w:r>
      <w:r>
        <w:rPr>
          <w:rFonts w:hint="eastAsia" w:cs="Times New Roman"/>
          <w:color w:val="000000" w:themeColor="text1"/>
          <w:kern w:val="0"/>
          <w:sz w:val="28"/>
          <w:szCs w:val="28"/>
          <w:highlight w:val="none"/>
          <w:lang w:val="en-US" w:eastAsia="zh-CN"/>
          <w14:textFill>
            <w14:solidFill>
              <w14:schemeClr w14:val="tx1"/>
            </w14:solidFill>
          </w14:textFill>
        </w:rPr>
        <w:t>土</w:t>
      </w:r>
      <w:r>
        <w:rPr>
          <w:rFonts w:hint="default" w:ascii="Times New Roman" w:hAnsi="Times New Roman" w:eastAsia="宋体" w:cs="Times New Roman"/>
          <w:color w:val="000000" w:themeColor="text1"/>
          <w:kern w:val="0"/>
          <w:sz w:val="28"/>
          <w:szCs w:val="28"/>
          <w:highlight w:val="none"/>
          <w:lang w:eastAsia="zh-CN"/>
          <w14:textFill>
            <w14:solidFill>
              <w14:schemeClr w14:val="tx1"/>
            </w14:solidFill>
          </w14:textFill>
        </w:rPr>
        <w:t>体清理、设置警示牌、布设网围栏</w:t>
      </w:r>
      <w:r>
        <w:rPr>
          <w:rFonts w:hint="eastAsia" w:ascii="Times New Roman" w:hAnsi="Times New Roman" w:eastAsia="宋体" w:cs="Times New Roman"/>
          <w:color w:val="000000" w:themeColor="text1"/>
          <w:kern w:val="0"/>
          <w:sz w:val="28"/>
          <w:szCs w:val="28"/>
          <w:highlight w:val="none"/>
          <w:lang w:eastAsia="zh-CN"/>
          <w14:textFill>
            <w14:solidFill>
              <w14:schemeClr w14:val="tx1"/>
            </w14:solidFill>
          </w14:textFill>
        </w:rPr>
        <w:t>；</w:t>
      </w:r>
    </w:p>
    <w:p w14:paraId="4B46BE10">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3、露天采场2（界外区域）：回填、土地平整、撒播种草；</w:t>
      </w:r>
    </w:p>
    <w:p w14:paraId="12C2FF6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4、拟建储水池：表土剥离；</w:t>
      </w:r>
    </w:p>
    <w:p w14:paraId="5F7E5CD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5、表土存放场：清运、翻耕、土地平整、栽植乔木、撒播种草；</w:t>
      </w:r>
    </w:p>
    <w:p w14:paraId="1C95F2A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cs="Times New Roman"/>
          <w:color w:val="000000" w:themeColor="text1"/>
          <w:kern w:val="0"/>
          <w:sz w:val="28"/>
          <w:szCs w:val="28"/>
          <w:highlight w:val="none"/>
          <w:lang w:val="en-US" w:eastAsia="zh-CN"/>
          <w14:textFill>
            <w14:solidFill>
              <w14:schemeClr w14:val="tx1"/>
            </w14:solidFill>
          </w14:textFill>
        </w:rPr>
      </w:pPr>
      <w:r>
        <w:rPr>
          <w:rFonts w:hint="eastAsia" w:cs="Times New Roman"/>
          <w:b w:val="0"/>
          <w:bCs w:val="0"/>
          <w:color w:val="000000" w:themeColor="text1"/>
          <w:kern w:val="0"/>
          <w:sz w:val="28"/>
          <w:szCs w:val="28"/>
          <w:highlight w:val="none"/>
          <w:lang w:val="en-US" w:eastAsia="zh-CN"/>
          <w14:textFill>
            <w14:solidFill>
              <w14:schemeClr w14:val="tx1"/>
            </w14:solidFill>
          </w14:textFill>
        </w:rPr>
        <w:t>6、料堆：清运、翻耕、土地平整、恢复水浇地；</w:t>
      </w:r>
    </w:p>
    <w:p w14:paraId="4FEDB0F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7、对矿山地质环境、土地资源、生态系统开展监测；</w:t>
      </w:r>
    </w:p>
    <w:p w14:paraId="4ABC6B4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kern w:val="0"/>
          <w:sz w:val="28"/>
          <w:szCs w:val="28"/>
          <w:highlight w:val="none"/>
          <w:lang w:val="en-US" w:eastAsia="zh-CN"/>
          <w14:textFill>
            <w14:solidFill>
              <w14:schemeClr w14:val="tx1"/>
            </w14:solidFill>
          </w14:textFill>
        </w:rPr>
        <w:t>8、对复垦区进行管护。</w:t>
      </w:r>
    </w:p>
    <w:p w14:paraId="64B72318">
      <w:pPr>
        <w:pStyle w:val="66"/>
        <w:spacing w:line="360" w:lineRule="auto"/>
        <w:ind w:firstLine="562" w:firstLineChars="200"/>
        <w:jc w:val="both"/>
        <w:rPr>
          <w:rFonts w:hint="default" w:ascii="Times New Roman" w:hAnsi="Times New Roman" w:eastAsia="宋体" w:cs="Times New Roman"/>
          <w:b/>
          <w:bCs/>
          <w:color w:val="000000" w:themeColor="text1"/>
          <w:sz w:val="28"/>
          <w:szCs w:val="28"/>
          <w14:textFill>
            <w14:solidFill>
              <w14:schemeClr w14:val="tx1"/>
            </w14:solidFill>
          </w14:textFill>
        </w:rPr>
      </w:pPr>
      <w:r>
        <w:rPr>
          <w:rFonts w:hint="default" w:ascii="Times New Roman" w:hAnsi="Times New Roman" w:eastAsia="宋体" w:cs="Times New Roman"/>
          <w:b/>
          <w:bCs/>
          <w:color w:val="000000" w:themeColor="text1"/>
          <w:sz w:val="28"/>
          <w:szCs w:val="28"/>
          <w14:textFill>
            <w14:solidFill>
              <w14:schemeClr w14:val="tx1"/>
            </w14:solidFill>
          </w14:textFill>
        </w:rPr>
        <w:t>第</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二</w:t>
      </w:r>
      <w:r>
        <w:rPr>
          <w:rFonts w:hint="default" w:ascii="Times New Roman" w:hAnsi="Times New Roman" w:eastAsia="宋体" w:cs="Times New Roman"/>
          <w:b/>
          <w:bCs/>
          <w:color w:val="000000" w:themeColor="text1"/>
          <w:sz w:val="28"/>
          <w:szCs w:val="28"/>
          <w14:textFill>
            <w14:solidFill>
              <w14:schemeClr w14:val="tx1"/>
            </w14:solidFill>
          </w14:textFill>
        </w:rPr>
        <w:t>阶段（</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修复管护期</w:t>
      </w:r>
      <w:r>
        <w:rPr>
          <w:rFonts w:hint="default" w:ascii="Times New Roman" w:hAnsi="Times New Roman" w:eastAsia="宋体" w:cs="Times New Roman"/>
          <w:b/>
          <w:bCs/>
          <w:color w:val="000000" w:themeColor="text1"/>
          <w:sz w:val="28"/>
          <w:szCs w:val="28"/>
          <w14:textFill>
            <w14:solidFill>
              <w14:schemeClr w14:val="tx1"/>
            </w14:solidFill>
          </w14:textFill>
        </w:rPr>
        <w:t>20</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35</w:t>
      </w:r>
      <w:r>
        <w:rPr>
          <w:rFonts w:hint="default" w:ascii="Times New Roman" w:hAnsi="Times New Roman" w:eastAsia="宋体" w:cs="Times New Roman"/>
          <w:b/>
          <w:bCs/>
          <w:color w:val="000000" w:themeColor="text1"/>
          <w:sz w:val="28"/>
          <w:szCs w:val="28"/>
          <w14:textFill>
            <w14:solidFill>
              <w14:schemeClr w14:val="tx1"/>
            </w14:solidFill>
          </w14:textFill>
        </w:rPr>
        <w:t>年1月1日-20</w:t>
      </w:r>
      <w:r>
        <w:rPr>
          <w:rFonts w:hint="eastAsia" w:ascii="Times New Roman" w:hAnsi="Times New Roman" w:eastAsia="宋体" w:cs="Times New Roman"/>
          <w:b/>
          <w:bCs/>
          <w:color w:val="000000" w:themeColor="text1"/>
          <w:sz w:val="28"/>
          <w:szCs w:val="28"/>
          <w:lang w:val="en-US" w:eastAsia="zh-CN"/>
          <w14:textFill>
            <w14:solidFill>
              <w14:schemeClr w14:val="tx1"/>
            </w14:solidFill>
          </w14:textFill>
        </w:rPr>
        <w:t>38</w:t>
      </w:r>
      <w:r>
        <w:rPr>
          <w:rFonts w:hint="default" w:ascii="Times New Roman" w:hAnsi="Times New Roman" w:eastAsia="宋体" w:cs="Times New Roman"/>
          <w:b/>
          <w:bCs/>
          <w:color w:val="000000" w:themeColor="text1"/>
          <w:sz w:val="28"/>
          <w:szCs w:val="28"/>
          <w14:textFill>
            <w14:solidFill>
              <w14:schemeClr w14:val="tx1"/>
            </w14:solidFill>
          </w14:textFill>
        </w:rPr>
        <w:t>年12月31日）</w:t>
      </w:r>
    </w:p>
    <w:p w14:paraId="13431B22">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cs="Times New Roman"/>
          <w:b w:val="0"/>
          <w:bCs w:val="0"/>
          <w:color w:val="000000" w:themeColor="text1"/>
          <w:kern w:val="0"/>
          <w:sz w:val="28"/>
          <w:szCs w:val="28"/>
          <w:highlight w:val="none"/>
          <w:lang w:val="en-US" w:eastAsia="zh-CN"/>
          <w14:textFill>
            <w14:solidFill>
              <w14:schemeClr w14:val="tx1"/>
            </w14:solidFill>
          </w14:textFill>
        </w:rPr>
      </w:pPr>
      <w:r>
        <w:rPr>
          <w:rFonts w:hint="eastAsia" w:cs="Times New Roman"/>
          <w:b w:val="0"/>
          <w:bCs w:val="0"/>
          <w:color w:val="000000" w:themeColor="text1"/>
          <w:kern w:val="0"/>
          <w:sz w:val="28"/>
          <w:szCs w:val="28"/>
          <w:highlight w:val="none"/>
          <w:lang w:val="en-US" w:eastAsia="zh-CN"/>
          <w14:textFill>
            <w14:solidFill>
              <w14:schemeClr w14:val="tx1"/>
            </w14:solidFill>
          </w14:textFill>
        </w:rPr>
        <w:t>1、拟建露天采场1：回填、翻耕、土地平整、栽植乔木、撒播种草；</w:t>
      </w:r>
    </w:p>
    <w:p w14:paraId="528EE093">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cs="Times New Roman"/>
          <w:b w:val="0"/>
          <w:bCs w:val="0"/>
          <w:color w:val="000000" w:themeColor="text1"/>
          <w:kern w:val="0"/>
          <w:sz w:val="28"/>
          <w:szCs w:val="28"/>
          <w:highlight w:val="none"/>
          <w:lang w:val="en-US" w:eastAsia="zh-CN"/>
          <w14:textFill>
            <w14:solidFill>
              <w14:schemeClr w14:val="tx1"/>
            </w14:solidFill>
          </w14:textFill>
        </w:rPr>
      </w:pPr>
      <w:r>
        <w:rPr>
          <w:rFonts w:hint="eastAsia" w:cs="Times New Roman"/>
          <w:b w:val="0"/>
          <w:bCs w:val="0"/>
          <w:color w:val="000000" w:themeColor="text1"/>
          <w:kern w:val="0"/>
          <w:sz w:val="28"/>
          <w:szCs w:val="28"/>
          <w:highlight w:val="none"/>
          <w:lang w:val="en-US" w:eastAsia="zh-CN"/>
          <w14:textFill>
            <w14:solidFill>
              <w14:schemeClr w14:val="tx1"/>
            </w14:solidFill>
          </w14:textFill>
        </w:rPr>
        <w:t>2、拟建露天采场2：回填、翻耕、土地平整、栽植乔木、撒播种草；</w:t>
      </w:r>
    </w:p>
    <w:p w14:paraId="6F193D37">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cs="Times New Roman"/>
          <w:b w:val="0"/>
          <w:bCs w:val="0"/>
          <w:color w:val="000000" w:themeColor="text1"/>
          <w:kern w:val="0"/>
          <w:sz w:val="28"/>
          <w:szCs w:val="28"/>
          <w:highlight w:val="none"/>
          <w:lang w:val="en-US" w:eastAsia="zh-CN"/>
          <w14:textFill>
            <w14:solidFill>
              <w14:schemeClr w14:val="tx1"/>
            </w14:solidFill>
          </w14:textFill>
        </w:rPr>
      </w:pPr>
      <w:r>
        <w:rPr>
          <w:rFonts w:hint="eastAsia" w:cs="Times New Roman"/>
          <w:b w:val="0"/>
          <w:bCs w:val="0"/>
          <w:color w:val="000000" w:themeColor="text1"/>
          <w:kern w:val="0"/>
          <w:sz w:val="28"/>
          <w:szCs w:val="28"/>
          <w:highlight w:val="none"/>
          <w:lang w:val="en-US" w:eastAsia="zh-CN"/>
          <w14:textFill>
            <w14:solidFill>
              <w14:schemeClr w14:val="tx1"/>
            </w14:solidFill>
          </w14:textFill>
        </w:rPr>
        <w:t>3、拟建储水池：拆除、清运、翻耕、土地平整、撒播种草；</w:t>
      </w:r>
    </w:p>
    <w:p w14:paraId="651FD962">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cs="Times New Roman"/>
          <w:b w:val="0"/>
          <w:bCs w:val="0"/>
          <w:color w:val="000000" w:themeColor="text1"/>
          <w:kern w:val="0"/>
          <w:sz w:val="28"/>
          <w:szCs w:val="28"/>
          <w:highlight w:val="none"/>
          <w:lang w:val="en-US" w:eastAsia="zh-CN"/>
          <w14:textFill>
            <w14:solidFill>
              <w14:schemeClr w14:val="tx1"/>
            </w14:solidFill>
          </w14:textFill>
        </w:rPr>
      </w:pPr>
      <w:r>
        <w:rPr>
          <w:rFonts w:hint="eastAsia" w:cs="Times New Roman"/>
          <w:b w:val="0"/>
          <w:bCs w:val="0"/>
          <w:color w:val="000000" w:themeColor="text1"/>
          <w:kern w:val="0"/>
          <w:sz w:val="28"/>
          <w:szCs w:val="28"/>
          <w:highlight w:val="none"/>
          <w:lang w:val="en-US" w:eastAsia="zh-CN"/>
          <w14:textFill>
            <w14:solidFill>
              <w14:schemeClr w14:val="tx1"/>
            </w14:solidFill>
          </w14:textFill>
        </w:rPr>
        <w:t>4、工业场地：拆除、清运、翻耕、土地平整、撒播种草；</w:t>
      </w:r>
    </w:p>
    <w:p w14:paraId="577662D7">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cs="Times New Roman"/>
          <w:b w:val="0"/>
          <w:bCs w:val="0"/>
          <w:color w:val="000000" w:themeColor="text1"/>
          <w:kern w:val="0"/>
          <w:sz w:val="28"/>
          <w:szCs w:val="28"/>
          <w:highlight w:val="none"/>
          <w:lang w:val="en-US" w:eastAsia="zh-CN"/>
          <w14:textFill>
            <w14:solidFill>
              <w14:schemeClr w14:val="tx1"/>
            </w14:solidFill>
          </w14:textFill>
        </w:rPr>
      </w:pPr>
      <w:r>
        <w:rPr>
          <w:rFonts w:hint="eastAsia" w:cs="Times New Roman"/>
          <w:b w:val="0"/>
          <w:bCs w:val="0"/>
          <w:color w:val="000000" w:themeColor="text1"/>
          <w:kern w:val="0"/>
          <w:sz w:val="28"/>
          <w:szCs w:val="28"/>
          <w:highlight w:val="none"/>
          <w:lang w:val="en-US" w:eastAsia="zh-CN"/>
          <w14:textFill>
            <w14:solidFill>
              <w14:schemeClr w14:val="tx1"/>
            </w14:solidFill>
          </w14:textFill>
        </w:rPr>
        <w:t>5、成品砖堆放场：翻耕、土地平整、撒播种草；</w:t>
      </w:r>
    </w:p>
    <w:p w14:paraId="143C3ED1">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cs="Times New Roman"/>
          <w:b w:val="0"/>
          <w:bCs w:val="0"/>
          <w:color w:val="000000" w:themeColor="text1"/>
          <w:kern w:val="0"/>
          <w:sz w:val="28"/>
          <w:szCs w:val="28"/>
          <w:highlight w:val="none"/>
          <w:lang w:val="en-US" w:eastAsia="zh-CN"/>
          <w14:textFill>
            <w14:solidFill>
              <w14:schemeClr w14:val="tx1"/>
            </w14:solidFill>
          </w14:textFill>
        </w:rPr>
      </w:pPr>
      <w:r>
        <w:rPr>
          <w:rFonts w:hint="eastAsia" w:cs="Times New Roman"/>
          <w:b w:val="0"/>
          <w:bCs w:val="0"/>
          <w:color w:val="000000" w:themeColor="text1"/>
          <w:kern w:val="0"/>
          <w:sz w:val="28"/>
          <w:szCs w:val="28"/>
          <w:highlight w:val="none"/>
          <w:lang w:val="en-US" w:eastAsia="zh-CN"/>
          <w14:textFill>
            <w14:solidFill>
              <w14:schemeClr w14:val="tx1"/>
            </w14:solidFill>
          </w14:textFill>
        </w:rPr>
        <w:t>6、料堆：清运、翻耕、土地平整、撒播种草；</w:t>
      </w:r>
    </w:p>
    <w:p w14:paraId="1F1E0A2B">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cs="Times New Roman"/>
          <w:b w:val="0"/>
          <w:bCs w:val="0"/>
          <w:color w:val="000000" w:themeColor="text1"/>
          <w:kern w:val="0"/>
          <w:sz w:val="28"/>
          <w:szCs w:val="28"/>
          <w:highlight w:val="none"/>
          <w:lang w:val="en-US" w:eastAsia="zh-CN"/>
          <w14:textFill>
            <w14:solidFill>
              <w14:schemeClr w14:val="tx1"/>
            </w14:solidFill>
          </w14:textFill>
        </w:rPr>
      </w:pPr>
      <w:r>
        <w:rPr>
          <w:rFonts w:hint="eastAsia" w:cs="Times New Roman"/>
          <w:b w:val="0"/>
          <w:bCs w:val="0"/>
          <w:color w:val="000000" w:themeColor="text1"/>
          <w:kern w:val="0"/>
          <w:sz w:val="28"/>
          <w:szCs w:val="28"/>
          <w:highlight w:val="none"/>
          <w:lang w:val="en-US" w:eastAsia="zh-CN"/>
          <w14:textFill>
            <w14:solidFill>
              <w14:schemeClr w14:val="tx1"/>
            </w14:solidFill>
          </w14:textFill>
        </w:rPr>
        <w:t>7、表土存放场：清运、翻耕、土地平整、栽植乔木、撒播种草；</w:t>
      </w:r>
    </w:p>
    <w:p w14:paraId="123F02E6">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cs="Times New Roman"/>
          <w:b w:val="0"/>
          <w:bCs w:val="0"/>
          <w:color w:val="000000" w:themeColor="text1"/>
          <w:kern w:val="0"/>
          <w:sz w:val="28"/>
          <w:szCs w:val="28"/>
          <w:highlight w:val="none"/>
          <w:lang w:val="en-US" w:eastAsia="zh-CN"/>
          <w14:textFill>
            <w14:solidFill>
              <w14:schemeClr w14:val="tx1"/>
            </w14:solidFill>
          </w14:textFill>
        </w:rPr>
      </w:pPr>
      <w:r>
        <w:rPr>
          <w:rFonts w:hint="eastAsia" w:cs="Times New Roman"/>
          <w:b w:val="0"/>
          <w:bCs w:val="0"/>
          <w:color w:val="000000" w:themeColor="text1"/>
          <w:kern w:val="0"/>
          <w:sz w:val="28"/>
          <w:szCs w:val="28"/>
          <w:highlight w:val="none"/>
          <w:lang w:val="en-US" w:eastAsia="zh-CN"/>
          <w14:textFill>
            <w14:solidFill>
              <w14:schemeClr w14:val="tx1"/>
            </w14:solidFill>
          </w14:textFill>
        </w:rPr>
        <w:t>8、办公生活区：拆除、清运、垫坡整形、翻耕、土地平整、撒播种草；</w:t>
      </w:r>
    </w:p>
    <w:p w14:paraId="1868BBFF">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cs="Times New Roman"/>
          <w:b w:val="0"/>
          <w:bCs w:val="0"/>
          <w:color w:val="000000" w:themeColor="text1"/>
          <w:kern w:val="0"/>
          <w:sz w:val="28"/>
          <w:szCs w:val="28"/>
          <w:highlight w:val="none"/>
          <w:lang w:val="en-US" w:eastAsia="zh-CN"/>
          <w14:textFill>
            <w14:solidFill>
              <w14:schemeClr w14:val="tx1"/>
            </w14:solidFill>
          </w14:textFill>
        </w:rPr>
      </w:pPr>
      <w:r>
        <w:rPr>
          <w:rFonts w:hint="eastAsia" w:cs="Times New Roman"/>
          <w:b w:val="0"/>
          <w:bCs w:val="0"/>
          <w:color w:val="000000" w:themeColor="text1"/>
          <w:kern w:val="0"/>
          <w:sz w:val="28"/>
          <w:szCs w:val="28"/>
          <w:highlight w:val="none"/>
          <w:lang w:val="en-US" w:eastAsia="zh-CN"/>
          <w14:textFill>
            <w14:solidFill>
              <w14:schemeClr w14:val="tx1"/>
            </w14:solidFill>
          </w14:textFill>
        </w:rPr>
        <w:t>9、矿区道路：翻耕、土地平整、撒播种草；</w:t>
      </w:r>
    </w:p>
    <w:p w14:paraId="3C8D899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pPr>
      <w:r>
        <w:rPr>
          <w:rFonts w:hint="eastAsia" w:cs="Times New Roman"/>
          <w:color w:val="000000" w:themeColor="text1"/>
          <w:sz w:val="28"/>
          <w:szCs w:val="28"/>
          <w:highlight w:val="none"/>
          <w:lang w:val="en-US" w:eastAsia="zh-CN"/>
          <w14:textFill>
            <w14:solidFill>
              <w14:schemeClr w14:val="tx1"/>
            </w14:solidFill>
          </w14:textFill>
        </w:rPr>
        <w:t>10</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对矿山地质环境、土地资源、生态系统开展监测。</w:t>
      </w:r>
    </w:p>
    <w:p w14:paraId="3296DCF4">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eastAsia="宋体" w:cs="Times New Roman"/>
          <w:color w:val="000000" w:themeColor="text1"/>
          <w:kern w:val="0"/>
          <w:sz w:val="28"/>
          <w:szCs w:val="28"/>
          <w:highlight w:val="none"/>
          <w:lang w:val="en-US" w:eastAsia="zh-CN"/>
          <w14:textFill>
            <w14:solidFill>
              <w14:schemeClr w14:val="tx1"/>
            </w14:solidFill>
          </w14:textFill>
        </w:rPr>
      </w:pPr>
      <w:r>
        <w:rPr>
          <w:rFonts w:hint="eastAsia" w:cs="Times New Roman"/>
          <w:color w:val="000000" w:themeColor="text1"/>
          <w:sz w:val="28"/>
          <w:szCs w:val="28"/>
          <w:highlight w:val="none"/>
          <w:lang w:val="en-US" w:eastAsia="zh-CN"/>
          <w14:textFill>
            <w14:solidFill>
              <w14:schemeClr w14:val="tx1"/>
            </w14:solidFill>
          </w14:textFill>
        </w:rPr>
        <w:t>11</w:t>
      </w:r>
      <w:r>
        <w:rPr>
          <w:rFonts w:hint="eastAsia" w:ascii="Times New Roman" w:hAnsi="Times New Roman" w:eastAsia="宋体" w:cs="Times New Roman"/>
          <w:color w:val="000000" w:themeColor="text1"/>
          <w:sz w:val="28"/>
          <w:szCs w:val="28"/>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28"/>
          <w:highlight w:val="none"/>
          <w:lang w:val="en-US" w:eastAsia="zh-CN"/>
          <w14:textFill>
            <w14:solidFill>
              <w14:schemeClr w14:val="tx1"/>
            </w14:solidFill>
          </w14:textFill>
        </w:rPr>
        <w:t>对复垦区进行管护。</w:t>
      </w:r>
    </w:p>
    <w:p w14:paraId="485536DF">
      <w:pPr>
        <w:pStyle w:val="66"/>
        <w:spacing w:line="360" w:lineRule="auto"/>
        <w:ind w:firstLine="560" w:firstLineChars="200"/>
        <w:jc w:val="both"/>
        <w:rPr>
          <w:rFonts w:hint="eastAsia" w:ascii="Times New Roman" w:hAnsi="Times New Roman" w:eastAsia="宋体" w:cs="Times New Roman"/>
          <w:color w:val="000000" w:themeColor="text1"/>
          <w:sz w:val="28"/>
          <w:szCs w:val="28"/>
          <w:lang w:eastAsia="zh-CN"/>
          <w14:textFill>
            <w14:solidFill>
              <w14:schemeClr w14:val="tx1"/>
            </w14:solidFill>
          </w14:textFill>
        </w:rPr>
      </w:pPr>
      <w:r>
        <w:rPr>
          <w:rFonts w:hint="eastAsia" w:ascii="Times New Roman" w:hAnsi="Times New Roman" w:eastAsia="宋体" w:cs="Times New Roman"/>
          <w:color w:val="000000" w:themeColor="text1"/>
          <w:sz w:val="28"/>
          <w:szCs w:val="28"/>
          <w:lang w:val="en-US" w:eastAsia="zh-CN"/>
          <w14:textFill>
            <w14:solidFill>
              <w14:schemeClr w14:val="tx1"/>
            </w14:solidFill>
          </w14:textFill>
        </w:rPr>
        <w:t>12</w:t>
      </w:r>
      <w:r>
        <w:rPr>
          <w:rFonts w:hint="default" w:ascii="Times New Roman" w:hAnsi="Times New Roman" w:eastAsia="宋体" w:cs="Times New Roman"/>
          <w:color w:val="000000" w:themeColor="text1"/>
          <w:sz w:val="28"/>
          <w:szCs w:val="28"/>
          <w14:textFill>
            <w14:solidFill>
              <w14:schemeClr w14:val="tx1"/>
            </w14:solidFill>
          </w14:textFill>
        </w:rPr>
        <w:t>、完善地面变形监测点，采用人工形式实施监测、巡视，为地质灾害监测预警提供技术依据</w:t>
      </w:r>
      <w:r>
        <w:rPr>
          <w:rFonts w:hint="eastAsia" w:ascii="Times New Roman" w:hAnsi="Times New Roman" w:eastAsia="宋体" w:cs="Times New Roman"/>
          <w:color w:val="000000" w:themeColor="text1"/>
          <w:sz w:val="28"/>
          <w:szCs w:val="28"/>
          <w:lang w:eastAsia="zh-CN"/>
          <w14:textFill>
            <w14:solidFill>
              <w14:schemeClr w14:val="tx1"/>
            </w14:solidFill>
          </w14:textFill>
        </w:rPr>
        <w:t>；</w:t>
      </w:r>
    </w:p>
    <w:p w14:paraId="27EC8B52">
      <w:pPr>
        <w:pStyle w:val="66"/>
        <w:spacing w:line="360" w:lineRule="auto"/>
        <w:ind w:firstLine="560" w:firstLineChars="200"/>
        <w:jc w:val="both"/>
        <w:rPr>
          <w:rFonts w:hint="default" w:ascii="Times New Roman" w:hAnsi="Times New Roman" w:eastAsia="宋体"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lang w:val="en-US" w:eastAsia="zh-CN"/>
          <w14:textFill>
            <w14:solidFill>
              <w14:schemeClr w14:val="tx1"/>
            </w14:solidFill>
          </w14:textFill>
        </w:rPr>
        <w:t>13</w:t>
      </w:r>
      <w:r>
        <w:rPr>
          <w:rFonts w:hint="default" w:ascii="Times New Roman" w:hAnsi="Times New Roman" w:eastAsia="宋体" w:cs="Times New Roman"/>
          <w:color w:val="000000" w:themeColor="text1"/>
          <w:sz w:val="28"/>
          <w:szCs w:val="28"/>
          <w14:textFill>
            <w14:solidFill>
              <w14:schemeClr w14:val="tx1"/>
            </w14:solidFill>
          </w14:textFill>
        </w:rPr>
        <w:t>、定期对地下水采集水质样品进行分析，监测水质污染状况；</w:t>
      </w:r>
    </w:p>
    <w:p w14:paraId="30DBD25D">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eastAsia" w:ascii="Times New Roman" w:hAnsi="Times New Roman" w:eastAsia="宋体" w:cs="Times New Roman"/>
          <w:color w:val="000000" w:themeColor="text1"/>
          <w:sz w:val="28"/>
          <w:szCs w:val="28"/>
          <w:lang w:val="en-US" w:eastAsia="zh-CN"/>
          <w14:textFill>
            <w14:solidFill>
              <w14:schemeClr w14:val="tx1"/>
            </w14:solidFill>
          </w14:textFill>
        </w:rPr>
        <w:t>14</w:t>
      </w:r>
      <w:r>
        <w:rPr>
          <w:rFonts w:hint="default" w:ascii="Times New Roman" w:hAnsi="Times New Roman" w:eastAsia="宋体" w:cs="Times New Roman"/>
          <w:color w:val="000000" w:themeColor="text1"/>
          <w:sz w:val="28"/>
          <w:szCs w:val="28"/>
          <w14:textFill>
            <w14:solidFill>
              <w14:schemeClr w14:val="tx1"/>
            </w14:solidFill>
          </w14:textFill>
        </w:rPr>
        <w:t>、建立土壤污染监测点并定期观测，并定期采样分析，监测土壤污染状况。</w:t>
      </w:r>
    </w:p>
    <w:p w14:paraId="19878851">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（六）</w:t>
      </w:r>
      <w:r>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t>矿区生态修复工程总投资经费</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493.38</w:t>
      </w:r>
      <w:r>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t>万元，其中工程施工费</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265.22</w:t>
      </w:r>
      <w:r>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t>万元，其他费用</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34.59</w:t>
      </w:r>
      <w:r>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t>万元，监测</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与</w:t>
      </w:r>
      <w:r>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t>管护费</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15.24</w:t>
      </w:r>
      <w:r>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t>万元，</w:t>
      </w:r>
      <w:r>
        <w:rPr>
          <w:rFonts w:hint="eastAsia" w:cs="Times New Roman"/>
          <w:b w:val="0"/>
          <w:bCs w:val="0"/>
          <w:color w:val="000000" w:themeColor="text1"/>
          <w:kern w:val="2"/>
          <w:sz w:val="28"/>
          <w:szCs w:val="28"/>
          <w:highlight w:val="none"/>
          <w:lang w:val="en-US" w:eastAsia="zh-CN" w:bidi="ar-SA"/>
          <w14:textFill>
            <w14:solidFill>
              <w14:schemeClr w14:val="tx1"/>
            </w14:solidFill>
          </w14:textFill>
        </w:rPr>
        <w:t>预备费178.32</w:t>
      </w:r>
      <w:r>
        <w:rPr>
          <w:rFonts w:hint="default" w:ascii="Times New Roman" w:hAnsi="Times New Roman" w:eastAsia="宋体" w:cs="Times New Roman"/>
          <w:b w:val="0"/>
          <w:bCs w:val="0"/>
          <w:color w:val="000000" w:themeColor="text1"/>
          <w:kern w:val="2"/>
          <w:sz w:val="28"/>
          <w:szCs w:val="28"/>
          <w:highlight w:val="none"/>
          <w:lang w:val="en-US" w:eastAsia="zh-CN" w:bidi="ar-SA"/>
          <w14:textFill>
            <w14:solidFill>
              <w14:schemeClr w14:val="tx1"/>
            </w14:solidFill>
          </w14:textFill>
        </w:rPr>
        <w:t>万元。</w:t>
      </w:r>
      <w:r>
        <w:rPr>
          <w:rFonts w:hint="default" w:ascii="Times New Roman" w:hAnsi="Times New Roman" w:cs="Times New Roman"/>
          <w:color w:val="000000" w:themeColor="text1"/>
          <w:sz w:val="28"/>
          <w:szCs w:val="28"/>
          <w14:textFill>
            <w14:solidFill>
              <w14:schemeClr w14:val="tx1"/>
            </w14:solidFill>
          </w14:textFill>
        </w:rPr>
        <w:t>矿区生态修复方案不代表生态修复设计，实际投入工程量及投资金额最终以工程设计及预算为准。</w:t>
      </w:r>
    </w:p>
    <w:p w14:paraId="5A12069A">
      <w:pPr>
        <w:pStyle w:val="5"/>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hAnsi="Times New Roman" w:cs="Times New Roman"/>
          <w:b/>
          <w:bCs/>
          <w:color w:val="000000" w:themeColor="text1"/>
          <w:sz w:val="28"/>
          <w:szCs w:val="24"/>
          <w:lang w:val="en-US" w:eastAsia="zh-CN"/>
          <w14:textFill>
            <w14:solidFill>
              <w14:schemeClr w14:val="tx1"/>
            </w14:solidFill>
          </w14:textFill>
        </w:rPr>
      </w:pPr>
      <w:r>
        <w:rPr>
          <w:rFonts w:hint="default" w:hAnsi="Times New Roman" w:cs="Times New Roman"/>
          <w:b/>
          <w:bCs/>
          <w:color w:val="000000" w:themeColor="text1"/>
          <w:sz w:val="28"/>
          <w:szCs w:val="24"/>
          <w:lang w:val="en-US" w:eastAsia="zh-CN"/>
          <w14:textFill>
            <w14:solidFill>
              <w14:schemeClr w14:val="tx1"/>
            </w14:solidFill>
          </w14:textFill>
        </w:rPr>
        <w:t>二、建议</w:t>
      </w:r>
    </w:p>
    <w:p w14:paraId="005B904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（一）当矿山企业延续申请和变更申请（拟扩大或缩小开采区域内涉及资源储量或采矿工程、变更开采主矿种、变更开采方式）采矿许可证的，应重新编制《矿区生态修复方案》。</w:t>
      </w:r>
    </w:p>
    <w:p w14:paraId="3AED430C">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（二）矿山与当地村民签订征地补偿协议的临时用地，未办理采矿用地审批手续，建议矿山尽快办理采矿用地审批手续。</w:t>
      </w:r>
    </w:p>
    <w:p w14:paraId="1935FA99">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（三）在各项工程施工中，要合理安排临时用地，减少破坏地表植被的面积，禁止随意行驶，乱堆乱放。</w:t>
      </w:r>
    </w:p>
    <w:p w14:paraId="01D35BB5">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（四）方案是采矿权人实施矿山地质环境治理、土地复垦、生态系统功能恢复等生态修复活动的总体部署和基本技术依据。本方案不代替相关工程勘查、工程设计等。</w:t>
      </w:r>
    </w:p>
    <w:p w14:paraId="7B12EB46">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五）为确保矿山崩塌、滑坡等不稳定边坡治理工程的安全、有效和合规，在治理工程实施前，必须聘请具备相应地质灾害防治工程设计资质或矿山岩土工程设计资质的专业单位，依据现场详实的地质勘查资料，单独编制专项治理工程设计。并按规定组织专家评审和报主管部门备案，作为指导施工、验收和安全管理的重要依据。</w:t>
      </w:r>
    </w:p>
    <w:p w14:paraId="1A4CD92D">
      <w:pPr>
        <w:spacing w:line="360" w:lineRule="auto"/>
        <w:ind w:firstLine="560" w:firstLineChars="200"/>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（六）建议矿区实施植被重建工程与当地自然景观相协调。</w:t>
      </w:r>
    </w:p>
    <w:p w14:paraId="4A693FD9">
      <w:pPr>
        <w:spacing w:line="360" w:lineRule="auto"/>
        <w:ind w:firstLine="560" w:firstLineChars="200"/>
        <w:rPr>
          <w:rFonts w:hint="default" w:ascii="Times New Roman" w:hAnsi="Times New Roman" w:cs="Times New Roman"/>
          <w:color w:val="000000" w:themeColor="text1"/>
          <w:kern w:val="0"/>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（七）加大科技投入，优化生产工艺，降低矿山开采对矿区环境的破坏，加强监测预警，开发中出现的新问题应重新评估并妥善处置。</w:t>
      </w:r>
    </w:p>
    <w:p w14:paraId="10BB2420">
      <w:pPr>
        <w:spacing w:line="360" w:lineRule="auto"/>
        <w:rPr>
          <w:color w:val="000000" w:themeColor="text1"/>
          <w:sz w:val="24"/>
          <w:szCs w:val="24"/>
          <w14:textFill>
            <w14:solidFill>
              <w14:schemeClr w14:val="tx1"/>
            </w14:solidFill>
          </w14:textFill>
        </w:rPr>
      </w:pPr>
    </w:p>
    <w:sectPr>
      <w:headerReference r:id="rId30" w:type="default"/>
      <w:footerReference r:id="rId31" w:type="default"/>
      <w:pgSz w:w="11907" w:h="16840"/>
      <w:pgMar w:top="1418" w:right="1418" w:bottom="1418" w:left="1418" w:header="851" w:footer="992"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TimesNewRomanPSMT">
    <w:altName w:val="Times New Roman"/>
    <w:panose1 w:val="00000000000000000000"/>
    <w:charset w:val="00"/>
    <w:family w:val="auto"/>
    <w:pitch w:val="default"/>
    <w:sig w:usb0="00000000" w:usb1="00000000" w:usb2="0000001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6F2AE">
    <w:pPr>
      <w:pStyle w:val="61"/>
      <w:framePr w:wrap="around" w:vAnchor="text" w:hAnchor="margin" w:xAlign="center" w:y="1"/>
      <w:ind w:firstLine="360"/>
      <w:rPr>
        <w:rStyle w:val="58"/>
      </w:rPr>
    </w:pPr>
    <w:r>
      <w:fldChar w:fldCharType="begin"/>
    </w:r>
    <w:r>
      <w:rPr>
        <w:rStyle w:val="58"/>
      </w:rPr>
      <w:instrText xml:space="preserve">PAGE  </w:instrText>
    </w:r>
    <w:r>
      <w:fldChar w:fldCharType="end"/>
    </w:r>
  </w:p>
  <w:p w14:paraId="1C98E943">
    <w:pPr>
      <w:pStyle w:val="6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E89FA">
    <w:pPr>
      <w:pStyle w:val="6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3587A">
    <w:pPr>
      <w:pStyle w:val="1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8D6F5">
    <w:pPr>
      <w:pStyle w:val="19"/>
      <w:framePr w:wrap="around" w:vAnchor="text" w:hAnchor="margin" w:xAlign="center" w:y="1"/>
      <w:ind w:firstLine="360"/>
      <w:rPr>
        <w:rStyle w:val="34"/>
      </w:rPr>
    </w:pPr>
    <w:r>
      <w:fldChar w:fldCharType="begin"/>
    </w:r>
    <w:r>
      <w:rPr>
        <w:rStyle w:val="34"/>
      </w:rPr>
      <w:instrText xml:space="preserve">PAGE  </w:instrText>
    </w:r>
    <w:r>
      <w:fldChar w:fldCharType="separate"/>
    </w:r>
    <w:r>
      <w:rPr>
        <w:rStyle w:val="34"/>
      </w:rPr>
      <w:t>1</w:t>
    </w:r>
    <w:r>
      <w:fldChar w:fldCharType="end"/>
    </w:r>
  </w:p>
  <w:p w14:paraId="57BB55BC">
    <w:pPr>
      <w:pStyle w:val="19"/>
      <w:ind w:right="360" w:firstLine="360"/>
    </w:pPr>
  </w:p>
  <w:p w14:paraId="48D4FA3E">
    <w:pPr>
      <w:ind w:firstLine="5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82FAA">
    <w:pPr>
      <w:pStyle w:val="19"/>
      <w:ind w:firstLine="360"/>
    </w:pPr>
  </w:p>
  <w:p w14:paraId="3BA98FE2">
    <w:pPr>
      <w:ind w:firstLine="5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68D12">
    <w:pPr>
      <w:pStyle w:val="19"/>
      <w:jc w:val="center"/>
      <w:rPr>
        <w:sz w:val="21"/>
        <w:szCs w:val="21"/>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B798B">
    <w:pPr>
      <w:pStyle w:val="19"/>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4E989E">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F4E989E">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D9752">
    <w:pPr>
      <w:pStyle w:val="19"/>
      <w:jc w:val="both"/>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40908C">
                          <w:pPr>
                            <w:pStyle w:val="19"/>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740908C">
                    <w:pPr>
                      <w:pStyle w:val="19"/>
                    </w:pPr>
                    <w:r>
                      <w:fldChar w:fldCharType="begin"/>
                    </w:r>
                    <w:r>
                      <w:instrText xml:space="preserve"> PAGE  \* MERGEFORMAT </w:instrText>
                    </w:r>
                    <w:r>
                      <w:fldChar w:fldCharType="separate"/>
                    </w:r>
                    <w:r>
                      <w:t>46</w:t>
                    </w:r>
                    <w:r>
                      <w:fldChar w:fldCharType="end"/>
                    </w:r>
                  </w:p>
                </w:txbxContent>
              </v:textbox>
            </v:shape>
          </w:pict>
        </mc:Fallback>
      </mc:AlternateContent>
    </w:r>
  </w:p>
  <w:p w14:paraId="46830E37">
    <w:pPr>
      <w:pStyle w:val="1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D5A8E">
    <w:pPr>
      <w:pStyle w:val="19"/>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289136">
                          <w:pPr>
                            <w:pStyle w:val="19"/>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24289136">
                    <w:pPr>
                      <w:pStyle w:val="19"/>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40F9A">
    <w:pPr>
      <w:pStyle w:val="19"/>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A3F221">
                          <w:pPr>
                            <w:pStyle w:val="19"/>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4FA3F221">
                    <w:pPr>
                      <w:pStyle w:val="19"/>
                    </w:pPr>
                    <w:r>
                      <w:fldChar w:fldCharType="begin"/>
                    </w:r>
                    <w:r>
                      <w:instrText xml:space="preserve"> PAGE  \* MERGEFORMAT </w:instrText>
                    </w:r>
                    <w:r>
                      <w:fldChar w:fldCharType="separate"/>
                    </w:r>
                    <w:r>
                      <w:t>82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C6383">
    <w:pPr>
      <w:pStyle w:val="19"/>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8F8D78">
                          <w:pPr>
                            <w:pStyle w:val="19"/>
                          </w:pPr>
                          <w:r>
                            <w:fldChar w:fldCharType="begin"/>
                          </w:r>
                          <w:r>
                            <w:instrText xml:space="preserve"> PAGE  \* MERGEFORMAT </w:instrText>
                          </w:r>
                          <w:r>
                            <w:fldChar w:fldCharType="separate"/>
                          </w:r>
                          <w:r>
                            <w:t>138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14:paraId="4D8F8D78">
                    <w:pPr>
                      <w:pStyle w:val="19"/>
                    </w:pPr>
                    <w:r>
                      <w:fldChar w:fldCharType="begin"/>
                    </w:r>
                    <w:r>
                      <w:instrText xml:space="preserve"> PAGE  \* MERGEFORMAT </w:instrText>
                    </w:r>
                    <w:r>
                      <w:fldChar w:fldCharType="separate"/>
                    </w:r>
                    <w:r>
                      <w:t>138</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F06B0">
    <w:pPr>
      <w:pStyle w:val="19"/>
      <w:jc w:val="center"/>
      <w:rPr>
        <w:sz w:val="21"/>
        <w:szCs w:val="21"/>
      </w:rPr>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F47360">
                          <w:pPr>
                            <w:pStyle w:val="19"/>
                          </w:pPr>
                          <w:r>
                            <w:fldChar w:fldCharType="begin"/>
                          </w:r>
                          <w:r>
                            <w:instrText xml:space="preserve"> PAGE  \* MERGEFORMAT </w:instrText>
                          </w:r>
                          <w:r>
                            <w:fldChar w:fldCharType="separate"/>
                          </w:r>
                          <w:r>
                            <w:t>172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3BF47360">
                    <w:pPr>
                      <w:pStyle w:val="19"/>
                    </w:pPr>
                    <w:r>
                      <w:fldChar w:fldCharType="begin"/>
                    </w:r>
                    <w:r>
                      <w:instrText xml:space="preserve"> PAGE  \* MERGEFORMAT </w:instrText>
                    </w:r>
                    <w:r>
                      <w:fldChar w:fldCharType="separate"/>
                    </w:r>
                    <w:r>
                      <w:t>172</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34B94">
    <w:pPr>
      <w:pStyle w:val="19"/>
      <w:ind w:right="36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6697D1">
                          <w:pPr>
                            <w:pStyle w:val="19"/>
                          </w:pPr>
                          <w:r>
                            <w:fldChar w:fldCharType="begin"/>
                          </w:r>
                          <w:r>
                            <w:instrText xml:space="preserve"> PAGE  \* MERGEFORMAT </w:instrText>
                          </w:r>
                          <w:r>
                            <w:fldChar w:fldCharType="separate"/>
                          </w:r>
                          <w:r>
                            <w:t>212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14:paraId="486697D1">
                    <w:pPr>
                      <w:pStyle w:val="19"/>
                    </w:pPr>
                    <w:r>
                      <w:fldChar w:fldCharType="begin"/>
                    </w:r>
                    <w:r>
                      <w:instrText xml:space="preserve"> PAGE  \* MERGEFORMAT </w:instrText>
                    </w:r>
                    <w:r>
                      <w:fldChar w:fldCharType="separate"/>
                    </w:r>
                    <w:r>
                      <w:t>212</w:t>
                    </w:r>
                    <w:r>
                      <w:fldChar w:fldCharType="end"/>
                    </w:r>
                  </w:p>
                </w:txbxContent>
              </v:textbox>
            </v:shape>
          </w:pict>
        </mc:Fallback>
      </mc:AlternateContent>
    </w:r>
  </w:p>
  <w:p w14:paraId="6287300D"/>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40340">
    <w:pPr>
      <w:pStyle w:val="60"/>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F7308">
    <w:pPr>
      <w:pStyle w:val="6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38284">
    <w:pPr>
      <w:pStyle w:val="6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1DD01">
    <w:pPr>
      <w:pStyle w:val="20"/>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5CA44">
    <w:pPr>
      <w:pStyle w:val="20"/>
      <w:ind w:firstLine="360"/>
    </w:pPr>
  </w:p>
  <w:p w14:paraId="204D420F">
    <w:pPr>
      <w:ind w:firstLine="5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A9E5E"/>
  <w:p w14:paraId="3EDA498D">
    <w:pPr>
      <w:ind w:firstLine="5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FB980">
    <w:pPr>
      <w:jc w:val="center"/>
      <w:rPr>
        <w:rFonts w:ascii="宋体" w:hAnsi="宋体"/>
        <w:b/>
        <w:bCs/>
        <w:color w:val="000000"/>
        <w:kern w:val="0"/>
        <w:sz w:val="22"/>
        <w:szCs w:val="21"/>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61883"/>
  <w:p w14:paraId="65272EA2">
    <w:pPr>
      <w:ind w:firstLine="56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A58C5"/>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7F3E5"/>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F4C39"/>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F5F98"/>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F1CE5"/>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3EB8B"/>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8A588"/>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8682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01CBA9"/>
    <w:multiLevelType w:val="singleLevel"/>
    <w:tmpl w:val="E201CBA9"/>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EA"/>
    <w:rsid w:val="000006DF"/>
    <w:rsid w:val="000007A6"/>
    <w:rsid w:val="00000BF5"/>
    <w:rsid w:val="00000C74"/>
    <w:rsid w:val="00000D7C"/>
    <w:rsid w:val="00001205"/>
    <w:rsid w:val="0000144C"/>
    <w:rsid w:val="00001E24"/>
    <w:rsid w:val="00001FA0"/>
    <w:rsid w:val="0000275D"/>
    <w:rsid w:val="000027F7"/>
    <w:rsid w:val="00002F15"/>
    <w:rsid w:val="00003383"/>
    <w:rsid w:val="000033B7"/>
    <w:rsid w:val="000033D5"/>
    <w:rsid w:val="00003859"/>
    <w:rsid w:val="00003864"/>
    <w:rsid w:val="00003A98"/>
    <w:rsid w:val="00003D3D"/>
    <w:rsid w:val="00003D8D"/>
    <w:rsid w:val="00004340"/>
    <w:rsid w:val="00004813"/>
    <w:rsid w:val="0000486D"/>
    <w:rsid w:val="00004F38"/>
    <w:rsid w:val="000053CF"/>
    <w:rsid w:val="00005E54"/>
    <w:rsid w:val="00005F6E"/>
    <w:rsid w:val="0000651F"/>
    <w:rsid w:val="00006600"/>
    <w:rsid w:val="00006610"/>
    <w:rsid w:val="0000664E"/>
    <w:rsid w:val="00006791"/>
    <w:rsid w:val="00006B04"/>
    <w:rsid w:val="00007024"/>
    <w:rsid w:val="00007340"/>
    <w:rsid w:val="000075E4"/>
    <w:rsid w:val="000077D1"/>
    <w:rsid w:val="00007A58"/>
    <w:rsid w:val="00007EB3"/>
    <w:rsid w:val="00007F1C"/>
    <w:rsid w:val="00010028"/>
    <w:rsid w:val="000103AE"/>
    <w:rsid w:val="00010454"/>
    <w:rsid w:val="00010959"/>
    <w:rsid w:val="00010AE7"/>
    <w:rsid w:val="00010B8C"/>
    <w:rsid w:val="00011159"/>
    <w:rsid w:val="00011927"/>
    <w:rsid w:val="00011A49"/>
    <w:rsid w:val="000120C0"/>
    <w:rsid w:val="000120C7"/>
    <w:rsid w:val="0001303B"/>
    <w:rsid w:val="0001305A"/>
    <w:rsid w:val="00013598"/>
    <w:rsid w:val="000140A4"/>
    <w:rsid w:val="00014289"/>
    <w:rsid w:val="0001447B"/>
    <w:rsid w:val="00014559"/>
    <w:rsid w:val="000145A0"/>
    <w:rsid w:val="00014F3E"/>
    <w:rsid w:val="00014F6B"/>
    <w:rsid w:val="00015501"/>
    <w:rsid w:val="00015634"/>
    <w:rsid w:val="000157F7"/>
    <w:rsid w:val="00016340"/>
    <w:rsid w:val="00016541"/>
    <w:rsid w:val="00017821"/>
    <w:rsid w:val="00017D16"/>
    <w:rsid w:val="00020073"/>
    <w:rsid w:val="000205AE"/>
    <w:rsid w:val="000209E9"/>
    <w:rsid w:val="00020D75"/>
    <w:rsid w:val="0002155B"/>
    <w:rsid w:val="00021626"/>
    <w:rsid w:val="000218CC"/>
    <w:rsid w:val="00021BBE"/>
    <w:rsid w:val="00021CFB"/>
    <w:rsid w:val="00021D8E"/>
    <w:rsid w:val="00022290"/>
    <w:rsid w:val="0002232F"/>
    <w:rsid w:val="00022BB8"/>
    <w:rsid w:val="0002303A"/>
    <w:rsid w:val="00023267"/>
    <w:rsid w:val="00023428"/>
    <w:rsid w:val="0002342F"/>
    <w:rsid w:val="000234DD"/>
    <w:rsid w:val="000235EA"/>
    <w:rsid w:val="0002368D"/>
    <w:rsid w:val="0002438F"/>
    <w:rsid w:val="00024B49"/>
    <w:rsid w:val="00024D4D"/>
    <w:rsid w:val="000250A5"/>
    <w:rsid w:val="0002535D"/>
    <w:rsid w:val="000258A5"/>
    <w:rsid w:val="0002591D"/>
    <w:rsid w:val="00025FA4"/>
    <w:rsid w:val="00026202"/>
    <w:rsid w:val="000265CD"/>
    <w:rsid w:val="0002745E"/>
    <w:rsid w:val="00027B07"/>
    <w:rsid w:val="000300A6"/>
    <w:rsid w:val="000301B1"/>
    <w:rsid w:val="00030483"/>
    <w:rsid w:val="00030593"/>
    <w:rsid w:val="000306F6"/>
    <w:rsid w:val="00030C7D"/>
    <w:rsid w:val="0003124F"/>
    <w:rsid w:val="00031366"/>
    <w:rsid w:val="00031741"/>
    <w:rsid w:val="00031DD7"/>
    <w:rsid w:val="00031F59"/>
    <w:rsid w:val="0003278F"/>
    <w:rsid w:val="00032DBA"/>
    <w:rsid w:val="000331B1"/>
    <w:rsid w:val="0003349B"/>
    <w:rsid w:val="000336EA"/>
    <w:rsid w:val="000337E5"/>
    <w:rsid w:val="00033CE1"/>
    <w:rsid w:val="0003466A"/>
    <w:rsid w:val="000346B9"/>
    <w:rsid w:val="00034924"/>
    <w:rsid w:val="00035085"/>
    <w:rsid w:val="000350B5"/>
    <w:rsid w:val="00035B95"/>
    <w:rsid w:val="00035EC2"/>
    <w:rsid w:val="00035F24"/>
    <w:rsid w:val="00036521"/>
    <w:rsid w:val="00036556"/>
    <w:rsid w:val="000367F1"/>
    <w:rsid w:val="00036969"/>
    <w:rsid w:val="00036AE8"/>
    <w:rsid w:val="00036B5C"/>
    <w:rsid w:val="00036F78"/>
    <w:rsid w:val="0003720B"/>
    <w:rsid w:val="0003744E"/>
    <w:rsid w:val="00037747"/>
    <w:rsid w:val="00037A1C"/>
    <w:rsid w:val="00037B36"/>
    <w:rsid w:val="00037F4B"/>
    <w:rsid w:val="00040180"/>
    <w:rsid w:val="00040489"/>
    <w:rsid w:val="00040C4B"/>
    <w:rsid w:val="00040E68"/>
    <w:rsid w:val="00040F09"/>
    <w:rsid w:val="00041112"/>
    <w:rsid w:val="00041404"/>
    <w:rsid w:val="00041722"/>
    <w:rsid w:val="00041BF1"/>
    <w:rsid w:val="0004202D"/>
    <w:rsid w:val="00042580"/>
    <w:rsid w:val="000429D3"/>
    <w:rsid w:val="00042ECF"/>
    <w:rsid w:val="000431CF"/>
    <w:rsid w:val="0004340E"/>
    <w:rsid w:val="000434DF"/>
    <w:rsid w:val="0004385B"/>
    <w:rsid w:val="00044341"/>
    <w:rsid w:val="00044817"/>
    <w:rsid w:val="00044DC7"/>
    <w:rsid w:val="00045186"/>
    <w:rsid w:val="0004526B"/>
    <w:rsid w:val="000452F0"/>
    <w:rsid w:val="00045656"/>
    <w:rsid w:val="00045944"/>
    <w:rsid w:val="00045EB9"/>
    <w:rsid w:val="00046011"/>
    <w:rsid w:val="00046964"/>
    <w:rsid w:val="00046E5E"/>
    <w:rsid w:val="0004734F"/>
    <w:rsid w:val="000479C4"/>
    <w:rsid w:val="00047CDD"/>
    <w:rsid w:val="00047D10"/>
    <w:rsid w:val="00047D96"/>
    <w:rsid w:val="0005044C"/>
    <w:rsid w:val="00050B8C"/>
    <w:rsid w:val="000513FA"/>
    <w:rsid w:val="000514DA"/>
    <w:rsid w:val="000515D3"/>
    <w:rsid w:val="000519B6"/>
    <w:rsid w:val="00051C09"/>
    <w:rsid w:val="00051EB0"/>
    <w:rsid w:val="00052B6F"/>
    <w:rsid w:val="00052D43"/>
    <w:rsid w:val="000534C3"/>
    <w:rsid w:val="0005356D"/>
    <w:rsid w:val="0005368E"/>
    <w:rsid w:val="00053E94"/>
    <w:rsid w:val="00054581"/>
    <w:rsid w:val="00054AF9"/>
    <w:rsid w:val="000554B1"/>
    <w:rsid w:val="00055966"/>
    <w:rsid w:val="00055ACA"/>
    <w:rsid w:val="00055D81"/>
    <w:rsid w:val="000560DB"/>
    <w:rsid w:val="00056138"/>
    <w:rsid w:val="000566A8"/>
    <w:rsid w:val="000566E7"/>
    <w:rsid w:val="00056816"/>
    <w:rsid w:val="00056873"/>
    <w:rsid w:val="0005691F"/>
    <w:rsid w:val="00056A94"/>
    <w:rsid w:val="00057040"/>
    <w:rsid w:val="000576E6"/>
    <w:rsid w:val="000602F2"/>
    <w:rsid w:val="000604B8"/>
    <w:rsid w:val="000604D5"/>
    <w:rsid w:val="000606EB"/>
    <w:rsid w:val="00060734"/>
    <w:rsid w:val="000609E4"/>
    <w:rsid w:val="00060B0C"/>
    <w:rsid w:val="00060D3A"/>
    <w:rsid w:val="00061992"/>
    <w:rsid w:val="00061A5A"/>
    <w:rsid w:val="00061AD8"/>
    <w:rsid w:val="00061C2A"/>
    <w:rsid w:val="00061C9A"/>
    <w:rsid w:val="00061CB9"/>
    <w:rsid w:val="000624D2"/>
    <w:rsid w:val="00062947"/>
    <w:rsid w:val="00062BFF"/>
    <w:rsid w:val="00062DD8"/>
    <w:rsid w:val="00062F92"/>
    <w:rsid w:val="00064007"/>
    <w:rsid w:val="00064199"/>
    <w:rsid w:val="0006448B"/>
    <w:rsid w:val="000645E0"/>
    <w:rsid w:val="00064771"/>
    <w:rsid w:val="00066166"/>
    <w:rsid w:val="00066E46"/>
    <w:rsid w:val="00066FF9"/>
    <w:rsid w:val="0006703B"/>
    <w:rsid w:val="00067D0A"/>
    <w:rsid w:val="00067D23"/>
    <w:rsid w:val="00067E75"/>
    <w:rsid w:val="00067FA3"/>
    <w:rsid w:val="00067FD3"/>
    <w:rsid w:val="00070090"/>
    <w:rsid w:val="00070707"/>
    <w:rsid w:val="000707CB"/>
    <w:rsid w:val="000708D2"/>
    <w:rsid w:val="00070921"/>
    <w:rsid w:val="000709E4"/>
    <w:rsid w:val="00070A1D"/>
    <w:rsid w:val="00070BE7"/>
    <w:rsid w:val="00070CA4"/>
    <w:rsid w:val="00070F26"/>
    <w:rsid w:val="00071210"/>
    <w:rsid w:val="000713B9"/>
    <w:rsid w:val="00071454"/>
    <w:rsid w:val="00071555"/>
    <w:rsid w:val="00071A4A"/>
    <w:rsid w:val="00071B1E"/>
    <w:rsid w:val="00071CEF"/>
    <w:rsid w:val="000722B6"/>
    <w:rsid w:val="00072748"/>
    <w:rsid w:val="00072F2E"/>
    <w:rsid w:val="000731C4"/>
    <w:rsid w:val="0007341D"/>
    <w:rsid w:val="000734D5"/>
    <w:rsid w:val="0007380B"/>
    <w:rsid w:val="00073F02"/>
    <w:rsid w:val="00074518"/>
    <w:rsid w:val="0007474E"/>
    <w:rsid w:val="00074FAA"/>
    <w:rsid w:val="00075149"/>
    <w:rsid w:val="0007541F"/>
    <w:rsid w:val="0007601A"/>
    <w:rsid w:val="00076FAD"/>
    <w:rsid w:val="0007778E"/>
    <w:rsid w:val="00077808"/>
    <w:rsid w:val="000778B9"/>
    <w:rsid w:val="00077973"/>
    <w:rsid w:val="00080083"/>
    <w:rsid w:val="000800FD"/>
    <w:rsid w:val="00080393"/>
    <w:rsid w:val="0008054B"/>
    <w:rsid w:val="000808D5"/>
    <w:rsid w:val="000810CC"/>
    <w:rsid w:val="00081819"/>
    <w:rsid w:val="00081C02"/>
    <w:rsid w:val="00081F62"/>
    <w:rsid w:val="0008208E"/>
    <w:rsid w:val="00082396"/>
    <w:rsid w:val="00082DE0"/>
    <w:rsid w:val="000835B0"/>
    <w:rsid w:val="00083799"/>
    <w:rsid w:val="0008390E"/>
    <w:rsid w:val="00083FA0"/>
    <w:rsid w:val="000840B1"/>
    <w:rsid w:val="000844CB"/>
    <w:rsid w:val="000845F1"/>
    <w:rsid w:val="00085040"/>
    <w:rsid w:val="000852CB"/>
    <w:rsid w:val="0008583D"/>
    <w:rsid w:val="0008583F"/>
    <w:rsid w:val="00085D51"/>
    <w:rsid w:val="0008601D"/>
    <w:rsid w:val="00086700"/>
    <w:rsid w:val="00086AD8"/>
    <w:rsid w:val="00086F19"/>
    <w:rsid w:val="00087218"/>
    <w:rsid w:val="0008771F"/>
    <w:rsid w:val="00087F2D"/>
    <w:rsid w:val="0009023B"/>
    <w:rsid w:val="00090A4D"/>
    <w:rsid w:val="00090ADE"/>
    <w:rsid w:val="00090B7F"/>
    <w:rsid w:val="00090C08"/>
    <w:rsid w:val="00090C57"/>
    <w:rsid w:val="00090D5D"/>
    <w:rsid w:val="00091014"/>
    <w:rsid w:val="000912C3"/>
    <w:rsid w:val="000916EA"/>
    <w:rsid w:val="00091723"/>
    <w:rsid w:val="00091A2F"/>
    <w:rsid w:val="00092397"/>
    <w:rsid w:val="00092464"/>
    <w:rsid w:val="00092808"/>
    <w:rsid w:val="000929EB"/>
    <w:rsid w:val="00092D0E"/>
    <w:rsid w:val="00092E62"/>
    <w:rsid w:val="00092EB9"/>
    <w:rsid w:val="00092F2F"/>
    <w:rsid w:val="00093066"/>
    <w:rsid w:val="000930B7"/>
    <w:rsid w:val="000933AA"/>
    <w:rsid w:val="000934EA"/>
    <w:rsid w:val="00093BFE"/>
    <w:rsid w:val="00093D5E"/>
    <w:rsid w:val="00093E10"/>
    <w:rsid w:val="000940CC"/>
    <w:rsid w:val="00094229"/>
    <w:rsid w:val="00094A2D"/>
    <w:rsid w:val="00094BB0"/>
    <w:rsid w:val="00095701"/>
    <w:rsid w:val="0009584B"/>
    <w:rsid w:val="0009622C"/>
    <w:rsid w:val="00096273"/>
    <w:rsid w:val="000962D6"/>
    <w:rsid w:val="00096504"/>
    <w:rsid w:val="00096597"/>
    <w:rsid w:val="00096EEB"/>
    <w:rsid w:val="0009777E"/>
    <w:rsid w:val="00097B92"/>
    <w:rsid w:val="00097F60"/>
    <w:rsid w:val="000A02BE"/>
    <w:rsid w:val="000A03B8"/>
    <w:rsid w:val="000A06F4"/>
    <w:rsid w:val="000A09CF"/>
    <w:rsid w:val="000A0F1D"/>
    <w:rsid w:val="000A1084"/>
    <w:rsid w:val="000A1A5B"/>
    <w:rsid w:val="000A2112"/>
    <w:rsid w:val="000A29E3"/>
    <w:rsid w:val="000A3730"/>
    <w:rsid w:val="000A37E3"/>
    <w:rsid w:val="000A43C9"/>
    <w:rsid w:val="000A4657"/>
    <w:rsid w:val="000A48CE"/>
    <w:rsid w:val="000A4924"/>
    <w:rsid w:val="000A4F4D"/>
    <w:rsid w:val="000A5583"/>
    <w:rsid w:val="000A5C19"/>
    <w:rsid w:val="000A5E05"/>
    <w:rsid w:val="000A5E4D"/>
    <w:rsid w:val="000A6020"/>
    <w:rsid w:val="000A689A"/>
    <w:rsid w:val="000A6AA5"/>
    <w:rsid w:val="000A6E76"/>
    <w:rsid w:val="000A6FC3"/>
    <w:rsid w:val="000A716E"/>
    <w:rsid w:val="000A7395"/>
    <w:rsid w:val="000A74CA"/>
    <w:rsid w:val="000A7560"/>
    <w:rsid w:val="000B0034"/>
    <w:rsid w:val="000B0463"/>
    <w:rsid w:val="000B07D9"/>
    <w:rsid w:val="000B16E1"/>
    <w:rsid w:val="000B1E5F"/>
    <w:rsid w:val="000B227C"/>
    <w:rsid w:val="000B28DD"/>
    <w:rsid w:val="000B2AA6"/>
    <w:rsid w:val="000B2BC4"/>
    <w:rsid w:val="000B3062"/>
    <w:rsid w:val="000B3109"/>
    <w:rsid w:val="000B3257"/>
    <w:rsid w:val="000B3B79"/>
    <w:rsid w:val="000B4AB8"/>
    <w:rsid w:val="000B5002"/>
    <w:rsid w:val="000B59BF"/>
    <w:rsid w:val="000B5EBA"/>
    <w:rsid w:val="000B6624"/>
    <w:rsid w:val="000B6BC3"/>
    <w:rsid w:val="000B6DC8"/>
    <w:rsid w:val="000B6EF1"/>
    <w:rsid w:val="000B6FE3"/>
    <w:rsid w:val="000B7059"/>
    <w:rsid w:val="000B753F"/>
    <w:rsid w:val="000B791B"/>
    <w:rsid w:val="000B7B58"/>
    <w:rsid w:val="000B7D17"/>
    <w:rsid w:val="000B7F05"/>
    <w:rsid w:val="000C026C"/>
    <w:rsid w:val="000C06A2"/>
    <w:rsid w:val="000C0C1A"/>
    <w:rsid w:val="000C0D5A"/>
    <w:rsid w:val="000C0D8C"/>
    <w:rsid w:val="000C23A7"/>
    <w:rsid w:val="000C26FA"/>
    <w:rsid w:val="000C2B0D"/>
    <w:rsid w:val="000C2F24"/>
    <w:rsid w:val="000C3200"/>
    <w:rsid w:val="000C360B"/>
    <w:rsid w:val="000C3B2E"/>
    <w:rsid w:val="000C3B3B"/>
    <w:rsid w:val="000C3E26"/>
    <w:rsid w:val="000C3F19"/>
    <w:rsid w:val="000C4419"/>
    <w:rsid w:val="000C5889"/>
    <w:rsid w:val="000C5E97"/>
    <w:rsid w:val="000C61C2"/>
    <w:rsid w:val="000C6338"/>
    <w:rsid w:val="000C66E1"/>
    <w:rsid w:val="000C68A6"/>
    <w:rsid w:val="000C6B22"/>
    <w:rsid w:val="000C6EF2"/>
    <w:rsid w:val="000C6F07"/>
    <w:rsid w:val="000C7104"/>
    <w:rsid w:val="000C7466"/>
    <w:rsid w:val="000C787D"/>
    <w:rsid w:val="000C7896"/>
    <w:rsid w:val="000D0038"/>
    <w:rsid w:val="000D013D"/>
    <w:rsid w:val="000D040E"/>
    <w:rsid w:val="000D04FB"/>
    <w:rsid w:val="000D07E9"/>
    <w:rsid w:val="000D09DE"/>
    <w:rsid w:val="000D0B40"/>
    <w:rsid w:val="000D1060"/>
    <w:rsid w:val="000D1300"/>
    <w:rsid w:val="000D159F"/>
    <w:rsid w:val="000D19D9"/>
    <w:rsid w:val="000D1C7C"/>
    <w:rsid w:val="000D1DB7"/>
    <w:rsid w:val="000D2015"/>
    <w:rsid w:val="000D2398"/>
    <w:rsid w:val="000D29C8"/>
    <w:rsid w:val="000D2CC0"/>
    <w:rsid w:val="000D3217"/>
    <w:rsid w:val="000D3A67"/>
    <w:rsid w:val="000D3AD3"/>
    <w:rsid w:val="000D4571"/>
    <w:rsid w:val="000D4BEB"/>
    <w:rsid w:val="000D4C5D"/>
    <w:rsid w:val="000D571E"/>
    <w:rsid w:val="000D57FA"/>
    <w:rsid w:val="000D58E0"/>
    <w:rsid w:val="000D5F2D"/>
    <w:rsid w:val="000D63E4"/>
    <w:rsid w:val="000D683E"/>
    <w:rsid w:val="000D6BE9"/>
    <w:rsid w:val="000D7014"/>
    <w:rsid w:val="000D718F"/>
    <w:rsid w:val="000D7368"/>
    <w:rsid w:val="000D7392"/>
    <w:rsid w:val="000D7750"/>
    <w:rsid w:val="000D7D4D"/>
    <w:rsid w:val="000D7F40"/>
    <w:rsid w:val="000D7FAA"/>
    <w:rsid w:val="000E0361"/>
    <w:rsid w:val="000E06F7"/>
    <w:rsid w:val="000E099A"/>
    <w:rsid w:val="000E0D84"/>
    <w:rsid w:val="000E0DE2"/>
    <w:rsid w:val="000E194D"/>
    <w:rsid w:val="000E1A41"/>
    <w:rsid w:val="000E1AB6"/>
    <w:rsid w:val="000E214C"/>
    <w:rsid w:val="000E2269"/>
    <w:rsid w:val="000E2819"/>
    <w:rsid w:val="000E2B31"/>
    <w:rsid w:val="000E2CB9"/>
    <w:rsid w:val="000E2D48"/>
    <w:rsid w:val="000E2DA2"/>
    <w:rsid w:val="000E31A1"/>
    <w:rsid w:val="000E327B"/>
    <w:rsid w:val="000E3E10"/>
    <w:rsid w:val="000E3E32"/>
    <w:rsid w:val="000E41C2"/>
    <w:rsid w:val="000E43A2"/>
    <w:rsid w:val="000E46B2"/>
    <w:rsid w:val="000E48F7"/>
    <w:rsid w:val="000E4EF6"/>
    <w:rsid w:val="000E53EF"/>
    <w:rsid w:val="000E558E"/>
    <w:rsid w:val="000E584A"/>
    <w:rsid w:val="000E5BD2"/>
    <w:rsid w:val="000E5DB1"/>
    <w:rsid w:val="000E65E7"/>
    <w:rsid w:val="000E67B4"/>
    <w:rsid w:val="000E67BB"/>
    <w:rsid w:val="000E6BB2"/>
    <w:rsid w:val="000E757B"/>
    <w:rsid w:val="000E7823"/>
    <w:rsid w:val="000E78F7"/>
    <w:rsid w:val="000E7E96"/>
    <w:rsid w:val="000F01DF"/>
    <w:rsid w:val="000F02D9"/>
    <w:rsid w:val="000F03C0"/>
    <w:rsid w:val="000F09C7"/>
    <w:rsid w:val="000F0B27"/>
    <w:rsid w:val="000F0B58"/>
    <w:rsid w:val="000F0F06"/>
    <w:rsid w:val="000F0F4D"/>
    <w:rsid w:val="000F1638"/>
    <w:rsid w:val="000F180E"/>
    <w:rsid w:val="000F2789"/>
    <w:rsid w:val="000F286D"/>
    <w:rsid w:val="000F2C4C"/>
    <w:rsid w:val="000F33AE"/>
    <w:rsid w:val="000F37C1"/>
    <w:rsid w:val="000F38F9"/>
    <w:rsid w:val="000F3F9F"/>
    <w:rsid w:val="000F546A"/>
    <w:rsid w:val="000F594D"/>
    <w:rsid w:val="000F5A80"/>
    <w:rsid w:val="000F5B0C"/>
    <w:rsid w:val="000F5E90"/>
    <w:rsid w:val="000F61CE"/>
    <w:rsid w:val="000F622C"/>
    <w:rsid w:val="000F65C5"/>
    <w:rsid w:val="000F6712"/>
    <w:rsid w:val="000F6AC6"/>
    <w:rsid w:val="000F6B55"/>
    <w:rsid w:val="000F6F13"/>
    <w:rsid w:val="000F7174"/>
    <w:rsid w:val="000F7228"/>
    <w:rsid w:val="000F7478"/>
    <w:rsid w:val="000F7C9A"/>
    <w:rsid w:val="000F7DA2"/>
    <w:rsid w:val="00100211"/>
    <w:rsid w:val="00100456"/>
    <w:rsid w:val="001004C5"/>
    <w:rsid w:val="00100752"/>
    <w:rsid w:val="001008E9"/>
    <w:rsid w:val="0010103A"/>
    <w:rsid w:val="001024E6"/>
    <w:rsid w:val="001027BA"/>
    <w:rsid w:val="00102931"/>
    <w:rsid w:val="00102B2A"/>
    <w:rsid w:val="00102F46"/>
    <w:rsid w:val="001037A1"/>
    <w:rsid w:val="00103F9E"/>
    <w:rsid w:val="00104248"/>
    <w:rsid w:val="001042FE"/>
    <w:rsid w:val="001044F5"/>
    <w:rsid w:val="00104587"/>
    <w:rsid w:val="0010471C"/>
    <w:rsid w:val="0010493A"/>
    <w:rsid w:val="00104BA8"/>
    <w:rsid w:val="00104E5F"/>
    <w:rsid w:val="00104EA5"/>
    <w:rsid w:val="0010574B"/>
    <w:rsid w:val="0010581F"/>
    <w:rsid w:val="00105A4A"/>
    <w:rsid w:val="00106704"/>
    <w:rsid w:val="001068BD"/>
    <w:rsid w:val="00106DB6"/>
    <w:rsid w:val="00107031"/>
    <w:rsid w:val="0010752D"/>
    <w:rsid w:val="00107B92"/>
    <w:rsid w:val="0011018C"/>
    <w:rsid w:val="00110297"/>
    <w:rsid w:val="00110303"/>
    <w:rsid w:val="0011048D"/>
    <w:rsid w:val="0011062E"/>
    <w:rsid w:val="00110BC7"/>
    <w:rsid w:val="00110C02"/>
    <w:rsid w:val="00110DE6"/>
    <w:rsid w:val="001110FA"/>
    <w:rsid w:val="001111E4"/>
    <w:rsid w:val="0011147A"/>
    <w:rsid w:val="001117B8"/>
    <w:rsid w:val="00111839"/>
    <w:rsid w:val="00111E07"/>
    <w:rsid w:val="00112BA9"/>
    <w:rsid w:val="00112FE5"/>
    <w:rsid w:val="001137D4"/>
    <w:rsid w:val="00113CC6"/>
    <w:rsid w:val="00114083"/>
    <w:rsid w:val="001141C2"/>
    <w:rsid w:val="00114573"/>
    <w:rsid w:val="00114690"/>
    <w:rsid w:val="001149CB"/>
    <w:rsid w:val="00114B03"/>
    <w:rsid w:val="00114CBB"/>
    <w:rsid w:val="00115406"/>
    <w:rsid w:val="0011584B"/>
    <w:rsid w:val="00115882"/>
    <w:rsid w:val="00115A41"/>
    <w:rsid w:val="00115AC7"/>
    <w:rsid w:val="0011621F"/>
    <w:rsid w:val="00116ACC"/>
    <w:rsid w:val="00116D9E"/>
    <w:rsid w:val="00116E5B"/>
    <w:rsid w:val="0011702D"/>
    <w:rsid w:val="00117306"/>
    <w:rsid w:val="00117D19"/>
    <w:rsid w:val="00117D6C"/>
    <w:rsid w:val="00117D87"/>
    <w:rsid w:val="00117FCF"/>
    <w:rsid w:val="001201AE"/>
    <w:rsid w:val="0012029F"/>
    <w:rsid w:val="001208D0"/>
    <w:rsid w:val="00120E46"/>
    <w:rsid w:val="00121076"/>
    <w:rsid w:val="001219F1"/>
    <w:rsid w:val="00121AF5"/>
    <w:rsid w:val="00121E68"/>
    <w:rsid w:val="00122C29"/>
    <w:rsid w:val="00122C3E"/>
    <w:rsid w:val="00122D3F"/>
    <w:rsid w:val="00122D4A"/>
    <w:rsid w:val="0012315C"/>
    <w:rsid w:val="001235D0"/>
    <w:rsid w:val="001236B4"/>
    <w:rsid w:val="00124467"/>
    <w:rsid w:val="00124D67"/>
    <w:rsid w:val="001256CA"/>
    <w:rsid w:val="00125CE2"/>
    <w:rsid w:val="00126796"/>
    <w:rsid w:val="0012690F"/>
    <w:rsid w:val="00126BFE"/>
    <w:rsid w:val="00126FCF"/>
    <w:rsid w:val="001275FC"/>
    <w:rsid w:val="00127625"/>
    <w:rsid w:val="001309D6"/>
    <w:rsid w:val="00130C59"/>
    <w:rsid w:val="001314C1"/>
    <w:rsid w:val="00131831"/>
    <w:rsid w:val="00131C59"/>
    <w:rsid w:val="00131DA8"/>
    <w:rsid w:val="00132B96"/>
    <w:rsid w:val="00132E8C"/>
    <w:rsid w:val="001333F4"/>
    <w:rsid w:val="00133A88"/>
    <w:rsid w:val="00133C00"/>
    <w:rsid w:val="00133F5A"/>
    <w:rsid w:val="00133FF3"/>
    <w:rsid w:val="001342C7"/>
    <w:rsid w:val="00134711"/>
    <w:rsid w:val="001347B5"/>
    <w:rsid w:val="00134E12"/>
    <w:rsid w:val="001353DA"/>
    <w:rsid w:val="00136C02"/>
    <w:rsid w:val="001376C9"/>
    <w:rsid w:val="00137B25"/>
    <w:rsid w:val="00140607"/>
    <w:rsid w:val="00140650"/>
    <w:rsid w:val="00140804"/>
    <w:rsid w:val="001409F2"/>
    <w:rsid w:val="00140C41"/>
    <w:rsid w:val="0014112B"/>
    <w:rsid w:val="00141381"/>
    <w:rsid w:val="00141730"/>
    <w:rsid w:val="001423CC"/>
    <w:rsid w:val="00142652"/>
    <w:rsid w:val="00142EF2"/>
    <w:rsid w:val="00142FF0"/>
    <w:rsid w:val="0014308A"/>
    <w:rsid w:val="00143658"/>
    <w:rsid w:val="00143685"/>
    <w:rsid w:val="001439A1"/>
    <w:rsid w:val="001439B6"/>
    <w:rsid w:val="00143E23"/>
    <w:rsid w:val="00144929"/>
    <w:rsid w:val="00144943"/>
    <w:rsid w:val="00144B9A"/>
    <w:rsid w:val="00144C0D"/>
    <w:rsid w:val="00145535"/>
    <w:rsid w:val="00145646"/>
    <w:rsid w:val="0014588A"/>
    <w:rsid w:val="00145CA4"/>
    <w:rsid w:val="00146093"/>
    <w:rsid w:val="00146688"/>
    <w:rsid w:val="00146F5B"/>
    <w:rsid w:val="001477C6"/>
    <w:rsid w:val="00147A86"/>
    <w:rsid w:val="0015009D"/>
    <w:rsid w:val="00150346"/>
    <w:rsid w:val="001503AB"/>
    <w:rsid w:val="001504AA"/>
    <w:rsid w:val="001509E3"/>
    <w:rsid w:val="00150B6F"/>
    <w:rsid w:val="00151043"/>
    <w:rsid w:val="0015116A"/>
    <w:rsid w:val="00151B6F"/>
    <w:rsid w:val="00151C0B"/>
    <w:rsid w:val="00152033"/>
    <w:rsid w:val="00152BA0"/>
    <w:rsid w:val="0015310B"/>
    <w:rsid w:val="00153707"/>
    <w:rsid w:val="00154686"/>
    <w:rsid w:val="001546A2"/>
    <w:rsid w:val="0015473F"/>
    <w:rsid w:val="00154821"/>
    <w:rsid w:val="001548E5"/>
    <w:rsid w:val="00154953"/>
    <w:rsid w:val="001549D7"/>
    <w:rsid w:val="00154D39"/>
    <w:rsid w:val="001552B5"/>
    <w:rsid w:val="0015532B"/>
    <w:rsid w:val="00155DB3"/>
    <w:rsid w:val="001560CF"/>
    <w:rsid w:val="001563CD"/>
    <w:rsid w:val="001564BA"/>
    <w:rsid w:val="00156555"/>
    <w:rsid w:val="00156DE6"/>
    <w:rsid w:val="00156E83"/>
    <w:rsid w:val="00156EC8"/>
    <w:rsid w:val="00157304"/>
    <w:rsid w:val="00157541"/>
    <w:rsid w:val="001576A9"/>
    <w:rsid w:val="001606FD"/>
    <w:rsid w:val="0016091F"/>
    <w:rsid w:val="00160E89"/>
    <w:rsid w:val="00160ED7"/>
    <w:rsid w:val="00160EF2"/>
    <w:rsid w:val="00161065"/>
    <w:rsid w:val="00161076"/>
    <w:rsid w:val="0016110F"/>
    <w:rsid w:val="00161295"/>
    <w:rsid w:val="00161807"/>
    <w:rsid w:val="0016194D"/>
    <w:rsid w:val="0016233A"/>
    <w:rsid w:val="0016235F"/>
    <w:rsid w:val="00162E85"/>
    <w:rsid w:val="00163101"/>
    <w:rsid w:val="00163189"/>
    <w:rsid w:val="001631A9"/>
    <w:rsid w:val="00163366"/>
    <w:rsid w:val="0016349B"/>
    <w:rsid w:val="001635D6"/>
    <w:rsid w:val="00163786"/>
    <w:rsid w:val="00163805"/>
    <w:rsid w:val="00163D07"/>
    <w:rsid w:val="001648C7"/>
    <w:rsid w:val="00164CB8"/>
    <w:rsid w:val="00164F18"/>
    <w:rsid w:val="001651D4"/>
    <w:rsid w:val="0016525C"/>
    <w:rsid w:val="001655C0"/>
    <w:rsid w:val="00165959"/>
    <w:rsid w:val="001659BE"/>
    <w:rsid w:val="00165A58"/>
    <w:rsid w:val="00165BEB"/>
    <w:rsid w:val="001666E8"/>
    <w:rsid w:val="00166D78"/>
    <w:rsid w:val="001676B8"/>
    <w:rsid w:val="00167A5C"/>
    <w:rsid w:val="0017033D"/>
    <w:rsid w:val="00170EA2"/>
    <w:rsid w:val="001710B4"/>
    <w:rsid w:val="00171462"/>
    <w:rsid w:val="00172007"/>
    <w:rsid w:val="001725C5"/>
    <w:rsid w:val="00172A27"/>
    <w:rsid w:val="00172B98"/>
    <w:rsid w:val="00172CC9"/>
    <w:rsid w:val="00173AD1"/>
    <w:rsid w:val="00173FFF"/>
    <w:rsid w:val="0017486C"/>
    <w:rsid w:val="00174F5A"/>
    <w:rsid w:val="001754DA"/>
    <w:rsid w:val="00175BD6"/>
    <w:rsid w:val="00176B14"/>
    <w:rsid w:val="00176DFD"/>
    <w:rsid w:val="00176F5C"/>
    <w:rsid w:val="00177637"/>
    <w:rsid w:val="00177A0D"/>
    <w:rsid w:val="00177FC5"/>
    <w:rsid w:val="00180005"/>
    <w:rsid w:val="0018078C"/>
    <w:rsid w:val="00180C85"/>
    <w:rsid w:val="0018131A"/>
    <w:rsid w:val="00181716"/>
    <w:rsid w:val="001818F6"/>
    <w:rsid w:val="00181DF6"/>
    <w:rsid w:val="00181EAB"/>
    <w:rsid w:val="001820E0"/>
    <w:rsid w:val="00182889"/>
    <w:rsid w:val="0018293A"/>
    <w:rsid w:val="00182A09"/>
    <w:rsid w:val="00182AF2"/>
    <w:rsid w:val="00182F06"/>
    <w:rsid w:val="00183455"/>
    <w:rsid w:val="001837CF"/>
    <w:rsid w:val="00183BCC"/>
    <w:rsid w:val="00183E52"/>
    <w:rsid w:val="00183ECA"/>
    <w:rsid w:val="00183EE1"/>
    <w:rsid w:val="00184581"/>
    <w:rsid w:val="001845F2"/>
    <w:rsid w:val="001848C6"/>
    <w:rsid w:val="00184A5D"/>
    <w:rsid w:val="00184F93"/>
    <w:rsid w:val="001850FC"/>
    <w:rsid w:val="001858C7"/>
    <w:rsid w:val="00185C70"/>
    <w:rsid w:val="00185DFB"/>
    <w:rsid w:val="001860E2"/>
    <w:rsid w:val="0018619E"/>
    <w:rsid w:val="001861A2"/>
    <w:rsid w:val="001862AC"/>
    <w:rsid w:val="00186376"/>
    <w:rsid w:val="001866FE"/>
    <w:rsid w:val="0018671C"/>
    <w:rsid w:val="00186BEB"/>
    <w:rsid w:val="00186EB4"/>
    <w:rsid w:val="00187114"/>
    <w:rsid w:val="001873EE"/>
    <w:rsid w:val="001873F2"/>
    <w:rsid w:val="0019075A"/>
    <w:rsid w:val="0019083C"/>
    <w:rsid w:val="0019189C"/>
    <w:rsid w:val="00191F2B"/>
    <w:rsid w:val="00192755"/>
    <w:rsid w:val="00192C84"/>
    <w:rsid w:val="00193126"/>
    <w:rsid w:val="00193154"/>
    <w:rsid w:val="0019393B"/>
    <w:rsid w:val="00193A26"/>
    <w:rsid w:val="00193C34"/>
    <w:rsid w:val="00193E38"/>
    <w:rsid w:val="00193F2A"/>
    <w:rsid w:val="0019418E"/>
    <w:rsid w:val="0019447B"/>
    <w:rsid w:val="00194588"/>
    <w:rsid w:val="00194813"/>
    <w:rsid w:val="00194A6A"/>
    <w:rsid w:val="00194BA2"/>
    <w:rsid w:val="00194E9A"/>
    <w:rsid w:val="00194EF5"/>
    <w:rsid w:val="00194F23"/>
    <w:rsid w:val="001952AB"/>
    <w:rsid w:val="0019544C"/>
    <w:rsid w:val="001958A1"/>
    <w:rsid w:val="001958F1"/>
    <w:rsid w:val="00195A6D"/>
    <w:rsid w:val="00196FA2"/>
    <w:rsid w:val="00197005"/>
    <w:rsid w:val="0019700C"/>
    <w:rsid w:val="0019721E"/>
    <w:rsid w:val="00197423"/>
    <w:rsid w:val="001979E0"/>
    <w:rsid w:val="001A1044"/>
    <w:rsid w:val="001A12A9"/>
    <w:rsid w:val="001A154D"/>
    <w:rsid w:val="001A2077"/>
    <w:rsid w:val="001A2109"/>
    <w:rsid w:val="001A26C7"/>
    <w:rsid w:val="001A2968"/>
    <w:rsid w:val="001A2ABA"/>
    <w:rsid w:val="001A2CEB"/>
    <w:rsid w:val="001A2E71"/>
    <w:rsid w:val="001A3003"/>
    <w:rsid w:val="001A3574"/>
    <w:rsid w:val="001A3BE0"/>
    <w:rsid w:val="001A3C49"/>
    <w:rsid w:val="001A42FC"/>
    <w:rsid w:val="001A48F6"/>
    <w:rsid w:val="001A5CDE"/>
    <w:rsid w:val="001A5D3B"/>
    <w:rsid w:val="001A5F92"/>
    <w:rsid w:val="001A6223"/>
    <w:rsid w:val="001A6964"/>
    <w:rsid w:val="001A699A"/>
    <w:rsid w:val="001A6A4A"/>
    <w:rsid w:val="001A6B3D"/>
    <w:rsid w:val="001A6B4C"/>
    <w:rsid w:val="001A6C16"/>
    <w:rsid w:val="001A6D71"/>
    <w:rsid w:val="001A7AB6"/>
    <w:rsid w:val="001A7CD7"/>
    <w:rsid w:val="001B00D7"/>
    <w:rsid w:val="001B02CA"/>
    <w:rsid w:val="001B0791"/>
    <w:rsid w:val="001B1370"/>
    <w:rsid w:val="001B1ABC"/>
    <w:rsid w:val="001B2433"/>
    <w:rsid w:val="001B2A71"/>
    <w:rsid w:val="001B3149"/>
    <w:rsid w:val="001B32DD"/>
    <w:rsid w:val="001B3990"/>
    <w:rsid w:val="001B40DB"/>
    <w:rsid w:val="001B4142"/>
    <w:rsid w:val="001B41D5"/>
    <w:rsid w:val="001B42D8"/>
    <w:rsid w:val="001B4972"/>
    <w:rsid w:val="001B4B86"/>
    <w:rsid w:val="001B5381"/>
    <w:rsid w:val="001B54C5"/>
    <w:rsid w:val="001B5825"/>
    <w:rsid w:val="001B5863"/>
    <w:rsid w:val="001B589E"/>
    <w:rsid w:val="001B5C08"/>
    <w:rsid w:val="001B5E05"/>
    <w:rsid w:val="001B64E4"/>
    <w:rsid w:val="001B6FA4"/>
    <w:rsid w:val="001B7006"/>
    <w:rsid w:val="001B7AD1"/>
    <w:rsid w:val="001B7D65"/>
    <w:rsid w:val="001C0036"/>
    <w:rsid w:val="001C0915"/>
    <w:rsid w:val="001C165E"/>
    <w:rsid w:val="001C2681"/>
    <w:rsid w:val="001C310D"/>
    <w:rsid w:val="001C3162"/>
    <w:rsid w:val="001C3E32"/>
    <w:rsid w:val="001C407E"/>
    <w:rsid w:val="001C40FA"/>
    <w:rsid w:val="001C4392"/>
    <w:rsid w:val="001C4D30"/>
    <w:rsid w:val="001C4D35"/>
    <w:rsid w:val="001C4E0F"/>
    <w:rsid w:val="001C501B"/>
    <w:rsid w:val="001C5075"/>
    <w:rsid w:val="001C50AD"/>
    <w:rsid w:val="001C523D"/>
    <w:rsid w:val="001C533C"/>
    <w:rsid w:val="001C53D8"/>
    <w:rsid w:val="001C5899"/>
    <w:rsid w:val="001C5A47"/>
    <w:rsid w:val="001C5B9C"/>
    <w:rsid w:val="001C5CB4"/>
    <w:rsid w:val="001C6432"/>
    <w:rsid w:val="001C65C5"/>
    <w:rsid w:val="001C69F8"/>
    <w:rsid w:val="001C7013"/>
    <w:rsid w:val="001C77B5"/>
    <w:rsid w:val="001C7888"/>
    <w:rsid w:val="001D0071"/>
    <w:rsid w:val="001D022F"/>
    <w:rsid w:val="001D033D"/>
    <w:rsid w:val="001D0452"/>
    <w:rsid w:val="001D05F7"/>
    <w:rsid w:val="001D0968"/>
    <w:rsid w:val="001D0C35"/>
    <w:rsid w:val="001D0F84"/>
    <w:rsid w:val="001D165C"/>
    <w:rsid w:val="001D19AC"/>
    <w:rsid w:val="001D1A94"/>
    <w:rsid w:val="001D1DD3"/>
    <w:rsid w:val="001D220F"/>
    <w:rsid w:val="001D29AF"/>
    <w:rsid w:val="001D2CA6"/>
    <w:rsid w:val="001D32BB"/>
    <w:rsid w:val="001D3802"/>
    <w:rsid w:val="001D3E20"/>
    <w:rsid w:val="001D3E2E"/>
    <w:rsid w:val="001D400D"/>
    <w:rsid w:val="001D40D3"/>
    <w:rsid w:val="001D40ED"/>
    <w:rsid w:val="001D43D0"/>
    <w:rsid w:val="001D45D2"/>
    <w:rsid w:val="001D4607"/>
    <w:rsid w:val="001D4AB9"/>
    <w:rsid w:val="001D4B54"/>
    <w:rsid w:val="001D4F77"/>
    <w:rsid w:val="001D5491"/>
    <w:rsid w:val="001D5921"/>
    <w:rsid w:val="001D5B85"/>
    <w:rsid w:val="001D60D3"/>
    <w:rsid w:val="001D6227"/>
    <w:rsid w:val="001D66BF"/>
    <w:rsid w:val="001D7200"/>
    <w:rsid w:val="001D7EB3"/>
    <w:rsid w:val="001E0821"/>
    <w:rsid w:val="001E0C9B"/>
    <w:rsid w:val="001E0FE3"/>
    <w:rsid w:val="001E10AF"/>
    <w:rsid w:val="001E12A6"/>
    <w:rsid w:val="001E141D"/>
    <w:rsid w:val="001E1C5F"/>
    <w:rsid w:val="001E1E1C"/>
    <w:rsid w:val="001E229D"/>
    <w:rsid w:val="001E25A8"/>
    <w:rsid w:val="001E2849"/>
    <w:rsid w:val="001E2B08"/>
    <w:rsid w:val="001E2B7A"/>
    <w:rsid w:val="001E2EC1"/>
    <w:rsid w:val="001E37E8"/>
    <w:rsid w:val="001E3906"/>
    <w:rsid w:val="001E39F1"/>
    <w:rsid w:val="001E3C52"/>
    <w:rsid w:val="001E3D80"/>
    <w:rsid w:val="001E4C55"/>
    <w:rsid w:val="001E5434"/>
    <w:rsid w:val="001E558F"/>
    <w:rsid w:val="001E5AD0"/>
    <w:rsid w:val="001E62B3"/>
    <w:rsid w:val="001E689F"/>
    <w:rsid w:val="001E6D29"/>
    <w:rsid w:val="001E74EC"/>
    <w:rsid w:val="001F0461"/>
    <w:rsid w:val="001F047E"/>
    <w:rsid w:val="001F093A"/>
    <w:rsid w:val="001F0B16"/>
    <w:rsid w:val="001F0E5D"/>
    <w:rsid w:val="001F111C"/>
    <w:rsid w:val="001F1901"/>
    <w:rsid w:val="001F1A52"/>
    <w:rsid w:val="001F205B"/>
    <w:rsid w:val="001F23CA"/>
    <w:rsid w:val="001F2D26"/>
    <w:rsid w:val="001F3052"/>
    <w:rsid w:val="001F3615"/>
    <w:rsid w:val="001F39DA"/>
    <w:rsid w:val="001F3E90"/>
    <w:rsid w:val="001F4330"/>
    <w:rsid w:val="001F4486"/>
    <w:rsid w:val="001F4E7F"/>
    <w:rsid w:val="001F56EC"/>
    <w:rsid w:val="001F5D69"/>
    <w:rsid w:val="001F5E9C"/>
    <w:rsid w:val="001F6222"/>
    <w:rsid w:val="001F6AA4"/>
    <w:rsid w:val="001F6F47"/>
    <w:rsid w:val="001F6F7B"/>
    <w:rsid w:val="001F73D3"/>
    <w:rsid w:val="001F7946"/>
    <w:rsid w:val="001F7B8E"/>
    <w:rsid w:val="0020029B"/>
    <w:rsid w:val="00200C68"/>
    <w:rsid w:val="00201AA3"/>
    <w:rsid w:val="00202064"/>
    <w:rsid w:val="002027F1"/>
    <w:rsid w:val="00202E8B"/>
    <w:rsid w:val="00203198"/>
    <w:rsid w:val="00203623"/>
    <w:rsid w:val="00203766"/>
    <w:rsid w:val="002040EE"/>
    <w:rsid w:val="00204630"/>
    <w:rsid w:val="002053B6"/>
    <w:rsid w:val="00205B13"/>
    <w:rsid w:val="00205EF7"/>
    <w:rsid w:val="0020609C"/>
    <w:rsid w:val="00206849"/>
    <w:rsid w:val="00206965"/>
    <w:rsid w:val="00206C78"/>
    <w:rsid w:val="00206D61"/>
    <w:rsid w:val="00207234"/>
    <w:rsid w:val="00207374"/>
    <w:rsid w:val="00207505"/>
    <w:rsid w:val="0020756A"/>
    <w:rsid w:val="002076A4"/>
    <w:rsid w:val="00207F73"/>
    <w:rsid w:val="002100B5"/>
    <w:rsid w:val="002100DB"/>
    <w:rsid w:val="002107D2"/>
    <w:rsid w:val="00210AAE"/>
    <w:rsid w:val="0021135B"/>
    <w:rsid w:val="002118C4"/>
    <w:rsid w:val="00211F72"/>
    <w:rsid w:val="0021231B"/>
    <w:rsid w:val="0021247B"/>
    <w:rsid w:val="002128E6"/>
    <w:rsid w:val="002132D2"/>
    <w:rsid w:val="0021337C"/>
    <w:rsid w:val="002139A9"/>
    <w:rsid w:val="002139FC"/>
    <w:rsid w:val="00213CDC"/>
    <w:rsid w:val="00213D55"/>
    <w:rsid w:val="00213FC8"/>
    <w:rsid w:val="00213FD9"/>
    <w:rsid w:val="002142C9"/>
    <w:rsid w:val="002145E7"/>
    <w:rsid w:val="002149C8"/>
    <w:rsid w:val="002150AC"/>
    <w:rsid w:val="0021517D"/>
    <w:rsid w:val="00215882"/>
    <w:rsid w:val="00215E45"/>
    <w:rsid w:val="002161C2"/>
    <w:rsid w:val="002163B4"/>
    <w:rsid w:val="00216703"/>
    <w:rsid w:val="00216F98"/>
    <w:rsid w:val="00217448"/>
    <w:rsid w:val="00217C6C"/>
    <w:rsid w:val="00220088"/>
    <w:rsid w:val="00220673"/>
    <w:rsid w:val="0022163E"/>
    <w:rsid w:val="002217DB"/>
    <w:rsid w:val="002217F6"/>
    <w:rsid w:val="0022197C"/>
    <w:rsid w:val="00221B5B"/>
    <w:rsid w:val="00221B61"/>
    <w:rsid w:val="0022218A"/>
    <w:rsid w:val="00222417"/>
    <w:rsid w:val="0022249A"/>
    <w:rsid w:val="00222852"/>
    <w:rsid w:val="00223269"/>
    <w:rsid w:val="00223570"/>
    <w:rsid w:val="002238A4"/>
    <w:rsid w:val="00223E11"/>
    <w:rsid w:val="00223F83"/>
    <w:rsid w:val="00224160"/>
    <w:rsid w:val="00224C62"/>
    <w:rsid w:val="00224D9F"/>
    <w:rsid w:val="00224F40"/>
    <w:rsid w:val="002260C1"/>
    <w:rsid w:val="0022619D"/>
    <w:rsid w:val="0022664B"/>
    <w:rsid w:val="00226DA6"/>
    <w:rsid w:val="00226DCC"/>
    <w:rsid w:val="002271CF"/>
    <w:rsid w:val="00227453"/>
    <w:rsid w:val="0022747B"/>
    <w:rsid w:val="002276C9"/>
    <w:rsid w:val="0022771A"/>
    <w:rsid w:val="00230647"/>
    <w:rsid w:val="00230E7B"/>
    <w:rsid w:val="002310CE"/>
    <w:rsid w:val="002311C9"/>
    <w:rsid w:val="00231CF3"/>
    <w:rsid w:val="00231D7A"/>
    <w:rsid w:val="00231DC5"/>
    <w:rsid w:val="002322E9"/>
    <w:rsid w:val="0023245E"/>
    <w:rsid w:val="002328CD"/>
    <w:rsid w:val="002328E7"/>
    <w:rsid w:val="00232AFE"/>
    <w:rsid w:val="002333EE"/>
    <w:rsid w:val="00233561"/>
    <w:rsid w:val="00233A32"/>
    <w:rsid w:val="00234089"/>
    <w:rsid w:val="00234B7A"/>
    <w:rsid w:val="002356C4"/>
    <w:rsid w:val="002357EA"/>
    <w:rsid w:val="00235968"/>
    <w:rsid w:val="002359BE"/>
    <w:rsid w:val="00235C59"/>
    <w:rsid w:val="00235EAB"/>
    <w:rsid w:val="0023632E"/>
    <w:rsid w:val="0023644E"/>
    <w:rsid w:val="00236451"/>
    <w:rsid w:val="00236539"/>
    <w:rsid w:val="002369E3"/>
    <w:rsid w:val="00236AF1"/>
    <w:rsid w:val="00237751"/>
    <w:rsid w:val="002377CC"/>
    <w:rsid w:val="00237E65"/>
    <w:rsid w:val="002403CF"/>
    <w:rsid w:val="00240BBA"/>
    <w:rsid w:val="00240D0F"/>
    <w:rsid w:val="002420D1"/>
    <w:rsid w:val="002424D2"/>
    <w:rsid w:val="0024283A"/>
    <w:rsid w:val="00242A63"/>
    <w:rsid w:val="00242BF6"/>
    <w:rsid w:val="00242EB4"/>
    <w:rsid w:val="002430D7"/>
    <w:rsid w:val="002436BE"/>
    <w:rsid w:val="0024381F"/>
    <w:rsid w:val="002439B5"/>
    <w:rsid w:val="00243F55"/>
    <w:rsid w:val="0024438D"/>
    <w:rsid w:val="002449B9"/>
    <w:rsid w:val="00244A93"/>
    <w:rsid w:val="0024519D"/>
    <w:rsid w:val="00245301"/>
    <w:rsid w:val="00245364"/>
    <w:rsid w:val="00245B47"/>
    <w:rsid w:val="00245D1C"/>
    <w:rsid w:val="00245F72"/>
    <w:rsid w:val="00247297"/>
    <w:rsid w:val="002474C9"/>
    <w:rsid w:val="00247739"/>
    <w:rsid w:val="00247A91"/>
    <w:rsid w:val="00247B03"/>
    <w:rsid w:val="00247DFF"/>
    <w:rsid w:val="00247F35"/>
    <w:rsid w:val="002501C5"/>
    <w:rsid w:val="00250A7C"/>
    <w:rsid w:val="00251589"/>
    <w:rsid w:val="0025189D"/>
    <w:rsid w:val="00251968"/>
    <w:rsid w:val="00251B58"/>
    <w:rsid w:val="00251CE4"/>
    <w:rsid w:val="00251DA1"/>
    <w:rsid w:val="0025236F"/>
    <w:rsid w:val="002523A6"/>
    <w:rsid w:val="0025289F"/>
    <w:rsid w:val="00252BAB"/>
    <w:rsid w:val="00252E1C"/>
    <w:rsid w:val="0025317B"/>
    <w:rsid w:val="00253432"/>
    <w:rsid w:val="0025357D"/>
    <w:rsid w:val="002535E9"/>
    <w:rsid w:val="00253779"/>
    <w:rsid w:val="00253967"/>
    <w:rsid w:val="00253DC4"/>
    <w:rsid w:val="00253E2B"/>
    <w:rsid w:val="0025419E"/>
    <w:rsid w:val="002543A9"/>
    <w:rsid w:val="00254408"/>
    <w:rsid w:val="00254BA9"/>
    <w:rsid w:val="002553CC"/>
    <w:rsid w:val="0025557C"/>
    <w:rsid w:val="00255644"/>
    <w:rsid w:val="00255725"/>
    <w:rsid w:val="00255EDA"/>
    <w:rsid w:val="002567D8"/>
    <w:rsid w:val="00256DCD"/>
    <w:rsid w:val="00256E14"/>
    <w:rsid w:val="00257158"/>
    <w:rsid w:val="0025756F"/>
    <w:rsid w:val="00257754"/>
    <w:rsid w:val="00257CD0"/>
    <w:rsid w:val="002602B6"/>
    <w:rsid w:val="002604AE"/>
    <w:rsid w:val="002606FB"/>
    <w:rsid w:val="00260998"/>
    <w:rsid w:val="00260C93"/>
    <w:rsid w:val="00260FC6"/>
    <w:rsid w:val="00261438"/>
    <w:rsid w:val="002614B5"/>
    <w:rsid w:val="00261516"/>
    <w:rsid w:val="00261CF1"/>
    <w:rsid w:val="002627B1"/>
    <w:rsid w:val="0026295E"/>
    <w:rsid w:val="0026379E"/>
    <w:rsid w:val="002637A8"/>
    <w:rsid w:val="00263916"/>
    <w:rsid w:val="0026396F"/>
    <w:rsid w:val="00263C08"/>
    <w:rsid w:val="00263FE6"/>
    <w:rsid w:val="00264137"/>
    <w:rsid w:val="002644D3"/>
    <w:rsid w:val="00264F83"/>
    <w:rsid w:val="00265209"/>
    <w:rsid w:val="002654D0"/>
    <w:rsid w:val="00265577"/>
    <w:rsid w:val="00265AFB"/>
    <w:rsid w:val="00266745"/>
    <w:rsid w:val="00267A34"/>
    <w:rsid w:val="00270081"/>
    <w:rsid w:val="002704FE"/>
    <w:rsid w:val="00270659"/>
    <w:rsid w:val="00270F16"/>
    <w:rsid w:val="00271468"/>
    <w:rsid w:val="002721B3"/>
    <w:rsid w:val="00272512"/>
    <w:rsid w:val="00272BF5"/>
    <w:rsid w:val="00272D8C"/>
    <w:rsid w:val="00272E4B"/>
    <w:rsid w:val="00273A41"/>
    <w:rsid w:val="0027456A"/>
    <w:rsid w:val="00274EA5"/>
    <w:rsid w:val="00274FF4"/>
    <w:rsid w:val="002751E5"/>
    <w:rsid w:val="002752C4"/>
    <w:rsid w:val="0027564F"/>
    <w:rsid w:val="002757A4"/>
    <w:rsid w:val="00275807"/>
    <w:rsid w:val="00275A98"/>
    <w:rsid w:val="00275CBF"/>
    <w:rsid w:val="0027614B"/>
    <w:rsid w:val="00276543"/>
    <w:rsid w:val="00276920"/>
    <w:rsid w:val="00276975"/>
    <w:rsid w:val="00276FD2"/>
    <w:rsid w:val="00277221"/>
    <w:rsid w:val="002772BE"/>
    <w:rsid w:val="002772D6"/>
    <w:rsid w:val="00277ADB"/>
    <w:rsid w:val="00277B8F"/>
    <w:rsid w:val="00277D06"/>
    <w:rsid w:val="00277F45"/>
    <w:rsid w:val="0028008B"/>
    <w:rsid w:val="0028028B"/>
    <w:rsid w:val="00280394"/>
    <w:rsid w:val="002804AF"/>
    <w:rsid w:val="002805EE"/>
    <w:rsid w:val="00280C9D"/>
    <w:rsid w:val="00280D18"/>
    <w:rsid w:val="00281031"/>
    <w:rsid w:val="0028136C"/>
    <w:rsid w:val="00281A88"/>
    <w:rsid w:val="00281CEF"/>
    <w:rsid w:val="002827D7"/>
    <w:rsid w:val="0028296E"/>
    <w:rsid w:val="0028361E"/>
    <w:rsid w:val="00283C4D"/>
    <w:rsid w:val="0028423B"/>
    <w:rsid w:val="002843B4"/>
    <w:rsid w:val="00284517"/>
    <w:rsid w:val="0028459B"/>
    <w:rsid w:val="00284616"/>
    <w:rsid w:val="00284B44"/>
    <w:rsid w:val="00285135"/>
    <w:rsid w:val="0028528D"/>
    <w:rsid w:val="00285B45"/>
    <w:rsid w:val="00285E0B"/>
    <w:rsid w:val="002860D8"/>
    <w:rsid w:val="00286626"/>
    <w:rsid w:val="00287089"/>
    <w:rsid w:val="00287675"/>
    <w:rsid w:val="00287699"/>
    <w:rsid w:val="002879D5"/>
    <w:rsid w:val="00287B57"/>
    <w:rsid w:val="00287F02"/>
    <w:rsid w:val="0029131C"/>
    <w:rsid w:val="00291440"/>
    <w:rsid w:val="00291C00"/>
    <w:rsid w:val="002921BA"/>
    <w:rsid w:val="00292E27"/>
    <w:rsid w:val="00292EC5"/>
    <w:rsid w:val="0029326C"/>
    <w:rsid w:val="00293D29"/>
    <w:rsid w:val="00294382"/>
    <w:rsid w:val="002943F8"/>
    <w:rsid w:val="002945D3"/>
    <w:rsid w:val="002947C7"/>
    <w:rsid w:val="00294AF9"/>
    <w:rsid w:val="002950DE"/>
    <w:rsid w:val="002955DA"/>
    <w:rsid w:val="00295A82"/>
    <w:rsid w:val="00295B9F"/>
    <w:rsid w:val="00295E84"/>
    <w:rsid w:val="00296618"/>
    <w:rsid w:val="00296797"/>
    <w:rsid w:val="00296B9E"/>
    <w:rsid w:val="00296F10"/>
    <w:rsid w:val="002970DE"/>
    <w:rsid w:val="0029716B"/>
    <w:rsid w:val="00297909"/>
    <w:rsid w:val="0029793D"/>
    <w:rsid w:val="00297A9F"/>
    <w:rsid w:val="00297DC4"/>
    <w:rsid w:val="00297E68"/>
    <w:rsid w:val="002A089D"/>
    <w:rsid w:val="002A11C7"/>
    <w:rsid w:val="002A127E"/>
    <w:rsid w:val="002A13A6"/>
    <w:rsid w:val="002A159C"/>
    <w:rsid w:val="002A172C"/>
    <w:rsid w:val="002A19CA"/>
    <w:rsid w:val="002A203C"/>
    <w:rsid w:val="002A2E24"/>
    <w:rsid w:val="002A32E1"/>
    <w:rsid w:val="002A3C17"/>
    <w:rsid w:val="002A3ED0"/>
    <w:rsid w:val="002A42F8"/>
    <w:rsid w:val="002A4962"/>
    <w:rsid w:val="002A4DA8"/>
    <w:rsid w:val="002A50D2"/>
    <w:rsid w:val="002A52A4"/>
    <w:rsid w:val="002A5301"/>
    <w:rsid w:val="002A5B5A"/>
    <w:rsid w:val="002A65A4"/>
    <w:rsid w:val="002A66DE"/>
    <w:rsid w:val="002A685B"/>
    <w:rsid w:val="002A6EF7"/>
    <w:rsid w:val="002A70B7"/>
    <w:rsid w:val="002A74D6"/>
    <w:rsid w:val="002A75BB"/>
    <w:rsid w:val="002A78E4"/>
    <w:rsid w:val="002A7EAA"/>
    <w:rsid w:val="002B07E6"/>
    <w:rsid w:val="002B0832"/>
    <w:rsid w:val="002B0C51"/>
    <w:rsid w:val="002B1013"/>
    <w:rsid w:val="002B12B8"/>
    <w:rsid w:val="002B16E4"/>
    <w:rsid w:val="002B1757"/>
    <w:rsid w:val="002B191A"/>
    <w:rsid w:val="002B1C96"/>
    <w:rsid w:val="002B2EA3"/>
    <w:rsid w:val="002B2F85"/>
    <w:rsid w:val="002B3474"/>
    <w:rsid w:val="002B3741"/>
    <w:rsid w:val="002B3949"/>
    <w:rsid w:val="002B3A60"/>
    <w:rsid w:val="002B3E05"/>
    <w:rsid w:val="002B4735"/>
    <w:rsid w:val="002B4F9C"/>
    <w:rsid w:val="002B51C5"/>
    <w:rsid w:val="002B56F3"/>
    <w:rsid w:val="002B58E6"/>
    <w:rsid w:val="002B5C93"/>
    <w:rsid w:val="002B5D55"/>
    <w:rsid w:val="002B5EB9"/>
    <w:rsid w:val="002B5EE2"/>
    <w:rsid w:val="002B66B3"/>
    <w:rsid w:val="002B69E7"/>
    <w:rsid w:val="002B7110"/>
    <w:rsid w:val="002B7396"/>
    <w:rsid w:val="002B7C0A"/>
    <w:rsid w:val="002C0000"/>
    <w:rsid w:val="002C0125"/>
    <w:rsid w:val="002C0439"/>
    <w:rsid w:val="002C0B68"/>
    <w:rsid w:val="002C0F89"/>
    <w:rsid w:val="002C1596"/>
    <w:rsid w:val="002C18C1"/>
    <w:rsid w:val="002C1DAB"/>
    <w:rsid w:val="002C2195"/>
    <w:rsid w:val="002C25CA"/>
    <w:rsid w:val="002C3538"/>
    <w:rsid w:val="002C39A5"/>
    <w:rsid w:val="002C489C"/>
    <w:rsid w:val="002C49B3"/>
    <w:rsid w:val="002C4E08"/>
    <w:rsid w:val="002C5117"/>
    <w:rsid w:val="002C5165"/>
    <w:rsid w:val="002C51FA"/>
    <w:rsid w:val="002C55F0"/>
    <w:rsid w:val="002C677C"/>
    <w:rsid w:val="002C6CA0"/>
    <w:rsid w:val="002C7A55"/>
    <w:rsid w:val="002C7A65"/>
    <w:rsid w:val="002D01DE"/>
    <w:rsid w:val="002D0774"/>
    <w:rsid w:val="002D0BC7"/>
    <w:rsid w:val="002D1003"/>
    <w:rsid w:val="002D1042"/>
    <w:rsid w:val="002D1148"/>
    <w:rsid w:val="002D1733"/>
    <w:rsid w:val="002D1D60"/>
    <w:rsid w:val="002D1F55"/>
    <w:rsid w:val="002D239A"/>
    <w:rsid w:val="002D2879"/>
    <w:rsid w:val="002D2EB4"/>
    <w:rsid w:val="002D3228"/>
    <w:rsid w:val="002D3559"/>
    <w:rsid w:val="002D35D0"/>
    <w:rsid w:val="002D3BA2"/>
    <w:rsid w:val="002D3C3C"/>
    <w:rsid w:val="002D3DBF"/>
    <w:rsid w:val="002D43DF"/>
    <w:rsid w:val="002D49B9"/>
    <w:rsid w:val="002D533C"/>
    <w:rsid w:val="002D57D2"/>
    <w:rsid w:val="002D5816"/>
    <w:rsid w:val="002D58BC"/>
    <w:rsid w:val="002D5A07"/>
    <w:rsid w:val="002D5E64"/>
    <w:rsid w:val="002D60F1"/>
    <w:rsid w:val="002D61E2"/>
    <w:rsid w:val="002D6282"/>
    <w:rsid w:val="002D65DD"/>
    <w:rsid w:val="002D65FE"/>
    <w:rsid w:val="002D696B"/>
    <w:rsid w:val="002D6EE1"/>
    <w:rsid w:val="002D6FF9"/>
    <w:rsid w:val="002D73EF"/>
    <w:rsid w:val="002D7703"/>
    <w:rsid w:val="002E01C1"/>
    <w:rsid w:val="002E0589"/>
    <w:rsid w:val="002E0EC6"/>
    <w:rsid w:val="002E1E6B"/>
    <w:rsid w:val="002E25C3"/>
    <w:rsid w:val="002E265D"/>
    <w:rsid w:val="002E2FE3"/>
    <w:rsid w:val="002E3309"/>
    <w:rsid w:val="002E35F8"/>
    <w:rsid w:val="002E38B9"/>
    <w:rsid w:val="002E3C8A"/>
    <w:rsid w:val="002E42F1"/>
    <w:rsid w:val="002E4371"/>
    <w:rsid w:val="002E49AC"/>
    <w:rsid w:val="002E50D2"/>
    <w:rsid w:val="002E5186"/>
    <w:rsid w:val="002E51A4"/>
    <w:rsid w:val="002E522F"/>
    <w:rsid w:val="002E5398"/>
    <w:rsid w:val="002E55C6"/>
    <w:rsid w:val="002E5993"/>
    <w:rsid w:val="002E6BD0"/>
    <w:rsid w:val="002E7009"/>
    <w:rsid w:val="002E7272"/>
    <w:rsid w:val="002E7688"/>
    <w:rsid w:val="002E776E"/>
    <w:rsid w:val="002E7ABD"/>
    <w:rsid w:val="002E7B7C"/>
    <w:rsid w:val="002E7B9A"/>
    <w:rsid w:val="002F048F"/>
    <w:rsid w:val="002F09B1"/>
    <w:rsid w:val="002F0D3A"/>
    <w:rsid w:val="002F1530"/>
    <w:rsid w:val="002F15BE"/>
    <w:rsid w:val="002F1CA7"/>
    <w:rsid w:val="002F1D71"/>
    <w:rsid w:val="002F205E"/>
    <w:rsid w:val="002F220A"/>
    <w:rsid w:val="002F279F"/>
    <w:rsid w:val="002F2B37"/>
    <w:rsid w:val="002F2E29"/>
    <w:rsid w:val="002F2F01"/>
    <w:rsid w:val="002F3285"/>
    <w:rsid w:val="002F3B73"/>
    <w:rsid w:val="002F3C8E"/>
    <w:rsid w:val="002F3FBD"/>
    <w:rsid w:val="002F4476"/>
    <w:rsid w:val="002F468E"/>
    <w:rsid w:val="002F5685"/>
    <w:rsid w:val="002F56AE"/>
    <w:rsid w:val="002F589F"/>
    <w:rsid w:val="002F59A7"/>
    <w:rsid w:val="002F59E9"/>
    <w:rsid w:val="002F5A92"/>
    <w:rsid w:val="002F5E7C"/>
    <w:rsid w:val="002F637B"/>
    <w:rsid w:val="002F63EC"/>
    <w:rsid w:val="002F66B8"/>
    <w:rsid w:val="002F6739"/>
    <w:rsid w:val="002F68AA"/>
    <w:rsid w:val="002F6A27"/>
    <w:rsid w:val="002F70A7"/>
    <w:rsid w:val="002F7292"/>
    <w:rsid w:val="002F7430"/>
    <w:rsid w:val="002F7941"/>
    <w:rsid w:val="002F7AB3"/>
    <w:rsid w:val="002F7F00"/>
    <w:rsid w:val="0030053B"/>
    <w:rsid w:val="00300867"/>
    <w:rsid w:val="00300918"/>
    <w:rsid w:val="0030094A"/>
    <w:rsid w:val="00300AFB"/>
    <w:rsid w:val="00300F04"/>
    <w:rsid w:val="00300F5F"/>
    <w:rsid w:val="0030154E"/>
    <w:rsid w:val="00301B78"/>
    <w:rsid w:val="00301E48"/>
    <w:rsid w:val="00302320"/>
    <w:rsid w:val="00302802"/>
    <w:rsid w:val="00302B1A"/>
    <w:rsid w:val="00302E66"/>
    <w:rsid w:val="003034F5"/>
    <w:rsid w:val="00303B62"/>
    <w:rsid w:val="003040AB"/>
    <w:rsid w:val="0030414D"/>
    <w:rsid w:val="00304693"/>
    <w:rsid w:val="0030556A"/>
    <w:rsid w:val="00305AE0"/>
    <w:rsid w:val="00305CB4"/>
    <w:rsid w:val="00305D16"/>
    <w:rsid w:val="00305F1A"/>
    <w:rsid w:val="00305F75"/>
    <w:rsid w:val="003062BB"/>
    <w:rsid w:val="00306417"/>
    <w:rsid w:val="00306496"/>
    <w:rsid w:val="003065BB"/>
    <w:rsid w:val="0030692D"/>
    <w:rsid w:val="00306B6F"/>
    <w:rsid w:val="00306BD4"/>
    <w:rsid w:val="0030703A"/>
    <w:rsid w:val="00307112"/>
    <w:rsid w:val="0030729D"/>
    <w:rsid w:val="003074DC"/>
    <w:rsid w:val="00307745"/>
    <w:rsid w:val="00307BC6"/>
    <w:rsid w:val="00307CAD"/>
    <w:rsid w:val="0031001B"/>
    <w:rsid w:val="00310B37"/>
    <w:rsid w:val="00310CB0"/>
    <w:rsid w:val="0031165C"/>
    <w:rsid w:val="00311820"/>
    <w:rsid w:val="00311A26"/>
    <w:rsid w:val="00311C3D"/>
    <w:rsid w:val="003125FC"/>
    <w:rsid w:val="00312FD4"/>
    <w:rsid w:val="00313819"/>
    <w:rsid w:val="00313982"/>
    <w:rsid w:val="00313EC1"/>
    <w:rsid w:val="003140D3"/>
    <w:rsid w:val="00314315"/>
    <w:rsid w:val="0031457F"/>
    <w:rsid w:val="00315923"/>
    <w:rsid w:val="003159D0"/>
    <w:rsid w:val="00316B09"/>
    <w:rsid w:val="00316B72"/>
    <w:rsid w:val="00317230"/>
    <w:rsid w:val="00317EDE"/>
    <w:rsid w:val="0032075B"/>
    <w:rsid w:val="0032096F"/>
    <w:rsid w:val="00320BEE"/>
    <w:rsid w:val="00320F7D"/>
    <w:rsid w:val="0032128E"/>
    <w:rsid w:val="00321913"/>
    <w:rsid w:val="003221B8"/>
    <w:rsid w:val="003223B1"/>
    <w:rsid w:val="00322674"/>
    <w:rsid w:val="0032276C"/>
    <w:rsid w:val="003229BA"/>
    <w:rsid w:val="00322C6B"/>
    <w:rsid w:val="00322EFE"/>
    <w:rsid w:val="00322F9D"/>
    <w:rsid w:val="00323202"/>
    <w:rsid w:val="00325104"/>
    <w:rsid w:val="00325327"/>
    <w:rsid w:val="00325347"/>
    <w:rsid w:val="00325A41"/>
    <w:rsid w:val="00325D01"/>
    <w:rsid w:val="00326415"/>
    <w:rsid w:val="00326A91"/>
    <w:rsid w:val="00326F24"/>
    <w:rsid w:val="003270DA"/>
    <w:rsid w:val="003273A4"/>
    <w:rsid w:val="0032754F"/>
    <w:rsid w:val="0032764A"/>
    <w:rsid w:val="00327809"/>
    <w:rsid w:val="00327823"/>
    <w:rsid w:val="00327A6D"/>
    <w:rsid w:val="0033045D"/>
    <w:rsid w:val="00330666"/>
    <w:rsid w:val="00330846"/>
    <w:rsid w:val="00330CDF"/>
    <w:rsid w:val="00330F18"/>
    <w:rsid w:val="00330FE1"/>
    <w:rsid w:val="003315A2"/>
    <w:rsid w:val="003321AC"/>
    <w:rsid w:val="0033224C"/>
    <w:rsid w:val="003328B3"/>
    <w:rsid w:val="00332B03"/>
    <w:rsid w:val="00332C84"/>
    <w:rsid w:val="0033307B"/>
    <w:rsid w:val="0033307C"/>
    <w:rsid w:val="003337C7"/>
    <w:rsid w:val="00333A49"/>
    <w:rsid w:val="0033402D"/>
    <w:rsid w:val="003343BC"/>
    <w:rsid w:val="003343D7"/>
    <w:rsid w:val="00334898"/>
    <w:rsid w:val="003349C5"/>
    <w:rsid w:val="00334CC5"/>
    <w:rsid w:val="00334F84"/>
    <w:rsid w:val="00335094"/>
    <w:rsid w:val="003351CA"/>
    <w:rsid w:val="00335571"/>
    <w:rsid w:val="003355BB"/>
    <w:rsid w:val="00335919"/>
    <w:rsid w:val="00335FB5"/>
    <w:rsid w:val="003365A8"/>
    <w:rsid w:val="00336956"/>
    <w:rsid w:val="00336D39"/>
    <w:rsid w:val="00336FB9"/>
    <w:rsid w:val="00337161"/>
    <w:rsid w:val="003371DB"/>
    <w:rsid w:val="003373B5"/>
    <w:rsid w:val="0033745E"/>
    <w:rsid w:val="00337566"/>
    <w:rsid w:val="003375E3"/>
    <w:rsid w:val="003376D8"/>
    <w:rsid w:val="00337B7E"/>
    <w:rsid w:val="0034046B"/>
    <w:rsid w:val="0034048B"/>
    <w:rsid w:val="003404E6"/>
    <w:rsid w:val="00340564"/>
    <w:rsid w:val="003406E7"/>
    <w:rsid w:val="00340868"/>
    <w:rsid w:val="00340952"/>
    <w:rsid w:val="003409F0"/>
    <w:rsid w:val="00340A33"/>
    <w:rsid w:val="003411ED"/>
    <w:rsid w:val="00341481"/>
    <w:rsid w:val="00341622"/>
    <w:rsid w:val="00341BA4"/>
    <w:rsid w:val="00342766"/>
    <w:rsid w:val="003429E1"/>
    <w:rsid w:val="00342D4A"/>
    <w:rsid w:val="00342F9B"/>
    <w:rsid w:val="003432CA"/>
    <w:rsid w:val="00343E6D"/>
    <w:rsid w:val="003443C4"/>
    <w:rsid w:val="00344674"/>
    <w:rsid w:val="00344A26"/>
    <w:rsid w:val="00344AC8"/>
    <w:rsid w:val="00344BE1"/>
    <w:rsid w:val="00345683"/>
    <w:rsid w:val="0034577D"/>
    <w:rsid w:val="0034597B"/>
    <w:rsid w:val="00345D34"/>
    <w:rsid w:val="00345D9B"/>
    <w:rsid w:val="0034730D"/>
    <w:rsid w:val="003475C2"/>
    <w:rsid w:val="00347756"/>
    <w:rsid w:val="00347C07"/>
    <w:rsid w:val="003500B0"/>
    <w:rsid w:val="003501AA"/>
    <w:rsid w:val="003505BB"/>
    <w:rsid w:val="00350697"/>
    <w:rsid w:val="003507C9"/>
    <w:rsid w:val="00350B49"/>
    <w:rsid w:val="00350D6F"/>
    <w:rsid w:val="00350F6F"/>
    <w:rsid w:val="00350FB5"/>
    <w:rsid w:val="00351BBD"/>
    <w:rsid w:val="00351F8D"/>
    <w:rsid w:val="00352169"/>
    <w:rsid w:val="003525B6"/>
    <w:rsid w:val="00352894"/>
    <w:rsid w:val="00352DDE"/>
    <w:rsid w:val="003532EE"/>
    <w:rsid w:val="0035475C"/>
    <w:rsid w:val="003557DA"/>
    <w:rsid w:val="00355ABD"/>
    <w:rsid w:val="00355B5A"/>
    <w:rsid w:val="00355C6B"/>
    <w:rsid w:val="003562CB"/>
    <w:rsid w:val="00356687"/>
    <w:rsid w:val="0035679A"/>
    <w:rsid w:val="0035680A"/>
    <w:rsid w:val="003568EF"/>
    <w:rsid w:val="00356D33"/>
    <w:rsid w:val="00357558"/>
    <w:rsid w:val="0035779B"/>
    <w:rsid w:val="00357C29"/>
    <w:rsid w:val="00357F12"/>
    <w:rsid w:val="00357F78"/>
    <w:rsid w:val="003600D6"/>
    <w:rsid w:val="00360129"/>
    <w:rsid w:val="00360146"/>
    <w:rsid w:val="00360403"/>
    <w:rsid w:val="003612FE"/>
    <w:rsid w:val="00361447"/>
    <w:rsid w:val="0036242C"/>
    <w:rsid w:val="00362670"/>
    <w:rsid w:val="00362764"/>
    <w:rsid w:val="00362772"/>
    <w:rsid w:val="00362D61"/>
    <w:rsid w:val="00362DE3"/>
    <w:rsid w:val="003632E2"/>
    <w:rsid w:val="00363BD2"/>
    <w:rsid w:val="00363CE4"/>
    <w:rsid w:val="00363E53"/>
    <w:rsid w:val="00363E7D"/>
    <w:rsid w:val="00364A18"/>
    <w:rsid w:val="00364BC1"/>
    <w:rsid w:val="00364ECE"/>
    <w:rsid w:val="00364FB4"/>
    <w:rsid w:val="00365513"/>
    <w:rsid w:val="00365825"/>
    <w:rsid w:val="00365AF3"/>
    <w:rsid w:val="00366239"/>
    <w:rsid w:val="00366491"/>
    <w:rsid w:val="003665F3"/>
    <w:rsid w:val="003666A3"/>
    <w:rsid w:val="00366895"/>
    <w:rsid w:val="00366A49"/>
    <w:rsid w:val="00367117"/>
    <w:rsid w:val="00367572"/>
    <w:rsid w:val="003676DB"/>
    <w:rsid w:val="00367B3C"/>
    <w:rsid w:val="00370122"/>
    <w:rsid w:val="003708CB"/>
    <w:rsid w:val="003708F8"/>
    <w:rsid w:val="00370926"/>
    <w:rsid w:val="00370985"/>
    <w:rsid w:val="00370CD0"/>
    <w:rsid w:val="0037138E"/>
    <w:rsid w:val="003713A1"/>
    <w:rsid w:val="00371569"/>
    <w:rsid w:val="0037194A"/>
    <w:rsid w:val="00371F29"/>
    <w:rsid w:val="00372392"/>
    <w:rsid w:val="003725F1"/>
    <w:rsid w:val="0037281C"/>
    <w:rsid w:val="00372A1D"/>
    <w:rsid w:val="00372DF0"/>
    <w:rsid w:val="00372E5D"/>
    <w:rsid w:val="003732BC"/>
    <w:rsid w:val="003739F0"/>
    <w:rsid w:val="003743DD"/>
    <w:rsid w:val="003748DC"/>
    <w:rsid w:val="00374DB5"/>
    <w:rsid w:val="00374FB6"/>
    <w:rsid w:val="00374FC4"/>
    <w:rsid w:val="0037508D"/>
    <w:rsid w:val="0037513A"/>
    <w:rsid w:val="0037578C"/>
    <w:rsid w:val="003757EA"/>
    <w:rsid w:val="00376105"/>
    <w:rsid w:val="0037645B"/>
    <w:rsid w:val="00376488"/>
    <w:rsid w:val="00376555"/>
    <w:rsid w:val="00376794"/>
    <w:rsid w:val="0037680F"/>
    <w:rsid w:val="0037682B"/>
    <w:rsid w:val="00376969"/>
    <w:rsid w:val="003769B5"/>
    <w:rsid w:val="00376A6B"/>
    <w:rsid w:val="00376A8F"/>
    <w:rsid w:val="00380250"/>
    <w:rsid w:val="00380B8C"/>
    <w:rsid w:val="00380FF1"/>
    <w:rsid w:val="0038132D"/>
    <w:rsid w:val="00381803"/>
    <w:rsid w:val="00381E7D"/>
    <w:rsid w:val="00382036"/>
    <w:rsid w:val="00382F01"/>
    <w:rsid w:val="00383162"/>
    <w:rsid w:val="0038334F"/>
    <w:rsid w:val="003834A0"/>
    <w:rsid w:val="00383705"/>
    <w:rsid w:val="0038380A"/>
    <w:rsid w:val="00383A47"/>
    <w:rsid w:val="00383FA2"/>
    <w:rsid w:val="003847B9"/>
    <w:rsid w:val="00384858"/>
    <w:rsid w:val="00384F0A"/>
    <w:rsid w:val="00385500"/>
    <w:rsid w:val="00385575"/>
    <w:rsid w:val="00385729"/>
    <w:rsid w:val="0038576C"/>
    <w:rsid w:val="00385C05"/>
    <w:rsid w:val="00385F9F"/>
    <w:rsid w:val="00386451"/>
    <w:rsid w:val="0038664F"/>
    <w:rsid w:val="003869FE"/>
    <w:rsid w:val="00386ACA"/>
    <w:rsid w:val="00386EAE"/>
    <w:rsid w:val="00386F43"/>
    <w:rsid w:val="00387622"/>
    <w:rsid w:val="003878AC"/>
    <w:rsid w:val="00387B19"/>
    <w:rsid w:val="00387C08"/>
    <w:rsid w:val="00387E78"/>
    <w:rsid w:val="00390AE3"/>
    <w:rsid w:val="00390B8C"/>
    <w:rsid w:val="00390C07"/>
    <w:rsid w:val="00390D24"/>
    <w:rsid w:val="00390FBE"/>
    <w:rsid w:val="00391388"/>
    <w:rsid w:val="0039138A"/>
    <w:rsid w:val="00391585"/>
    <w:rsid w:val="003915F2"/>
    <w:rsid w:val="0039180A"/>
    <w:rsid w:val="003922EA"/>
    <w:rsid w:val="003927D0"/>
    <w:rsid w:val="00392CA0"/>
    <w:rsid w:val="00393A47"/>
    <w:rsid w:val="00393D3B"/>
    <w:rsid w:val="00393E38"/>
    <w:rsid w:val="00393E8B"/>
    <w:rsid w:val="003940A0"/>
    <w:rsid w:val="003942B5"/>
    <w:rsid w:val="0039444D"/>
    <w:rsid w:val="00394546"/>
    <w:rsid w:val="003945A4"/>
    <w:rsid w:val="00394D87"/>
    <w:rsid w:val="00394EE9"/>
    <w:rsid w:val="00395050"/>
    <w:rsid w:val="00395422"/>
    <w:rsid w:val="00395AA7"/>
    <w:rsid w:val="003960F9"/>
    <w:rsid w:val="0039642B"/>
    <w:rsid w:val="00396529"/>
    <w:rsid w:val="00396AB7"/>
    <w:rsid w:val="00396DB5"/>
    <w:rsid w:val="00396E0F"/>
    <w:rsid w:val="00396E55"/>
    <w:rsid w:val="00396E6D"/>
    <w:rsid w:val="003970E5"/>
    <w:rsid w:val="00397641"/>
    <w:rsid w:val="003976B2"/>
    <w:rsid w:val="00397A14"/>
    <w:rsid w:val="00397B1F"/>
    <w:rsid w:val="00397E31"/>
    <w:rsid w:val="00397FF9"/>
    <w:rsid w:val="003A00FE"/>
    <w:rsid w:val="003A0638"/>
    <w:rsid w:val="003A090E"/>
    <w:rsid w:val="003A0C9B"/>
    <w:rsid w:val="003A0DFC"/>
    <w:rsid w:val="003A0E6C"/>
    <w:rsid w:val="003A10F7"/>
    <w:rsid w:val="003A147B"/>
    <w:rsid w:val="003A167B"/>
    <w:rsid w:val="003A1684"/>
    <w:rsid w:val="003A1828"/>
    <w:rsid w:val="003A182C"/>
    <w:rsid w:val="003A20A0"/>
    <w:rsid w:val="003A2976"/>
    <w:rsid w:val="003A29F7"/>
    <w:rsid w:val="003A2B52"/>
    <w:rsid w:val="003A2EB3"/>
    <w:rsid w:val="003A2FF6"/>
    <w:rsid w:val="003A32A8"/>
    <w:rsid w:val="003A3418"/>
    <w:rsid w:val="003A3B8F"/>
    <w:rsid w:val="003A3ED4"/>
    <w:rsid w:val="003A4155"/>
    <w:rsid w:val="003A42AD"/>
    <w:rsid w:val="003A48B2"/>
    <w:rsid w:val="003A4C50"/>
    <w:rsid w:val="003A4DD4"/>
    <w:rsid w:val="003A4FE8"/>
    <w:rsid w:val="003A54DC"/>
    <w:rsid w:val="003A5E58"/>
    <w:rsid w:val="003A6351"/>
    <w:rsid w:val="003A65A9"/>
    <w:rsid w:val="003A65EE"/>
    <w:rsid w:val="003A66E1"/>
    <w:rsid w:val="003A6757"/>
    <w:rsid w:val="003A6E59"/>
    <w:rsid w:val="003A6EE1"/>
    <w:rsid w:val="003A6EFD"/>
    <w:rsid w:val="003A723E"/>
    <w:rsid w:val="003A7299"/>
    <w:rsid w:val="003A730C"/>
    <w:rsid w:val="003A7623"/>
    <w:rsid w:val="003A7CDF"/>
    <w:rsid w:val="003B0E3C"/>
    <w:rsid w:val="003B1025"/>
    <w:rsid w:val="003B1238"/>
    <w:rsid w:val="003B14C2"/>
    <w:rsid w:val="003B19E2"/>
    <w:rsid w:val="003B1A0B"/>
    <w:rsid w:val="003B1B66"/>
    <w:rsid w:val="003B1F0C"/>
    <w:rsid w:val="003B215B"/>
    <w:rsid w:val="003B22B9"/>
    <w:rsid w:val="003B2346"/>
    <w:rsid w:val="003B2446"/>
    <w:rsid w:val="003B294E"/>
    <w:rsid w:val="003B2AE1"/>
    <w:rsid w:val="003B2FAD"/>
    <w:rsid w:val="003B2FF1"/>
    <w:rsid w:val="003B3B02"/>
    <w:rsid w:val="003B3B43"/>
    <w:rsid w:val="003B48C2"/>
    <w:rsid w:val="003B4A17"/>
    <w:rsid w:val="003B5505"/>
    <w:rsid w:val="003B56AA"/>
    <w:rsid w:val="003B5804"/>
    <w:rsid w:val="003B5C5B"/>
    <w:rsid w:val="003B5D4D"/>
    <w:rsid w:val="003B6512"/>
    <w:rsid w:val="003B6C4B"/>
    <w:rsid w:val="003B6CF0"/>
    <w:rsid w:val="003B6E11"/>
    <w:rsid w:val="003B72ED"/>
    <w:rsid w:val="003B75E4"/>
    <w:rsid w:val="003B7657"/>
    <w:rsid w:val="003B76EA"/>
    <w:rsid w:val="003C013F"/>
    <w:rsid w:val="003C0171"/>
    <w:rsid w:val="003C047A"/>
    <w:rsid w:val="003C06A4"/>
    <w:rsid w:val="003C1048"/>
    <w:rsid w:val="003C1D16"/>
    <w:rsid w:val="003C1FD6"/>
    <w:rsid w:val="003C20C6"/>
    <w:rsid w:val="003C310B"/>
    <w:rsid w:val="003C4049"/>
    <w:rsid w:val="003C4647"/>
    <w:rsid w:val="003C4AB0"/>
    <w:rsid w:val="003C550B"/>
    <w:rsid w:val="003C55A1"/>
    <w:rsid w:val="003C5603"/>
    <w:rsid w:val="003C63DD"/>
    <w:rsid w:val="003C6580"/>
    <w:rsid w:val="003C6D9D"/>
    <w:rsid w:val="003C700F"/>
    <w:rsid w:val="003C77DC"/>
    <w:rsid w:val="003C7850"/>
    <w:rsid w:val="003C7B33"/>
    <w:rsid w:val="003C7D3C"/>
    <w:rsid w:val="003D016A"/>
    <w:rsid w:val="003D0908"/>
    <w:rsid w:val="003D09B3"/>
    <w:rsid w:val="003D0D24"/>
    <w:rsid w:val="003D0D63"/>
    <w:rsid w:val="003D13B4"/>
    <w:rsid w:val="003D153B"/>
    <w:rsid w:val="003D1DAF"/>
    <w:rsid w:val="003D1F45"/>
    <w:rsid w:val="003D2019"/>
    <w:rsid w:val="003D240F"/>
    <w:rsid w:val="003D2A6E"/>
    <w:rsid w:val="003D2CCD"/>
    <w:rsid w:val="003D2DA7"/>
    <w:rsid w:val="003D2F60"/>
    <w:rsid w:val="003D3252"/>
    <w:rsid w:val="003D3698"/>
    <w:rsid w:val="003D4D74"/>
    <w:rsid w:val="003D4DF2"/>
    <w:rsid w:val="003D51AA"/>
    <w:rsid w:val="003D5394"/>
    <w:rsid w:val="003D5AE5"/>
    <w:rsid w:val="003D602B"/>
    <w:rsid w:val="003D70B2"/>
    <w:rsid w:val="003D7984"/>
    <w:rsid w:val="003D7D8D"/>
    <w:rsid w:val="003D7D9E"/>
    <w:rsid w:val="003E04E1"/>
    <w:rsid w:val="003E05B1"/>
    <w:rsid w:val="003E08A5"/>
    <w:rsid w:val="003E0CBE"/>
    <w:rsid w:val="003E0DAC"/>
    <w:rsid w:val="003E0E99"/>
    <w:rsid w:val="003E0F11"/>
    <w:rsid w:val="003E1D5F"/>
    <w:rsid w:val="003E24A6"/>
    <w:rsid w:val="003E2915"/>
    <w:rsid w:val="003E30F4"/>
    <w:rsid w:val="003E34C0"/>
    <w:rsid w:val="003E3509"/>
    <w:rsid w:val="003E3955"/>
    <w:rsid w:val="003E3D7B"/>
    <w:rsid w:val="003E4093"/>
    <w:rsid w:val="003E4C9B"/>
    <w:rsid w:val="003E5084"/>
    <w:rsid w:val="003E52BE"/>
    <w:rsid w:val="003E5640"/>
    <w:rsid w:val="003E59C8"/>
    <w:rsid w:val="003E615F"/>
    <w:rsid w:val="003E6996"/>
    <w:rsid w:val="003E6AD7"/>
    <w:rsid w:val="003E6C0C"/>
    <w:rsid w:val="003E7908"/>
    <w:rsid w:val="003E792F"/>
    <w:rsid w:val="003E7AF9"/>
    <w:rsid w:val="003E7BF4"/>
    <w:rsid w:val="003E7E99"/>
    <w:rsid w:val="003F00AD"/>
    <w:rsid w:val="003F048E"/>
    <w:rsid w:val="003F0D9E"/>
    <w:rsid w:val="003F0F5D"/>
    <w:rsid w:val="003F11A9"/>
    <w:rsid w:val="003F16C9"/>
    <w:rsid w:val="003F1B60"/>
    <w:rsid w:val="003F1BB1"/>
    <w:rsid w:val="003F1FEE"/>
    <w:rsid w:val="003F228D"/>
    <w:rsid w:val="003F265E"/>
    <w:rsid w:val="003F3530"/>
    <w:rsid w:val="003F3640"/>
    <w:rsid w:val="003F3854"/>
    <w:rsid w:val="003F3903"/>
    <w:rsid w:val="003F39BA"/>
    <w:rsid w:val="003F47F1"/>
    <w:rsid w:val="003F48A0"/>
    <w:rsid w:val="003F5678"/>
    <w:rsid w:val="003F5717"/>
    <w:rsid w:val="003F58AA"/>
    <w:rsid w:val="003F5994"/>
    <w:rsid w:val="003F5AD4"/>
    <w:rsid w:val="003F5D6E"/>
    <w:rsid w:val="003F5FAD"/>
    <w:rsid w:val="003F6225"/>
    <w:rsid w:val="003F632A"/>
    <w:rsid w:val="003F6352"/>
    <w:rsid w:val="003F64EC"/>
    <w:rsid w:val="003F6EFB"/>
    <w:rsid w:val="003F6FE1"/>
    <w:rsid w:val="003F7024"/>
    <w:rsid w:val="003F737F"/>
    <w:rsid w:val="003F77D7"/>
    <w:rsid w:val="003F7B27"/>
    <w:rsid w:val="00400198"/>
    <w:rsid w:val="0040048F"/>
    <w:rsid w:val="00400D5D"/>
    <w:rsid w:val="00400D6A"/>
    <w:rsid w:val="004010E9"/>
    <w:rsid w:val="00401381"/>
    <w:rsid w:val="00401651"/>
    <w:rsid w:val="00401783"/>
    <w:rsid w:val="004017C3"/>
    <w:rsid w:val="00401B7A"/>
    <w:rsid w:val="00401BA2"/>
    <w:rsid w:val="004021A4"/>
    <w:rsid w:val="00402247"/>
    <w:rsid w:val="004026DC"/>
    <w:rsid w:val="004027F1"/>
    <w:rsid w:val="00402AD5"/>
    <w:rsid w:val="004033D4"/>
    <w:rsid w:val="0040355C"/>
    <w:rsid w:val="0040391D"/>
    <w:rsid w:val="00403998"/>
    <w:rsid w:val="004039A5"/>
    <w:rsid w:val="00404093"/>
    <w:rsid w:val="00404670"/>
    <w:rsid w:val="00404915"/>
    <w:rsid w:val="00404C81"/>
    <w:rsid w:val="00404D9F"/>
    <w:rsid w:val="004053F8"/>
    <w:rsid w:val="004055DE"/>
    <w:rsid w:val="00406215"/>
    <w:rsid w:val="00406298"/>
    <w:rsid w:val="00407026"/>
    <w:rsid w:val="004076E0"/>
    <w:rsid w:val="0040787A"/>
    <w:rsid w:val="0040793D"/>
    <w:rsid w:val="004079BF"/>
    <w:rsid w:val="00407A3D"/>
    <w:rsid w:val="00407B2B"/>
    <w:rsid w:val="00407F72"/>
    <w:rsid w:val="00410065"/>
    <w:rsid w:val="004108C4"/>
    <w:rsid w:val="00410E0D"/>
    <w:rsid w:val="00411390"/>
    <w:rsid w:val="004116DD"/>
    <w:rsid w:val="004119B2"/>
    <w:rsid w:val="00411B47"/>
    <w:rsid w:val="00411CBF"/>
    <w:rsid w:val="0041202B"/>
    <w:rsid w:val="0041207C"/>
    <w:rsid w:val="0041218F"/>
    <w:rsid w:val="0041238B"/>
    <w:rsid w:val="00412504"/>
    <w:rsid w:val="00412699"/>
    <w:rsid w:val="00412892"/>
    <w:rsid w:val="00412966"/>
    <w:rsid w:val="00412EA3"/>
    <w:rsid w:val="00412F06"/>
    <w:rsid w:val="00412F9C"/>
    <w:rsid w:val="004132F0"/>
    <w:rsid w:val="00413802"/>
    <w:rsid w:val="0041399C"/>
    <w:rsid w:val="00413C1D"/>
    <w:rsid w:val="00413EA5"/>
    <w:rsid w:val="00414876"/>
    <w:rsid w:val="00414B35"/>
    <w:rsid w:val="0041525A"/>
    <w:rsid w:val="004154D0"/>
    <w:rsid w:val="004159DC"/>
    <w:rsid w:val="00415EE2"/>
    <w:rsid w:val="00415F37"/>
    <w:rsid w:val="00416CAC"/>
    <w:rsid w:val="00416CC2"/>
    <w:rsid w:val="0041701B"/>
    <w:rsid w:val="00417586"/>
    <w:rsid w:val="004175D7"/>
    <w:rsid w:val="0041785F"/>
    <w:rsid w:val="00417B53"/>
    <w:rsid w:val="00417EC5"/>
    <w:rsid w:val="00420569"/>
    <w:rsid w:val="00420F9C"/>
    <w:rsid w:val="00421975"/>
    <w:rsid w:val="00421A07"/>
    <w:rsid w:val="00421B23"/>
    <w:rsid w:val="00421B57"/>
    <w:rsid w:val="00421BF8"/>
    <w:rsid w:val="00422E15"/>
    <w:rsid w:val="00422EFB"/>
    <w:rsid w:val="00423011"/>
    <w:rsid w:val="0042314F"/>
    <w:rsid w:val="004239F0"/>
    <w:rsid w:val="00423A8D"/>
    <w:rsid w:val="00423CBA"/>
    <w:rsid w:val="00423CC9"/>
    <w:rsid w:val="00423D4D"/>
    <w:rsid w:val="004242FB"/>
    <w:rsid w:val="00424597"/>
    <w:rsid w:val="004245FB"/>
    <w:rsid w:val="00424A30"/>
    <w:rsid w:val="00424CA5"/>
    <w:rsid w:val="00424D13"/>
    <w:rsid w:val="0042554C"/>
    <w:rsid w:val="0042561A"/>
    <w:rsid w:val="004264C0"/>
    <w:rsid w:val="00426568"/>
    <w:rsid w:val="00426B20"/>
    <w:rsid w:val="00426B46"/>
    <w:rsid w:val="004277D9"/>
    <w:rsid w:val="004307A8"/>
    <w:rsid w:val="004308AE"/>
    <w:rsid w:val="00430D78"/>
    <w:rsid w:val="004315C9"/>
    <w:rsid w:val="004316F2"/>
    <w:rsid w:val="004318E7"/>
    <w:rsid w:val="00431D4B"/>
    <w:rsid w:val="0043286C"/>
    <w:rsid w:val="00433832"/>
    <w:rsid w:val="004341A4"/>
    <w:rsid w:val="00434FF2"/>
    <w:rsid w:val="0043566D"/>
    <w:rsid w:val="00435C0B"/>
    <w:rsid w:val="00435C49"/>
    <w:rsid w:val="004360B2"/>
    <w:rsid w:val="004363EB"/>
    <w:rsid w:val="004364FF"/>
    <w:rsid w:val="00436509"/>
    <w:rsid w:val="004365DC"/>
    <w:rsid w:val="00436D3B"/>
    <w:rsid w:val="004372C4"/>
    <w:rsid w:val="00437714"/>
    <w:rsid w:val="00437B21"/>
    <w:rsid w:val="00437DDF"/>
    <w:rsid w:val="00437F80"/>
    <w:rsid w:val="00440099"/>
    <w:rsid w:val="00440502"/>
    <w:rsid w:val="00440B2B"/>
    <w:rsid w:val="00440D1D"/>
    <w:rsid w:val="00440E64"/>
    <w:rsid w:val="004410D8"/>
    <w:rsid w:val="00441416"/>
    <w:rsid w:val="004416B2"/>
    <w:rsid w:val="00441A39"/>
    <w:rsid w:val="00441A78"/>
    <w:rsid w:val="00441B8E"/>
    <w:rsid w:val="00441D4F"/>
    <w:rsid w:val="00441DEF"/>
    <w:rsid w:val="0044261A"/>
    <w:rsid w:val="0044286B"/>
    <w:rsid w:val="00442FA3"/>
    <w:rsid w:val="00443046"/>
    <w:rsid w:val="00443100"/>
    <w:rsid w:val="004439A7"/>
    <w:rsid w:val="00443A26"/>
    <w:rsid w:val="00443D90"/>
    <w:rsid w:val="00444187"/>
    <w:rsid w:val="00444967"/>
    <w:rsid w:val="00444A0E"/>
    <w:rsid w:val="00444AE3"/>
    <w:rsid w:val="00444F3D"/>
    <w:rsid w:val="0044621B"/>
    <w:rsid w:val="0044621E"/>
    <w:rsid w:val="00446287"/>
    <w:rsid w:val="004465B0"/>
    <w:rsid w:val="0044698B"/>
    <w:rsid w:val="00446C7B"/>
    <w:rsid w:val="00446EE3"/>
    <w:rsid w:val="00446F6A"/>
    <w:rsid w:val="00446FD2"/>
    <w:rsid w:val="004471E2"/>
    <w:rsid w:val="004473F7"/>
    <w:rsid w:val="00447A7A"/>
    <w:rsid w:val="00447CA0"/>
    <w:rsid w:val="004501A2"/>
    <w:rsid w:val="004501BC"/>
    <w:rsid w:val="0045067C"/>
    <w:rsid w:val="0045075D"/>
    <w:rsid w:val="00450BDA"/>
    <w:rsid w:val="00450F1F"/>
    <w:rsid w:val="00451614"/>
    <w:rsid w:val="00451BB8"/>
    <w:rsid w:val="00451EA5"/>
    <w:rsid w:val="004522EC"/>
    <w:rsid w:val="00452E8F"/>
    <w:rsid w:val="00452F80"/>
    <w:rsid w:val="004533BE"/>
    <w:rsid w:val="00453938"/>
    <w:rsid w:val="00453AE9"/>
    <w:rsid w:val="00453E22"/>
    <w:rsid w:val="00453F89"/>
    <w:rsid w:val="00454A06"/>
    <w:rsid w:val="00454ECA"/>
    <w:rsid w:val="00455008"/>
    <w:rsid w:val="00455493"/>
    <w:rsid w:val="00455555"/>
    <w:rsid w:val="00455763"/>
    <w:rsid w:val="004558DF"/>
    <w:rsid w:val="00456038"/>
    <w:rsid w:val="004561BB"/>
    <w:rsid w:val="0045652F"/>
    <w:rsid w:val="004565CA"/>
    <w:rsid w:val="004567EA"/>
    <w:rsid w:val="00456A73"/>
    <w:rsid w:val="00456AF9"/>
    <w:rsid w:val="00456D96"/>
    <w:rsid w:val="00457305"/>
    <w:rsid w:val="00457401"/>
    <w:rsid w:val="00457640"/>
    <w:rsid w:val="004576C2"/>
    <w:rsid w:val="0045793E"/>
    <w:rsid w:val="0045798E"/>
    <w:rsid w:val="00457ADB"/>
    <w:rsid w:val="004602DB"/>
    <w:rsid w:val="0046071E"/>
    <w:rsid w:val="00460738"/>
    <w:rsid w:val="0046083F"/>
    <w:rsid w:val="00460916"/>
    <w:rsid w:val="00460ADB"/>
    <w:rsid w:val="00460C29"/>
    <w:rsid w:val="00460E2D"/>
    <w:rsid w:val="0046122E"/>
    <w:rsid w:val="00461658"/>
    <w:rsid w:val="004617AE"/>
    <w:rsid w:val="00462565"/>
    <w:rsid w:val="00462D83"/>
    <w:rsid w:val="00463A40"/>
    <w:rsid w:val="00463D36"/>
    <w:rsid w:val="00463D89"/>
    <w:rsid w:val="00464097"/>
    <w:rsid w:val="004642DC"/>
    <w:rsid w:val="00464BC1"/>
    <w:rsid w:val="00464C1C"/>
    <w:rsid w:val="00464EDB"/>
    <w:rsid w:val="00465524"/>
    <w:rsid w:val="004656F3"/>
    <w:rsid w:val="0046573B"/>
    <w:rsid w:val="00465FFC"/>
    <w:rsid w:val="004663F1"/>
    <w:rsid w:val="00466767"/>
    <w:rsid w:val="004667C5"/>
    <w:rsid w:val="00467307"/>
    <w:rsid w:val="004674E4"/>
    <w:rsid w:val="00467571"/>
    <w:rsid w:val="00467613"/>
    <w:rsid w:val="00467762"/>
    <w:rsid w:val="00467995"/>
    <w:rsid w:val="0047011B"/>
    <w:rsid w:val="004705D2"/>
    <w:rsid w:val="00470DCC"/>
    <w:rsid w:val="004714E2"/>
    <w:rsid w:val="00471550"/>
    <w:rsid w:val="00471DB5"/>
    <w:rsid w:val="004721BD"/>
    <w:rsid w:val="00472221"/>
    <w:rsid w:val="00473249"/>
    <w:rsid w:val="0047388D"/>
    <w:rsid w:val="00473894"/>
    <w:rsid w:val="00473EE4"/>
    <w:rsid w:val="00473F21"/>
    <w:rsid w:val="00474155"/>
    <w:rsid w:val="00474540"/>
    <w:rsid w:val="00474B6B"/>
    <w:rsid w:val="004751C3"/>
    <w:rsid w:val="004753D3"/>
    <w:rsid w:val="00475631"/>
    <w:rsid w:val="004759BC"/>
    <w:rsid w:val="00475B9A"/>
    <w:rsid w:val="00475C1D"/>
    <w:rsid w:val="00475C4B"/>
    <w:rsid w:val="00475F6B"/>
    <w:rsid w:val="00476172"/>
    <w:rsid w:val="0047692F"/>
    <w:rsid w:val="0047711E"/>
    <w:rsid w:val="004775E3"/>
    <w:rsid w:val="00477F15"/>
    <w:rsid w:val="00480631"/>
    <w:rsid w:val="0048084A"/>
    <w:rsid w:val="00480921"/>
    <w:rsid w:val="00480DBB"/>
    <w:rsid w:val="00480F5D"/>
    <w:rsid w:val="004811A9"/>
    <w:rsid w:val="004813E3"/>
    <w:rsid w:val="0048197A"/>
    <w:rsid w:val="00481CE7"/>
    <w:rsid w:val="004829B6"/>
    <w:rsid w:val="00482D24"/>
    <w:rsid w:val="00483005"/>
    <w:rsid w:val="004831D8"/>
    <w:rsid w:val="00483625"/>
    <w:rsid w:val="004838AD"/>
    <w:rsid w:val="00483C69"/>
    <w:rsid w:val="0048405F"/>
    <w:rsid w:val="004842B2"/>
    <w:rsid w:val="004842C2"/>
    <w:rsid w:val="00484670"/>
    <w:rsid w:val="004848FC"/>
    <w:rsid w:val="00484B63"/>
    <w:rsid w:val="00484D37"/>
    <w:rsid w:val="00484E41"/>
    <w:rsid w:val="00484F8E"/>
    <w:rsid w:val="004851A3"/>
    <w:rsid w:val="00485CC3"/>
    <w:rsid w:val="00486279"/>
    <w:rsid w:val="00486B55"/>
    <w:rsid w:val="00486FE8"/>
    <w:rsid w:val="004870F5"/>
    <w:rsid w:val="0048726E"/>
    <w:rsid w:val="0048765F"/>
    <w:rsid w:val="0048767A"/>
    <w:rsid w:val="004877C2"/>
    <w:rsid w:val="00490932"/>
    <w:rsid w:val="00490D38"/>
    <w:rsid w:val="0049127C"/>
    <w:rsid w:val="0049178F"/>
    <w:rsid w:val="00491AAF"/>
    <w:rsid w:val="004921EC"/>
    <w:rsid w:val="00492576"/>
    <w:rsid w:val="00492597"/>
    <w:rsid w:val="004927CE"/>
    <w:rsid w:val="00492859"/>
    <w:rsid w:val="00492DD4"/>
    <w:rsid w:val="00492E7E"/>
    <w:rsid w:val="00492F73"/>
    <w:rsid w:val="004934E4"/>
    <w:rsid w:val="00493E4A"/>
    <w:rsid w:val="0049420C"/>
    <w:rsid w:val="0049483B"/>
    <w:rsid w:val="00494909"/>
    <w:rsid w:val="00494A2A"/>
    <w:rsid w:val="00494C25"/>
    <w:rsid w:val="00495092"/>
    <w:rsid w:val="0049522F"/>
    <w:rsid w:val="004953FE"/>
    <w:rsid w:val="00495606"/>
    <w:rsid w:val="004961A3"/>
    <w:rsid w:val="00496227"/>
    <w:rsid w:val="0049685C"/>
    <w:rsid w:val="0049695B"/>
    <w:rsid w:val="0049696E"/>
    <w:rsid w:val="00496EE2"/>
    <w:rsid w:val="004972A9"/>
    <w:rsid w:val="00497674"/>
    <w:rsid w:val="004979A4"/>
    <w:rsid w:val="00497C18"/>
    <w:rsid w:val="004A0356"/>
    <w:rsid w:val="004A0A94"/>
    <w:rsid w:val="004A0B1F"/>
    <w:rsid w:val="004A10D0"/>
    <w:rsid w:val="004A1690"/>
    <w:rsid w:val="004A1787"/>
    <w:rsid w:val="004A2003"/>
    <w:rsid w:val="004A20D3"/>
    <w:rsid w:val="004A2473"/>
    <w:rsid w:val="004A251C"/>
    <w:rsid w:val="004A2B25"/>
    <w:rsid w:val="004A2B60"/>
    <w:rsid w:val="004A2C10"/>
    <w:rsid w:val="004A3180"/>
    <w:rsid w:val="004A3192"/>
    <w:rsid w:val="004A31EE"/>
    <w:rsid w:val="004A3509"/>
    <w:rsid w:val="004A3859"/>
    <w:rsid w:val="004A3CFA"/>
    <w:rsid w:val="004A3EEE"/>
    <w:rsid w:val="004A40B5"/>
    <w:rsid w:val="004A4BDC"/>
    <w:rsid w:val="004A4CA1"/>
    <w:rsid w:val="004A4E51"/>
    <w:rsid w:val="004A5383"/>
    <w:rsid w:val="004A58B2"/>
    <w:rsid w:val="004A5CCD"/>
    <w:rsid w:val="004A6788"/>
    <w:rsid w:val="004A6FEE"/>
    <w:rsid w:val="004A72CA"/>
    <w:rsid w:val="004A7C39"/>
    <w:rsid w:val="004A7EEB"/>
    <w:rsid w:val="004B0240"/>
    <w:rsid w:val="004B02ED"/>
    <w:rsid w:val="004B0441"/>
    <w:rsid w:val="004B1414"/>
    <w:rsid w:val="004B1708"/>
    <w:rsid w:val="004B1B41"/>
    <w:rsid w:val="004B1B52"/>
    <w:rsid w:val="004B2832"/>
    <w:rsid w:val="004B288A"/>
    <w:rsid w:val="004B2A55"/>
    <w:rsid w:val="004B3042"/>
    <w:rsid w:val="004B3121"/>
    <w:rsid w:val="004B38DB"/>
    <w:rsid w:val="004B3CE8"/>
    <w:rsid w:val="004B3F7A"/>
    <w:rsid w:val="004B4195"/>
    <w:rsid w:val="004B4A2B"/>
    <w:rsid w:val="004B4B6A"/>
    <w:rsid w:val="004B6190"/>
    <w:rsid w:val="004B634F"/>
    <w:rsid w:val="004B64B2"/>
    <w:rsid w:val="004B6764"/>
    <w:rsid w:val="004B6DEF"/>
    <w:rsid w:val="004B71E7"/>
    <w:rsid w:val="004B7515"/>
    <w:rsid w:val="004B75E3"/>
    <w:rsid w:val="004C04AF"/>
    <w:rsid w:val="004C0A4D"/>
    <w:rsid w:val="004C0CD2"/>
    <w:rsid w:val="004C11D6"/>
    <w:rsid w:val="004C144D"/>
    <w:rsid w:val="004C1CBC"/>
    <w:rsid w:val="004C1D37"/>
    <w:rsid w:val="004C1D62"/>
    <w:rsid w:val="004C2367"/>
    <w:rsid w:val="004C2457"/>
    <w:rsid w:val="004C2627"/>
    <w:rsid w:val="004C2F82"/>
    <w:rsid w:val="004C37F0"/>
    <w:rsid w:val="004C3A35"/>
    <w:rsid w:val="004C3A8D"/>
    <w:rsid w:val="004C3FB3"/>
    <w:rsid w:val="004C4121"/>
    <w:rsid w:val="004C41B8"/>
    <w:rsid w:val="004C4657"/>
    <w:rsid w:val="004C544B"/>
    <w:rsid w:val="004C5458"/>
    <w:rsid w:val="004C55FB"/>
    <w:rsid w:val="004C5A2B"/>
    <w:rsid w:val="004C602F"/>
    <w:rsid w:val="004C605C"/>
    <w:rsid w:val="004C627C"/>
    <w:rsid w:val="004C66A9"/>
    <w:rsid w:val="004C6C89"/>
    <w:rsid w:val="004C713F"/>
    <w:rsid w:val="004C7170"/>
    <w:rsid w:val="004C72D8"/>
    <w:rsid w:val="004C7B0C"/>
    <w:rsid w:val="004C7C00"/>
    <w:rsid w:val="004C7F66"/>
    <w:rsid w:val="004D06FC"/>
    <w:rsid w:val="004D12CE"/>
    <w:rsid w:val="004D1B68"/>
    <w:rsid w:val="004D1D9C"/>
    <w:rsid w:val="004D262C"/>
    <w:rsid w:val="004D2C49"/>
    <w:rsid w:val="004D2F43"/>
    <w:rsid w:val="004D324B"/>
    <w:rsid w:val="004D345D"/>
    <w:rsid w:val="004D35C9"/>
    <w:rsid w:val="004D3766"/>
    <w:rsid w:val="004D434D"/>
    <w:rsid w:val="004D43F5"/>
    <w:rsid w:val="004D443F"/>
    <w:rsid w:val="004D451D"/>
    <w:rsid w:val="004D456B"/>
    <w:rsid w:val="004D491F"/>
    <w:rsid w:val="004D53EC"/>
    <w:rsid w:val="004D54BB"/>
    <w:rsid w:val="004D54C0"/>
    <w:rsid w:val="004D5ACD"/>
    <w:rsid w:val="004D688D"/>
    <w:rsid w:val="004D7720"/>
    <w:rsid w:val="004D7737"/>
    <w:rsid w:val="004D77DA"/>
    <w:rsid w:val="004D7881"/>
    <w:rsid w:val="004D7B28"/>
    <w:rsid w:val="004D7BEF"/>
    <w:rsid w:val="004D7C0E"/>
    <w:rsid w:val="004D7CB3"/>
    <w:rsid w:val="004E011C"/>
    <w:rsid w:val="004E0451"/>
    <w:rsid w:val="004E0ABE"/>
    <w:rsid w:val="004E18D9"/>
    <w:rsid w:val="004E1A37"/>
    <w:rsid w:val="004E1CFD"/>
    <w:rsid w:val="004E1E65"/>
    <w:rsid w:val="004E1EF6"/>
    <w:rsid w:val="004E259F"/>
    <w:rsid w:val="004E25DC"/>
    <w:rsid w:val="004E2710"/>
    <w:rsid w:val="004E2AF3"/>
    <w:rsid w:val="004E33BE"/>
    <w:rsid w:val="004E36EF"/>
    <w:rsid w:val="004E3B88"/>
    <w:rsid w:val="004E400C"/>
    <w:rsid w:val="004E4017"/>
    <w:rsid w:val="004E463C"/>
    <w:rsid w:val="004E49A7"/>
    <w:rsid w:val="004E4E15"/>
    <w:rsid w:val="004E4FDE"/>
    <w:rsid w:val="004E54DE"/>
    <w:rsid w:val="004E5A3D"/>
    <w:rsid w:val="004E5C7C"/>
    <w:rsid w:val="004E5D01"/>
    <w:rsid w:val="004E5D60"/>
    <w:rsid w:val="004E5E9C"/>
    <w:rsid w:val="004E5F40"/>
    <w:rsid w:val="004E6398"/>
    <w:rsid w:val="004E6669"/>
    <w:rsid w:val="004E6AD0"/>
    <w:rsid w:val="004E6EF1"/>
    <w:rsid w:val="004E6FE2"/>
    <w:rsid w:val="004E70DA"/>
    <w:rsid w:val="004E7A6E"/>
    <w:rsid w:val="004E7CD7"/>
    <w:rsid w:val="004F02B3"/>
    <w:rsid w:val="004F0458"/>
    <w:rsid w:val="004F08CE"/>
    <w:rsid w:val="004F09A1"/>
    <w:rsid w:val="004F0E55"/>
    <w:rsid w:val="004F0E7A"/>
    <w:rsid w:val="004F0FCF"/>
    <w:rsid w:val="004F174D"/>
    <w:rsid w:val="004F1B8D"/>
    <w:rsid w:val="004F1E7D"/>
    <w:rsid w:val="004F2846"/>
    <w:rsid w:val="004F2912"/>
    <w:rsid w:val="004F2929"/>
    <w:rsid w:val="004F2B5D"/>
    <w:rsid w:val="004F2BC3"/>
    <w:rsid w:val="004F2C0B"/>
    <w:rsid w:val="004F2D1E"/>
    <w:rsid w:val="004F30C3"/>
    <w:rsid w:val="004F318C"/>
    <w:rsid w:val="004F3E86"/>
    <w:rsid w:val="004F46DE"/>
    <w:rsid w:val="004F4918"/>
    <w:rsid w:val="004F4990"/>
    <w:rsid w:val="004F4EC2"/>
    <w:rsid w:val="004F536C"/>
    <w:rsid w:val="004F5564"/>
    <w:rsid w:val="004F5567"/>
    <w:rsid w:val="004F5F60"/>
    <w:rsid w:val="004F652C"/>
    <w:rsid w:val="004F6673"/>
    <w:rsid w:val="004F6D9E"/>
    <w:rsid w:val="004F6F20"/>
    <w:rsid w:val="004F73CC"/>
    <w:rsid w:val="004F7843"/>
    <w:rsid w:val="004F78CE"/>
    <w:rsid w:val="004F7A33"/>
    <w:rsid w:val="004F7BF8"/>
    <w:rsid w:val="004F7CF7"/>
    <w:rsid w:val="00500077"/>
    <w:rsid w:val="005001B3"/>
    <w:rsid w:val="00500798"/>
    <w:rsid w:val="005008BE"/>
    <w:rsid w:val="00500934"/>
    <w:rsid w:val="00500EA7"/>
    <w:rsid w:val="00501869"/>
    <w:rsid w:val="00501923"/>
    <w:rsid w:val="00501B53"/>
    <w:rsid w:val="00502091"/>
    <w:rsid w:val="005021E8"/>
    <w:rsid w:val="00502B41"/>
    <w:rsid w:val="00502F96"/>
    <w:rsid w:val="00503345"/>
    <w:rsid w:val="0050335F"/>
    <w:rsid w:val="005033A5"/>
    <w:rsid w:val="00503914"/>
    <w:rsid w:val="00503B93"/>
    <w:rsid w:val="00503F87"/>
    <w:rsid w:val="005045C5"/>
    <w:rsid w:val="00504613"/>
    <w:rsid w:val="00504740"/>
    <w:rsid w:val="00504A84"/>
    <w:rsid w:val="00505514"/>
    <w:rsid w:val="00505779"/>
    <w:rsid w:val="005059D9"/>
    <w:rsid w:val="00505A69"/>
    <w:rsid w:val="00505E08"/>
    <w:rsid w:val="005062E7"/>
    <w:rsid w:val="0050632D"/>
    <w:rsid w:val="00506423"/>
    <w:rsid w:val="00506858"/>
    <w:rsid w:val="00507215"/>
    <w:rsid w:val="005075CC"/>
    <w:rsid w:val="005075F0"/>
    <w:rsid w:val="0050769F"/>
    <w:rsid w:val="005079A1"/>
    <w:rsid w:val="00507F3F"/>
    <w:rsid w:val="00510006"/>
    <w:rsid w:val="005101A7"/>
    <w:rsid w:val="0051042A"/>
    <w:rsid w:val="0051061E"/>
    <w:rsid w:val="0051113C"/>
    <w:rsid w:val="005112D9"/>
    <w:rsid w:val="00511C1A"/>
    <w:rsid w:val="00512160"/>
    <w:rsid w:val="00512471"/>
    <w:rsid w:val="005130C0"/>
    <w:rsid w:val="00513ACD"/>
    <w:rsid w:val="00513B48"/>
    <w:rsid w:val="00514107"/>
    <w:rsid w:val="005143AE"/>
    <w:rsid w:val="005146A5"/>
    <w:rsid w:val="005149D1"/>
    <w:rsid w:val="00515155"/>
    <w:rsid w:val="005152E4"/>
    <w:rsid w:val="00515935"/>
    <w:rsid w:val="00515B03"/>
    <w:rsid w:val="00515FBF"/>
    <w:rsid w:val="00516027"/>
    <w:rsid w:val="0051605E"/>
    <w:rsid w:val="00516D23"/>
    <w:rsid w:val="005176E7"/>
    <w:rsid w:val="00517A1A"/>
    <w:rsid w:val="00517A47"/>
    <w:rsid w:val="00517AE5"/>
    <w:rsid w:val="00517BA7"/>
    <w:rsid w:val="00517F55"/>
    <w:rsid w:val="0052055A"/>
    <w:rsid w:val="00520B36"/>
    <w:rsid w:val="005217A2"/>
    <w:rsid w:val="005217C0"/>
    <w:rsid w:val="00521893"/>
    <w:rsid w:val="00521AC1"/>
    <w:rsid w:val="00521CD7"/>
    <w:rsid w:val="005227E8"/>
    <w:rsid w:val="005228F2"/>
    <w:rsid w:val="00522A0B"/>
    <w:rsid w:val="00522F54"/>
    <w:rsid w:val="00523022"/>
    <w:rsid w:val="005234DE"/>
    <w:rsid w:val="0052383B"/>
    <w:rsid w:val="005239E9"/>
    <w:rsid w:val="00523D5B"/>
    <w:rsid w:val="0052413F"/>
    <w:rsid w:val="00524193"/>
    <w:rsid w:val="00524433"/>
    <w:rsid w:val="0052484F"/>
    <w:rsid w:val="00524CE6"/>
    <w:rsid w:val="00525394"/>
    <w:rsid w:val="0052549C"/>
    <w:rsid w:val="00525903"/>
    <w:rsid w:val="00525BE9"/>
    <w:rsid w:val="00525D19"/>
    <w:rsid w:val="005264EB"/>
    <w:rsid w:val="00526813"/>
    <w:rsid w:val="00526DD4"/>
    <w:rsid w:val="0052710B"/>
    <w:rsid w:val="005275EA"/>
    <w:rsid w:val="00527820"/>
    <w:rsid w:val="00527E70"/>
    <w:rsid w:val="00530128"/>
    <w:rsid w:val="00530171"/>
    <w:rsid w:val="005301F5"/>
    <w:rsid w:val="00530706"/>
    <w:rsid w:val="005307C7"/>
    <w:rsid w:val="00530A3F"/>
    <w:rsid w:val="00530D78"/>
    <w:rsid w:val="00531774"/>
    <w:rsid w:val="00531EAD"/>
    <w:rsid w:val="00531ED1"/>
    <w:rsid w:val="00532553"/>
    <w:rsid w:val="005335DB"/>
    <w:rsid w:val="00533872"/>
    <w:rsid w:val="005338A9"/>
    <w:rsid w:val="00533CFF"/>
    <w:rsid w:val="0053411D"/>
    <w:rsid w:val="005353EF"/>
    <w:rsid w:val="005356F8"/>
    <w:rsid w:val="005359B3"/>
    <w:rsid w:val="0053609D"/>
    <w:rsid w:val="00536281"/>
    <w:rsid w:val="005367CE"/>
    <w:rsid w:val="00536979"/>
    <w:rsid w:val="00536E39"/>
    <w:rsid w:val="00536E8B"/>
    <w:rsid w:val="00537266"/>
    <w:rsid w:val="005373EF"/>
    <w:rsid w:val="005374EE"/>
    <w:rsid w:val="00540424"/>
    <w:rsid w:val="00541140"/>
    <w:rsid w:val="005417D6"/>
    <w:rsid w:val="00542F6A"/>
    <w:rsid w:val="00543097"/>
    <w:rsid w:val="0054350D"/>
    <w:rsid w:val="0054402B"/>
    <w:rsid w:val="00544090"/>
    <w:rsid w:val="0054468F"/>
    <w:rsid w:val="00544C19"/>
    <w:rsid w:val="00544CD6"/>
    <w:rsid w:val="00545232"/>
    <w:rsid w:val="0054532B"/>
    <w:rsid w:val="005455E1"/>
    <w:rsid w:val="00545A14"/>
    <w:rsid w:val="00545EBB"/>
    <w:rsid w:val="00545FA2"/>
    <w:rsid w:val="005462ED"/>
    <w:rsid w:val="00546441"/>
    <w:rsid w:val="00546BCF"/>
    <w:rsid w:val="00546E4B"/>
    <w:rsid w:val="00547409"/>
    <w:rsid w:val="005477A3"/>
    <w:rsid w:val="005500F4"/>
    <w:rsid w:val="0055024C"/>
    <w:rsid w:val="005504B3"/>
    <w:rsid w:val="00550553"/>
    <w:rsid w:val="00550DF2"/>
    <w:rsid w:val="00550FD9"/>
    <w:rsid w:val="00551AFA"/>
    <w:rsid w:val="00552009"/>
    <w:rsid w:val="00552335"/>
    <w:rsid w:val="005529ED"/>
    <w:rsid w:val="00552A8C"/>
    <w:rsid w:val="00552D04"/>
    <w:rsid w:val="005530EB"/>
    <w:rsid w:val="00553631"/>
    <w:rsid w:val="005537BB"/>
    <w:rsid w:val="005537E3"/>
    <w:rsid w:val="00553E5D"/>
    <w:rsid w:val="00554254"/>
    <w:rsid w:val="005543D0"/>
    <w:rsid w:val="005548B8"/>
    <w:rsid w:val="005550B5"/>
    <w:rsid w:val="00555242"/>
    <w:rsid w:val="005553A2"/>
    <w:rsid w:val="00555639"/>
    <w:rsid w:val="005559B8"/>
    <w:rsid w:val="00555B04"/>
    <w:rsid w:val="00555B62"/>
    <w:rsid w:val="00555C05"/>
    <w:rsid w:val="00555ECC"/>
    <w:rsid w:val="00555FD7"/>
    <w:rsid w:val="005560FE"/>
    <w:rsid w:val="00556183"/>
    <w:rsid w:val="005561C9"/>
    <w:rsid w:val="0055662A"/>
    <w:rsid w:val="00556912"/>
    <w:rsid w:val="00557267"/>
    <w:rsid w:val="00557788"/>
    <w:rsid w:val="00560C0A"/>
    <w:rsid w:val="0056163A"/>
    <w:rsid w:val="005616EE"/>
    <w:rsid w:val="00561AA6"/>
    <w:rsid w:val="00561CB3"/>
    <w:rsid w:val="00561F0A"/>
    <w:rsid w:val="00562285"/>
    <w:rsid w:val="005629BF"/>
    <w:rsid w:val="005631A6"/>
    <w:rsid w:val="00563274"/>
    <w:rsid w:val="00563770"/>
    <w:rsid w:val="00563E50"/>
    <w:rsid w:val="0056445B"/>
    <w:rsid w:val="00564C39"/>
    <w:rsid w:val="00565154"/>
    <w:rsid w:val="00565174"/>
    <w:rsid w:val="00565289"/>
    <w:rsid w:val="005652B0"/>
    <w:rsid w:val="005653E0"/>
    <w:rsid w:val="005662FC"/>
    <w:rsid w:val="00566458"/>
    <w:rsid w:val="0056689B"/>
    <w:rsid w:val="00566A0E"/>
    <w:rsid w:val="00566AEF"/>
    <w:rsid w:val="00566C7D"/>
    <w:rsid w:val="00566F7E"/>
    <w:rsid w:val="00567E62"/>
    <w:rsid w:val="00567E9C"/>
    <w:rsid w:val="00570087"/>
    <w:rsid w:val="005703D2"/>
    <w:rsid w:val="00570550"/>
    <w:rsid w:val="005707A5"/>
    <w:rsid w:val="005708F5"/>
    <w:rsid w:val="00570A08"/>
    <w:rsid w:val="00571176"/>
    <w:rsid w:val="005716F1"/>
    <w:rsid w:val="00571CD2"/>
    <w:rsid w:val="0057290F"/>
    <w:rsid w:val="005729AB"/>
    <w:rsid w:val="00572D3C"/>
    <w:rsid w:val="00573464"/>
    <w:rsid w:val="00573D81"/>
    <w:rsid w:val="00573F59"/>
    <w:rsid w:val="0057446A"/>
    <w:rsid w:val="0057457F"/>
    <w:rsid w:val="00574A3F"/>
    <w:rsid w:val="00574F1B"/>
    <w:rsid w:val="00574FE5"/>
    <w:rsid w:val="005750E2"/>
    <w:rsid w:val="0057570E"/>
    <w:rsid w:val="00575CA9"/>
    <w:rsid w:val="005773CD"/>
    <w:rsid w:val="00577EBE"/>
    <w:rsid w:val="00580A20"/>
    <w:rsid w:val="00580D70"/>
    <w:rsid w:val="00580DE4"/>
    <w:rsid w:val="005810D9"/>
    <w:rsid w:val="0058115B"/>
    <w:rsid w:val="0058126F"/>
    <w:rsid w:val="00581F7B"/>
    <w:rsid w:val="00582438"/>
    <w:rsid w:val="00582892"/>
    <w:rsid w:val="005830A9"/>
    <w:rsid w:val="0058377E"/>
    <w:rsid w:val="00583ED0"/>
    <w:rsid w:val="005840F2"/>
    <w:rsid w:val="005847B2"/>
    <w:rsid w:val="00585493"/>
    <w:rsid w:val="0058566A"/>
    <w:rsid w:val="00585846"/>
    <w:rsid w:val="005858F6"/>
    <w:rsid w:val="00585DB6"/>
    <w:rsid w:val="00585E8E"/>
    <w:rsid w:val="005863F3"/>
    <w:rsid w:val="005864F3"/>
    <w:rsid w:val="005866C6"/>
    <w:rsid w:val="00586739"/>
    <w:rsid w:val="0058692E"/>
    <w:rsid w:val="00587078"/>
    <w:rsid w:val="005873F8"/>
    <w:rsid w:val="005876CF"/>
    <w:rsid w:val="00587D4F"/>
    <w:rsid w:val="005906DF"/>
    <w:rsid w:val="00590705"/>
    <w:rsid w:val="00590B43"/>
    <w:rsid w:val="0059124B"/>
    <w:rsid w:val="00591706"/>
    <w:rsid w:val="00591709"/>
    <w:rsid w:val="00591AB0"/>
    <w:rsid w:val="005921A2"/>
    <w:rsid w:val="00592580"/>
    <w:rsid w:val="00592BA0"/>
    <w:rsid w:val="0059306F"/>
    <w:rsid w:val="0059309B"/>
    <w:rsid w:val="005931BF"/>
    <w:rsid w:val="00593416"/>
    <w:rsid w:val="0059350A"/>
    <w:rsid w:val="00593B87"/>
    <w:rsid w:val="00593F9C"/>
    <w:rsid w:val="0059441F"/>
    <w:rsid w:val="00594CCF"/>
    <w:rsid w:val="00594D1D"/>
    <w:rsid w:val="00594DFB"/>
    <w:rsid w:val="0059507A"/>
    <w:rsid w:val="005953BE"/>
    <w:rsid w:val="005959A6"/>
    <w:rsid w:val="00595FEE"/>
    <w:rsid w:val="00596193"/>
    <w:rsid w:val="005964A6"/>
    <w:rsid w:val="005969E6"/>
    <w:rsid w:val="00596D1A"/>
    <w:rsid w:val="005978D1"/>
    <w:rsid w:val="005A0206"/>
    <w:rsid w:val="005A0455"/>
    <w:rsid w:val="005A07BE"/>
    <w:rsid w:val="005A0935"/>
    <w:rsid w:val="005A106C"/>
    <w:rsid w:val="005A2002"/>
    <w:rsid w:val="005A206B"/>
    <w:rsid w:val="005A262D"/>
    <w:rsid w:val="005A3370"/>
    <w:rsid w:val="005A40A0"/>
    <w:rsid w:val="005A40E8"/>
    <w:rsid w:val="005A439F"/>
    <w:rsid w:val="005A4563"/>
    <w:rsid w:val="005A4606"/>
    <w:rsid w:val="005A4742"/>
    <w:rsid w:val="005A474D"/>
    <w:rsid w:val="005A47EA"/>
    <w:rsid w:val="005A4958"/>
    <w:rsid w:val="005A498C"/>
    <w:rsid w:val="005A52D3"/>
    <w:rsid w:val="005A54D5"/>
    <w:rsid w:val="005A558A"/>
    <w:rsid w:val="005A5EF0"/>
    <w:rsid w:val="005A5EF1"/>
    <w:rsid w:val="005A5F0D"/>
    <w:rsid w:val="005A6D07"/>
    <w:rsid w:val="005A74C7"/>
    <w:rsid w:val="005A759E"/>
    <w:rsid w:val="005B0590"/>
    <w:rsid w:val="005B07A5"/>
    <w:rsid w:val="005B0EB9"/>
    <w:rsid w:val="005B1353"/>
    <w:rsid w:val="005B1A11"/>
    <w:rsid w:val="005B1CBF"/>
    <w:rsid w:val="005B1CFA"/>
    <w:rsid w:val="005B1ED0"/>
    <w:rsid w:val="005B2058"/>
    <w:rsid w:val="005B22BA"/>
    <w:rsid w:val="005B23A9"/>
    <w:rsid w:val="005B2ADA"/>
    <w:rsid w:val="005B2B48"/>
    <w:rsid w:val="005B2DE2"/>
    <w:rsid w:val="005B2F13"/>
    <w:rsid w:val="005B2FE2"/>
    <w:rsid w:val="005B3143"/>
    <w:rsid w:val="005B3447"/>
    <w:rsid w:val="005B36CC"/>
    <w:rsid w:val="005B399D"/>
    <w:rsid w:val="005B39F5"/>
    <w:rsid w:val="005B3D56"/>
    <w:rsid w:val="005B40E1"/>
    <w:rsid w:val="005B51FA"/>
    <w:rsid w:val="005B53EC"/>
    <w:rsid w:val="005B6016"/>
    <w:rsid w:val="005B68EA"/>
    <w:rsid w:val="005B6B51"/>
    <w:rsid w:val="005B6EC1"/>
    <w:rsid w:val="005B7EEF"/>
    <w:rsid w:val="005C0034"/>
    <w:rsid w:val="005C0342"/>
    <w:rsid w:val="005C08AB"/>
    <w:rsid w:val="005C0D9A"/>
    <w:rsid w:val="005C1544"/>
    <w:rsid w:val="005C1839"/>
    <w:rsid w:val="005C19DB"/>
    <w:rsid w:val="005C1E47"/>
    <w:rsid w:val="005C2747"/>
    <w:rsid w:val="005C2ABB"/>
    <w:rsid w:val="005C2B51"/>
    <w:rsid w:val="005C2C07"/>
    <w:rsid w:val="005C2D77"/>
    <w:rsid w:val="005C2E76"/>
    <w:rsid w:val="005C2FB8"/>
    <w:rsid w:val="005C3375"/>
    <w:rsid w:val="005C37B6"/>
    <w:rsid w:val="005C3969"/>
    <w:rsid w:val="005C3E0C"/>
    <w:rsid w:val="005C423B"/>
    <w:rsid w:val="005C4731"/>
    <w:rsid w:val="005C49D4"/>
    <w:rsid w:val="005C4A4C"/>
    <w:rsid w:val="005C4C18"/>
    <w:rsid w:val="005C4FBA"/>
    <w:rsid w:val="005C56AE"/>
    <w:rsid w:val="005C5C2F"/>
    <w:rsid w:val="005C5F7F"/>
    <w:rsid w:val="005C60A7"/>
    <w:rsid w:val="005C636F"/>
    <w:rsid w:val="005C6510"/>
    <w:rsid w:val="005C674A"/>
    <w:rsid w:val="005C6CCE"/>
    <w:rsid w:val="005C6CF4"/>
    <w:rsid w:val="005C721B"/>
    <w:rsid w:val="005D05FF"/>
    <w:rsid w:val="005D086A"/>
    <w:rsid w:val="005D0998"/>
    <w:rsid w:val="005D0B86"/>
    <w:rsid w:val="005D14D7"/>
    <w:rsid w:val="005D167C"/>
    <w:rsid w:val="005D16AF"/>
    <w:rsid w:val="005D1860"/>
    <w:rsid w:val="005D199D"/>
    <w:rsid w:val="005D1D5A"/>
    <w:rsid w:val="005D25C6"/>
    <w:rsid w:val="005D2D4F"/>
    <w:rsid w:val="005D2DBA"/>
    <w:rsid w:val="005D2EFF"/>
    <w:rsid w:val="005D2FC7"/>
    <w:rsid w:val="005D3221"/>
    <w:rsid w:val="005D3298"/>
    <w:rsid w:val="005D3387"/>
    <w:rsid w:val="005D35BD"/>
    <w:rsid w:val="005D3AA5"/>
    <w:rsid w:val="005D3B85"/>
    <w:rsid w:val="005D3D57"/>
    <w:rsid w:val="005D3E98"/>
    <w:rsid w:val="005D43BB"/>
    <w:rsid w:val="005D44C8"/>
    <w:rsid w:val="005D4CB1"/>
    <w:rsid w:val="005D4DCB"/>
    <w:rsid w:val="005D4FEB"/>
    <w:rsid w:val="005D5426"/>
    <w:rsid w:val="005D573A"/>
    <w:rsid w:val="005D5911"/>
    <w:rsid w:val="005D5F2D"/>
    <w:rsid w:val="005D6BDF"/>
    <w:rsid w:val="005D7271"/>
    <w:rsid w:val="005D7414"/>
    <w:rsid w:val="005D7828"/>
    <w:rsid w:val="005D78FD"/>
    <w:rsid w:val="005D7C5F"/>
    <w:rsid w:val="005D7D99"/>
    <w:rsid w:val="005E1844"/>
    <w:rsid w:val="005E1F6C"/>
    <w:rsid w:val="005E2DC9"/>
    <w:rsid w:val="005E3532"/>
    <w:rsid w:val="005E35F8"/>
    <w:rsid w:val="005E3712"/>
    <w:rsid w:val="005E3845"/>
    <w:rsid w:val="005E4473"/>
    <w:rsid w:val="005E476B"/>
    <w:rsid w:val="005E4B27"/>
    <w:rsid w:val="005E4F05"/>
    <w:rsid w:val="005E5135"/>
    <w:rsid w:val="005E546B"/>
    <w:rsid w:val="005E55F2"/>
    <w:rsid w:val="005E5754"/>
    <w:rsid w:val="005E5908"/>
    <w:rsid w:val="005E59F4"/>
    <w:rsid w:val="005E5F5F"/>
    <w:rsid w:val="005E60A7"/>
    <w:rsid w:val="005E635C"/>
    <w:rsid w:val="005E635D"/>
    <w:rsid w:val="005E636B"/>
    <w:rsid w:val="005E685E"/>
    <w:rsid w:val="005E69CA"/>
    <w:rsid w:val="005E6B32"/>
    <w:rsid w:val="005E7899"/>
    <w:rsid w:val="005E7E10"/>
    <w:rsid w:val="005E7F3B"/>
    <w:rsid w:val="005E7F4B"/>
    <w:rsid w:val="005F0109"/>
    <w:rsid w:val="005F060C"/>
    <w:rsid w:val="005F074F"/>
    <w:rsid w:val="005F1126"/>
    <w:rsid w:val="005F1962"/>
    <w:rsid w:val="005F1B93"/>
    <w:rsid w:val="005F1CDA"/>
    <w:rsid w:val="005F2CB0"/>
    <w:rsid w:val="005F2FB1"/>
    <w:rsid w:val="005F302E"/>
    <w:rsid w:val="005F32D4"/>
    <w:rsid w:val="005F3EB4"/>
    <w:rsid w:val="005F40E3"/>
    <w:rsid w:val="005F4177"/>
    <w:rsid w:val="005F425D"/>
    <w:rsid w:val="005F43D4"/>
    <w:rsid w:val="005F5637"/>
    <w:rsid w:val="005F56A9"/>
    <w:rsid w:val="005F5D1A"/>
    <w:rsid w:val="005F6452"/>
    <w:rsid w:val="005F64BC"/>
    <w:rsid w:val="005F67FA"/>
    <w:rsid w:val="005F6FAA"/>
    <w:rsid w:val="005F786A"/>
    <w:rsid w:val="005F7AD7"/>
    <w:rsid w:val="005F7B15"/>
    <w:rsid w:val="005F7B5B"/>
    <w:rsid w:val="00600B50"/>
    <w:rsid w:val="006017B6"/>
    <w:rsid w:val="006018B6"/>
    <w:rsid w:val="00601D42"/>
    <w:rsid w:val="00602147"/>
    <w:rsid w:val="00602397"/>
    <w:rsid w:val="0060257C"/>
    <w:rsid w:val="00602827"/>
    <w:rsid w:val="00602854"/>
    <w:rsid w:val="00602AA7"/>
    <w:rsid w:val="00602AF7"/>
    <w:rsid w:val="00603D8D"/>
    <w:rsid w:val="00604566"/>
    <w:rsid w:val="00604CE3"/>
    <w:rsid w:val="006053CA"/>
    <w:rsid w:val="0060541A"/>
    <w:rsid w:val="00605A6B"/>
    <w:rsid w:val="00605F62"/>
    <w:rsid w:val="006068F4"/>
    <w:rsid w:val="006069B0"/>
    <w:rsid w:val="00606B90"/>
    <w:rsid w:val="00606ED9"/>
    <w:rsid w:val="00606F41"/>
    <w:rsid w:val="00607129"/>
    <w:rsid w:val="00610189"/>
    <w:rsid w:val="00610372"/>
    <w:rsid w:val="00610CA4"/>
    <w:rsid w:val="00611459"/>
    <w:rsid w:val="006115CB"/>
    <w:rsid w:val="0061182C"/>
    <w:rsid w:val="00611C1A"/>
    <w:rsid w:val="00612119"/>
    <w:rsid w:val="0061245D"/>
    <w:rsid w:val="00613060"/>
    <w:rsid w:val="00613087"/>
    <w:rsid w:val="00613700"/>
    <w:rsid w:val="00613AE7"/>
    <w:rsid w:val="00613BB2"/>
    <w:rsid w:val="006140A6"/>
    <w:rsid w:val="00614233"/>
    <w:rsid w:val="006144AC"/>
    <w:rsid w:val="00614CCA"/>
    <w:rsid w:val="00614E80"/>
    <w:rsid w:val="006150A1"/>
    <w:rsid w:val="00615350"/>
    <w:rsid w:val="006155E3"/>
    <w:rsid w:val="00615F64"/>
    <w:rsid w:val="0061679B"/>
    <w:rsid w:val="00616A24"/>
    <w:rsid w:val="00616D45"/>
    <w:rsid w:val="0061730D"/>
    <w:rsid w:val="0061755D"/>
    <w:rsid w:val="00617592"/>
    <w:rsid w:val="00617BB6"/>
    <w:rsid w:val="00617D1F"/>
    <w:rsid w:val="00617FDF"/>
    <w:rsid w:val="00621879"/>
    <w:rsid w:val="00621DA9"/>
    <w:rsid w:val="00621EDE"/>
    <w:rsid w:val="006228EE"/>
    <w:rsid w:val="006229D1"/>
    <w:rsid w:val="00622F4A"/>
    <w:rsid w:val="00623547"/>
    <w:rsid w:val="00623C82"/>
    <w:rsid w:val="006240FD"/>
    <w:rsid w:val="00624763"/>
    <w:rsid w:val="00624A22"/>
    <w:rsid w:val="00624DE6"/>
    <w:rsid w:val="00624E8F"/>
    <w:rsid w:val="00625334"/>
    <w:rsid w:val="00625533"/>
    <w:rsid w:val="00625850"/>
    <w:rsid w:val="00625A68"/>
    <w:rsid w:val="00625E87"/>
    <w:rsid w:val="006262CF"/>
    <w:rsid w:val="00626362"/>
    <w:rsid w:val="0062640E"/>
    <w:rsid w:val="00626A11"/>
    <w:rsid w:val="006301F4"/>
    <w:rsid w:val="0063075D"/>
    <w:rsid w:val="00630950"/>
    <w:rsid w:val="00630BC1"/>
    <w:rsid w:val="00630E1F"/>
    <w:rsid w:val="00631733"/>
    <w:rsid w:val="00631BBD"/>
    <w:rsid w:val="00631CE3"/>
    <w:rsid w:val="0063232F"/>
    <w:rsid w:val="00632B33"/>
    <w:rsid w:val="00633053"/>
    <w:rsid w:val="0063311F"/>
    <w:rsid w:val="006333EA"/>
    <w:rsid w:val="006333F9"/>
    <w:rsid w:val="00633854"/>
    <w:rsid w:val="0063387B"/>
    <w:rsid w:val="00633C01"/>
    <w:rsid w:val="00633E38"/>
    <w:rsid w:val="00634349"/>
    <w:rsid w:val="0063484A"/>
    <w:rsid w:val="00634AF0"/>
    <w:rsid w:val="00634ECA"/>
    <w:rsid w:val="00634F79"/>
    <w:rsid w:val="006355D7"/>
    <w:rsid w:val="006355F0"/>
    <w:rsid w:val="00635742"/>
    <w:rsid w:val="00635F87"/>
    <w:rsid w:val="00636336"/>
    <w:rsid w:val="00636351"/>
    <w:rsid w:val="00636577"/>
    <w:rsid w:val="00637051"/>
    <w:rsid w:val="00637171"/>
    <w:rsid w:val="006373EF"/>
    <w:rsid w:val="00637500"/>
    <w:rsid w:val="006375AC"/>
    <w:rsid w:val="00637B96"/>
    <w:rsid w:val="00637E06"/>
    <w:rsid w:val="00637F3E"/>
    <w:rsid w:val="00640112"/>
    <w:rsid w:val="00640353"/>
    <w:rsid w:val="00640499"/>
    <w:rsid w:val="0064052C"/>
    <w:rsid w:val="00640996"/>
    <w:rsid w:val="00640C2C"/>
    <w:rsid w:val="00641034"/>
    <w:rsid w:val="00641311"/>
    <w:rsid w:val="00641388"/>
    <w:rsid w:val="00641B5F"/>
    <w:rsid w:val="00641C4E"/>
    <w:rsid w:val="00641EE5"/>
    <w:rsid w:val="00641F74"/>
    <w:rsid w:val="00642ADE"/>
    <w:rsid w:val="00643072"/>
    <w:rsid w:val="006433B5"/>
    <w:rsid w:val="006436EE"/>
    <w:rsid w:val="00643782"/>
    <w:rsid w:val="00643E43"/>
    <w:rsid w:val="00644177"/>
    <w:rsid w:val="006445A6"/>
    <w:rsid w:val="00644B6C"/>
    <w:rsid w:val="006456E8"/>
    <w:rsid w:val="0064573E"/>
    <w:rsid w:val="00645F0B"/>
    <w:rsid w:val="00645FCA"/>
    <w:rsid w:val="00646353"/>
    <w:rsid w:val="00646601"/>
    <w:rsid w:val="0064670F"/>
    <w:rsid w:val="00646886"/>
    <w:rsid w:val="00646C2D"/>
    <w:rsid w:val="00646D8D"/>
    <w:rsid w:val="00647774"/>
    <w:rsid w:val="006479CF"/>
    <w:rsid w:val="006479E6"/>
    <w:rsid w:val="00647BBE"/>
    <w:rsid w:val="006501B9"/>
    <w:rsid w:val="006505C1"/>
    <w:rsid w:val="00650BD2"/>
    <w:rsid w:val="00650DF3"/>
    <w:rsid w:val="006510A8"/>
    <w:rsid w:val="00651365"/>
    <w:rsid w:val="006518D6"/>
    <w:rsid w:val="00652398"/>
    <w:rsid w:val="006528DB"/>
    <w:rsid w:val="00652A31"/>
    <w:rsid w:val="0065355A"/>
    <w:rsid w:val="0065373C"/>
    <w:rsid w:val="00653AE6"/>
    <w:rsid w:val="006541DA"/>
    <w:rsid w:val="006543FC"/>
    <w:rsid w:val="0065490E"/>
    <w:rsid w:val="0065495A"/>
    <w:rsid w:val="006549DE"/>
    <w:rsid w:val="00654A6D"/>
    <w:rsid w:val="00655689"/>
    <w:rsid w:val="006557C3"/>
    <w:rsid w:val="00655965"/>
    <w:rsid w:val="006559A4"/>
    <w:rsid w:val="00655B32"/>
    <w:rsid w:val="00655CC7"/>
    <w:rsid w:val="006565AE"/>
    <w:rsid w:val="00656BB1"/>
    <w:rsid w:val="0065700D"/>
    <w:rsid w:val="00657AA3"/>
    <w:rsid w:val="00657E92"/>
    <w:rsid w:val="006600A9"/>
    <w:rsid w:val="00660509"/>
    <w:rsid w:val="00660798"/>
    <w:rsid w:val="006607D3"/>
    <w:rsid w:val="00660E7E"/>
    <w:rsid w:val="00660EBE"/>
    <w:rsid w:val="00661506"/>
    <w:rsid w:val="00661747"/>
    <w:rsid w:val="006617CE"/>
    <w:rsid w:val="0066237F"/>
    <w:rsid w:val="00662FE2"/>
    <w:rsid w:val="00663246"/>
    <w:rsid w:val="0066369F"/>
    <w:rsid w:val="0066377A"/>
    <w:rsid w:val="00663B7A"/>
    <w:rsid w:val="00663C1E"/>
    <w:rsid w:val="00663C61"/>
    <w:rsid w:val="0066416C"/>
    <w:rsid w:val="006645A9"/>
    <w:rsid w:val="00664903"/>
    <w:rsid w:val="00664A7D"/>
    <w:rsid w:val="00664A8E"/>
    <w:rsid w:val="00664FF7"/>
    <w:rsid w:val="006651EF"/>
    <w:rsid w:val="0066623E"/>
    <w:rsid w:val="0066641D"/>
    <w:rsid w:val="00666809"/>
    <w:rsid w:val="0066685F"/>
    <w:rsid w:val="0066691F"/>
    <w:rsid w:val="00666B6E"/>
    <w:rsid w:val="00666D07"/>
    <w:rsid w:val="00666EA6"/>
    <w:rsid w:val="00667E30"/>
    <w:rsid w:val="006701D0"/>
    <w:rsid w:val="0067041B"/>
    <w:rsid w:val="006704B5"/>
    <w:rsid w:val="0067099B"/>
    <w:rsid w:val="00670CDF"/>
    <w:rsid w:val="00670FC3"/>
    <w:rsid w:val="00671076"/>
    <w:rsid w:val="006714C5"/>
    <w:rsid w:val="00671848"/>
    <w:rsid w:val="00671AD4"/>
    <w:rsid w:val="00672E9C"/>
    <w:rsid w:val="00672F15"/>
    <w:rsid w:val="0067348E"/>
    <w:rsid w:val="00673705"/>
    <w:rsid w:val="0067424E"/>
    <w:rsid w:val="00674279"/>
    <w:rsid w:val="00674334"/>
    <w:rsid w:val="00674363"/>
    <w:rsid w:val="006757D0"/>
    <w:rsid w:val="00675A31"/>
    <w:rsid w:val="00675C80"/>
    <w:rsid w:val="00675DD4"/>
    <w:rsid w:val="00675FDF"/>
    <w:rsid w:val="00676245"/>
    <w:rsid w:val="00676FB5"/>
    <w:rsid w:val="0067714A"/>
    <w:rsid w:val="00677710"/>
    <w:rsid w:val="006778AA"/>
    <w:rsid w:val="006801F4"/>
    <w:rsid w:val="00680383"/>
    <w:rsid w:val="00680584"/>
    <w:rsid w:val="00680FF3"/>
    <w:rsid w:val="0068123D"/>
    <w:rsid w:val="006815BC"/>
    <w:rsid w:val="006818AC"/>
    <w:rsid w:val="00681B27"/>
    <w:rsid w:val="00682168"/>
    <w:rsid w:val="00682707"/>
    <w:rsid w:val="006834F0"/>
    <w:rsid w:val="0068384F"/>
    <w:rsid w:val="0068396C"/>
    <w:rsid w:val="0068408E"/>
    <w:rsid w:val="006843A7"/>
    <w:rsid w:val="0068457C"/>
    <w:rsid w:val="006845B9"/>
    <w:rsid w:val="006845C6"/>
    <w:rsid w:val="00684773"/>
    <w:rsid w:val="00684CBB"/>
    <w:rsid w:val="00684DAE"/>
    <w:rsid w:val="006856B1"/>
    <w:rsid w:val="00686278"/>
    <w:rsid w:val="006863BF"/>
    <w:rsid w:val="006872CF"/>
    <w:rsid w:val="006878AE"/>
    <w:rsid w:val="00687CD8"/>
    <w:rsid w:val="0069019C"/>
    <w:rsid w:val="00690657"/>
    <w:rsid w:val="006907E8"/>
    <w:rsid w:val="0069081F"/>
    <w:rsid w:val="00690D06"/>
    <w:rsid w:val="006917CD"/>
    <w:rsid w:val="006920BC"/>
    <w:rsid w:val="00692116"/>
    <w:rsid w:val="00692418"/>
    <w:rsid w:val="00692541"/>
    <w:rsid w:val="00692934"/>
    <w:rsid w:val="00692DD4"/>
    <w:rsid w:val="0069482D"/>
    <w:rsid w:val="00694A90"/>
    <w:rsid w:val="00694D64"/>
    <w:rsid w:val="006962E2"/>
    <w:rsid w:val="006967AA"/>
    <w:rsid w:val="006967C4"/>
    <w:rsid w:val="0069686C"/>
    <w:rsid w:val="00697658"/>
    <w:rsid w:val="00697855"/>
    <w:rsid w:val="0069786D"/>
    <w:rsid w:val="006A0074"/>
    <w:rsid w:val="006A0352"/>
    <w:rsid w:val="006A0997"/>
    <w:rsid w:val="006A150D"/>
    <w:rsid w:val="006A15AE"/>
    <w:rsid w:val="006A1741"/>
    <w:rsid w:val="006A1D1B"/>
    <w:rsid w:val="006A20AF"/>
    <w:rsid w:val="006A2283"/>
    <w:rsid w:val="006A23AC"/>
    <w:rsid w:val="006A2C19"/>
    <w:rsid w:val="006A2C96"/>
    <w:rsid w:val="006A36FA"/>
    <w:rsid w:val="006A3A07"/>
    <w:rsid w:val="006A3DC5"/>
    <w:rsid w:val="006A41B4"/>
    <w:rsid w:val="006A4431"/>
    <w:rsid w:val="006A46BC"/>
    <w:rsid w:val="006A56F1"/>
    <w:rsid w:val="006A59FE"/>
    <w:rsid w:val="006A6617"/>
    <w:rsid w:val="006A6A56"/>
    <w:rsid w:val="006A6F85"/>
    <w:rsid w:val="006A71B1"/>
    <w:rsid w:val="006A7591"/>
    <w:rsid w:val="006A7DDF"/>
    <w:rsid w:val="006B035D"/>
    <w:rsid w:val="006B07C9"/>
    <w:rsid w:val="006B0903"/>
    <w:rsid w:val="006B0A90"/>
    <w:rsid w:val="006B0AB2"/>
    <w:rsid w:val="006B0B36"/>
    <w:rsid w:val="006B11E9"/>
    <w:rsid w:val="006B2847"/>
    <w:rsid w:val="006B2F7F"/>
    <w:rsid w:val="006B330C"/>
    <w:rsid w:val="006B3C3E"/>
    <w:rsid w:val="006B41D5"/>
    <w:rsid w:val="006B4591"/>
    <w:rsid w:val="006B4643"/>
    <w:rsid w:val="006B495B"/>
    <w:rsid w:val="006B4B24"/>
    <w:rsid w:val="006B5046"/>
    <w:rsid w:val="006B506C"/>
    <w:rsid w:val="006B5195"/>
    <w:rsid w:val="006B559A"/>
    <w:rsid w:val="006B626A"/>
    <w:rsid w:val="006B641C"/>
    <w:rsid w:val="006B6B0B"/>
    <w:rsid w:val="006B6BF5"/>
    <w:rsid w:val="006B71B4"/>
    <w:rsid w:val="006B7440"/>
    <w:rsid w:val="006B7548"/>
    <w:rsid w:val="006B7782"/>
    <w:rsid w:val="006C0325"/>
    <w:rsid w:val="006C0389"/>
    <w:rsid w:val="006C0603"/>
    <w:rsid w:val="006C07C1"/>
    <w:rsid w:val="006C098B"/>
    <w:rsid w:val="006C0A80"/>
    <w:rsid w:val="006C0E39"/>
    <w:rsid w:val="006C0F0A"/>
    <w:rsid w:val="006C15E5"/>
    <w:rsid w:val="006C2273"/>
    <w:rsid w:val="006C2291"/>
    <w:rsid w:val="006C22A3"/>
    <w:rsid w:val="006C23F6"/>
    <w:rsid w:val="006C295D"/>
    <w:rsid w:val="006C29AA"/>
    <w:rsid w:val="006C29D9"/>
    <w:rsid w:val="006C2DF2"/>
    <w:rsid w:val="006C301D"/>
    <w:rsid w:val="006C3488"/>
    <w:rsid w:val="006C3691"/>
    <w:rsid w:val="006C3B7A"/>
    <w:rsid w:val="006C3BCE"/>
    <w:rsid w:val="006C4CFB"/>
    <w:rsid w:val="006C4FB3"/>
    <w:rsid w:val="006C522F"/>
    <w:rsid w:val="006C53CC"/>
    <w:rsid w:val="006C555A"/>
    <w:rsid w:val="006C5582"/>
    <w:rsid w:val="006C55EA"/>
    <w:rsid w:val="006C5817"/>
    <w:rsid w:val="006C594C"/>
    <w:rsid w:val="006C6160"/>
    <w:rsid w:val="006C6E58"/>
    <w:rsid w:val="006C6EDA"/>
    <w:rsid w:val="006C79CF"/>
    <w:rsid w:val="006C7CCE"/>
    <w:rsid w:val="006C7F18"/>
    <w:rsid w:val="006D031B"/>
    <w:rsid w:val="006D034A"/>
    <w:rsid w:val="006D20FD"/>
    <w:rsid w:val="006D260A"/>
    <w:rsid w:val="006D2C8E"/>
    <w:rsid w:val="006D2E07"/>
    <w:rsid w:val="006D3248"/>
    <w:rsid w:val="006D3619"/>
    <w:rsid w:val="006D40A2"/>
    <w:rsid w:val="006D4297"/>
    <w:rsid w:val="006D4626"/>
    <w:rsid w:val="006D46B0"/>
    <w:rsid w:val="006D53C1"/>
    <w:rsid w:val="006D58B1"/>
    <w:rsid w:val="006D5BF2"/>
    <w:rsid w:val="006D5EBB"/>
    <w:rsid w:val="006D5F78"/>
    <w:rsid w:val="006D6078"/>
    <w:rsid w:val="006D6471"/>
    <w:rsid w:val="006D67C7"/>
    <w:rsid w:val="006D6CFA"/>
    <w:rsid w:val="006D744A"/>
    <w:rsid w:val="006D7713"/>
    <w:rsid w:val="006D77D5"/>
    <w:rsid w:val="006D7B78"/>
    <w:rsid w:val="006D7BDE"/>
    <w:rsid w:val="006D7C66"/>
    <w:rsid w:val="006E015D"/>
    <w:rsid w:val="006E05C1"/>
    <w:rsid w:val="006E0947"/>
    <w:rsid w:val="006E0F9A"/>
    <w:rsid w:val="006E1A4D"/>
    <w:rsid w:val="006E1A7B"/>
    <w:rsid w:val="006E242C"/>
    <w:rsid w:val="006E27F9"/>
    <w:rsid w:val="006E2C3C"/>
    <w:rsid w:val="006E32B2"/>
    <w:rsid w:val="006E368E"/>
    <w:rsid w:val="006E3D7A"/>
    <w:rsid w:val="006E45EA"/>
    <w:rsid w:val="006E48B3"/>
    <w:rsid w:val="006E49ED"/>
    <w:rsid w:val="006E4B27"/>
    <w:rsid w:val="006E4C27"/>
    <w:rsid w:val="006E4C9A"/>
    <w:rsid w:val="006E5065"/>
    <w:rsid w:val="006E5184"/>
    <w:rsid w:val="006E5308"/>
    <w:rsid w:val="006E5721"/>
    <w:rsid w:val="006E61E7"/>
    <w:rsid w:val="006E62C4"/>
    <w:rsid w:val="006E633D"/>
    <w:rsid w:val="006E6390"/>
    <w:rsid w:val="006E63A4"/>
    <w:rsid w:val="006E64B2"/>
    <w:rsid w:val="006E68A3"/>
    <w:rsid w:val="006E6F3E"/>
    <w:rsid w:val="006E7C8B"/>
    <w:rsid w:val="006E7E19"/>
    <w:rsid w:val="006F001A"/>
    <w:rsid w:val="006F0123"/>
    <w:rsid w:val="006F02EC"/>
    <w:rsid w:val="006F0641"/>
    <w:rsid w:val="006F098F"/>
    <w:rsid w:val="006F0DE8"/>
    <w:rsid w:val="006F1003"/>
    <w:rsid w:val="006F129D"/>
    <w:rsid w:val="006F15D3"/>
    <w:rsid w:val="006F1968"/>
    <w:rsid w:val="006F19F7"/>
    <w:rsid w:val="006F1DAF"/>
    <w:rsid w:val="006F1DBF"/>
    <w:rsid w:val="006F266E"/>
    <w:rsid w:val="006F26E5"/>
    <w:rsid w:val="006F2D43"/>
    <w:rsid w:val="006F31D6"/>
    <w:rsid w:val="006F3917"/>
    <w:rsid w:val="006F3ADC"/>
    <w:rsid w:val="006F3EDA"/>
    <w:rsid w:val="006F47DC"/>
    <w:rsid w:val="006F4A99"/>
    <w:rsid w:val="006F4C57"/>
    <w:rsid w:val="006F4C62"/>
    <w:rsid w:val="006F4CCE"/>
    <w:rsid w:val="006F4DF6"/>
    <w:rsid w:val="006F5020"/>
    <w:rsid w:val="006F5C61"/>
    <w:rsid w:val="006F613C"/>
    <w:rsid w:val="006F65FE"/>
    <w:rsid w:val="006F6657"/>
    <w:rsid w:val="006F6A09"/>
    <w:rsid w:val="006F7241"/>
    <w:rsid w:val="006F73D4"/>
    <w:rsid w:val="006F7B5E"/>
    <w:rsid w:val="006F7FB4"/>
    <w:rsid w:val="00700AC0"/>
    <w:rsid w:val="00700F5C"/>
    <w:rsid w:val="00700FCB"/>
    <w:rsid w:val="0070122F"/>
    <w:rsid w:val="00701524"/>
    <w:rsid w:val="00701652"/>
    <w:rsid w:val="00701818"/>
    <w:rsid w:val="00701A4A"/>
    <w:rsid w:val="00701B5B"/>
    <w:rsid w:val="00701B89"/>
    <w:rsid w:val="0070297A"/>
    <w:rsid w:val="00702A12"/>
    <w:rsid w:val="00702A7E"/>
    <w:rsid w:val="00703250"/>
    <w:rsid w:val="0070356E"/>
    <w:rsid w:val="00704231"/>
    <w:rsid w:val="007046DB"/>
    <w:rsid w:val="00705146"/>
    <w:rsid w:val="0070678F"/>
    <w:rsid w:val="00707102"/>
    <w:rsid w:val="00707164"/>
    <w:rsid w:val="00707870"/>
    <w:rsid w:val="00707A24"/>
    <w:rsid w:val="00710082"/>
    <w:rsid w:val="007104AD"/>
    <w:rsid w:val="00710C72"/>
    <w:rsid w:val="00711294"/>
    <w:rsid w:val="007112AA"/>
    <w:rsid w:val="007112C1"/>
    <w:rsid w:val="00711B0B"/>
    <w:rsid w:val="007121F5"/>
    <w:rsid w:val="007123A1"/>
    <w:rsid w:val="00712913"/>
    <w:rsid w:val="00712A7A"/>
    <w:rsid w:val="00712D37"/>
    <w:rsid w:val="00712F25"/>
    <w:rsid w:val="00712F83"/>
    <w:rsid w:val="007131E1"/>
    <w:rsid w:val="00713468"/>
    <w:rsid w:val="00713B50"/>
    <w:rsid w:val="00713DB6"/>
    <w:rsid w:val="0071460A"/>
    <w:rsid w:val="00714F2B"/>
    <w:rsid w:val="00715990"/>
    <w:rsid w:val="00715CF9"/>
    <w:rsid w:val="00716345"/>
    <w:rsid w:val="0071646F"/>
    <w:rsid w:val="00716F05"/>
    <w:rsid w:val="0071704B"/>
    <w:rsid w:val="0071754E"/>
    <w:rsid w:val="00717708"/>
    <w:rsid w:val="00717730"/>
    <w:rsid w:val="00717BC7"/>
    <w:rsid w:val="00720419"/>
    <w:rsid w:val="0072138B"/>
    <w:rsid w:val="007213D9"/>
    <w:rsid w:val="00721CBC"/>
    <w:rsid w:val="00722364"/>
    <w:rsid w:val="0072293A"/>
    <w:rsid w:val="00722B5E"/>
    <w:rsid w:val="00722BE9"/>
    <w:rsid w:val="00722D55"/>
    <w:rsid w:val="00722DEA"/>
    <w:rsid w:val="00722F5F"/>
    <w:rsid w:val="007231FB"/>
    <w:rsid w:val="00723242"/>
    <w:rsid w:val="007241D3"/>
    <w:rsid w:val="007248D2"/>
    <w:rsid w:val="00724C75"/>
    <w:rsid w:val="00724CBB"/>
    <w:rsid w:val="00724CEB"/>
    <w:rsid w:val="00725048"/>
    <w:rsid w:val="0072561A"/>
    <w:rsid w:val="00725B61"/>
    <w:rsid w:val="0072678D"/>
    <w:rsid w:val="007268F3"/>
    <w:rsid w:val="00726FD2"/>
    <w:rsid w:val="00727342"/>
    <w:rsid w:val="00727349"/>
    <w:rsid w:val="00727579"/>
    <w:rsid w:val="007277F1"/>
    <w:rsid w:val="00727AF9"/>
    <w:rsid w:val="00727CF3"/>
    <w:rsid w:val="00727FBC"/>
    <w:rsid w:val="00730482"/>
    <w:rsid w:val="0073053E"/>
    <w:rsid w:val="00730732"/>
    <w:rsid w:val="0073074F"/>
    <w:rsid w:val="007309FB"/>
    <w:rsid w:val="00730CEA"/>
    <w:rsid w:val="00730F74"/>
    <w:rsid w:val="0073103A"/>
    <w:rsid w:val="0073151E"/>
    <w:rsid w:val="00731E65"/>
    <w:rsid w:val="00732427"/>
    <w:rsid w:val="007327DF"/>
    <w:rsid w:val="00732B28"/>
    <w:rsid w:val="00732DBA"/>
    <w:rsid w:val="00733320"/>
    <w:rsid w:val="00733656"/>
    <w:rsid w:val="00733C39"/>
    <w:rsid w:val="00733E2D"/>
    <w:rsid w:val="00734649"/>
    <w:rsid w:val="00734F63"/>
    <w:rsid w:val="00735308"/>
    <w:rsid w:val="00735341"/>
    <w:rsid w:val="00735563"/>
    <w:rsid w:val="00735666"/>
    <w:rsid w:val="00735A66"/>
    <w:rsid w:val="00735B29"/>
    <w:rsid w:val="00735D73"/>
    <w:rsid w:val="00736A75"/>
    <w:rsid w:val="00736D86"/>
    <w:rsid w:val="00736E2C"/>
    <w:rsid w:val="0073775E"/>
    <w:rsid w:val="007379D1"/>
    <w:rsid w:val="00737B29"/>
    <w:rsid w:val="00737C5A"/>
    <w:rsid w:val="00741754"/>
    <w:rsid w:val="00741F52"/>
    <w:rsid w:val="0074204D"/>
    <w:rsid w:val="00742A70"/>
    <w:rsid w:val="00742A7A"/>
    <w:rsid w:val="00742AB7"/>
    <w:rsid w:val="00742ACF"/>
    <w:rsid w:val="00742BCD"/>
    <w:rsid w:val="00742D71"/>
    <w:rsid w:val="0074303D"/>
    <w:rsid w:val="00743B09"/>
    <w:rsid w:val="00744594"/>
    <w:rsid w:val="00744D8E"/>
    <w:rsid w:val="00745478"/>
    <w:rsid w:val="00745801"/>
    <w:rsid w:val="00745B3F"/>
    <w:rsid w:val="00745B74"/>
    <w:rsid w:val="00745DB6"/>
    <w:rsid w:val="00745E69"/>
    <w:rsid w:val="007463C5"/>
    <w:rsid w:val="0074686D"/>
    <w:rsid w:val="00746D53"/>
    <w:rsid w:val="007470D1"/>
    <w:rsid w:val="00747240"/>
    <w:rsid w:val="00747DEF"/>
    <w:rsid w:val="00747E16"/>
    <w:rsid w:val="007511F6"/>
    <w:rsid w:val="00751576"/>
    <w:rsid w:val="007515E7"/>
    <w:rsid w:val="00751B35"/>
    <w:rsid w:val="00751C15"/>
    <w:rsid w:val="00751C5D"/>
    <w:rsid w:val="00751CF3"/>
    <w:rsid w:val="00752028"/>
    <w:rsid w:val="00752185"/>
    <w:rsid w:val="0075240C"/>
    <w:rsid w:val="00752737"/>
    <w:rsid w:val="00752996"/>
    <w:rsid w:val="00753066"/>
    <w:rsid w:val="00753320"/>
    <w:rsid w:val="00753534"/>
    <w:rsid w:val="007537C8"/>
    <w:rsid w:val="00753C91"/>
    <w:rsid w:val="00753F04"/>
    <w:rsid w:val="00753F18"/>
    <w:rsid w:val="00753F51"/>
    <w:rsid w:val="00753F59"/>
    <w:rsid w:val="00754271"/>
    <w:rsid w:val="00754305"/>
    <w:rsid w:val="007544AE"/>
    <w:rsid w:val="00754776"/>
    <w:rsid w:val="00755275"/>
    <w:rsid w:val="00755999"/>
    <w:rsid w:val="00755F11"/>
    <w:rsid w:val="0075641F"/>
    <w:rsid w:val="00756497"/>
    <w:rsid w:val="00756A07"/>
    <w:rsid w:val="00756A26"/>
    <w:rsid w:val="00756AEF"/>
    <w:rsid w:val="0075746E"/>
    <w:rsid w:val="00757538"/>
    <w:rsid w:val="00757746"/>
    <w:rsid w:val="00760599"/>
    <w:rsid w:val="007608FD"/>
    <w:rsid w:val="00760A88"/>
    <w:rsid w:val="00760BEB"/>
    <w:rsid w:val="00760E28"/>
    <w:rsid w:val="00760EB4"/>
    <w:rsid w:val="00760F66"/>
    <w:rsid w:val="007617A6"/>
    <w:rsid w:val="00761AFD"/>
    <w:rsid w:val="00761E11"/>
    <w:rsid w:val="00761E1E"/>
    <w:rsid w:val="007623ED"/>
    <w:rsid w:val="00762BE0"/>
    <w:rsid w:val="00762CD7"/>
    <w:rsid w:val="00762E6C"/>
    <w:rsid w:val="00763171"/>
    <w:rsid w:val="00763517"/>
    <w:rsid w:val="007639D9"/>
    <w:rsid w:val="00763B32"/>
    <w:rsid w:val="00763BC3"/>
    <w:rsid w:val="00763C8D"/>
    <w:rsid w:val="007643CA"/>
    <w:rsid w:val="0076493D"/>
    <w:rsid w:val="00765129"/>
    <w:rsid w:val="007651D9"/>
    <w:rsid w:val="0076547C"/>
    <w:rsid w:val="00765725"/>
    <w:rsid w:val="00765B37"/>
    <w:rsid w:val="00766028"/>
    <w:rsid w:val="007664CB"/>
    <w:rsid w:val="00766801"/>
    <w:rsid w:val="00766AFE"/>
    <w:rsid w:val="00766D8F"/>
    <w:rsid w:val="00767163"/>
    <w:rsid w:val="0076719C"/>
    <w:rsid w:val="007675BC"/>
    <w:rsid w:val="00767726"/>
    <w:rsid w:val="00767A6C"/>
    <w:rsid w:val="00767E82"/>
    <w:rsid w:val="00770467"/>
    <w:rsid w:val="0077046B"/>
    <w:rsid w:val="007705A3"/>
    <w:rsid w:val="007708C4"/>
    <w:rsid w:val="007709F2"/>
    <w:rsid w:val="00770BAC"/>
    <w:rsid w:val="00770DC3"/>
    <w:rsid w:val="00771107"/>
    <w:rsid w:val="00771125"/>
    <w:rsid w:val="007717A0"/>
    <w:rsid w:val="00771893"/>
    <w:rsid w:val="00771A5F"/>
    <w:rsid w:val="00771FE7"/>
    <w:rsid w:val="0077210C"/>
    <w:rsid w:val="007725D3"/>
    <w:rsid w:val="0077261A"/>
    <w:rsid w:val="00772975"/>
    <w:rsid w:val="00772CAC"/>
    <w:rsid w:val="00772F5E"/>
    <w:rsid w:val="007730F2"/>
    <w:rsid w:val="007735B2"/>
    <w:rsid w:val="00774980"/>
    <w:rsid w:val="007751B6"/>
    <w:rsid w:val="0077532E"/>
    <w:rsid w:val="007753C0"/>
    <w:rsid w:val="0077544E"/>
    <w:rsid w:val="0077560A"/>
    <w:rsid w:val="007757CF"/>
    <w:rsid w:val="00775CE4"/>
    <w:rsid w:val="00775FA4"/>
    <w:rsid w:val="007760DE"/>
    <w:rsid w:val="0077656C"/>
    <w:rsid w:val="007765C3"/>
    <w:rsid w:val="0077693C"/>
    <w:rsid w:val="00776B10"/>
    <w:rsid w:val="00776CD1"/>
    <w:rsid w:val="00776FAF"/>
    <w:rsid w:val="00777112"/>
    <w:rsid w:val="007771CA"/>
    <w:rsid w:val="0077725A"/>
    <w:rsid w:val="0077767B"/>
    <w:rsid w:val="00777DA5"/>
    <w:rsid w:val="007802EE"/>
    <w:rsid w:val="0078031F"/>
    <w:rsid w:val="007803A0"/>
    <w:rsid w:val="00780746"/>
    <w:rsid w:val="007807B8"/>
    <w:rsid w:val="00780974"/>
    <w:rsid w:val="00780FC9"/>
    <w:rsid w:val="007810DA"/>
    <w:rsid w:val="007819A1"/>
    <w:rsid w:val="00781A80"/>
    <w:rsid w:val="00781B87"/>
    <w:rsid w:val="00781C45"/>
    <w:rsid w:val="00781DBF"/>
    <w:rsid w:val="00781EA4"/>
    <w:rsid w:val="00783209"/>
    <w:rsid w:val="007846EF"/>
    <w:rsid w:val="00784788"/>
    <w:rsid w:val="0078491E"/>
    <w:rsid w:val="00785419"/>
    <w:rsid w:val="007854C5"/>
    <w:rsid w:val="00785E02"/>
    <w:rsid w:val="00786519"/>
    <w:rsid w:val="00786C54"/>
    <w:rsid w:val="00786DA1"/>
    <w:rsid w:val="0078702C"/>
    <w:rsid w:val="00787165"/>
    <w:rsid w:val="0079035F"/>
    <w:rsid w:val="00790540"/>
    <w:rsid w:val="0079056C"/>
    <w:rsid w:val="0079065E"/>
    <w:rsid w:val="007908E7"/>
    <w:rsid w:val="007909C2"/>
    <w:rsid w:val="00790A62"/>
    <w:rsid w:val="00790BE1"/>
    <w:rsid w:val="00790CC0"/>
    <w:rsid w:val="00790D28"/>
    <w:rsid w:val="00790D4D"/>
    <w:rsid w:val="00790DA5"/>
    <w:rsid w:val="00790EF3"/>
    <w:rsid w:val="00790F3D"/>
    <w:rsid w:val="007923B1"/>
    <w:rsid w:val="00792735"/>
    <w:rsid w:val="007928B5"/>
    <w:rsid w:val="00792F1D"/>
    <w:rsid w:val="00792F44"/>
    <w:rsid w:val="00793051"/>
    <w:rsid w:val="007934A1"/>
    <w:rsid w:val="007937E8"/>
    <w:rsid w:val="00793E8E"/>
    <w:rsid w:val="00793EC6"/>
    <w:rsid w:val="00793FA5"/>
    <w:rsid w:val="007945CF"/>
    <w:rsid w:val="00794702"/>
    <w:rsid w:val="007948FB"/>
    <w:rsid w:val="00794E4C"/>
    <w:rsid w:val="00795019"/>
    <w:rsid w:val="007951B7"/>
    <w:rsid w:val="0079534E"/>
    <w:rsid w:val="00795AB6"/>
    <w:rsid w:val="00795C62"/>
    <w:rsid w:val="00796817"/>
    <w:rsid w:val="00796D68"/>
    <w:rsid w:val="00797063"/>
    <w:rsid w:val="00797A35"/>
    <w:rsid w:val="00797A6B"/>
    <w:rsid w:val="00797B8C"/>
    <w:rsid w:val="00797CE3"/>
    <w:rsid w:val="00797D89"/>
    <w:rsid w:val="00797E27"/>
    <w:rsid w:val="007A0423"/>
    <w:rsid w:val="007A06E7"/>
    <w:rsid w:val="007A09D9"/>
    <w:rsid w:val="007A0C82"/>
    <w:rsid w:val="007A0F26"/>
    <w:rsid w:val="007A2065"/>
    <w:rsid w:val="007A2336"/>
    <w:rsid w:val="007A2C6D"/>
    <w:rsid w:val="007A2D51"/>
    <w:rsid w:val="007A358D"/>
    <w:rsid w:val="007A3637"/>
    <w:rsid w:val="007A36D6"/>
    <w:rsid w:val="007A37B1"/>
    <w:rsid w:val="007A3869"/>
    <w:rsid w:val="007A39F3"/>
    <w:rsid w:val="007A3BBF"/>
    <w:rsid w:val="007A3E9F"/>
    <w:rsid w:val="007A4DE1"/>
    <w:rsid w:val="007A5B97"/>
    <w:rsid w:val="007A60A7"/>
    <w:rsid w:val="007A6CFB"/>
    <w:rsid w:val="007A7245"/>
    <w:rsid w:val="007A755C"/>
    <w:rsid w:val="007A7B2E"/>
    <w:rsid w:val="007A7B43"/>
    <w:rsid w:val="007A7BC5"/>
    <w:rsid w:val="007B09AF"/>
    <w:rsid w:val="007B0C05"/>
    <w:rsid w:val="007B1700"/>
    <w:rsid w:val="007B1787"/>
    <w:rsid w:val="007B1D7A"/>
    <w:rsid w:val="007B1DF9"/>
    <w:rsid w:val="007B21C2"/>
    <w:rsid w:val="007B384C"/>
    <w:rsid w:val="007B3D38"/>
    <w:rsid w:val="007B3DB3"/>
    <w:rsid w:val="007B406D"/>
    <w:rsid w:val="007B4469"/>
    <w:rsid w:val="007B4FFF"/>
    <w:rsid w:val="007B5154"/>
    <w:rsid w:val="007B5CFE"/>
    <w:rsid w:val="007B6171"/>
    <w:rsid w:val="007B648B"/>
    <w:rsid w:val="007B6679"/>
    <w:rsid w:val="007B66F2"/>
    <w:rsid w:val="007B6763"/>
    <w:rsid w:val="007B7211"/>
    <w:rsid w:val="007B7411"/>
    <w:rsid w:val="007B7BEC"/>
    <w:rsid w:val="007C03CC"/>
    <w:rsid w:val="007C056B"/>
    <w:rsid w:val="007C0E5B"/>
    <w:rsid w:val="007C0EA5"/>
    <w:rsid w:val="007C0F5C"/>
    <w:rsid w:val="007C0FD3"/>
    <w:rsid w:val="007C123F"/>
    <w:rsid w:val="007C16D1"/>
    <w:rsid w:val="007C16D4"/>
    <w:rsid w:val="007C176A"/>
    <w:rsid w:val="007C18E7"/>
    <w:rsid w:val="007C19C0"/>
    <w:rsid w:val="007C1BD4"/>
    <w:rsid w:val="007C1D82"/>
    <w:rsid w:val="007C1E0C"/>
    <w:rsid w:val="007C2238"/>
    <w:rsid w:val="007C3770"/>
    <w:rsid w:val="007C3938"/>
    <w:rsid w:val="007C3EBE"/>
    <w:rsid w:val="007C4A6C"/>
    <w:rsid w:val="007C4ED9"/>
    <w:rsid w:val="007C52D1"/>
    <w:rsid w:val="007C5666"/>
    <w:rsid w:val="007C59ED"/>
    <w:rsid w:val="007C713E"/>
    <w:rsid w:val="007C78FD"/>
    <w:rsid w:val="007C7A07"/>
    <w:rsid w:val="007D02A7"/>
    <w:rsid w:val="007D11B9"/>
    <w:rsid w:val="007D198F"/>
    <w:rsid w:val="007D21A7"/>
    <w:rsid w:val="007D28EC"/>
    <w:rsid w:val="007D2AE9"/>
    <w:rsid w:val="007D2C6E"/>
    <w:rsid w:val="007D33AB"/>
    <w:rsid w:val="007D3CBE"/>
    <w:rsid w:val="007D3E2F"/>
    <w:rsid w:val="007D3E77"/>
    <w:rsid w:val="007D40B2"/>
    <w:rsid w:val="007D41C9"/>
    <w:rsid w:val="007D42E8"/>
    <w:rsid w:val="007D448C"/>
    <w:rsid w:val="007D4642"/>
    <w:rsid w:val="007D4869"/>
    <w:rsid w:val="007D498F"/>
    <w:rsid w:val="007D4BEA"/>
    <w:rsid w:val="007D4F7B"/>
    <w:rsid w:val="007D5B7E"/>
    <w:rsid w:val="007D622C"/>
    <w:rsid w:val="007D652C"/>
    <w:rsid w:val="007D6AAA"/>
    <w:rsid w:val="007D6C61"/>
    <w:rsid w:val="007D6D6E"/>
    <w:rsid w:val="007D6F87"/>
    <w:rsid w:val="007D78F4"/>
    <w:rsid w:val="007D79FD"/>
    <w:rsid w:val="007E04D5"/>
    <w:rsid w:val="007E0C9D"/>
    <w:rsid w:val="007E0D96"/>
    <w:rsid w:val="007E0ED5"/>
    <w:rsid w:val="007E0F95"/>
    <w:rsid w:val="007E13D0"/>
    <w:rsid w:val="007E1462"/>
    <w:rsid w:val="007E15AF"/>
    <w:rsid w:val="007E16DE"/>
    <w:rsid w:val="007E16FC"/>
    <w:rsid w:val="007E17A2"/>
    <w:rsid w:val="007E17CC"/>
    <w:rsid w:val="007E1ABF"/>
    <w:rsid w:val="007E1CFF"/>
    <w:rsid w:val="007E2007"/>
    <w:rsid w:val="007E2383"/>
    <w:rsid w:val="007E26BD"/>
    <w:rsid w:val="007E2D94"/>
    <w:rsid w:val="007E36B5"/>
    <w:rsid w:val="007E3C0B"/>
    <w:rsid w:val="007E3ED3"/>
    <w:rsid w:val="007E4723"/>
    <w:rsid w:val="007E5134"/>
    <w:rsid w:val="007E51E4"/>
    <w:rsid w:val="007E5A44"/>
    <w:rsid w:val="007E5DB8"/>
    <w:rsid w:val="007E5E5B"/>
    <w:rsid w:val="007E6317"/>
    <w:rsid w:val="007E65CF"/>
    <w:rsid w:val="007E6D05"/>
    <w:rsid w:val="007E7CF4"/>
    <w:rsid w:val="007F05C2"/>
    <w:rsid w:val="007F0609"/>
    <w:rsid w:val="007F09F9"/>
    <w:rsid w:val="007F0C15"/>
    <w:rsid w:val="007F0DEF"/>
    <w:rsid w:val="007F13BF"/>
    <w:rsid w:val="007F14B9"/>
    <w:rsid w:val="007F16DC"/>
    <w:rsid w:val="007F17D1"/>
    <w:rsid w:val="007F199B"/>
    <w:rsid w:val="007F1A42"/>
    <w:rsid w:val="007F1D8F"/>
    <w:rsid w:val="007F2123"/>
    <w:rsid w:val="007F21D9"/>
    <w:rsid w:val="007F301F"/>
    <w:rsid w:val="007F31FE"/>
    <w:rsid w:val="007F3D44"/>
    <w:rsid w:val="007F3E88"/>
    <w:rsid w:val="007F4895"/>
    <w:rsid w:val="007F497E"/>
    <w:rsid w:val="007F4D96"/>
    <w:rsid w:val="007F5255"/>
    <w:rsid w:val="007F54E1"/>
    <w:rsid w:val="007F5601"/>
    <w:rsid w:val="007F5AD7"/>
    <w:rsid w:val="007F5EA8"/>
    <w:rsid w:val="007F5FDD"/>
    <w:rsid w:val="007F608C"/>
    <w:rsid w:val="007F663E"/>
    <w:rsid w:val="007F6D8A"/>
    <w:rsid w:val="007F6F12"/>
    <w:rsid w:val="007F6FCA"/>
    <w:rsid w:val="007F7192"/>
    <w:rsid w:val="007F78F9"/>
    <w:rsid w:val="0080012F"/>
    <w:rsid w:val="008001E8"/>
    <w:rsid w:val="00800816"/>
    <w:rsid w:val="00800C81"/>
    <w:rsid w:val="00800C82"/>
    <w:rsid w:val="00800D20"/>
    <w:rsid w:val="0080137A"/>
    <w:rsid w:val="00801489"/>
    <w:rsid w:val="0080175F"/>
    <w:rsid w:val="00801AB4"/>
    <w:rsid w:val="00801B81"/>
    <w:rsid w:val="0080273B"/>
    <w:rsid w:val="0080277F"/>
    <w:rsid w:val="0080286D"/>
    <w:rsid w:val="00802B61"/>
    <w:rsid w:val="00802E21"/>
    <w:rsid w:val="0080335F"/>
    <w:rsid w:val="008034FB"/>
    <w:rsid w:val="00803BAD"/>
    <w:rsid w:val="00803E9F"/>
    <w:rsid w:val="00805222"/>
    <w:rsid w:val="00805298"/>
    <w:rsid w:val="008054F6"/>
    <w:rsid w:val="008056F9"/>
    <w:rsid w:val="00805C91"/>
    <w:rsid w:val="00805E58"/>
    <w:rsid w:val="008061DD"/>
    <w:rsid w:val="00806394"/>
    <w:rsid w:val="00806DDA"/>
    <w:rsid w:val="008073A3"/>
    <w:rsid w:val="008102C4"/>
    <w:rsid w:val="00810894"/>
    <w:rsid w:val="00810C5D"/>
    <w:rsid w:val="00811184"/>
    <w:rsid w:val="0081140E"/>
    <w:rsid w:val="0081165E"/>
    <w:rsid w:val="00811E13"/>
    <w:rsid w:val="00811FC3"/>
    <w:rsid w:val="00812374"/>
    <w:rsid w:val="00812C22"/>
    <w:rsid w:val="008131BC"/>
    <w:rsid w:val="0081344F"/>
    <w:rsid w:val="00813A05"/>
    <w:rsid w:val="00813B0E"/>
    <w:rsid w:val="00813E12"/>
    <w:rsid w:val="0081435B"/>
    <w:rsid w:val="0081454F"/>
    <w:rsid w:val="00814956"/>
    <w:rsid w:val="008158A1"/>
    <w:rsid w:val="00815978"/>
    <w:rsid w:val="00815C58"/>
    <w:rsid w:val="00815D76"/>
    <w:rsid w:val="00815DBD"/>
    <w:rsid w:val="008165EA"/>
    <w:rsid w:val="00816621"/>
    <w:rsid w:val="0081681A"/>
    <w:rsid w:val="00816C12"/>
    <w:rsid w:val="00816D67"/>
    <w:rsid w:val="0081767E"/>
    <w:rsid w:val="00817CC4"/>
    <w:rsid w:val="00820088"/>
    <w:rsid w:val="00820346"/>
    <w:rsid w:val="008205A1"/>
    <w:rsid w:val="00820697"/>
    <w:rsid w:val="0082090D"/>
    <w:rsid w:val="00820929"/>
    <w:rsid w:val="00820A50"/>
    <w:rsid w:val="0082105A"/>
    <w:rsid w:val="0082106E"/>
    <w:rsid w:val="008211EC"/>
    <w:rsid w:val="00821847"/>
    <w:rsid w:val="00821E11"/>
    <w:rsid w:val="008221A6"/>
    <w:rsid w:val="008224E3"/>
    <w:rsid w:val="008225CC"/>
    <w:rsid w:val="00822BB6"/>
    <w:rsid w:val="00822D81"/>
    <w:rsid w:val="008238A7"/>
    <w:rsid w:val="00823AEA"/>
    <w:rsid w:val="00823EBA"/>
    <w:rsid w:val="008255E4"/>
    <w:rsid w:val="00825ABE"/>
    <w:rsid w:val="00825F80"/>
    <w:rsid w:val="00826D59"/>
    <w:rsid w:val="008273F7"/>
    <w:rsid w:val="00827406"/>
    <w:rsid w:val="008278E8"/>
    <w:rsid w:val="00827A15"/>
    <w:rsid w:val="00827B9E"/>
    <w:rsid w:val="00827CB3"/>
    <w:rsid w:val="00827FED"/>
    <w:rsid w:val="008306D5"/>
    <w:rsid w:val="008307C1"/>
    <w:rsid w:val="00830836"/>
    <w:rsid w:val="00831029"/>
    <w:rsid w:val="0083171A"/>
    <w:rsid w:val="00832061"/>
    <w:rsid w:val="00832866"/>
    <w:rsid w:val="00832B55"/>
    <w:rsid w:val="008333A6"/>
    <w:rsid w:val="00833452"/>
    <w:rsid w:val="00833D0C"/>
    <w:rsid w:val="00833E2B"/>
    <w:rsid w:val="00833F1A"/>
    <w:rsid w:val="008341B2"/>
    <w:rsid w:val="00834422"/>
    <w:rsid w:val="00834A61"/>
    <w:rsid w:val="00835256"/>
    <w:rsid w:val="00835730"/>
    <w:rsid w:val="00835B67"/>
    <w:rsid w:val="00835C19"/>
    <w:rsid w:val="00835D5C"/>
    <w:rsid w:val="00835F32"/>
    <w:rsid w:val="00835F86"/>
    <w:rsid w:val="00836F01"/>
    <w:rsid w:val="00837133"/>
    <w:rsid w:val="008371C6"/>
    <w:rsid w:val="00837580"/>
    <w:rsid w:val="00837970"/>
    <w:rsid w:val="00837F14"/>
    <w:rsid w:val="00840155"/>
    <w:rsid w:val="0084021E"/>
    <w:rsid w:val="008405DE"/>
    <w:rsid w:val="008407AE"/>
    <w:rsid w:val="00840B29"/>
    <w:rsid w:val="008410EE"/>
    <w:rsid w:val="00842028"/>
    <w:rsid w:val="0084209D"/>
    <w:rsid w:val="0084260B"/>
    <w:rsid w:val="00842613"/>
    <w:rsid w:val="00842E1C"/>
    <w:rsid w:val="00843012"/>
    <w:rsid w:val="00843684"/>
    <w:rsid w:val="008438FC"/>
    <w:rsid w:val="00844A43"/>
    <w:rsid w:val="00844DBF"/>
    <w:rsid w:val="008450C2"/>
    <w:rsid w:val="0084513C"/>
    <w:rsid w:val="00845966"/>
    <w:rsid w:val="008459DB"/>
    <w:rsid w:val="00845A48"/>
    <w:rsid w:val="008468EA"/>
    <w:rsid w:val="008471C3"/>
    <w:rsid w:val="00847312"/>
    <w:rsid w:val="008474F6"/>
    <w:rsid w:val="00847C93"/>
    <w:rsid w:val="008504B2"/>
    <w:rsid w:val="008507DD"/>
    <w:rsid w:val="00850A53"/>
    <w:rsid w:val="00850EBA"/>
    <w:rsid w:val="00851D52"/>
    <w:rsid w:val="00851EB1"/>
    <w:rsid w:val="008520CC"/>
    <w:rsid w:val="00852639"/>
    <w:rsid w:val="00852C61"/>
    <w:rsid w:val="00852CBC"/>
    <w:rsid w:val="00852D11"/>
    <w:rsid w:val="00852D19"/>
    <w:rsid w:val="00853B47"/>
    <w:rsid w:val="00853DD7"/>
    <w:rsid w:val="00853E36"/>
    <w:rsid w:val="0085425C"/>
    <w:rsid w:val="00854445"/>
    <w:rsid w:val="008544EC"/>
    <w:rsid w:val="00854A41"/>
    <w:rsid w:val="00854DDD"/>
    <w:rsid w:val="00855132"/>
    <w:rsid w:val="0085561D"/>
    <w:rsid w:val="00855C98"/>
    <w:rsid w:val="00856223"/>
    <w:rsid w:val="008566B6"/>
    <w:rsid w:val="008567C4"/>
    <w:rsid w:val="00856E65"/>
    <w:rsid w:val="00856EFF"/>
    <w:rsid w:val="008572DB"/>
    <w:rsid w:val="00857370"/>
    <w:rsid w:val="00860F74"/>
    <w:rsid w:val="00861E37"/>
    <w:rsid w:val="00861E63"/>
    <w:rsid w:val="0086288B"/>
    <w:rsid w:val="00862A29"/>
    <w:rsid w:val="00862F55"/>
    <w:rsid w:val="00863BFE"/>
    <w:rsid w:val="00864756"/>
    <w:rsid w:val="008648EA"/>
    <w:rsid w:val="00864F99"/>
    <w:rsid w:val="00865E80"/>
    <w:rsid w:val="00866097"/>
    <w:rsid w:val="00866588"/>
    <w:rsid w:val="00866D25"/>
    <w:rsid w:val="00866F10"/>
    <w:rsid w:val="008670C3"/>
    <w:rsid w:val="008673D9"/>
    <w:rsid w:val="0086765D"/>
    <w:rsid w:val="00867859"/>
    <w:rsid w:val="00867E66"/>
    <w:rsid w:val="00867FE2"/>
    <w:rsid w:val="00870890"/>
    <w:rsid w:val="00870A43"/>
    <w:rsid w:val="00870D3E"/>
    <w:rsid w:val="008711FE"/>
    <w:rsid w:val="008712D4"/>
    <w:rsid w:val="00871E25"/>
    <w:rsid w:val="00871ED7"/>
    <w:rsid w:val="00872BF2"/>
    <w:rsid w:val="0087363E"/>
    <w:rsid w:val="008737D4"/>
    <w:rsid w:val="00873CB1"/>
    <w:rsid w:val="00873F4C"/>
    <w:rsid w:val="008740E8"/>
    <w:rsid w:val="008743B4"/>
    <w:rsid w:val="00874798"/>
    <w:rsid w:val="00874C9D"/>
    <w:rsid w:val="00874F7A"/>
    <w:rsid w:val="008750B7"/>
    <w:rsid w:val="008752E5"/>
    <w:rsid w:val="00875382"/>
    <w:rsid w:val="008756BC"/>
    <w:rsid w:val="00875958"/>
    <w:rsid w:val="0087597C"/>
    <w:rsid w:val="008759B7"/>
    <w:rsid w:val="00875B78"/>
    <w:rsid w:val="0087604D"/>
    <w:rsid w:val="0087684F"/>
    <w:rsid w:val="00876B5D"/>
    <w:rsid w:val="00876D64"/>
    <w:rsid w:val="0087702A"/>
    <w:rsid w:val="008772B6"/>
    <w:rsid w:val="00877368"/>
    <w:rsid w:val="00877781"/>
    <w:rsid w:val="00880B97"/>
    <w:rsid w:val="00880CA2"/>
    <w:rsid w:val="008813B3"/>
    <w:rsid w:val="0088144C"/>
    <w:rsid w:val="0088177B"/>
    <w:rsid w:val="00882042"/>
    <w:rsid w:val="008822C9"/>
    <w:rsid w:val="008827A0"/>
    <w:rsid w:val="00882A02"/>
    <w:rsid w:val="00882BF2"/>
    <w:rsid w:val="00883046"/>
    <w:rsid w:val="00883A32"/>
    <w:rsid w:val="00883DDC"/>
    <w:rsid w:val="00884219"/>
    <w:rsid w:val="00884381"/>
    <w:rsid w:val="00885011"/>
    <w:rsid w:val="008852F7"/>
    <w:rsid w:val="00885AAE"/>
    <w:rsid w:val="00885C01"/>
    <w:rsid w:val="0088633F"/>
    <w:rsid w:val="0088638C"/>
    <w:rsid w:val="008865DD"/>
    <w:rsid w:val="00886604"/>
    <w:rsid w:val="00886DE7"/>
    <w:rsid w:val="0088734E"/>
    <w:rsid w:val="0088789C"/>
    <w:rsid w:val="00887CB7"/>
    <w:rsid w:val="0089094E"/>
    <w:rsid w:val="00890D57"/>
    <w:rsid w:val="00890EF7"/>
    <w:rsid w:val="00890F22"/>
    <w:rsid w:val="0089122E"/>
    <w:rsid w:val="0089165B"/>
    <w:rsid w:val="00891716"/>
    <w:rsid w:val="00891CCF"/>
    <w:rsid w:val="00891FBC"/>
    <w:rsid w:val="008921A2"/>
    <w:rsid w:val="008922DA"/>
    <w:rsid w:val="00892595"/>
    <w:rsid w:val="00892B4F"/>
    <w:rsid w:val="00892F6E"/>
    <w:rsid w:val="0089306C"/>
    <w:rsid w:val="00893351"/>
    <w:rsid w:val="008937B7"/>
    <w:rsid w:val="00893EC0"/>
    <w:rsid w:val="00894461"/>
    <w:rsid w:val="0089452D"/>
    <w:rsid w:val="00894AFC"/>
    <w:rsid w:val="00894B35"/>
    <w:rsid w:val="00894C9D"/>
    <w:rsid w:val="008954D0"/>
    <w:rsid w:val="00895589"/>
    <w:rsid w:val="00895651"/>
    <w:rsid w:val="00895821"/>
    <w:rsid w:val="0089636B"/>
    <w:rsid w:val="00896594"/>
    <w:rsid w:val="00896923"/>
    <w:rsid w:val="00896A6B"/>
    <w:rsid w:val="00896BF1"/>
    <w:rsid w:val="00897067"/>
    <w:rsid w:val="00897A98"/>
    <w:rsid w:val="00897DFC"/>
    <w:rsid w:val="008A0266"/>
    <w:rsid w:val="008A0283"/>
    <w:rsid w:val="008A02F6"/>
    <w:rsid w:val="008A0695"/>
    <w:rsid w:val="008A0D8B"/>
    <w:rsid w:val="008A1902"/>
    <w:rsid w:val="008A1996"/>
    <w:rsid w:val="008A1A7A"/>
    <w:rsid w:val="008A22B6"/>
    <w:rsid w:val="008A23C8"/>
    <w:rsid w:val="008A2933"/>
    <w:rsid w:val="008A3CB6"/>
    <w:rsid w:val="008A3DC1"/>
    <w:rsid w:val="008A3E7B"/>
    <w:rsid w:val="008A3EBF"/>
    <w:rsid w:val="008A4692"/>
    <w:rsid w:val="008A4828"/>
    <w:rsid w:val="008A4F24"/>
    <w:rsid w:val="008A50E7"/>
    <w:rsid w:val="008A570E"/>
    <w:rsid w:val="008A5966"/>
    <w:rsid w:val="008A5D60"/>
    <w:rsid w:val="008A62E2"/>
    <w:rsid w:val="008A63D5"/>
    <w:rsid w:val="008A648A"/>
    <w:rsid w:val="008A65D2"/>
    <w:rsid w:val="008A662E"/>
    <w:rsid w:val="008A69F8"/>
    <w:rsid w:val="008A6A20"/>
    <w:rsid w:val="008A6DA6"/>
    <w:rsid w:val="008A71C9"/>
    <w:rsid w:val="008A73E1"/>
    <w:rsid w:val="008A780B"/>
    <w:rsid w:val="008A7B49"/>
    <w:rsid w:val="008A7E94"/>
    <w:rsid w:val="008A7ED2"/>
    <w:rsid w:val="008B02CF"/>
    <w:rsid w:val="008B03A1"/>
    <w:rsid w:val="008B0448"/>
    <w:rsid w:val="008B0FFF"/>
    <w:rsid w:val="008B11C2"/>
    <w:rsid w:val="008B138A"/>
    <w:rsid w:val="008B141C"/>
    <w:rsid w:val="008B196D"/>
    <w:rsid w:val="008B1C35"/>
    <w:rsid w:val="008B1CC9"/>
    <w:rsid w:val="008B1E74"/>
    <w:rsid w:val="008B20FA"/>
    <w:rsid w:val="008B21A6"/>
    <w:rsid w:val="008B2516"/>
    <w:rsid w:val="008B2F4A"/>
    <w:rsid w:val="008B328D"/>
    <w:rsid w:val="008B3481"/>
    <w:rsid w:val="008B3B66"/>
    <w:rsid w:val="008B3C95"/>
    <w:rsid w:val="008B3CF4"/>
    <w:rsid w:val="008B44FD"/>
    <w:rsid w:val="008B4CB5"/>
    <w:rsid w:val="008B4D16"/>
    <w:rsid w:val="008B5444"/>
    <w:rsid w:val="008B554F"/>
    <w:rsid w:val="008B5967"/>
    <w:rsid w:val="008B5AFF"/>
    <w:rsid w:val="008B5B5E"/>
    <w:rsid w:val="008B5B8C"/>
    <w:rsid w:val="008B5B8F"/>
    <w:rsid w:val="008B5C58"/>
    <w:rsid w:val="008B648C"/>
    <w:rsid w:val="008B6709"/>
    <w:rsid w:val="008B6C85"/>
    <w:rsid w:val="008B6D78"/>
    <w:rsid w:val="008B6F7A"/>
    <w:rsid w:val="008B702F"/>
    <w:rsid w:val="008B7062"/>
    <w:rsid w:val="008B7277"/>
    <w:rsid w:val="008B72BE"/>
    <w:rsid w:val="008C0446"/>
    <w:rsid w:val="008C068D"/>
    <w:rsid w:val="008C1616"/>
    <w:rsid w:val="008C1E41"/>
    <w:rsid w:val="008C22D5"/>
    <w:rsid w:val="008C23A3"/>
    <w:rsid w:val="008C2543"/>
    <w:rsid w:val="008C2607"/>
    <w:rsid w:val="008C2C43"/>
    <w:rsid w:val="008C3236"/>
    <w:rsid w:val="008C3485"/>
    <w:rsid w:val="008C3555"/>
    <w:rsid w:val="008C3C58"/>
    <w:rsid w:val="008C4191"/>
    <w:rsid w:val="008C4657"/>
    <w:rsid w:val="008C46E3"/>
    <w:rsid w:val="008C472B"/>
    <w:rsid w:val="008C4A28"/>
    <w:rsid w:val="008C4D00"/>
    <w:rsid w:val="008C5A9B"/>
    <w:rsid w:val="008C6845"/>
    <w:rsid w:val="008C6DF6"/>
    <w:rsid w:val="008C6F7A"/>
    <w:rsid w:val="008C7148"/>
    <w:rsid w:val="008C7192"/>
    <w:rsid w:val="008C7455"/>
    <w:rsid w:val="008C7546"/>
    <w:rsid w:val="008C7869"/>
    <w:rsid w:val="008C7A72"/>
    <w:rsid w:val="008C7A7A"/>
    <w:rsid w:val="008D0028"/>
    <w:rsid w:val="008D0195"/>
    <w:rsid w:val="008D0515"/>
    <w:rsid w:val="008D09E8"/>
    <w:rsid w:val="008D0FBE"/>
    <w:rsid w:val="008D1348"/>
    <w:rsid w:val="008D13D0"/>
    <w:rsid w:val="008D1441"/>
    <w:rsid w:val="008D17BE"/>
    <w:rsid w:val="008D182E"/>
    <w:rsid w:val="008D1FF2"/>
    <w:rsid w:val="008D20E7"/>
    <w:rsid w:val="008D2160"/>
    <w:rsid w:val="008D23DB"/>
    <w:rsid w:val="008D2B63"/>
    <w:rsid w:val="008D2E8C"/>
    <w:rsid w:val="008D2ED2"/>
    <w:rsid w:val="008D2FB8"/>
    <w:rsid w:val="008D3C6B"/>
    <w:rsid w:val="008D402F"/>
    <w:rsid w:val="008D41D7"/>
    <w:rsid w:val="008D42A4"/>
    <w:rsid w:val="008D44F6"/>
    <w:rsid w:val="008D4AFE"/>
    <w:rsid w:val="008D4B88"/>
    <w:rsid w:val="008D4FD8"/>
    <w:rsid w:val="008D52FB"/>
    <w:rsid w:val="008D537D"/>
    <w:rsid w:val="008D547B"/>
    <w:rsid w:val="008D5617"/>
    <w:rsid w:val="008D56D3"/>
    <w:rsid w:val="008D66D2"/>
    <w:rsid w:val="008D6804"/>
    <w:rsid w:val="008D6935"/>
    <w:rsid w:val="008D6D2B"/>
    <w:rsid w:val="008D77C7"/>
    <w:rsid w:val="008D798A"/>
    <w:rsid w:val="008D7A2B"/>
    <w:rsid w:val="008D7A6B"/>
    <w:rsid w:val="008D7D35"/>
    <w:rsid w:val="008E08DA"/>
    <w:rsid w:val="008E0A2D"/>
    <w:rsid w:val="008E0A6B"/>
    <w:rsid w:val="008E12AD"/>
    <w:rsid w:val="008E1785"/>
    <w:rsid w:val="008E1793"/>
    <w:rsid w:val="008E19A3"/>
    <w:rsid w:val="008E2110"/>
    <w:rsid w:val="008E2914"/>
    <w:rsid w:val="008E2AA3"/>
    <w:rsid w:val="008E2BFB"/>
    <w:rsid w:val="008E2D81"/>
    <w:rsid w:val="008E3105"/>
    <w:rsid w:val="008E320F"/>
    <w:rsid w:val="008E3569"/>
    <w:rsid w:val="008E3721"/>
    <w:rsid w:val="008E450B"/>
    <w:rsid w:val="008E47C5"/>
    <w:rsid w:val="008E4F4E"/>
    <w:rsid w:val="008E5161"/>
    <w:rsid w:val="008E5361"/>
    <w:rsid w:val="008E5504"/>
    <w:rsid w:val="008E6283"/>
    <w:rsid w:val="008E660F"/>
    <w:rsid w:val="008E6694"/>
    <w:rsid w:val="008E6772"/>
    <w:rsid w:val="008E6D7F"/>
    <w:rsid w:val="008E73C2"/>
    <w:rsid w:val="008E7A5E"/>
    <w:rsid w:val="008E7CF7"/>
    <w:rsid w:val="008F0353"/>
    <w:rsid w:val="008F0514"/>
    <w:rsid w:val="008F051E"/>
    <w:rsid w:val="008F062A"/>
    <w:rsid w:val="008F0D86"/>
    <w:rsid w:val="008F0ED5"/>
    <w:rsid w:val="008F0F6B"/>
    <w:rsid w:val="008F14DC"/>
    <w:rsid w:val="008F1537"/>
    <w:rsid w:val="008F1E55"/>
    <w:rsid w:val="008F1E76"/>
    <w:rsid w:val="008F1FAA"/>
    <w:rsid w:val="008F2C06"/>
    <w:rsid w:val="008F2ED5"/>
    <w:rsid w:val="008F2FAC"/>
    <w:rsid w:val="008F2FF5"/>
    <w:rsid w:val="008F342A"/>
    <w:rsid w:val="008F35D7"/>
    <w:rsid w:val="008F3BBD"/>
    <w:rsid w:val="008F3ECD"/>
    <w:rsid w:val="008F45B4"/>
    <w:rsid w:val="008F4784"/>
    <w:rsid w:val="008F5516"/>
    <w:rsid w:val="008F58B4"/>
    <w:rsid w:val="008F5A11"/>
    <w:rsid w:val="008F6B91"/>
    <w:rsid w:val="008F7022"/>
    <w:rsid w:val="008F70E4"/>
    <w:rsid w:val="008F7136"/>
    <w:rsid w:val="008F79AF"/>
    <w:rsid w:val="008F7D66"/>
    <w:rsid w:val="008F7E30"/>
    <w:rsid w:val="009001FC"/>
    <w:rsid w:val="0090031C"/>
    <w:rsid w:val="009005B0"/>
    <w:rsid w:val="009006CC"/>
    <w:rsid w:val="009009AF"/>
    <w:rsid w:val="00900E38"/>
    <w:rsid w:val="00900FFF"/>
    <w:rsid w:val="00901051"/>
    <w:rsid w:val="009010B8"/>
    <w:rsid w:val="00901271"/>
    <w:rsid w:val="0090173E"/>
    <w:rsid w:val="00901CF9"/>
    <w:rsid w:val="00902732"/>
    <w:rsid w:val="00902733"/>
    <w:rsid w:val="00902944"/>
    <w:rsid w:val="0090297A"/>
    <w:rsid w:val="00902DDD"/>
    <w:rsid w:val="00902E26"/>
    <w:rsid w:val="00903030"/>
    <w:rsid w:val="0090356D"/>
    <w:rsid w:val="0090356E"/>
    <w:rsid w:val="009037A0"/>
    <w:rsid w:val="00903AA6"/>
    <w:rsid w:val="00904C38"/>
    <w:rsid w:val="00905074"/>
    <w:rsid w:val="00905078"/>
    <w:rsid w:val="009052E2"/>
    <w:rsid w:val="0090595B"/>
    <w:rsid w:val="00905EAB"/>
    <w:rsid w:val="00906122"/>
    <w:rsid w:val="009061C4"/>
    <w:rsid w:val="0090671C"/>
    <w:rsid w:val="00906A13"/>
    <w:rsid w:val="00906D14"/>
    <w:rsid w:val="00906EB1"/>
    <w:rsid w:val="0090765A"/>
    <w:rsid w:val="00907CE5"/>
    <w:rsid w:val="00910298"/>
    <w:rsid w:val="00910819"/>
    <w:rsid w:val="00910D5E"/>
    <w:rsid w:val="009110C9"/>
    <w:rsid w:val="00912151"/>
    <w:rsid w:val="00912AF1"/>
    <w:rsid w:val="0091386F"/>
    <w:rsid w:val="00913EF6"/>
    <w:rsid w:val="00914E39"/>
    <w:rsid w:val="00914EEF"/>
    <w:rsid w:val="00914F04"/>
    <w:rsid w:val="009156F6"/>
    <w:rsid w:val="00915B26"/>
    <w:rsid w:val="00915D68"/>
    <w:rsid w:val="00915EAD"/>
    <w:rsid w:val="0091605F"/>
    <w:rsid w:val="009165A9"/>
    <w:rsid w:val="009166A2"/>
    <w:rsid w:val="00916A8D"/>
    <w:rsid w:val="00916D03"/>
    <w:rsid w:val="00916FF0"/>
    <w:rsid w:val="009179FE"/>
    <w:rsid w:val="009202EF"/>
    <w:rsid w:val="009206C5"/>
    <w:rsid w:val="0092092A"/>
    <w:rsid w:val="00920AF5"/>
    <w:rsid w:val="00920B09"/>
    <w:rsid w:val="0092117A"/>
    <w:rsid w:val="009216E4"/>
    <w:rsid w:val="00921D4E"/>
    <w:rsid w:val="00921D95"/>
    <w:rsid w:val="00921E51"/>
    <w:rsid w:val="009220A4"/>
    <w:rsid w:val="00922736"/>
    <w:rsid w:val="00922A10"/>
    <w:rsid w:val="00922E41"/>
    <w:rsid w:val="00923158"/>
    <w:rsid w:val="009232C1"/>
    <w:rsid w:val="009235B7"/>
    <w:rsid w:val="009235CF"/>
    <w:rsid w:val="00923704"/>
    <w:rsid w:val="0092483D"/>
    <w:rsid w:val="009249A6"/>
    <w:rsid w:val="00924A32"/>
    <w:rsid w:val="00924AA5"/>
    <w:rsid w:val="009259BC"/>
    <w:rsid w:val="00925BA4"/>
    <w:rsid w:val="00925C2F"/>
    <w:rsid w:val="00925DB2"/>
    <w:rsid w:val="00926359"/>
    <w:rsid w:val="00926A2E"/>
    <w:rsid w:val="00926DF1"/>
    <w:rsid w:val="00926E17"/>
    <w:rsid w:val="00927362"/>
    <w:rsid w:val="00927909"/>
    <w:rsid w:val="00927C92"/>
    <w:rsid w:val="009309B4"/>
    <w:rsid w:val="00930B66"/>
    <w:rsid w:val="009312A5"/>
    <w:rsid w:val="00932270"/>
    <w:rsid w:val="00932517"/>
    <w:rsid w:val="00932740"/>
    <w:rsid w:val="00932939"/>
    <w:rsid w:val="0093293B"/>
    <w:rsid w:val="00932B94"/>
    <w:rsid w:val="00932CA0"/>
    <w:rsid w:val="009334D4"/>
    <w:rsid w:val="00933B07"/>
    <w:rsid w:val="00933B64"/>
    <w:rsid w:val="00933F04"/>
    <w:rsid w:val="0093403C"/>
    <w:rsid w:val="0093406E"/>
    <w:rsid w:val="009345A3"/>
    <w:rsid w:val="009345F2"/>
    <w:rsid w:val="00935500"/>
    <w:rsid w:val="00935613"/>
    <w:rsid w:val="00936CF5"/>
    <w:rsid w:val="00937114"/>
    <w:rsid w:val="009373B7"/>
    <w:rsid w:val="0093741B"/>
    <w:rsid w:val="009375A7"/>
    <w:rsid w:val="0093789C"/>
    <w:rsid w:val="00937D20"/>
    <w:rsid w:val="00937D6D"/>
    <w:rsid w:val="0094039B"/>
    <w:rsid w:val="009404E9"/>
    <w:rsid w:val="00940894"/>
    <w:rsid w:val="0094094E"/>
    <w:rsid w:val="00941237"/>
    <w:rsid w:val="009415F8"/>
    <w:rsid w:val="00941B4B"/>
    <w:rsid w:val="00942301"/>
    <w:rsid w:val="00942A87"/>
    <w:rsid w:val="00942AE7"/>
    <w:rsid w:val="00942C21"/>
    <w:rsid w:val="00942E1F"/>
    <w:rsid w:val="00942E9A"/>
    <w:rsid w:val="00943919"/>
    <w:rsid w:val="00943DCF"/>
    <w:rsid w:val="00944106"/>
    <w:rsid w:val="00944E4B"/>
    <w:rsid w:val="00944F36"/>
    <w:rsid w:val="009450D3"/>
    <w:rsid w:val="00945569"/>
    <w:rsid w:val="0094561F"/>
    <w:rsid w:val="0094594C"/>
    <w:rsid w:val="009459CB"/>
    <w:rsid w:val="0094631C"/>
    <w:rsid w:val="009464FF"/>
    <w:rsid w:val="00946567"/>
    <w:rsid w:val="00946DAC"/>
    <w:rsid w:val="00947255"/>
    <w:rsid w:val="009473D9"/>
    <w:rsid w:val="00947AAD"/>
    <w:rsid w:val="00947B12"/>
    <w:rsid w:val="00947DD5"/>
    <w:rsid w:val="009502C4"/>
    <w:rsid w:val="0095036B"/>
    <w:rsid w:val="00950847"/>
    <w:rsid w:val="00951443"/>
    <w:rsid w:val="00951479"/>
    <w:rsid w:val="00951532"/>
    <w:rsid w:val="00951C78"/>
    <w:rsid w:val="00951DC8"/>
    <w:rsid w:val="009522FE"/>
    <w:rsid w:val="00952B17"/>
    <w:rsid w:val="00952DF8"/>
    <w:rsid w:val="009534F5"/>
    <w:rsid w:val="009537DA"/>
    <w:rsid w:val="00953B12"/>
    <w:rsid w:val="0095422B"/>
    <w:rsid w:val="00954B14"/>
    <w:rsid w:val="00954CFE"/>
    <w:rsid w:val="00955091"/>
    <w:rsid w:val="009552C4"/>
    <w:rsid w:val="00955576"/>
    <w:rsid w:val="00955D42"/>
    <w:rsid w:val="0095689A"/>
    <w:rsid w:val="00956942"/>
    <w:rsid w:val="00956AFC"/>
    <w:rsid w:val="00957028"/>
    <w:rsid w:val="00957040"/>
    <w:rsid w:val="00957193"/>
    <w:rsid w:val="00957BA2"/>
    <w:rsid w:val="00957C06"/>
    <w:rsid w:val="00957FCB"/>
    <w:rsid w:val="0096018C"/>
    <w:rsid w:val="0096070F"/>
    <w:rsid w:val="0096126E"/>
    <w:rsid w:val="00962166"/>
    <w:rsid w:val="00962474"/>
    <w:rsid w:val="00962535"/>
    <w:rsid w:val="00962BAB"/>
    <w:rsid w:val="00962D8E"/>
    <w:rsid w:val="00962EE5"/>
    <w:rsid w:val="00963FB5"/>
    <w:rsid w:val="0096473F"/>
    <w:rsid w:val="00964A97"/>
    <w:rsid w:val="00964B99"/>
    <w:rsid w:val="00965136"/>
    <w:rsid w:val="009654A4"/>
    <w:rsid w:val="00965ADB"/>
    <w:rsid w:val="00965AF5"/>
    <w:rsid w:val="00965D78"/>
    <w:rsid w:val="00965F98"/>
    <w:rsid w:val="00966536"/>
    <w:rsid w:val="0096667F"/>
    <w:rsid w:val="009668B4"/>
    <w:rsid w:val="00966B5D"/>
    <w:rsid w:val="009671E4"/>
    <w:rsid w:val="00967214"/>
    <w:rsid w:val="00967AEE"/>
    <w:rsid w:val="00967F0A"/>
    <w:rsid w:val="009703E9"/>
    <w:rsid w:val="00970641"/>
    <w:rsid w:val="00970F82"/>
    <w:rsid w:val="009710DD"/>
    <w:rsid w:val="00971A4F"/>
    <w:rsid w:val="00971C63"/>
    <w:rsid w:val="00971F7E"/>
    <w:rsid w:val="00972403"/>
    <w:rsid w:val="0097249D"/>
    <w:rsid w:val="0097255D"/>
    <w:rsid w:val="00972D03"/>
    <w:rsid w:val="009733F7"/>
    <w:rsid w:val="009734DE"/>
    <w:rsid w:val="00973A38"/>
    <w:rsid w:val="00973C41"/>
    <w:rsid w:val="00973D26"/>
    <w:rsid w:val="00973EA3"/>
    <w:rsid w:val="0097425A"/>
    <w:rsid w:val="0097432D"/>
    <w:rsid w:val="00974943"/>
    <w:rsid w:val="00974D5C"/>
    <w:rsid w:val="00975387"/>
    <w:rsid w:val="0097577A"/>
    <w:rsid w:val="00976089"/>
    <w:rsid w:val="009770ED"/>
    <w:rsid w:val="009772B3"/>
    <w:rsid w:val="00977788"/>
    <w:rsid w:val="00977F68"/>
    <w:rsid w:val="009805A4"/>
    <w:rsid w:val="009806CD"/>
    <w:rsid w:val="009808CF"/>
    <w:rsid w:val="00980A4A"/>
    <w:rsid w:val="00981054"/>
    <w:rsid w:val="00981593"/>
    <w:rsid w:val="00981635"/>
    <w:rsid w:val="009817B5"/>
    <w:rsid w:val="00981C1D"/>
    <w:rsid w:val="00981CA1"/>
    <w:rsid w:val="00981CB8"/>
    <w:rsid w:val="00981D38"/>
    <w:rsid w:val="009825C4"/>
    <w:rsid w:val="00982CEC"/>
    <w:rsid w:val="00982DE5"/>
    <w:rsid w:val="00983017"/>
    <w:rsid w:val="00983624"/>
    <w:rsid w:val="009837F2"/>
    <w:rsid w:val="0098388D"/>
    <w:rsid w:val="00983C7D"/>
    <w:rsid w:val="0098429E"/>
    <w:rsid w:val="00984D7A"/>
    <w:rsid w:val="00984FD8"/>
    <w:rsid w:val="009856DB"/>
    <w:rsid w:val="00985864"/>
    <w:rsid w:val="0098591B"/>
    <w:rsid w:val="009859D0"/>
    <w:rsid w:val="00985B7E"/>
    <w:rsid w:val="00985BBE"/>
    <w:rsid w:val="00985CCA"/>
    <w:rsid w:val="00985ECA"/>
    <w:rsid w:val="0098650E"/>
    <w:rsid w:val="0098650F"/>
    <w:rsid w:val="00986793"/>
    <w:rsid w:val="00986AE9"/>
    <w:rsid w:val="00986B18"/>
    <w:rsid w:val="0098715E"/>
    <w:rsid w:val="009872C5"/>
    <w:rsid w:val="00987CA6"/>
    <w:rsid w:val="00987CAB"/>
    <w:rsid w:val="00987CBA"/>
    <w:rsid w:val="00987DB3"/>
    <w:rsid w:val="00990012"/>
    <w:rsid w:val="009905B2"/>
    <w:rsid w:val="00990628"/>
    <w:rsid w:val="00990788"/>
    <w:rsid w:val="00990826"/>
    <w:rsid w:val="009909DE"/>
    <w:rsid w:val="00990E04"/>
    <w:rsid w:val="0099169B"/>
    <w:rsid w:val="00991719"/>
    <w:rsid w:val="009918D3"/>
    <w:rsid w:val="00992678"/>
    <w:rsid w:val="00992BE4"/>
    <w:rsid w:val="00992EA0"/>
    <w:rsid w:val="0099356E"/>
    <w:rsid w:val="009938FB"/>
    <w:rsid w:val="00993F4B"/>
    <w:rsid w:val="00994884"/>
    <w:rsid w:val="009949EB"/>
    <w:rsid w:val="00994AC8"/>
    <w:rsid w:val="00994BAE"/>
    <w:rsid w:val="009959DC"/>
    <w:rsid w:val="00995F0C"/>
    <w:rsid w:val="00996320"/>
    <w:rsid w:val="00996379"/>
    <w:rsid w:val="009965C2"/>
    <w:rsid w:val="00996827"/>
    <w:rsid w:val="00996858"/>
    <w:rsid w:val="00996B6A"/>
    <w:rsid w:val="0099765F"/>
    <w:rsid w:val="00997F9B"/>
    <w:rsid w:val="00997FBF"/>
    <w:rsid w:val="009A0166"/>
    <w:rsid w:val="009A02EE"/>
    <w:rsid w:val="009A044C"/>
    <w:rsid w:val="009A065F"/>
    <w:rsid w:val="009A09B6"/>
    <w:rsid w:val="009A0AAD"/>
    <w:rsid w:val="009A0C9C"/>
    <w:rsid w:val="009A0DCE"/>
    <w:rsid w:val="009A1EBC"/>
    <w:rsid w:val="009A1FF9"/>
    <w:rsid w:val="009A205D"/>
    <w:rsid w:val="009A21C5"/>
    <w:rsid w:val="009A21E4"/>
    <w:rsid w:val="009A2267"/>
    <w:rsid w:val="009A259A"/>
    <w:rsid w:val="009A2987"/>
    <w:rsid w:val="009A29A4"/>
    <w:rsid w:val="009A3037"/>
    <w:rsid w:val="009A3277"/>
    <w:rsid w:val="009A33DB"/>
    <w:rsid w:val="009A3643"/>
    <w:rsid w:val="009A3EAB"/>
    <w:rsid w:val="009A409F"/>
    <w:rsid w:val="009A43B2"/>
    <w:rsid w:val="009A45F6"/>
    <w:rsid w:val="009A49A9"/>
    <w:rsid w:val="009A49E3"/>
    <w:rsid w:val="009A4C44"/>
    <w:rsid w:val="009A5109"/>
    <w:rsid w:val="009A5218"/>
    <w:rsid w:val="009A53A3"/>
    <w:rsid w:val="009A5470"/>
    <w:rsid w:val="009A5DF4"/>
    <w:rsid w:val="009A5F61"/>
    <w:rsid w:val="009A63B7"/>
    <w:rsid w:val="009A6468"/>
    <w:rsid w:val="009A68C3"/>
    <w:rsid w:val="009A6BBD"/>
    <w:rsid w:val="009A6C6B"/>
    <w:rsid w:val="009A6F3A"/>
    <w:rsid w:val="009A702F"/>
    <w:rsid w:val="009A7191"/>
    <w:rsid w:val="009A72A4"/>
    <w:rsid w:val="009A7454"/>
    <w:rsid w:val="009A7776"/>
    <w:rsid w:val="009A7BC7"/>
    <w:rsid w:val="009A7C76"/>
    <w:rsid w:val="009B0CEB"/>
    <w:rsid w:val="009B118F"/>
    <w:rsid w:val="009B13C1"/>
    <w:rsid w:val="009B26B8"/>
    <w:rsid w:val="009B28EB"/>
    <w:rsid w:val="009B2971"/>
    <w:rsid w:val="009B2A2E"/>
    <w:rsid w:val="009B2C47"/>
    <w:rsid w:val="009B2DB3"/>
    <w:rsid w:val="009B3AA4"/>
    <w:rsid w:val="009B3C5C"/>
    <w:rsid w:val="009B3CF6"/>
    <w:rsid w:val="009B3E1C"/>
    <w:rsid w:val="009B3E8A"/>
    <w:rsid w:val="009B415D"/>
    <w:rsid w:val="009B4B09"/>
    <w:rsid w:val="009B4E0F"/>
    <w:rsid w:val="009B5938"/>
    <w:rsid w:val="009B5B5B"/>
    <w:rsid w:val="009B6260"/>
    <w:rsid w:val="009B632E"/>
    <w:rsid w:val="009B6C5C"/>
    <w:rsid w:val="009B6FA2"/>
    <w:rsid w:val="009B7096"/>
    <w:rsid w:val="009B7416"/>
    <w:rsid w:val="009C078F"/>
    <w:rsid w:val="009C07DD"/>
    <w:rsid w:val="009C088B"/>
    <w:rsid w:val="009C0B15"/>
    <w:rsid w:val="009C1301"/>
    <w:rsid w:val="009C14AF"/>
    <w:rsid w:val="009C14F9"/>
    <w:rsid w:val="009C16FC"/>
    <w:rsid w:val="009C1F9C"/>
    <w:rsid w:val="009C2576"/>
    <w:rsid w:val="009C2780"/>
    <w:rsid w:val="009C2816"/>
    <w:rsid w:val="009C337D"/>
    <w:rsid w:val="009C402B"/>
    <w:rsid w:val="009C43CC"/>
    <w:rsid w:val="009C4A1B"/>
    <w:rsid w:val="009C4A8C"/>
    <w:rsid w:val="009C5062"/>
    <w:rsid w:val="009C5D3D"/>
    <w:rsid w:val="009C6BD9"/>
    <w:rsid w:val="009C6F25"/>
    <w:rsid w:val="009C717D"/>
    <w:rsid w:val="009C7340"/>
    <w:rsid w:val="009C7AF8"/>
    <w:rsid w:val="009C7D51"/>
    <w:rsid w:val="009C7EC9"/>
    <w:rsid w:val="009D068F"/>
    <w:rsid w:val="009D108C"/>
    <w:rsid w:val="009D1437"/>
    <w:rsid w:val="009D1446"/>
    <w:rsid w:val="009D1C6B"/>
    <w:rsid w:val="009D2314"/>
    <w:rsid w:val="009D23D0"/>
    <w:rsid w:val="009D25E7"/>
    <w:rsid w:val="009D2706"/>
    <w:rsid w:val="009D291C"/>
    <w:rsid w:val="009D2C42"/>
    <w:rsid w:val="009D2E86"/>
    <w:rsid w:val="009D333E"/>
    <w:rsid w:val="009D4572"/>
    <w:rsid w:val="009D4A60"/>
    <w:rsid w:val="009D4D50"/>
    <w:rsid w:val="009D50E3"/>
    <w:rsid w:val="009D53F7"/>
    <w:rsid w:val="009D5E34"/>
    <w:rsid w:val="009D63B7"/>
    <w:rsid w:val="009D63F5"/>
    <w:rsid w:val="009D6FC7"/>
    <w:rsid w:val="009D6FE7"/>
    <w:rsid w:val="009D723E"/>
    <w:rsid w:val="009D756D"/>
    <w:rsid w:val="009D7BB6"/>
    <w:rsid w:val="009E005C"/>
    <w:rsid w:val="009E0518"/>
    <w:rsid w:val="009E0790"/>
    <w:rsid w:val="009E085E"/>
    <w:rsid w:val="009E1646"/>
    <w:rsid w:val="009E1BD0"/>
    <w:rsid w:val="009E1FD5"/>
    <w:rsid w:val="009E239C"/>
    <w:rsid w:val="009E256D"/>
    <w:rsid w:val="009E27EE"/>
    <w:rsid w:val="009E2C4A"/>
    <w:rsid w:val="009E300B"/>
    <w:rsid w:val="009E3557"/>
    <w:rsid w:val="009E38D1"/>
    <w:rsid w:val="009E3DF7"/>
    <w:rsid w:val="009E3F2D"/>
    <w:rsid w:val="009E4321"/>
    <w:rsid w:val="009E4355"/>
    <w:rsid w:val="009E444F"/>
    <w:rsid w:val="009E45A5"/>
    <w:rsid w:val="009E468D"/>
    <w:rsid w:val="009E4745"/>
    <w:rsid w:val="009E4760"/>
    <w:rsid w:val="009E4C45"/>
    <w:rsid w:val="009E51CE"/>
    <w:rsid w:val="009E51E6"/>
    <w:rsid w:val="009E5414"/>
    <w:rsid w:val="009E5443"/>
    <w:rsid w:val="009E573F"/>
    <w:rsid w:val="009E5750"/>
    <w:rsid w:val="009E5B55"/>
    <w:rsid w:val="009E5DAD"/>
    <w:rsid w:val="009E6315"/>
    <w:rsid w:val="009E642A"/>
    <w:rsid w:val="009E6813"/>
    <w:rsid w:val="009E6D3F"/>
    <w:rsid w:val="009E6E81"/>
    <w:rsid w:val="009E7545"/>
    <w:rsid w:val="009E7C43"/>
    <w:rsid w:val="009E7F24"/>
    <w:rsid w:val="009E7FD1"/>
    <w:rsid w:val="009F00E1"/>
    <w:rsid w:val="009F02A0"/>
    <w:rsid w:val="009F0587"/>
    <w:rsid w:val="009F0745"/>
    <w:rsid w:val="009F0ABA"/>
    <w:rsid w:val="009F0D06"/>
    <w:rsid w:val="009F0D6D"/>
    <w:rsid w:val="009F1291"/>
    <w:rsid w:val="009F14A8"/>
    <w:rsid w:val="009F1732"/>
    <w:rsid w:val="009F17D3"/>
    <w:rsid w:val="009F1A16"/>
    <w:rsid w:val="009F1FCC"/>
    <w:rsid w:val="009F2039"/>
    <w:rsid w:val="009F2601"/>
    <w:rsid w:val="009F2D27"/>
    <w:rsid w:val="009F3304"/>
    <w:rsid w:val="009F38E0"/>
    <w:rsid w:val="009F3911"/>
    <w:rsid w:val="009F3A2A"/>
    <w:rsid w:val="009F4075"/>
    <w:rsid w:val="009F50A4"/>
    <w:rsid w:val="009F52C1"/>
    <w:rsid w:val="009F59D9"/>
    <w:rsid w:val="009F5C5F"/>
    <w:rsid w:val="009F5E3D"/>
    <w:rsid w:val="009F5ECA"/>
    <w:rsid w:val="009F5F05"/>
    <w:rsid w:val="009F633A"/>
    <w:rsid w:val="009F634A"/>
    <w:rsid w:val="009F6716"/>
    <w:rsid w:val="009F6889"/>
    <w:rsid w:val="009F6A86"/>
    <w:rsid w:val="009F6E2B"/>
    <w:rsid w:val="009F77CB"/>
    <w:rsid w:val="009F7B7E"/>
    <w:rsid w:val="009F7C58"/>
    <w:rsid w:val="009F7D31"/>
    <w:rsid w:val="00A00292"/>
    <w:rsid w:val="00A002B0"/>
    <w:rsid w:val="00A00DDF"/>
    <w:rsid w:val="00A010FE"/>
    <w:rsid w:val="00A01B53"/>
    <w:rsid w:val="00A01C9D"/>
    <w:rsid w:val="00A01F58"/>
    <w:rsid w:val="00A02D96"/>
    <w:rsid w:val="00A037E1"/>
    <w:rsid w:val="00A03D88"/>
    <w:rsid w:val="00A04306"/>
    <w:rsid w:val="00A04782"/>
    <w:rsid w:val="00A048F5"/>
    <w:rsid w:val="00A049C2"/>
    <w:rsid w:val="00A04CB9"/>
    <w:rsid w:val="00A04D4C"/>
    <w:rsid w:val="00A04F2B"/>
    <w:rsid w:val="00A050AC"/>
    <w:rsid w:val="00A05819"/>
    <w:rsid w:val="00A05CC0"/>
    <w:rsid w:val="00A06041"/>
    <w:rsid w:val="00A0645D"/>
    <w:rsid w:val="00A06817"/>
    <w:rsid w:val="00A07923"/>
    <w:rsid w:val="00A10643"/>
    <w:rsid w:val="00A109FE"/>
    <w:rsid w:val="00A10D72"/>
    <w:rsid w:val="00A11116"/>
    <w:rsid w:val="00A1161E"/>
    <w:rsid w:val="00A11E6A"/>
    <w:rsid w:val="00A126A9"/>
    <w:rsid w:val="00A12AFA"/>
    <w:rsid w:val="00A12C34"/>
    <w:rsid w:val="00A12D83"/>
    <w:rsid w:val="00A12F71"/>
    <w:rsid w:val="00A1307E"/>
    <w:rsid w:val="00A1337A"/>
    <w:rsid w:val="00A133F1"/>
    <w:rsid w:val="00A13B00"/>
    <w:rsid w:val="00A13CBD"/>
    <w:rsid w:val="00A13FDD"/>
    <w:rsid w:val="00A14365"/>
    <w:rsid w:val="00A1440B"/>
    <w:rsid w:val="00A14423"/>
    <w:rsid w:val="00A1494C"/>
    <w:rsid w:val="00A14DBD"/>
    <w:rsid w:val="00A15089"/>
    <w:rsid w:val="00A1527A"/>
    <w:rsid w:val="00A15617"/>
    <w:rsid w:val="00A158AA"/>
    <w:rsid w:val="00A15922"/>
    <w:rsid w:val="00A15E79"/>
    <w:rsid w:val="00A1641F"/>
    <w:rsid w:val="00A16AAF"/>
    <w:rsid w:val="00A16C06"/>
    <w:rsid w:val="00A17215"/>
    <w:rsid w:val="00A2016D"/>
    <w:rsid w:val="00A20A17"/>
    <w:rsid w:val="00A20A84"/>
    <w:rsid w:val="00A21074"/>
    <w:rsid w:val="00A2133A"/>
    <w:rsid w:val="00A217C6"/>
    <w:rsid w:val="00A21BC0"/>
    <w:rsid w:val="00A21C63"/>
    <w:rsid w:val="00A21DBB"/>
    <w:rsid w:val="00A21EE2"/>
    <w:rsid w:val="00A221D4"/>
    <w:rsid w:val="00A2235A"/>
    <w:rsid w:val="00A22400"/>
    <w:rsid w:val="00A2256C"/>
    <w:rsid w:val="00A225F1"/>
    <w:rsid w:val="00A22BAB"/>
    <w:rsid w:val="00A22F7A"/>
    <w:rsid w:val="00A230A4"/>
    <w:rsid w:val="00A232A4"/>
    <w:rsid w:val="00A235EC"/>
    <w:rsid w:val="00A23748"/>
    <w:rsid w:val="00A23761"/>
    <w:rsid w:val="00A23C65"/>
    <w:rsid w:val="00A2414A"/>
    <w:rsid w:val="00A24188"/>
    <w:rsid w:val="00A24699"/>
    <w:rsid w:val="00A24C97"/>
    <w:rsid w:val="00A251A9"/>
    <w:rsid w:val="00A251BD"/>
    <w:rsid w:val="00A25E26"/>
    <w:rsid w:val="00A25E4E"/>
    <w:rsid w:val="00A261A3"/>
    <w:rsid w:val="00A26301"/>
    <w:rsid w:val="00A2657F"/>
    <w:rsid w:val="00A2679D"/>
    <w:rsid w:val="00A26B7C"/>
    <w:rsid w:val="00A2711A"/>
    <w:rsid w:val="00A2767D"/>
    <w:rsid w:val="00A278F9"/>
    <w:rsid w:val="00A27B59"/>
    <w:rsid w:val="00A30023"/>
    <w:rsid w:val="00A30072"/>
    <w:rsid w:val="00A30861"/>
    <w:rsid w:val="00A30E44"/>
    <w:rsid w:val="00A30E97"/>
    <w:rsid w:val="00A30EA4"/>
    <w:rsid w:val="00A30EDE"/>
    <w:rsid w:val="00A30FDE"/>
    <w:rsid w:val="00A31041"/>
    <w:rsid w:val="00A31AA7"/>
    <w:rsid w:val="00A321FE"/>
    <w:rsid w:val="00A32845"/>
    <w:rsid w:val="00A32BC3"/>
    <w:rsid w:val="00A32D34"/>
    <w:rsid w:val="00A32FA0"/>
    <w:rsid w:val="00A334F5"/>
    <w:rsid w:val="00A33513"/>
    <w:rsid w:val="00A33867"/>
    <w:rsid w:val="00A33D18"/>
    <w:rsid w:val="00A33DCC"/>
    <w:rsid w:val="00A33E87"/>
    <w:rsid w:val="00A3406F"/>
    <w:rsid w:val="00A340AC"/>
    <w:rsid w:val="00A349E5"/>
    <w:rsid w:val="00A34AA6"/>
    <w:rsid w:val="00A3536F"/>
    <w:rsid w:val="00A353FB"/>
    <w:rsid w:val="00A35742"/>
    <w:rsid w:val="00A35FA4"/>
    <w:rsid w:val="00A360BA"/>
    <w:rsid w:val="00A362F1"/>
    <w:rsid w:val="00A363B2"/>
    <w:rsid w:val="00A365F9"/>
    <w:rsid w:val="00A36701"/>
    <w:rsid w:val="00A369BB"/>
    <w:rsid w:val="00A36A3D"/>
    <w:rsid w:val="00A36A9B"/>
    <w:rsid w:val="00A37073"/>
    <w:rsid w:val="00A372CB"/>
    <w:rsid w:val="00A402EC"/>
    <w:rsid w:val="00A40A4F"/>
    <w:rsid w:val="00A40DA7"/>
    <w:rsid w:val="00A410E0"/>
    <w:rsid w:val="00A4135C"/>
    <w:rsid w:val="00A41E29"/>
    <w:rsid w:val="00A42067"/>
    <w:rsid w:val="00A4289E"/>
    <w:rsid w:val="00A42A9B"/>
    <w:rsid w:val="00A42C67"/>
    <w:rsid w:val="00A42CCF"/>
    <w:rsid w:val="00A43490"/>
    <w:rsid w:val="00A4385C"/>
    <w:rsid w:val="00A43865"/>
    <w:rsid w:val="00A439A1"/>
    <w:rsid w:val="00A43BDF"/>
    <w:rsid w:val="00A44735"/>
    <w:rsid w:val="00A44B34"/>
    <w:rsid w:val="00A44C11"/>
    <w:rsid w:val="00A44D53"/>
    <w:rsid w:val="00A45672"/>
    <w:rsid w:val="00A458EA"/>
    <w:rsid w:val="00A46448"/>
    <w:rsid w:val="00A464FC"/>
    <w:rsid w:val="00A465A6"/>
    <w:rsid w:val="00A468ED"/>
    <w:rsid w:val="00A46936"/>
    <w:rsid w:val="00A4699E"/>
    <w:rsid w:val="00A46AAB"/>
    <w:rsid w:val="00A46F47"/>
    <w:rsid w:val="00A47083"/>
    <w:rsid w:val="00A4756A"/>
    <w:rsid w:val="00A479E1"/>
    <w:rsid w:val="00A5031A"/>
    <w:rsid w:val="00A503DC"/>
    <w:rsid w:val="00A50440"/>
    <w:rsid w:val="00A50A26"/>
    <w:rsid w:val="00A50AD5"/>
    <w:rsid w:val="00A50ADC"/>
    <w:rsid w:val="00A50CDF"/>
    <w:rsid w:val="00A50E34"/>
    <w:rsid w:val="00A512EA"/>
    <w:rsid w:val="00A51B3C"/>
    <w:rsid w:val="00A520DA"/>
    <w:rsid w:val="00A52109"/>
    <w:rsid w:val="00A52681"/>
    <w:rsid w:val="00A53527"/>
    <w:rsid w:val="00A5480D"/>
    <w:rsid w:val="00A54E7E"/>
    <w:rsid w:val="00A54E8D"/>
    <w:rsid w:val="00A54FEF"/>
    <w:rsid w:val="00A55564"/>
    <w:rsid w:val="00A556EA"/>
    <w:rsid w:val="00A55849"/>
    <w:rsid w:val="00A5605E"/>
    <w:rsid w:val="00A566A4"/>
    <w:rsid w:val="00A56D3F"/>
    <w:rsid w:val="00A56D86"/>
    <w:rsid w:val="00A56E22"/>
    <w:rsid w:val="00A56EF2"/>
    <w:rsid w:val="00A57419"/>
    <w:rsid w:val="00A57A47"/>
    <w:rsid w:val="00A600CD"/>
    <w:rsid w:val="00A60317"/>
    <w:rsid w:val="00A603B7"/>
    <w:rsid w:val="00A60620"/>
    <w:rsid w:val="00A606CA"/>
    <w:rsid w:val="00A60CF6"/>
    <w:rsid w:val="00A60E2C"/>
    <w:rsid w:val="00A611E7"/>
    <w:rsid w:val="00A6134B"/>
    <w:rsid w:val="00A61514"/>
    <w:rsid w:val="00A617B0"/>
    <w:rsid w:val="00A625B3"/>
    <w:rsid w:val="00A62966"/>
    <w:rsid w:val="00A62974"/>
    <w:rsid w:val="00A62B26"/>
    <w:rsid w:val="00A62C44"/>
    <w:rsid w:val="00A636E5"/>
    <w:rsid w:val="00A63922"/>
    <w:rsid w:val="00A63969"/>
    <w:rsid w:val="00A643D0"/>
    <w:rsid w:val="00A645A5"/>
    <w:rsid w:val="00A647EC"/>
    <w:rsid w:val="00A660A1"/>
    <w:rsid w:val="00A6673A"/>
    <w:rsid w:val="00A66886"/>
    <w:rsid w:val="00A66EA1"/>
    <w:rsid w:val="00A66F23"/>
    <w:rsid w:val="00A6743A"/>
    <w:rsid w:val="00A675A3"/>
    <w:rsid w:val="00A67749"/>
    <w:rsid w:val="00A70321"/>
    <w:rsid w:val="00A707AB"/>
    <w:rsid w:val="00A70DD1"/>
    <w:rsid w:val="00A70E81"/>
    <w:rsid w:val="00A71339"/>
    <w:rsid w:val="00A71673"/>
    <w:rsid w:val="00A71B64"/>
    <w:rsid w:val="00A7225F"/>
    <w:rsid w:val="00A72550"/>
    <w:rsid w:val="00A72953"/>
    <w:rsid w:val="00A72EC3"/>
    <w:rsid w:val="00A7371C"/>
    <w:rsid w:val="00A737B0"/>
    <w:rsid w:val="00A737C1"/>
    <w:rsid w:val="00A73DCC"/>
    <w:rsid w:val="00A741CB"/>
    <w:rsid w:val="00A742BB"/>
    <w:rsid w:val="00A74324"/>
    <w:rsid w:val="00A74377"/>
    <w:rsid w:val="00A74747"/>
    <w:rsid w:val="00A750AC"/>
    <w:rsid w:val="00A751F5"/>
    <w:rsid w:val="00A75318"/>
    <w:rsid w:val="00A75CBF"/>
    <w:rsid w:val="00A76013"/>
    <w:rsid w:val="00A761B8"/>
    <w:rsid w:val="00A76A1A"/>
    <w:rsid w:val="00A772DC"/>
    <w:rsid w:val="00A77300"/>
    <w:rsid w:val="00A77707"/>
    <w:rsid w:val="00A77AEC"/>
    <w:rsid w:val="00A77D4E"/>
    <w:rsid w:val="00A80500"/>
    <w:rsid w:val="00A80B62"/>
    <w:rsid w:val="00A81259"/>
    <w:rsid w:val="00A81524"/>
    <w:rsid w:val="00A8185E"/>
    <w:rsid w:val="00A81A34"/>
    <w:rsid w:val="00A81BB9"/>
    <w:rsid w:val="00A81C18"/>
    <w:rsid w:val="00A81FF2"/>
    <w:rsid w:val="00A82130"/>
    <w:rsid w:val="00A82EC2"/>
    <w:rsid w:val="00A8301E"/>
    <w:rsid w:val="00A8340F"/>
    <w:rsid w:val="00A83656"/>
    <w:rsid w:val="00A83E6A"/>
    <w:rsid w:val="00A83F5B"/>
    <w:rsid w:val="00A84100"/>
    <w:rsid w:val="00A8424C"/>
    <w:rsid w:val="00A84373"/>
    <w:rsid w:val="00A8441C"/>
    <w:rsid w:val="00A84852"/>
    <w:rsid w:val="00A8559A"/>
    <w:rsid w:val="00A85749"/>
    <w:rsid w:val="00A8582D"/>
    <w:rsid w:val="00A85EF2"/>
    <w:rsid w:val="00A860A9"/>
    <w:rsid w:val="00A862F7"/>
    <w:rsid w:val="00A86705"/>
    <w:rsid w:val="00A8688F"/>
    <w:rsid w:val="00A87C6F"/>
    <w:rsid w:val="00A87D87"/>
    <w:rsid w:val="00A87FA0"/>
    <w:rsid w:val="00A90EE7"/>
    <w:rsid w:val="00A91023"/>
    <w:rsid w:val="00A914FB"/>
    <w:rsid w:val="00A91C72"/>
    <w:rsid w:val="00A91D50"/>
    <w:rsid w:val="00A91F7C"/>
    <w:rsid w:val="00A9203D"/>
    <w:rsid w:val="00A921FE"/>
    <w:rsid w:val="00A923DD"/>
    <w:rsid w:val="00A927EE"/>
    <w:rsid w:val="00A92AAB"/>
    <w:rsid w:val="00A92B7E"/>
    <w:rsid w:val="00A92D58"/>
    <w:rsid w:val="00A92D5E"/>
    <w:rsid w:val="00A92F96"/>
    <w:rsid w:val="00A93448"/>
    <w:rsid w:val="00A93915"/>
    <w:rsid w:val="00A93A20"/>
    <w:rsid w:val="00A9421E"/>
    <w:rsid w:val="00A954AA"/>
    <w:rsid w:val="00A95ECD"/>
    <w:rsid w:val="00A9664E"/>
    <w:rsid w:val="00A967A2"/>
    <w:rsid w:val="00A96CD8"/>
    <w:rsid w:val="00A96DA2"/>
    <w:rsid w:val="00A96F7E"/>
    <w:rsid w:val="00A971F9"/>
    <w:rsid w:val="00A97491"/>
    <w:rsid w:val="00A97680"/>
    <w:rsid w:val="00A9784A"/>
    <w:rsid w:val="00A97B6E"/>
    <w:rsid w:val="00A97C73"/>
    <w:rsid w:val="00A97FB4"/>
    <w:rsid w:val="00AA1207"/>
    <w:rsid w:val="00AA1222"/>
    <w:rsid w:val="00AA13CB"/>
    <w:rsid w:val="00AA1545"/>
    <w:rsid w:val="00AA21BB"/>
    <w:rsid w:val="00AA24CF"/>
    <w:rsid w:val="00AA2716"/>
    <w:rsid w:val="00AA294D"/>
    <w:rsid w:val="00AA2BCF"/>
    <w:rsid w:val="00AA2BDC"/>
    <w:rsid w:val="00AA2C2D"/>
    <w:rsid w:val="00AA2C81"/>
    <w:rsid w:val="00AA32A2"/>
    <w:rsid w:val="00AA386E"/>
    <w:rsid w:val="00AA3F20"/>
    <w:rsid w:val="00AA4217"/>
    <w:rsid w:val="00AA4493"/>
    <w:rsid w:val="00AA4897"/>
    <w:rsid w:val="00AA4D14"/>
    <w:rsid w:val="00AA5B15"/>
    <w:rsid w:val="00AA6AB0"/>
    <w:rsid w:val="00AA6D57"/>
    <w:rsid w:val="00AA6ED9"/>
    <w:rsid w:val="00AA7988"/>
    <w:rsid w:val="00AA7D94"/>
    <w:rsid w:val="00AB020F"/>
    <w:rsid w:val="00AB0235"/>
    <w:rsid w:val="00AB072B"/>
    <w:rsid w:val="00AB0E06"/>
    <w:rsid w:val="00AB12C5"/>
    <w:rsid w:val="00AB1889"/>
    <w:rsid w:val="00AB1AC1"/>
    <w:rsid w:val="00AB1B12"/>
    <w:rsid w:val="00AB1F3B"/>
    <w:rsid w:val="00AB24F1"/>
    <w:rsid w:val="00AB285C"/>
    <w:rsid w:val="00AB294F"/>
    <w:rsid w:val="00AB2E74"/>
    <w:rsid w:val="00AB2EA9"/>
    <w:rsid w:val="00AB3057"/>
    <w:rsid w:val="00AB3532"/>
    <w:rsid w:val="00AB353E"/>
    <w:rsid w:val="00AB3B53"/>
    <w:rsid w:val="00AB3C21"/>
    <w:rsid w:val="00AB3CC3"/>
    <w:rsid w:val="00AB43A0"/>
    <w:rsid w:val="00AB4478"/>
    <w:rsid w:val="00AB4590"/>
    <w:rsid w:val="00AB4BB5"/>
    <w:rsid w:val="00AB5026"/>
    <w:rsid w:val="00AB5278"/>
    <w:rsid w:val="00AB5C72"/>
    <w:rsid w:val="00AB5D98"/>
    <w:rsid w:val="00AB6A3D"/>
    <w:rsid w:val="00AB737A"/>
    <w:rsid w:val="00AB7899"/>
    <w:rsid w:val="00AB7C08"/>
    <w:rsid w:val="00AC03D2"/>
    <w:rsid w:val="00AC0433"/>
    <w:rsid w:val="00AC0750"/>
    <w:rsid w:val="00AC0C2E"/>
    <w:rsid w:val="00AC0C4B"/>
    <w:rsid w:val="00AC0F91"/>
    <w:rsid w:val="00AC1177"/>
    <w:rsid w:val="00AC1B1C"/>
    <w:rsid w:val="00AC1BC8"/>
    <w:rsid w:val="00AC1F14"/>
    <w:rsid w:val="00AC1FC4"/>
    <w:rsid w:val="00AC209C"/>
    <w:rsid w:val="00AC236E"/>
    <w:rsid w:val="00AC2B87"/>
    <w:rsid w:val="00AC2FA1"/>
    <w:rsid w:val="00AC31F0"/>
    <w:rsid w:val="00AC31F3"/>
    <w:rsid w:val="00AC3550"/>
    <w:rsid w:val="00AC3679"/>
    <w:rsid w:val="00AC3724"/>
    <w:rsid w:val="00AC3A53"/>
    <w:rsid w:val="00AC3A7D"/>
    <w:rsid w:val="00AC3C6E"/>
    <w:rsid w:val="00AC3DAE"/>
    <w:rsid w:val="00AC3F45"/>
    <w:rsid w:val="00AC42CE"/>
    <w:rsid w:val="00AC4724"/>
    <w:rsid w:val="00AC4801"/>
    <w:rsid w:val="00AC48B7"/>
    <w:rsid w:val="00AC5114"/>
    <w:rsid w:val="00AC521A"/>
    <w:rsid w:val="00AC548A"/>
    <w:rsid w:val="00AC5630"/>
    <w:rsid w:val="00AC5DD9"/>
    <w:rsid w:val="00AC5F79"/>
    <w:rsid w:val="00AC6015"/>
    <w:rsid w:val="00AC6449"/>
    <w:rsid w:val="00AC64B6"/>
    <w:rsid w:val="00AC673C"/>
    <w:rsid w:val="00AC68FC"/>
    <w:rsid w:val="00AC69C9"/>
    <w:rsid w:val="00AC6EE9"/>
    <w:rsid w:val="00AC6FB3"/>
    <w:rsid w:val="00AC7AA3"/>
    <w:rsid w:val="00AC7AA5"/>
    <w:rsid w:val="00AD0564"/>
    <w:rsid w:val="00AD0907"/>
    <w:rsid w:val="00AD0D74"/>
    <w:rsid w:val="00AD0E8B"/>
    <w:rsid w:val="00AD0F32"/>
    <w:rsid w:val="00AD0F76"/>
    <w:rsid w:val="00AD1242"/>
    <w:rsid w:val="00AD1762"/>
    <w:rsid w:val="00AD183C"/>
    <w:rsid w:val="00AD18C6"/>
    <w:rsid w:val="00AD18E5"/>
    <w:rsid w:val="00AD1957"/>
    <w:rsid w:val="00AD1B01"/>
    <w:rsid w:val="00AD1B8A"/>
    <w:rsid w:val="00AD232A"/>
    <w:rsid w:val="00AD2381"/>
    <w:rsid w:val="00AD2A3D"/>
    <w:rsid w:val="00AD2B97"/>
    <w:rsid w:val="00AD2BD6"/>
    <w:rsid w:val="00AD3163"/>
    <w:rsid w:val="00AD3B59"/>
    <w:rsid w:val="00AD4235"/>
    <w:rsid w:val="00AD4E64"/>
    <w:rsid w:val="00AD5327"/>
    <w:rsid w:val="00AD5822"/>
    <w:rsid w:val="00AD5860"/>
    <w:rsid w:val="00AD5993"/>
    <w:rsid w:val="00AD5A4B"/>
    <w:rsid w:val="00AD5D2C"/>
    <w:rsid w:val="00AD6035"/>
    <w:rsid w:val="00AD627F"/>
    <w:rsid w:val="00AD68C5"/>
    <w:rsid w:val="00AD73AA"/>
    <w:rsid w:val="00AD76F6"/>
    <w:rsid w:val="00AD77F8"/>
    <w:rsid w:val="00AD7BEA"/>
    <w:rsid w:val="00AD7E0C"/>
    <w:rsid w:val="00AD7F17"/>
    <w:rsid w:val="00AE0272"/>
    <w:rsid w:val="00AE05DF"/>
    <w:rsid w:val="00AE08DB"/>
    <w:rsid w:val="00AE0BE1"/>
    <w:rsid w:val="00AE0EF5"/>
    <w:rsid w:val="00AE19A7"/>
    <w:rsid w:val="00AE2811"/>
    <w:rsid w:val="00AE34C3"/>
    <w:rsid w:val="00AE37AC"/>
    <w:rsid w:val="00AE3F8A"/>
    <w:rsid w:val="00AE409A"/>
    <w:rsid w:val="00AE53C0"/>
    <w:rsid w:val="00AE571D"/>
    <w:rsid w:val="00AE5D30"/>
    <w:rsid w:val="00AE60BF"/>
    <w:rsid w:val="00AE6401"/>
    <w:rsid w:val="00AE715F"/>
    <w:rsid w:val="00AE7480"/>
    <w:rsid w:val="00AE750F"/>
    <w:rsid w:val="00AE7697"/>
    <w:rsid w:val="00AE770F"/>
    <w:rsid w:val="00AE77C9"/>
    <w:rsid w:val="00AE7A2C"/>
    <w:rsid w:val="00AF085E"/>
    <w:rsid w:val="00AF0C57"/>
    <w:rsid w:val="00AF0F65"/>
    <w:rsid w:val="00AF17B7"/>
    <w:rsid w:val="00AF1B25"/>
    <w:rsid w:val="00AF21C4"/>
    <w:rsid w:val="00AF2B06"/>
    <w:rsid w:val="00AF2BC3"/>
    <w:rsid w:val="00AF2D0A"/>
    <w:rsid w:val="00AF37C0"/>
    <w:rsid w:val="00AF3D44"/>
    <w:rsid w:val="00AF4FFD"/>
    <w:rsid w:val="00AF57DA"/>
    <w:rsid w:val="00AF5ACE"/>
    <w:rsid w:val="00AF5BF9"/>
    <w:rsid w:val="00AF5CA7"/>
    <w:rsid w:val="00AF5E15"/>
    <w:rsid w:val="00AF60AB"/>
    <w:rsid w:val="00AF62A2"/>
    <w:rsid w:val="00AF6327"/>
    <w:rsid w:val="00AF6618"/>
    <w:rsid w:val="00AF685F"/>
    <w:rsid w:val="00AF6F7A"/>
    <w:rsid w:val="00AF713D"/>
    <w:rsid w:val="00AF7290"/>
    <w:rsid w:val="00AF7523"/>
    <w:rsid w:val="00AF7FBE"/>
    <w:rsid w:val="00B00045"/>
    <w:rsid w:val="00B012AE"/>
    <w:rsid w:val="00B01488"/>
    <w:rsid w:val="00B01B49"/>
    <w:rsid w:val="00B01D14"/>
    <w:rsid w:val="00B0235B"/>
    <w:rsid w:val="00B0264F"/>
    <w:rsid w:val="00B02D28"/>
    <w:rsid w:val="00B02DA8"/>
    <w:rsid w:val="00B0341C"/>
    <w:rsid w:val="00B0411A"/>
    <w:rsid w:val="00B0412B"/>
    <w:rsid w:val="00B04AE9"/>
    <w:rsid w:val="00B04C47"/>
    <w:rsid w:val="00B04D5E"/>
    <w:rsid w:val="00B0575B"/>
    <w:rsid w:val="00B057C1"/>
    <w:rsid w:val="00B05891"/>
    <w:rsid w:val="00B05AEA"/>
    <w:rsid w:val="00B05BD9"/>
    <w:rsid w:val="00B05C0C"/>
    <w:rsid w:val="00B061EC"/>
    <w:rsid w:val="00B0626A"/>
    <w:rsid w:val="00B066AD"/>
    <w:rsid w:val="00B06750"/>
    <w:rsid w:val="00B067FE"/>
    <w:rsid w:val="00B06964"/>
    <w:rsid w:val="00B06D07"/>
    <w:rsid w:val="00B06E15"/>
    <w:rsid w:val="00B0732B"/>
    <w:rsid w:val="00B07752"/>
    <w:rsid w:val="00B0777F"/>
    <w:rsid w:val="00B07A18"/>
    <w:rsid w:val="00B10080"/>
    <w:rsid w:val="00B10439"/>
    <w:rsid w:val="00B10570"/>
    <w:rsid w:val="00B109C3"/>
    <w:rsid w:val="00B10C41"/>
    <w:rsid w:val="00B10D4A"/>
    <w:rsid w:val="00B1114A"/>
    <w:rsid w:val="00B11B0C"/>
    <w:rsid w:val="00B11B3B"/>
    <w:rsid w:val="00B11F36"/>
    <w:rsid w:val="00B127E4"/>
    <w:rsid w:val="00B12AC9"/>
    <w:rsid w:val="00B12E1A"/>
    <w:rsid w:val="00B1304A"/>
    <w:rsid w:val="00B1339D"/>
    <w:rsid w:val="00B1372F"/>
    <w:rsid w:val="00B1395F"/>
    <w:rsid w:val="00B13A28"/>
    <w:rsid w:val="00B13AAF"/>
    <w:rsid w:val="00B13E6E"/>
    <w:rsid w:val="00B1447D"/>
    <w:rsid w:val="00B148DF"/>
    <w:rsid w:val="00B14DB1"/>
    <w:rsid w:val="00B14E2B"/>
    <w:rsid w:val="00B1585D"/>
    <w:rsid w:val="00B163E5"/>
    <w:rsid w:val="00B16D24"/>
    <w:rsid w:val="00B16D8B"/>
    <w:rsid w:val="00B16E78"/>
    <w:rsid w:val="00B16EC9"/>
    <w:rsid w:val="00B17340"/>
    <w:rsid w:val="00B173BD"/>
    <w:rsid w:val="00B173D4"/>
    <w:rsid w:val="00B176BD"/>
    <w:rsid w:val="00B179AB"/>
    <w:rsid w:val="00B17C51"/>
    <w:rsid w:val="00B17ED3"/>
    <w:rsid w:val="00B20146"/>
    <w:rsid w:val="00B20903"/>
    <w:rsid w:val="00B20C42"/>
    <w:rsid w:val="00B20EF3"/>
    <w:rsid w:val="00B219C0"/>
    <w:rsid w:val="00B21AE3"/>
    <w:rsid w:val="00B21B7A"/>
    <w:rsid w:val="00B21E92"/>
    <w:rsid w:val="00B220EF"/>
    <w:rsid w:val="00B22B21"/>
    <w:rsid w:val="00B22B91"/>
    <w:rsid w:val="00B22D51"/>
    <w:rsid w:val="00B23120"/>
    <w:rsid w:val="00B23B08"/>
    <w:rsid w:val="00B23E5A"/>
    <w:rsid w:val="00B24165"/>
    <w:rsid w:val="00B2438D"/>
    <w:rsid w:val="00B247F6"/>
    <w:rsid w:val="00B24E63"/>
    <w:rsid w:val="00B254DF"/>
    <w:rsid w:val="00B25542"/>
    <w:rsid w:val="00B25668"/>
    <w:rsid w:val="00B25BD0"/>
    <w:rsid w:val="00B25E79"/>
    <w:rsid w:val="00B263DE"/>
    <w:rsid w:val="00B26B3B"/>
    <w:rsid w:val="00B26C47"/>
    <w:rsid w:val="00B3015D"/>
    <w:rsid w:val="00B3056E"/>
    <w:rsid w:val="00B309FD"/>
    <w:rsid w:val="00B30CB1"/>
    <w:rsid w:val="00B314D0"/>
    <w:rsid w:val="00B31901"/>
    <w:rsid w:val="00B321D7"/>
    <w:rsid w:val="00B32A20"/>
    <w:rsid w:val="00B32B9B"/>
    <w:rsid w:val="00B32FBB"/>
    <w:rsid w:val="00B33236"/>
    <w:rsid w:val="00B33355"/>
    <w:rsid w:val="00B3471C"/>
    <w:rsid w:val="00B3490D"/>
    <w:rsid w:val="00B34C94"/>
    <w:rsid w:val="00B34CC8"/>
    <w:rsid w:val="00B34D46"/>
    <w:rsid w:val="00B355EE"/>
    <w:rsid w:val="00B35EDA"/>
    <w:rsid w:val="00B36597"/>
    <w:rsid w:val="00B36610"/>
    <w:rsid w:val="00B3668D"/>
    <w:rsid w:val="00B36BE2"/>
    <w:rsid w:val="00B37519"/>
    <w:rsid w:val="00B37628"/>
    <w:rsid w:val="00B3799A"/>
    <w:rsid w:val="00B37DF7"/>
    <w:rsid w:val="00B4090A"/>
    <w:rsid w:val="00B4101F"/>
    <w:rsid w:val="00B413BC"/>
    <w:rsid w:val="00B413CD"/>
    <w:rsid w:val="00B418D8"/>
    <w:rsid w:val="00B4233D"/>
    <w:rsid w:val="00B42530"/>
    <w:rsid w:val="00B4256C"/>
    <w:rsid w:val="00B426FF"/>
    <w:rsid w:val="00B42737"/>
    <w:rsid w:val="00B43582"/>
    <w:rsid w:val="00B43635"/>
    <w:rsid w:val="00B43936"/>
    <w:rsid w:val="00B439E3"/>
    <w:rsid w:val="00B43BC8"/>
    <w:rsid w:val="00B43D33"/>
    <w:rsid w:val="00B4428F"/>
    <w:rsid w:val="00B445C5"/>
    <w:rsid w:val="00B445EF"/>
    <w:rsid w:val="00B447FC"/>
    <w:rsid w:val="00B44E62"/>
    <w:rsid w:val="00B44FE3"/>
    <w:rsid w:val="00B450E0"/>
    <w:rsid w:val="00B451EE"/>
    <w:rsid w:val="00B4531F"/>
    <w:rsid w:val="00B4586D"/>
    <w:rsid w:val="00B45D8D"/>
    <w:rsid w:val="00B465C1"/>
    <w:rsid w:val="00B50051"/>
    <w:rsid w:val="00B50077"/>
    <w:rsid w:val="00B5039D"/>
    <w:rsid w:val="00B508C6"/>
    <w:rsid w:val="00B509E7"/>
    <w:rsid w:val="00B50D7C"/>
    <w:rsid w:val="00B519CB"/>
    <w:rsid w:val="00B52564"/>
    <w:rsid w:val="00B5266C"/>
    <w:rsid w:val="00B5273B"/>
    <w:rsid w:val="00B528BB"/>
    <w:rsid w:val="00B52B34"/>
    <w:rsid w:val="00B52CE2"/>
    <w:rsid w:val="00B53056"/>
    <w:rsid w:val="00B533B5"/>
    <w:rsid w:val="00B53442"/>
    <w:rsid w:val="00B5391D"/>
    <w:rsid w:val="00B53B6E"/>
    <w:rsid w:val="00B53F64"/>
    <w:rsid w:val="00B540BB"/>
    <w:rsid w:val="00B541D6"/>
    <w:rsid w:val="00B549ED"/>
    <w:rsid w:val="00B54C74"/>
    <w:rsid w:val="00B54CE3"/>
    <w:rsid w:val="00B55306"/>
    <w:rsid w:val="00B5539C"/>
    <w:rsid w:val="00B5545E"/>
    <w:rsid w:val="00B5580A"/>
    <w:rsid w:val="00B55D12"/>
    <w:rsid w:val="00B55D8F"/>
    <w:rsid w:val="00B56071"/>
    <w:rsid w:val="00B561CA"/>
    <w:rsid w:val="00B561FD"/>
    <w:rsid w:val="00B567AC"/>
    <w:rsid w:val="00B5683B"/>
    <w:rsid w:val="00B56DE5"/>
    <w:rsid w:val="00B56EEE"/>
    <w:rsid w:val="00B575C1"/>
    <w:rsid w:val="00B57715"/>
    <w:rsid w:val="00B579C9"/>
    <w:rsid w:val="00B60696"/>
    <w:rsid w:val="00B60E1B"/>
    <w:rsid w:val="00B60EE3"/>
    <w:rsid w:val="00B617B0"/>
    <w:rsid w:val="00B62139"/>
    <w:rsid w:val="00B622B3"/>
    <w:rsid w:val="00B62CCA"/>
    <w:rsid w:val="00B62E3E"/>
    <w:rsid w:val="00B635EE"/>
    <w:rsid w:val="00B63D54"/>
    <w:rsid w:val="00B6426B"/>
    <w:rsid w:val="00B6444D"/>
    <w:rsid w:val="00B64576"/>
    <w:rsid w:val="00B64894"/>
    <w:rsid w:val="00B64A99"/>
    <w:rsid w:val="00B6524B"/>
    <w:rsid w:val="00B65355"/>
    <w:rsid w:val="00B655E9"/>
    <w:rsid w:val="00B65828"/>
    <w:rsid w:val="00B658F7"/>
    <w:rsid w:val="00B65A3B"/>
    <w:rsid w:val="00B65C8D"/>
    <w:rsid w:val="00B65D60"/>
    <w:rsid w:val="00B660FB"/>
    <w:rsid w:val="00B6610F"/>
    <w:rsid w:val="00B667E4"/>
    <w:rsid w:val="00B67455"/>
    <w:rsid w:val="00B67459"/>
    <w:rsid w:val="00B678DE"/>
    <w:rsid w:val="00B67981"/>
    <w:rsid w:val="00B70433"/>
    <w:rsid w:val="00B704C5"/>
    <w:rsid w:val="00B704E1"/>
    <w:rsid w:val="00B7068A"/>
    <w:rsid w:val="00B70D21"/>
    <w:rsid w:val="00B712AF"/>
    <w:rsid w:val="00B71644"/>
    <w:rsid w:val="00B718DD"/>
    <w:rsid w:val="00B71A48"/>
    <w:rsid w:val="00B71DEF"/>
    <w:rsid w:val="00B71F98"/>
    <w:rsid w:val="00B72214"/>
    <w:rsid w:val="00B72AE5"/>
    <w:rsid w:val="00B737B6"/>
    <w:rsid w:val="00B73A8F"/>
    <w:rsid w:val="00B73F17"/>
    <w:rsid w:val="00B73F5C"/>
    <w:rsid w:val="00B74167"/>
    <w:rsid w:val="00B74367"/>
    <w:rsid w:val="00B75938"/>
    <w:rsid w:val="00B75C5F"/>
    <w:rsid w:val="00B75F0A"/>
    <w:rsid w:val="00B762BB"/>
    <w:rsid w:val="00B768CE"/>
    <w:rsid w:val="00B76930"/>
    <w:rsid w:val="00B76D5B"/>
    <w:rsid w:val="00B77235"/>
    <w:rsid w:val="00B77424"/>
    <w:rsid w:val="00B777D1"/>
    <w:rsid w:val="00B7785C"/>
    <w:rsid w:val="00B77A0F"/>
    <w:rsid w:val="00B8012C"/>
    <w:rsid w:val="00B808D3"/>
    <w:rsid w:val="00B80D96"/>
    <w:rsid w:val="00B80E5D"/>
    <w:rsid w:val="00B80F9F"/>
    <w:rsid w:val="00B80FA1"/>
    <w:rsid w:val="00B80FBC"/>
    <w:rsid w:val="00B81344"/>
    <w:rsid w:val="00B81832"/>
    <w:rsid w:val="00B81946"/>
    <w:rsid w:val="00B81961"/>
    <w:rsid w:val="00B81A2D"/>
    <w:rsid w:val="00B81C9F"/>
    <w:rsid w:val="00B81F89"/>
    <w:rsid w:val="00B82008"/>
    <w:rsid w:val="00B823C5"/>
    <w:rsid w:val="00B82733"/>
    <w:rsid w:val="00B82940"/>
    <w:rsid w:val="00B829A4"/>
    <w:rsid w:val="00B82ABE"/>
    <w:rsid w:val="00B82B60"/>
    <w:rsid w:val="00B83200"/>
    <w:rsid w:val="00B8390D"/>
    <w:rsid w:val="00B83B7D"/>
    <w:rsid w:val="00B840AB"/>
    <w:rsid w:val="00B844B9"/>
    <w:rsid w:val="00B84747"/>
    <w:rsid w:val="00B8496E"/>
    <w:rsid w:val="00B84AB6"/>
    <w:rsid w:val="00B84C6F"/>
    <w:rsid w:val="00B84EA5"/>
    <w:rsid w:val="00B85546"/>
    <w:rsid w:val="00B855F1"/>
    <w:rsid w:val="00B857A8"/>
    <w:rsid w:val="00B85884"/>
    <w:rsid w:val="00B859FC"/>
    <w:rsid w:val="00B85CD6"/>
    <w:rsid w:val="00B86636"/>
    <w:rsid w:val="00B86ABC"/>
    <w:rsid w:val="00B87BF7"/>
    <w:rsid w:val="00B90793"/>
    <w:rsid w:val="00B90853"/>
    <w:rsid w:val="00B909D3"/>
    <w:rsid w:val="00B909F6"/>
    <w:rsid w:val="00B90CE1"/>
    <w:rsid w:val="00B918A1"/>
    <w:rsid w:val="00B91E1D"/>
    <w:rsid w:val="00B91E21"/>
    <w:rsid w:val="00B91FD5"/>
    <w:rsid w:val="00B92047"/>
    <w:rsid w:val="00B92052"/>
    <w:rsid w:val="00B920F9"/>
    <w:rsid w:val="00B9239D"/>
    <w:rsid w:val="00B926E2"/>
    <w:rsid w:val="00B9298C"/>
    <w:rsid w:val="00B92AA4"/>
    <w:rsid w:val="00B93AD7"/>
    <w:rsid w:val="00B93B51"/>
    <w:rsid w:val="00B93E1B"/>
    <w:rsid w:val="00B93FA9"/>
    <w:rsid w:val="00B9403F"/>
    <w:rsid w:val="00B940B1"/>
    <w:rsid w:val="00B94394"/>
    <w:rsid w:val="00B94923"/>
    <w:rsid w:val="00B94CA9"/>
    <w:rsid w:val="00B94D65"/>
    <w:rsid w:val="00B951E2"/>
    <w:rsid w:val="00B9521F"/>
    <w:rsid w:val="00B955B7"/>
    <w:rsid w:val="00B959A5"/>
    <w:rsid w:val="00B95ECE"/>
    <w:rsid w:val="00B96096"/>
    <w:rsid w:val="00B96797"/>
    <w:rsid w:val="00B974AD"/>
    <w:rsid w:val="00B974BC"/>
    <w:rsid w:val="00B97991"/>
    <w:rsid w:val="00B97B4B"/>
    <w:rsid w:val="00BA0015"/>
    <w:rsid w:val="00BA02C3"/>
    <w:rsid w:val="00BA0381"/>
    <w:rsid w:val="00BA0A07"/>
    <w:rsid w:val="00BA0C80"/>
    <w:rsid w:val="00BA0D43"/>
    <w:rsid w:val="00BA0F50"/>
    <w:rsid w:val="00BA0FD7"/>
    <w:rsid w:val="00BA2093"/>
    <w:rsid w:val="00BA2742"/>
    <w:rsid w:val="00BA27B7"/>
    <w:rsid w:val="00BA27EF"/>
    <w:rsid w:val="00BA2A4E"/>
    <w:rsid w:val="00BA2B83"/>
    <w:rsid w:val="00BA2BF0"/>
    <w:rsid w:val="00BA3459"/>
    <w:rsid w:val="00BA34A9"/>
    <w:rsid w:val="00BA3C16"/>
    <w:rsid w:val="00BA3C71"/>
    <w:rsid w:val="00BA41C6"/>
    <w:rsid w:val="00BA4C4A"/>
    <w:rsid w:val="00BA51B9"/>
    <w:rsid w:val="00BA570D"/>
    <w:rsid w:val="00BA5A17"/>
    <w:rsid w:val="00BA5CCF"/>
    <w:rsid w:val="00BA5EFA"/>
    <w:rsid w:val="00BA6158"/>
    <w:rsid w:val="00BA6634"/>
    <w:rsid w:val="00BA6DCA"/>
    <w:rsid w:val="00BA7077"/>
    <w:rsid w:val="00BA76C2"/>
    <w:rsid w:val="00BA77B3"/>
    <w:rsid w:val="00BA7B25"/>
    <w:rsid w:val="00BB0003"/>
    <w:rsid w:val="00BB0377"/>
    <w:rsid w:val="00BB0391"/>
    <w:rsid w:val="00BB06B6"/>
    <w:rsid w:val="00BB1472"/>
    <w:rsid w:val="00BB158F"/>
    <w:rsid w:val="00BB1907"/>
    <w:rsid w:val="00BB1D41"/>
    <w:rsid w:val="00BB201E"/>
    <w:rsid w:val="00BB2506"/>
    <w:rsid w:val="00BB274A"/>
    <w:rsid w:val="00BB2D22"/>
    <w:rsid w:val="00BB2F4A"/>
    <w:rsid w:val="00BB3EAE"/>
    <w:rsid w:val="00BB4108"/>
    <w:rsid w:val="00BB4227"/>
    <w:rsid w:val="00BB4593"/>
    <w:rsid w:val="00BB46A7"/>
    <w:rsid w:val="00BB4971"/>
    <w:rsid w:val="00BB497A"/>
    <w:rsid w:val="00BB4DB0"/>
    <w:rsid w:val="00BB5D7E"/>
    <w:rsid w:val="00BB6393"/>
    <w:rsid w:val="00BB6C36"/>
    <w:rsid w:val="00BB713B"/>
    <w:rsid w:val="00BB73C7"/>
    <w:rsid w:val="00BB77AE"/>
    <w:rsid w:val="00BB795F"/>
    <w:rsid w:val="00BB7988"/>
    <w:rsid w:val="00BB7F5F"/>
    <w:rsid w:val="00BB7FD1"/>
    <w:rsid w:val="00BC02D9"/>
    <w:rsid w:val="00BC0536"/>
    <w:rsid w:val="00BC0A22"/>
    <w:rsid w:val="00BC0DDF"/>
    <w:rsid w:val="00BC0F43"/>
    <w:rsid w:val="00BC10EA"/>
    <w:rsid w:val="00BC11F0"/>
    <w:rsid w:val="00BC20CC"/>
    <w:rsid w:val="00BC2669"/>
    <w:rsid w:val="00BC2B59"/>
    <w:rsid w:val="00BC2EE1"/>
    <w:rsid w:val="00BC319D"/>
    <w:rsid w:val="00BC3C77"/>
    <w:rsid w:val="00BC3D70"/>
    <w:rsid w:val="00BC3FDC"/>
    <w:rsid w:val="00BC4621"/>
    <w:rsid w:val="00BC4980"/>
    <w:rsid w:val="00BC498B"/>
    <w:rsid w:val="00BC4995"/>
    <w:rsid w:val="00BC54B0"/>
    <w:rsid w:val="00BC560A"/>
    <w:rsid w:val="00BC5787"/>
    <w:rsid w:val="00BC582E"/>
    <w:rsid w:val="00BC5B39"/>
    <w:rsid w:val="00BC5CC0"/>
    <w:rsid w:val="00BC5CCD"/>
    <w:rsid w:val="00BC5D9A"/>
    <w:rsid w:val="00BC5DE9"/>
    <w:rsid w:val="00BC6059"/>
    <w:rsid w:val="00BC62B4"/>
    <w:rsid w:val="00BC62D3"/>
    <w:rsid w:val="00BC63E4"/>
    <w:rsid w:val="00BC6412"/>
    <w:rsid w:val="00BC649C"/>
    <w:rsid w:val="00BC692F"/>
    <w:rsid w:val="00BC693A"/>
    <w:rsid w:val="00BC6D97"/>
    <w:rsid w:val="00BC74D2"/>
    <w:rsid w:val="00BC79EA"/>
    <w:rsid w:val="00BC7BEC"/>
    <w:rsid w:val="00BD0712"/>
    <w:rsid w:val="00BD0AF4"/>
    <w:rsid w:val="00BD0C1A"/>
    <w:rsid w:val="00BD154A"/>
    <w:rsid w:val="00BD1B4B"/>
    <w:rsid w:val="00BD1C96"/>
    <w:rsid w:val="00BD20AB"/>
    <w:rsid w:val="00BD295F"/>
    <w:rsid w:val="00BD2A84"/>
    <w:rsid w:val="00BD2CEE"/>
    <w:rsid w:val="00BD2E6D"/>
    <w:rsid w:val="00BD3131"/>
    <w:rsid w:val="00BD316E"/>
    <w:rsid w:val="00BD350E"/>
    <w:rsid w:val="00BD3B2C"/>
    <w:rsid w:val="00BD4522"/>
    <w:rsid w:val="00BD4785"/>
    <w:rsid w:val="00BD4DD5"/>
    <w:rsid w:val="00BD575F"/>
    <w:rsid w:val="00BD6034"/>
    <w:rsid w:val="00BD73AE"/>
    <w:rsid w:val="00BD7AB0"/>
    <w:rsid w:val="00BE02AD"/>
    <w:rsid w:val="00BE03A8"/>
    <w:rsid w:val="00BE0479"/>
    <w:rsid w:val="00BE09DD"/>
    <w:rsid w:val="00BE0B0F"/>
    <w:rsid w:val="00BE0D91"/>
    <w:rsid w:val="00BE10D2"/>
    <w:rsid w:val="00BE163A"/>
    <w:rsid w:val="00BE1678"/>
    <w:rsid w:val="00BE1EA6"/>
    <w:rsid w:val="00BE1F6E"/>
    <w:rsid w:val="00BE200F"/>
    <w:rsid w:val="00BE221F"/>
    <w:rsid w:val="00BE23F6"/>
    <w:rsid w:val="00BE25C1"/>
    <w:rsid w:val="00BE2AA2"/>
    <w:rsid w:val="00BE3438"/>
    <w:rsid w:val="00BE3D55"/>
    <w:rsid w:val="00BE3F1B"/>
    <w:rsid w:val="00BE40D8"/>
    <w:rsid w:val="00BE4709"/>
    <w:rsid w:val="00BE4939"/>
    <w:rsid w:val="00BE499B"/>
    <w:rsid w:val="00BE4CF4"/>
    <w:rsid w:val="00BE59F6"/>
    <w:rsid w:val="00BE5AAE"/>
    <w:rsid w:val="00BE5DB2"/>
    <w:rsid w:val="00BE6C1D"/>
    <w:rsid w:val="00BE6C54"/>
    <w:rsid w:val="00BE6CDE"/>
    <w:rsid w:val="00BE6F43"/>
    <w:rsid w:val="00BE70A3"/>
    <w:rsid w:val="00BE70E7"/>
    <w:rsid w:val="00BE7212"/>
    <w:rsid w:val="00BE7740"/>
    <w:rsid w:val="00BE7847"/>
    <w:rsid w:val="00BE7CDE"/>
    <w:rsid w:val="00BE7CE6"/>
    <w:rsid w:val="00BE7E03"/>
    <w:rsid w:val="00BE7F5A"/>
    <w:rsid w:val="00BF0091"/>
    <w:rsid w:val="00BF017F"/>
    <w:rsid w:val="00BF03F5"/>
    <w:rsid w:val="00BF08A0"/>
    <w:rsid w:val="00BF0A8C"/>
    <w:rsid w:val="00BF0B59"/>
    <w:rsid w:val="00BF120E"/>
    <w:rsid w:val="00BF15AB"/>
    <w:rsid w:val="00BF20D3"/>
    <w:rsid w:val="00BF2207"/>
    <w:rsid w:val="00BF22A6"/>
    <w:rsid w:val="00BF2556"/>
    <w:rsid w:val="00BF26DF"/>
    <w:rsid w:val="00BF2909"/>
    <w:rsid w:val="00BF2A34"/>
    <w:rsid w:val="00BF2A89"/>
    <w:rsid w:val="00BF2AA1"/>
    <w:rsid w:val="00BF33EB"/>
    <w:rsid w:val="00BF353B"/>
    <w:rsid w:val="00BF3DA8"/>
    <w:rsid w:val="00BF42C3"/>
    <w:rsid w:val="00BF44D2"/>
    <w:rsid w:val="00BF4685"/>
    <w:rsid w:val="00BF47B5"/>
    <w:rsid w:val="00BF4BF3"/>
    <w:rsid w:val="00BF500B"/>
    <w:rsid w:val="00BF53FB"/>
    <w:rsid w:val="00BF5550"/>
    <w:rsid w:val="00BF5610"/>
    <w:rsid w:val="00BF5A03"/>
    <w:rsid w:val="00BF5C77"/>
    <w:rsid w:val="00BF5DC0"/>
    <w:rsid w:val="00BF6535"/>
    <w:rsid w:val="00BF697C"/>
    <w:rsid w:val="00BF6A18"/>
    <w:rsid w:val="00BF6A95"/>
    <w:rsid w:val="00BF6AF0"/>
    <w:rsid w:val="00BF7502"/>
    <w:rsid w:val="00BF770E"/>
    <w:rsid w:val="00BF7792"/>
    <w:rsid w:val="00BF7A55"/>
    <w:rsid w:val="00BF7B50"/>
    <w:rsid w:val="00BF7D40"/>
    <w:rsid w:val="00C00B89"/>
    <w:rsid w:val="00C0112F"/>
    <w:rsid w:val="00C013CD"/>
    <w:rsid w:val="00C019A8"/>
    <w:rsid w:val="00C01C98"/>
    <w:rsid w:val="00C0261E"/>
    <w:rsid w:val="00C02C2C"/>
    <w:rsid w:val="00C02F05"/>
    <w:rsid w:val="00C0302D"/>
    <w:rsid w:val="00C03081"/>
    <w:rsid w:val="00C03241"/>
    <w:rsid w:val="00C03AF5"/>
    <w:rsid w:val="00C03B06"/>
    <w:rsid w:val="00C03E08"/>
    <w:rsid w:val="00C0415E"/>
    <w:rsid w:val="00C04386"/>
    <w:rsid w:val="00C0471E"/>
    <w:rsid w:val="00C05F53"/>
    <w:rsid w:val="00C05FF7"/>
    <w:rsid w:val="00C07042"/>
    <w:rsid w:val="00C07357"/>
    <w:rsid w:val="00C079C1"/>
    <w:rsid w:val="00C07CEE"/>
    <w:rsid w:val="00C101A8"/>
    <w:rsid w:val="00C101CF"/>
    <w:rsid w:val="00C10276"/>
    <w:rsid w:val="00C103A9"/>
    <w:rsid w:val="00C10744"/>
    <w:rsid w:val="00C10972"/>
    <w:rsid w:val="00C10B6B"/>
    <w:rsid w:val="00C10D2F"/>
    <w:rsid w:val="00C10F77"/>
    <w:rsid w:val="00C11239"/>
    <w:rsid w:val="00C113B1"/>
    <w:rsid w:val="00C12BA9"/>
    <w:rsid w:val="00C12D1E"/>
    <w:rsid w:val="00C13377"/>
    <w:rsid w:val="00C134F2"/>
    <w:rsid w:val="00C13F62"/>
    <w:rsid w:val="00C144F9"/>
    <w:rsid w:val="00C14770"/>
    <w:rsid w:val="00C14D40"/>
    <w:rsid w:val="00C14D43"/>
    <w:rsid w:val="00C14DD0"/>
    <w:rsid w:val="00C154D0"/>
    <w:rsid w:val="00C15A1E"/>
    <w:rsid w:val="00C15B1A"/>
    <w:rsid w:val="00C1616C"/>
    <w:rsid w:val="00C16204"/>
    <w:rsid w:val="00C1637C"/>
    <w:rsid w:val="00C16A77"/>
    <w:rsid w:val="00C16B4F"/>
    <w:rsid w:val="00C16CFA"/>
    <w:rsid w:val="00C16DFF"/>
    <w:rsid w:val="00C16FBC"/>
    <w:rsid w:val="00C17019"/>
    <w:rsid w:val="00C17260"/>
    <w:rsid w:val="00C17855"/>
    <w:rsid w:val="00C17E22"/>
    <w:rsid w:val="00C20016"/>
    <w:rsid w:val="00C202DF"/>
    <w:rsid w:val="00C204E3"/>
    <w:rsid w:val="00C20503"/>
    <w:rsid w:val="00C20B9B"/>
    <w:rsid w:val="00C20DC6"/>
    <w:rsid w:val="00C20FD7"/>
    <w:rsid w:val="00C210D7"/>
    <w:rsid w:val="00C21150"/>
    <w:rsid w:val="00C212CE"/>
    <w:rsid w:val="00C21584"/>
    <w:rsid w:val="00C21654"/>
    <w:rsid w:val="00C2225B"/>
    <w:rsid w:val="00C22793"/>
    <w:rsid w:val="00C23478"/>
    <w:rsid w:val="00C238FF"/>
    <w:rsid w:val="00C2452C"/>
    <w:rsid w:val="00C249FB"/>
    <w:rsid w:val="00C24B90"/>
    <w:rsid w:val="00C24EFD"/>
    <w:rsid w:val="00C25451"/>
    <w:rsid w:val="00C25684"/>
    <w:rsid w:val="00C25BDB"/>
    <w:rsid w:val="00C25C8F"/>
    <w:rsid w:val="00C25EFA"/>
    <w:rsid w:val="00C26178"/>
    <w:rsid w:val="00C2627B"/>
    <w:rsid w:val="00C26A36"/>
    <w:rsid w:val="00C26C10"/>
    <w:rsid w:val="00C26D1F"/>
    <w:rsid w:val="00C26D97"/>
    <w:rsid w:val="00C272A6"/>
    <w:rsid w:val="00C2742C"/>
    <w:rsid w:val="00C27598"/>
    <w:rsid w:val="00C278E2"/>
    <w:rsid w:val="00C27C14"/>
    <w:rsid w:val="00C27DDE"/>
    <w:rsid w:val="00C27F0E"/>
    <w:rsid w:val="00C27F31"/>
    <w:rsid w:val="00C30196"/>
    <w:rsid w:val="00C302F5"/>
    <w:rsid w:val="00C30480"/>
    <w:rsid w:val="00C30571"/>
    <w:rsid w:val="00C30918"/>
    <w:rsid w:val="00C30F66"/>
    <w:rsid w:val="00C313C9"/>
    <w:rsid w:val="00C3140D"/>
    <w:rsid w:val="00C31B31"/>
    <w:rsid w:val="00C31B36"/>
    <w:rsid w:val="00C320A0"/>
    <w:rsid w:val="00C3221C"/>
    <w:rsid w:val="00C322BE"/>
    <w:rsid w:val="00C3306E"/>
    <w:rsid w:val="00C33127"/>
    <w:rsid w:val="00C3338A"/>
    <w:rsid w:val="00C33434"/>
    <w:rsid w:val="00C33FD5"/>
    <w:rsid w:val="00C345FF"/>
    <w:rsid w:val="00C34B61"/>
    <w:rsid w:val="00C34F3D"/>
    <w:rsid w:val="00C353EB"/>
    <w:rsid w:val="00C359A6"/>
    <w:rsid w:val="00C35B8A"/>
    <w:rsid w:val="00C35C42"/>
    <w:rsid w:val="00C36631"/>
    <w:rsid w:val="00C367C5"/>
    <w:rsid w:val="00C36900"/>
    <w:rsid w:val="00C36AA5"/>
    <w:rsid w:val="00C36B11"/>
    <w:rsid w:val="00C37018"/>
    <w:rsid w:val="00C3759D"/>
    <w:rsid w:val="00C37B9D"/>
    <w:rsid w:val="00C37BF4"/>
    <w:rsid w:val="00C37EF4"/>
    <w:rsid w:val="00C40429"/>
    <w:rsid w:val="00C4044D"/>
    <w:rsid w:val="00C40AF3"/>
    <w:rsid w:val="00C40E14"/>
    <w:rsid w:val="00C40E3F"/>
    <w:rsid w:val="00C40FAB"/>
    <w:rsid w:val="00C4109E"/>
    <w:rsid w:val="00C4111D"/>
    <w:rsid w:val="00C416C6"/>
    <w:rsid w:val="00C4179D"/>
    <w:rsid w:val="00C417D0"/>
    <w:rsid w:val="00C41867"/>
    <w:rsid w:val="00C4187E"/>
    <w:rsid w:val="00C41896"/>
    <w:rsid w:val="00C41D11"/>
    <w:rsid w:val="00C42533"/>
    <w:rsid w:val="00C42862"/>
    <w:rsid w:val="00C42A51"/>
    <w:rsid w:val="00C430B7"/>
    <w:rsid w:val="00C43415"/>
    <w:rsid w:val="00C43DA8"/>
    <w:rsid w:val="00C44070"/>
    <w:rsid w:val="00C4477E"/>
    <w:rsid w:val="00C447A3"/>
    <w:rsid w:val="00C44CE8"/>
    <w:rsid w:val="00C45100"/>
    <w:rsid w:val="00C4538F"/>
    <w:rsid w:val="00C45D3B"/>
    <w:rsid w:val="00C4635A"/>
    <w:rsid w:val="00C4680E"/>
    <w:rsid w:val="00C46BC9"/>
    <w:rsid w:val="00C46D46"/>
    <w:rsid w:val="00C46E06"/>
    <w:rsid w:val="00C46F0F"/>
    <w:rsid w:val="00C46FB2"/>
    <w:rsid w:val="00C47071"/>
    <w:rsid w:val="00C4796E"/>
    <w:rsid w:val="00C47B66"/>
    <w:rsid w:val="00C47EE3"/>
    <w:rsid w:val="00C47FED"/>
    <w:rsid w:val="00C50060"/>
    <w:rsid w:val="00C502E2"/>
    <w:rsid w:val="00C50A9C"/>
    <w:rsid w:val="00C50CF9"/>
    <w:rsid w:val="00C50D7C"/>
    <w:rsid w:val="00C51342"/>
    <w:rsid w:val="00C51690"/>
    <w:rsid w:val="00C5195A"/>
    <w:rsid w:val="00C51B84"/>
    <w:rsid w:val="00C51EE6"/>
    <w:rsid w:val="00C523BA"/>
    <w:rsid w:val="00C526DE"/>
    <w:rsid w:val="00C52C06"/>
    <w:rsid w:val="00C52C49"/>
    <w:rsid w:val="00C52D89"/>
    <w:rsid w:val="00C53BA3"/>
    <w:rsid w:val="00C53BE0"/>
    <w:rsid w:val="00C53ECF"/>
    <w:rsid w:val="00C548DF"/>
    <w:rsid w:val="00C550C8"/>
    <w:rsid w:val="00C5550C"/>
    <w:rsid w:val="00C555BD"/>
    <w:rsid w:val="00C55876"/>
    <w:rsid w:val="00C55F21"/>
    <w:rsid w:val="00C56884"/>
    <w:rsid w:val="00C568A9"/>
    <w:rsid w:val="00C5697D"/>
    <w:rsid w:val="00C56CEF"/>
    <w:rsid w:val="00C57573"/>
    <w:rsid w:val="00C578D4"/>
    <w:rsid w:val="00C57B60"/>
    <w:rsid w:val="00C606A0"/>
    <w:rsid w:val="00C60D70"/>
    <w:rsid w:val="00C60E68"/>
    <w:rsid w:val="00C61020"/>
    <w:rsid w:val="00C610B4"/>
    <w:rsid w:val="00C611F3"/>
    <w:rsid w:val="00C61292"/>
    <w:rsid w:val="00C617F9"/>
    <w:rsid w:val="00C61F67"/>
    <w:rsid w:val="00C62E7F"/>
    <w:rsid w:val="00C6306C"/>
    <w:rsid w:val="00C635DB"/>
    <w:rsid w:val="00C63A29"/>
    <w:rsid w:val="00C63DE2"/>
    <w:rsid w:val="00C63F66"/>
    <w:rsid w:val="00C6409C"/>
    <w:rsid w:val="00C6431E"/>
    <w:rsid w:val="00C6454B"/>
    <w:rsid w:val="00C64BA0"/>
    <w:rsid w:val="00C65233"/>
    <w:rsid w:val="00C65491"/>
    <w:rsid w:val="00C6624F"/>
    <w:rsid w:val="00C66768"/>
    <w:rsid w:val="00C669D1"/>
    <w:rsid w:val="00C66DBA"/>
    <w:rsid w:val="00C67191"/>
    <w:rsid w:val="00C672C8"/>
    <w:rsid w:val="00C673B5"/>
    <w:rsid w:val="00C6740A"/>
    <w:rsid w:val="00C67AC8"/>
    <w:rsid w:val="00C67B05"/>
    <w:rsid w:val="00C67EC6"/>
    <w:rsid w:val="00C67FD4"/>
    <w:rsid w:val="00C70135"/>
    <w:rsid w:val="00C70C53"/>
    <w:rsid w:val="00C70CCD"/>
    <w:rsid w:val="00C70D39"/>
    <w:rsid w:val="00C70FE0"/>
    <w:rsid w:val="00C71390"/>
    <w:rsid w:val="00C71584"/>
    <w:rsid w:val="00C719E7"/>
    <w:rsid w:val="00C71A2B"/>
    <w:rsid w:val="00C71EBF"/>
    <w:rsid w:val="00C72FF4"/>
    <w:rsid w:val="00C73542"/>
    <w:rsid w:val="00C73A78"/>
    <w:rsid w:val="00C73C63"/>
    <w:rsid w:val="00C73E6D"/>
    <w:rsid w:val="00C746BD"/>
    <w:rsid w:val="00C74C79"/>
    <w:rsid w:val="00C75113"/>
    <w:rsid w:val="00C7514B"/>
    <w:rsid w:val="00C751BD"/>
    <w:rsid w:val="00C753A9"/>
    <w:rsid w:val="00C75C4A"/>
    <w:rsid w:val="00C763EB"/>
    <w:rsid w:val="00C76D2F"/>
    <w:rsid w:val="00C7769D"/>
    <w:rsid w:val="00C77D4C"/>
    <w:rsid w:val="00C80559"/>
    <w:rsid w:val="00C80C11"/>
    <w:rsid w:val="00C80DA9"/>
    <w:rsid w:val="00C810F6"/>
    <w:rsid w:val="00C813B9"/>
    <w:rsid w:val="00C81558"/>
    <w:rsid w:val="00C819A2"/>
    <w:rsid w:val="00C81B91"/>
    <w:rsid w:val="00C81E35"/>
    <w:rsid w:val="00C822E0"/>
    <w:rsid w:val="00C82A87"/>
    <w:rsid w:val="00C82C87"/>
    <w:rsid w:val="00C82FDC"/>
    <w:rsid w:val="00C8351C"/>
    <w:rsid w:val="00C837A9"/>
    <w:rsid w:val="00C83BA4"/>
    <w:rsid w:val="00C83F06"/>
    <w:rsid w:val="00C8423A"/>
    <w:rsid w:val="00C843E6"/>
    <w:rsid w:val="00C84556"/>
    <w:rsid w:val="00C84701"/>
    <w:rsid w:val="00C8485B"/>
    <w:rsid w:val="00C84C6E"/>
    <w:rsid w:val="00C850B4"/>
    <w:rsid w:val="00C852DC"/>
    <w:rsid w:val="00C85317"/>
    <w:rsid w:val="00C8566C"/>
    <w:rsid w:val="00C8582C"/>
    <w:rsid w:val="00C85EC8"/>
    <w:rsid w:val="00C86215"/>
    <w:rsid w:val="00C86773"/>
    <w:rsid w:val="00C86AE0"/>
    <w:rsid w:val="00C86DE9"/>
    <w:rsid w:val="00C86FCE"/>
    <w:rsid w:val="00C87220"/>
    <w:rsid w:val="00C8786A"/>
    <w:rsid w:val="00C878C2"/>
    <w:rsid w:val="00C87AF1"/>
    <w:rsid w:val="00C90047"/>
    <w:rsid w:val="00C90480"/>
    <w:rsid w:val="00C90941"/>
    <w:rsid w:val="00C90B8E"/>
    <w:rsid w:val="00C91305"/>
    <w:rsid w:val="00C916F7"/>
    <w:rsid w:val="00C91C9F"/>
    <w:rsid w:val="00C91E1C"/>
    <w:rsid w:val="00C9247F"/>
    <w:rsid w:val="00C92D5B"/>
    <w:rsid w:val="00C93269"/>
    <w:rsid w:val="00C932C3"/>
    <w:rsid w:val="00C93487"/>
    <w:rsid w:val="00C93870"/>
    <w:rsid w:val="00C94144"/>
    <w:rsid w:val="00C94176"/>
    <w:rsid w:val="00C94357"/>
    <w:rsid w:val="00C94696"/>
    <w:rsid w:val="00C94A92"/>
    <w:rsid w:val="00C95F2F"/>
    <w:rsid w:val="00C96424"/>
    <w:rsid w:val="00C96EF5"/>
    <w:rsid w:val="00C96F28"/>
    <w:rsid w:val="00C96F29"/>
    <w:rsid w:val="00C9737D"/>
    <w:rsid w:val="00C97555"/>
    <w:rsid w:val="00C97EB1"/>
    <w:rsid w:val="00CA095B"/>
    <w:rsid w:val="00CA0C6D"/>
    <w:rsid w:val="00CA14C7"/>
    <w:rsid w:val="00CA1B27"/>
    <w:rsid w:val="00CA20D7"/>
    <w:rsid w:val="00CA2FE2"/>
    <w:rsid w:val="00CA3112"/>
    <w:rsid w:val="00CA3AFC"/>
    <w:rsid w:val="00CA3D98"/>
    <w:rsid w:val="00CA3DEE"/>
    <w:rsid w:val="00CA40DE"/>
    <w:rsid w:val="00CA424B"/>
    <w:rsid w:val="00CA47EB"/>
    <w:rsid w:val="00CA4837"/>
    <w:rsid w:val="00CA48C7"/>
    <w:rsid w:val="00CA48F5"/>
    <w:rsid w:val="00CA4A63"/>
    <w:rsid w:val="00CA4E35"/>
    <w:rsid w:val="00CA515E"/>
    <w:rsid w:val="00CA51D1"/>
    <w:rsid w:val="00CA5E39"/>
    <w:rsid w:val="00CA6774"/>
    <w:rsid w:val="00CA6AC5"/>
    <w:rsid w:val="00CA6B32"/>
    <w:rsid w:val="00CA77A8"/>
    <w:rsid w:val="00CB08FF"/>
    <w:rsid w:val="00CB092D"/>
    <w:rsid w:val="00CB0CF9"/>
    <w:rsid w:val="00CB101F"/>
    <w:rsid w:val="00CB1344"/>
    <w:rsid w:val="00CB2198"/>
    <w:rsid w:val="00CB274B"/>
    <w:rsid w:val="00CB3417"/>
    <w:rsid w:val="00CB358C"/>
    <w:rsid w:val="00CB3616"/>
    <w:rsid w:val="00CB36BD"/>
    <w:rsid w:val="00CB36C2"/>
    <w:rsid w:val="00CB3AEC"/>
    <w:rsid w:val="00CB4085"/>
    <w:rsid w:val="00CB40CA"/>
    <w:rsid w:val="00CB4203"/>
    <w:rsid w:val="00CB429A"/>
    <w:rsid w:val="00CB44B7"/>
    <w:rsid w:val="00CB4C44"/>
    <w:rsid w:val="00CB552E"/>
    <w:rsid w:val="00CB55FE"/>
    <w:rsid w:val="00CB596A"/>
    <w:rsid w:val="00CB5C7E"/>
    <w:rsid w:val="00CB6203"/>
    <w:rsid w:val="00CB638B"/>
    <w:rsid w:val="00CB753F"/>
    <w:rsid w:val="00CB764E"/>
    <w:rsid w:val="00CB7BCC"/>
    <w:rsid w:val="00CB7E70"/>
    <w:rsid w:val="00CC01A6"/>
    <w:rsid w:val="00CC067E"/>
    <w:rsid w:val="00CC086A"/>
    <w:rsid w:val="00CC0AA7"/>
    <w:rsid w:val="00CC0BFB"/>
    <w:rsid w:val="00CC0F95"/>
    <w:rsid w:val="00CC1154"/>
    <w:rsid w:val="00CC12CF"/>
    <w:rsid w:val="00CC1714"/>
    <w:rsid w:val="00CC171F"/>
    <w:rsid w:val="00CC1804"/>
    <w:rsid w:val="00CC1A26"/>
    <w:rsid w:val="00CC1BF3"/>
    <w:rsid w:val="00CC22DE"/>
    <w:rsid w:val="00CC2518"/>
    <w:rsid w:val="00CC26DD"/>
    <w:rsid w:val="00CC29AA"/>
    <w:rsid w:val="00CC29BF"/>
    <w:rsid w:val="00CC2BFC"/>
    <w:rsid w:val="00CC3095"/>
    <w:rsid w:val="00CC316F"/>
    <w:rsid w:val="00CC3621"/>
    <w:rsid w:val="00CC367D"/>
    <w:rsid w:val="00CC36D8"/>
    <w:rsid w:val="00CC3B10"/>
    <w:rsid w:val="00CC40DD"/>
    <w:rsid w:val="00CC420C"/>
    <w:rsid w:val="00CC448C"/>
    <w:rsid w:val="00CC4CA3"/>
    <w:rsid w:val="00CC566E"/>
    <w:rsid w:val="00CC5B35"/>
    <w:rsid w:val="00CC5CA2"/>
    <w:rsid w:val="00CC5D14"/>
    <w:rsid w:val="00CC607A"/>
    <w:rsid w:val="00CC6705"/>
    <w:rsid w:val="00CC67F5"/>
    <w:rsid w:val="00CC7CCC"/>
    <w:rsid w:val="00CC7FF3"/>
    <w:rsid w:val="00CD0261"/>
    <w:rsid w:val="00CD0983"/>
    <w:rsid w:val="00CD1012"/>
    <w:rsid w:val="00CD1078"/>
    <w:rsid w:val="00CD18A1"/>
    <w:rsid w:val="00CD1F20"/>
    <w:rsid w:val="00CD22C6"/>
    <w:rsid w:val="00CD2439"/>
    <w:rsid w:val="00CD26FA"/>
    <w:rsid w:val="00CD2A1A"/>
    <w:rsid w:val="00CD3921"/>
    <w:rsid w:val="00CD3C65"/>
    <w:rsid w:val="00CD414B"/>
    <w:rsid w:val="00CD4204"/>
    <w:rsid w:val="00CD55BC"/>
    <w:rsid w:val="00CD5C6C"/>
    <w:rsid w:val="00CD5E82"/>
    <w:rsid w:val="00CD5FBC"/>
    <w:rsid w:val="00CD60B1"/>
    <w:rsid w:val="00CD6489"/>
    <w:rsid w:val="00CD6491"/>
    <w:rsid w:val="00CD6618"/>
    <w:rsid w:val="00CD68FB"/>
    <w:rsid w:val="00CD69A1"/>
    <w:rsid w:val="00CD6DD3"/>
    <w:rsid w:val="00CD77B3"/>
    <w:rsid w:val="00CD7F85"/>
    <w:rsid w:val="00CE024D"/>
    <w:rsid w:val="00CE029A"/>
    <w:rsid w:val="00CE097E"/>
    <w:rsid w:val="00CE1350"/>
    <w:rsid w:val="00CE1CFB"/>
    <w:rsid w:val="00CE1DD9"/>
    <w:rsid w:val="00CE2FA6"/>
    <w:rsid w:val="00CE36CB"/>
    <w:rsid w:val="00CE36CF"/>
    <w:rsid w:val="00CE38A4"/>
    <w:rsid w:val="00CE40A9"/>
    <w:rsid w:val="00CE4970"/>
    <w:rsid w:val="00CE5A10"/>
    <w:rsid w:val="00CE5CF9"/>
    <w:rsid w:val="00CE621A"/>
    <w:rsid w:val="00CE669B"/>
    <w:rsid w:val="00CE676C"/>
    <w:rsid w:val="00CE68E8"/>
    <w:rsid w:val="00CE7B7B"/>
    <w:rsid w:val="00CE7E76"/>
    <w:rsid w:val="00CF0779"/>
    <w:rsid w:val="00CF0920"/>
    <w:rsid w:val="00CF0B29"/>
    <w:rsid w:val="00CF0D1F"/>
    <w:rsid w:val="00CF0E45"/>
    <w:rsid w:val="00CF111E"/>
    <w:rsid w:val="00CF13EB"/>
    <w:rsid w:val="00CF1589"/>
    <w:rsid w:val="00CF17FE"/>
    <w:rsid w:val="00CF19C4"/>
    <w:rsid w:val="00CF1AC0"/>
    <w:rsid w:val="00CF1C29"/>
    <w:rsid w:val="00CF2076"/>
    <w:rsid w:val="00CF2733"/>
    <w:rsid w:val="00CF2C1C"/>
    <w:rsid w:val="00CF2EB5"/>
    <w:rsid w:val="00CF3420"/>
    <w:rsid w:val="00CF34AE"/>
    <w:rsid w:val="00CF369E"/>
    <w:rsid w:val="00CF379B"/>
    <w:rsid w:val="00CF3980"/>
    <w:rsid w:val="00CF3C84"/>
    <w:rsid w:val="00CF4283"/>
    <w:rsid w:val="00CF455E"/>
    <w:rsid w:val="00CF4D71"/>
    <w:rsid w:val="00CF4D92"/>
    <w:rsid w:val="00CF50CC"/>
    <w:rsid w:val="00CF5581"/>
    <w:rsid w:val="00CF580D"/>
    <w:rsid w:val="00CF58C0"/>
    <w:rsid w:val="00CF5902"/>
    <w:rsid w:val="00CF5A9D"/>
    <w:rsid w:val="00CF69AA"/>
    <w:rsid w:val="00CF69E9"/>
    <w:rsid w:val="00CF6AC5"/>
    <w:rsid w:val="00CF6D2E"/>
    <w:rsid w:val="00CF6D55"/>
    <w:rsid w:val="00CF6F80"/>
    <w:rsid w:val="00CF75C0"/>
    <w:rsid w:val="00CF7F90"/>
    <w:rsid w:val="00D0065E"/>
    <w:rsid w:val="00D0097E"/>
    <w:rsid w:val="00D00F49"/>
    <w:rsid w:val="00D01024"/>
    <w:rsid w:val="00D012AE"/>
    <w:rsid w:val="00D01B01"/>
    <w:rsid w:val="00D01C3B"/>
    <w:rsid w:val="00D01D7D"/>
    <w:rsid w:val="00D0208D"/>
    <w:rsid w:val="00D02864"/>
    <w:rsid w:val="00D02DAF"/>
    <w:rsid w:val="00D03419"/>
    <w:rsid w:val="00D03421"/>
    <w:rsid w:val="00D03501"/>
    <w:rsid w:val="00D038B4"/>
    <w:rsid w:val="00D05432"/>
    <w:rsid w:val="00D055C7"/>
    <w:rsid w:val="00D05D2B"/>
    <w:rsid w:val="00D06AC8"/>
    <w:rsid w:val="00D06C47"/>
    <w:rsid w:val="00D06DAB"/>
    <w:rsid w:val="00D06FDC"/>
    <w:rsid w:val="00D06FEB"/>
    <w:rsid w:val="00D075C4"/>
    <w:rsid w:val="00D07EEE"/>
    <w:rsid w:val="00D1076A"/>
    <w:rsid w:val="00D10DF2"/>
    <w:rsid w:val="00D1143A"/>
    <w:rsid w:val="00D11500"/>
    <w:rsid w:val="00D11899"/>
    <w:rsid w:val="00D11D1C"/>
    <w:rsid w:val="00D1207B"/>
    <w:rsid w:val="00D123E2"/>
    <w:rsid w:val="00D1246E"/>
    <w:rsid w:val="00D1312E"/>
    <w:rsid w:val="00D132D6"/>
    <w:rsid w:val="00D1384C"/>
    <w:rsid w:val="00D13B44"/>
    <w:rsid w:val="00D13BD8"/>
    <w:rsid w:val="00D13D6A"/>
    <w:rsid w:val="00D14309"/>
    <w:rsid w:val="00D14DD2"/>
    <w:rsid w:val="00D153DC"/>
    <w:rsid w:val="00D1577C"/>
    <w:rsid w:val="00D159E1"/>
    <w:rsid w:val="00D15DC7"/>
    <w:rsid w:val="00D16019"/>
    <w:rsid w:val="00D164E5"/>
    <w:rsid w:val="00D1675E"/>
    <w:rsid w:val="00D16FCF"/>
    <w:rsid w:val="00D17250"/>
    <w:rsid w:val="00D17378"/>
    <w:rsid w:val="00D17494"/>
    <w:rsid w:val="00D17D6D"/>
    <w:rsid w:val="00D20017"/>
    <w:rsid w:val="00D20385"/>
    <w:rsid w:val="00D203E3"/>
    <w:rsid w:val="00D20A15"/>
    <w:rsid w:val="00D20AF7"/>
    <w:rsid w:val="00D21017"/>
    <w:rsid w:val="00D21425"/>
    <w:rsid w:val="00D21479"/>
    <w:rsid w:val="00D21A28"/>
    <w:rsid w:val="00D21A93"/>
    <w:rsid w:val="00D21AA5"/>
    <w:rsid w:val="00D21B81"/>
    <w:rsid w:val="00D21C83"/>
    <w:rsid w:val="00D221E8"/>
    <w:rsid w:val="00D2279F"/>
    <w:rsid w:val="00D2284C"/>
    <w:rsid w:val="00D22866"/>
    <w:rsid w:val="00D22914"/>
    <w:rsid w:val="00D23949"/>
    <w:rsid w:val="00D23A2D"/>
    <w:rsid w:val="00D23BD5"/>
    <w:rsid w:val="00D23DD6"/>
    <w:rsid w:val="00D23F0B"/>
    <w:rsid w:val="00D25584"/>
    <w:rsid w:val="00D258E4"/>
    <w:rsid w:val="00D25EB2"/>
    <w:rsid w:val="00D2649E"/>
    <w:rsid w:val="00D26AFA"/>
    <w:rsid w:val="00D2724A"/>
    <w:rsid w:val="00D27994"/>
    <w:rsid w:val="00D279D8"/>
    <w:rsid w:val="00D27A46"/>
    <w:rsid w:val="00D27C9C"/>
    <w:rsid w:val="00D317C1"/>
    <w:rsid w:val="00D31882"/>
    <w:rsid w:val="00D31B59"/>
    <w:rsid w:val="00D31DC0"/>
    <w:rsid w:val="00D31E3F"/>
    <w:rsid w:val="00D32318"/>
    <w:rsid w:val="00D3274E"/>
    <w:rsid w:val="00D32759"/>
    <w:rsid w:val="00D328C1"/>
    <w:rsid w:val="00D32AE7"/>
    <w:rsid w:val="00D33588"/>
    <w:rsid w:val="00D336AA"/>
    <w:rsid w:val="00D33B9E"/>
    <w:rsid w:val="00D33FAD"/>
    <w:rsid w:val="00D340FF"/>
    <w:rsid w:val="00D34585"/>
    <w:rsid w:val="00D34D20"/>
    <w:rsid w:val="00D34D2D"/>
    <w:rsid w:val="00D34F52"/>
    <w:rsid w:val="00D357F4"/>
    <w:rsid w:val="00D35A16"/>
    <w:rsid w:val="00D35CAB"/>
    <w:rsid w:val="00D35E93"/>
    <w:rsid w:val="00D363B1"/>
    <w:rsid w:val="00D370D7"/>
    <w:rsid w:val="00D372E0"/>
    <w:rsid w:val="00D37363"/>
    <w:rsid w:val="00D373FD"/>
    <w:rsid w:val="00D376CF"/>
    <w:rsid w:val="00D40051"/>
    <w:rsid w:val="00D40F0E"/>
    <w:rsid w:val="00D41144"/>
    <w:rsid w:val="00D416CB"/>
    <w:rsid w:val="00D422F8"/>
    <w:rsid w:val="00D424FF"/>
    <w:rsid w:val="00D427E6"/>
    <w:rsid w:val="00D42B6A"/>
    <w:rsid w:val="00D42BBC"/>
    <w:rsid w:val="00D42D59"/>
    <w:rsid w:val="00D4333D"/>
    <w:rsid w:val="00D4356D"/>
    <w:rsid w:val="00D43AC5"/>
    <w:rsid w:val="00D43F12"/>
    <w:rsid w:val="00D43FD8"/>
    <w:rsid w:val="00D445F4"/>
    <w:rsid w:val="00D4496E"/>
    <w:rsid w:val="00D44BA2"/>
    <w:rsid w:val="00D44CF9"/>
    <w:rsid w:val="00D44EBB"/>
    <w:rsid w:val="00D45329"/>
    <w:rsid w:val="00D4588B"/>
    <w:rsid w:val="00D45999"/>
    <w:rsid w:val="00D45F87"/>
    <w:rsid w:val="00D465D9"/>
    <w:rsid w:val="00D46AA5"/>
    <w:rsid w:val="00D47127"/>
    <w:rsid w:val="00D473CC"/>
    <w:rsid w:val="00D473D9"/>
    <w:rsid w:val="00D4762F"/>
    <w:rsid w:val="00D477BF"/>
    <w:rsid w:val="00D47DBC"/>
    <w:rsid w:val="00D47E30"/>
    <w:rsid w:val="00D47F99"/>
    <w:rsid w:val="00D504E9"/>
    <w:rsid w:val="00D509EA"/>
    <w:rsid w:val="00D50A1E"/>
    <w:rsid w:val="00D50B24"/>
    <w:rsid w:val="00D50D55"/>
    <w:rsid w:val="00D514D7"/>
    <w:rsid w:val="00D519CE"/>
    <w:rsid w:val="00D51DA3"/>
    <w:rsid w:val="00D52274"/>
    <w:rsid w:val="00D522C9"/>
    <w:rsid w:val="00D52594"/>
    <w:rsid w:val="00D52616"/>
    <w:rsid w:val="00D52645"/>
    <w:rsid w:val="00D526CF"/>
    <w:rsid w:val="00D52888"/>
    <w:rsid w:val="00D528A3"/>
    <w:rsid w:val="00D52A77"/>
    <w:rsid w:val="00D5305C"/>
    <w:rsid w:val="00D53448"/>
    <w:rsid w:val="00D5345E"/>
    <w:rsid w:val="00D534D8"/>
    <w:rsid w:val="00D53C0F"/>
    <w:rsid w:val="00D53E63"/>
    <w:rsid w:val="00D5423B"/>
    <w:rsid w:val="00D547E2"/>
    <w:rsid w:val="00D54B2B"/>
    <w:rsid w:val="00D54BA3"/>
    <w:rsid w:val="00D54F6A"/>
    <w:rsid w:val="00D550F5"/>
    <w:rsid w:val="00D55415"/>
    <w:rsid w:val="00D5562E"/>
    <w:rsid w:val="00D5600E"/>
    <w:rsid w:val="00D560F9"/>
    <w:rsid w:val="00D565C8"/>
    <w:rsid w:val="00D56C88"/>
    <w:rsid w:val="00D57198"/>
    <w:rsid w:val="00D57E51"/>
    <w:rsid w:val="00D60127"/>
    <w:rsid w:val="00D6014E"/>
    <w:rsid w:val="00D60168"/>
    <w:rsid w:val="00D6016A"/>
    <w:rsid w:val="00D602DF"/>
    <w:rsid w:val="00D602EF"/>
    <w:rsid w:val="00D6034D"/>
    <w:rsid w:val="00D60838"/>
    <w:rsid w:val="00D60DD4"/>
    <w:rsid w:val="00D60F87"/>
    <w:rsid w:val="00D611A9"/>
    <w:rsid w:val="00D6177D"/>
    <w:rsid w:val="00D617FA"/>
    <w:rsid w:val="00D61A4B"/>
    <w:rsid w:val="00D61FCE"/>
    <w:rsid w:val="00D62B68"/>
    <w:rsid w:val="00D6304E"/>
    <w:rsid w:val="00D63131"/>
    <w:rsid w:val="00D632C6"/>
    <w:rsid w:val="00D634D9"/>
    <w:rsid w:val="00D63575"/>
    <w:rsid w:val="00D63E09"/>
    <w:rsid w:val="00D63EDC"/>
    <w:rsid w:val="00D65189"/>
    <w:rsid w:val="00D658E7"/>
    <w:rsid w:val="00D65AD6"/>
    <w:rsid w:val="00D6634E"/>
    <w:rsid w:val="00D66575"/>
    <w:rsid w:val="00D668E8"/>
    <w:rsid w:val="00D669BF"/>
    <w:rsid w:val="00D66D13"/>
    <w:rsid w:val="00D66DC9"/>
    <w:rsid w:val="00D66E0E"/>
    <w:rsid w:val="00D66E2D"/>
    <w:rsid w:val="00D66E83"/>
    <w:rsid w:val="00D6742A"/>
    <w:rsid w:val="00D67914"/>
    <w:rsid w:val="00D67A37"/>
    <w:rsid w:val="00D67AA9"/>
    <w:rsid w:val="00D67F28"/>
    <w:rsid w:val="00D7048F"/>
    <w:rsid w:val="00D70502"/>
    <w:rsid w:val="00D70545"/>
    <w:rsid w:val="00D7077F"/>
    <w:rsid w:val="00D70C3B"/>
    <w:rsid w:val="00D70E66"/>
    <w:rsid w:val="00D712EE"/>
    <w:rsid w:val="00D728CA"/>
    <w:rsid w:val="00D72C6F"/>
    <w:rsid w:val="00D7369D"/>
    <w:rsid w:val="00D738A3"/>
    <w:rsid w:val="00D7462F"/>
    <w:rsid w:val="00D74A15"/>
    <w:rsid w:val="00D74E3A"/>
    <w:rsid w:val="00D751C1"/>
    <w:rsid w:val="00D75794"/>
    <w:rsid w:val="00D75925"/>
    <w:rsid w:val="00D75DEC"/>
    <w:rsid w:val="00D75F00"/>
    <w:rsid w:val="00D75FDE"/>
    <w:rsid w:val="00D76AF4"/>
    <w:rsid w:val="00D76D0D"/>
    <w:rsid w:val="00D76D93"/>
    <w:rsid w:val="00D7706B"/>
    <w:rsid w:val="00D77748"/>
    <w:rsid w:val="00D77A7B"/>
    <w:rsid w:val="00D77FF2"/>
    <w:rsid w:val="00D806D1"/>
    <w:rsid w:val="00D80B92"/>
    <w:rsid w:val="00D80F98"/>
    <w:rsid w:val="00D8131B"/>
    <w:rsid w:val="00D823B7"/>
    <w:rsid w:val="00D8295D"/>
    <w:rsid w:val="00D83019"/>
    <w:rsid w:val="00D833CD"/>
    <w:rsid w:val="00D83671"/>
    <w:rsid w:val="00D83872"/>
    <w:rsid w:val="00D83BD3"/>
    <w:rsid w:val="00D83E79"/>
    <w:rsid w:val="00D83F15"/>
    <w:rsid w:val="00D83F38"/>
    <w:rsid w:val="00D845EA"/>
    <w:rsid w:val="00D852CE"/>
    <w:rsid w:val="00D853BD"/>
    <w:rsid w:val="00D854C5"/>
    <w:rsid w:val="00D85946"/>
    <w:rsid w:val="00D85967"/>
    <w:rsid w:val="00D8599E"/>
    <w:rsid w:val="00D85A63"/>
    <w:rsid w:val="00D85E00"/>
    <w:rsid w:val="00D86250"/>
    <w:rsid w:val="00D86576"/>
    <w:rsid w:val="00D8674B"/>
    <w:rsid w:val="00D868D9"/>
    <w:rsid w:val="00D868F8"/>
    <w:rsid w:val="00D87484"/>
    <w:rsid w:val="00D8762F"/>
    <w:rsid w:val="00D87BEF"/>
    <w:rsid w:val="00D87EDF"/>
    <w:rsid w:val="00D90173"/>
    <w:rsid w:val="00D90324"/>
    <w:rsid w:val="00D90D80"/>
    <w:rsid w:val="00D9128E"/>
    <w:rsid w:val="00D914BB"/>
    <w:rsid w:val="00D91722"/>
    <w:rsid w:val="00D91C6F"/>
    <w:rsid w:val="00D91EDB"/>
    <w:rsid w:val="00D92247"/>
    <w:rsid w:val="00D92432"/>
    <w:rsid w:val="00D92C4B"/>
    <w:rsid w:val="00D92E98"/>
    <w:rsid w:val="00D9308A"/>
    <w:rsid w:val="00D938A6"/>
    <w:rsid w:val="00D93983"/>
    <w:rsid w:val="00D93DBC"/>
    <w:rsid w:val="00D94072"/>
    <w:rsid w:val="00D940BA"/>
    <w:rsid w:val="00D9456C"/>
    <w:rsid w:val="00D94AE5"/>
    <w:rsid w:val="00D94E5F"/>
    <w:rsid w:val="00D94F14"/>
    <w:rsid w:val="00D95056"/>
    <w:rsid w:val="00D95497"/>
    <w:rsid w:val="00D955D1"/>
    <w:rsid w:val="00D95888"/>
    <w:rsid w:val="00D97056"/>
    <w:rsid w:val="00D9712A"/>
    <w:rsid w:val="00D97194"/>
    <w:rsid w:val="00D977A6"/>
    <w:rsid w:val="00D9794E"/>
    <w:rsid w:val="00D97BE8"/>
    <w:rsid w:val="00DA013B"/>
    <w:rsid w:val="00DA181D"/>
    <w:rsid w:val="00DA19C2"/>
    <w:rsid w:val="00DA26E9"/>
    <w:rsid w:val="00DA2FAA"/>
    <w:rsid w:val="00DA325F"/>
    <w:rsid w:val="00DA3343"/>
    <w:rsid w:val="00DA3454"/>
    <w:rsid w:val="00DA3458"/>
    <w:rsid w:val="00DA39E5"/>
    <w:rsid w:val="00DA3D98"/>
    <w:rsid w:val="00DA3EAB"/>
    <w:rsid w:val="00DA3F84"/>
    <w:rsid w:val="00DA467E"/>
    <w:rsid w:val="00DA4984"/>
    <w:rsid w:val="00DA4A6B"/>
    <w:rsid w:val="00DA4CE7"/>
    <w:rsid w:val="00DA510E"/>
    <w:rsid w:val="00DA5719"/>
    <w:rsid w:val="00DA5ADE"/>
    <w:rsid w:val="00DA5DE8"/>
    <w:rsid w:val="00DA636B"/>
    <w:rsid w:val="00DA68C4"/>
    <w:rsid w:val="00DA7309"/>
    <w:rsid w:val="00DA780E"/>
    <w:rsid w:val="00DA7DB8"/>
    <w:rsid w:val="00DA7EB6"/>
    <w:rsid w:val="00DB06E5"/>
    <w:rsid w:val="00DB09C8"/>
    <w:rsid w:val="00DB0F3D"/>
    <w:rsid w:val="00DB1255"/>
    <w:rsid w:val="00DB19B9"/>
    <w:rsid w:val="00DB1BD4"/>
    <w:rsid w:val="00DB1D95"/>
    <w:rsid w:val="00DB1F21"/>
    <w:rsid w:val="00DB20A1"/>
    <w:rsid w:val="00DB27D2"/>
    <w:rsid w:val="00DB3585"/>
    <w:rsid w:val="00DB3C82"/>
    <w:rsid w:val="00DB4014"/>
    <w:rsid w:val="00DB4414"/>
    <w:rsid w:val="00DB4477"/>
    <w:rsid w:val="00DB4FAF"/>
    <w:rsid w:val="00DB558F"/>
    <w:rsid w:val="00DB565C"/>
    <w:rsid w:val="00DB5ABB"/>
    <w:rsid w:val="00DB5E41"/>
    <w:rsid w:val="00DB63C7"/>
    <w:rsid w:val="00DB6470"/>
    <w:rsid w:val="00DB66C8"/>
    <w:rsid w:val="00DB6F22"/>
    <w:rsid w:val="00DB6FA7"/>
    <w:rsid w:val="00DB72EF"/>
    <w:rsid w:val="00DB77B5"/>
    <w:rsid w:val="00DB7D21"/>
    <w:rsid w:val="00DC035F"/>
    <w:rsid w:val="00DC03F5"/>
    <w:rsid w:val="00DC0C23"/>
    <w:rsid w:val="00DC0E88"/>
    <w:rsid w:val="00DC1745"/>
    <w:rsid w:val="00DC1836"/>
    <w:rsid w:val="00DC24C4"/>
    <w:rsid w:val="00DC27DA"/>
    <w:rsid w:val="00DC3091"/>
    <w:rsid w:val="00DC3794"/>
    <w:rsid w:val="00DC4293"/>
    <w:rsid w:val="00DC42F0"/>
    <w:rsid w:val="00DC474F"/>
    <w:rsid w:val="00DC47CE"/>
    <w:rsid w:val="00DC4BB7"/>
    <w:rsid w:val="00DC503B"/>
    <w:rsid w:val="00DC52A6"/>
    <w:rsid w:val="00DC5C5F"/>
    <w:rsid w:val="00DC5CE5"/>
    <w:rsid w:val="00DC5F9D"/>
    <w:rsid w:val="00DC6679"/>
    <w:rsid w:val="00DC67A8"/>
    <w:rsid w:val="00DC73FC"/>
    <w:rsid w:val="00DC7650"/>
    <w:rsid w:val="00DC7D48"/>
    <w:rsid w:val="00DC7F8E"/>
    <w:rsid w:val="00DD00F1"/>
    <w:rsid w:val="00DD0678"/>
    <w:rsid w:val="00DD08E2"/>
    <w:rsid w:val="00DD0A97"/>
    <w:rsid w:val="00DD1BDE"/>
    <w:rsid w:val="00DD1E07"/>
    <w:rsid w:val="00DD21BE"/>
    <w:rsid w:val="00DD2535"/>
    <w:rsid w:val="00DD25D0"/>
    <w:rsid w:val="00DD2A07"/>
    <w:rsid w:val="00DD2AB4"/>
    <w:rsid w:val="00DD2F00"/>
    <w:rsid w:val="00DD2F71"/>
    <w:rsid w:val="00DD355A"/>
    <w:rsid w:val="00DD3D36"/>
    <w:rsid w:val="00DD3E83"/>
    <w:rsid w:val="00DD3F0D"/>
    <w:rsid w:val="00DD43D8"/>
    <w:rsid w:val="00DD4991"/>
    <w:rsid w:val="00DD53AE"/>
    <w:rsid w:val="00DD53D0"/>
    <w:rsid w:val="00DD583C"/>
    <w:rsid w:val="00DD5C14"/>
    <w:rsid w:val="00DD62C2"/>
    <w:rsid w:val="00DD69D6"/>
    <w:rsid w:val="00DD703F"/>
    <w:rsid w:val="00DE042B"/>
    <w:rsid w:val="00DE0847"/>
    <w:rsid w:val="00DE1C36"/>
    <w:rsid w:val="00DE1D61"/>
    <w:rsid w:val="00DE24EF"/>
    <w:rsid w:val="00DE2762"/>
    <w:rsid w:val="00DE299D"/>
    <w:rsid w:val="00DE2F96"/>
    <w:rsid w:val="00DE30A6"/>
    <w:rsid w:val="00DE35E7"/>
    <w:rsid w:val="00DE37F5"/>
    <w:rsid w:val="00DE39CA"/>
    <w:rsid w:val="00DE4143"/>
    <w:rsid w:val="00DE44D9"/>
    <w:rsid w:val="00DE459D"/>
    <w:rsid w:val="00DE487B"/>
    <w:rsid w:val="00DE5086"/>
    <w:rsid w:val="00DE5205"/>
    <w:rsid w:val="00DE525E"/>
    <w:rsid w:val="00DE53E6"/>
    <w:rsid w:val="00DE564E"/>
    <w:rsid w:val="00DE57E6"/>
    <w:rsid w:val="00DE59BA"/>
    <w:rsid w:val="00DE5A12"/>
    <w:rsid w:val="00DE6688"/>
    <w:rsid w:val="00DE68BB"/>
    <w:rsid w:val="00DE6CB0"/>
    <w:rsid w:val="00DE6F4F"/>
    <w:rsid w:val="00DE70B3"/>
    <w:rsid w:val="00DE73EA"/>
    <w:rsid w:val="00DE763A"/>
    <w:rsid w:val="00DF04BC"/>
    <w:rsid w:val="00DF0C29"/>
    <w:rsid w:val="00DF1410"/>
    <w:rsid w:val="00DF1900"/>
    <w:rsid w:val="00DF1C9E"/>
    <w:rsid w:val="00DF1CB3"/>
    <w:rsid w:val="00DF23D1"/>
    <w:rsid w:val="00DF2516"/>
    <w:rsid w:val="00DF2711"/>
    <w:rsid w:val="00DF2890"/>
    <w:rsid w:val="00DF2A51"/>
    <w:rsid w:val="00DF37FE"/>
    <w:rsid w:val="00DF386F"/>
    <w:rsid w:val="00DF3BE9"/>
    <w:rsid w:val="00DF42FD"/>
    <w:rsid w:val="00DF4530"/>
    <w:rsid w:val="00DF45B0"/>
    <w:rsid w:val="00DF484D"/>
    <w:rsid w:val="00DF5F4F"/>
    <w:rsid w:val="00E00991"/>
    <w:rsid w:val="00E00FD1"/>
    <w:rsid w:val="00E015B1"/>
    <w:rsid w:val="00E01BB2"/>
    <w:rsid w:val="00E0273F"/>
    <w:rsid w:val="00E02892"/>
    <w:rsid w:val="00E028F1"/>
    <w:rsid w:val="00E02BFF"/>
    <w:rsid w:val="00E03308"/>
    <w:rsid w:val="00E0353B"/>
    <w:rsid w:val="00E037B4"/>
    <w:rsid w:val="00E038FA"/>
    <w:rsid w:val="00E03C85"/>
    <w:rsid w:val="00E043D3"/>
    <w:rsid w:val="00E04650"/>
    <w:rsid w:val="00E04653"/>
    <w:rsid w:val="00E048BB"/>
    <w:rsid w:val="00E04ACC"/>
    <w:rsid w:val="00E0585B"/>
    <w:rsid w:val="00E06387"/>
    <w:rsid w:val="00E06D54"/>
    <w:rsid w:val="00E07592"/>
    <w:rsid w:val="00E0772E"/>
    <w:rsid w:val="00E07770"/>
    <w:rsid w:val="00E078BD"/>
    <w:rsid w:val="00E07969"/>
    <w:rsid w:val="00E07DA8"/>
    <w:rsid w:val="00E10111"/>
    <w:rsid w:val="00E10126"/>
    <w:rsid w:val="00E10411"/>
    <w:rsid w:val="00E10E13"/>
    <w:rsid w:val="00E112A6"/>
    <w:rsid w:val="00E11986"/>
    <w:rsid w:val="00E11B97"/>
    <w:rsid w:val="00E11C06"/>
    <w:rsid w:val="00E11C7E"/>
    <w:rsid w:val="00E1212D"/>
    <w:rsid w:val="00E12321"/>
    <w:rsid w:val="00E126DA"/>
    <w:rsid w:val="00E12861"/>
    <w:rsid w:val="00E12AC8"/>
    <w:rsid w:val="00E12FE3"/>
    <w:rsid w:val="00E13149"/>
    <w:rsid w:val="00E1316D"/>
    <w:rsid w:val="00E13484"/>
    <w:rsid w:val="00E136DF"/>
    <w:rsid w:val="00E13891"/>
    <w:rsid w:val="00E13E0F"/>
    <w:rsid w:val="00E1449D"/>
    <w:rsid w:val="00E14829"/>
    <w:rsid w:val="00E14A61"/>
    <w:rsid w:val="00E14E05"/>
    <w:rsid w:val="00E156F3"/>
    <w:rsid w:val="00E15ACC"/>
    <w:rsid w:val="00E16134"/>
    <w:rsid w:val="00E165D8"/>
    <w:rsid w:val="00E165E1"/>
    <w:rsid w:val="00E17729"/>
    <w:rsid w:val="00E177CF"/>
    <w:rsid w:val="00E17867"/>
    <w:rsid w:val="00E17AEF"/>
    <w:rsid w:val="00E17F46"/>
    <w:rsid w:val="00E20837"/>
    <w:rsid w:val="00E209EF"/>
    <w:rsid w:val="00E20EC7"/>
    <w:rsid w:val="00E2141C"/>
    <w:rsid w:val="00E214F3"/>
    <w:rsid w:val="00E2193C"/>
    <w:rsid w:val="00E22522"/>
    <w:rsid w:val="00E227EE"/>
    <w:rsid w:val="00E22A73"/>
    <w:rsid w:val="00E22C19"/>
    <w:rsid w:val="00E22D12"/>
    <w:rsid w:val="00E22D27"/>
    <w:rsid w:val="00E238FC"/>
    <w:rsid w:val="00E23A03"/>
    <w:rsid w:val="00E24174"/>
    <w:rsid w:val="00E24461"/>
    <w:rsid w:val="00E246C3"/>
    <w:rsid w:val="00E248E4"/>
    <w:rsid w:val="00E25108"/>
    <w:rsid w:val="00E2519A"/>
    <w:rsid w:val="00E251EC"/>
    <w:rsid w:val="00E25BCD"/>
    <w:rsid w:val="00E25D7B"/>
    <w:rsid w:val="00E2648D"/>
    <w:rsid w:val="00E269B6"/>
    <w:rsid w:val="00E26C04"/>
    <w:rsid w:val="00E2711A"/>
    <w:rsid w:val="00E273CD"/>
    <w:rsid w:val="00E27EB6"/>
    <w:rsid w:val="00E30322"/>
    <w:rsid w:val="00E305E1"/>
    <w:rsid w:val="00E3064C"/>
    <w:rsid w:val="00E307E0"/>
    <w:rsid w:val="00E30989"/>
    <w:rsid w:val="00E30C4A"/>
    <w:rsid w:val="00E31200"/>
    <w:rsid w:val="00E312C5"/>
    <w:rsid w:val="00E31A9E"/>
    <w:rsid w:val="00E31C43"/>
    <w:rsid w:val="00E32607"/>
    <w:rsid w:val="00E33056"/>
    <w:rsid w:val="00E334A4"/>
    <w:rsid w:val="00E3410E"/>
    <w:rsid w:val="00E3463B"/>
    <w:rsid w:val="00E34698"/>
    <w:rsid w:val="00E351E7"/>
    <w:rsid w:val="00E35862"/>
    <w:rsid w:val="00E35A32"/>
    <w:rsid w:val="00E36528"/>
    <w:rsid w:val="00E3685D"/>
    <w:rsid w:val="00E36E8A"/>
    <w:rsid w:val="00E37574"/>
    <w:rsid w:val="00E408DA"/>
    <w:rsid w:val="00E40A43"/>
    <w:rsid w:val="00E40AE5"/>
    <w:rsid w:val="00E40D7F"/>
    <w:rsid w:val="00E40DE1"/>
    <w:rsid w:val="00E40E11"/>
    <w:rsid w:val="00E40EED"/>
    <w:rsid w:val="00E41077"/>
    <w:rsid w:val="00E412D6"/>
    <w:rsid w:val="00E41373"/>
    <w:rsid w:val="00E41624"/>
    <w:rsid w:val="00E41ADD"/>
    <w:rsid w:val="00E41FC1"/>
    <w:rsid w:val="00E424EB"/>
    <w:rsid w:val="00E42999"/>
    <w:rsid w:val="00E4351C"/>
    <w:rsid w:val="00E43A59"/>
    <w:rsid w:val="00E43B06"/>
    <w:rsid w:val="00E43E2E"/>
    <w:rsid w:val="00E44106"/>
    <w:rsid w:val="00E4416F"/>
    <w:rsid w:val="00E44508"/>
    <w:rsid w:val="00E44882"/>
    <w:rsid w:val="00E44D85"/>
    <w:rsid w:val="00E44EF9"/>
    <w:rsid w:val="00E44F87"/>
    <w:rsid w:val="00E459AF"/>
    <w:rsid w:val="00E45FCB"/>
    <w:rsid w:val="00E46AD9"/>
    <w:rsid w:val="00E46C54"/>
    <w:rsid w:val="00E47331"/>
    <w:rsid w:val="00E47713"/>
    <w:rsid w:val="00E4785B"/>
    <w:rsid w:val="00E479A6"/>
    <w:rsid w:val="00E47B7B"/>
    <w:rsid w:val="00E5019C"/>
    <w:rsid w:val="00E5065A"/>
    <w:rsid w:val="00E5091A"/>
    <w:rsid w:val="00E51563"/>
    <w:rsid w:val="00E517D3"/>
    <w:rsid w:val="00E51DEC"/>
    <w:rsid w:val="00E52655"/>
    <w:rsid w:val="00E52886"/>
    <w:rsid w:val="00E52926"/>
    <w:rsid w:val="00E53103"/>
    <w:rsid w:val="00E536AF"/>
    <w:rsid w:val="00E53798"/>
    <w:rsid w:val="00E5405B"/>
    <w:rsid w:val="00E54370"/>
    <w:rsid w:val="00E54A55"/>
    <w:rsid w:val="00E54E77"/>
    <w:rsid w:val="00E54F1A"/>
    <w:rsid w:val="00E55ADD"/>
    <w:rsid w:val="00E55CEA"/>
    <w:rsid w:val="00E55E96"/>
    <w:rsid w:val="00E56157"/>
    <w:rsid w:val="00E56D95"/>
    <w:rsid w:val="00E5722A"/>
    <w:rsid w:val="00E5726B"/>
    <w:rsid w:val="00E576F8"/>
    <w:rsid w:val="00E57BFD"/>
    <w:rsid w:val="00E606B7"/>
    <w:rsid w:val="00E60D9C"/>
    <w:rsid w:val="00E60F19"/>
    <w:rsid w:val="00E61B18"/>
    <w:rsid w:val="00E61D59"/>
    <w:rsid w:val="00E621CF"/>
    <w:rsid w:val="00E6246F"/>
    <w:rsid w:val="00E6280E"/>
    <w:rsid w:val="00E62BD7"/>
    <w:rsid w:val="00E62C4C"/>
    <w:rsid w:val="00E62D87"/>
    <w:rsid w:val="00E62E17"/>
    <w:rsid w:val="00E6387D"/>
    <w:rsid w:val="00E63A2E"/>
    <w:rsid w:val="00E63A5E"/>
    <w:rsid w:val="00E63C59"/>
    <w:rsid w:val="00E63F56"/>
    <w:rsid w:val="00E64068"/>
    <w:rsid w:val="00E64A48"/>
    <w:rsid w:val="00E64CAB"/>
    <w:rsid w:val="00E65AF1"/>
    <w:rsid w:val="00E65FFC"/>
    <w:rsid w:val="00E6629D"/>
    <w:rsid w:val="00E6659C"/>
    <w:rsid w:val="00E66A39"/>
    <w:rsid w:val="00E66CA7"/>
    <w:rsid w:val="00E66D8E"/>
    <w:rsid w:val="00E66F92"/>
    <w:rsid w:val="00E67788"/>
    <w:rsid w:val="00E67B6D"/>
    <w:rsid w:val="00E67BB9"/>
    <w:rsid w:val="00E67D17"/>
    <w:rsid w:val="00E70B5C"/>
    <w:rsid w:val="00E70C76"/>
    <w:rsid w:val="00E70E58"/>
    <w:rsid w:val="00E7112D"/>
    <w:rsid w:val="00E7141C"/>
    <w:rsid w:val="00E71530"/>
    <w:rsid w:val="00E7159E"/>
    <w:rsid w:val="00E715E6"/>
    <w:rsid w:val="00E719C0"/>
    <w:rsid w:val="00E71E38"/>
    <w:rsid w:val="00E72108"/>
    <w:rsid w:val="00E72ADE"/>
    <w:rsid w:val="00E72D10"/>
    <w:rsid w:val="00E7369F"/>
    <w:rsid w:val="00E73BCF"/>
    <w:rsid w:val="00E73EB5"/>
    <w:rsid w:val="00E74225"/>
    <w:rsid w:val="00E745DC"/>
    <w:rsid w:val="00E74ECA"/>
    <w:rsid w:val="00E75453"/>
    <w:rsid w:val="00E75B9E"/>
    <w:rsid w:val="00E76A25"/>
    <w:rsid w:val="00E76C10"/>
    <w:rsid w:val="00E76C78"/>
    <w:rsid w:val="00E76DCF"/>
    <w:rsid w:val="00E770FE"/>
    <w:rsid w:val="00E772AA"/>
    <w:rsid w:val="00E77318"/>
    <w:rsid w:val="00E7768E"/>
    <w:rsid w:val="00E8035B"/>
    <w:rsid w:val="00E803F9"/>
    <w:rsid w:val="00E8043E"/>
    <w:rsid w:val="00E80CE3"/>
    <w:rsid w:val="00E80E3B"/>
    <w:rsid w:val="00E81020"/>
    <w:rsid w:val="00E81181"/>
    <w:rsid w:val="00E814EB"/>
    <w:rsid w:val="00E81573"/>
    <w:rsid w:val="00E81870"/>
    <w:rsid w:val="00E81977"/>
    <w:rsid w:val="00E81A6D"/>
    <w:rsid w:val="00E82038"/>
    <w:rsid w:val="00E828F5"/>
    <w:rsid w:val="00E82914"/>
    <w:rsid w:val="00E829BC"/>
    <w:rsid w:val="00E82DA7"/>
    <w:rsid w:val="00E8351D"/>
    <w:rsid w:val="00E83538"/>
    <w:rsid w:val="00E8357F"/>
    <w:rsid w:val="00E837EE"/>
    <w:rsid w:val="00E83813"/>
    <w:rsid w:val="00E83E02"/>
    <w:rsid w:val="00E83E24"/>
    <w:rsid w:val="00E83E28"/>
    <w:rsid w:val="00E840C3"/>
    <w:rsid w:val="00E84338"/>
    <w:rsid w:val="00E8452D"/>
    <w:rsid w:val="00E84559"/>
    <w:rsid w:val="00E84638"/>
    <w:rsid w:val="00E8508D"/>
    <w:rsid w:val="00E853EB"/>
    <w:rsid w:val="00E85862"/>
    <w:rsid w:val="00E85A8B"/>
    <w:rsid w:val="00E85F45"/>
    <w:rsid w:val="00E86778"/>
    <w:rsid w:val="00E86F56"/>
    <w:rsid w:val="00E87432"/>
    <w:rsid w:val="00E8751F"/>
    <w:rsid w:val="00E876BD"/>
    <w:rsid w:val="00E87A21"/>
    <w:rsid w:val="00E87A30"/>
    <w:rsid w:val="00E87BC7"/>
    <w:rsid w:val="00E87CA2"/>
    <w:rsid w:val="00E87CF4"/>
    <w:rsid w:val="00E87E5F"/>
    <w:rsid w:val="00E87EBE"/>
    <w:rsid w:val="00E90491"/>
    <w:rsid w:val="00E90616"/>
    <w:rsid w:val="00E90ADA"/>
    <w:rsid w:val="00E90B88"/>
    <w:rsid w:val="00E90C25"/>
    <w:rsid w:val="00E90EF7"/>
    <w:rsid w:val="00E90F22"/>
    <w:rsid w:val="00E91482"/>
    <w:rsid w:val="00E9150B"/>
    <w:rsid w:val="00E91EAB"/>
    <w:rsid w:val="00E91F49"/>
    <w:rsid w:val="00E91F70"/>
    <w:rsid w:val="00E921F4"/>
    <w:rsid w:val="00E92577"/>
    <w:rsid w:val="00E9270C"/>
    <w:rsid w:val="00E929E0"/>
    <w:rsid w:val="00E92A54"/>
    <w:rsid w:val="00E93249"/>
    <w:rsid w:val="00E939F3"/>
    <w:rsid w:val="00E93BA9"/>
    <w:rsid w:val="00E941DA"/>
    <w:rsid w:val="00E946BE"/>
    <w:rsid w:val="00E94880"/>
    <w:rsid w:val="00E94D82"/>
    <w:rsid w:val="00E95373"/>
    <w:rsid w:val="00E95B4E"/>
    <w:rsid w:val="00E95D0D"/>
    <w:rsid w:val="00E97215"/>
    <w:rsid w:val="00E97591"/>
    <w:rsid w:val="00E97692"/>
    <w:rsid w:val="00E97EA6"/>
    <w:rsid w:val="00EA08D7"/>
    <w:rsid w:val="00EA0B63"/>
    <w:rsid w:val="00EA0D32"/>
    <w:rsid w:val="00EA1217"/>
    <w:rsid w:val="00EA147B"/>
    <w:rsid w:val="00EA14B1"/>
    <w:rsid w:val="00EA1606"/>
    <w:rsid w:val="00EA164D"/>
    <w:rsid w:val="00EA1A40"/>
    <w:rsid w:val="00EA207C"/>
    <w:rsid w:val="00EA26DD"/>
    <w:rsid w:val="00EA2DE1"/>
    <w:rsid w:val="00EA3250"/>
    <w:rsid w:val="00EA3754"/>
    <w:rsid w:val="00EA3EFA"/>
    <w:rsid w:val="00EA3F71"/>
    <w:rsid w:val="00EA48CD"/>
    <w:rsid w:val="00EA4D58"/>
    <w:rsid w:val="00EA4D9E"/>
    <w:rsid w:val="00EA4F93"/>
    <w:rsid w:val="00EA535D"/>
    <w:rsid w:val="00EA54FA"/>
    <w:rsid w:val="00EA59FF"/>
    <w:rsid w:val="00EA6255"/>
    <w:rsid w:val="00EA656D"/>
    <w:rsid w:val="00EA7C6D"/>
    <w:rsid w:val="00EA7D1B"/>
    <w:rsid w:val="00EA7D1D"/>
    <w:rsid w:val="00EA7F00"/>
    <w:rsid w:val="00EA7F96"/>
    <w:rsid w:val="00EB00C3"/>
    <w:rsid w:val="00EB035F"/>
    <w:rsid w:val="00EB0847"/>
    <w:rsid w:val="00EB0BFA"/>
    <w:rsid w:val="00EB0D80"/>
    <w:rsid w:val="00EB1542"/>
    <w:rsid w:val="00EB158D"/>
    <w:rsid w:val="00EB159E"/>
    <w:rsid w:val="00EB19CC"/>
    <w:rsid w:val="00EB1D8D"/>
    <w:rsid w:val="00EB1E97"/>
    <w:rsid w:val="00EB259E"/>
    <w:rsid w:val="00EB2996"/>
    <w:rsid w:val="00EB2CD9"/>
    <w:rsid w:val="00EB2D3D"/>
    <w:rsid w:val="00EB2D3F"/>
    <w:rsid w:val="00EB2F68"/>
    <w:rsid w:val="00EB33BE"/>
    <w:rsid w:val="00EB33EF"/>
    <w:rsid w:val="00EB37BE"/>
    <w:rsid w:val="00EB3801"/>
    <w:rsid w:val="00EB3855"/>
    <w:rsid w:val="00EB3F57"/>
    <w:rsid w:val="00EB45EE"/>
    <w:rsid w:val="00EB4ACF"/>
    <w:rsid w:val="00EB4BCF"/>
    <w:rsid w:val="00EB4C49"/>
    <w:rsid w:val="00EB4CAC"/>
    <w:rsid w:val="00EB501F"/>
    <w:rsid w:val="00EB5071"/>
    <w:rsid w:val="00EB575F"/>
    <w:rsid w:val="00EB5E34"/>
    <w:rsid w:val="00EB5E6A"/>
    <w:rsid w:val="00EB619C"/>
    <w:rsid w:val="00EB63C8"/>
    <w:rsid w:val="00EB67BC"/>
    <w:rsid w:val="00EB68D3"/>
    <w:rsid w:val="00EB6A85"/>
    <w:rsid w:val="00EB6DCD"/>
    <w:rsid w:val="00EB6DF1"/>
    <w:rsid w:val="00EB6E5D"/>
    <w:rsid w:val="00EB6FED"/>
    <w:rsid w:val="00EB73E1"/>
    <w:rsid w:val="00EB7966"/>
    <w:rsid w:val="00EB7A7C"/>
    <w:rsid w:val="00EB7AA0"/>
    <w:rsid w:val="00EB7B86"/>
    <w:rsid w:val="00EB7BA6"/>
    <w:rsid w:val="00EB7FE1"/>
    <w:rsid w:val="00EC0879"/>
    <w:rsid w:val="00EC0A68"/>
    <w:rsid w:val="00EC1A72"/>
    <w:rsid w:val="00EC1EC9"/>
    <w:rsid w:val="00EC2032"/>
    <w:rsid w:val="00EC2499"/>
    <w:rsid w:val="00EC2621"/>
    <w:rsid w:val="00EC31D3"/>
    <w:rsid w:val="00EC381C"/>
    <w:rsid w:val="00EC437A"/>
    <w:rsid w:val="00EC457D"/>
    <w:rsid w:val="00EC4717"/>
    <w:rsid w:val="00EC4AB8"/>
    <w:rsid w:val="00EC4D3D"/>
    <w:rsid w:val="00EC512F"/>
    <w:rsid w:val="00EC5168"/>
    <w:rsid w:val="00EC585F"/>
    <w:rsid w:val="00EC5C0C"/>
    <w:rsid w:val="00EC67C1"/>
    <w:rsid w:val="00EC6D2C"/>
    <w:rsid w:val="00EC701B"/>
    <w:rsid w:val="00EC725E"/>
    <w:rsid w:val="00EC72A7"/>
    <w:rsid w:val="00EC763D"/>
    <w:rsid w:val="00EC795A"/>
    <w:rsid w:val="00EC7C44"/>
    <w:rsid w:val="00EC7C82"/>
    <w:rsid w:val="00ED0F2C"/>
    <w:rsid w:val="00ED15B2"/>
    <w:rsid w:val="00ED1D35"/>
    <w:rsid w:val="00ED2567"/>
    <w:rsid w:val="00ED282A"/>
    <w:rsid w:val="00ED308A"/>
    <w:rsid w:val="00ED3390"/>
    <w:rsid w:val="00ED3547"/>
    <w:rsid w:val="00ED4717"/>
    <w:rsid w:val="00ED4793"/>
    <w:rsid w:val="00ED480A"/>
    <w:rsid w:val="00ED563A"/>
    <w:rsid w:val="00ED56FA"/>
    <w:rsid w:val="00ED59CB"/>
    <w:rsid w:val="00ED5E01"/>
    <w:rsid w:val="00ED5E73"/>
    <w:rsid w:val="00ED66BB"/>
    <w:rsid w:val="00ED67FA"/>
    <w:rsid w:val="00ED6DDC"/>
    <w:rsid w:val="00ED750A"/>
    <w:rsid w:val="00ED755F"/>
    <w:rsid w:val="00ED792E"/>
    <w:rsid w:val="00ED794A"/>
    <w:rsid w:val="00EE0328"/>
    <w:rsid w:val="00EE0B02"/>
    <w:rsid w:val="00EE0C79"/>
    <w:rsid w:val="00EE15A3"/>
    <w:rsid w:val="00EE1C0A"/>
    <w:rsid w:val="00EE1E70"/>
    <w:rsid w:val="00EE237B"/>
    <w:rsid w:val="00EE2557"/>
    <w:rsid w:val="00EE25EF"/>
    <w:rsid w:val="00EE2791"/>
    <w:rsid w:val="00EE2958"/>
    <w:rsid w:val="00EE3A1C"/>
    <w:rsid w:val="00EE3BD3"/>
    <w:rsid w:val="00EE4CBE"/>
    <w:rsid w:val="00EE502C"/>
    <w:rsid w:val="00EE5262"/>
    <w:rsid w:val="00EE54A6"/>
    <w:rsid w:val="00EE54C1"/>
    <w:rsid w:val="00EE55CD"/>
    <w:rsid w:val="00EE57F3"/>
    <w:rsid w:val="00EE5AAB"/>
    <w:rsid w:val="00EE5AF3"/>
    <w:rsid w:val="00EE6678"/>
    <w:rsid w:val="00EE66B6"/>
    <w:rsid w:val="00EE67CD"/>
    <w:rsid w:val="00EE6943"/>
    <w:rsid w:val="00EE6DF5"/>
    <w:rsid w:val="00EE767B"/>
    <w:rsid w:val="00EE7BD9"/>
    <w:rsid w:val="00EE7CCD"/>
    <w:rsid w:val="00EE7CE1"/>
    <w:rsid w:val="00EE7F99"/>
    <w:rsid w:val="00EF03B6"/>
    <w:rsid w:val="00EF0663"/>
    <w:rsid w:val="00EF0BE3"/>
    <w:rsid w:val="00EF188B"/>
    <w:rsid w:val="00EF1928"/>
    <w:rsid w:val="00EF1EEB"/>
    <w:rsid w:val="00EF26AC"/>
    <w:rsid w:val="00EF2CC9"/>
    <w:rsid w:val="00EF3286"/>
    <w:rsid w:val="00EF3A86"/>
    <w:rsid w:val="00EF3D3F"/>
    <w:rsid w:val="00EF3DE1"/>
    <w:rsid w:val="00EF443E"/>
    <w:rsid w:val="00EF4780"/>
    <w:rsid w:val="00EF4A53"/>
    <w:rsid w:val="00EF5033"/>
    <w:rsid w:val="00EF54C5"/>
    <w:rsid w:val="00EF5970"/>
    <w:rsid w:val="00EF5A67"/>
    <w:rsid w:val="00EF5AA3"/>
    <w:rsid w:val="00EF5C9F"/>
    <w:rsid w:val="00EF673E"/>
    <w:rsid w:val="00EF68D4"/>
    <w:rsid w:val="00EF691B"/>
    <w:rsid w:val="00EF6B2E"/>
    <w:rsid w:val="00EF6CF6"/>
    <w:rsid w:val="00EF6FA3"/>
    <w:rsid w:val="00EF77CE"/>
    <w:rsid w:val="00EF7800"/>
    <w:rsid w:val="00EF789E"/>
    <w:rsid w:val="00EF7EBE"/>
    <w:rsid w:val="00EF7F49"/>
    <w:rsid w:val="00F00438"/>
    <w:rsid w:val="00F0085A"/>
    <w:rsid w:val="00F018BE"/>
    <w:rsid w:val="00F01A45"/>
    <w:rsid w:val="00F020F0"/>
    <w:rsid w:val="00F024B0"/>
    <w:rsid w:val="00F025FA"/>
    <w:rsid w:val="00F026CA"/>
    <w:rsid w:val="00F02F95"/>
    <w:rsid w:val="00F03994"/>
    <w:rsid w:val="00F040A7"/>
    <w:rsid w:val="00F0417B"/>
    <w:rsid w:val="00F042CC"/>
    <w:rsid w:val="00F0460F"/>
    <w:rsid w:val="00F0498B"/>
    <w:rsid w:val="00F0518E"/>
    <w:rsid w:val="00F05509"/>
    <w:rsid w:val="00F05A42"/>
    <w:rsid w:val="00F05D9F"/>
    <w:rsid w:val="00F05E10"/>
    <w:rsid w:val="00F062DC"/>
    <w:rsid w:val="00F0645F"/>
    <w:rsid w:val="00F064A1"/>
    <w:rsid w:val="00F07229"/>
    <w:rsid w:val="00F07361"/>
    <w:rsid w:val="00F07BF8"/>
    <w:rsid w:val="00F07EEC"/>
    <w:rsid w:val="00F10006"/>
    <w:rsid w:val="00F10135"/>
    <w:rsid w:val="00F104BD"/>
    <w:rsid w:val="00F10865"/>
    <w:rsid w:val="00F110EC"/>
    <w:rsid w:val="00F112B4"/>
    <w:rsid w:val="00F114A1"/>
    <w:rsid w:val="00F11685"/>
    <w:rsid w:val="00F119AC"/>
    <w:rsid w:val="00F11A48"/>
    <w:rsid w:val="00F11A8E"/>
    <w:rsid w:val="00F1238D"/>
    <w:rsid w:val="00F1271B"/>
    <w:rsid w:val="00F127C1"/>
    <w:rsid w:val="00F127FF"/>
    <w:rsid w:val="00F13313"/>
    <w:rsid w:val="00F13821"/>
    <w:rsid w:val="00F13B49"/>
    <w:rsid w:val="00F13B4A"/>
    <w:rsid w:val="00F13C30"/>
    <w:rsid w:val="00F13CD7"/>
    <w:rsid w:val="00F13D5F"/>
    <w:rsid w:val="00F13D7A"/>
    <w:rsid w:val="00F13E42"/>
    <w:rsid w:val="00F13F8F"/>
    <w:rsid w:val="00F14023"/>
    <w:rsid w:val="00F14136"/>
    <w:rsid w:val="00F1458E"/>
    <w:rsid w:val="00F14649"/>
    <w:rsid w:val="00F14FF5"/>
    <w:rsid w:val="00F1535B"/>
    <w:rsid w:val="00F15B93"/>
    <w:rsid w:val="00F1657D"/>
    <w:rsid w:val="00F16CEC"/>
    <w:rsid w:val="00F1726A"/>
    <w:rsid w:val="00F172FB"/>
    <w:rsid w:val="00F17B7B"/>
    <w:rsid w:val="00F17B86"/>
    <w:rsid w:val="00F17E93"/>
    <w:rsid w:val="00F17F15"/>
    <w:rsid w:val="00F17FBF"/>
    <w:rsid w:val="00F204AD"/>
    <w:rsid w:val="00F2086E"/>
    <w:rsid w:val="00F20A57"/>
    <w:rsid w:val="00F21492"/>
    <w:rsid w:val="00F215CE"/>
    <w:rsid w:val="00F223C5"/>
    <w:rsid w:val="00F229CD"/>
    <w:rsid w:val="00F22B04"/>
    <w:rsid w:val="00F22B3B"/>
    <w:rsid w:val="00F23864"/>
    <w:rsid w:val="00F23BBB"/>
    <w:rsid w:val="00F2428A"/>
    <w:rsid w:val="00F24404"/>
    <w:rsid w:val="00F24FCE"/>
    <w:rsid w:val="00F251E0"/>
    <w:rsid w:val="00F25673"/>
    <w:rsid w:val="00F25711"/>
    <w:rsid w:val="00F25DAE"/>
    <w:rsid w:val="00F26263"/>
    <w:rsid w:val="00F2626F"/>
    <w:rsid w:val="00F265E9"/>
    <w:rsid w:val="00F26ACD"/>
    <w:rsid w:val="00F26E2D"/>
    <w:rsid w:val="00F27087"/>
    <w:rsid w:val="00F272CF"/>
    <w:rsid w:val="00F276C8"/>
    <w:rsid w:val="00F277B2"/>
    <w:rsid w:val="00F27931"/>
    <w:rsid w:val="00F3013A"/>
    <w:rsid w:val="00F3041B"/>
    <w:rsid w:val="00F305D3"/>
    <w:rsid w:val="00F3067A"/>
    <w:rsid w:val="00F308A5"/>
    <w:rsid w:val="00F308FE"/>
    <w:rsid w:val="00F30E1D"/>
    <w:rsid w:val="00F3142A"/>
    <w:rsid w:val="00F31D5B"/>
    <w:rsid w:val="00F32010"/>
    <w:rsid w:val="00F3232B"/>
    <w:rsid w:val="00F325A8"/>
    <w:rsid w:val="00F32E01"/>
    <w:rsid w:val="00F3372F"/>
    <w:rsid w:val="00F348A8"/>
    <w:rsid w:val="00F3492D"/>
    <w:rsid w:val="00F34DD2"/>
    <w:rsid w:val="00F355A5"/>
    <w:rsid w:val="00F3593F"/>
    <w:rsid w:val="00F3640C"/>
    <w:rsid w:val="00F3668D"/>
    <w:rsid w:val="00F367DC"/>
    <w:rsid w:val="00F36A70"/>
    <w:rsid w:val="00F36B21"/>
    <w:rsid w:val="00F371E9"/>
    <w:rsid w:val="00F3744D"/>
    <w:rsid w:val="00F3753D"/>
    <w:rsid w:val="00F37888"/>
    <w:rsid w:val="00F37C48"/>
    <w:rsid w:val="00F37FF5"/>
    <w:rsid w:val="00F40BCD"/>
    <w:rsid w:val="00F40D10"/>
    <w:rsid w:val="00F40FD6"/>
    <w:rsid w:val="00F411E4"/>
    <w:rsid w:val="00F41A80"/>
    <w:rsid w:val="00F41BAC"/>
    <w:rsid w:val="00F420C1"/>
    <w:rsid w:val="00F422A8"/>
    <w:rsid w:val="00F42458"/>
    <w:rsid w:val="00F42608"/>
    <w:rsid w:val="00F42C4C"/>
    <w:rsid w:val="00F42CDB"/>
    <w:rsid w:val="00F431E4"/>
    <w:rsid w:val="00F4374E"/>
    <w:rsid w:val="00F441AE"/>
    <w:rsid w:val="00F443E0"/>
    <w:rsid w:val="00F447A0"/>
    <w:rsid w:val="00F44B1B"/>
    <w:rsid w:val="00F44D31"/>
    <w:rsid w:val="00F44F58"/>
    <w:rsid w:val="00F45127"/>
    <w:rsid w:val="00F45C71"/>
    <w:rsid w:val="00F4614F"/>
    <w:rsid w:val="00F4663A"/>
    <w:rsid w:val="00F46ABC"/>
    <w:rsid w:val="00F46D16"/>
    <w:rsid w:val="00F46E50"/>
    <w:rsid w:val="00F47314"/>
    <w:rsid w:val="00F474DB"/>
    <w:rsid w:val="00F47CBA"/>
    <w:rsid w:val="00F50492"/>
    <w:rsid w:val="00F505B6"/>
    <w:rsid w:val="00F50651"/>
    <w:rsid w:val="00F508E1"/>
    <w:rsid w:val="00F50BB4"/>
    <w:rsid w:val="00F5123E"/>
    <w:rsid w:val="00F51932"/>
    <w:rsid w:val="00F51A18"/>
    <w:rsid w:val="00F51DDE"/>
    <w:rsid w:val="00F520C2"/>
    <w:rsid w:val="00F528D7"/>
    <w:rsid w:val="00F52AD9"/>
    <w:rsid w:val="00F530AA"/>
    <w:rsid w:val="00F53344"/>
    <w:rsid w:val="00F533C7"/>
    <w:rsid w:val="00F53571"/>
    <w:rsid w:val="00F538AA"/>
    <w:rsid w:val="00F53AD8"/>
    <w:rsid w:val="00F53C67"/>
    <w:rsid w:val="00F53D05"/>
    <w:rsid w:val="00F54117"/>
    <w:rsid w:val="00F54B0A"/>
    <w:rsid w:val="00F54D93"/>
    <w:rsid w:val="00F55077"/>
    <w:rsid w:val="00F56756"/>
    <w:rsid w:val="00F57021"/>
    <w:rsid w:val="00F57283"/>
    <w:rsid w:val="00F573F0"/>
    <w:rsid w:val="00F57595"/>
    <w:rsid w:val="00F575C5"/>
    <w:rsid w:val="00F57B8E"/>
    <w:rsid w:val="00F57C22"/>
    <w:rsid w:val="00F60257"/>
    <w:rsid w:val="00F604BC"/>
    <w:rsid w:val="00F605B5"/>
    <w:rsid w:val="00F6082E"/>
    <w:rsid w:val="00F60C5E"/>
    <w:rsid w:val="00F6128D"/>
    <w:rsid w:val="00F6139D"/>
    <w:rsid w:val="00F61AE0"/>
    <w:rsid w:val="00F61EEA"/>
    <w:rsid w:val="00F6226A"/>
    <w:rsid w:val="00F62716"/>
    <w:rsid w:val="00F6292A"/>
    <w:rsid w:val="00F62A64"/>
    <w:rsid w:val="00F62C39"/>
    <w:rsid w:val="00F631A7"/>
    <w:rsid w:val="00F63723"/>
    <w:rsid w:val="00F63B20"/>
    <w:rsid w:val="00F63C9A"/>
    <w:rsid w:val="00F63CF6"/>
    <w:rsid w:val="00F63FA2"/>
    <w:rsid w:val="00F640A8"/>
    <w:rsid w:val="00F645E1"/>
    <w:rsid w:val="00F6473E"/>
    <w:rsid w:val="00F64CF1"/>
    <w:rsid w:val="00F653AD"/>
    <w:rsid w:val="00F655AD"/>
    <w:rsid w:val="00F65894"/>
    <w:rsid w:val="00F65971"/>
    <w:rsid w:val="00F65BB4"/>
    <w:rsid w:val="00F65E85"/>
    <w:rsid w:val="00F66273"/>
    <w:rsid w:val="00F666F7"/>
    <w:rsid w:val="00F667E9"/>
    <w:rsid w:val="00F66BA1"/>
    <w:rsid w:val="00F66C6F"/>
    <w:rsid w:val="00F66F08"/>
    <w:rsid w:val="00F671B6"/>
    <w:rsid w:val="00F67F37"/>
    <w:rsid w:val="00F70089"/>
    <w:rsid w:val="00F70176"/>
    <w:rsid w:val="00F70196"/>
    <w:rsid w:val="00F70628"/>
    <w:rsid w:val="00F706FE"/>
    <w:rsid w:val="00F7085D"/>
    <w:rsid w:val="00F70EE9"/>
    <w:rsid w:val="00F7110D"/>
    <w:rsid w:val="00F716EF"/>
    <w:rsid w:val="00F7176F"/>
    <w:rsid w:val="00F71CE2"/>
    <w:rsid w:val="00F71EAA"/>
    <w:rsid w:val="00F72198"/>
    <w:rsid w:val="00F724B3"/>
    <w:rsid w:val="00F728E6"/>
    <w:rsid w:val="00F72A0F"/>
    <w:rsid w:val="00F72B92"/>
    <w:rsid w:val="00F73059"/>
    <w:rsid w:val="00F734C9"/>
    <w:rsid w:val="00F734CB"/>
    <w:rsid w:val="00F73A37"/>
    <w:rsid w:val="00F73E40"/>
    <w:rsid w:val="00F7414F"/>
    <w:rsid w:val="00F74630"/>
    <w:rsid w:val="00F74E72"/>
    <w:rsid w:val="00F74FC9"/>
    <w:rsid w:val="00F7512B"/>
    <w:rsid w:val="00F7538B"/>
    <w:rsid w:val="00F7666F"/>
    <w:rsid w:val="00F76946"/>
    <w:rsid w:val="00F76BA2"/>
    <w:rsid w:val="00F77345"/>
    <w:rsid w:val="00F773FD"/>
    <w:rsid w:val="00F7773A"/>
    <w:rsid w:val="00F801A0"/>
    <w:rsid w:val="00F80489"/>
    <w:rsid w:val="00F80A14"/>
    <w:rsid w:val="00F81110"/>
    <w:rsid w:val="00F81515"/>
    <w:rsid w:val="00F8171C"/>
    <w:rsid w:val="00F81A69"/>
    <w:rsid w:val="00F81AF0"/>
    <w:rsid w:val="00F81E44"/>
    <w:rsid w:val="00F82220"/>
    <w:rsid w:val="00F8333C"/>
    <w:rsid w:val="00F83436"/>
    <w:rsid w:val="00F83587"/>
    <w:rsid w:val="00F83955"/>
    <w:rsid w:val="00F83B23"/>
    <w:rsid w:val="00F83C21"/>
    <w:rsid w:val="00F84188"/>
    <w:rsid w:val="00F84331"/>
    <w:rsid w:val="00F8444E"/>
    <w:rsid w:val="00F846B9"/>
    <w:rsid w:val="00F84CE5"/>
    <w:rsid w:val="00F85038"/>
    <w:rsid w:val="00F8510B"/>
    <w:rsid w:val="00F8558D"/>
    <w:rsid w:val="00F85B58"/>
    <w:rsid w:val="00F85DC9"/>
    <w:rsid w:val="00F864A5"/>
    <w:rsid w:val="00F86851"/>
    <w:rsid w:val="00F870CD"/>
    <w:rsid w:val="00F8719B"/>
    <w:rsid w:val="00F87647"/>
    <w:rsid w:val="00F876EA"/>
    <w:rsid w:val="00F879FF"/>
    <w:rsid w:val="00F87ABA"/>
    <w:rsid w:val="00F87B61"/>
    <w:rsid w:val="00F87BB8"/>
    <w:rsid w:val="00F9050C"/>
    <w:rsid w:val="00F90C1E"/>
    <w:rsid w:val="00F912E8"/>
    <w:rsid w:val="00F91583"/>
    <w:rsid w:val="00F92032"/>
    <w:rsid w:val="00F9282B"/>
    <w:rsid w:val="00F92837"/>
    <w:rsid w:val="00F92E45"/>
    <w:rsid w:val="00F9344B"/>
    <w:rsid w:val="00F93999"/>
    <w:rsid w:val="00F93B4E"/>
    <w:rsid w:val="00F93BD5"/>
    <w:rsid w:val="00F93D53"/>
    <w:rsid w:val="00F94073"/>
    <w:rsid w:val="00F94374"/>
    <w:rsid w:val="00F94604"/>
    <w:rsid w:val="00F94834"/>
    <w:rsid w:val="00F9490A"/>
    <w:rsid w:val="00F94DB3"/>
    <w:rsid w:val="00F953FE"/>
    <w:rsid w:val="00F95D52"/>
    <w:rsid w:val="00F95D64"/>
    <w:rsid w:val="00F95FAF"/>
    <w:rsid w:val="00F9610B"/>
    <w:rsid w:val="00F965BF"/>
    <w:rsid w:val="00F96C13"/>
    <w:rsid w:val="00F96DD9"/>
    <w:rsid w:val="00F96F5B"/>
    <w:rsid w:val="00F97389"/>
    <w:rsid w:val="00F97E17"/>
    <w:rsid w:val="00FA0059"/>
    <w:rsid w:val="00FA0491"/>
    <w:rsid w:val="00FA0CB2"/>
    <w:rsid w:val="00FA0D6E"/>
    <w:rsid w:val="00FA10CD"/>
    <w:rsid w:val="00FA1301"/>
    <w:rsid w:val="00FA1ACF"/>
    <w:rsid w:val="00FA1C48"/>
    <w:rsid w:val="00FA1F17"/>
    <w:rsid w:val="00FA1F49"/>
    <w:rsid w:val="00FA1F9E"/>
    <w:rsid w:val="00FA2BE3"/>
    <w:rsid w:val="00FA2D00"/>
    <w:rsid w:val="00FA35B2"/>
    <w:rsid w:val="00FA38AA"/>
    <w:rsid w:val="00FA398F"/>
    <w:rsid w:val="00FA3993"/>
    <w:rsid w:val="00FA3CD7"/>
    <w:rsid w:val="00FA3ECB"/>
    <w:rsid w:val="00FA4306"/>
    <w:rsid w:val="00FA4A8F"/>
    <w:rsid w:val="00FA4D0B"/>
    <w:rsid w:val="00FA4DFF"/>
    <w:rsid w:val="00FA5014"/>
    <w:rsid w:val="00FA52DC"/>
    <w:rsid w:val="00FA5479"/>
    <w:rsid w:val="00FA5971"/>
    <w:rsid w:val="00FA5C06"/>
    <w:rsid w:val="00FA6D78"/>
    <w:rsid w:val="00FA7592"/>
    <w:rsid w:val="00FA759C"/>
    <w:rsid w:val="00FA7A1D"/>
    <w:rsid w:val="00FA7A5F"/>
    <w:rsid w:val="00FA7AD0"/>
    <w:rsid w:val="00FA7FB2"/>
    <w:rsid w:val="00FB00D9"/>
    <w:rsid w:val="00FB0363"/>
    <w:rsid w:val="00FB05E2"/>
    <w:rsid w:val="00FB06C4"/>
    <w:rsid w:val="00FB07BA"/>
    <w:rsid w:val="00FB127C"/>
    <w:rsid w:val="00FB1328"/>
    <w:rsid w:val="00FB1FE0"/>
    <w:rsid w:val="00FB200D"/>
    <w:rsid w:val="00FB2435"/>
    <w:rsid w:val="00FB25B4"/>
    <w:rsid w:val="00FB25DC"/>
    <w:rsid w:val="00FB2795"/>
    <w:rsid w:val="00FB2A08"/>
    <w:rsid w:val="00FB2EC5"/>
    <w:rsid w:val="00FB30A1"/>
    <w:rsid w:val="00FB3704"/>
    <w:rsid w:val="00FB4167"/>
    <w:rsid w:val="00FB421B"/>
    <w:rsid w:val="00FB455E"/>
    <w:rsid w:val="00FB472B"/>
    <w:rsid w:val="00FB482C"/>
    <w:rsid w:val="00FB4A1D"/>
    <w:rsid w:val="00FB62BC"/>
    <w:rsid w:val="00FB6A2B"/>
    <w:rsid w:val="00FB6E87"/>
    <w:rsid w:val="00FB72A2"/>
    <w:rsid w:val="00FB7A8D"/>
    <w:rsid w:val="00FB7D21"/>
    <w:rsid w:val="00FC0368"/>
    <w:rsid w:val="00FC0E02"/>
    <w:rsid w:val="00FC1B79"/>
    <w:rsid w:val="00FC1CB1"/>
    <w:rsid w:val="00FC1D59"/>
    <w:rsid w:val="00FC1FE1"/>
    <w:rsid w:val="00FC214F"/>
    <w:rsid w:val="00FC2288"/>
    <w:rsid w:val="00FC245B"/>
    <w:rsid w:val="00FC27F6"/>
    <w:rsid w:val="00FC2843"/>
    <w:rsid w:val="00FC2AE9"/>
    <w:rsid w:val="00FC36B7"/>
    <w:rsid w:val="00FC3A00"/>
    <w:rsid w:val="00FC4000"/>
    <w:rsid w:val="00FC41EC"/>
    <w:rsid w:val="00FC4A71"/>
    <w:rsid w:val="00FC4C82"/>
    <w:rsid w:val="00FC4E0F"/>
    <w:rsid w:val="00FC549D"/>
    <w:rsid w:val="00FC5827"/>
    <w:rsid w:val="00FC5D3F"/>
    <w:rsid w:val="00FC6237"/>
    <w:rsid w:val="00FC6516"/>
    <w:rsid w:val="00FC6801"/>
    <w:rsid w:val="00FC69A0"/>
    <w:rsid w:val="00FC6B7D"/>
    <w:rsid w:val="00FC6BF9"/>
    <w:rsid w:val="00FC6CBC"/>
    <w:rsid w:val="00FC70C6"/>
    <w:rsid w:val="00FC72C7"/>
    <w:rsid w:val="00FC7A46"/>
    <w:rsid w:val="00FD073B"/>
    <w:rsid w:val="00FD0A0E"/>
    <w:rsid w:val="00FD0AF3"/>
    <w:rsid w:val="00FD0F1C"/>
    <w:rsid w:val="00FD1084"/>
    <w:rsid w:val="00FD11F6"/>
    <w:rsid w:val="00FD1338"/>
    <w:rsid w:val="00FD138F"/>
    <w:rsid w:val="00FD15BE"/>
    <w:rsid w:val="00FD1CFC"/>
    <w:rsid w:val="00FD2240"/>
    <w:rsid w:val="00FD295B"/>
    <w:rsid w:val="00FD36C4"/>
    <w:rsid w:val="00FD3924"/>
    <w:rsid w:val="00FD5003"/>
    <w:rsid w:val="00FD5131"/>
    <w:rsid w:val="00FD536D"/>
    <w:rsid w:val="00FD58AE"/>
    <w:rsid w:val="00FD5B67"/>
    <w:rsid w:val="00FD5C1F"/>
    <w:rsid w:val="00FD5C67"/>
    <w:rsid w:val="00FD612F"/>
    <w:rsid w:val="00FD6330"/>
    <w:rsid w:val="00FD6789"/>
    <w:rsid w:val="00FD6D78"/>
    <w:rsid w:val="00FE0CBD"/>
    <w:rsid w:val="00FE1250"/>
    <w:rsid w:val="00FE1325"/>
    <w:rsid w:val="00FE13A1"/>
    <w:rsid w:val="00FE1955"/>
    <w:rsid w:val="00FE1F2C"/>
    <w:rsid w:val="00FE21D5"/>
    <w:rsid w:val="00FE2363"/>
    <w:rsid w:val="00FE242B"/>
    <w:rsid w:val="00FE252B"/>
    <w:rsid w:val="00FE28EF"/>
    <w:rsid w:val="00FE299B"/>
    <w:rsid w:val="00FE2D52"/>
    <w:rsid w:val="00FE2E21"/>
    <w:rsid w:val="00FE34A5"/>
    <w:rsid w:val="00FE353C"/>
    <w:rsid w:val="00FE3591"/>
    <w:rsid w:val="00FE3C1B"/>
    <w:rsid w:val="00FE3E07"/>
    <w:rsid w:val="00FE3EAB"/>
    <w:rsid w:val="00FE3ED1"/>
    <w:rsid w:val="00FE43AB"/>
    <w:rsid w:val="00FE464D"/>
    <w:rsid w:val="00FE48F0"/>
    <w:rsid w:val="00FE4B59"/>
    <w:rsid w:val="00FE4EDC"/>
    <w:rsid w:val="00FE4F40"/>
    <w:rsid w:val="00FE5CC9"/>
    <w:rsid w:val="00FE5F9F"/>
    <w:rsid w:val="00FE62C3"/>
    <w:rsid w:val="00FE6782"/>
    <w:rsid w:val="00FE6DF1"/>
    <w:rsid w:val="00FE7886"/>
    <w:rsid w:val="00FE7A01"/>
    <w:rsid w:val="00FE7CB4"/>
    <w:rsid w:val="00FE7D7D"/>
    <w:rsid w:val="00FF0243"/>
    <w:rsid w:val="00FF07AB"/>
    <w:rsid w:val="00FF0F39"/>
    <w:rsid w:val="00FF1546"/>
    <w:rsid w:val="00FF1A14"/>
    <w:rsid w:val="00FF1ACD"/>
    <w:rsid w:val="00FF1BCB"/>
    <w:rsid w:val="00FF2160"/>
    <w:rsid w:val="00FF2866"/>
    <w:rsid w:val="00FF2F54"/>
    <w:rsid w:val="00FF2FDA"/>
    <w:rsid w:val="00FF314A"/>
    <w:rsid w:val="00FF3508"/>
    <w:rsid w:val="00FF3691"/>
    <w:rsid w:val="00FF3A7F"/>
    <w:rsid w:val="00FF428E"/>
    <w:rsid w:val="00FF42D2"/>
    <w:rsid w:val="00FF4897"/>
    <w:rsid w:val="00FF499D"/>
    <w:rsid w:val="00FF4E13"/>
    <w:rsid w:val="00FF5087"/>
    <w:rsid w:val="00FF5164"/>
    <w:rsid w:val="00FF52B2"/>
    <w:rsid w:val="00FF5740"/>
    <w:rsid w:val="00FF5A25"/>
    <w:rsid w:val="00FF5B64"/>
    <w:rsid w:val="00FF5BB6"/>
    <w:rsid w:val="00FF5E7D"/>
    <w:rsid w:val="00FF6266"/>
    <w:rsid w:val="00FF670E"/>
    <w:rsid w:val="00FF6B30"/>
    <w:rsid w:val="00FF6BFD"/>
    <w:rsid w:val="00FF7416"/>
    <w:rsid w:val="00FF7F51"/>
    <w:rsid w:val="00FF7FA0"/>
    <w:rsid w:val="010B447C"/>
    <w:rsid w:val="012D2E9F"/>
    <w:rsid w:val="0136557F"/>
    <w:rsid w:val="0149143E"/>
    <w:rsid w:val="014D4677"/>
    <w:rsid w:val="01597580"/>
    <w:rsid w:val="015B284D"/>
    <w:rsid w:val="01705095"/>
    <w:rsid w:val="01770EBE"/>
    <w:rsid w:val="0179351B"/>
    <w:rsid w:val="01797FF6"/>
    <w:rsid w:val="018362EB"/>
    <w:rsid w:val="01897EDF"/>
    <w:rsid w:val="01902F7E"/>
    <w:rsid w:val="01934780"/>
    <w:rsid w:val="01967DCC"/>
    <w:rsid w:val="019F7983"/>
    <w:rsid w:val="01A927F4"/>
    <w:rsid w:val="01AE2A8C"/>
    <w:rsid w:val="01B85F94"/>
    <w:rsid w:val="01BB3CD7"/>
    <w:rsid w:val="01C04D8D"/>
    <w:rsid w:val="01C102EE"/>
    <w:rsid w:val="01C5380A"/>
    <w:rsid w:val="01DB577D"/>
    <w:rsid w:val="01EB4081"/>
    <w:rsid w:val="01EB6738"/>
    <w:rsid w:val="0205133F"/>
    <w:rsid w:val="02077660"/>
    <w:rsid w:val="0209408C"/>
    <w:rsid w:val="020C70ED"/>
    <w:rsid w:val="02182E8B"/>
    <w:rsid w:val="02186C1F"/>
    <w:rsid w:val="023C235A"/>
    <w:rsid w:val="023F673B"/>
    <w:rsid w:val="026B1E21"/>
    <w:rsid w:val="027404F3"/>
    <w:rsid w:val="02783976"/>
    <w:rsid w:val="027D2D3A"/>
    <w:rsid w:val="02865938"/>
    <w:rsid w:val="02991469"/>
    <w:rsid w:val="02AC36BD"/>
    <w:rsid w:val="02AD184E"/>
    <w:rsid w:val="02AF1661"/>
    <w:rsid w:val="02C069D8"/>
    <w:rsid w:val="02C1356F"/>
    <w:rsid w:val="02C27B7F"/>
    <w:rsid w:val="02C85505"/>
    <w:rsid w:val="02CB2E85"/>
    <w:rsid w:val="02CB4006"/>
    <w:rsid w:val="02CE7E17"/>
    <w:rsid w:val="02D92666"/>
    <w:rsid w:val="02E068A0"/>
    <w:rsid w:val="02E5641E"/>
    <w:rsid w:val="02E81069"/>
    <w:rsid w:val="02EF6D93"/>
    <w:rsid w:val="02F359E2"/>
    <w:rsid w:val="02FB6B16"/>
    <w:rsid w:val="030E582C"/>
    <w:rsid w:val="03125B78"/>
    <w:rsid w:val="031943EC"/>
    <w:rsid w:val="031F4DDA"/>
    <w:rsid w:val="03226D0C"/>
    <w:rsid w:val="032A22CA"/>
    <w:rsid w:val="033154D6"/>
    <w:rsid w:val="034C002C"/>
    <w:rsid w:val="034D6274"/>
    <w:rsid w:val="03600BA6"/>
    <w:rsid w:val="03602E12"/>
    <w:rsid w:val="03623241"/>
    <w:rsid w:val="037071D7"/>
    <w:rsid w:val="0378491C"/>
    <w:rsid w:val="03793394"/>
    <w:rsid w:val="037A123C"/>
    <w:rsid w:val="03902F82"/>
    <w:rsid w:val="03942A31"/>
    <w:rsid w:val="03990047"/>
    <w:rsid w:val="039F2938"/>
    <w:rsid w:val="039F52DC"/>
    <w:rsid w:val="03A5363C"/>
    <w:rsid w:val="03AA4003"/>
    <w:rsid w:val="03BB28CE"/>
    <w:rsid w:val="03CF5A91"/>
    <w:rsid w:val="03D446F6"/>
    <w:rsid w:val="03D71CB6"/>
    <w:rsid w:val="03D90444"/>
    <w:rsid w:val="03E2783C"/>
    <w:rsid w:val="03F03CF3"/>
    <w:rsid w:val="03F94E06"/>
    <w:rsid w:val="03FD2384"/>
    <w:rsid w:val="03FE1136"/>
    <w:rsid w:val="040446BB"/>
    <w:rsid w:val="040D62FF"/>
    <w:rsid w:val="04175749"/>
    <w:rsid w:val="041871BE"/>
    <w:rsid w:val="04263D7D"/>
    <w:rsid w:val="04294066"/>
    <w:rsid w:val="04410CD2"/>
    <w:rsid w:val="044F26F6"/>
    <w:rsid w:val="04542027"/>
    <w:rsid w:val="04560769"/>
    <w:rsid w:val="045A1DC6"/>
    <w:rsid w:val="04707A81"/>
    <w:rsid w:val="04826F7C"/>
    <w:rsid w:val="049437FC"/>
    <w:rsid w:val="04964E9B"/>
    <w:rsid w:val="049D2F26"/>
    <w:rsid w:val="04A25998"/>
    <w:rsid w:val="04AC0233"/>
    <w:rsid w:val="04DA4A37"/>
    <w:rsid w:val="04E877F0"/>
    <w:rsid w:val="04F4568F"/>
    <w:rsid w:val="04FB18EF"/>
    <w:rsid w:val="05341DD6"/>
    <w:rsid w:val="053B2AF7"/>
    <w:rsid w:val="054F6499"/>
    <w:rsid w:val="05596483"/>
    <w:rsid w:val="056062BD"/>
    <w:rsid w:val="0563090D"/>
    <w:rsid w:val="05657B43"/>
    <w:rsid w:val="05734A5D"/>
    <w:rsid w:val="0574733A"/>
    <w:rsid w:val="0578785D"/>
    <w:rsid w:val="057C19CF"/>
    <w:rsid w:val="058E734C"/>
    <w:rsid w:val="05A636AD"/>
    <w:rsid w:val="05A67549"/>
    <w:rsid w:val="05AD077C"/>
    <w:rsid w:val="05B253F0"/>
    <w:rsid w:val="05BD455A"/>
    <w:rsid w:val="05C00253"/>
    <w:rsid w:val="05C07B0D"/>
    <w:rsid w:val="05D15A76"/>
    <w:rsid w:val="05D52946"/>
    <w:rsid w:val="05DB5C5F"/>
    <w:rsid w:val="05DC40EC"/>
    <w:rsid w:val="05F261DE"/>
    <w:rsid w:val="05F35271"/>
    <w:rsid w:val="05F70902"/>
    <w:rsid w:val="060C0B1E"/>
    <w:rsid w:val="061556CC"/>
    <w:rsid w:val="0627303B"/>
    <w:rsid w:val="06284F47"/>
    <w:rsid w:val="06525F6D"/>
    <w:rsid w:val="067F3B00"/>
    <w:rsid w:val="06816950"/>
    <w:rsid w:val="068A6CF9"/>
    <w:rsid w:val="06905732"/>
    <w:rsid w:val="069328A5"/>
    <w:rsid w:val="06C93B4D"/>
    <w:rsid w:val="06EB18A7"/>
    <w:rsid w:val="06EC048E"/>
    <w:rsid w:val="06EF01D5"/>
    <w:rsid w:val="06F73010"/>
    <w:rsid w:val="07041A13"/>
    <w:rsid w:val="07047134"/>
    <w:rsid w:val="07054956"/>
    <w:rsid w:val="07071FC0"/>
    <w:rsid w:val="07147814"/>
    <w:rsid w:val="07153E89"/>
    <w:rsid w:val="07187359"/>
    <w:rsid w:val="071A0F8F"/>
    <w:rsid w:val="071F6453"/>
    <w:rsid w:val="07226EA4"/>
    <w:rsid w:val="07272D67"/>
    <w:rsid w:val="072D5881"/>
    <w:rsid w:val="073562D9"/>
    <w:rsid w:val="073A1E93"/>
    <w:rsid w:val="07421D53"/>
    <w:rsid w:val="074962C4"/>
    <w:rsid w:val="074E1189"/>
    <w:rsid w:val="075618E4"/>
    <w:rsid w:val="075951D2"/>
    <w:rsid w:val="075B3B41"/>
    <w:rsid w:val="07656842"/>
    <w:rsid w:val="076B3AA9"/>
    <w:rsid w:val="07754928"/>
    <w:rsid w:val="077B1E89"/>
    <w:rsid w:val="077F356A"/>
    <w:rsid w:val="07801A1F"/>
    <w:rsid w:val="078B7CA7"/>
    <w:rsid w:val="07AF1BE8"/>
    <w:rsid w:val="07B13BB2"/>
    <w:rsid w:val="07DB29DD"/>
    <w:rsid w:val="07E10E78"/>
    <w:rsid w:val="07E32CEB"/>
    <w:rsid w:val="07E347BE"/>
    <w:rsid w:val="07E94D14"/>
    <w:rsid w:val="07EA3A3B"/>
    <w:rsid w:val="07FD68E2"/>
    <w:rsid w:val="08022B4A"/>
    <w:rsid w:val="081128A2"/>
    <w:rsid w:val="08123BA6"/>
    <w:rsid w:val="08142D72"/>
    <w:rsid w:val="08260CC3"/>
    <w:rsid w:val="08275F3E"/>
    <w:rsid w:val="08304FFF"/>
    <w:rsid w:val="08473A9A"/>
    <w:rsid w:val="084F24D1"/>
    <w:rsid w:val="0852190A"/>
    <w:rsid w:val="086325B4"/>
    <w:rsid w:val="0876364E"/>
    <w:rsid w:val="08796E3D"/>
    <w:rsid w:val="0889667B"/>
    <w:rsid w:val="088E198C"/>
    <w:rsid w:val="088E745E"/>
    <w:rsid w:val="08970701"/>
    <w:rsid w:val="089A1369"/>
    <w:rsid w:val="089A5E63"/>
    <w:rsid w:val="089D54C3"/>
    <w:rsid w:val="089D5F19"/>
    <w:rsid w:val="089F1C5C"/>
    <w:rsid w:val="08CD5929"/>
    <w:rsid w:val="08CE2541"/>
    <w:rsid w:val="08D94D9A"/>
    <w:rsid w:val="08E05390"/>
    <w:rsid w:val="08ED7DB9"/>
    <w:rsid w:val="08FA1588"/>
    <w:rsid w:val="08FE60B1"/>
    <w:rsid w:val="090166BA"/>
    <w:rsid w:val="090375A0"/>
    <w:rsid w:val="091475B6"/>
    <w:rsid w:val="091A6C9B"/>
    <w:rsid w:val="091C1D65"/>
    <w:rsid w:val="09235540"/>
    <w:rsid w:val="092A19E3"/>
    <w:rsid w:val="092F3BAB"/>
    <w:rsid w:val="094136AE"/>
    <w:rsid w:val="095B1FCF"/>
    <w:rsid w:val="095E3965"/>
    <w:rsid w:val="09624582"/>
    <w:rsid w:val="09673489"/>
    <w:rsid w:val="096F690A"/>
    <w:rsid w:val="09734D1A"/>
    <w:rsid w:val="09806E17"/>
    <w:rsid w:val="09825FC7"/>
    <w:rsid w:val="09880DFE"/>
    <w:rsid w:val="098C6C86"/>
    <w:rsid w:val="099319C1"/>
    <w:rsid w:val="09A55B8D"/>
    <w:rsid w:val="09AD07B5"/>
    <w:rsid w:val="09AD65FB"/>
    <w:rsid w:val="09B34A27"/>
    <w:rsid w:val="09B423A8"/>
    <w:rsid w:val="09BF5116"/>
    <w:rsid w:val="09C0577C"/>
    <w:rsid w:val="09CA1D89"/>
    <w:rsid w:val="09E11D33"/>
    <w:rsid w:val="09E518F1"/>
    <w:rsid w:val="09EB41E8"/>
    <w:rsid w:val="09EE6E95"/>
    <w:rsid w:val="0A067EA3"/>
    <w:rsid w:val="0A1348C9"/>
    <w:rsid w:val="0A1A2170"/>
    <w:rsid w:val="0A1F0C00"/>
    <w:rsid w:val="0A241CAA"/>
    <w:rsid w:val="0A2F7010"/>
    <w:rsid w:val="0A314161"/>
    <w:rsid w:val="0A346261"/>
    <w:rsid w:val="0A356779"/>
    <w:rsid w:val="0A393BCA"/>
    <w:rsid w:val="0A3A3B56"/>
    <w:rsid w:val="0A3C34DB"/>
    <w:rsid w:val="0A40694B"/>
    <w:rsid w:val="0A411BFF"/>
    <w:rsid w:val="0A480CB7"/>
    <w:rsid w:val="0A481E7F"/>
    <w:rsid w:val="0A6C0264"/>
    <w:rsid w:val="0A6D7B38"/>
    <w:rsid w:val="0A6F386C"/>
    <w:rsid w:val="0A702FC6"/>
    <w:rsid w:val="0A736290"/>
    <w:rsid w:val="0A7515CD"/>
    <w:rsid w:val="0A803DFC"/>
    <w:rsid w:val="0A8F16B8"/>
    <w:rsid w:val="0A9B514A"/>
    <w:rsid w:val="0A9F6010"/>
    <w:rsid w:val="0AA3385F"/>
    <w:rsid w:val="0AA57E9A"/>
    <w:rsid w:val="0ABD0ABF"/>
    <w:rsid w:val="0AC901C8"/>
    <w:rsid w:val="0ACE257C"/>
    <w:rsid w:val="0ACF5EBC"/>
    <w:rsid w:val="0AD45319"/>
    <w:rsid w:val="0ADB1EC4"/>
    <w:rsid w:val="0ADB7B58"/>
    <w:rsid w:val="0AE64409"/>
    <w:rsid w:val="0AE777C6"/>
    <w:rsid w:val="0AED4702"/>
    <w:rsid w:val="0AF94699"/>
    <w:rsid w:val="0AFC0FE8"/>
    <w:rsid w:val="0B091C0E"/>
    <w:rsid w:val="0B0E3BA9"/>
    <w:rsid w:val="0B0F299D"/>
    <w:rsid w:val="0B1526A9"/>
    <w:rsid w:val="0B177A7E"/>
    <w:rsid w:val="0B1C1431"/>
    <w:rsid w:val="0B31613C"/>
    <w:rsid w:val="0B325812"/>
    <w:rsid w:val="0B3E09C6"/>
    <w:rsid w:val="0B5D0BD9"/>
    <w:rsid w:val="0B657BCB"/>
    <w:rsid w:val="0B6B4A1F"/>
    <w:rsid w:val="0B786BB3"/>
    <w:rsid w:val="0B7D073D"/>
    <w:rsid w:val="0B807F07"/>
    <w:rsid w:val="0BA13D85"/>
    <w:rsid w:val="0BA37C3B"/>
    <w:rsid w:val="0BA55730"/>
    <w:rsid w:val="0BAD28E2"/>
    <w:rsid w:val="0BBA56D4"/>
    <w:rsid w:val="0BCA3494"/>
    <w:rsid w:val="0BD3140E"/>
    <w:rsid w:val="0BD51E2F"/>
    <w:rsid w:val="0BD64040"/>
    <w:rsid w:val="0BDB5CE5"/>
    <w:rsid w:val="0BE34A57"/>
    <w:rsid w:val="0BED7D3A"/>
    <w:rsid w:val="0BF2384D"/>
    <w:rsid w:val="0BFF7830"/>
    <w:rsid w:val="0C0A2A54"/>
    <w:rsid w:val="0C1B5AE1"/>
    <w:rsid w:val="0C2058ED"/>
    <w:rsid w:val="0C2138B4"/>
    <w:rsid w:val="0C22429A"/>
    <w:rsid w:val="0C3138C2"/>
    <w:rsid w:val="0C360B29"/>
    <w:rsid w:val="0C402998"/>
    <w:rsid w:val="0C41302A"/>
    <w:rsid w:val="0C6176EA"/>
    <w:rsid w:val="0C637294"/>
    <w:rsid w:val="0C692CAD"/>
    <w:rsid w:val="0C823740"/>
    <w:rsid w:val="0C9A3574"/>
    <w:rsid w:val="0C9C64B3"/>
    <w:rsid w:val="0C9D51A9"/>
    <w:rsid w:val="0C9D6C7C"/>
    <w:rsid w:val="0CAD1E3F"/>
    <w:rsid w:val="0CB24D02"/>
    <w:rsid w:val="0CB62827"/>
    <w:rsid w:val="0CBA039B"/>
    <w:rsid w:val="0CBA2F58"/>
    <w:rsid w:val="0CCB22A3"/>
    <w:rsid w:val="0CCE728F"/>
    <w:rsid w:val="0CD336A2"/>
    <w:rsid w:val="0CE13FE7"/>
    <w:rsid w:val="0CE34455"/>
    <w:rsid w:val="0CE37F83"/>
    <w:rsid w:val="0CFE78BC"/>
    <w:rsid w:val="0D202C59"/>
    <w:rsid w:val="0D300234"/>
    <w:rsid w:val="0D376062"/>
    <w:rsid w:val="0D3B5CCB"/>
    <w:rsid w:val="0D40165A"/>
    <w:rsid w:val="0D4076D7"/>
    <w:rsid w:val="0D5755B6"/>
    <w:rsid w:val="0D61047E"/>
    <w:rsid w:val="0D777C90"/>
    <w:rsid w:val="0D787EEA"/>
    <w:rsid w:val="0D815455"/>
    <w:rsid w:val="0D9075C0"/>
    <w:rsid w:val="0D995A40"/>
    <w:rsid w:val="0DAA28D1"/>
    <w:rsid w:val="0DB2792E"/>
    <w:rsid w:val="0DB359A8"/>
    <w:rsid w:val="0DBF06D3"/>
    <w:rsid w:val="0DC97427"/>
    <w:rsid w:val="0DD01F33"/>
    <w:rsid w:val="0DDC74AE"/>
    <w:rsid w:val="0DE44516"/>
    <w:rsid w:val="0DE46363"/>
    <w:rsid w:val="0DE74721"/>
    <w:rsid w:val="0DF15987"/>
    <w:rsid w:val="0DF26CD2"/>
    <w:rsid w:val="0E13382C"/>
    <w:rsid w:val="0E19425F"/>
    <w:rsid w:val="0E1C3DD4"/>
    <w:rsid w:val="0E1E74F1"/>
    <w:rsid w:val="0E211A3C"/>
    <w:rsid w:val="0E3015A8"/>
    <w:rsid w:val="0E3C60C2"/>
    <w:rsid w:val="0E450E86"/>
    <w:rsid w:val="0E4D5A02"/>
    <w:rsid w:val="0E5933D7"/>
    <w:rsid w:val="0E6A7DF0"/>
    <w:rsid w:val="0E6C0832"/>
    <w:rsid w:val="0E827A95"/>
    <w:rsid w:val="0E844452"/>
    <w:rsid w:val="0E84498F"/>
    <w:rsid w:val="0E8D2083"/>
    <w:rsid w:val="0E8F0AAE"/>
    <w:rsid w:val="0E910299"/>
    <w:rsid w:val="0E9A2BC2"/>
    <w:rsid w:val="0EB40990"/>
    <w:rsid w:val="0EBD41A3"/>
    <w:rsid w:val="0EC31B94"/>
    <w:rsid w:val="0EC660F6"/>
    <w:rsid w:val="0ECA5A1A"/>
    <w:rsid w:val="0ED14EE7"/>
    <w:rsid w:val="0ED2440E"/>
    <w:rsid w:val="0ED71A24"/>
    <w:rsid w:val="0ED84485"/>
    <w:rsid w:val="0EDB701B"/>
    <w:rsid w:val="0EF216F2"/>
    <w:rsid w:val="0EF4774B"/>
    <w:rsid w:val="0EF867C3"/>
    <w:rsid w:val="0F087E2F"/>
    <w:rsid w:val="0F1303B5"/>
    <w:rsid w:val="0F194577"/>
    <w:rsid w:val="0F283ECE"/>
    <w:rsid w:val="0F3F5AC2"/>
    <w:rsid w:val="0F4F4DDF"/>
    <w:rsid w:val="0F5C08A7"/>
    <w:rsid w:val="0F5E1E62"/>
    <w:rsid w:val="0F6C5013"/>
    <w:rsid w:val="0F7974C3"/>
    <w:rsid w:val="0F911464"/>
    <w:rsid w:val="0F916077"/>
    <w:rsid w:val="0F9320D8"/>
    <w:rsid w:val="0FA509B5"/>
    <w:rsid w:val="0FA65986"/>
    <w:rsid w:val="0FA85BC5"/>
    <w:rsid w:val="0FB12275"/>
    <w:rsid w:val="0FBD0C1A"/>
    <w:rsid w:val="0FC60D50"/>
    <w:rsid w:val="0FD4094F"/>
    <w:rsid w:val="0FD42CD5"/>
    <w:rsid w:val="0FDC6702"/>
    <w:rsid w:val="0FDD52AD"/>
    <w:rsid w:val="0FEB6444"/>
    <w:rsid w:val="0FFD2754"/>
    <w:rsid w:val="10051085"/>
    <w:rsid w:val="100D334A"/>
    <w:rsid w:val="10192A29"/>
    <w:rsid w:val="10277024"/>
    <w:rsid w:val="102D240F"/>
    <w:rsid w:val="1030040D"/>
    <w:rsid w:val="103E7FAD"/>
    <w:rsid w:val="10471646"/>
    <w:rsid w:val="105671D0"/>
    <w:rsid w:val="105908EF"/>
    <w:rsid w:val="105E035B"/>
    <w:rsid w:val="106317C1"/>
    <w:rsid w:val="10741C20"/>
    <w:rsid w:val="10745A0F"/>
    <w:rsid w:val="107665FC"/>
    <w:rsid w:val="107D62F3"/>
    <w:rsid w:val="108375D6"/>
    <w:rsid w:val="108A31F2"/>
    <w:rsid w:val="10923B44"/>
    <w:rsid w:val="10A122E9"/>
    <w:rsid w:val="10A21077"/>
    <w:rsid w:val="10B27056"/>
    <w:rsid w:val="10BB5084"/>
    <w:rsid w:val="10C77000"/>
    <w:rsid w:val="10CE05AC"/>
    <w:rsid w:val="10D17109"/>
    <w:rsid w:val="10DE4491"/>
    <w:rsid w:val="10EA7240"/>
    <w:rsid w:val="10FA6CCD"/>
    <w:rsid w:val="1105276D"/>
    <w:rsid w:val="11126856"/>
    <w:rsid w:val="11135A62"/>
    <w:rsid w:val="11142686"/>
    <w:rsid w:val="111D54CE"/>
    <w:rsid w:val="11225B26"/>
    <w:rsid w:val="1125116C"/>
    <w:rsid w:val="112851FD"/>
    <w:rsid w:val="112B6F94"/>
    <w:rsid w:val="11300B2B"/>
    <w:rsid w:val="11382C4E"/>
    <w:rsid w:val="113C78D9"/>
    <w:rsid w:val="11430EC5"/>
    <w:rsid w:val="114A5E54"/>
    <w:rsid w:val="11501139"/>
    <w:rsid w:val="11550431"/>
    <w:rsid w:val="11592BC4"/>
    <w:rsid w:val="116D5804"/>
    <w:rsid w:val="11765524"/>
    <w:rsid w:val="119227E7"/>
    <w:rsid w:val="11B147AE"/>
    <w:rsid w:val="11B607BD"/>
    <w:rsid w:val="11BF511D"/>
    <w:rsid w:val="11BF5B76"/>
    <w:rsid w:val="11C32B94"/>
    <w:rsid w:val="11C91AF8"/>
    <w:rsid w:val="11DC0620"/>
    <w:rsid w:val="11E20A7B"/>
    <w:rsid w:val="11EE0DAF"/>
    <w:rsid w:val="11F744C2"/>
    <w:rsid w:val="11F85100"/>
    <w:rsid w:val="11FF23F6"/>
    <w:rsid w:val="120269E9"/>
    <w:rsid w:val="12035184"/>
    <w:rsid w:val="120D4FDB"/>
    <w:rsid w:val="120F28A5"/>
    <w:rsid w:val="12153779"/>
    <w:rsid w:val="121C1138"/>
    <w:rsid w:val="1233044D"/>
    <w:rsid w:val="123E4699"/>
    <w:rsid w:val="124A0F90"/>
    <w:rsid w:val="124F46F3"/>
    <w:rsid w:val="12601DC7"/>
    <w:rsid w:val="12626C7D"/>
    <w:rsid w:val="126D4BDC"/>
    <w:rsid w:val="127302C4"/>
    <w:rsid w:val="127943E2"/>
    <w:rsid w:val="127961AB"/>
    <w:rsid w:val="127C7933"/>
    <w:rsid w:val="128B41B6"/>
    <w:rsid w:val="12924BA8"/>
    <w:rsid w:val="12A06905"/>
    <w:rsid w:val="12A649B0"/>
    <w:rsid w:val="12B21052"/>
    <w:rsid w:val="12B96010"/>
    <w:rsid w:val="12BA2502"/>
    <w:rsid w:val="12C0739F"/>
    <w:rsid w:val="12C32D62"/>
    <w:rsid w:val="12C416C9"/>
    <w:rsid w:val="12C90BB4"/>
    <w:rsid w:val="12D61297"/>
    <w:rsid w:val="12D746E8"/>
    <w:rsid w:val="12DF03EC"/>
    <w:rsid w:val="12E13E17"/>
    <w:rsid w:val="12F73112"/>
    <w:rsid w:val="12FB03D7"/>
    <w:rsid w:val="12FE6C66"/>
    <w:rsid w:val="12FF1797"/>
    <w:rsid w:val="13187091"/>
    <w:rsid w:val="13196AAF"/>
    <w:rsid w:val="13271381"/>
    <w:rsid w:val="13280DC9"/>
    <w:rsid w:val="1331795E"/>
    <w:rsid w:val="133C0AAE"/>
    <w:rsid w:val="134059D5"/>
    <w:rsid w:val="134750A3"/>
    <w:rsid w:val="134D4E96"/>
    <w:rsid w:val="134F1DB9"/>
    <w:rsid w:val="13531F70"/>
    <w:rsid w:val="13566593"/>
    <w:rsid w:val="136917E4"/>
    <w:rsid w:val="13751DAE"/>
    <w:rsid w:val="13791B85"/>
    <w:rsid w:val="1379754E"/>
    <w:rsid w:val="13797D8B"/>
    <w:rsid w:val="137D5290"/>
    <w:rsid w:val="1388339C"/>
    <w:rsid w:val="139042A0"/>
    <w:rsid w:val="1394149C"/>
    <w:rsid w:val="13991604"/>
    <w:rsid w:val="13B42314"/>
    <w:rsid w:val="13BE3AB4"/>
    <w:rsid w:val="13CB5FFB"/>
    <w:rsid w:val="13DA3A07"/>
    <w:rsid w:val="13E64BE3"/>
    <w:rsid w:val="13EB25C3"/>
    <w:rsid w:val="140942D5"/>
    <w:rsid w:val="140C322B"/>
    <w:rsid w:val="140E35ED"/>
    <w:rsid w:val="141243CA"/>
    <w:rsid w:val="141352AC"/>
    <w:rsid w:val="141A663B"/>
    <w:rsid w:val="14243E3E"/>
    <w:rsid w:val="143F2545"/>
    <w:rsid w:val="143F25B1"/>
    <w:rsid w:val="14494AE0"/>
    <w:rsid w:val="144D6E59"/>
    <w:rsid w:val="145A08AD"/>
    <w:rsid w:val="14607AE3"/>
    <w:rsid w:val="146F4EE8"/>
    <w:rsid w:val="147F2942"/>
    <w:rsid w:val="14AB79E6"/>
    <w:rsid w:val="14B81D0A"/>
    <w:rsid w:val="14B97378"/>
    <w:rsid w:val="14BC3B96"/>
    <w:rsid w:val="14C46C45"/>
    <w:rsid w:val="14CA46DA"/>
    <w:rsid w:val="14CF102A"/>
    <w:rsid w:val="14D54B05"/>
    <w:rsid w:val="14DD05F1"/>
    <w:rsid w:val="14E0178F"/>
    <w:rsid w:val="14E31122"/>
    <w:rsid w:val="14F425C6"/>
    <w:rsid w:val="14F93F9F"/>
    <w:rsid w:val="14FC21E4"/>
    <w:rsid w:val="14FD1B73"/>
    <w:rsid w:val="151D31F9"/>
    <w:rsid w:val="152F6116"/>
    <w:rsid w:val="153068E7"/>
    <w:rsid w:val="1546327E"/>
    <w:rsid w:val="15483204"/>
    <w:rsid w:val="15490DEE"/>
    <w:rsid w:val="15560FB9"/>
    <w:rsid w:val="15593193"/>
    <w:rsid w:val="155A3A61"/>
    <w:rsid w:val="155F594E"/>
    <w:rsid w:val="15736F3C"/>
    <w:rsid w:val="15754E00"/>
    <w:rsid w:val="158B2477"/>
    <w:rsid w:val="159D208D"/>
    <w:rsid w:val="159D65ED"/>
    <w:rsid w:val="15A22D8C"/>
    <w:rsid w:val="15B17D3E"/>
    <w:rsid w:val="15BB3E4D"/>
    <w:rsid w:val="15BB5DE0"/>
    <w:rsid w:val="15C06BCB"/>
    <w:rsid w:val="15DB5D27"/>
    <w:rsid w:val="15E06ED4"/>
    <w:rsid w:val="15F46600"/>
    <w:rsid w:val="15FF08AE"/>
    <w:rsid w:val="1615318B"/>
    <w:rsid w:val="161E0BD1"/>
    <w:rsid w:val="16213E67"/>
    <w:rsid w:val="16227A29"/>
    <w:rsid w:val="16396572"/>
    <w:rsid w:val="163C3C0C"/>
    <w:rsid w:val="163F40F4"/>
    <w:rsid w:val="164847F3"/>
    <w:rsid w:val="16485831"/>
    <w:rsid w:val="164A63ED"/>
    <w:rsid w:val="166C1D72"/>
    <w:rsid w:val="166C55C2"/>
    <w:rsid w:val="16701895"/>
    <w:rsid w:val="16960D52"/>
    <w:rsid w:val="169D1A15"/>
    <w:rsid w:val="16A82624"/>
    <w:rsid w:val="16AC6039"/>
    <w:rsid w:val="16D10416"/>
    <w:rsid w:val="16D2144F"/>
    <w:rsid w:val="16D27BE2"/>
    <w:rsid w:val="16DE4F82"/>
    <w:rsid w:val="16E57A6A"/>
    <w:rsid w:val="16E64029"/>
    <w:rsid w:val="170577AB"/>
    <w:rsid w:val="170E16D7"/>
    <w:rsid w:val="171D33E4"/>
    <w:rsid w:val="172A411A"/>
    <w:rsid w:val="172E76A1"/>
    <w:rsid w:val="1730521F"/>
    <w:rsid w:val="17395CA1"/>
    <w:rsid w:val="173B5246"/>
    <w:rsid w:val="17437B7E"/>
    <w:rsid w:val="1765414D"/>
    <w:rsid w:val="176E04D8"/>
    <w:rsid w:val="176F5613"/>
    <w:rsid w:val="17702C7A"/>
    <w:rsid w:val="17736445"/>
    <w:rsid w:val="17796B7B"/>
    <w:rsid w:val="178459A0"/>
    <w:rsid w:val="178F10EE"/>
    <w:rsid w:val="17A42C23"/>
    <w:rsid w:val="17BB6387"/>
    <w:rsid w:val="17BD6952"/>
    <w:rsid w:val="17BE19D3"/>
    <w:rsid w:val="17D1144F"/>
    <w:rsid w:val="17D13757"/>
    <w:rsid w:val="17DE3C8A"/>
    <w:rsid w:val="17E052C5"/>
    <w:rsid w:val="17E56D4F"/>
    <w:rsid w:val="17E70A14"/>
    <w:rsid w:val="17E917FB"/>
    <w:rsid w:val="17EA50F8"/>
    <w:rsid w:val="17EF6030"/>
    <w:rsid w:val="17FA6EAF"/>
    <w:rsid w:val="18035182"/>
    <w:rsid w:val="18074BF6"/>
    <w:rsid w:val="180B1B5A"/>
    <w:rsid w:val="18100480"/>
    <w:rsid w:val="182F10F1"/>
    <w:rsid w:val="183160E1"/>
    <w:rsid w:val="18337B8A"/>
    <w:rsid w:val="185354FE"/>
    <w:rsid w:val="185A3E47"/>
    <w:rsid w:val="185C36C6"/>
    <w:rsid w:val="18636F2F"/>
    <w:rsid w:val="18837A2A"/>
    <w:rsid w:val="188967FD"/>
    <w:rsid w:val="189128D5"/>
    <w:rsid w:val="18927D8F"/>
    <w:rsid w:val="189C1D14"/>
    <w:rsid w:val="189C30AD"/>
    <w:rsid w:val="18B1713D"/>
    <w:rsid w:val="18B232E6"/>
    <w:rsid w:val="18D51BE4"/>
    <w:rsid w:val="18DA5849"/>
    <w:rsid w:val="18DA672E"/>
    <w:rsid w:val="18E01F36"/>
    <w:rsid w:val="18EB4A4A"/>
    <w:rsid w:val="18F92453"/>
    <w:rsid w:val="18FC6C57"/>
    <w:rsid w:val="190827BC"/>
    <w:rsid w:val="190B7C05"/>
    <w:rsid w:val="19121FD6"/>
    <w:rsid w:val="192C06AF"/>
    <w:rsid w:val="192C753C"/>
    <w:rsid w:val="194843C7"/>
    <w:rsid w:val="194D3164"/>
    <w:rsid w:val="195652B7"/>
    <w:rsid w:val="19712340"/>
    <w:rsid w:val="19750237"/>
    <w:rsid w:val="19792371"/>
    <w:rsid w:val="197B014E"/>
    <w:rsid w:val="197B6B10"/>
    <w:rsid w:val="198854ED"/>
    <w:rsid w:val="199468B3"/>
    <w:rsid w:val="199D433D"/>
    <w:rsid w:val="19A94B58"/>
    <w:rsid w:val="19B02EC8"/>
    <w:rsid w:val="19B72B7E"/>
    <w:rsid w:val="19C20BB7"/>
    <w:rsid w:val="19C239FC"/>
    <w:rsid w:val="19C271C9"/>
    <w:rsid w:val="19C5529B"/>
    <w:rsid w:val="19C75A80"/>
    <w:rsid w:val="19CA0B03"/>
    <w:rsid w:val="19CB3718"/>
    <w:rsid w:val="19D21766"/>
    <w:rsid w:val="19E87BDB"/>
    <w:rsid w:val="19EB47FE"/>
    <w:rsid w:val="19F05CA3"/>
    <w:rsid w:val="19F773EB"/>
    <w:rsid w:val="19F946B7"/>
    <w:rsid w:val="1A021CBC"/>
    <w:rsid w:val="1A066F51"/>
    <w:rsid w:val="1A0A3279"/>
    <w:rsid w:val="1A204BC7"/>
    <w:rsid w:val="1A295205"/>
    <w:rsid w:val="1A2A3350"/>
    <w:rsid w:val="1A2C015A"/>
    <w:rsid w:val="1A2D77E8"/>
    <w:rsid w:val="1A3441CE"/>
    <w:rsid w:val="1A3649A6"/>
    <w:rsid w:val="1A446702"/>
    <w:rsid w:val="1A472154"/>
    <w:rsid w:val="1A4823FD"/>
    <w:rsid w:val="1A5605E9"/>
    <w:rsid w:val="1A580283"/>
    <w:rsid w:val="1A5B79AD"/>
    <w:rsid w:val="1A62454A"/>
    <w:rsid w:val="1A692781"/>
    <w:rsid w:val="1A6B4094"/>
    <w:rsid w:val="1A9D72E9"/>
    <w:rsid w:val="1AA525AB"/>
    <w:rsid w:val="1AA66E7A"/>
    <w:rsid w:val="1AA7685B"/>
    <w:rsid w:val="1AAE3F0C"/>
    <w:rsid w:val="1AC437A4"/>
    <w:rsid w:val="1AC714F1"/>
    <w:rsid w:val="1AE04A49"/>
    <w:rsid w:val="1AE078F9"/>
    <w:rsid w:val="1AE61A9D"/>
    <w:rsid w:val="1AF72561"/>
    <w:rsid w:val="1AFC5F64"/>
    <w:rsid w:val="1AFF2B64"/>
    <w:rsid w:val="1B2337BF"/>
    <w:rsid w:val="1B326960"/>
    <w:rsid w:val="1B347EEF"/>
    <w:rsid w:val="1B390718"/>
    <w:rsid w:val="1B4F12C0"/>
    <w:rsid w:val="1B5858EE"/>
    <w:rsid w:val="1B5D1A11"/>
    <w:rsid w:val="1B662AAD"/>
    <w:rsid w:val="1B783077"/>
    <w:rsid w:val="1B8875AF"/>
    <w:rsid w:val="1BA01A99"/>
    <w:rsid w:val="1BAF6202"/>
    <w:rsid w:val="1BB529D3"/>
    <w:rsid w:val="1BD178CF"/>
    <w:rsid w:val="1BD91A38"/>
    <w:rsid w:val="1BE64814"/>
    <w:rsid w:val="1BF25A3C"/>
    <w:rsid w:val="1BF367A5"/>
    <w:rsid w:val="1C0B37DA"/>
    <w:rsid w:val="1C1F29F1"/>
    <w:rsid w:val="1C20599C"/>
    <w:rsid w:val="1C206126"/>
    <w:rsid w:val="1C264715"/>
    <w:rsid w:val="1C3027D1"/>
    <w:rsid w:val="1C303D7E"/>
    <w:rsid w:val="1C417326"/>
    <w:rsid w:val="1C4847C6"/>
    <w:rsid w:val="1C485D0F"/>
    <w:rsid w:val="1C492D79"/>
    <w:rsid w:val="1C4C447B"/>
    <w:rsid w:val="1C50594F"/>
    <w:rsid w:val="1C5A0D60"/>
    <w:rsid w:val="1C5B0194"/>
    <w:rsid w:val="1C5D4B34"/>
    <w:rsid w:val="1C685A14"/>
    <w:rsid w:val="1C695C51"/>
    <w:rsid w:val="1C734149"/>
    <w:rsid w:val="1C865040"/>
    <w:rsid w:val="1CA23E86"/>
    <w:rsid w:val="1CA56DAA"/>
    <w:rsid w:val="1CA8570A"/>
    <w:rsid w:val="1CB92C5A"/>
    <w:rsid w:val="1CD174C1"/>
    <w:rsid w:val="1CDF04BB"/>
    <w:rsid w:val="1CDF21B8"/>
    <w:rsid w:val="1CE9479A"/>
    <w:rsid w:val="1CEC0EAF"/>
    <w:rsid w:val="1CF10155"/>
    <w:rsid w:val="1CF13015"/>
    <w:rsid w:val="1D0216E3"/>
    <w:rsid w:val="1D0B5F9B"/>
    <w:rsid w:val="1D0E7395"/>
    <w:rsid w:val="1D11276E"/>
    <w:rsid w:val="1D1B0CF1"/>
    <w:rsid w:val="1D1C3424"/>
    <w:rsid w:val="1D533B03"/>
    <w:rsid w:val="1D724583"/>
    <w:rsid w:val="1D7B5625"/>
    <w:rsid w:val="1D7C0366"/>
    <w:rsid w:val="1D8B208F"/>
    <w:rsid w:val="1D9E652E"/>
    <w:rsid w:val="1DAC3655"/>
    <w:rsid w:val="1DB01DBE"/>
    <w:rsid w:val="1DB12D98"/>
    <w:rsid w:val="1DBB557A"/>
    <w:rsid w:val="1DD026D7"/>
    <w:rsid w:val="1DD3426B"/>
    <w:rsid w:val="1DDD62F3"/>
    <w:rsid w:val="1DE45B80"/>
    <w:rsid w:val="1DF13B44"/>
    <w:rsid w:val="1E0D1FB6"/>
    <w:rsid w:val="1E207E88"/>
    <w:rsid w:val="1E220627"/>
    <w:rsid w:val="1E32016A"/>
    <w:rsid w:val="1E4075E6"/>
    <w:rsid w:val="1E426EBA"/>
    <w:rsid w:val="1E453A32"/>
    <w:rsid w:val="1E522E75"/>
    <w:rsid w:val="1E5E181A"/>
    <w:rsid w:val="1E60665D"/>
    <w:rsid w:val="1E6904B6"/>
    <w:rsid w:val="1E695FED"/>
    <w:rsid w:val="1E76265F"/>
    <w:rsid w:val="1E951CAB"/>
    <w:rsid w:val="1E982F7E"/>
    <w:rsid w:val="1EA5569B"/>
    <w:rsid w:val="1EA614C1"/>
    <w:rsid w:val="1EA951BC"/>
    <w:rsid w:val="1EAE04DB"/>
    <w:rsid w:val="1EC27455"/>
    <w:rsid w:val="1ED16490"/>
    <w:rsid w:val="1EE14925"/>
    <w:rsid w:val="1EE937D9"/>
    <w:rsid w:val="1EEB16FA"/>
    <w:rsid w:val="1EFF5CBE"/>
    <w:rsid w:val="1F0A5813"/>
    <w:rsid w:val="1F0A5BD0"/>
    <w:rsid w:val="1F105D19"/>
    <w:rsid w:val="1F2B5487"/>
    <w:rsid w:val="1F354E12"/>
    <w:rsid w:val="1F3673E0"/>
    <w:rsid w:val="1F397105"/>
    <w:rsid w:val="1F4711E8"/>
    <w:rsid w:val="1F48771D"/>
    <w:rsid w:val="1F5033B8"/>
    <w:rsid w:val="1F550880"/>
    <w:rsid w:val="1F646B12"/>
    <w:rsid w:val="1F6707C5"/>
    <w:rsid w:val="1F6B6461"/>
    <w:rsid w:val="1F7C1FA5"/>
    <w:rsid w:val="1F7E6617"/>
    <w:rsid w:val="1FAF79FD"/>
    <w:rsid w:val="1FB060A5"/>
    <w:rsid w:val="1FC54DAC"/>
    <w:rsid w:val="1FD4365E"/>
    <w:rsid w:val="1FD50E82"/>
    <w:rsid w:val="1FDC333E"/>
    <w:rsid w:val="1FE54F21"/>
    <w:rsid w:val="1FE632D0"/>
    <w:rsid w:val="1FEB1241"/>
    <w:rsid w:val="1FF16DE9"/>
    <w:rsid w:val="1FF640DD"/>
    <w:rsid w:val="1FFB32C1"/>
    <w:rsid w:val="20065D8F"/>
    <w:rsid w:val="200B7C2C"/>
    <w:rsid w:val="20116E43"/>
    <w:rsid w:val="202A1546"/>
    <w:rsid w:val="203F3236"/>
    <w:rsid w:val="2044734C"/>
    <w:rsid w:val="205E76C7"/>
    <w:rsid w:val="20646C1B"/>
    <w:rsid w:val="206A6B9C"/>
    <w:rsid w:val="206C6F75"/>
    <w:rsid w:val="207672EF"/>
    <w:rsid w:val="207F19D9"/>
    <w:rsid w:val="20823833"/>
    <w:rsid w:val="2083084A"/>
    <w:rsid w:val="208B0F93"/>
    <w:rsid w:val="20973CF3"/>
    <w:rsid w:val="20A0436C"/>
    <w:rsid w:val="20A046A3"/>
    <w:rsid w:val="20A2518D"/>
    <w:rsid w:val="20BB11A5"/>
    <w:rsid w:val="20BB18BF"/>
    <w:rsid w:val="20BE20B9"/>
    <w:rsid w:val="20C82795"/>
    <w:rsid w:val="20D14920"/>
    <w:rsid w:val="20E86627"/>
    <w:rsid w:val="21104077"/>
    <w:rsid w:val="211E38B3"/>
    <w:rsid w:val="21544750"/>
    <w:rsid w:val="21557071"/>
    <w:rsid w:val="21625C1D"/>
    <w:rsid w:val="216B2BCB"/>
    <w:rsid w:val="21744DA1"/>
    <w:rsid w:val="217A475F"/>
    <w:rsid w:val="219059AC"/>
    <w:rsid w:val="219A525F"/>
    <w:rsid w:val="219F70AE"/>
    <w:rsid w:val="21AC4814"/>
    <w:rsid w:val="21AC6230"/>
    <w:rsid w:val="21AF4AF7"/>
    <w:rsid w:val="21E649A1"/>
    <w:rsid w:val="21F83116"/>
    <w:rsid w:val="21FB7FBE"/>
    <w:rsid w:val="21FC7B27"/>
    <w:rsid w:val="22140793"/>
    <w:rsid w:val="22285CB9"/>
    <w:rsid w:val="2232319B"/>
    <w:rsid w:val="22327F7E"/>
    <w:rsid w:val="223702AD"/>
    <w:rsid w:val="22373D4C"/>
    <w:rsid w:val="22382E33"/>
    <w:rsid w:val="22385B27"/>
    <w:rsid w:val="223A2BC9"/>
    <w:rsid w:val="223E539D"/>
    <w:rsid w:val="22433622"/>
    <w:rsid w:val="224B2E6C"/>
    <w:rsid w:val="22504F86"/>
    <w:rsid w:val="225D0538"/>
    <w:rsid w:val="225E293F"/>
    <w:rsid w:val="22743D02"/>
    <w:rsid w:val="22755A9A"/>
    <w:rsid w:val="22837AA1"/>
    <w:rsid w:val="2287588F"/>
    <w:rsid w:val="229262FF"/>
    <w:rsid w:val="22BD4EB4"/>
    <w:rsid w:val="22C02987"/>
    <w:rsid w:val="22CD6F6E"/>
    <w:rsid w:val="22D62D4F"/>
    <w:rsid w:val="22D71A68"/>
    <w:rsid w:val="22DB5B2F"/>
    <w:rsid w:val="22DB78DD"/>
    <w:rsid w:val="22E22825"/>
    <w:rsid w:val="22E73498"/>
    <w:rsid w:val="22EF3388"/>
    <w:rsid w:val="22F40C87"/>
    <w:rsid w:val="22F62DFE"/>
    <w:rsid w:val="22F7706B"/>
    <w:rsid w:val="22FC798B"/>
    <w:rsid w:val="23006B54"/>
    <w:rsid w:val="23041092"/>
    <w:rsid w:val="230E1718"/>
    <w:rsid w:val="230E380E"/>
    <w:rsid w:val="23231E41"/>
    <w:rsid w:val="232809F5"/>
    <w:rsid w:val="232E2103"/>
    <w:rsid w:val="233165DB"/>
    <w:rsid w:val="23333DD5"/>
    <w:rsid w:val="23506F8C"/>
    <w:rsid w:val="23580E86"/>
    <w:rsid w:val="235B27CC"/>
    <w:rsid w:val="236C3F29"/>
    <w:rsid w:val="236E5356"/>
    <w:rsid w:val="23775B05"/>
    <w:rsid w:val="238445EB"/>
    <w:rsid w:val="238563A8"/>
    <w:rsid w:val="238A487C"/>
    <w:rsid w:val="239408B4"/>
    <w:rsid w:val="23A61C99"/>
    <w:rsid w:val="23AE4FF1"/>
    <w:rsid w:val="23B74A5A"/>
    <w:rsid w:val="23B755D9"/>
    <w:rsid w:val="23CB363C"/>
    <w:rsid w:val="23CD7219"/>
    <w:rsid w:val="23D42CAA"/>
    <w:rsid w:val="23DE058B"/>
    <w:rsid w:val="23E34573"/>
    <w:rsid w:val="23ED401F"/>
    <w:rsid w:val="23FA0237"/>
    <w:rsid w:val="23FC3FAF"/>
    <w:rsid w:val="23FD1E5F"/>
    <w:rsid w:val="23FF13A9"/>
    <w:rsid w:val="24055832"/>
    <w:rsid w:val="240631F3"/>
    <w:rsid w:val="2414485B"/>
    <w:rsid w:val="241B4743"/>
    <w:rsid w:val="24205B19"/>
    <w:rsid w:val="24216D15"/>
    <w:rsid w:val="24277C36"/>
    <w:rsid w:val="242F7EE0"/>
    <w:rsid w:val="243E6952"/>
    <w:rsid w:val="243F406B"/>
    <w:rsid w:val="24570A8C"/>
    <w:rsid w:val="24880C3C"/>
    <w:rsid w:val="24901898"/>
    <w:rsid w:val="2492599C"/>
    <w:rsid w:val="24976961"/>
    <w:rsid w:val="24A31690"/>
    <w:rsid w:val="24BA0E0D"/>
    <w:rsid w:val="24BD5806"/>
    <w:rsid w:val="24C76862"/>
    <w:rsid w:val="24CB070E"/>
    <w:rsid w:val="24D67C04"/>
    <w:rsid w:val="24DD0242"/>
    <w:rsid w:val="24E702A2"/>
    <w:rsid w:val="24EC7FE4"/>
    <w:rsid w:val="24FD463A"/>
    <w:rsid w:val="24FF7A70"/>
    <w:rsid w:val="251D01E8"/>
    <w:rsid w:val="25472D7E"/>
    <w:rsid w:val="255B7ED1"/>
    <w:rsid w:val="25652FE5"/>
    <w:rsid w:val="256D59A8"/>
    <w:rsid w:val="257D111F"/>
    <w:rsid w:val="25804017"/>
    <w:rsid w:val="2589309D"/>
    <w:rsid w:val="258B39BA"/>
    <w:rsid w:val="25936091"/>
    <w:rsid w:val="259A256A"/>
    <w:rsid w:val="25AA43E2"/>
    <w:rsid w:val="25B51151"/>
    <w:rsid w:val="25D476F1"/>
    <w:rsid w:val="25E45F63"/>
    <w:rsid w:val="25F77FE0"/>
    <w:rsid w:val="26045291"/>
    <w:rsid w:val="26045430"/>
    <w:rsid w:val="26092C96"/>
    <w:rsid w:val="260E3B25"/>
    <w:rsid w:val="26122A2E"/>
    <w:rsid w:val="261873ED"/>
    <w:rsid w:val="262928CF"/>
    <w:rsid w:val="26362DEA"/>
    <w:rsid w:val="263B06E2"/>
    <w:rsid w:val="2641214D"/>
    <w:rsid w:val="26427EB8"/>
    <w:rsid w:val="264D595C"/>
    <w:rsid w:val="265005E2"/>
    <w:rsid w:val="26564C0A"/>
    <w:rsid w:val="266D271A"/>
    <w:rsid w:val="267267AA"/>
    <w:rsid w:val="26780215"/>
    <w:rsid w:val="267823C2"/>
    <w:rsid w:val="267A7694"/>
    <w:rsid w:val="268968FC"/>
    <w:rsid w:val="268D524F"/>
    <w:rsid w:val="269243CA"/>
    <w:rsid w:val="26A56238"/>
    <w:rsid w:val="26AF355A"/>
    <w:rsid w:val="26BD5600"/>
    <w:rsid w:val="26D608BA"/>
    <w:rsid w:val="26D8531B"/>
    <w:rsid w:val="26DB038C"/>
    <w:rsid w:val="26EC0E05"/>
    <w:rsid w:val="26ED5E39"/>
    <w:rsid w:val="270927B8"/>
    <w:rsid w:val="2709648F"/>
    <w:rsid w:val="270A101B"/>
    <w:rsid w:val="270D3068"/>
    <w:rsid w:val="271336BD"/>
    <w:rsid w:val="271D3FA7"/>
    <w:rsid w:val="27272363"/>
    <w:rsid w:val="273E043A"/>
    <w:rsid w:val="27464C37"/>
    <w:rsid w:val="2748442B"/>
    <w:rsid w:val="27562831"/>
    <w:rsid w:val="275A503A"/>
    <w:rsid w:val="27642260"/>
    <w:rsid w:val="277A740B"/>
    <w:rsid w:val="277C5482"/>
    <w:rsid w:val="278176A2"/>
    <w:rsid w:val="27B30600"/>
    <w:rsid w:val="27C50CF8"/>
    <w:rsid w:val="27D33785"/>
    <w:rsid w:val="27DA3BAA"/>
    <w:rsid w:val="27DF1C1D"/>
    <w:rsid w:val="27EB475B"/>
    <w:rsid w:val="27EB51D5"/>
    <w:rsid w:val="281F201A"/>
    <w:rsid w:val="28230A99"/>
    <w:rsid w:val="283614A5"/>
    <w:rsid w:val="284A5607"/>
    <w:rsid w:val="284C19C4"/>
    <w:rsid w:val="284C40D9"/>
    <w:rsid w:val="28575422"/>
    <w:rsid w:val="285B4541"/>
    <w:rsid w:val="285F3735"/>
    <w:rsid w:val="28685937"/>
    <w:rsid w:val="286B11DB"/>
    <w:rsid w:val="28730519"/>
    <w:rsid w:val="28AE69B0"/>
    <w:rsid w:val="28C05396"/>
    <w:rsid w:val="28DC67EB"/>
    <w:rsid w:val="28E23A8E"/>
    <w:rsid w:val="28F35CFC"/>
    <w:rsid w:val="28F946AB"/>
    <w:rsid w:val="290F3A61"/>
    <w:rsid w:val="29163878"/>
    <w:rsid w:val="291C3FC1"/>
    <w:rsid w:val="291E1321"/>
    <w:rsid w:val="29214A2D"/>
    <w:rsid w:val="292432CD"/>
    <w:rsid w:val="29264CF8"/>
    <w:rsid w:val="293201DA"/>
    <w:rsid w:val="29361040"/>
    <w:rsid w:val="29415C2F"/>
    <w:rsid w:val="29476031"/>
    <w:rsid w:val="294F692F"/>
    <w:rsid w:val="2953086B"/>
    <w:rsid w:val="2953678D"/>
    <w:rsid w:val="29547398"/>
    <w:rsid w:val="29551323"/>
    <w:rsid w:val="29567CBD"/>
    <w:rsid w:val="296434D8"/>
    <w:rsid w:val="2965380D"/>
    <w:rsid w:val="29706D96"/>
    <w:rsid w:val="29794065"/>
    <w:rsid w:val="297E2573"/>
    <w:rsid w:val="29805BC8"/>
    <w:rsid w:val="2987431B"/>
    <w:rsid w:val="29B017DF"/>
    <w:rsid w:val="29B80978"/>
    <w:rsid w:val="29BC09A8"/>
    <w:rsid w:val="29BD7D3C"/>
    <w:rsid w:val="29C9048F"/>
    <w:rsid w:val="29D357B2"/>
    <w:rsid w:val="29E44D3F"/>
    <w:rsid w:val="29E85009"/>
    <w:rsid w:val="29E929AE"/>
    <w:rsid w:val="2A005E7B"/>
    <w:rsid w:val="2A132E42"/>
    <w:rsid w:val="2A134266"/>
    <w:rsid w:val="2A1A117C"/>
    <w:rsid w:val="2A1C0F07"/>
    <w:rsid w:val="2A225F57"/>
    <w:rsid w:val="2A351FC9"/>
    <w:rsid w:val="2A3C2ACC"/>
    <w:rsid w:val="2A3C5A68"/>
    <w:rsid w:val="2A4C31DA"/>
    <w:rsid w:val="2A4C7E5C"/>
    <w:rsid w:val="2A675ABA"/>
    <w:rsid w:val="2A6A54C4"/>
    <w:rsid w:val="2A777BFB"/>
    <w:rsid w:val="2A784C8A"/>
    <w:rsid w:val="2A7B14E2"/>
    <w:rsid w:val="2A86034D"/>
    <w:rsid w:val="2A976CE7"/>
    <w:rsid w:val="2A9A0FFE"/>
    <w:rsid w:val="2A9D0C3C"/>
    <w:rsid w:val="2AA37589"/>
    <w:rsid w:val="2AAF56F4"/>
    <w:rsid w:val="2ABA34C8"/>
    <w:rsid w:val="2AC11AAE"/>
    <w:rsid w:val="2AC61C8E"/>
    <w:rsid w:val="2AC94666"/>
    <w:rsid w:val="2ADC2444"/>
    <w:rsid w:val="2AE81C65"/>
    <w:rsid w:val="2AE90244"/>
    <w:rsid w:val="2AEA4B61"/>
    <w:rsid w:val="2AEC6454"/>
    <w:rsid w:val="2AF76001"/>
    <w:rsid w:val="2B000309"/>
    <w:rsid w:val="2B051650"/>
    <w:rsid w:val="2B2252A6"/>
    <w:rsid w:val="2B2F6BA7"/>
    <w:rsid w:val="2B356AFD"/>
    <w:rsid w:val="2B360FEB"/>
    <w:rsid w:val="2B377044"/>
    <w:rsid w:val="2B3A4CF3"/>
    <w:rsid w:val="2B401485"/>
    <w:rsid w:val="2B4653EF"/>
    <w:rsid w:val="2B4E2C5C"/>
    <w:rsid w:val="2B50196E"/>
    <w:rsid w:val="2B5916B3"/>
    <w:rsid w:val="2B7652CE"/>
    <w:rsid w:val="2B844FB6"/>
    <w:rsid w:val="2B852D9D"/>
    <w:rsid w:val="2B874618"/>
    <w:rsid w:val="2B8941DB"/>
    <w:rsid w:val="2B8B60BD"/>
    <w:rsid w:val="2B8C5C18"/>
    <w:rsid w:val="2B8D5A40"/>
    <w:rsid w:val="2B8D738C"/>
    <w:rsid w:val="2B93107A"/>
    <w:rsid w:val="2B9538FF"/>
    <w:rsid w:val="2B9C1D9F"/>
    <w:rsid w:val="2BA66F20"/>
    <w:rsid w:val="2BA835CA"/>
    <w:rsid w:val="2BB77EB8"/>
    <w:rsid w:val="2BB807BB"/>
    <w:rsid w:val="2BBB02AC"/>
    <w:rsid w:val="2BCA0CD7"/>
    <w:rsid w:val="2BE44056"/>
    <w:rsid w:val="2BFC7C74"/>
    <w:rsid w:val="2BFF47C5"/>
    <w:rsid w:val="2C032F01"/>
    <w:rsid w:val="2C057A57"/>
    <w:rsid w:val="2C0C6D59"/>
    <w:rsid w:val="2C1A1476"/>
    <w:rsid w:val="2C1B2EA6"/>
    <w:rsid w:val="2C217F1A"/>
    <w:rsid w:val="2C45628D"/>
    <w:rsid w:val="2C520C10"/>
    <w:rsid w:val="2C5444C4"/>
    <w:rsid w:val="2C5512FE"/>
    <w:rsid w:val="2C5C383D"/>
    <w:rsid w:val="2C671A4A"/>
    <w:rsid w:val="2C722566"/>
    <w:rsid w:val="2C7A793E"/>
    <w:rsid w:val="2C7E70D5"/>
    <w:rsid w:val="2C94779B"/>
    <w:rsid w:val="2C9D74B2"/>
    <w:rsid w:val="2CA92B62"/>
    <w:rsid w:val="2CB25B52"/>
    <w:rsid w:val="2CC87124"/>
    <w:rsid w:val="2CD10B53"/>
    <w:rsid w:val="2CDB0E30"/>
    <w:rsid w:val="2CDD1BA8"/>
    <w:rsid w:val="2CE33F5E"/>
    <w:rsid w:val="2CF25F4F"/>
    <w:rsid w:val="2CFB56A4"/>
    <w:rsid w:val="2D086E2A"/>
    <w:rsid w:val="2D281971"/>
    <w:rsid w:val="2D3A5FB0"/>
    <w:rsid w:val="2D453408"/>
    <w:rsid w:val="2D4B5FFB"/>
    <w:rsid w:val="2D586C54"/>
    <w:rsid w:val="2D670325"/>
    <w:rsid w:val="2D770D6E"/>
    <w:rsid w:val="2D85428F"/>
    <w:rsid w:val="2D8573BA"/>
    <w:rsid w:val="2D873F9D"/>
    <w:rsid w:val="2D8748E9"/>
    <w:rsid w:val="2D9371DA"/>
    <w:rsid w:val="2D9B6D0F"/>
    <w:rsid w:val="2D9F515B"/>
    <w:rsid w:val="2D9F649B"/>
    <w:rsid w:val="2DA3549B"/>
    <w:rsid w:val="2DAA05D8"/>
    <w:rsid w:val="2DAD2843"/>
    <w:rsid w:val="2DB2128D"/>
    <w:rsid w:val="2DB72CF5"/>
    <w:rsid w:val="2DC9589C"/>
    <w:rsid w:val="2DCB780F"/>
    <w:rsid w:val="2DCF78F8"/>
    <w:rsid w:val="2DD368D1"/>
    <w:rsid w:val="2DD44E4E"/>
    <w:rsid w:val="2DD65871"/>
    <w:rsid w:val="2DE532A7"/>
    <w:rsid w:val="2DED20FE"/>
    <w:rsid w:val="2E0752A6"/>
    <w:rsid w:val="2E2C3225"/>
    <w:rsid w:val="2E3119E7"/>
    <w:rsid w:val="2E360E4D"/>
    <w:rsid w:val="2E4E18AB"/>
    <w:rsid w:val="2E5549E7"/>
    <w:rsid w:val="2E580034"/>
    <w:rsid w:val="2E601C54"/>
    <w:rsid w:val="2E6E5AA9"/>
    <w:rsid w:val="2E88669A"/>
    <w:rsid w:val="2E8B02C4"/>
    <w:rsid w:val="2E8E6D9E"/>
    <w:rsid w:val="2E960064"/>
    <w:rsid w:val="2E9A11A6"/>
    <w:rsid w:val="2EA259F0"/>
    <w:rsid w:val="2EB63F0C"/>
    <w:rsid w:val="2EBB5F51"/>
    <w:rsid w:val="2EBF6215"/>
    <w:rsid w:val="2EC72534"/>
    <w:rsid w:val="2ED40002"/>
    <w:rsid w:val="2ED72C1C"/>
    <w:rsid w:val="2EDA56EA"/>
    <w:rsid w:val="2EF35FAE"/>
    <w:rsid w:val="2EF66BCC"/>
    <w:rsid w:val="2F04402D"/>
    <w:rsid w:val="2F166DAF"/>
    <w:rsid w:val="2F1817EE"/>
    <w:rsid w:val="2F19658C"/>
    <w:rsid w:val="2F1C04D2"/>
    <w:rsid w:val="2F2209A6"/>
    <w:rsid w:val="2F2C0D7A"/>
    <w:rsid w:val="2F366E8F"/>
    <w:rsid w:val="2F5448F1"/>
    <w:rsid w:val="2F607DF9"/>
    <w:rsid w:val="2F617DF8"/>
    <w:rsid w:val="2F624393"/>
    <w:rsid w:val="2F6418B4"/>
    <w:rsid w:val="2F654F00"/>
    <w:rsid w:val="2F692F3E"/>
    <w:rsid w:val="2F771146"/>
    <w:rsid w:val="2F7964B4"/>
    <w:rsid w:val="2F9C422C"/>
    <w:rsid w:val="2FA46748"/>
    <w:rsid w:val="2FA71654"/>
    <w:rsid w:val="2FBB0F0F"/>
    <w:rsid w:val="2FBB23DA"/>
    <w:rsid w:val="2FBD5B34"/>
    <w:rsid w:val="2FCC0A00"/>
    <w:rsid w:val="2FD0622F"/>
    <w:rsid w:val="2FD41C4E"/>
    <w:rsid w:val="2FD9586C"/>
    <w:rsid w:val="2FDB2CCA"/>
    <w:rsid w:val="2FE97336"/>
    <w:rsid w:val="2FF91FB4"/>
    <w:rsid w:val="3006528C"/>
    <w:rsid w:val="30087837"/>
    <w:rsid w:val="300D4E4E"/>
    <w:rsid w:val="301153DE"/>
    <w:rsid w:val="30393E95"/>
    <w:rsid w:val="304C5C8C"/>
    <w:rsid w:val="306E566E"/>
    <w:rsid w:val="30980AC9"/>
    <w:rsid w:val="309D3428"/>
    <w:rsid w:val="30A81DB5"/>
    <w:rsid w:val="30AB1842"/>
    <w:rsid w:val="30B018AC"/>
    <w:rsid w:val="30B120B3"/>
    <w:rsid w:val="30CC6AB7"/>
    <w:rsid w:val="30D20571"/>
    <w:rsid w:val="30FA7AC8"/>
    <w:rsid w:val="30FC189B"/>
    <w:rsid w:val="30FC1B13"/>
    <w:rsid w:val="310E3BB2"/>
    <w:rsid w:val="310F23AD"/>
    <w:rsid w:val="31124D91"/>
    <w:rsid w:val="312313DF"/>
    <w:rsid w:val="31347D80"/>
    <w:rsid w:val="31404ADB"/>
    <w:rsid w:val="314B26DB"/>
    <w:rsid w:val="314F4439"/>
    <w:rsid w:val="31572723"/>
    <w:rsid w:val="317950FC"/>
    <w:rsid w:val="317E0987"/>
    <w:rsid w:val="317E0AA8"/>
    <w:rsid w:val="317E6514"/>
    <w:rsid w:val="31873EC3"/>
    <w:rsid w:val="318E533A"/>
    <w:rsid w:val="31974A4D"/>
    <w:rsid w:val="319941E5"/>
    <w:rsid w:val="31AF3F03"/>
    <w:rsid w:val="31B23ABA"/>
    <w:rsid w:val="31B542E9"/>
    <w:rsid w:val="31BC42C3"/>
    <w:rsid w:val="31C93943"/>
    <w:rsid w:val="31CF7C08"/>
    <w:rsid w:val="31E14A69"/>
    <w:rsid w:val="31EF1103"/>
    <w:rsid w:val="31FB7525"/>
    <w:rsid w:val="32022CFB"/>
    <w:rsid w:val="320C1047"/>
    <w:rsid w:val="3216383B"/>
    <w:rsid w:val="322616DE"/>
    <w:rsid w:val="322F37A1"/>
    <w:rsid w:val="324864E3"/>
    <w:rsid w:val="326E4B2B"/>
    <w:rsid w:val="327B43A9"/>
    <w:rsid w:val="328454BB"/>
    <w:rsid w:val="32867EF1"/>
    <w:rsid w:val="32A464F6"/>
    <w:rsid w:val="32B221F1"/>
    <w:rsid w:val="32B23400"/>
    <w:rsid w:val="32C25C14"/>
    <w:rsid w:val="32CC15F8"/>
    <w:rsid w:val="32DD1D6D"/>
    <w:rsid w:val="32DE5353"/>
    <w:rsid w:val="32DE7B8C"/>
    <w:rsid w:val="32E0044D"/>
    <w:rsid w:val="32F128F9"/>
    <w:rsid w:val="32F65C0D"/>
    <w:rsid w:val="32F74761"/>
    <w:rsid w:val="3310712F"/>
    <w:rsid w:val="331D2F14"/>
    <w:rsid w:val="33340117"/>
    <w:rsid w:val="334F6734"/>
    <w:rsid w:val="3367451D"/>
    <w:rsid w:val="337006B7"/>
    <w:rsid w:val="337B1BFD"/>
    <w:rsid w:val="33873D1F"/>
    <w:rsid w:val="338C28FC"/>
    <w:rsid w:val="339B42BC"/>
    <w:rsid w:val="33A45AC9"/>
    <w:rsid w:val="33BA494B"/>
    <w:rsid w:val="33BD775A"/>
    <w:rsid w:val="33CE29D7"/>
    <w:rsid w:val="33CF576D"/>
    <w:rsid w:val="33E16D1D"/>
    <w:rsid w:val="33E359C9"/>
    <w:rsid w:val="33F06670"/>
    <w:rsid w:val="33F94430"/>
    <w:rsid w:val="34012F1B"/>
    <w:rsid w:val="34030719"/>
    <w:rsid w:val="34162214"/>
    <w:rsid w:val="343251A4"/>
    <w:rsid w:val="343A6A4F"/>
    <w:rsid w:val="343E1A7A"/>
    <w:rsid w:val="343F6D1F"/>
    <w:rsid w:val="34405CDA"/>
    <w:rsid w:val="34456685"/>
    <w:rsid w:val="34520D7E"/>
    <w:rsid w:val="34714A32"/>
    <w:rsid w:val="347A4129"/>
    <w:rsid w:val="348C58B0"/>
    <w:rsid w:val="348F5283"/>
    <w:rsid w:val="3494562D"/>
    <w:rsid w:val="34AF2977"/>
    <w:rsid w:val="34BE62B0"/>
    <w:rsid w:val="34C32DF2"/>
    <w:rsid w:val="34C626D1"/>
    <w:rsid w:val="34C659D6"/>
    <w:rsid w:val="34D22E00"/>
    <w:rsid w:val="352B49B2"/>
    <w:rsid w:val="353163A3"/>
    <w:rsid w:val="353335A8"/>
    <w:rsid w:val="353A2298"/>
    <w:rsid w:val="35441FE0"/>
    <w:rsid w:val="354A70D8"/>
    <w:rsid w:val="35541E9A"/>
    <w:rsid w:val="356903C7"/>
    <w:rsid w:val="358160C2"/>
    <w:rsid w:val="358F333A"/>
    <w:rsid w:val="359E15E2"/>
    <w:rsid w:val="35A24E86"/>
    <w:rsid w:val="35AB75E3"/>
    <w:rsid w:val="35B9536A"/>
    <w:rsid w:val="35C30488"/>
    <w:rsid w:val="35C31639"/>
    <w:rsid w:val="35D72AD4"/>
    <w:rsid w:val="35E75E21"/>
    <w:rsid w:val="35E90B5F"/>
    <w:rsid w:val="35EA13E5"/>
    <w:rsid w:val="35F317C5"/>
    <w:rsid w:val="35F64482"/>
    <w:rsid w:val="35FC060B"/>
    <w:rsid w:val="36041569"/>
    <w:rsid w:val="36085333"/>
    <w:rsid w:val="362A7B80"/>
    <w:rsid w:val="362F5E84"/>
    <w:rsid w:val="363506C2"/>
    <w:rsid w:val="36377FC5"/>
    <w:rsid w:val="36415851"/>
    <w:rsid w:val="36423E85"/>
    <w:rsid w:val="364F4840"/>
    <w:rsid w:val="36510BB6"/>
    <w:rsid w:val="36541A28"/>
    <w:rsid w:val="36601043"/>
    <w:rsid w:val="36652A3F"/>
    <w:rsid w:val="366639A9"/>
    <w:rsid w:val="366C5FE9"/>
    <w:rsid w:val="36782E13"/>
    <w:rsid w:val="36957CB1"/>
    <w:rsid w:val="36A41BD3"/>
    <w:rsid w:val="36AD2EE7"/>
    <w:rsid w:val="36B41685"/>
    <w:rsid w:val="36BE4561"/>
    <w:rsid w:val="36C42748"/>
    <w:rsid w:val="36C8522A"/>
    <w:rsid w:val="36D347F2"/>
    <w:rsid w:val="36D52B69"/>
    <w:rsid w:val="36D93B98"/>
    <w:rsid w:val="36DD4FAB"/>
    <w:rsid w:val="36EC0E08"/>
    <w:rsid w:val="37081437"/>
    <w:rsid w:val="37125937"/>
    <w:rsid w:val="372470C3"/>
    <w:rsid w:val="37260A00"/>
    <w:rsid w:val="372B5403"/>
    <w:rsid w:val="37320B19"/>
    <w:rsid w:val="373D4228"/>
    <w:rsid w:val="373F3945"/>
    <w:rsid w:val="373F7FE3"/>
    <w:rsid w:val="37413303"/>
    <w:rsid w:val="37511163"/>
    <w:rsid w:val="37531F85"/>
    <w:rsid w:val="375515B4"/>
    <w:rsid w:val="37671918"/>
    <w:rsid w:val="37700220"/>
    <w:rsid w:val="37704640"/>
    <w:rsid w:val="377F6C02"/>
    <w:rsid w:val="37C412C4"/>
    <w:rsid w:val="37DA2C30"/>
    <w:rsid w:val="37E268E9"/>
    <w:rsid w:val="37F039D3"/>
    <w:rsid w:val="37F53038"/>
    <w:rsid w:val="380A390A"/>
    <w:rsid w:val="38114841"/>
    <w:rsid w:val="38186444"/>
    <w:rsid w:val="38190834"/>
    <w:rsid w:val="38194CD8"/>
    <w:rsid w:val="38201989"/>
    <w:rsid w:val="38207DBA"/>
    <w:rsid w:val="382879C5"/>
    <w:rsid w:val="3836684B"/>
    <w:rsid w:val="3837515E"/>
    <w:rsid w:val="3848529B"/>
    <w:rsid w:val="385555E4"/>
    <w:rsid w:val="385E2A92"/>
    <w:rsid w:val="38664C72"/>
    <w:rsid w:val="386F6042"/>
    <w:rsid w:val="38715D41"/>
    <w:rsid w:val="387B07CC"/>
    <w:rsid w:val="38920E5C"/>
    <w:rsid w:val="38926838"/>
    <w:rsid w:val="38950DA7"/>
    <w:rsid w:val="38976E66"/>
    <w:rsid w:val="389D0549"/>
    <w:rsid w:val="38A06017"/>
    <w:rsid w:val="38B659D3"/>
    <w:rsid w:val="38BB4203"/>
    <w:rsid w:val="38DE39B4"/>
    <w:rsid w:val="38E165CE"/>
    <w:rsid w:val="38E73A46"/>
    <w:rsid w:val="38EB0174"/>
    <w:rsid w:val="390B650C"/>
    <w:rsid w:val="39106DC4"/>
    <w:rsid w:val="391915E3"/>
    <w:rsid w:val="39205BF2"/>
    <w:rsid w:val="39265C0F"/>
    <w:rsid w:val="392A57BD"/>
    <w:rsid w:val="3935066B"/>
    <w:rsid w:val="393618B9"/>
    <w:rsid w:val="394D4BCF"/>
    <w:rsid w:val="394F20C7"/>
    <w:rsid w:val="395466ED"/>
    <w:rsid w:val="3961346B"/>
    <w:rsid w:val="3984786D"/>
    <w:rsid w:val="39AC56D7"/>
    <w:rsid w:val="39B52A0B"/>
    <w:rsid w:val="39BA3320"/>
    <w:rsid w:val="39C3393B"/>
    <w:rsid w:val="39D975E1"/>
    <w:rsid w:val="39E63876"/>
    <w:rsid w:val="39E77348"/>
    <w:rsid w:val="39F72DF7"/>
    <w:rsid w:val="39FA728E"/>
    <w:rsid w:val="39FF525C"/>
    <w:rsid w:val="3A001C18"/>
    <w:rsid w:val="3A036199"/>
    <w:rsid w:val="3A102AE4"/>
    <w:rsid w:val="3A127C30"/>
    <w:rsid w:val="3A1C4514"/>
    <w:rsid w:val="3A203EA8"/>
    <w:rsid w:val="3A2223F3"/>
    <w:rsid w:val="3A32635E"/>
    <w:rsid w:val="3A3C1CB0"/>
    <w:rsid w:val="3A47263D"/>
    <w:rsid w:val="3A58211C"/>
    <w:rsid w:val="3A5A5133"/>
    <w:rsid w:val="3A5B0A8A"/>
    <w:rsid w:val="3A5C445B"/>
    <w:rsid w:val="3A6E7A80"/>
    <w:rsid w:val="3A702ADC"/>
    <w:rsid w:val="3A720B54"/>
    <w:rsid w:val="3A78219D"/>
    <w:rsid w:val="3A793C1C"/>
    <w:rsid w:val="3A7953AB"/>
    <w:rsid w:val="3A9759EE"/>
    <w:rsid w:val="3A992100"/>
    <w:rsid w:val="3AA073CE"/>
    <w:rsid w:val="3AA90577"/>
    <w:rsid w:val="3AD46509"/>
    <w:rsid w:val="3AD52E6E"/>
    <w:rsid w:val="3ADA7FA0"/>
    <w:rsid w:val="3AE535B8"/>
    <w:rsid w:val="3AEF7BDF"/>
    <w:rsid w:val="3AF37A62"/>
    <w:rsid w:val="3AFD469F"/>
    <w:rsid w:val="3B0136EC"/>
    <w:rsid w:val="3B1D063B"/>
    <w:rsid w:val="3B1D426C"/>
    <w:rsid w:val="3B224718"/>
    <w:rsid w:val="3B232955"/>
    <w:rsid w:val="3B263535"/>
    <w:rsid w:val="3B2D5191"/>
    <w:rsid w:val="3B4A51B8"/>
    <w:rsid w:val="3B514788"/>
    <w:rsid w:val="3B5322AF"/>
    <w:rsid w:val="3B6C6824"/>
    <w:rsid w:val="3B893A52"/>
    <w:rsid w:val="3B8C763D"/>
    <w:rsid w:val="3B94382C"/>
    <w:rsid w:val="3BA20589"/>
    <w:rsid w:val="3BA23236"/>
    <w:rsid w:val="3BA437CB"/>
    <w:rsid w:val="3BA725FA"/>
    <w:rsid w:val="3BB00057"/>
    <w:rsid w:val="3BB44612"/>
    <w:rsid w:val="3BB60FDE"/>
    <w:rsid w:val="3BB74DB5"/>
    <w:rsid w:val="3BBE448B"/>
    <w:rsid w:val="3BC9468F"/>
    <w:rsid w:val="3BD31D7B"/>
    <w:rsid w:val="3BDA477E"/>
    <w:rsid w:val="3BF10CAE"/>
    <w:rsid w:val="3BF84CC8"/>
    <w:rsid w:val="3C0161AE"/>
    <w:rsid w:val="3C067833"/>
    <w:rsid w:val="3C074E47"/>
    <w:rsid w:val="3C0A0ADE"/>
    <w:rsid w:val="3C217A42"/>
    <w:rsid w:val="3C222199"/>
    <w:rsid w:val="3C26573E"/>
    <w:rsid w:val="3C3405C0"/>
    <w:rsid w:val="3C34517E"/>
    <w:rsid w:val="3C3B0F00"/>
    <w:rsid w:val="3C521CB4"/>
    <w:rsid w:val="3C5F76F8"/>
    <w:rsid w:val="3C8010E6"/>
    <w:rsid w:val="3C872049"/>
    <w:rsid w:val="3C9146C4"/>
    <w:rsid w:val="3C950A71"/>
    <w:rsid w:val="3CA3690F"/>
    <w:rsid w:val="3CCF1E09"/>
    <w:rsid w:val="3CD70CBD"/>
    <w:rsid w:val="3CD864F4"/>
    <w:rsid w:val="3CE27D8E"/>
    <w:rsid w:val="3CEF368A"/>
    <w:rsid w:val="3CF655E7"/>
    <w:rsid w:val="3CFA2EB8"/>
    <w:rsid w:val="3CFB3BE4"/>
    <w:rsid w:val="3D0870C9"/>
    <w:rsid w:val="3D0F4168"/>
    <w:rsid w:val="3D145A6E"/>
    <w:rsid w:val="3D161F83"/>
    <w:rsid w:val="3D1D4B08"/>
    <w:rsid w:val="3D206AE1"/>
    <w:rsid w:val="3D321D80"/>
    <w:rsid w:val="3D3504B0"/>
    <w:rsid w:val="3D412291"/>
    <w:rsid w:val="3D4124DC"/>
    <w:rsid w:val="3D4C16AB"/>
    <w:rsid w:val="3D5840BE"/>
    <w:rsid w:val="3D61758A"/>
    <w:rsid w:val="3D733AAD"/>
    <w:rsid w:val="3D734E8A"/>
    <w:rsid w:val="3D7354F9"/>
    <w:rsid w:val="3D776184"/>
    <w:rsid w:val="3D812DF1"/>
    <w:rsid w:val="3D9D5A63"/>
    <w:rsid w:val="3D9F181B"/>
    <w:rsid w:val="3DA257EF"/>
    <w:rsid w:val="3DA466E8"/>
    <w:rsid w:val="3DA60DBB"/>
    <w:rsid w:val="3DA85819"/>
    <w:rsid w:val="3DAD41BC"/>
    <w:rsid w:val="3DB95EAB"/>
    <w:rsid w:val="3DC120E1"/>
    <w:rsid w:val="3DD270D3"/>
    <w:rsid w:val="3DE035E0"/>
    <w:rsid w:val="3DE77CBF"/>
    <w:rsid w:val="3DF73FA9"/>
    <w:rsid w:val="3E087893"/>
    <w:rsid w:val="3E09759C"/>
    <w:rsid w:val="3E210442"/>
    <w:rsid w:val="3E22274E"/>
    <w:rsid w:val="3E295D60"/>
    <w:rsid w:val="3E3068D7"/>
    <w:rsid w:val="3E35213F"/>
    <w:rsid w:val="3E35594C"/>
    <w:rsid w:val="3E82448A"/>
    <w:rsid w:val="3E88226F"/>
    <w:rsid w:val="3E891354"/>
    <w:rsid w:val="3E8D1F7B"/>
    <w:rsid w:val="3E924086"/>
    <w:rsid w:val="3E9F404C"/>
    <w:rsid w:val="3EA81909"/>
    <w:rsid w:val="3EAE0AF5"/>
    <w:rsid w:val="3EB04AC2"/>
    <w:rsid w:val="3EB71457"/>
    <w:rsid w:val="3EBF3542"/>
    <w:rsid w:val="3EBF7C5B"/>
    <w:rsid w:val="3ED429D6"/>
    <w:rsid w:val="3EE651E8"/>
    <w:rsid w:val="3EFB328D"/>
    <w:rsid w:val="3F07264A"/>
    <w:rsid w:val="3F09270B"/>
    <w:rsid w:val="3F0B01FB"/>
    <w:rsid w:val="3F0F473E"/>
    <w:rsid w:val="3F264703"/>
    <w:rsid w:val="3F2A1578"/>
    <w:rsid w:val="3F37740F"/>
    <w:rsid w:val="3F3B1795"/>
    <w:rsid w:val="3F473D44"/>
    <w:rsid w:val="3F514D57"/>
    <w:rsid w:val="3F5318E2"/>
    <w:rsid w:val="3F570499"/>
    <w:rsid w:val="3F6532D1"/>
    <w:rsid w:val="3F81174E"/>
    <w:rsid w:val="3F9D1419"/>
    <w:rsid w:val="3F9D5F85"/>
    <w:rsid w:val="3FA651C6"/>
    <w:rsid w:val="3FB6796B"/>
    <w:rsid w:val="3FB93990"/>
    <w:rsid w:val="3FBD419A"/>
    <w:rsid w:val="3FC400FB"/>
    <w:rsid w:val="3FD529FC"/>
    <w:rsid w:val="3FDA11F0"/>
    <w:rsid w:val="3FDF697D"/>
    <w:rsid w:val="3FE41226"/>
    <w:rsid w:val="3FE77469"/>
    <w:rsid w:val="3FF372DA"/>
    <w:rsid w:val="400370E7"/>
    <w:rsid w:val="400E4D46"/>
    <w:rsid w:val="401929B8"/>
    <w:rsid w:val="40210A52"/>
    <w:rsid w:val="402204A1"/>
    <w:rsid w:val="4025758F"/>
    <w:rsid w:val="40295CD4"/>
    <w:rsid w:val="403F39C6"/>
    <w:rsid w:val="405D5187"/>
    <w:rsid w:val="40713AD5"/>
    <w:rsid w:val="407A4A6E"/>
    <w:rsid w:val="407C4D2D"/>
    <w:rsid w:val="407D16BB"/>
    <w:rsid w:val="40800D4A"/>
    <w:rsid w:val="408E5B37"/>
    <w:rsid w:val="408E78EF"/>
    <w:rsid w:val="40996615"/>
    <w:rsid w:val="409D5D7A"/>
    <w:rsid w:val="409E1F16"/>
    <w:rsid w:val="40A12B30"/>
    <w:rsid w:val="40AD71E9"/>
    <w:rsid w:val="40BA4B7E"/>
    <w:rsid w:val="40BB0C2F"/>
    <w:rsid w:val="40BC6004"/>
    <w:rsid w:val="40BE7E53"/>
    <w:rsid w:val="40DD3CA7"/>
    <w:rsid w:val="40E45720"/>
    <w:rsid w:val="40F100CB"/>
    <w:rsid w:val="40F24318"/>
    <w:rsid w:val="40F54BF5"/>
    <w:rsid w:val="41023312"/>
    <w:rsid w:val="41061B71"/>
    <w:rsid w:val="41194FAD"/>
    <w:rsid w:val="41350BBA"/>
    <w:rsid w:val="414240D0"/>
    <w:rsid w:val="4143677C"/>
    <w:rsid w:val="415F6D29"/>
    <w:rsid w:val="417137CD"/>
    <w:rsid w:val="41720424"/>
    <w:rsid w:val="418F755D"/>
    <w:rsid w:val="41902746"/>
    <w:rsid w:val="41A17263"/>
    <w:rsid w:val="41B15F81"/>
    <w:rsid w:val="41C46E73"/>
    <w:rsid w:val="41E234A5"/>
    <w:rsid w:val="41E61631"/>
    <w:rsid w:val="41F6698A"/>
    <w:rsid w:val="41F940B4"/>
    <w:rsid w:val="42044303"/>
    <w:rsid w:val="4206369D"/>
    <w:rsid w:val="4206416C"/>
    <w:rsid w:val="42114C71"/>
    <w:rsid w:val="421D53C4"/>
    <w:rsid w:val="42280256"/>
    <w:rsid w:val="423440F5"/>
    <w:rsid w:val="423B3A90"/>
    <w:rsid w:val="424A22A6"/>
    <w:rsid w:val="425075FD"/>
    <w:rsid w:val="425A3F23"/>
    <w:rsid w:val="425A5AB0"/>
    <w:rsid w:val="428212FC"/>
    <w:rsid w:val="428D40C8"/>
    <w:rsid w:val="4291797E"/>
    <w:rsid w:val="429866FA"/>
    <w:rsid w:val="429F0F12"/>
    <w:rsid w:val="42A41372"/>
    <w:rsid w:val="42A66399"/>
    <w:rsid w:val="42B06070"/>
    <w:rsid w:val="42B86E9B"/>
    <w:rsid w:val="42CE5DAA"/>
    <w:rsid w:val="42D8773E"/>
    <w:rsid w:val="42E03A84"/>
    <w:rsid w:val="42FF1EA0"/>
    <w:rsid w:val="431A7B56"/>
    <w:rsid w:val="4320568E"/>
    <w:rsid w:val="433C6269"/>
    <w:rsid w:val="4349650B"/>
    <w:rsid w:val="435A4BBF"/>
    <w:rsid w:val="436A2837"/>
    <w:rsid w:val="43707776"/>
    <w:rsid w:val="437502C5"/>
    <w:rsid w:val="43841AE2"/>
    <w:rsid w:val="438A7C2D"/>
    <w:rsid w:val="439B61B2"/>
    <w:rsid w:val="43A80067"/>
    <w:rsid w:val="43BC4078"/>
    <w:rsid w:val="43DB3530"/>
    <w:rsid w:val="43E00AEA"/>
    <w:rsid w:val="43FD53EB"/>
    <w:rsid w:val="43FF3F64"/>
    <w:rsid w:val="44020D16"/>
    <w:rsid w:val="4403592E"/>
    <w:rsid w:val="4419129B"/>
    <w:rsid w:val="441D16AC"/>
    <w:rsid w:val="44200A73"/>
    <w:rsid w:val="44255F9C"/>
    <w:rsid w:val="442F58CD"/>
    <w:rsid w:val="44314AEE"/>
    <w:rsid w:val="444A742D"/>
    <w:rsid w:val="446B034C"/>
    <w:rsid w:val="446C572C"/>
    <w:rsid w:val="446E1F07"/>
    <w:rsid w:val="44721035"/>
    <w:rsid w:val="447D61D1"/>
    <w:rsid w:val="448B790D"/>
    <w:rsid w:val="44A2213A"/>
    <w:rsid w:val="44B12FC1"/>
    <w:rsid w:val="44BE7026"/>
    <w:rsid w:val="44BF09B5"/>
    <w:rsid w:val="44E06689"/>
    <w:rsid w:val="44EE2B41"/>
    <w:rsid w:val="44F85C75"/>
    <w:rsid w:val="44F8757C"/>
    <w:rsid w:val="45056E64"/>
    <w:rsid w:val="450E6520"/>
    <w:rsid w:val="4518468D"/>
    <w:rsid w:val="451C0930"/>
    <w:rsid w:val="451C3170"/>
    <w:rsid w:val="45292F88"/>
    <w:rsid w:val="45435142"/>
    <w:rsid w:val="45476BAC"/>
    <w:rsid w:val="454D099A"/>
    <w:rsid w:val="45521FA0"/>
    <w:rsid w:val="455439E5"/>
    <w:rsid w:val="455530C7"/>
    <w:rsid w:val="45662EC1"/>
    <w:rsid w:val="456D21BF"/>
    <w:rsid w:val="456E66BA"/>
    <w:rsid w:val="457676DF"/>
    <w:rsid w:val="457F6544"/>
    <w:rsid w:val="45803D9F"/>
    <w:rsid w:val="4582210E"/>
    <w:rsid w:val="45917E1D"/>
    <w:rsid w:val="459705A5"/>
    <w:rsid w:val="459B5322"/>
    <w:rsid w:val="45AE7368"/>
    <w:rsid w:val="45BB61FB"/>
    <w:rsid w:val="45C84DC2"/>
    <w:rsid w:val="45C862F3"/>
    <w:rsid w:val="45E138D1"/>
    <w:rsid w:val="45E52F0B"/>
    <w:rsid w:val="45E96AEC"/>
    <w:rsid w:val="45EA7CB3"/>
    <w:rsid w:val="45F70270"/>
    <w:rsid w:val="45FD0E6D"/>
    <w:rsid w:val="460240D4"/>
    <w:rsid w:val="460366D7"/>
    <w:rsid w:val="46043E80"/>
    <w:rsid w:val="460D473A"/>
    <w:rsid w:val="46492C2C"/>
    <w:rsid w:val="464C29CF"/>
    <w:rsid w:val="46575089"/>
    <w:rsid w:val="46576099"/>
    <w:rsid w:val="465F65B0"/>
    <w:rsid w:val="4666256B"/>
    <w:rsid w:val="466E0028"/>
    <w:rsid w:val="46902609"/>
    <w:rsid w:val="46943B29"/>
    <w:rsid w:val="469E262A"/>
    <w:rsid w:val="46AB001C"/>
    <w:rsid w:val="46B5206F"/>
    <w:rsid w:val="46C120E3"/>
    <w:rsid w:val="46C279B8"/>
    <w:rsid w:val="46DA1DBE"/>
    <w:rsid w:val="46DD3374"/>
    <w:rsid w:val="46E62229"/>
    <w:rsid w:val="46FE39C3"/>
    <w:rsid w:val="470438CA"/>
    <w:rsid w:val="471117A5"/>
    <w:rsid w:val="471E3830"/>
    <w:rsid w:val="47370E6A"/>
    <w:rsid w:val="47412A92"/>
    <w:rsid w:val="4746716B"/>
    <w:rsid w:val="4754799E"/>
    <w:rsid w:val="477270D6"/>
    <w:rsid w:val="477C6453"/>
    <w:rsid w:val="4781463F"/>
    <w:rsid w:val="47855E8E"/>
    <w:rsid w:val="478B4B7E"/>
    <w:rsid w:val="479553B1"/>
    <w:rsid w:val="479B3441"/>
    <w:rsid w:val="47A345BE"/>
    <w:rsid w:val="47AD0F98"/>
    <w:rsid w:val="47BD0094"/>
    <w:rsid w:val="47BD3786"/>
    <w:rsid w:val="47C33AD5"/>
    <w:rsid w:val="47C50446"/>
    <w:rsid w:val="47D34F2D"/>
    <w:rsid w:val="47DE3169"/>
    <w:rsid w:val="47E531D0"/>
    <w:rsid w:val="47E82547"/>
    <w:rsid w:val="47E90C28"/>
    <w:rsid w:val="480B00C1"/>
    <w:rsid w:val="480D556E"/>
    <w:rsid w:val="480E6042"/>
    <w:rsid w:val="481D7ECC"/>
    <w:rsid w:val="481F5A7B"/>
    <w:rsid w:val="483562CA"/>
    <w:rsid w:val="48360935"/>
    <w:rsid w:val="483A049F"/>
    <w:rsid w:val="483C2E55"/>
    <w:rsid w:val="48550218"/>
    <w:rsid w:val="4864156E"/>
    <w:rsid w:val="486F0DB3"/>
    <w:rsid w:val="487877F8"/>
    <w:rsid w:val="487E34A7"/>
    <w:rsid w:val="48822766"/>
    <w:rsid w:val="48937BD1"/>
    <w:rsid w:val="48A0315D"/>
    <w:rsid w:val="48A14C39"/>
    <w:rsid w:val="48A62240"/>
    <w:rsid w:val="48A9289D"/>
    <w:rsid w:val="48D342DC"/>
    <w:rsid w:val="48D9404B"/>
    <w:rsid w:val="48DA400F"/>
    <w:rsid w:val="48DF13A1"/>
    <w:rsid w:val="48E11531"/>
    <w:rsid w:val="48E35A7E"/>
    <w:rsid w:val="48E86E3B"/>
    <w:rsid w:val="49026BF4"/>
    <w:rsid w:val="491312CF"/>
    <w:rsid w:val="49131F3D"/>
    <w:rsid w:val="49177011"/>
    <w:rsid w:val="491931AD"/>
    <w:rsid w:val="492667AB"/>
    <w:rsid w:val="49311EDF"/>
    <w:rsid w:val="493C4382"/>
    <w:rsid w:val="493E2443"/>
    <w:rsid w:val="495733F2"/>
    <w:rsid w:val="49655271"/>
    <w:rsid w:val="4966657D"/>
    <w:rsid w:val="496F578D"/>
    <w:rsid w:val="49763710"/>
    <w:rsid w:val="497A30FC"/>
    <w:rsid w:val="497E2BEC"/>
    <w:rsid w:val="49A8790D"/>
    <w:rsid w:val="49AB7ECB"/>
    <w:rsid w:val="49B62B90"/>
    <w:rsid w:val="49BD198E"/>
    <w:rsid w:val="49C03205"/>
    <w:rsid w:val="49D02FE5"/>
    <w:rsid w:val="49D24CE6"/>
    <w:rsid w:val="49DF11B1"/>
    <w:rsid w:val="49E16DFF"/>
    <w:rsid w:val="49E737AE"/>
    <w:rsid w:val="49FE6D53"/>
    <w:rsid w:val="4A0D7103"/>
    <w:rsid w:val="4A0E0D9F"/>
    <w:rsid w:val="4A171943"/>
    <w:rsid w:val="4A1C41B3"/>
    <w:rsid w:val="4A341A0F"/>
    <w:rsid w:val="4A44517C"/>
    <w:rsid w:val="4A592677"/>
    <w:rsid w:val="4A5A4249"/>
    <w:rsid w:val="4A6A06B6"/>
    <w:rsid w:val="4A7F22C5"/>
    <w:rsid w:val="4A80761D"/>
    <w:rsid w:val="4A8902BD"/>
    <w:rsid w:val="4A8F0E29"/>
    <w:rsid w:val="4A9D02BC"/>
    <w:rsid w:val="4AA330AE"/>
    <w:rsid w:val="4AAE12AF"/>
    <w:rsid w:val="4AAF45B6"/>
    <w:rsid w:val="4AB03279"/>
    <w:rsid w:val="4AB77C19"/>
    <w:rsid w:val="4ABD7744"/>
    <w:rsid w:val="4AC52317"/>
    <w:rsid w:val="4AC84139"/>
    <w:rsid w:val="4ADB2F1A"/>
    <w:rsid w:val="4ADD269E"/>
    <w:rsid w:val="4AF35A19"/>
    <w:rsid w:val="4AF56A77"/>
    <w:rsid w:val="4B05490B"/>
    <w:rsid w:val="4B2406CF"/>
    <w:rsid w:val="4B315146"/>
    <w:rsid w:val="4B3A6A14"/>
    <w:rsid w:val="4B43355F"/>
    <w:rsid w:val="4B455725"/>
    <w:rsid w:val="4B477572"/>
    <w:rsid w:val="4B5613DD"/>
    <w:rsid w:val="4B581264"/>
    <w:rsid w:val="4B707344"/>
    <w:rsid w:val="4B8D4E3E"/>
    <w:rsid w:val="4B9F509C"/>
    <w:rsid w:val="4BB02E05"/>
    <w:rsid w:val="4BC002BD"/>
    <w:rsid w:val="4BEA6E6E"/>
    <w:rsid w:val="4C090295"/>
    <w:rsid w:val="4C122030"/>
    <w:rsid w:val="4C1B0BC7"/>
    <w:rsid w:val="4C1B17EE"/>
    <w:rsid w:val="4C1F3FB8"/>
    <w:rsid w:val="4C212CB3"/>
    <w:rsid w:val="4C3C1F25"/>
    <w:rsid w:val="4C4A6E65"/>
    <w:rsid w:val="4C4E1EFE"/>
    <w:rsid w:val="4C5109B1"/>
    <w:rsid w:val="4C537394"/>
    <w:rsid w:val="4C5A5DCF"/>
    <w:rsid w:val="4C6F1F8D"/>
    <w:rsid w:val="4C754610"/>
    <w:rsid w:val="4C7A3C3B"/>
    <w:rsid w:val="4C983FC5"/>
    <w:rsid w:val="4CA63DA0"/>
    <w:rsid w:val="4CAF5517"/>
    <w:rsid w:val="4CCF7724"/>
    <w:rsid w:val="4D0F7FFF"/>
    <w:rsid w:val="4D155616"/>
    <w:rsid w:val="4D196014"/>
    <w:rsid w:val="4D234695"/>
    <w:rsid w:val="4D5819A6"/>
    <w:rsid w:val="4D6629EE"/>
    <w:rsid w:val="4D7315FC"/>
    <w:rsid w:val="4D743275"/>
    <w:rsid w:val="4D785BA5"/>
    <w:rsid w:val="4D8209DD"/>
    <w:rsid w:val="4D8F2A4A"/>
    <w:rsid w:val="4D920C10"/>
    <w:rsid w:val="4D93101C"/>
    <w:rsid w:val="4D9E7067"/>
    <w:rsid w:val="4DB25A8D"/>
    <w:rsid w:val="4DD04159"/>
    <w:rsid w:val="4DE46E99"/>
    <w:rsid w:val="4DE505E3"/>
    <w:rsid w:val="4DF60E55"/>
    <w:rsid w:val="4E045549"/>
    <w:rsid w:val="4E051752"/>
    <w:rsid w:val="4E061163"/>
    <w:rsid w:val="4E0929FA"/>
    <w:rsid w:val="4E10216C"/>
    <w:rsid w:val="4E1458CD"/>
    <w:rsid w:val="4E162660"/>
    <w:rsid w:val="4E200716"/>
    <w:rsid w:val="4E2418DB"/>
    <w:rsid w:val="4E2A1AD2"/>
    <w:rsid w:val="4E30570B"/>
    <w:rsid w:val="4E3B59B8"/>
    <w:rsid w:val="4E5A37A3"/>
    <w:rsid w:val="4E5B7A99"/>
    <w:rsid w:val="4E5E4D9B"/>
    <w:rsid w:val="4E5F4479"/>
    <w:rsid w:val="4E615DAD"/>
    <w:rsid w:val="4E746C34"/>
    <w:rsid w:val="4E792611"/>
    <w:rsid w:val="4E813A0E"/>
    <w:rsid w:val="4E866648"/>
    <w:rsid w:val="4E8C7B5A"/>
    <w:rsid w:val="4E9746A6"/>
    <w:rsid w:val="4E994025"/>
    <w:rsid w:val="4E9B161B"/>
    <w:rsid w:val="4EA5440B"/>
    <w:rsid w:val="4EAC7057"/>
    <w:rsid w:val="4EB5717F"/>
    <w:rsid w:val="4EB62EED"/>
    <w:rsid w:val="4EB64BD7"/>
    <w:rsid w:val="4EB749B7"/>
    <w:rsid w:val="4EBE2625"/>
    <w:rsid w:val="4EBE2AE0"/>
    <w:rsid w:val="4EC1438D"/>
    <w:rsid w:val="4ED80FF1"/>
    <w:rsid w:val="4EDB463D"/>
    <w:rsid w:val="4EDD6607"/>
    <w:rsid w:val="4EF16814"/>
    <w:rsid w:val="4F0849EB"/>
    <w:rsid w:val="4F091FE6"/>
    <w:rsid w:val="4F093316"/>
    <w:rsid w:val="4F0A7FC9"/>
    <w:rsid w:val="4F0E1C1B"/>
    <w:rsid w:val="4F0E5419"/>
    <w:rsid w:val="4F103130"/>
    <w:rsid w:val="4F145FF4"/>
    <w:rsid w:val="4F1824AC"/>
    <w:rsid w:val="4F1F09CE"/>
    <w:rsid w:val="4F1F652F"/>
    <w:rsid w:val="4F284D8A"/>
    <w:rsid w:val="4F2A1C13"/>
    <w:rsid w:val="4F4E7F12"/>
    <w:rsid w:val="4F5A5D10"/>
    <w:rsid w:val="4F626B0C"/>
    <w:rsid w:val="4F6821C1"/>
    <w:rsid w:val="4F6D6B5B"/>
    <w:rsid w:val="4F794D79"/>
    <w:rsid w:val="4F8A6159"/>
    <w:rsid w:val="4F950468"/>
    <w:rsid w:val="4F98252E"/>
    <w:rsid w:val="4F9D5D96"/>
    <w:rsid w:val="4F9D6F64"/>
    <w:rsid w:val="4FA01AD6"/>
    <w:rsid w:val="4FA804E9"/>
    <w:rsid w:val="4FA92100"/>
    <w:rsid w:val="4FC31826"/>
    <w:rsid w:val="4FD615AF"/>
    <w:rsid w:val="4FE33176"/>
    <w:rsid w:val="4FEA0304"/>
    <w:rsid w:val="4FF534DD"/>
    <w:rsid w:val="4FFC486B"/>
    <w:rsid w:val="50001648"/>
    <w:rsid w:val="501A03D3"/>
    <w:rsid w:val="501F0559"/>
    <w:rsid w:val="501F09EA"/>
    <w:rsid w:val="502F6F01"/>
    <w:rsid w:val="50505C13"/>
    <w:rsid w:val="507615AE"/>
    <w:rsid w:val="508126D0"/>
    <w:rsid w:val="50AC7047"/>
    <w:rsid w:val="50AD6126"/>
    <w:rsid w:val="50AE55A9"/>
    <w:rsid w:val="50D17AA6"/>
    <w:rsid w:val="50D332A4"/>
    <w:rsid w:val="50DA061E"/>
    <w:rsid w:val="50DA0AD0"/>
    <w:rsid w:val="50EC3C76"/>
    <w:rsid w:val="50F02B87"/>
    <w:rsid w:val="50FD6AED"/>
    <w:rsid w:val="510146AC"/>
    <w:rsid w:val="51051A28"/>
    <w:rsid w:val="5106230C"/>
    <w:rsid w:val="510A1C5F"/>
    <w:rsid w:val="5126654F"/>
    <w:rsid w:val="51321695"/>
    <w:rsid w:val="513403C7"/>
    <w:rsid w:val="514C72EB"/>
    <w:rsid w:val="515A0009"/>
    <w:rsid w:val="515F2872"/>
    <w:rsid w:val="5165265C"/>
    <w:rsid w:val="516C2F33"/>
    <w:rsid w:val="5178513D"/>
    <w:rsid w:val="51871B8B"/>
    <w:rsid w:val="5188506C"/>
    <w:rsid w:val="51907CB7"/>
    <w:rsid w:val="5193460E"/>
    <w:rsid w:val="51991503"/>
    <w:rsid w:val="51994AA7"/>
    <w:rsid w:val="51B64391"/>
    <w:rsid w:val="51BC665A"/>
    <w:rsid w:val="51C60552"/>
    <w:rsid w:val="51C63383"/>
    <w:rsid w:val="51D62BBF"/>
    <w:rsid w:val="51D7470D"/>
    <w:rsid w:val="51DA76E8"/>
    <w:rsid w:val="51DC1D71"/>
    <w:rsid w:val="51DD0963"/>
    <w:rsid w:val="51DF3448"/>
    <w:rsid w:val="51E27A91"/>
    <w:rsid w:val="51F10048"/>
    <w:rsid w:val="51FF194D"/>
    <w:rsid w:val="520F40E0"/>
    <w:rsid w:val="52107C0D"/>
    <w:rsid w:val="521A547C"/>
    <w:rsid w:val="522352D9"/>
    <w:rsid w:val="52305F84"/>
    <w:rsid w:val="52326C6A"/>
    <w:rsid w:val="523878FD"/>
    <w:rsid w:val="52391B69"/>
    <w:rsid w:val="523A56C9"/>
    <w:rsid w:val="525A6B1E"/>
    <w:rsid w:val="52625478"/>
    <w:rsid w:val="52667591"/>
    <w:rsid w:val="5279146A"/>
    <w:rsid w:val="52794838"/>
    <w:rsid w:val="52887ADE"/>
    <w:rsid w:val="52AC63CA"/>
    <w:rsid w:val="52C378C2"/>
    <w:rsid w:val="52C8183A"/>
    <w:rsid w:val="52D16A8C"/>
    <w:rsid w:val="52D95213"/>
    <w:rsid w:val="52D95337"/>
    <w:rsid w:val="52DE7222"/>
    <w:rsid w:val="52E141EC"/>
    <w:rsid w:val="53013EDC"/>
    <w:rsid w:val="531262E7"/>
    <w:rsid w:val="53270D14"/>
    <w:rsid w:val="53277E51"/>
    <w:rsid w:val="53304D7A"/>
    <w:rsid w:val="533F3772"/>
    <w:rsid w:val="53513F47"/>
    <w:rsid w:val="535C30D2"/>
    <w:rsid w:val="535E2701"/>
    <w:rsid w:val="5369461E"/>
    <w:rsid w:val="536F4F48"/>
    <w:rsid w:val="537406C9"/>
    <w:rsid w:val="53796A26"/>
    <w:rsid w:val="53807561"/>
    <w:rsid w:val="538277C4"/>
    <w:rsid w:val="538E2BDA"/>
    <w:rsid w:val="53922FB7"/>
    <w:rsid w:val="53991CFB"/>
    <w:rsid w:val="539D077A"/>
    <w:rsid w:val="539E3EF4"/>
    <w:rsid w:val="539F5829"/>
    <w:rsid w:val="53B931EA"/>
    <w:rsid w:val="53BA1776"/>
    <w:rsid w:val="53BD07B5"/>
    <w:rsid w:val="53C637A4"/>
    <w:rsid w:val="53D0673A"/>
    <w:rsid w:val="53DA3078"/>
    <w:rsid w:val="53DE3A34"/>
    <w:rsid w:val="53EF6074"/>
    <w:rsid w:val="53FF2B26"/>
    <w:rsid w:val="540006A2"/>
    <w:rsid w:val="54056544"/>
    <w:rsid w:val="54063321"/>
    <w:rsid w:val="54085ED4"/>
    <w:rsid w:val="54285A96"/>
    <w:rsid w:val="543445C0"/>
    <w:rsid w:val="5435242E"/>
    <w:rsid w:val="543C3DD0"/>
    <w:rsid w:val="543E03EF"/>
    <w:rsid w:val="544467E1"/>
    <w:rsid w:val="544D6A73"/>
    <w:rsid w:val="54843081"/>
    <w:rsid w:val="54A52744"/>
    <w:rsid w:val="54BC0A6D"/>
    <w:rsid w:val="54BD70DA"/>
    <w:rsid w:val="54C80134"/>
    <w:rsid w:val="54D1415C"/>
    <w:rsid w:val="54E538CD"/>
    <w:rsid w:val="54E641AA"/>
    <w:rsid w:val="54EA765F"/>
    <w:rsid w:val="54F65B55"/>
    <w:rsid w:val="54FF3EA3"/>
    <w:rsid w:val="550348EE"/>
    <w:rsid w:val="550B6745"/>
    <w:rsid w:val="55102B67"/>
    <w:rsid w:val="551146B8"/>
    <w:rsid w:val="55131933"/>
    <w:rsid w:val="55512CC8"/>
    <w:rsid w:val="555A2198"/>
    <w:rsid w:val="555E1841"/>
    <w:rsid w:val="555E38D2"/>
    <w:rsid w:val="556C0353"/>
    <w:rsid w:val="557E4558"/>
    <w:rsid w:val="559144C5"/>
    <w:rsid w:val="55923D62"/>
    <w:rsid w:val="5596306C"/>
    <w:rsid w:val="559B06A0"/>
    <w:rsid w:val="55A41C2D"/>
    <w:rsid w:val="55A51501"/>
    <w:rsid w:val="55CE3B39"/>
    <w:rsid w:val="55D14FAD"/>
    <w:rsid w:val="55D342C0"/>
    <w:rsid w:val="55F2743B"/>
    <w:rsid w:val="55F90831"/>
    <w:rsid w:val="55F91E6B"/>
    <w:rsid w:val="56120375"/>
    <w:rsid w:val="5630344D"/>
    <w:rsid w:val="56335103"/>
    <w:rsid w:val="563D6D6F"/>
    <w:rsid w:val="563F1955"/>
    <w:rsid w:val="564E4271"/>
    <w:rsid w:val="56505911"/>
    <w:rsid w:val="5668515A"/>
    <w:rsid w:val="566852E5"/>
    <w:rsid w:val="566C201F"/>
    <w:rsid w:val="56706D92"/>
    <w:rsid w:val="567441ED"/>
    <w:rsid w:val="567C6706"/>
    <w:rsid w:val="56A5464A"/>
    <w:rsid w:val="56BC3920"/>
    <w:rsid w:val="56CB143B"/>
    <w:rsid w:val="56CE33B0"/>
    <w:rsid w:val="56CF568E"/>
    <w:rsid w:val="56DF417F"/>
    <w:rsid w:val="56E11E48"/>
    <w:rsid w:val="56EA1935"/>
    <w:rsid w:val="56ED5A15"/>
    <w:rsid w:val="56F95FA8"/>
    <w:rsid w:val="57076C37"/>
    <w:rsid w:val="57181136"/>
    <w:rsid w:val="571E140F"/>
    <w:rsid w:val="571E69AC"/>
    <w:rsid w:val="57433371"/>
    <w:rsid w:val="574C038E"/>
    <w:rsid w:val="574E2367"/>
    <w:rsid w:val="575C0CCD"/>
    <w:rsid w:val="576B2E13"/>
    <w:rsid w:val="57853861"/>
    <w:rsid w:val="578816B4"/>
    <w:rsid w:val="578E233B"/>
    <w:rsid w:val="578F4217"/>
    <w:rsid w:val="57903F98"/>
    <w:rsid w:val="579637F7"/>
    <w:rsid w:val="57AB1ED8"/>
    <w:rsid w:val="57AD384F"/>
    <w:rsid w:val="57B5539A"/>
    <w:rsid w:val="57CA16F3"/>
    <w:rsid w:val="57DC6DF3"/>
    <w:rsid w:val="57E25DB0"/>
    <w:rsid w:val="57E44562"/>
    <w:rsid w:val="58097FA0"/>
    <w:rsid w:val="580D56FD"/>
    <w:rsid w:val="580E02F4"/>
    <w:rsid w:val="581655A8"/>
    <w:rsid w:val="58266054"/>
    <w:rsid w:val="582F0D60"/>
    <w:rsid w:val="583F79EB"/>
    <w:rsid w:val="58460BDC"/>
    <w:rsid w:val="5846521D"/>
    <w:rsid w:val="584A3ED1"/>
    <w:rsid w:val="5852253F"/>
    <w:rsid w:val="5855720E"/>
    <w:rsid w:val="586438F5"/>
    <w:rsid w:val="58643B01"/>
    <w:rsid w:val="58661400"/>
    <w:rsid w:val="58711B6E"/>
    <w:rsid w:val="58723035"/>
    <w:rsid w:val="587C7B98"/>
    <w:rsid w:val="58903D63"/>
    <w:rsid w:val="58A1555C"/>
    <w:rsid w:val="58A418B4"/>
    <w:rsid w:val="58A45ECD"/>
    <w:rsid w:val="58A77D75"/>
    <w:rsid w:val="58BB47B4"/>
    <w:rsid w:val="58C5795B"/>
    <w:rsid w:val="58DA3BB7"/>
    <w:rsid w:val="58DC348C"/>
    <w:rsid w:val="58E13901"/>
    <w:rsid w:val="58FF4688"/>
    <w:rsid w:val="591934AE"/>
    <w:rsid w:val="591A4238"/>
    <w:rsid w:val="592369A6"/>
    <w:rsid w:val="59240103"/>
    <w:rsid w:val="59347CE5"/>
    <w:rsid w:val="5943204F"/>
    <w:rsid w:val="59447D34"/>
    <w:rsid w:val="594524EF"/>
    <w:rsid w:val="595A44C8"/>
    <w:rsid w:val="597A4A53"/>
    <w:rsid w:val="59883C83"/>
    <w:rsid w:val="599A5276"/>
    <w:rsid w:val="59A1166F"/>
    <w:rsid w:val="59A87812"/>
    <w:rsid w:val="59A93C47"/>
    <w:rsid w:val="59BE72DE"/>
    <w:rsid w:val="59DB1561"/>
    <w:rsid w:val="59DE38F0"/>
    <w:rsid w:val="59EE66D4"/>
    <w:rsid w:val="59F80047"/>
    <w:rsid w:val="5A074538"/>
    <w:rsid w:val="5A0C5FF2"/>
    <w:rsid w:val="5A0E62ED"/>
    <w:rsid w:val="5A1A4E69"/>
    <w:rsid w:val="5A255323"/>
    <w:rsid w:val="5A2A17DD"/>
    <w:rsid w:val="5A2B28D0"/>
    <w:rsid w:val="5A3C270F"/>
    <w:rsid w:val="5A3E5736"/>
    <w:rsid w:val="5A4202D3"/>
    <w:rsid w:val="5A464414"/>
    <w:rsid w:val="5A5617BC"/>
    <w:rsid w:val="5A592FC1"/>
    <w:rsid w:val="5A655703"/>
    <w:rsid w:val="5A6C4CE3"/>
    <w:rsid w:val="5A6C5071"/>
    <w:rsid w:val="5A6F20DD"/>
    <w:rsid w:val="5A6F5F47"/>
    <w:rsid w:val="5A700A12"/>
    <w:rsid w:val="5A723129"/>
    <w:rsid w:val="5A7F0572"/>
    <w:rsid w:val="5A985AD8"/>
    <w:rsid w:val="5A99031E"/>
    <w:rsid w:val="5AA4303D"/>
    <w:rsid w:val="5AAB5B1F"/>
    <w:rsid w:val="5AAD7545"/>
    <w:rsid w:val="5AC8131C"/>
    <w:rsid w:val="5ACB7C5C"/>
    <w:rsid w:val="5ACF7781"/>
    <w:rsid w:val="5AD34005"/>
    <w:rsid w:val="5ADE5F90"/>
    <w:rsid w:val="5AEA2D88"/>
    <w:rsid w:val="5AEA2F66"/>
    <w:rsid w:val="5AF07590"/>
    <w:rsid w:val="5AF25FAF"/>
    <w:rsid w:val="5AF65F25"/>
    <w:rsid w:val="5AFF2821"/>
    <w:rsid w:val="5B0373F5"/>
    <w:rsid w:val="5B07151B"/>
    <w:rsid w:val="5B16503A"/>
    <w:rsid w:val="5B1E5FDD"/>
    <w:rsid w:val="5B3A1A06"/>
    <w:rsid w:val="5B4D0671"/>
    <w:rsid w:val="5B500161"/>
    <w:rsid w:val="5B57504B"/>
    <w:rsid w:val="5B602098"/>
    <w:rsid w:val="5B767EE0"/>
    <w:rsid w:val="5B823AD6"/>
    <w:rsid w:val="5B83610D"/>
    <w:rsid w:val="5B8F6CFD"/>
    <w:rsid w:val="5B9C6E4B"/>
    <w:rsid w:val="5B9D2EDC"/>
    <w:rsid w:val="5BA22FB2"/>
    <w:rsid w:val="5BA42F42"/>
    <w:rsid w:val="5BA966A8"/>
    <w:rsid w:val="5BAA5FE2"/>
    <w:rsid w:val="5BAB6C05"/>
    <w:rsid w:val="5BB22948"/>
    <w:rsid w:val="5BB713C3"/>
    <w:rsid w:val="5BB74C0A"/>
    <w:rsid w:val="5BB955BC"/>
    <w:rsid w:val="5BBE4E3B"/>
    <w:rsid w:val="5BD82CC5"/>
    <w:rsid w:val="5BDA6BEA"/>
    <w:rsid w:val="5BE3199A"/>
    <w:rsid w:val="5BEE05B8"/>
    <w:rsid w:val="5BEE4B57"/>
    <w:rsid w:val="5BF02C2D"/>
    <w:rsid w:val="5C0A6562"/>
    <w:rsid w:val="5C0B576B"/>
    <w:rsid w:val="5C0F09D7"/>
    <w:rsid w:val="5C1C2BAE"/>
    <w:rsid w:val="5C2017FC"/>
    <w:rsid w:val="5C222F91"/>
    <w:rsid w:val="5C267836"/>
    <w:rsid w:val="5C427AAA"/>
    <w:rsid w:val="5C537F09"/>
    <w:rsid w:val="5C5465C2"/>
    <w:rsid w:val="5C5E182F"/>
    <w:rsid w:val="5C8473BD"/>
    <w:rsid w:val="5C8A08FC"/>
    <w:rsid w:val="5C907B2A"/>
    <w:rsid w:val="5C9554D6"/>
    <w:rsid w:val="5CA0231D"/>
    <w:rsid w:val="5CA4061A"/>
    <w:rsid w:val="5CAA4BFD"/>
    <w:rsid w:val="5CB41412"/>
    <w:rsid w:val="5CB739A4"/>
    <w:rsid w:val="5CE1696F"/>
    <w:rsid w:val="5CEB0267"/>
    <w:rsid w:val="5CEF4B86"/>
    <w:rsid w:val="5D041203"/>
    <w:rsid w:val="5D076E85"/>
    <w:rsid w:val="5D197216"/>
    <w:rsid w:val="5D2212B7"/>
    <w:rsid w:val="5D350157"/>
    <w:rsid w:val="5D3B2411"/>
    <w:rsid w:val="5D441575"/>
    <w:rsid w:val="5D447317"/>
    <w:rsid w:val="5D447EBE"/>
    <w:rsid w:val="5D5932FD"/>
    <w:rsid w:val="5D5A08CD"/>
    <w:rsid w:val="5D610403"/>
    <w:rsid w:val="5D6D0B56"/>
    <w:rsid w:val="5D6D46F7"/>
    <w:rsid w:val="5D6E3CF2"/>
    <w:rsid w:val="5D77214D"/>
    <w:rsid w:val="5D811C27"/>
    <w:rsid w:val="5D9B154D"/>
    <w:rsid w:val="5D9C5497"/>
    <w:rsid w:val="5DBA0AA9"/>
    <w:rsid w:val="5DBD5E6D"/>
    <w:rsid w:val="5DBF5C0A"/>
    <w:rsid w:val="5DCD69C2"/>
    <w:rsid w:val="5DE5604E"/>
    <w:rsid w:val="5DEC4759"/>
    <w:rsid w:val="5DF00658"/>
    <w:rsid w:val="5DFA430F"/>
    <w:rsid w:val="5DFB43B4"/>
    <w:rsid w:val="5E0A43B6"/>
    <w:rsid w:val="5E0A7F37"/>
    <w:rsid w:val="5E157719"/>
    <w:rsid w:val="5E1A5108"/>
    <w:rsid w:val="5E1E62F4"/>
    <w:rsid w:val="5E3176CE"/>
    <w:rsid w:val="5E330DDF"/>
    <w:rsid w:val="5E346DD4"/>
    <w:rsid w:val="5E3C313B"/>
    <w:rsid w:val="5E3E59B5"/>
    <w:rsid w:val="5E475FC0"/>
    <w:rsid w:val="5E4775F9"/>
    <w:rsid w:val="5E4B6E38"/>
    <w:rsid w:val="5E6230CD"/>
    <w:rsid w:val="5E6335CC"/>
    <w:rsid w:val="5E826883"/>
    <w:rsid w:val="5E862051"/>
    <w:rsid w:val="5E877969"/>
    <w:rsid w:val="5E8C32A6"/>
    <w:rsid w:val="5E9A1E1F"/>
    <w:rsid w:val="5E9B5B97"/>
    <w:rsid w:val="5EA66A16"/>
    <w:rsid w:val="5EAE7678"/>
    <w:rsid w:val="5EB76CB2"/>
    <w:rsid w:val="5EBA1FDC"/>
    <w:rsid w:val="5EBA78E5"/>
    <w:rsid w:val="5ED846F5"/>
    <w:rsid w:val="5EDA221B"/>
    <w:rsid w:val="5EDD05CE"/>
    <w:rsid w:val="5EEC29E7"/>
    <w:rsid w:val="5EEE3123"/>
    <w:rsid w:val="5F0219D5"/>
    <w:rsid w:val="5F064A76"/>
    <w:rsid w:val="5F1D4BC9"/>
    <w:rsid w:val="5F223BC2"/>
    <w:rsid w:val="5F227DDC"/>
    <w:rsid w:val="5F295C64"/>
    <w:rsid w:val="5F5F0AD9"/>
    <w:rsid w:val="5F70492E"/>
    <w:rsid w:val="5FAF18FA"/>
    <w:rsid w:val="5FC54ED2"/>
    <w:rsid w:val="5FCD7FD2"/>
    <w:rsid w:val="5FD5231D"/>
    <w:rsid w:val="5FDA747B"/>
    <w:rsid w:val="5FDE2EC9"/>
    <w:rsid w:val="5FE07D05"/>
    <w:rsid w:val="5FF7504F"/>
    <w:rsid w:val="60013E67"/>
    <w:rsid w:val="60031F56"/>
    <w:rsid w:val="60045AD0"/>
    <w:rsid w:val="601001FB"/>
    <w:rsid w:val="60161979"/>
    <w:rsid w:val="60206C27"/>
    <w:rsid w:val="60253286"/>
    <w:rsid w:val="602725C9"/>
    <w:rsid w:val="60310561"/>
    <w:rsid w:val="60421B4F"/>
    <w:rsid w:val="6043090E"/>
    <w:rsid w:val="60434FE8"/>
    <w:rsid w:val="604E4D72"/>
    <w:rsid w:val="605822F4"/>
    <w:rsid w:val="6069307F"/>
    <w:rsid w:val="6075301F"/>
    <w:rsid w:val="60830D2F"/>
    <w:rsid w:val="6085265B"/>
    <w:rsid w:val="60853563"/>
    <w:rsid w:val="608D1056"/>
    <w:rsid w:val="60935731"/>
    <w:rsid w:val="60AC3215"/>
    <w:rsid w:val="60B67DBC"/>
    <w:rsid w:val="60C3563C"/>
    <w:rsid w:val="610409CB"/>
    <w:rsid w:val="610F6B33"/>
    <w:rsid w:val="61153689"/>
    <w:rsid w:val="61290D3C"/>
    <w:rsid w:val="612D4112"/>
    <w:rsid w:val="61365606"/>
    <w:rsid w:val="61431749"/>
    <w:rsid w:val="61432F1A"/>
    <w:rsid w:val="614B1C24"/>
    <w:rsid w:val="614B38A4"/>
    <w:rsid w:val="614D79D1"/>
    <w:rsid w:val="615564D1"/>
    <w:rsid w:val="61632359"/>
    <w:rsid w:val="61701A4B"/>
    <w:rsid w:val="61720E25"/>
    <w:rsid w:val="617B2468"/>
    <w:rsid w:val="617D480E"/>
    <w:rsid w:val="618D3FF8"/>
    <w:rsid w:val="61A3723C"/>
    <w:rsid w:val="61AA3EC9"/>
    <w:rsid w:val="61B25108"/>
    <w:rsid w:val="61CB6119"/>
    <w:rsid w:val="61DB131A"/>
    <w:rsid w:val="61E12101"/>
    <w:rsid w:val="61E3278D"/>
    <w:rsid w:val="61F30DB8"/>
    <w:rsid w:val="61FF72BC"/>
    <w:rsid w:val="620F6680"/>
    <w:rsid w:val="621170E6"/>
    <w:rsid w:val="62271246"/>
    <w:rsid w:val="624A3DC1"/>
    <w:rsid w:val="62516C98"/>
    <w:rsid w:val="62546B56"/>
    <w:rsid w:val="62957FCE"/>
    <w:rsid w:val="629D6CC7"/>
    <w:rsid w:val="62B47227"/>
    <w:rsid w:val="62C71FEF"/>
    <w:rsid w:val="62E011A2"/>
    <w:rsid w:val="62E66AA7"/>
    <w:rsid w:val="62FD6B80"/>
    <w:rsid w:val="630F1D55"/>
    <w:rsid w:val="63161C90"/>
    <w:rsid w:val="63185A08"/>
    <w:rsid w:val="631A52DC"/>
    <w:rsid w:val="631E6365"/>
    <w:rsid w:val="632E6AFE"/>
    <w:rsid w:val="63313DA6"/>
    <w:rsid w:val="63354200"/>
    <w:rsid w:val="633F16AA"/>
    <w:rsid w:val="63437FE5"/>
    <w:rsid w:val="635F53E5"/>
    <w:rsid w:val="635F707D"/>
    <w:rsid w:val="63657B08"/>
    <w:rsid w:val="636A17C6"/>
    <w:rsid w:val="636A50A9"/>
    <w:rsid w:val="63737268"/>
    <w:rsid w:val="637602D5"/>
    <w:rsid w:val="63797E84"/>
    <w:rsid w:val="637E43C2"/>
    <w:rsid w:val="6394196F"/>
    <w:rsid w:val="639F303E"/>
    <w:rsid w:val="63A64DC2"/>
    <w:rsid w:val="63B1110F"/>
    <w:rsid w:val="63B12799"/>
    <w:rsid w:val="63BA6ABF"/>
    <w:rsid w:val="63BE22A0"/>
    <w:rsid w:val="63BE3763"/>
    <w:rsid w:val="63C579C9"/>
    <w:rsid w:val="63C641C2"/>
    <w:rsid w:val="63C67197"/>
    <w:rsid w:val="63C72A84"/>
    <w:rsid w:val="63DC48AE"/>
    <w:rsid w:val="63FE4722"/>
    <w:rsid w:val="63FF2724"/>
    <w:rsid w:val="6406413D"/>
    <w:rsid w:val="640953EC"/>
    <w:rsid w:val="641B66DD"/>
    <w:rsid w:val="643B3100"/>
    <w:rsid w:val="643C6529"/>
    <w:rsid w:val="644B15DB"/>
    <w:rsid w:val="64520AA6"/>
    <w:rsid w:val="64567AF7"/>
    <w:rsid w:val="6468634E"/>
    <w:rsid w:val="646E5158"/>
    <w:rsid w:val="6471039B"/>
    <w:rsid w:val="64790728"/>
    <w:rsid w:val="64805F21"/>
    <w:rsid w:val="648F5856"/>
    <w:rsid w:val="64933DED"/>
    <w:rsid w:val="649D15ED"/>
    <w:rsid w:val="64A80BED"/>
    <w:rsid w:val="64AD5F5B"/>
    <w:rsid w:val="64B76F98"/>
    <w:rsid w:val="64BA3716"/>
    <w:rsid w:val="64C82D3C"/>
    <w:rsid w:val="64D74C98"/>
    <w:rsid w:val="64E04A90"/>
    <w:rsid w:val="64F32289"/>
    <w:rsid w:val="64F5622C"/>
    <w:rsid w:val="650600EE"/>
    <w:rsid w:val="65195389"/>
    <w:rsid w:val="652903E0"/>
    <w:rsid w:val="653B778C"/>
    <w:rsid w:val="65455808"/>
    <w:rsid w:val="65534FE8"/>
    <w:rsid w:val="65542AF8"/>
    <w:rsid w:val="655E2364"/>
    <w:rsid w:val="655E30C0"/>
    <w:rsid w:val="6568379B"/>
    <w:rsid w:val="656A5A30"/>
    <w:rsid w:val="65760E45"/>
    <w:rsid w:val="6578268A"/>
    <w:rsid w:val="6579065D"/>
    <w:rsid w:val="658E3B5A"/>
    <w:rsid w:val="65946093"/>
    <w:rsid w:val="65956B33"/>
    <w:rsid w:val="659728C7"/>
    <w:rsid w:val="659F071D"/>
    <w:rsid w:val="659F4DE6"/>
    <w:rsid w:val="65A11CE5"/>
    <w:rsid w:val="65AB3F23"/>
    <w:rsid w:val="65AB66C0"/>
    <w:rsid w:val="65BC08CD"/>
    <w:rsid w:val="65BC6B1F"/>
    <w:rsid w:val="65E676F8"/>
    <w:rsid w:val="65F04A1A"/>
    <w:rsid w:val="660B3BF0"/>
    <w:rsid w:val="66123E66"/>
    <w:rsid w:val="66141F30"/>
    <w:rsid w:val="661F70AE"/>
    <w:rsid w:val="6635242D"/>
    <w:rsid w:val="66373E26"/>
    <w:rsid w:val="66474DDD"/>
    <w:rsid w:val="664B1C51"/>
    <w:rsid w:val="66524D8D"/>
    <w:rsid w:val="665E3732"/>
    <w:rsid w:val="66664CDC"/>
    <w:rsid w:val="66783384"/>
    <w:rsid w:val="667E3DD4"/>
    <w:rsid w:val="66A32E81"/>
    <w:rsid w:val="66AD139E"/>
    <w:rsid w:val="66B21A19"/>
    <w:rsid w:val="66BB03FB"/>
    <w:rsid w:val="66C37A39"/>
    <w:rsid w:val="66C476B7"/>
    <w:rsid w:val="66F26570"/>
    <w:rsid w:val="670359C1"/>
    <w:rsid w:val="670570FE"/>
    <w:rsid w:val="671078EB"/>
    <w:rsid w:val="6713136F"/>
    <w:rsid w:val="671866E1"/>
    <w:rsid w:val="672F46EF"/>
    <w:rsid w:val="67322237"/>
    <w:rsid w:val="6736437E"/>
    <w:rsid w:val="673646AF"/>
    <w:rsid w:val="673D5A3D"/>
    <w:rsid w:val="674072DB"/>
    <w:rsid w:val="674C3ED2"/>
    <w:rsid w:val="675608AD"/>
    <w:rsid w:val="6758477E"/>
    <w:rsid w:val="675D2E65"/>
    <w:rsid w:val="676023D9"/>
    <w:rsid w:val="676631F6"/>
    <w:rsid w:val="676C0B4C"/>
    <w:rsid w:val="67780823"/>
    <w:rsid w:val="677879E5"/>
    <w:rsid w:val="67825871"/>
    <w:rsid w:val="678413C4"/>
    <w:rsid w:val="679520C0"/>
    <w:rsid w:val="67B442F2"/>
    <w:rsid w:val="67B843BF"/>
    <w:rsid w:val="67B84BF8"/>
    <w:rsid w:val="67C131D4"/>
    <w:rsid w:val="67DE7986"/>
    <w:rsid w:val="67E658FC"/>
    <w:rsid w:val="67FC7AAC"/>
    <w:rsid w:val="67FD056C"/>
    <w:rsid w:val="68097541"/>
    <w:rsid w:val="6811390E"/>
    <w:rsid w:val="681A2338"/>
    <w:rsid w:val="681B74A6"/>
    <w:rsid w:val="681D15E0"/>
    <w:rsid w:val="681F1498"/>
    <w:rsid w:val="68263E9E"/>
    <w:rsid w:val="682664D1"/>
    <w:rsid w:val="683E726A"/>
    <w:rsid w:val="68513D80"/>
    <w:rsid w:val="68563069"/>
    <w:rsid w:val="68602587"/>
    <w:rsid w:val="68616285"/>
    <w:rsid w:val="686242B2"/>
    <w:rsid w:val="688E6BE4"/>
    <w:rsid w:val="6898534D"/>
    <w:rsid w:val="689A06C0"/>
    <w:rsid w:val="689A4210"/>
    <w:rsid w:val="68A02A38"/>
    <w:rsid w:val="68A67EAF"/>
    <w:rsid w:val="68AE52C4"/>
    <w:rsid w:val="68C41C53"/>
    <w:rsid w:val="68C81EE6"/>
    <w:rsid w:val="68D44BE3"/>
    <w:rsid w:val="68E642FC"/>
    <w:rsid w:val="68F62348"/>
    <w:rsid w:val="69067E38"/>
    <w:rsid w:val="692C7725"/>
    <w:rsid w:val="69352F84"/>
    <w:rsid w:val="696F5736"/>
    <w:rsid w:val="697A5A54"/>
    <w:rsid w:val="697E6350"/>
    <w:rsid w:val="69935DE8"/>
    <w:rsid w:val="69A1412A"/>
    <w:rsid w:val="69A41E18"/>
    <w:rsid w:val="69A55B1C"/>
    <w:rsid w:val="69AA4785"/>
    <w:rsid w:val="69B54E0C"/>
    <w:rsid w:val="69BF53B0"/>
    <w:rsid w:val="69C035E4"/>
    <w:rsid w:val="69C37EE4"/>
    <w:rsid w:val="69CF4947"/>
    <w:rsid w:val="69DD6810"/>
    <w:rsid w:val="69E46B20"/>
    <w:rsid w:val="69ED4B4A"/>
    <w:rsid w:val="69F0777D"/>
    <w:rsid w:val="69F12B0F"/>
    <w:rsid w:val="6A013EF7"/>
    <w:rsid w:val="6A122AE0"/>
    <w:rsid w:val="6A1567FD"/>
    <w:rsid w:val="6A17656F"/>
    <w:rsid w:val="6A190865"/>
    <w:rsid w:val="6A2B3816"/>
    <w:rsid w:val="6A2C625A"/>
    <w:rsid w:val="6A3430A0"/>
    <w:rsid w:val="6A3805BD"/>
    <w:rsid w:val="6A495D80"/>
    <w:rsid w:val="6A4F6A08"/>
    <w:rsid w:val="6A5270BD"/>
    <w:rsid w:val="6A6366BE"/>
    <w:rsid w:val="6A6A1F94"/>
    <w:rsid w:val="6A752A5D"/>
    <w:rsid w:val="6A82750E"/>
    <w:rsid w:val="6A984C0B"/>
    <w:rsid w:val="6A995680"/>
    <w:rsid w:val="6AA237DB"/>
    <w:rsid w:val="6AA503FC"/>
    <w:rsid w:val="6AB35B33"/>
    <w:rsid w:val="6AB3670F"/>
    <w:rsid w:val="6ADC640A"/>
    <w:rsid w:val="6AEE1328"/>
    <w:rsid w:val="6AF11120"/>
    <w:rsid w:val="6AF24D91"/>
    <w:rsid w:val="6AFF56B9"/>
    <w:rsid w:val="6B031070"/>
    <w:rsid w:val="6B03334B"/>
    <w:rsid w:val="6B123A96"/>
    <w:rsid w:val="6B1B5180"/>
    <w:rsid w:val="6B1F0F8B"/>
    <w:rsid w:val="6B206EF8"/>
    <w:rsid w:val="6B40476A"/>
    <w:rsid w:val="6B4220F9"/>
    <w:rsid w:val="6B4C76AF"/>
    <w:rsid w:val="6B4E5791"/>
    <w:rsid w:val="6B611915"/>
    <w:rsid w:val="6B67752D"/>
    <w:rsid w:val="6B6932A5"/>
    <w:rsid w:val="6B7063B5"/>
    <w:rsid w:val="6B7F31B3"/>
    <w:rsid w:val="6B866FB7"/>
    <w:rsid w:val="6B9122AC"/>
    <w:rsid w:val="6B9B2D32"/>
    <w:rsid w:val="6BA20565"/>
    <w:rsid w:val="6BC9626D"/>
    <w:rsid w:val="6BD153AB"/>
    <w:rsid w:val="6BD31FE8"/>
    <w:rsid w:val="6BDA1779"/>
    <w:rsid w:val="6BDD495F"/>
    <w:rsid w:val="6BDF2B0D"/>
    <w:rsid w:val="6BE21B12"/>
    <w:rsid w:val="6BE46278"/>
    <w:rsid w:val="6BF268F6"/>
    <w:rsid w:val="6C0A469B"/>
    <w:rsid w:val="6C110A3A"/>
    <w:rsid w:val="6C117498"/>
    <w:rsid w:val="6C1F079C"/>
    <w:rsid w:val="6C250BB8"/>
    <w:rsid w:val="6C292DEB"/>
    <w:rsid w:val="6C2B78FF"/>
    <w:rsid w:val="6C53185F"/>
    <w:rsid w:val="6C61140B"/>
    <w:rsid w:val="6C6116DE"/>
    <w:rsid w:val="6C65552C"/>
    <w:rsid w:val="6C6B0677"/>
    <w:rsid w:val="6C7B289B"/>
    <w:rsid w:val="6C860C99"/>
    <w:rsid w:val="6C886C4B"/>
    <w:rsid w:val="6CA1081C"/>
    <w:rsid w:val="6CC47E5A"/>
    <w:rsid w:val="6CC702D2"/>
    <w:rsid w:val="6CCD4BDE"/>
    <w:rsid w:val="6CD6565D"/>
    <w:rsid w:val="6CE201C5"/>
    <w:rsid w:val="6CEB1A97"/>
    <w:rsid w:val="6CF564B6"/>
    <w:rsid w:val="6CFD46AC"/>
    <w:rsid w:val="6D0C0E60"/>
    <w:rsid w:val="6D0C41D0"/>
    <w:rsid w:val="6D1556EA"/>
    <w:rsid w:val="6D184FD6"/>
    <w:rsid w:val="6D196605"/>
    <w:rsid w:val="6D35369C"/>
    <w:rsid w:val="6D53465F"/>
    <w:rsid w:val="6D543E19"/>
    <w:rsid w:val="6D5C5C27"/>
    <w:rsid w:val="6D602C23"/>
    <w:rsid w:val="6D604332"/>
    <w:rsid w:val="6D741A8D"/>
    <w:rsid w:val="6D752839"/>
    <w:rsid w:val="6D763A57"/>
    <w:rsid w:val="6D797290"/>
    <w:rsid w:val="6D7B106D"/>
    <w:rsid w:val="6D7E242B"/>
    <w:rsid w:val="6D88243C"/>
    <w:rsid w:val="6D882CE9"/>
    <w:rsid w:val="6D8F7B19"/>
    <w:rsid w:val="6D9C02B4"/>
    <w:rsid w:val="6D9C48C6"/>
    <w:rsid w:val="6DA32B19"/>
    <w:rsid w:val="6DA85746"/>
    <w:rsid w:val="6DAB5C15"/>
    <w:rsid w:val="6DAD337A"/>
    <w:rsid w:val="6DBA066E"/>
    <w:rsid w:val="6DBB76BC"/>
    <w:rsid w:val="6DC9627D"/>
    <w:rsid w:val="6DEA3B9A"/>
    <w:rsid w:val="6DED5B31"/>
    <w:rsid w:val="6DEE254B"/>
    <w:rsid w:val="6DFC58D2"/>
    <w:rsid w:val="6DFC73BF"/>
    <w:rsid w:val="6DFD4528"/>
    <w:rsid w:val="6E007061"/>
    <w:rsid w:val="6E092ECD"/>
    <w:rsid w:val="6E235D6C"/>
    <w:rsid w:val="6E2B5F27"/>
    <w:rsid w:val="6E340720"/>
    <w:rsid w:val="6E3C285F"/>
    <w:rsid w:val="6E421B8B"/>
    <w:rsid w:val="6E5656CE"/>
    <w:rsid w:val="6E686E65"/>
    <w:rsid w:val="6E6C09B6"/>
    <w:rsid w:val="6E6E1333"/>
    <w:rsid w:val="6E880659"/>
    <w:rsid w:val="6E9819E7"/>
    <w:rsid w:val="6EA2262A"/>
    <w:rsid w:val="6EA91C0A"/>
    <w:rsid w:val="6EC729B3"/>
    <w:rsid w:val="6ECE14B9"/>
    <w:rsid w:val="6EDA4AE5"/>
    <w:rsid w:val="6EE439B6"/>
    <w:rsid w:val="6EE452B6"/>
    <w:rsid w:val="6EED00D7"/>
    <w:rsid w:val="6EFB045A"/>
    <w:rsid w:val="6F0642DD"/>
    <w:rsid w:val="6F064FAF"/>
    <w:rsid w:val="6F156A54"/>
    <w:rsid w:val="6F1F3C7A"/>
    <w:rsid w:val="6F25749E"/>
    <w:rsid w:val="6F316C0A"/>
    <w:rsid w:val="6F343923"/>
    <w:rsid w:val="6F40431D"/>
    <w:rsid w:val="6F4357E6"/>
    <w:rsid w:val="6F5373F2"/>
    <w:rsid w:val="6F615598"/>
    <w:rsid w:val="6F6419B2"/>
    <w:rsid w:val="6F65153D"/>
    <w:rsid w:val="6F6F69B0"/>
    <w:rsid w:val="6F7001A1"/>
    <w:rsid w:val="6F834209"/>
    <w:rsid w:val="6F8A2B39"/>
    <w:rsid w:val="6F8C31F6"/>
    <w:rsid w:val="6F8C57B4"/>
    <w:rsid w:val="6F8F0287"/>
    <w:rsid w:val="6F92269E"/>
    <w:rsid w:val="6F970F26"/>
    <w:rsid w:val="6F9B69BC"/>
    <w:rsid w:val="6F9B7800"/>
    <w:rsid w:val="6F9D5EC5"/>
    <w:rsid w:val="6FA348AB"/>
    <w:rsid w:val="6FA910D6"/>
    <w:rsid w:val="6FAF78BC"/>
    <w:rsid w:val="6FB50D5E"/>
    <w:rsid w:val="6FF61027"/>
    <w:rsid w:val="6FF71F7C"/>
    <w:rsid w:val="6FFF5B53"/>
    <w:rsid w:val="70007086"/>
    <w:rsid w:val="70071894"/>
    <w:rsid w:val="701821FC"/>
    <w:rsid w:val="702055BF"/>
    <w:rsid w:val="703670C4"/>
    <w:rsid w:val="703E3A72"/>
    <w:rsid w:val="704277B4"/>
    <w:rsid w:val="70445090"/>
    <w:rsid w:val="70462105"/>
    <w:rsid w:val="704F5FB9"/>
    <w:rsid w:val="70574571"/>
    <w:rsid w:val="705D0EFE"/>
    <w:rsid w:val="706346C8"/>
    <w:rsid w:val="707B432A"/>
    <w:rsid w:val="708B61C5"/>
    <w:rsid w:val="708C3591"/>
    <w:rsid w:val="70904336"/>
    <w:rsid w:val="7099512A"/>
    <w:rsid w:val="709E7BD1"/>
    <w:rsid w:val="70A835C8"/>
    <w:rsid w:val="70AD1CDF"/>
    <w:rsid w:val="70B7778A"/>
    <w:rsid w:val="70CD35A2"/>
    <w:rsid w:val="70D80D7C"/>
    <w:rsid w:val="70EB295F"/>
    <w:rsid w:val="70F353BF"/>
    <w:rsid w:val="70F86FAF"/>
    <w:rsid w:val="70FC4273"/>
    <w:rsid w:val="71196036"/>
    <w:rsid w:val="71233DB3"/>
    <w:rsid w:val="712B14D9"/>
    <w:rsid w:val="71312019"/>
    <w:rsid w:val="713409E4"/>
    <w:rsid w:val="7134169A"/>
    <w:rsid w:val="7137621B"/>
    <w:rsid w:val="7146348C"/>
    <w:rsid w:val="71480EF7"/>
    <w:rsid w:val="714E0847"/>
    <w:rsid w:val="71643DEC"/>
    <w:rsid w:val="71695B67"/>
    <w:rsid w:val="716F2C97"/>
    <w:rsid w:val="71752277"/>
    <w:rsid w:val="717C0351"/>
    <w:rsid w:val="718764FD"/>
    <w:rsid w:val="71891B38"/>
    <w:rsid w:val="71A212BE"/>
    <w:rsid w:val="71B344B4"/>
    <w:rsid w:val="71C269A6"/>
    <w:rsid w:val="71CE323A"/>
    <w:rsid w:val="71D3724C"/>
    <w:rsid w:val="71D81516"/>
    <w:rsid w:val="71D87441"/>
    <w:rsid w:val="71DD5684"/>
    <w:rsid w:val="71E33685"/>
    <w:rsid w:val="71EB4F2E"/>
    <w:rsid w:val="71FB41EE"/>
    <w:rsid w:val="71FC4BC3"/>
    <w:rsid w:val="71FD64F5"/>
    <w:rsid w:val="72152065"/>
    <w:rsid w:val="72164552"/>
    <w:rsid w:val="72203B0A"/>
    <w:rsid w:val="72264127"/>
    <w:rsid w:val="7229553C"/>
    <w:rsid w:val="722C7848"/>
    <w:rsid w:val="722E3CD7"/>
    <w:rsid w:val="723A6AC6"/>
    <w:rsid w:val="723F5543"/>
    <w:rsid w:val="724050D5"/>
    <w:rsid w:val="7240750B"/>
    <w:rsid w:val="72432464"/>
    <w:rsid w:val="726B3F64"/>
    <w:rsid w:val="72730565"/>
    <w:rsid w:val="72752C28"/>
    <w:rsid w:val="72762223"/>
    <w:rsid w:val="727B511A"/>
    <w:rsid w:val="72802A9B"/>
    <w:rsid w:val="728C1627"/>
    <w:rsid w:val="72904396"/>
    <w:rsid w:val="729130E1"/>
    <w:rsid w:val="729716A2"/>
    <w:rsid w:val="72B37C91"/>
    <w:rsid w:val="72B859BD"/>
    <w:rsid w:val="72BB25B7"/>
    <w:rsid w:val="72CE5BF7"/>
    <w:rsid w:val="72DC3463"/>
    <w:rsid w:val="72DE2459"/>
    <w:rsid w:val="72ED0088"/>
    <w:rsid w:val="72F03761"/>
    <w:rsid w:val="72F05849"/>
    <w:rsid w:val="72FD0776"/>
    <w:rsid w:val="730425BB"/>
    <w:rsid w:val="731A30D6"/>
    <w:rsid w:val="73286BFD"/>
    <w:rsid w:val="733D14C2"/>
    <w:rsid w:val="73496DAE"/>
    <w:rsid w:val="734B14EC"/>
    <w:rsid w:val="734B3C16"/>
    <w:rsid w:val="735E2DA8"/>
    <w:rsid w:val="73691968"/>
    <w:rsid w:val="73711D48"/>
    <w:rsid w:val="73750AC4"/>
    <w:rsid w:val="738C3DDE"/>
    <w:rsid w:val="73985BC3"/>
    <w:rsid w:val="73AC00C7"/>
    <w:rsid w:val="73B21921"/>
    <w:rsid w:val="73B35FDA"/>
    <w:rsid w:val="73BE172C"/>
    <w:rsid w:val="73D94D40"/>
    <w:rsid w:val="73F05A78"/>
    <w:rsid w:val="74031DBD"/>
    <w:rsid w:val="7418622C"/>
    <w:rsid w:val="7422251D"/>
    <w:rsid w:val="7441186B"/>
    <w:rsid w:val="744A29E0"/>
    <w:rsid w:val="74560DC5"/>
    <w:rsid w:val="745919DD"/>
    <w:rsid w:val="745D14CD"/>
    <w:rsid w:val="745D771F"/>
    <w:rsid w:val="74620891"/>
    <w:rsid w:val="746C4F10"/>
    <w:rsid w:val="746C7A2D"/>
    <w:rsid w:val="747155FF"/>
    <w:rsid w:val="7485382A"/>
    <w:rsid w:val="74931BBE"/>
    <w:rsid w:val="749F3367"/>
    <w:rsid w:val="74A3508C"/>
    <w:rsid w:val="74B4086E"/>
    <w:rsid w:val="74BA46D3"/>
    <w:rsid w:val="74BC25D4"/>
    <w:rsid w:val="74C01566"/>
    <w:rsid w:val="74C518F9"/>
    <w:rsid w:val="74C953EE"/>
    <w:rsid w:val="74DF1A9E"/>
    <w:rsid w:val="74E87972"/>
    <w:rsid w:val="75010ADE"/>
    <w:rsid w:val="750202C6"/>
    <w:rsid w:val="750E774C"/>
    <w:rsid w:val="75122E13"/>
    <w:rsid w:val="752820D9"/>
    <w:rsid w:val="752D582D"/>
    <w:rsid w:val="752F3B6E"/>
    <w:rsid w:val="75302E62"/>
    <w:rsid w:val="75420F36"/>
    <w:rsid w:val="754226B0"/>
    <w:rsid w:val="75496C6A"/>
    <w:rsid w:val="755071E1"/>
    <w:rsid w:val="7561749D"/>
    <w:rsid w:val="756E770A"/>
    <w:rsid w:val="757F2EE9"/>
    <w:rsid w:val="75883453"/>
    <w:rsid w:val="758B68E5"/>
    <w:rsid w:val="75910CE7"/>
    <w:rsid w:val="75962026"/>
    <w:rsid w:val="75AC6520"/>
    <w:rsid w:val="75B111B0"/>
    <w:rsid w:val="75B64FA5"/>
    <w:rsid w:val="75B65FE7"/>
    <w:rsid w:val="75C97D26"/>
    <w:rsid w:val="75CC4D1F"/>
    <w:rsid w:val="75CF2C59"/>
    <w:rsid w:val="75DB37FC"/>
    <w:rsid w:val="75E17EDC"/>
    <w:rsid w:val="75E831A5"/>
    <w:rsid w:val="75ED062E"/>
    <w:rsid w:val="75ED0A79"/>
    <w:rsid w:val="75F21505"/>
    <w:rsid w:val="75F862E1"/>
    <w:rsid w:val="75FB71EF"/>
    <w:rsid w:val="761B087E"/>
    <w:rsid w:val="7624142F"/>
    <w:rsid w:val="76331E00"/>
    <w:rsid w:val="763B0578"/>
    <w:rsid w:val="764B35A7"/>
    <w:rsid w:val="76647560"/>
    <w:rsid w:val="76754F79"/>
    <w:rsid w:val="7676090F"/>
    <w:rsid w:val="76853C7B"/>
    <w:rsid w:val="76991C80"/>
    <w:rsid w:val="769B452E"/>
    <w:rsid w:val="76A758E7"/>
    <w:rsid w:val="76AE76CF"/>
    <w:rsid w:val="76B24FDB"/>
    <w:rsid w:val="76B4114C"/>
    <w:rsid w:val="76BD6388"/>
    <w:rsid w:val="76CE499E"/>
    <w:rsid w:val="76CF2F9B"/>
    <w:rsid w:val="76D878F5"/>
    <w:rsid w:val="76EB2F9C"/>
    <w:rsid w:val="76EC740F"/>
    <w:rsid w:val="76F36118"/>
    <w:rsid w:val="77010EF7"/>
    <w:rsid w:val="770B1D26"/>
    <w:rsid w:val="770E10F7"/>
    <w:rsid w:val="77146D03"/>
    <w:rsid w:val="77165BF8"/>
    <w:rsid w:val="7717055D"/>
    <w:rsid w:val="772033F9"/>
    <w:rsid w:val="774C254B"/>
    <w:rsid w:val="775B18FA"/>
    <w:rsid w:val="7763641C"/>
    <w:rsid w:val="776A7D81"/>
    <w:rsid w:val="776D6A2A"/>
    <w:rsid w:val="776F5D0F"/>
    <w:rsid w:val="777A7BD9"/>
    <w:rsid w:val="777F5281"/>
    <w:rsid w:val="77892A1A"/>
    <w:rsid w:val="779D2C0F"/>
    <w:rsid w:val="77B625A5"/>
    <w:rsid w:val="77B90176"/>
    <w:rsid w:val="77BC5482"/>
    <w:rsid w:val="77DF30DC"/>
    <w:rsid w:val="77E67A2B"/>
    <w:rsid w:val="77E85B34"/>
    <w:rsid w:val="77EF155B"/>
    <w:rsid w:val="77FE2F33"/>
    <w:rsid w:val="78034CA3"/>
    <w:rsid w:val="780B717A"/>
    <w:rsid w:val="7814384C"/>
    <w:rsid w:val="781A19CA"/>
    <w:rsid w:val="783B7F55"/>
    <w:rsid w:val="78420875"/>
    <w:rsid w:val="784C1809"/>
    <w:rsid w:val="7867290B"/>
    <w:rsid w:val="78707B3F"/>
    <w:rsid w:val="787471D0"/>
    <w:rsid w:val="787B0173"/>
    <w:rsid w:val="78804EDD"/>
    <w:rsid w:val="78837FE7"/>
    <w:rsid w:val="78922459"/>
    <w:rsid w:val="78934B67"/>
    <w:rsid w:val="78952E51"/>
    <w:rsid w:val="78983387"/>
    <w:rsid w:val="78A05BF6"/>
    <w:rsid w:val="78C006B6"/>
    <w:rsid w:val="78C20D14"/>
    <w:rsid w:val="78CA4961"/>
    <w:rsid w:val="78CD197A"/>
    <w:rsid w:val="78DF4BA6"/>
    <w:rsid w:val="78EB5903"/>
    <w:rsid w:val="78F17B24"/>
    <w:rsid w:val="78F30E0E"/>
    <w:rsid w:val="78F341AE"/>
    <w:rsid w:val="78F872F4"/>
    <w:rsid w:val="790206D7"/>
    <w:rsid w:val="790A7749"/>
    <w:rsid w:val="7918401D"/>
    <w:rsid w:val="791C756C"/>
    <w:rsid w:val="791E6FF5"/>
    <w:rsid w:val="7929090E"/>
    <w:rsid w:val="79297A7E"/>
    <w:rsid w:val="792A10EE"/>
    <w:rsid w:val="79314456"/>
    <w:rsid w:val="793361F1"/>
    <w:rsid w:val="79344F6B"/>
    <w:rsid w:val="793B4B5D"/>
    <w:rsid w:val="793E189F"/>
    <w:rsid w:val="793F2CF8"/>
    <w:rsid w:val="794E5888"/>
    <w:rsid w:val="795167DD"/>
    <w:rsid w:val="795433FE"/>
    <w:rsid w:val="796055BB"/>
    <w:rsid w:val="79614301"/>
    <w:rsid w:val="797739AF"/>
    <w:rsid w:val="79817A0B"/>
    <w:rsid w:val="798845C5"/>
    <w:rsid w:val="79945721"/>
    <w:rsid w:val="79A47B9E"/>
    <w:rsid w:val="79AB338C"/>
    <w:rsid w:val="79AD06FB"/>
    <w:rsid w:val="79BC2544"/>
    <w:rsid w:val="79C84BBC"/>
    <w:rsid w:val="79C86601"/>
    <w:rsid w:val="79CF4946"/>
    <w:rsid w:val="79D35BB6"/>
    <w:rsid w:val="79DB05A5"/>
    <w:rsid w:val="79E0453B"/>
    <w:rsid w:val="79E81468"/>
    <w:rsid w:val="79EC439C"/>
    <w:rsid w:val="7A0A7A8E"/>
    <w:rsid w:val="7A0B79FF"/>
    <w:rsid w:val="7A0C63CB"/>
    <w:rsid w:val="7A1A6607"/>
    <w:rsid w:val="7A2A61BE"/>
    <w:rsid w:val="7A5A1765"/>
    <w:rsid w:val="7A5B2F65"/>
    <w:rsid w:val="7A5B3777"/>
    <w:rsid w:val="7A5F6D0B"/>
    <w:rsid w:val="7A617DEB"/>
    <w:rsid w:val="7A643E8C"/>
    <w:rsid w:val="7A697E46"/>
    <w:rsid w:val="7A6A4943"/>
    <w:rsid w:val="7A8A2E02"/>
    <w:rsid w:val="7A8F7274"/>
    <w:rsid w:val="7AA3205E"/>
    <w:rsid w:val="7AB34E94"/>
    <w:rsid w:val="7AB72278"/>
    <w:rsid w:val="7AB85005"/>
    <w:rsid w:val="7AC20EC8"/>
    <w:rsid w:val="7ACD562B"/>
    <w:rsid w:val="7AD618FC"/>
    <w:rsid w:val="7ADB139D"/>
    <w:rsid w:val="7ADF7901"/>
    <w:rsid w:val="7AE335A2"/>
    <w:rsid w:val="7AE715F0"/>
    <w:rsid w:val="7AE950A4"/>
    <w:rsid w:val="7AE97D27"/>
    <w:rsid w:val="7AF10BC1"/>
    <w:rsid w:val="7AF20B30"/>
    <w:rsid w:val="7B03623F"/>
    <w:rsid w:val="7B0501C8"/>
    <w:rsid w:val="7B137224"/>
    <w:rsid w:val="7B1D5512"/>
    <w:rsid w:val="7B302EAF"/>
    <w:rsid w:val="7B334746"/>
    <w:rsid w:val="7B4231CA"/>
    <w:rsid w:val="7B52781E"/>
    <w:rsid w:val="7B670A14"/>
    <w:rsid w:val="7B6E4BE6"/>
    <w:rsid w:val="7B7F3815"/>
    <w:rsid w:val="7B817BAE"/>
    <w:rsid w:val="7B841CD0"/>
    <w:rsid w:val="7B872B63"/>
    <w:rsid w:val="7B902188"/>
    <w:rsid w:val="7B910C90"/>
    <w:rsid w:val="7B96414A"/>
    <w:rsid w:val="7B9F686F"/>
    <w:rsid w:val="7BA43E85"/>
    <w:rsid w:val="7BB70298"/>
    <w:rsid w:val="7BCC0D9B"/>
    <w:rsid w:val="7BD07123"/>
    <w:rsid w:val="7BD44754"/>
    <w:rsid w:val="7BDA16FC"/>
    <w:rsid w:val="7BF06ABB"/>
    <w:rsid w:val="7BF831EC"/>
    <w:rsid w:val="7BFE3A38"/>
    <w:rsid w:val="7C0861C2"/>
    <w:rsid w:val="7C0C33B7"/>
    <w:rsid w:val="7C1061EB"/>
    <w:rsid w:val="7C203139"/>
    <w:rsid w:val="7C25009E"/>
    <w:rsid w:val="7C55517F"/>
    <w:rsid w:val="7C5817D6"/>
    <w:rsid w:val="7C596EEA"/>
    <w:rsid w:val="7C7A50AB"/>
    <w:rsid w:val="7C8737CE"/>
    <w:rsid w:val="7C8B66E0"/>
    <w:rsid w:val="7C8D42CE"/>
    <w:rsid w:val="7C982923"/>
    <w:rsid w:val="7C9B76D2"/>
    <w:rsid w:val="7CA436E6"/>
    <w:rsid w:val="7CB74DE8"/>
    <w:rsid w:val="7CC114AD"/>
    <w:rsid w:val="7CC31B25"/>
    <w:rsid w:val="7CCA791B"/>
    <w:rsid w:val="7CCA7C9B"/>
    <w:rsid w:val="7CCF282C"/>
    <w:rsid w:val="7CE704CD"/>
    <w:rsid w:val="7CED6AAB"/>
    <w:rsid w:val="7CEE3B6B"/>
    <w:rsid w:val="7CF76237"/>
    <w:rsid w:val="7D057D44"/>
    <w:rsid w:val="7D0A5F6A"/>
    <w:rsid w:val="7D0E27DE"/>
    <w:rsid w:val="7D163400"/>
    <w:rsid w:val="7D1C7A76"/>
    <w:rsid w:val="7D1D76D1"/>
    <w:rsid w:val="7D1E420E"/>
    <w:rsid w:val="7D401740"/>
    <w:rsid w:val="7D404194"/>
    <w:rsid w:val="7D43515D"/>
    <w:rsid w:val="7D4A2BF9"/>
    <w:rsid w:val="7D4B233F"/>
    <w:rsid w:val="7D535BB4"/>
    <w:rsid w:val="7D5A0D4B"/>
    <w:rsid w:val="7D692A50"/>
    <w:rsid w:val="7D7417FC"/>
    <w:rsid w:val="7D785512"/>
    <w:rsid w:val="7D7D3E91"/>
    <w:rsid w:val="7D84520E"/>
    <w:rsid w:val="7D853A44"/>
    <w:rsid w:val="7D87580C"/>
    <w:rsid w:val="7D8A7ED2"/>
    <w:rsid w:val="7D9F129A"/>
    <w:rsid w:val="7DA261A2"/>
    <w:rsid w:val="7DA4016C"/>
    <w:rsid w:val="7DA77204"/>
    <w:rsid w:val="7DBA6CB5"/>
    <w:rsid w:val="7DBD7021"/>
    <w:rsid w:val="7DEC6CDA"/>
    <w:rsid w:val="7DEF74BD"/>
    <w:rsid w:val="7DF062DC"/>
    <w:rsid w:val="7DF162DD"/>
    <w:rsid w:val="7DF26386"/>
    <w:rsid w:val="7E041620"/>
    <w:rsid w:val="7E081D0C"/>
    <w:rsid w:val="7E0D5D12"/>
    <w:rsid w:val="7E190268"/>
    <w:rsid w:val="7E204004"/>
    <w:rsid w:val="7E2D0162"/>
    <w:rsid w:val="7E337161"/>
    <w:rsid w:val="7E485651"/>
    <w:rsid w:val="7E4861E0"/>
    <w:rsid w:val="7E634DA8"/>
    <w:rsid w:val="7E643567"/>
    <w:rsid w:val="7E7F77B4"/>
    <w:rsid w:val="7E832AD8"/>
    <w:rsid w:val="7E8615CA"/>
    <w:rsid w:val="7E916B3D"/>
    <w:rsid w:val="7E9A585D"/>
    <w:rsid w:val="7E9F3E16"/>
    <w:rsid w:val="7EAC7290"/>
    <w:rsid w:val="7EBB5099"/>
    <w:rsid w:val="7EC72796"/>
    <w:rsid w:val="7EC81C39"/>
    <w:rsid w:val="7EEA35A1"/>
    <w:rsid w:val="7EEA7E01"/>
    <w:rsid w:val="7EEC1DCB"/>
    <w:rsid w:val="7F0F63AF"/>
    <w:rsid w:val="7F1A633B"/>
    <w:rsid w:val="7F2B611A"/>
    <w:rsid w:val="7F392227"/>
    <w:rsid w:val="7F4F29D1"/>
    <w:rsid w:val="7F4F45B7"/>
    <w:rsid w:val="7F595BC9"/>
    <w:rsid w:val="7F5C2213"/>
    <w:rsid w:val="7F617C55"/>
    <w:rsid w:val="7F743C80"/>
    <w:rsid w:val="7F7D6EC7"/>
    <w:rsid w:val="7F8248B5"/>
    <w:rsid w:val="7F897F47"/>
    <w:rsid w:val="7F8C18CC"/>
    <w:rsid w:val="7F8F7E3F"/>
    <w:rsid w:val="7F962E5A"/>
    <w:rsid w:val="7F972417"/>
    <w:rsid w:val="7FA55ECD"/>
    <w:rsid w:val="7FA67691"/>
    <w:rsid w:val="7FAC3308"/>
    <w:rsid w:val="7FB34697"/>
    <w:rsid w:val="7FBE3185"/>
    <w:rsid w:val="7FD04735"/>
    <w:rsid w:val="7FFC2F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pageBreakBefore/>
      <w:outlineLvl w:val="0"/>
    </w:pPr>
    <w:rPr>
      <w:kern w:val="0"/>
      <w:sz w:val="32"/>
    </w:rPr>
  </w:style>
  <w:style w:type="paragraph" w:styleId="3">
    <w:name w:val="heading 2"/>
    <w:basedOn w:val="1"/>
    <w:next w:val="4"/>
    <w:link w:val="155"/>
    <w:qFormat/>
    <w:uiPriority w:val="0"/>
    <w:pPr>
      <w:keepNext/>
      <w:keepLines/>
      <w:adjustRightInd w:val="0"/>
      <w:snapToGrid w:val="0"/>
      <w:spacing w:before="100" w:beforeLines="100" w:line="360" w:lineRule="auto"/>
      <w:jc w:val="center"/>
      <w:outlineLvl w:val="1"/>
    </w:pPr>
    <w:rPr>
      <w:rFonts w:ascii="黑体" w:hAnsi="Arial"/>
      <w:b/>
      <w:sz w:val="30"/>
    </w:rPr>
  </w:style>
  <w:style w:type="paragraph" w:styleId="5">
    <w:name w:val="heading 3"/>
    <w:basedOn w:val="1"/>
    <w:next w:val="1"/>
    <w:qFormat/>
    <w:uiPriority w:val="0"/>
    <w:pPr>
      <w:outlineLvl w:val="2"/>
    </w:pPr>
    <w:rPr>
      <w:rFonts w:ascii="黑体"/>
    </w:rPr>
  </w:style>
  <w:style w:type="paragraph" w:styleId="6">
    <w:name w:val="heading 4"/>
    <w:basedOn w:val="1"/>
    <w:next w:val="1"/>
    <w:qFormat/>
    <w:uiPriority w:val="0"/>
    <w:pPr>
      <w:keepNext/>
      <w:keepLines/>
      <w:adjustRightInd w:val="0"/>
      <w:snapToGrid w:val="0"/>
      <w:spacing w:line="360" w:lineRule="auto"/>
      <w:ind w:firstLine="200" w:firstLineChars="200"/>
      <w:jc w:val="left"/>
      <w:outlineLvl w:val="3"/>
    </w:pPr>
    <w:rPr>
      <w:rFonts w:ascii="Arial" w:hAnsi="Arial"/>
      <w:b/>
      <w:sz w:val="24"/>
    </w:rPr>
  </w:style>
  <w:style w:type="paragraph" w:styleId="7">
    <w:name w:val="heading 6"/>
    <w:basedOn w:val="1"/>
    <w:next w:val="1"/>
    <w:unhideWhenUsed/>
    <w:qFormat/>
    <w:uiPriority w:val="9"/>
    <w:pPr>
      <w:keepNext/>
      <w:keepLines/>
      <w:spacing w:before="240" w:after="64" w:line="320" w:lineRule="auto"/>
      <w:outlineLvl w:val="5"/>
    </w:pPr>
    <w:rPr>
      <w:rFonts w:ascii="等线 Light" w:hAnsi="等线 Light" w:eastAsia="等线 Light"/>
      <w:b/>
      <w:bCs/>
      <w:sz w:val="24"/>
      <w:szCs w:val="24"/>
    </w:rPr>
  </w:style>
  <w:style w:type="character" w:default="1" w:styleId="32">
    <w:name w:val="Default Paragraph Font"/>
    <w:semiHidden/>
    <w:unhideWhenUsed/>
    <w:qFormat/>
    <w:uiPriority w:val="1"/>
  </w:style>
  <w:style w:type="table" w:default="1" w:styleId="30">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eastAsia="宋体" w:cs="Times New Roman"/>
      <w:sz w:val="20"/>
      <w:szCs w:val="20"/>
    </w:rPr>
    <w:tblPr>
      <w:tblCellMar>
        <w:top w:w="0" w:type="dxa"/>
        <w:left w:w="108" w:type="dxa"/>
        <w:bottom w:w="0" w:type="dxa"/>
        <w:right w:w="108" w:type="dxa"/>
      </w:tblCellMar>
    </w:tblPr>
  </w:style>
  <w:style w:type="paragraph" w:customStyle="1" w:styleId="4">
    <w:name w:val="文章正文"/>
    <w:basedOn w:val="1"/>
    <w:qFormat/>
    <w:uiPriority w:val="0"/>
    <w:pPr>
      <w:spacing w:beforeLines="5" w:afterLines="5" w:line="500" w:lineRule="exact"/>
      <w:ind w:firstLine="200"/>
    </w:pPr>
    <w:rPr>
      <w:sz w:val="28"/>
    </w:rPr>
  </w:style>
  <w:style w:type="paragraph" w:styleId="8">
    <w:name w:val="Normal Indent"/>
    <w:basedOn w:val="1"/>
    <w:qFormat/>
    <w:uiPriority w:val="99"/>
    <w:pPr>
      <w:adjustRightInd w:val="0"/>
      <w:spacing w:line="360" w:lineRule="atLeast"/>
      <w:ind w:firstLine="420"/>
      <w:jc w:val="left"/>
      <w:textAlignment w:val="baseline"/>
    </w:pPr>
    <w:rPr>
      <w:kern w:val="0"/>
      <w:sz w:val="24"/>
    </w:rPr>
  </w:style>
  <w:style w:type="paragraph" w:styleId="9">
    <w:name w:val="Document Map"/>
    <w:basedOn w:val="1"/>
    <w:semiHidden/>
    <w:qFormat/>
    <w:uiPriority w:val="0"/>
    <w:pPr>
      <w:shd w:val="clear" w:color="auto" w:fill="000080"/>
    </w:pPr>
  </w:style>
  <w:style w:type="paragraph" w:styleId="10">
    <w:name w:val="annotation text"/>
    <w:basedOn w:val="1"/>
    <w:semiHidden/>
    <w:qFormat/>
    <w:uiPriority w:val="0"/>
    <w:pPr>
      <w:jc w:val="left"/>
    </w:pPr>
  </w:style>
  <w:style w:type="paragraph" w:styleId="11">
    <w:name w:val="Body Text 3"/>
    <w:basedOn w:val="1"/>
    <w:qFormat/>
    <w:uiPriority w:val="0"/>
    <w:rPr>
      <w:rFonts w:eastAsia="仿宋_GB2312"/>
      <w:color w:val="FF0000"/>
      <w:sz w:val="28"/>
    </w:rPr>
  </w:style>
  <w:style w:type="paragraph" w:styleId="12">
    <w:name w:val="Body Text"/>
    <w:basedOn w:val="1"/>
    <w:link w:val="168"/>
    <w:qFormat/>
    <w:uiPriority w:val="0"/>
    <w:rPr>
      <w:rFonts w:eastAsia="仿宋_GB2312"/>
      <w:sz w:val="28"/>
    </w:rPr>
  </w:style>
  <w:style w:type="paragraph" w:styleId="13">
    <w:name w:val="Body Text Indent"/>
    <w:basedOn w:val="1"/>
    <w:next w:val="1"/>
    <w:qFormat/>
    <w:uiPriority w:val="0"/>
    <w:pPr>
      <w:ind w:firstLine="538" w:firstLineChars="192"/>
    </w:pPr>
    <w:rPr>
      <w:rFonts w:eastAsia="仿宋_GB2312"/>
      <w:sz w:val="28"/>
    </w:rPr>
  </w:style>
  <w:style w:type="paragraph" w:styleId="14">
    <w:name w:val="toc 3"/>
    <w:basedOn w:val="1"/>
    <w:next w:val="1"/>
    <w:qFormat/>
    <w:uiPriority w:val="0"/>
    <w:pPr>
      <w:ind w:left="840" w:leftChars="400"/>
    </w:pPr>
  </w:style>
  <w:style w:type="paragraph" w:styleId="15">
    <w:name w:val="Plain Text"/>
    <w:basedOn w:val="1"/>
    <w:link w:val="43"/>
    <w:qFormat/>
    <w:uiPriority w:val="99"/>
    <w:rPr>
      <w:rFonts w:ascii="宋体" w:hAnsi="Courier New"/>
    </w:rPr>
  </w:style>
  <w:style w:type="paragraph" w:styleId="16">
    <w:name w:val="Date"/>
    <w:basedOn w:val="1"/>
    <w:next w:val="1"/>
    <w:link w:val="116"/>
    <w:qFormat/>
    <w:uiPriority w:val="0"/>
    <w:pPr>
      <w:ind w:left="100" w:leftChars="2500"/>
    </w:pPr>
  </w:style>
  <w:style w:type="paragraph" w:styleId="17">
    <w:name w:val="Body Text Indent 2"/>
    <w:basedOn w:val="1"/>
    <w:qFormat/>
    <w:uiPriority w:val="0"/>
    <w:pPr>
      <w:spacing w:line="300" w:lineRule="auto"/>
      <w:ind w:firstLine="560" w:firstLineChars="200"/>
    </w:pPr>
    <w:rPr>
      <w:rFonts w:ascii="宋体" w:hAnsi="宋体"/>
      <w:sz w:val="28"/>
    </w:rPr>
  </w:style>
  <w:style w:type="paragraph" w:styleId="18">
    <w:name w:val="Balloon Text"/>
    <w:basedOn w:val="1"/>
    <w:semiHidden/>
    <w:qFormat/>
    <w:uiPriority w:val="0"/>
    <w:rPr>
      <w:sz w:val="18"/>
      <w:szCs w:val="18"/>
    </w:rPr>
  </w:style>
  <w:style w:type="paragraph" w:styleId="19">
    <w:name w:val="footer"/>
    <w:basedOn w:val="1"/>
    <w:link w:val="53"/>
    <w:qFormat/>
    <w:uiPriority w:val="99"/>
    <w:pPr>
      <w:tabs>
        <w:tab w:val="center" w:pos="4153"/>
        <w:tab w:val="right" w:pos="8306"/>
      </w:tabs>
      <w:snapToGrid w:val="0"/>
      <w:jc w:val="left"/>
    </w:pPr>
    <w:rPr>
      <w:sz w:val="18"/>
    </w:rPr>
  </w:style>
  <w:style w:type="paragraph" w:styleId="20">
    <w:name w:val="header"/>
    <w:basedOn w:val="1"/>
    <w:qFormat/>
    <w:uiPriority w:val="0"/>
    <w:pPr>
      <w:pBdr>
        <w:bottom w:val="single" w:color="auto" w:sz="6" w:space="1"/>
      </w:pBdr>
      <w:tabs>
        <w:tab w:val="center" w:pos="4153"/>
        <w:tab w:val="right" w:pos="8306"/>
      </w:tabs>
      <w:snapToGrid w:val="0"/>
      <w:jc w:val="center"/>
    </w:pPr>
    <w:rPr>
      <w:sz w:val="18"/>
    </w:rPr>
  </w:style>
  <w:style w:type="paragraph" w:styleId="21">
    <w:name w:val="toc 1"/>
    <w:basedOn w:val="1"/>
    <w:next w:val="1"/>
    <w:qFormat/>
    <w:uiPriority w:val="39"/>
    <w:pPr>
      <w:spacing w:before="120" w:after="120"/>
      <w:jc w:val="left"/>
    </w:pPr>
    <w:rPr>
      <w:b/>
      <w:caps/>
      <w:sz w:val="20"/>
    </w:rPr>
  </w:style>
  <w:style w:type="paragraph" w:styleId="22">
    <w:name w:val="Body Text Indent 3"/>
    <w:basedOn w:val="1"/>
    <w:qFormat/>
    <w:uiPriority w:val="0"/>
    <w:pPr>
      <w:adjustRightInd w:val="0"/>
      <w:snapToGrid w:val="0"/>
      <w:spacing w:line="360" w:lineRule="auto"/>
      <w:ind w:firstLine="515" w:firstLineChars="192"/>
    </w:pPr>
    <w:rPr>
      <w:rFonts w:ascii="仿宋_GB2312" w:eastAsia="仿宋_GB2312"/>
      <w:spacing w:val="-6"/>
      <w:sz w:val="28"/>
    </w:rPr>
  </w:style>
  <w:style w:type="paragraph" w:styleId="23">
    <w:name w:val="toc 2"/>
    <w:basedOn w:val="1"/>
    <w:next w:val="1"/>
    <w:qFormat/>
    <w:uiPriority w:val="39"/>
    <w:pPr>
      <w:ind w:left="210"/>
      <w:jc w:val="left"/>
    </w:pPr>
    <w:rPr>
      <w:smallCaps/>
      <w:sz w:val="20"/>
    </w:rPr>
  </w:style>
  <w:style w:type="paragraph" w:styleId="24">
    <w:name w:val="Body Text 2"/>
    <w:basedOn w:val="1"/>
    <w:qFormat/>
    <w:uiPriority w:val="0"/>
    <w:pPr>
      <w:adjustRightInd w:val="0"/>
      <w:snapToGrid w:val="0"/>
      <w:jc w:val="center"/>
    </w:pPr>
    <w:rPr>
      <w:rFonts w:eastAsia="仿宋_GB2312"/>
      <w:sz w:val="24"/>
    </w:rPr>
  </w:style>
  <w:style w:type="paragraph" w:styleId="25">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26">
    <w:name w:val="Title"/>
    <w:basedOn w:val="2"/>
    <w:qFormat/>
    <w:uiPriority w:val="0"/>
    <w:rPr>
      <w:sz w:val="30"/>
    </w:rPr>
  </w:style>
  <w:style w:type="paragraph" w:styleId="27">
    <w:name w:val="annotation subject"/>
    <w:basedOn w:val="10"/>
    <w:next w:val="10"/>
    <w:semiHidden/>
    <w:qFormat/>
    <w:uiPriority w:val="0"/>
    <w:rPr>
      <w:b/>
      <w:bCs/>
    </w:rPr>
  </w:style>
  <w:style w:type="paragraph" w:styleId="28">
    <w:name w:val="Body Text First Indent"/>
    <w:basedOn w:val="12"/>
    <w:qFormat/>
    <w:uiPriority w:val="0"/>
    <w:pPr>
      <w:spacing w:after="120"/>
      <w:ind w:firstLine="420" w:firstLineChars="100"/>
    </w:pPr>
    <w:rPr>
      <w:rFonts w:eastAsia="宋体"/>
      <w:sz w:val="30"/>
      <w:szCs w:val="30"/>
    </w:rPr>
  </w:style>
  <w:style w:type="paragraph" w:styleId="29">
    <w:name w:val="Body Text First Indent 2"/>
    <w:basedOn w:val="13"/>
    <w:next w:val="1"/>
    <w:qFormat/>
    <w:uiPriority w:val="0"/>
    <w:pPr>
      <w:spacing w:after="120"/>
      <w:ind w:left="420" w:leftChars="200" w:firstLine="420"/>
    </w:p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basedOn w:val="32"/>
    <w:qFormat/>
    <w:uiPriority w:val="0"/>
    <w:rPr>
      <w:b/>
      <w:bCs/>
    </w:rPr>
  </w:style>
  <w:style w:type="character" w:styleId="34">
    <w:name w:val="page number"/>
    <w:basedOn w:val="32"/>
    <w:qFormat/>
    <w:uiPriority w:val="0"/>
  </w:style>
  <w:style w:type="character" w:styleId="35">
    <w:name w:val="FollowedHyperlink"/>
    <w:qFormat/>
    <w:uiPriority w:val="99"/>
    <w:rPr>
      <w:color w:val="800080"/>
      <w:u w:val="single"/>
    </w:rPr>
  </w:style>
  <w:style w:type="character" w:styleId="36">
    <w:name w:val="Hyperlink"/>
    <w:qFormat/>
    <w:uiPriority w:val="99"/>
    <w:rPr>
      <w:color w:val="0000FF"/>
      <w:u w:val="single"/>
    </w:rPr>
  </w:style>
  <w:style w:type="character" w:styleId="37">
    <w:name w:val="annotation reference"/>
    <w:semiHidden/>
    <w:qFormat/>
    <w:uiPriority w:val="0"/>
    <w:rPr>
      <w:sz w:val="21"/>
      <w:szCs w:val="21"/>
    </w:rPr>
  </w:style>
  <w:style w:type="paragraph" w:customStyle="1" w:styleId="38">
    <w:name w:val="Default"/>
    <w:basedOn w:val="39"/>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
    <w:name w:val="纯文本1"/>
    <w:basedOn w:val="1"/>
    <w:qFormat/>
    <w:uiPriority w:val="0"/>
    <w:pPr>
      <w:widowControl w:val="0"/>
      <w:spacing w:after="0" w:line="360" w:lineRule="auto"/>
      <w:ind w:firstLine="200" w:firstLineChars="200"/>
      <w:jc w:val="both"/>
    </w:pPr>
    <w:rPr>
      <w:rFonts w:ascii="宋体" w:hAnsi="Courier New"/>
      <w:sz w:val="20"/>
      <w:szCs w:val="21"/>
    </w:rPr>
  </w:style>
  <w:style w:type="paragraph" w:customStyle="1" w:styleId="40">
    <w:name w:val="我的正文"/>
    <w:basedOn w:val="1"/>
    <w:next w:val="1"/>
    <w:qFormat/>
    <w:uiPriority w:val="0"/>
    <w:pPr>
      <w:ind w:firstLine="480"/>
    </w:pPr>
    <w:rPr>
      <w:rFonts w:cs="宋体"/>
    </w:rPr>
  </w:style>
  <w:style w:type="character" w:customStyle="1" w:styleId="41">
    <w:name w:val="表头 Char"/>
    <w:link w:val="42"/>
    <w:qFormat/>
    <w:uiPriority w:val="0"/>
    <w:rPr>
      <w:rFonts w:eastAsia="黑体"/>
      <w:sz w:val="24"/>
    </w:rPr>
  </w:style>
  <w:style w:type="paragraph" w:customStyle="1" w:styleId="42">
    <w:name w:val="表头"/>
    <w:basedOn w:val="1"/>
    <w:link w:val="41"/>
    <w:qFormat/>
    <w:uiPriority w:val="0"/>
    <w:pPr>
      <w:spacing w:line="360" w:lineRule="auto"/>
      <w:jc w:val="center"/>
      <w:textAlignment w:val="center"/>
    </w:pPr>
    <w:rPr>
      <w:rFonts w:eastAsia="黑体"/>
      <w:kern w:val="0"/>
      <w:sz w:val="24"/>
    </w:rPr>
  </w:style>
  <w:style w:type="character" w:customStyle="1" w:styleId="43">
    <w:name w:val="纯文本 字符"/>
    <w:link w:val="15"/>
    <w:qFormat/>
    <w:uiPriority w:val="0"/>
    <w:rPr>
      <w:rFonts w:ascii="宋体" w:hAnsi="Courier New" w:eastAsia="宋体"/>
      <w:kern w:val="2"/>
      <w:sz w:val="21"/>
      <w:lang w:val="en-US" w:eastAsia="zh-CN"/>
    </w:rPr>
  </w:style>
  <w:style w:type="paragraph" w:customStyle="1" w:styleId="44">
    <w:name w:val="Char2"/>
    <w:basedOn w:val="9"/>
    <w:qFormat/>
    <w:uiPriority w:val="0"/>
    <w:pPr>
      <w:adjustRightInd w:val="0"/>
      <w:spacing w:line="436" w:lineRule="exact"/>
      <w:ind w:left="357"/>
      <w:jc w:val="left"/>
      <w:outlineLvl w:val="3"/>
    </w:pPr>
    <w:rPr>
      <w:rFonts w:ascii="Tahoma" w:hAnsi="Tahoma"/>
      <w:b/>
      <w:sz w:val="24"/>
      <w:szCs w:val="24"/>
    </w:rPr>
  </w:style>
  <w:style w:type="paragraph" w:customStyle="1" w:styleId="45">
    <w:name w:val="正文文字缩进2"/>
    <w:basedOn w:val="17"/>
    <w:qFormat/>
    <w:uiPriority w:val="0"/>
    <w:pPr>
      <w:spacing w:line="240" w:lineRule="auto"/>
    </w:pPr>
    <w:rPr>
      <w:rFonts w:ascii="仿宋_GB2312" w:hAnsi="Times New Roman" w:eastAsia="仿宋_GB2312"/>
      <w:szCs w:val="24"/>
    </w:rPr>
  </w:style>
  <w:style w:type="paragraph" w:customStyle="1" w:styleId="46">
    <w:name w:val="样式3"/>
    <w:basedOn w:val="1"/>
    <w:qFormat/>
    <w:uiPriority w:val="0"/>
    <w:pPr>
      <w:spacing w:line="760" w:lineRule="exact"/>
      <w:ind w:firstLine="200" w:firstLineChars="200"/>
      <w:jc w:val="left"/>
    </w:pPr>
    <w:rPr>
      <w:sz w:val="28"/>
      <w:szCs w:val="24"/>
    </w:rPr>
  </w:style>
  <w:style w:type="paragraph" w:customStyle="1" w:styleId="47">
    <w:name w:val="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48">
    <w:name w:val="xl44"/>
    <w:basedOn w:val="1"/>
    <w:qFormat/>
    <w:uiPriority w:val="0"/>
    <w:pPr>
      <w:widowControl/>
      <w:spacing w:before="100" w:beforeAutospacing="1" w:after="100" w:afterAutospacing="1"/>
      <w:jc w:val="center"/>
      <w:textAlignment w:val="center"/>
    </w:pPr>
    <w:rPr>
      <w:kern w:val="0"/>
      <w:sz w:val="24"/>
      <w:szCs w:val="24"/>
    </w:rPr>
  </w:style>
  <w:style w:type="paragraph" w:customStyle="1" w:styleId="49">
    <w:name w:val="Char Char Char1 Char Char Char Char Char Char Char"/>
    <w:basedOn w:val="1"/>
    <w:qFormat/>
    <w:uiPriority w:val="0"/>
    <w:pPr>
      <w:snapToGrid w:val="0"/>
      <w:spacing w:line="360" w:lineRule="auto"/>
      <w:ind w:firstLine="200" w:firstLineChars="200"/>
    </w:pPr>
    <w:rPr>
      <w:rFonts w:eastAsia="仿宋_GB2312"/>
      <w:sz w:val="24"/>
      <w:szCs w:val="24"/>
    </w:rPr>
  </w:style>
  <w:style w:type="paragraph" w:customStyle="1" w:styleId="50">
    <w:name w:val="Char21"/>
    <w:basedOn w:val="9"/>
    <w:qFormat/>
    <w:uiPriority w:val="0"/>
    <w:pPr>
      <w:adjustRightInd w:val="0"/>
      <w:spacing w:line="436" w:lineRule="exact"/>
      <w:ind w:left="357"/>
      <w:jc w:val="left"/>
      <w:outlineLvl w:val="3"/>
    </w:pPr>
    <w:rPr>
      <w:rFonts w:ascii="Tahoma" w:hAnsi="Tahoma"/>
      <w:b/>
      <w:sz w:val="24"/>
      <w:szCs w:val="24"/>
    </w:rPr>
  </w:style>
  <w:style w:type="paragraph" w:customStyle="1" w:styleId="51">
    <w:name w:val="Char4"/>
    <w:basedOn w:val="1"/>
    <w:qFormat/>
    <w:uiPriority w:val="0"/>
    <w:pPr>
      <w:spacing w:line="360" w:lineRule="auto"/>
      <w:ind w:firstLine="200" w:firstLineChars="200"/>
    </w:pPr>
    <w:rPr>
      <w:rFonts w:ascii="宋体" w:hAnsi="宋体" w:cs="宋体"/>
      <w:sz w:val="24"/>
      <w:szCs w:val="24"/>
    </w:rPr>
  </w:style>
  <w:style w:type="paragraph" w:customStyle="1" w:styleId="52">
    <w:name w:val="Char"/>
    <w:basedOn w:val="1"/>
    <w:qFormat/>
    <w:uiPriority w:val="0"/>
    <w:rPr>
      <w:szCs w:val="24"/>
    </w:rPr>
  </w:style>
  <w:style w:type="character" w:customStyle="1" w:styleId="53">
    <w:name w:val="页脚 字符"/>
    <w:link w:val="19"/>
    <w:qFormat/>
    <w:uiPriority w:val="99"/>
    <w:rPr>
      <w:kern w:val="2"/>
      <w:sz w:val="18"/>
    </w:rPr>
  </w:style>
  <w:style w:type="paragraph" w:customStyle="1" w:styleId="54">
    <w:name w:val="Char Char Char1 Char Char Char Char Char Char Char1"/>
    <w:basedOn w:val="1"/>
    <w:qFormat/>
    <w:uiPriority w:val="0"/>
    <w:pPr>
      <w:snapToGrid w:val="0"/>
      <w:spacing w:line="360" w:lineRule="auto"/>
      <w:ind w:firstLine="200" w:firstLineChars="200"/>
    </w:pPr>
    <w:rPr>
      <w:rFonts w:eastAsia="仿宋_GB2312"/>
      <w:sz w:val="24"/>
      <w:szCs w:val="24"/>
    </w:rPr>
  </w:style>
  <w:style w:type="paragraph" w:customStyle="1" w:styleId="55">
    <w:name w:val="Char1"/>
    <w:basedOn w:val="1"/>
    <w:qFormat/>
    <w:uiPriority w:val="0"/>
    <w:rPr>
      <w:rFonts w:ascii="仿宋_GB2312" w:eastAsia="仿宋_GB2312"/>
      <w:b/>
      <w:sz w:val="32"/>
      <w:szCs w:val="32"/>
    </w:rPr>
  </w:style>
  <w:style w:type="paragraph" w:customStyle="1" w:styleId="56">
    <w:name w:val="xl41"/>
    <w:basedOn w:val="1"/>
    <w:qFormat/>
    <w:uiPriority w:val="0"/>
    <w:pPr>
      <w:widowControl/>
      <w:pBdr>
        <w:bottom w:val="single" w:color="auto" w:sz="4" w:space="0"/>
      </w:pBdr>
      <w:spacing w:before="100" w:beforeAutospacing="1" w:after="100" w:afterAutospacing="1"/>
      <w:jc w:val="center"/>
    </w:pPr>
    <w:rPr>
      <w:kern w:val="0"/>
    </w:rPr>
  </w:style>
  <w:style w:type="paragraph" w:customStyle="1" w:styleId="57">
    <w:name w:val="默认段落字体 Para Char"/>
    <w:basedOn w:val="1"/>
    <w:next w:val="1"/>
    <w:qFormat/>
    <w:uiPriority w:val="0"/>
    <w:pPr>
      <w:spacing w:line="360" w:lineRule="auto"/>
      <w:ind w:firstLine="200" w:firstLineChars="200"/>
    </w:pPr>
  </w:style>
  <w:style w:type="character" w:customStyle="1" w:styleId="58">
    <w:name w:val="页码1"/>
    <w:qFormat/>
    <w:uiPriority w:val="0"/>
  </w:style>
  <w:style w:type="character" w:customStyle="1" w:styleId="59">
    <w:name w:val="页眉 Char"/>
    <w:link w:val="60"/>
    <w:qFormat/>
    <w:uiPriority w:val="0"/>
    <w:rPr>
      <w:kern w:val="2"/>
      <w:sz w:val="18"/>
    </w:rPr>
  </w:style>
  <w:style w:type="paragraph" w:customStyle="1" w:styleId="60">
    <w:name w:val="页眉1"/>
    <w:basedOn w:val="1"/>
    <w:link w:val="59"/>
    <w:qFormat/>
    <w:uiPriority w:val="0"/>
    <w:pPr>
      <w:tabs>
        <w:tab w:val="center" w:pos="4153"/>
        <w:tab w:val="right" w:pos="8306"/>
      </w:tabs>
      <w:snapToGrid w:val="0"/>
      <w:spacing w:line="360" w:lineRule="auto"/>
      <w:ind w:firstLine="200" w:firstLineChars="200"/>
      <w:jc w:val="center"/>
    </w:pPr>
    <w:rPr>
      <w:sz w:val="18"/>
    </w:rPr>
  </w:style>
  <w:style w:type="paragraph" w:customStyle="1" w:styleId="61">
    <w:name w:val="页脚1"/>
    <w:basedOn w:val="1"/>
    <w:qFormat/>
    <w:uiPriority w:val="0"/>
    <w:pPr>
      <w:tabs>
        <w:tab w:val="center" w:pos="4153"/>
        <w:tab w:val="right" w:pos="8306"/>
      </w:tabs>
      <w:snapToGrid w:val="0"/>
      <w:spacing w:line="360" w:lineRule="auto"/>
      <w:ind w:firstLine="200" w:firstLineChars="200"/>
      <w:jc w:val="left"/>
    </w:pPr>
    <w:rPr>
      <w:rFonts w:eastAsia="华文中宋"/>
      <w:sz w:val="18"/>
    </w:rPr>
  </w:style>
  <w:style w:type="character" w:customStyle="1" w:styleId="62">
    <w:name w:val="fontstyle11"/>
    <w:qFormat/>
    <w:uiPriority w:val="0"/>
    <w:rPr>
      <w:rFonts w:hint="eastAsia" w:ascii="宋体" w:hAnsi="宋体" w:eastAsia="宋体" w:cs="宋体"/>
      <w:color w:val="000000"/>
      <w:sz w:val="24"/>
      <w:szCs w:val="24"/>
    </w:rPr>
  </w:style>
  <w:style w:type="character" w:customStyle="1" w:styleId="63">
    <w:name w:val="fontstyle01"/>
    <w:qFormat/>
    <w:uiPriority w:val="0"/>
    <w:rPr>
      <w:rFonts w:hint="default" w:ascii="TimesNewRomanPSMT" w:hAnsi="TimesNewRomanPSMT" w:cs="宋体"/>
      <w:color w:val="000000"/>
      <w:sz w:val="24"/>
      <w:szCs w:val="24"/>
    </w:rPr>
  </w:style>
  <w:style w:type="paragraph" w:customStyle="1" w:styleId="64">
    <w:name w:val="_正文格式"/>
    <w:basedOn w:val="1"/>
    <w:link w:val="65"/>
    <w:qFormat/>
    <w:uiPriority w:val="0"/>
    <w:pPr>
      <w:spacing w:line="560" w:lineRule="exact"/>
      <w:ind w:firstLine="200" w:firstLineChars="200"/>
    </w:pPr>
    <w:rPr>
      <w:rFonts w:eastAsia="仿宋_GB2312"/>
      <w:sz w:val="28"/>
      <w:lang w:val="zh-CN"/>
    </w:rPr>
  </w:style>
  <w:style w:type="character" w:customStyle="1" w:styleId="65">
    <w:name w:val="_正文格式 Char1"/>
    <w:link w:val="64"/>
    <w:qFormat/>
    <w:uiPriority w:val="0"/>
    <w:rPr>
      <w:rFonts w:eastAsia="仿宋_GB2312"/>
      <w:kern w:val="2"/>
      <w:sz w:val="28"/>
      <w:lang w:val="zh-CN" w:eastAsia="zh-CN"/>
    </w:rPr>
  </w:style>
  <w:style w:type="paragraph" w:customStyle="1" w:styleId="66">
    <w:name w:val="图名表名"/>
    <w:basedOn w:val="64"/>
    <w:link w:val="67"/>
    <w:qFormat/>
    <w:uiPriority w:val="0"/>
    <w:pPr>
      <w:jc w:val="center"/>
    </w:pPr>
    <w:rPr>
      <w:rFonts w:ascii="宋体" w:hAnsi="宋体" w:cs="仿宋"/>
    </w:rPr>
  </w:style>
  <w:style w:type="character" w:customStyle="1" w:styleId="67">
    <w:name w:val="图名表名 Char"/>
    <w:basedOn w:val="32"/>
    <w:link w:val="66"/>
    <w:qFormat/>
    <w:uiPriority w:val="0"/>
    <w:rPr>
      <w:rFonts w:ascii="宋体" w:hAnsi="宋体" w:cs="仿宋"/>
      <w:kern w:val="2"/>
      <w:sz w:val="21"/>
    </w:rPr>
  </w:style>
  <w:style w:type="character" w:customStyle="1" w:styleId="68">
    <w:name w:val="报告正文 Char Char"/>
    <w:link w:val="69"/>
    <w:qFormat/>
    <w:uiPriority w:val="0"/>
    <w:rPr>
      <w:rFonts w:ascii="宋体" w:hAnsi="宋体"/>
      <w:color w:val="000000"/>
      <w:kern w:val="2"/>
      <w:sz w:val="24"/>
      <w:szCs w:val="28"/>
    </w:rPr>
  </w:style>
  <w:style w:type="paragraph" w:customStyle="1" w:styleId="69">
    <w:name w:val="报告正文"/>
    <w:basedOn w:val="24"/>
    <w:next w:val="12"/>
    <w:link w:val="68"/>
    <w:qFormat/>
    <w:uiPriority w:val="0"/>
    <w:pPr>
      <w:spacing w:line="360" w:lineRule="auto"/>
      <w:ind w:firstLine="482" w:firstLineChars="200"/>
      <w:jc w:val="both"/>
    </w:pPr>
    <w:rPr>
      <w:rFonts w:ascii="宋体" w:hAnsi="宋体" w:eastAsia="宋体"/>
      <w:color w:val="000000"/>
      <w:szCs w:val="28"/>
    </w:rPr>
  </w:style>
  <w:style w:type="paragraph" w:customStyle="1" w:styleId="70">
    <w:name w:val="font5"/>
    <w:basedOn w:val="1"/>
    <w:qFormat/>
    <w:uiPriority w:val="0"/>
    <w:pPr>
      <w:widowControl/>
      <w:spacing w:before="100" w:beforeAutospacing="1" w:after="100" w:afterAutospacing="1"/>
      <w:jc w:val="left"/>
    </w:pPr>
    <w:rPr>
      <w:color w:val="000000"/>
      <w:kern w:val="0"/>
      <w:sz w:val="20"/>
    </w:rPr>
  </w:style>
  <w:style w:type="paragraph" w:customStyle="1" w:styleId="71">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72">
    <w:name w:val="font7"/>
    <w:basedOn w:val="1"/>
    <w:qFormat/>
    <w:uiPriority w:val="0"/>
    <w:pPr>
      <w:widowControl/>
      <w:spacing w:before="100" w:beforeAutospacing="1" w:after="100" w:afterAutospacing="1"/>
      <w:jc w:val="left"/>
    </w:pPr>
    <w:rPr>
      <w:rFonts w:ascii="宋体" w:hAnsi="宋体" w:cs="宋体"/>
      <w:b/>
      <w:bCs/>
      <w:color w:val="000000"/>
      <w:kern w:val="0"/>
      <w:sz w:val="22"/>
      <w:szCs w:val="22"/>
    </w:rPr>
  </w:style>
  <w:style w:type="paragraph" w:customStyle="1" w:styleId="73">
    <w:name w:val="font8"/>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4">
    <w:name w:val="font9"/>
    <w:basedOn w:val="1"/>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75">
    <w:name w:val="font10"/>
    <w:basedOn w:val="1"/>
    <w:qFormat/>
    <w:uiPriority w:val="0"/>
    <w:pPr>
      <w:widowControl/>
      <w:spacing w:before="100" w:beforeAutospacing="1" w:after="100" w:afterAutospacing="1"/>
      <w:jc w:val="left"/>
    </w:pPr>
    <w:rPr>
      <w:color w:val="000000"/>
      <w:kern w:val="0"/>
      <w:sz w:val="20"/>
    </w:rPr>
  </w:style>
  <w:style w:type="paragraph" w:customStyle="1" w:styleId="76">
    <w:name w:val="font11"/>
    <w:basedOn w:val="1"/>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77">
    <w:name w:val="font12"/>
    <w:basedOn w:val="1"/>
    <w:qFormat/>
    <w:uiPriority w:val="0"/>
    <w:pPr>
      <w:widowControl/>
      <w:spacing w:before="100" w:beforeAutospacing="1" w:after="100" w:afterAutospacing="1"/>
      <w:jc w:val="left"/>
    </w:pPr>
    <w:rPr>
      <w:kern w:val="0"/>
      <w:sz w:val="20"/>
    </w:rPr>
  </w:style>
  <w:style w:type="paragraph" w:customStyle="1" w:styleId="78">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79">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80">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81">
    <w:name w:val="xl66"/>
    <w:basedOn w:val="1"/>
    <w:qFormat/>
    <w:uiPriority w:val="0"/>
    <w:pPr>
      <w:widowControl/>
      <w:spacing w:before="100" w:beforeAutospacing="1" w:after="100" w:afterAutospacing="1"/>
      <w:jc w:val="center"/>
      <w:textAlignment w:val="center"/>
    </w:pPr>
    <w:rPr>
      <w:kern w:val="0"/>
      <w:sz w:val="20"/>
    </w:rPr>
  </w:style>
  <w:style w:type="paragraph" w:customStyle="1" w:styleId="82">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83">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84">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85">
    <w:name w:val="xl70"/>
    <w:basedOn w:val="1"/>
    <w:qFormat/>
    <w:uiPriority w:val="0"/>
    <w:pPr>
      <w:widowControl/>
      <w:spacing w:before="100" w:beforeAutospacing="1" w:after="100" w:afterAutospacing="1"/>
      <w:jc w:val="center"/>
      <w:textAlignment w:val="center"/>
    </w:pPr>
    <w:rPr>
      <w:kern w:val="0"/>
      <w:sz w:val="20"/>
    </w:rPr>
  </w:style>
  <w:style w:type="paragraph" w:customStyle="1" w:styleId="86">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8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88">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89">
    <w:name w:val="xl7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90">
    <w:name w:val="xl75"/>
    <w:basedOn w:val="1"/>
    <w:qFormat/>
    <w:uiPriority w:val="0"/>
    <w:pPr>
      <w:widowControl/>
      <w:pBdr>
        <w:left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91">
    <w:name w:val="xl7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92">
    <w:name w:val="font13"/>
    <w:basedOn w:val="1"/>
    <w:qFormat/>
    <w:uiPriority w:val="0"/>
    <w:pPr>
      <w:widowControl/>
      <w:spacing w:before="100" w:beforeAutospacing="1" w:after="100" w:afterAutospacing="1"/>
      <w:jc w:val="left"/>
    </w:pPr>
    <w:rPr>
      <w:kern w:val="0"/>
      <w:sz w:val="20"/>
    </w:rPr>
  </w:style>
  <w:style w:type="paragraph" w:customStyle="1" w:styleId="93">
    <w:name w:val="font14"/>
    <w:basedOn w:val="1"/>
    <w:qFormat/>
    <w:uiPriority w:val="0"/>
    <w:pPr>
      <w:widowControl/>
      <w:spacing w:before="100" w:beforeAutospacing="1" w:after="100" w:afterAutospacing="1"/>
      <w:jc w:val="left"/>
    </w:pPr>
    <w:rPr>
      <w:rFonts w:ascii="宋体" w:hAnsi="宋体" w:cs="宋体"/>
      <w:kern w:val="0"/>
      <w:sz w:val="20"/>
    </w:rPr>
  </w:style>
  <w:style w:type="paragraph" w:customStyle="1" w:styleId="94">
    <w:name w:val="font15"/>
    <w:basedOn w:val="1"/>
    <w:qFormat/>
    <w:uiPriority w:val="0"/>
    <w:pPr>
      <w:widowControl/>
      <w:spacing w:before="100" w:beforeAutospacing="1" w:after="100" w:afterAutospacing="1"/>
      <w:jc w:val="left"/>
    </w:pPr>
    <w:rPr>
      <w:color w:val="000000"/>
      <w:kern w:val="0"/>
      <w:sz w:val="20"/>
    </w:rPr>
  </w:style>
  <w:style w:type="paragraph" w:customStyle="1" w:styleId="95">
    <w:name w:val="font16"/>
    <w:basedOn w:val="1"/>
    <w:qFormat/>
    <w:uiPriority w:val="0"/>
    <w:pPr>
      <w:widowControl/>
      <w:spacing w:before="100" w:beforeAutospacing="1" w:after="100" w:afterAutospacing="1"/>
      <w:jc w:val="left"/>
    </w:pPr>
    <w:rPr>
      <w:rFonts w:ascii="宋体" w:hAnsi="宋体" w:cs="宋体"/>
      <w:color w:val="000000"/>
      <w:kern w:val="0"/>
      <w:sz w:val="20"/>
    </w:rPr>
  </w:style>
  <w:style w:type="paragraph" w:styleId="96">
    <w:name w:val="List Paragraph"/>
    <w:basedOn w:val="1"/>
    <w:qFormat/>
    <w:uiPriority w:val="0"/>
    <w:pPr>
      <w:adjustRightInd w:val="0"/>
      <w:snapToGrid w:val="0"/>
      <w:spacing w:line="360" w:lineRule="auto"/>
      <w:ind w:firstLine="200" w:firstLineChars="200"/>
    </w:pPr>
    <w:rPr>
      <w:rFonts w:ascii="华文中宋" w:hAnsi="华文中宋" w:cs="华文中宋"/>
      <w:sz w:val="24"/>
    </w:rPr>
  </w:style>
  <w:style w:type="character" w:customStyle="1" w:styleId="97">
    <w:name w:val="answerref"/>
    <w:basedOn w:val="32"/>
    <w:qFormat/>
    <w:uiPriority w:val="0"/>
  </w:style>
  <w:style w:type="paragraph" w:customStyle="1" w:styleId="98">
    <w:name w:val="p0"/>
    <w:basedOn w:val="1"/>
    <w:qFormat/>
    <w:uiPriority w:val="0"/>
    <w:pPr>
      <w:widowControl/>
      <w:spacing w:line="408" w:lineRule="auto"/>
      <w:ind w:left="1"/>
      <w:textAlignment w:val="bottom"/>
    </w:pPr>
    <w:rPr>
      <w:color w:val="000000"/>
      <w:kern w:val="0"/>
      <w:sz w:val="30"/>
      <w:szCs w:val="30"/>
    </w:rPr>
  </w:style>
  <w:style w:type="character" w:customStyle="1" w:styleId="99">
    <w:name w:val="纯文本 字符1"/>
    <w:qFormat/>
    <w:uiPriority w:val="0"/>
    <w:rPr>
      <w:rFonts w:ascii="宋体" w:hAnsi="Courier New" w:eastAsia="宋体"/>
      <w:szCs w:val="21"/>
    </w:rPr>
  </w:style>
  <w:style w:type="paragraph" w:customStyle="1" w:styleId="100">
    <w:name w:val="xl77"/>
    <w:basedOn w:val="1"/>
    <w:qFormat/>
    <w:uiPriority w:val="0"/>
    <w:pPr>
      <w:widowControl/>
      <w:shd w:val="clear" w:color="000000" w:fill="FFFF00"/>
      <w:spacing w:before="100" w:beforeAutospacing="1" w:after="100" w:afterAutospacing="1"/>
      <w:jc w:val="center"/>
      <w:textAlignment w:val="center"/>
    </w:pPr>
    <w:rPr>
      <w:rFonts w:ascii="宋体" w:hAnsi="宋体" w:cs="宋体"/>
      <w:kern w:val="0"/>
      <w:sz w:val="20"/>
    </w:rPr>
  </w:style>
  <w:style w:type="paragraph" w:customStyle="1" w:styleId="101">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color w:val="FF0000"/>
      <w:kern w:val="0"/>
      <w:sz w:val="20"/>
    </w:rPr>
  </w:style>
  <w:style w:type="paragraph" w:customStyle="1" w:styleId="102">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color w:val="FF0000"/>
      <w:kern w:val="0"/>
      <w:sz w:val="20"/>
    </w:rPr>
  </w:style>
  <w:style w:type="paragraph" w:customStyle="1" w:styleId="103">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color w:val="FF0000"/>
      <w:kern w:val="0"/>
      <w:sz w:val="20"/>
    </w:rPr>
  </w:style>
  <w:style w:type="paragraph" w:customStyle="1" w:styleId="104">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color w:val="FF0000"/>
      <w:kern w:val="0"/>
      <w:sz w:val="20"/>
      <w:u w:val="single"/>
    </w:rPr>
  </w:style>
  <w:style w:type="paragraph" w:customStyle="1" w:styleId="105">
    <w:name w:val="xl82"/>
    <w:basedOn w:val="1"/>
    <w:qFormat/>
    <w:uiPriority w:val="0"/>
    <w:pPr>
      <w:widowControl/>
      <w:shd w:val="clear" w:color="000000" w:fill="FFFF00"/>
      <w:spacing w:before="100" w:beforeAutospacing="1" w:after="100" w:afterAutospacing="1"/>
      <w:jc w:val="center"/>
      <w:textAlignment w:val="center"/>
    </w:pPr>
    <w:rPr>
      <w:rFonts w:ascii="宋体" w:hAnsi="宋体" w:cs="宋体"/>
      <w:color w:val="FF0000"/>
      <w:kern w:val="0"/>
      <w:sz w:val="20"/>
    </w:rPr>
  </w:style>
  <w:style w:type="paragraph" w:customStyle="1" w:styleId="106">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107">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108">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109">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FF0000"/>
      <w:kern w:val="0"/>
      <w:sz w:val="20"/>
    </w:rPr>
  </w:style>
  <w:style w:type="paragraph" w:customStyle="1" w:styleId="110">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111">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rPr>
  </w:style>
  <w:style w:type="paragraph" w:customStyle="1" w:styleId="112">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u w:val="single"/>
    </w:rPr>
  </w:style>
  <w:style w:type="paragraph" w:customStyle="1" w:styleId="113">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FF0000"/>
      <w:kern w:val="0"/>
      <w:sz w:val="20"/>
    </w:rPr>
  </w:style>
  <w:style w:type="paragraph" w:customStyle="1" w:styleId="114">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u w:val="single"/>
    </w:rPr>
  </w:style>
  <w:style w:type="character" w:customStyle="1" w:styleId="115">
    <w:name w:val="页脚 Char1"/>
    <w:qFormat/>
    <w:uiPriority w:val="0"/>
    <w:rPr>
      <w:rFonts w:eastAsia="宋体"/>
      <w:kern w:val="2"/>
      <w:sz w:val="18"/>
      <w:szCs w:val="18"/>
      <w:lang w:val="en-US" w:eastAsia="zh-CN" w:bidi="ar-SA"/>
    </w:rPr>
  </w:style>
  <w:style w:type="character" w:customStyle="1" w:styleId="116">
    <w:name w:val="日期 字符"/>
    <w:link w:val="16"/>
    <w:qFormat/>
    <w:uiPriority w:val="0"/>
    <w:rPr>
      <w:kern w:val="2"/>
      <w:sz w:val="21"/>
    </w:rPr>
  </w:style>
  <w:style w:type="character" w:customStyle="1" w:styleId="117">
    <w:name w:val="普通文字 Char Char2"/>
    <w:qFormat/>
    <w:uiPriority w:val="0"/>
    <w:rPr>
      <w:rFonts w:ascii="宋体" w:hAnsi="Courier New" w:eastAsia="宋体"/>
      <w:kern w:val="2"/>
      <w:sz w:val="21"/>
      <w:lang w:val="en-US" w:eastAsia="zh-CN"/>
    </w:rPr>
  </w:style>
  <w:style w:type="paragraph" w:customStyle="1" w:styleId="118">
    <w:name w:val="Table Paragraph"/>
    <w:basedOn w:val="1"/>
    <w:qFormat/>
    <w:uiPriority w:val="1"/>
    <w:pPr>
      <w:autoSpaceDE w:val="0"/>
      <w:autoSpaceDN w:val="0"/>
      <w:jc w:val="center"/>
    </w:pPr>
    <w:rPr>
      <w:rFonts w:ascii="宋体" w:hAnsi="宋体" w:cs="宋体"/>
      <w:kern w:val="0"/>
      <w:sz w:val="22"/>
      <w:szCs w:val="22"/>
      <w:lang w:val="zh-CN" w:bidi="zh-CN"/>
    </w:rPr>
  </w:style>
  <w:style w:type="character" w:customStyle="1" w:styleId="119">
    <w:name w:val="正文11111111111111111111 Char Char"/>
    <w:link w:val="120"/>
    <w:qFormat/>
    <w:uiPriority w:val="0"/>
    <w:rPr>
      <w:rFonts w:ascii="宋体" w:hAnsi="宋体"/>
      <w:sz w:val="24"/>
      <w:szCs w:val="24"/>
    </w:rPr>
  </w:style>
  <w:style w:type="paragraph" w:customStyle="1" w:styleId="120">
    <w:name w:val="正文11111111111111111111"/>
    <w:basedOn w:val="1"/>
    <w:link w:val="119"/>
    <w:qFormat/>
    <w:uiPriority w:val="0"/>
    <w:pPr>
      <w:spacing w:line="360" w:lineRule="auto"/>
      <w:ind w:firstLine="480" w:firstLineChars="200"/>
    </w:pPr>
    <w:rPr>
      <w:rFonts w:ascii="宋体" w:hAnsi="宋体"/>
      <w:kern w:val="0"/>
      <w:sz w:val="24"/>
      <w:szCs w:val="24"/>
    </w:rPr>
  </w:style>
  <w:style w:type="paragraph" w:customStyle="1" w:styleId="121">
    <w:name w:val="列出段落1"/>
    <w:basedOn w:val="1"/>
    <w:qFormat/>
    <w:uiPriority w:val="0"/>
    <w:pPr>
      <w:ind w:firstLine="420" w:firstLineChars="200"/>
    </w:pPr>
    <w:rPr>
      <w:szCs w:val="22"/>
    </w:rPr>
  </w:style>
  <w:style w:type="paragraph" w:customStyle="1" w:styleId="122">
    <w:name w:val="段"/>
    <w:link w:val="123"/>
    <w:qFormat/>
    <w:uiPriority w:val="0"/>
    <w:pPr>
      <w:autoSpaceDE w:val="0"/>
      <w:autoSpaceDN w:val="0"/>
      <w:ind w:firstLine="200" w:firstLineChars="200"/>
      <w:jc w:val="both"/>
    </w:pPr>
    <w:rPr>
      <w:rFonts w:ascii="宋体" w:hAnsi="Times New Roman" w:eastAsia="宋体" w:cs="Times New Roman"/>
      <w:kern w:val="2"/>
      <w:sz w:val="22"/>
      <w:lang w:val="en-US" w:eastAsia="zh-CN" w:bidi="ar-SA"/>
    </w:rPr>
  </w:style>
  <w:style w:type="character" w:customStyle="1" w:styleId="123">
    <w:name w:val="段 Char Char"/>
    <w:link w:val="122"/>
    <w:qFormat/>
    <w:uiPriority w:val="0"/>
    <w:rPr>
      <w:rFonts w:ascii="宋体"/>
      <w:kern w:val="2"/>
      <w:sz w:val="22"/>
    </w:rPr>
  </w:style>
  <w:style w:type="paragraph" w:customStyle="1" w:styleId="124">
    <w:name w:val="表中"/>
    <w:qFormat/>
    <w:uiPriority w:val="0"/>
    <w:pPr>
      <w:spacing w:before="100" w:beforeAutospacing="1" w:after="100" w:afterAutospacing="1"/>
      <w:ind w:firstLine="420"/>
      <w:jc w:val="center"/>
    </w:pPr>
    <w:rPr>
      <w:rFonts w:ascii="宋体" w:hAnsi="宋体" w:eastAsia="宋体" w:cs="Times New Roman"/>
      <w:color w:val="000000"/>
      <w:kern w:val="44"/>
      <w:sz w:val="21"/>
      <w:szCs w:val="21"/>
      <w:lang w:val="en-US" w:eastAsia="zh-CN" w:bidi="ar-SA"/>
    </w:rPr>
  </w:style>
  <w:style w:type="character" w:customStyle="1" w:styleId="125">
    <w:name w:val="样式 宋体 四号"/>
    <w:basedOn w:val="32"/>
    <w:qFormat/>
    <w:uiPriority w:val="0"/>
    <w:rPr>
      <w:rFonts w:ascii="Times New Roman" w:hAnsi="Times New Roman" w:eastAsia="宋体"/>
      <w:sz w:val="28"/>
      <w:szCs w:val="28"/>
    </w:rPr>
  </w:style>
  <w:style w:type="character" w:customStyle="1" w:styleId="126">
    <w:name w:val="[1]正文 Char"/>
    <w:link w:val="127"/>
    <w:qFormat/>
    <w:uiPriority w:val="0"/>
    <w:rPr>
      <w:sz w:val="28"/>
      <w:szCs w:val="28"/>
    </w:rPr>
  </w:style>
  <w:style w:type="paragraph" w:customStyle="1" w:styleId="127">
    <w:name w:val="[1]正文"/>
    <w:basedOn w:val="1"/>
    <w:link w:val="126"/>
    <w:qFormat/>
    <w:uiPriority w:val="0"/>
    <w:pPr>
      <w:spacing w:line="360" w:lineRule="auto"/>
      <w:ind w:firstLine="200" w:firstLineChars="200"/>
    </w:pPr>
    <w:rPr>
      <w:kern w:val="0"/>
      <w:sz w:val="28"/>
      <w:szCs w:val="28"/>
    </w:rPr>
  </w:style>
  <w:style w:type="character" w:customStyle="1" w:styleId="128">
    <w:name w:val="样式 宋体 四号2 Char"/>
    <w:link w:val="129"/>
    <w:qFormat/>
    <w:uiPriority w:val="0"/>
    <w:rPr>
      <w:rFonts w:ascii="宋体" w:hAnsi="宋体" w:cs="宋体"/>
      <w:kern w:val="2"/>
      <w:sz w:val="28"/>
    </w:rPr>
  </w:style>
  <w:style w:type="paragraph" w:customStyle="1" w:styleId="129">
    <w:name w:val="样式 宋体 四号2"/>
    <w:basedOn w:val="1"/>
    <w:link w:val="128"/>
    <w:qFormat/>
    <w:uiPriority w:val="0"/>
    <w:pPr>
      <w:spacing w:line="520" w:lineRule="exact"/>
      <w:ind w:firstLine="200" w:firstLineChars="200"/>
    </w:pPr>
    <w:rPr>
      <w:rFonts w:ascii="宋体" w:hAnsi="宋体" w:cs="宋体"/>
      <w:sz w:val="28"/>
    </w:rPr>
  </w:style>
  <w:style w:type="character" w:customStyle="1" w:styleId="130">
    <w:name w:val="27-正文 Char"/>
    <w:link w:val="131"/>
    <w:qFormat/>
    <w:uiPriority w:val="0"/>
    <w:rPr>
      <w:kern w:val="2"/>
      <w:sz w:val="28"/>
      <w:szCs w:val="28"/>
    </w:rPr>
  </w:style>
  <w:style w:type="paragraph" w:customStyle="1" w:styleId="131">
    <w:name w:val="27-正文"/>
    <w:basedOn w:val="1"/>
    <w:link w:val="130"/>
    <w:qFormat/>
    <w:uiPriority w:val="0"/>
    <w:pPr>
      <w:spacing w:line="520" w:lineRule="exact"/>
      <w:ind w:firstLine="200" w:firstLineChars="200"/>
    </w:pPr>
    <w:rPr>
      <w:sz w:val="28"/>
      <w:szCs w:val="28"/>
    </w:rPr>
  </w:style>
  <w:style w:type="paragraph" w:customStyle="1" w:styleId="132">
    <w:name w:val="样式 标题 4 + 黑色 首行缩进:  2 字符"/>
    <w:basedOn w:val="6"/>
    <w:qFormat/>
    <w:uiPriority w:val="0"/>
    <w:pPr>
      <w:adjustRightInd/>
      <w:snapToGrid/>
      <w:spacing w:line="560" w:lineRule="exact"/>
      <w:ind w:firstLine="0" w:firstLineChars="0"/>
      <w:jc w:val="both"/>
    </w:pPr>
    <w:rPr>
      <w:rFonts w:ascii="Times New Roman" w:hAnsi="Times New Roman" w:cs="宋体"/>
      <w:b w:val="0"/>
      <w:bCs/>
      <w:color w:val="000000"/>
      <w:sz w:val="28"/>
    </w:rPr>
  </w:style>
  <w:style w:type="character" w:customStyle="1" w:styleId="133">
    <w:name w:val="font21"/>
    <w:basedOn w:val="32"/>
    <w:qFormat/>
    <w:uiPriority w:val="0"/>
    <w:rPr>
      <w:rFonts w:hint="eastAsia" w:ascii="宋体" w:hAnsi="宋体" w:eastAsia="宋体" w:cs="宋体"/>
      <w:b/>
      <w:bCs/>
      <w:color w:val="000000"/>
      <w:sz w:val="21"/>
      <w:szCs w:val="21"/>
      <w:u w:val="none"/>
    </w:rPr>
  </w:style>
  <w:style w:type="character" w:customStyle="1" w:styleId="134">
    <w:name w:val="font51"/>
    <w:basedOn w:val="32"/>
    <w:qFormat/>
    <w:uiPriority w:val="0"/>
    <w:rPr>
      <w:rFonts w:hint="eastAsia" w:ascii="宋体" w:hAnsi="宋体" w:eastAsia="宋体" w:cs="宋体"/>
      <w:b/>
      <w:bCs/>
      <w:color w:val="000000"/>
      <w:sz w:val="21"/>
      <w:szCs w:val="21"/>
      <w:u w:val="none"/>
      <w:vertAlign w:val="superscript"/>
    </w:rPr>
  </w:style>
  <w:style w:type="character" w:customStyle="1" w:styleId="135">
    <w:name w:val="font61"/>
    <w:basedOn w:val="32"/>
    <w:qFormat/>
    <w:uiPriority w:val="0"/>
    <w:rPr>
      <w:rFonts w:hint="eastAsia" w:ascii="宋体" w:hAnsi="宋体" w:eastAsia="宋体" w:cs="宋体"/>
      <w:color w:val="000000"/>
      <w:sz w:val="21"/>
      <w:szCs w:val="21"/>
      <w:u w:val="none"/>
      <w:vertAlign w:val="superscript"/>
    </w:rPr>
  </w:style>
  <w:style w:type="character" w:customStyle="1" w:styleId="136">
    <w:name w:val="font31"/>
    <w:basedOn w:val="32"/>
    <w:qFormat/>
    <w:uiPriority w:val="0"/>
    <w:rPr>
      <w:rFonts w:hint="eastAsia" w:ascii="宋体" w:hAnsi="宋体" w:eastAsia="宋体" w:cs="宋体"/>
      <w:color w:val="000000"/>
      <w:sz w:val="21"/>
      <w:szCs w:val="21"/>
      <w:u w:val="none"/>
    </w:rPr>
  </w:style>
  <w:style w:type="paragraph" w:customStyle="1" w:styleId="137">
    <w:name w:val="1-正文"/>
    <w:basedOn w:val="1"/>
    <w:qFormat/>
    <w:uiPriority w:val="0"/>
    <w:pPr>
      <w:ind w:firstLine="560" w:firstLineChars="200"/>
    </w:pPr>
    <w:rPr>
      <w:sz w:val="28"/>
      <w:szCs w:val="28"/>
    </w:rPr>
  </w:style>
  <w:style w:type="paragraph" w:customStyle="1" w:styleId="138">
    <w:name w:val="Table Text"/>
    <w:basedOn w:val="1"/>
    <w:semiHidden/>
    <w:qFormat/>
    <w:uiPriority w:val="0"/>
    <w:rPr>
      <w:rFonts w:ascii="宋体" w:hAnsi="宋体" w:cs="宋体"/>
      <w:szCs w:val="21"/>
      <w:lang w:eastAsia="en-US"/>
    </w:rPr>
  </w:style>
  <w:style w:type="table" w:customStyle="1" w:styleId="139">
    <w:name w:val="Table Normal"/>
    <w:semiHidden/>
    <w:unhideWhenUsed/>
    <w:qFormat/>
    <w:uiPriority w:val="0"/>
    <w:tblPr>
      <w:tblCellMar>
        <w:top w:w="0" w:type="dxa"/>
        <w:left w:w="0" w:type="dxa"/>
        <w:bottom w:w="0" w:type="dxa"/>
        <w:right w:w="0" w:type="dxa"/>
      </w:tblCellMar>
    </w:tblPr>
  </w:style>
  <w:style w:type="paragraph" w:customStyle="1" w:styleId="140">
    <w:name w:val="表"/>
    <w:basedOn w:val="1"/>
    <w:qFormat/>
    <w:uiPriority w:val="0"/>
    <w:pPr>
      <w:jc w:val="center"/>
    </w:pPr>
  </w:style>
  <w:style w:type="character" w:customStyle="1" w:styleId="141">
    <w:name w:val="font71"/>
    <w:basedOn w:val="32"/>
    <w:qFormat/>
    <w:uiPriority w:val="0"/>
    <w:rPr>
      <w:rFonts w:hint="eastAsia" w:ascii="宋体" w:hAnsi="宋体" w:eastAsia="宋体" w:cs="宋体"/>
      <w:b/>
      <w:bCs/>
      <w:color w:val="000000"/>
      <w:sz w:val="21"/>
      <w:szCs w:val="21"/>
      <w:u w:val="none"/>
      <w:vertAlign w:val="superscript"/>
    </w:rPr>
  </w:style>
  <w:style w:type="character" w:customStyle="1" w:styleId="142">
    <w:name w:val="font41"/>
    <w:basedOn w:val="32"/>
    <w:qFormat/>
    <w:uiPriority w:val="0"/>
    <w:rPr>
      <w:rFonts w:hint="eastAsia" w:ascii="宋体" w:hAnsi="宋体" w:eastAsia="宋体" w:cs="宋体"/>
      <w:color w:val="FF0000"/>
      <w:sz w:val="21"/>
      <w:szCs w:val="21"/>
      <w:u w:val="none"/>
      <w:vertAlign w:val="superscript"/>
    </w:rPr>
  </w:style>
  <w:style w:type="paragraph" w:customStyle="1" w:styleId="143">
    <w:name w:val="样式 左侧:  0 厘米 首行缩进:  0.85 厘米"/>
    <w:basedOn w:val="1"/>
    <w:qFormat/>
    <w:uiPriority w:val="0"/>
    <w:pPr>
      <w:ind w:firstLine="480"/>
    </w:pPr>
    <w:rPr>
      <w:rFonts w:cs="宋体"/>
    </w:rPr>
  </w:style>
  <w:style w:type="character" w:customStyle="1" w:styleId="144">
    <w:name w:val="font01"/>
    <w:basedOn w:val="32"/>
    <w:qFormat/>
    <w:uiPriority w:val="0"/>
    <w:rPr>
      <w:rFonts w:hint="eastAsia" w:ascii="宋体" w:hAnsi="宋体" w:eastAsia="宋体" w:cs="宋体"/>
      <w:color w:val="000000"/>
      <w:sz w:val="24"/>
      <w:szCs w:val="24"/>
      <w:u w:val="none"/>
    </w:rPr>
  </w:style>
  <w:style w:type="character" w:customStyle="1" w:styleId="145">
    <w:name w:val="font81"/>
    <w:basedOn w:val="32"/>
    <w:qFormat/>
    <w:uiPriority w:val="0"/>
    <w:rPr>
      <w:rFonts w:hint="eastAsia" w:ascii="宋体" w:hAnsi="宋体" w:eastAsia="宋体" w:cs="宋体"/>
      <w:color w:val="000000"/>
      <w:sz w:val="21"/>
      <w:szCs w:val="21"/>
      <w:u w:val="none"/>
      <w:vertAlign w:val="superscript"/>
    </w:rPr>
  </w:style>
  <w:style w:type="character" w:customStyle="1" w:styleId="146">
    <w:name w:val="font161"/>
    <w:basedOn w:val="32"/>
    <w:qFormat/>
    <w:uiPriority w:val="0"/>
    <w:rPr>
      <w:rFonts w:hint="eastAsia" w:ascii="宋体" w:hAnsi="宋体" w:eastAsia="宋体" w:cs="宋体"/>
      <w:color w:val="000000"/>
      <w:sz w:val="20"/>
      <w:szCs w:val="20"/>
      <w:u w:val="none"/>
      <w:vertAlign w:val="superscript"/>
    </w:rPr>
  </w:style>
  <w:style w:type="character" w:customStyle="1" w:styleId="147">
    <w:name w:val="font101"/>
    <w:basedOn w:val="32"/>
    <w:qFormat/>
    <w:uiPriority w:val="0"/>
    <w:rPr>
      <w:rFonts w:hint="eastAsia" w:ascii="宋体" w:hAnsi="宋体" w:eastAsia="宋体" w:cs="宋体"/>
      <w:color w:val="FF0000"/>
      <w:sz w:val="20"/>
      <w:szCs w:val="20"/>
      <w:u w:val="none"/>
    </w:rPr>
  </w:style>
  <w:style w:type="character" w:customStyle="1" w:styleId="148">
    <w:name w:val="font171"/>
    <w:basedOn w:val="32"/>
    <w:qFormat/>
    <w:uiPriority w:val="0"/>
    <w:rPr>
      <w:rFonts w:hint="eastAsia" w:ascii="宋体" w:hAnsi="宋体" w:eastAsia="宋体" w:cs="宋体"/>
      <w:color w:val="FF0000"/>
      <w:sz w:val="20"/>
      <w:szCs w:val="20"/>
      <w:u w:val="none"/>
      <w:vertAlign w:val="superscript"/>
    </w:rPr>
  </w:style>
  <w:style w:type="character" w:customStyle="1" w:styleId="149">
    <w:name w:val="font181"/>
    <w:basedOn w:val="32"/>
    <w:qFormat/>
    <w:uiPriority w:val="0"/>
    <w:rPr>
      <w:rFonts w:hint="default" w:ascii="Times New Roman" w:hAnsi="Times New Roman" w:cs="Times New Roman"/>
      <w:color w:val="000000"/>
      <w:sz w:val="20"/>
      <w:szCs w:val="20"/>
      <w:u w:val="none"/>
      <w:vertAlign w:val="superscript"/>
    </w:rPr>
  </w:style>
  <w:style w:type="character" w:customStyle="1" w:styleId="150">
    <w:name w:val="font191"/>
    <w:basedOn w:val="32"/>
    <w:qFormat/>
    <w:uiPriority w:val="0"/>
    <w:rPr>
      <w:rFonts w:hint="eastAsia" w:ascii="宋体" w:hAnsi="宋体" w:eastAsia="宋体" w:cs="宋体"/>
      <w:color w:val="FF0000"/>
      <w:sz w:val="21"/>
      <w:szCs w:val="21"/>
      <w:u w:val="none"/>
      <w:vertAlign w:val="superscript"/>
    </w:rPr>
  </w:style>
  <w:style w:type="character" w:customStyle="1" w:styleId="151">
    <w:name w:val="font131"/>
    <w:basedOn w:val="32"/>
    <w:qFormat/>
    <w:uiPriority w:val="0"/>
    <w:rPr>
      <w:rFonts w:hint="eastAsia" w:ascii="宋体" w:hAnsi="宋体" w:eastAsia="宋体" w:cs="宋体"/>
      <w:color w:val="FF0000"/>
      <w:sz w:val="21"/>
      <w:szCs w:val="21"/>
      <w:u w:val="none"/>
    </w:rPr>
  </w:style>
  <w:style w:type="character" w:customStyle="1" w:styleId="152">
    <w:name w:val="font141"/>
    <w:basedOn w:val="32"/>
    <w:qFormat/>
    <w:uiPriority w:val="0"/>
    <w:rPr>
      <w:rFonts w:hint="eastAsia" w:ascii="宋体" w:hAnsi="宋体" w:eastAsia="宋体" w:cs="宋体"/>
      <w:b/>
      <w:bCs/>
      <w:color w:val="FF0000"/>
      <w:sz w:val="18"/>
      <w:szCs w:val="18"/>
      <w:u w:val="none"/>
    </w:rPr>
  </w:style>
  <w:style w:type="character" w:customStyle="1" w:styleId="153">
    <w:name w:val="font201"/>
    <w:basedOn w:val="32"/>
    <w:qFormat/>
    <w:uiPriority w:val="0"/>
    <w:rPr>
      <w:rFonts w:hint="eastAsia" w:ascii="宋体" w:hAnsi="宋体" w:eastAsia="宋体" w:cs="宋体"/>
      <w:b/>
      <w:bCs/>
      <w:color w:val="FF0000"/>
      <w:sz w:val="18"/>
      <w:szCs w:val="18"/>
      <w:u w:val="none"/>
      <w:vertAlign w:val="superscript"/>
    </w:rPr>
  </w:style>
  <w:style w:type="paragraph" w:customStyle="1" w:styleId="154">
    <w:name w:val="表内"/>
    <w:basedOn w:val="66"/>
    <w:autoRedefine/>
    <w:qFormat/>
    <w:uiPriority w:val="0"/>
  </w:style>
  <w:style w:type="character" w:customStyle="1" w:styleId="155">
    <w:name w:val="标题 2 字符"/>
    <w:link w:val="3"/>
    <w:qFormat/>
    <w:uiPriority w:val="0"/>
    <w:rPr>
      <w:rFonts w:ascii="黑体" w:hAnsi="Arial"/>
      <w:b/>
      <w:sz w:val="30"/>
    </w:rPr>
  </w:style>
  <w:style w:type="paragraph" w:customStyle="1" w:styleId="156">
    <w:name w:val="AAAAAAAAA"/>
    <w:basedOn w:val="1"/>
    <w:qFormat/>
    <w:uiPriority w:val="0"/>
    <w:pPr>
      <w:ind w:firstLine="560"/>
    </w:pPr>
    <w:rPr>
      <w:rFonts w:ascii="仿宋_GB2312" w:hAnsi="宋体" w:eastAsia="仿宋_GB2312" w:cstheme="minorBidi"/>
    </w:rPr>
  </w:style>
  <w:style w:type="paragraph" w:customStyle="1" w:styleId="157">
    <w:name w:val="图名"/>
    <w:qFormat/>
    <w:uiPriority w:val="0"/>
    <w:pPr>
      <w:snapToGrid w:val="0"/>
      <w:jc w:val="center"/>
    </w:pPr>
    <w:rPr>
      <w:rFonts w:ascii="Times New Roman" w:hAnsi="Times New Roman" w:eastAsia="仿宋_GB2312" w:cs="Times New Roman"/>
      <w:lang w:val="en-US" w:eastAsia="zh-CN" w:bidi="ar-SA"/>
    </w:rPr>
  </w:style>
  <w:style w:type="paragraph" w:customStyle="1" w:styleId="158">
    <w:name w:val="样式 样式 宋体 四号 左1 + 首行缩进:  2 字符"/>
    <w:basedOn w:val="1"/>
    <w:qFormat/>
    <w:uiPriority w:val="0"/>
    <w:pPr>
      <w:spacing w:line="460" w:lineRule="exact"/>
      <w:ind w:firstLine="480" w:firstLineChars="200"/>
    </w:pPr>
    <w:rPr>
      <w:rFonts w:ascii="宋体" w:hAnsi="宋体" w:cs="宋体"/>
    </w:rPr>
  </w:style>
  <w:style w:type="character" w:customStyle="1" w:styleId="159">
    <w:name w:val="font212"/>
    <w:basedOn w:val="32"/>
    <w:qFormat/>
    <w:uiPriority w:val="0"/>
    <w:rPr>
      <w:rFonts w:hint="eastAsia" w:ascii="宋体" w:hAnsi="宋体" w:eastAsia="宋体" w:cs="宋体"/>
      <w:b/>
      <w:bCs/>
      <w:color w:val="000000"/>
      <w:sz w:val="22"/>
      <w:szCs w:val="22"/>
      <w:u w:val="none"/>
    </w:rPr>
  </w:style>
  <w:style w:type="character" w:customStyle="1" w:styleId="160">
    <w:name w:val="font91"/>
    <w:basedOn w:val="32"/>
    <w:qFormat/>
    <w:uiPriority w:val="0"/>
    <w:rPr>
      <w:rFonts w:hint="eastAsia" w:ascii="宋体" w:hAnsi="宋体" w:eastAsia="宋体" w:cs="宋体"/>
      <w:b/>
      <w:bCs/>
      <w:color w:val="000000"/>
      <w:sz w:val="22"/>
      <w:szCs w:val="22"/>
      <w:u w:val="none"/>
    </w:rPr>
  </w:style>
  <w:style w:type="character" w:customStyle="1" w:styleId="161">
    <w:name w:val="font112"/>
    <w:basedOn w:val="32"/>
    <w:qFormat/>
    <w:uiPriority w:val="0"/>
    <w:rPr>
      <w:rFonts w:hint="eastAsia" w:ascii="宋体" w:hAnsi="宋体" w:eastAsia="宋体" w:cs="宋体"/>
      <w:color w:val="000000"/>
      <w:sz w:val="21"/>
      <w:szCs w:val="21"/>
      <w:u w:val="none"/>
      <w:vertAlign w:val="superscript"/>
    </w:rPr>
  </w:style>
  <w:style w:type="character" w:customStyle="1" w:styleId="162">
    <w:name w:val="font121"/>
    <w:basedOn w:val="32"/>
    <w:qFormat/>
    <w:uiPriority w:val="0"/>
    <w:rPr>
      <w:rFonts w:hint="default" w:ascii="Times New Roman" w:hAnsi="Times New Roman" w:cs="Times New Roman"/>
      <w:color w:val="FF0000"/>
      <w:sz w:val="20"/>
      <w:szCs w:val="20"/>
      <w:u w:val="none"/>
    </w:rPr>
  </w:style>
  <w:style w:type="paragraph" w:customStyle="1" w:styleId="163">
    <w:name w:val="表文字"/>
    <w:qFormat/>
    <w:uiPriority w:val="0"/>
    <w:pPr>
      <w:widowControl w:val="0"/>
      <w:spacing w:line="240" w:lineRule="exact"/>
      <w:jc w:val="center"/>
    </w:pPr>
    <w:rPr>
      <w:rFonts w:ascii="Times New Roman" w:hAnsi="Times New Roman" w:eastAsia="宋体" w:cs="Times New Roman"/>
      <w:snapToGrid w:val="0"/>
      <w:color w:val="000000"/>
      <w:w w:val="95"/>
      <w:sz w:val="21"/>
      <w:szCs w:val="21"/>
      <w:lang w:val="en-US" w:eastAsia="zh-CN" w:bidi="ar-SA"/>
    </w:rPr>
  </w:style>
  <w:style w:type="paragraph" w:customStyle="1" w:styleId="164">
    <w:name w:val="正文2"/>
    <w:qFormat/>
    <w:uiPriority w:val="0"/>
    <w:pPr>
      <w:jc w:val="both"/>
    </w:pPr>
    <w:rPr>
      <w:rFonts w:ascii="Times New Roman" w:hAnsi="Times New Roman" w:eastAsia="宋体" w:cs="Times New Roman"/>
      <w:kern w:val="2"/>
      <w:sz w:val="21"/>
      <w:szCs w:val="21"/>
      <w:lang w:val="en-US" w:eastAsia="zh-CN" w:bidi="ar-SA"/>
    </w:rPr>
  </w:style>
  <w:style w:type="paragraph" w:customStyle="1" w:styleId="165">
    <w:name w:val="图表标题"/>
    <w:basedOn w:val="1"/>
    <w:qFormat/>
    <w:uiPriority w:val="0"/>
    <w:pPr>
      <w:widowControl/>
      <w:jc w:val="center"/>
    </w:pPr>
    <w:rPr>
      <w:rFonts w:hint="eastAsia" w:eastAsia="黑体"/>
      <w:sz w:val="21"/>
      <w:szCs w:val="21"/>
    </w:rPr>
  </w:style>
  <w:style w:type="paragraph" w:customStyle="1" w:styleId="166">
    <w:name w:val="3级小标题"/>
    <w:basedOn w:val="1"/>
    <w:next w:val="1"/>
    <w:qFormat/>
    <w:uiPriority w:val="3"/>
    <w:rPr>
      <w:b/>
      <w:kern w:val="0"/>
      <w:szCs w:val="20"/>
    </w:rPr>
  </w:style>
  <w:style w:type="paragraph" w:customStyle="1" w:styleId="167">
    <w:name w:val="标题三"/>
    <w:qFormat/>
    <w:uiPriority w:val="0"/>
    <w:pPr>
      <w:adjustRightInd w:val="0"/>
      <w:snapToGrid w:val="0"/>
      <w:spacing w:before="240" w:after="240"/>
    </w:pPr>
    <w:rPr>
      <w:rFonts w:ascii="Times New Roman" w:hAnsi="Times New Roman" w:eastAsia="宋体" w:cs="Times New Roman"/>
      <w:b/>
      <w:bCs/>
      <w:kern w:val="2"/>
      <w:sz w:val="30"/>
      <w:szCs w:val="30"/>
      <w:lang w:val="en-US" w:eastAsia="zh-CN" w:bidi="ar-SA"/>
    </w:rPr>
  </w:style>
  <w:style w:type="character" w:customStyle="1" w:styleId="168">
    <w:name w:val="正文文本 字符"/>
    <w:link w:val="12"/>
    <w:qFormat/>
    <w:uiPriority w:val="1"/>
    <w:rPr>
      <w:rFonts w:eastAsia="仿宋_GB2312"/>
      <w:sz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2.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theme" Target="theme/theme1.xml"/><Relationship Id="rId31" Type="http://schemas.openxmlformats.org/officeDocument/2006/relationships/footer" Target="footer13.xml"/><Relationship Id="rId30" Type="http://schemas.openxmlformats.org/officeDocument/2006/relationships/header" Target="header16.xml"/><Relationship Id="rId3" Type="http://schemas.openxmlformats.org/officeDocument/2006/relationships/header" Target="header1.xml"/><Relationship Id="rId29" Type="http://schemas.openxmlformats.org/officeDocument/2006/relationships/footer" Target="footer12.xml"/><Relationship Id="rId28" Type="http://schemas.openxmlformats.org/officeDocument/2006/relationships/header" Target="header15.xml"/><Relationship Id="rId27" Type="http://schemas.openxmlformats.org/officeDocument/2006/relationships/footer" Target="footer11.xml"/><Relationship Id="rId26" Type="http://schemas.openxmlformats.org/officeDocument/2006/relationships/header" Target="header14.xml"/><Relationship Id="rId25" Type="http://schemas.openxmlformats.org/officeDocument/2006/relationships/header" Target="header13.xml"/><Relationship Id="rId24" Type="http://schemas.openxmlformats.org/officeDocument/2006/relationships/footer" Target="footer10.xml"/><Relationship Id="rId23" Type="http://schemas.openxmlformats.org/officeDocument/2006/relationships/header" Target="header12.xml"/><Relationship Id="rId22" Type="http://schemas.openxmlformats.org/officeDocument/2006/relationships/footer" Target="footer9.xml"/><Relationship Id="rId21" Type="http://schemas.openxmlformats.org/officeDocument/2006/relationships/header" Target="header11.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header" Target="header10.xml"/><Relationship Id="rId18" Type="http://schemas.openxmlformats.org/officeDocument/2006/relationships/footer" Target="footer7.xml"/><Relationship Id="rId17" Type="http://schemas.openxmlformats.org/officeDocument/2006/relationships/header" Target="header9.xml"/><Relationship Id="rId16" Type="http://schemas.openxmlformats.org/officeDocument/2006/relationships/header" Target="header8.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76D024D-E485-4ACD-99C7-41BDFED8C75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156</Pages>
  <Words>11947</Words>
  <Characters>13371</Characters>
  <Lines>1</Lines>
  <Paragraphs>1</Paragraphs>
  <TotalTime>11</TotalTime>
  <ScaleCrop>false</ScaleCrop>
  <LinksUpToDate>false</LinksUpToDate>
  <CharactersWithSpaces>13559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2020-08-05T12:01:00Z</dcterms:created>
  <dc:creator>Lenovo User</dc:creator>
  <cp:lastModifiedBy>在路上。</cp:lastModifiedBy>
  <cp:lastPrinted>2025-12-13T07:12:00Z</cp:lastPrinted>
  <dcterms:modified xsi:type="dcterms:W3CDTF">2026-10-27T01:54:25Z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eyJoZGlkIjoiZGUyYWM5YTE4ZmFhNzRkYjUyNjczNWMwYjRhMDQyYmEiLCJ1c2VySWQiOiIzMTc5NDEwNjgifQ==</vt:lpwstr>
  </property>
  <property fmtid="{D5CDD505-2E9C-101B-9397-08002B2CF9AE}" pid="4" name="ICV">
    <vt:lpwstr>BE59089538ED49F29DA709962DE10066_13</vt:lpwstr>
  </property>
</Properties>
</file>