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0BB3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baseline"/>
        <w:rPr>
          <w:rFonts w:hint="eastAsia" w:ascii="仿宋" w:hAnsi="仿宋" w:eastAsia="仿宋" w:cs="仿宋"/>
          <w:i w:val="0"/>
          <w:iCs w:val="0"/>
          <w:caps w:val="0"/>
          <w:color w:val="000000"/>
          <w:spacing w:val="0"/>
          <w:kern w:val="0"/>
          <w:sz w:val="32"/>
          <w:szCs w:val="32"/>
          <w:shd w:val="clear" w:fill="FFFFFF"/>
          <w:vertAlign w:val="baseline"/>
          <w:lang w:val="en-US" w:eastAsia="zh-CN" w:bidi="ar"/>
        </w:rPr>
      </w:pPr>
      <w:bookmarkStart w:id="0" w:name="_GoBack"/>
      <w:bookmarkEnd w:id="0"/>
      <w:r>
        <w:rPr>
          <w:rFonts w:hint="eastAsia" w:ascii="仿宋" w:hAnsi="仿宋" w:eastAsia="仿宋" w:cs="仿宋"/>
          <w:i w:val="0"/>
          <w:iCs w:val="0"/>
          <w:caps w:val="0"/>
          <w:color w:val="000000"/>
          <w:spacing w:val="0"/>
          <w:kern w:val="0"/>
          <w:sz w:val="32"/>
          <w:szCs w:val="32"/>
          <w:shd w:val="clear" w:fill="FFFFFF"/>
          <w:vertAlign w:val="baseline"/>
          <w:lang w:val="en-US" w:eastAsia="zh-CN" w:bidi="ar"/>
        </w:rPr>
        <w:t>附件：</w:t>
      </w:r>
    </w:p>
    <w:p w14:paraId="04EE45D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baseline"/>
        <w:rPr>
          <w:rFonts w:hint="eastAsia" w:ascii="仿宋" w:hAnsi="仿宋" w:eastAsia="仿宋" w:cs="仿宋"/>
          <w:i w:val="0"/>
          <w:iCs w:val="0"/>
          <w:caps w:val="0"/>
          <w:color w:val="000000"/>
          <w:spacing w:val="0"/>
          <w:kern w:val="0"/>
          <w:sz w:val="32"/>
          <w:szCs w:val="32"/>
          <w:shd w:val="clear" w:fill="FFFFFF"/>
          <w:vertAlign w:val="baseline"/>
          <w:lang w:val="en-US" w:eastAsia="zh-CN" w:bidi="ar"/>
        </w:rPr>
      </w:pPr>
    </w:p>
    <w:p w14:paraId="3BB1F45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600" w:lineRule="exact"/>
        <w:ind w:left="0" w:right="0" w:firstLine="0"/>
        <w:jc w:val="center"/>
        <w:textAlignment w:val="baseline"/>
        <w:rPr>
          <w:rFonts w:hint="eastAsia"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t>赤峰市中心城区建设工程规划许可</w:t>
      </w:r>
    </w:p>
    <w:p w14:paraId="0D91D7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7" w:afterLines="50" w:afterAutospacing="0" w:line="600" w:lineRule="exact"/>
        <w:ind w:left="0" w:right="0" w:firstLine="0"/>
        <w:jc w:val="center"/>
        <w:textAlignment w:val="baseline"/>
        <w:rPr>
          <w:rFonts w:hint="eastAsia"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t>“豁免”清单</w:t>
      </w:r>
    </w:p>
    <w:p w14:paraId="01269014">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黑体" w:hAnsi="黑体" w:eastAsia="黑体" w:cs="黑体"/>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i w:val="0"/>
          <w:iCs w:val="0"/>
          <w:caps w:val="0"/>
          <w:color w:val="000000"/>
          <w:spacing w:val="0"/>
          <w:kern w:val="0"/>
          <w:sz w:val="32"/>
          <w:szCs w:val="32"/>
          <w:shd w:val="clear" w:fill="FFFFFF"/>
          <w:vertAlign w:val="baseline"/>
          <w:lang w:val="en-US" w:eastAsia="zh-CN" w:bidi="ar"/>
        </w:rPr>
        <w:t>无需办理《建设工程规划许可证》项目清单</w:t>
      </w:r>
    </w:p>
    <w:p w14:paraId="6189CC7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1.既有住宅小区、商业、厂房、办公等项目内不涉及新建建（构）筑物和不占用绿地的微改项目，如新增或更新消防设施，新设体育锻炼器材、空调架、信报箱、快递箱柜、可移动的简易门岗、体育游乐设施和公共信息发布牌，更新停车棚、已建停车设施，增设新能源充电桩、电动自行车充电设备、相关主管部门认定的移动通信、道闸系统</w:t>
      </w: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等设备。</w:t>
      </w:r>
    </w:p>
    <w:p w14:paraId="518F51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51"/>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2.下列建筑工程中的构件、设备：</w:t>
      </w:r>
    </w:p>
    <w:p w14:paraId="10863A9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51"/>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（1）用于安装灯、旗杆、户外配电箱、环网柜、燃气调压计量设施与安全防护装置等设施设备的基座、建筑构件等；</w:t>
      </w:r>
    </w:p>
    <w:p w14:paraId="46E0BE8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baseline"/>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（2）工业项目及其他相关项目内设置的各类生产设备、架空管道，传送皮带、开敞栈桥，地泵、架空管架，操作及设备平台。</w:t>
      </w:r>
    </w:p>
    <w:p w14:paraId="46EE17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3.大型场馆内部为会议、展览等活动搭建的临时性设施。</w:t>
      </w:r>
    </w:p>
    <w:p w14:paraId="1989FA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4.无独立占地的电信设施、无线电发射设施、依附于现有建筑建设5G基站等无线电发射设施。</w:t>
      </w:r>
    </w:p>
    <w:p w14:paraId="6E773E6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5.经安全主管部门同意，规划审批手续齐全的已批加油站、加气站、油气合建站项目在满足安全间距、消防要求前提下增设储气罐、储油池、加油枪或油罐增减容、改变储存油品类型等加油加气设施改造项目。</w:t>
      </w:r>
    </w:p>
    <w:p w14:paraId="6772D5E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6.既有公共停车场建设公共充电设施及其配套供电工程。</w:t>
      </w:r>
    </w:p>
    <w:p w14:paraId="01D46A0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7.已建成道路现状红线范围内，道路交通管理部门实施交通优化改造及绿化迁改，道路附属设施迁改项目。</w:t>
      </w:r>
    </w:p>
    <w:p w14:paraId="0ACC460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8.政府主导的河湖水环境整治项目，包括河湖清淤疏浚、岸坡整治、水文监测，河道内蓄水构筑物建设，堤岸的维修加固等。</w:t>
      </w:r>
    </w:p>
    <w:p w14:paraId="2948CAD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baseline"/>
        <w:rPr>
          <w:rFonts w:hint="eastAsia" w:ascii="黑体" w:hAnsi="黑体" w:eastAsia="黑体" w:cs="黑体"/>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i w:val="0"/>
          <w:iCs w:val="0"/>
          <w:caps w:val="0"/>
          <w:color w:val="000000"/>
          <w:spacing w:val="0"/>
          <w:kern w:val="0"/>
          <w:sz w:val="32"/>
          <w:szCs w:val="32"/>
          <w:shd w:val="clear" w:fill="FFFFFF"/>
          <w:vertAlign w:val="baseline"/>
          <w:lang w:val="en-US" w:eastAsia="zh-CN" w:bidi="ar"/>
        </w:rPr>
        <w:t>二、免于办理《建设工程规划许可证》项目清单</w:t>
      </w:r>
    </w:p>
    <w:p w14:paraId="47B1EC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1.不改变建筑面积、建筑总高度、建筑层数，不涉及修改外立面、建筑结构的建筑工程，包括维修工程，建筑外墙和屋顶的维修、翻新、加固、保温等工程，但拆除重建的除外。</w:t>
      </w:r>
    </w:p>
    <w:p w14:paraId="64AFE0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2.老旧小区在符合相关规定的前提下，建设电动自行车车棚、公共厕所等配套服务设施，增设电梯，以及单电源改造的工程。</w:t>
      </w:r>
    </w:p>
    <w:p w14:paraId="4EDC9E5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3.工业项目用地内建设简易低风险建筑物（总建筑面积不超过500平方米且不需办理产权登记）：</w:t>
      </w:r>
    </w:p>
    <w:p w14:paraId="482A1B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（1）单体建筑面积不超过100平方米的配电室、水泵房、消控室、污水处理等配套设施；</w:t>
      </w:r>
    </w:p>
    <w:p w14:paraId="0C48D7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（2）停车棚；</w:t>
      </w:r>
    </w:p>
    <w:p w14:paraId="2D25DF1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（3）建筑面积20平方米以下的门卫室。</w:t>
      </w:r>
    </w:p>
    <w:p w14:paraId="437552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baseline"/>
        <w:rPr>
          <w:rFonts w:hint="eastAsia" w:ascii="仿宋" w:hAnsi="仿宋" w:eastAsia="仿宋" w:cs="仿宋"/>
          <w:b w:val="0"/>
          <w:bCs w:val="0"/>
          <w:i w:val="0"/>
          <w:iCs w:val="0"/>
          <w:caps w:val="0"/>
          <w:color w:val="auto"/>
          <w:spacing w:val="0"/>
          <w:sz w:val="32"/>
          <w:szCs w:val="32"/>
          <w:highlight w:val="none"/>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4.下列</w:t>
      </w:r>
      <w:r>
        <w:rPr>
          <w:rFonts w:hint="eastAsia" w:ascii="仿宋" w:hAnsi="仿宋" w:eastAsia="仿宋" w:cs="仿宋"/>
          <w:b w:val="0"/>
          <w:bCs w:val="0"/>
          <w:i w:val="0"/>
          <w:iCs w:val="0"/>
          <w:caps w:val="0"/>
          <w:color w:val="auto"/>
          <w:spacing w:val="0"/>
          <w:kern w:val="0"/>
          <w:sz w:val="32"/>
          <w:szCs w:val="32"/>
          <w:shd w:val="clear" w:fill="FFFFFF"/>
          <w:vertAlign w:val="baseline"/>
          <w:lang w:val="en-US" w:eastAsia="zh-CN" w:bidi="ar"/>
        </w:rPr>
        <w:t>建筑工程中的</w:t>
      </w: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构筑物：</w:t>
      </w:r>
    </w:p>
    <w:p w14:paraId="068AF1D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baseline"/>
        <w:rPr>
          <w:rFonts w:hint="eastAsia" w:ascii="仿宋" w:hAnsi="仿宋" w:eastAsia="仿宋" w:cs="仿宋"/>
          <w:b w:val="0"/>
          <w:bCs w:val="0"/>
          <w:i w:val="0"/>
          <w:iCs w:val="0"/>
          <w:caps w:val="0"/>
          <w:color w:val="auto"/>
          <w:spacing w:val="0"/>
          <w:sz w:val="32"/>
          <w:szCs w:val="32"/>
          <w:highlight w:val="none"/>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　　（1）为安装安全防护设施、竖向管道、空调、幕墙清洁等而建造的临时构筑物、支架；</w:t>
      </w:r>
    </w:p>
    <w:p w14:paraId="0E78CE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（2）工业项目及其他相关项目内设置的室外堆场、沉淀池、废水池（罐）、烟囱及其他不计算建筑面积的构筑物。</w:t>
      </w:r>
    </w:p>
    <w:p w14:paraId="6B54B8C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default"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5.在项目用地范围内的围墙建设。</w:t>
      </w:r>
    </w:p>
    <w:p w14:paraId="40FC8E5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51"/>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6.建设项目建设用地范围内承诺到期拆除的工程施工配套的临时性建筑，包括临时性施工用房（办公用房、生活用房）、施工工棚、施工围墙、施工期间的临时出入口等。</w:t>
      </w:r>
    </w:p>
    <w:p w14:paraId="69E1D83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51"/>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7.绿化工程内不增加建筑面积、不影响城市景观和他人物权的用于绿化种植的构筑物。</w:t>
      </w:r>
    </w:p>
    <w:p w14:paraId="0D1A9AA7">
      <w:pPr>
        <w:numPr>
          <w:ilvl w:val="0"/>
          <w:numId w:val="0"/>
        </w:numPr>
        <w:ind w:firstLine="640" w:firstLineChars="200"/>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8.</w:t>
      </w:r>
      <w:r>
        <w:rPr>
          <w:rFonts w:hint="eastAsia" w:ascii="仿宋_GB2312" w:hAnsi="仿宋_GB2312" w:eastAsia="仿宋_GB2312" w:cs="仿宋_GB2312"/>
          <w:sz w:val="32"/>
          <w:szCs w:val="32"/>
          <w:lang w:val="en-US" w:eastAsia="zh-CN"/>
        </w:rPr>
        <w:t>主干道两侧及重要景观节点区域范围外的现状公厕、垃圾站、雨水泵站、污水泵站、热力站在原址、原面积、原高度范围内升级改造。</w:t>
      </w:r>
    </w:p>
    <w:p w14:paraId="4541AD36">
      <w:pPr>
        <w:numPr>
          <w:ilvl w:val="0"/>
          <w:numId w:val="0"/>
        </w:numPr>
        <w:ind w:firstLine="640" w:firstLineChars="200"/>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9.</w:t>
      </w:r>
      <w:r>
        <w:rPr>
          <w:rFonts w:hint="eastAsia" w:ascii="仿宋_GB2312" w:hAnsi="仿宋_GB2312" w:eastAsia="仿宋_GB2312" w:cs="仿宋_GB2312"/>
          <w:sz w:val="32"/>
          <w:szCs w:val="32"/>
          <w:lang w:val="en-US" w:eastAsia="zh-CN"/>
        </w:rPr>
        <w:t>既有道路红线范围内，不改变道路断面形式和竖向控制标高的路面维修工程；除燃气管线、输水管线外，原管位原管径且与其他相邻管线水平垂直间距符合《城市工程管线综合规划规范》（GB50289-2016）的管线更新改造工程。</w:t>
      </w:r>
    </w:p>
    <w:p w14:paraId="411A7B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51"/>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10.符合综合管廊规划要求，在管廊内进行市政管线工程敷设、翻新等工程；利用现有电缆、电信管沟或套管进行穿缆的电缆、电信管线工程。</w:t>
      </w:r>
    </w:p>
    <w:p w14:paraId="0D05C3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51"/>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11.利用城市高架桥桥下空间设置的平面公共停车场。</w:t>
      </w:r>
    </w:p>
    <w:p w14:paraId="2D36C5C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51"/>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12.在已审定建设工程设计方案总平面图的公园、广场，建设非经营性、用于休憩的亭、台、廊、榭、厕所、景观水池和园林小品等建（构）筑物。</w:t>
      </w:r>
    </w:p>
    <w:p w14:paraId="0E0A122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51"/>
        <w:jc w:val="both"/>
        <w:textAlignment w:val="baseline"/>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13.已审定选址位置及外观造型的公交站亭、通信塔。</w:t>
      </w:r>
    </w:p>
    <w:p w14:paraId="3C289DE0">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14.已完成工程设计方案审查的既有社区公园、游园及微绿地升级改造（国土空间规划确定的综合公园、专类公园除外）。</w:t>
      </w:r>
    </w:p>
    <w:p w14:paraId="6488E043">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15.中心城区规划范围内平房区、城中村内部既有街巷及配套管线的改造工程（项目不新增建设用地、不改变原有线型走向）。</w:t>
      </w:r>
    </w:p>
    <w:p w14:paraId="235CEAE5">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16.现状市政公用设施项目自有用地范围内，新增以下简易低风险建（构）筑物工程，具体包含两类：</w:t>
      </w:r>
      <w:r>
        <w:rPr>
          <w:rFonts w:hint="eastAsia" w:eastAsia="仿宋_GB2312" w:cs="Calibri"/>
          <w:sz w:val="32"/>
          <w:szCs w:val="32"/>
          <w:lang w:val="en-US" w:eastAsia="zh-CN"/>
        </w:rPr>
        <w:t>一是</w:t>
      </w:r>
      <w:r>
        <w:rPr>
          <w:rFonts w:hint="eastAsia" w:ascii="仿宋_GB2312" w:hAnsi="仿宋_GB2312" w:eastAsia="仿宋_GB2312" w:cs="仿宋_GB2312"/>
          <w:sz w:val="32"/>
          <w:szCs w:val="32"/>
          <w:lang w:val="en-US" w:eastAsia="zh-CN"/>
        </w:rPr>
        <w:t>单体建筑面积不大于50平方米、建筑高度不超4米</w:t>
      </w:r>
      <w:r>
        <w:rPr>
          <w:rFonts w:hint="eastAsia" w:eastAsia="仿宋_GB2312" w:cs="Calibri"/>
          <w:sz w:val="32"/>
          <w:szCs w:val="32"/>
          <w:lang w:val="en-US" w:eastAsia="zh-CN"/>
        </w:rPr>
        <w:t>单层配套设施用房、设备用房</w:t>
      </w:r>
      <w:r>
        <w:rPr>
          <w:rFonts w:hint="eastAsia" w:ascii="仿宋_GB2312" w:hAnsi="仿宋_GB2312" w:eastAsia="仿宋_GB2312" w:cs="仿宋_GB2312"/>
          <w:sz w:val="32"/>
          <w:szCs w:val="32"/>
          <w:lang w:val="en-US" w:eastAsia="zh-CN"/>
        </w:rPr>
        <w:t>；</w:t>
      </w:r>
      <w:r>
        <w:rPr>
          <w:rFonts w:hint="eastAsia" w:eastAsia="仿宋_GB2312" w:cs="Calibri"/>
          <w:sz w:val="32"/>
          <w:szCs w:val="32"/>
          <w:lang w:val="en-US" w:eastAsia="zh-CN"/>
        </w:rPr>
        <w:t>二是</w:t>
      </w:r>
      <w:r>
        <w:rPr>
          <w:rFonts w:hint="eastAsia" w:ascii="仿宋_GB2312" w:hAnsi="仿宋_GB2312" w:eastAsia="仿宋_GB2312" w:cs="仿宋_GB2312"/>
          <w:b w:val="0"/>
          <w:bCs w:val="0"/>
          <w:sz w:val="32"/>
          <w:szCs w:val="32"/>
          <w:lang w:val="en-US" w:eastAsia="zh-CN"/>
        </w:rPr>
        <w:t>新建消防水池、污水事故处理池等构筑物。</w:t>
      </w:r>
    </w:p>
    <w:p w14:paraId="575EEB8D">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本项豁免工程须严格满足管控要求：</w:t>
      </w:r>
      <w:r>
        <w:rPr>
          <w:rFonts w:hint="eastAsia" w:ascii="仿宋_GB2312" w:hAnsi="仿宋_GB2312" w:eastAsia="仿宋_GB2312" w:cs="仿宋_GB2312"/>
          <w:sz w:val="32"/>
          <w:szCs w:val="32"/>
          <w:lang w:val="en-US" w:eastAsia="zh-CN"/>
        </w:rPr>
        <w:t>严禁占用消防车道、消防车登高操作场地、应急避难场所等公共安全空间，不得突破地块建筑控制线；计容建筑面积不得超出地块容积率限制；同时满足消防、安全防护、环保间距等相关规范标准要求</w:t>
      </w:r>
      <w:r>
        <w:rPr>
          <w:rFonts w:hint="eastAsia" w:ascii="仿宋_GB2312" w:hAnsi="仿宋_GB2312" w:eastAsia="仿宋_GB2312" w:cs="仿宋_GB2312"/>
          <w:b/>
          <w:bCs/>
          <w:sz w:val="32"/>
          <w:szCs w:val="32"/>
          <w:lang w:val="en-US" w:eastAsia="zh-CN"/>
        </w:rPr>
        <w:t>。</w:t>
      </w:r>
    </w:p>
    <w:p w14:paraId="24BDD4E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17.不沿市政道路敷设，自现状市政管网接驳、终止于房屋建筑项目用地红线的用户支线工程。</w:t>
      </w:r>
    </w:p>
    <w:p w14:paraId="59A00022">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18.架空电力线路走廊用地按原地类管理的架空电力线杆塔、塔基础建设工程。</w:t>
      </w:r>
    </w:p>
    <w:p w14:paraId="554E247D">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19.已批准的房屋建设工程设计方案总平面图中设置的项目用地接入市政道路出入口。 </w:t>
      </w:r>
    </w:p>
    <w:p w14:paraId="55D37761">
      <w:pPr>
        <w:numPr>
          <w:ilvl w:val="0"/>
          <w:numId w:val="0"/>
        </w:numPr>
        <w:ind w:firstLine="640" w:firstLineChars="200"/>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pPr>
      <w:r>
        <w:rPr>
          <w:rFonts w:hint="eastAsia" w:ascii="仿宋_GB2312" w:hAnsi="仿宋_GB2312" w:eastAsia="仿宋_GB2312" w:cs="仿宋_GB2312"/>
          <w:sz w:val="32"/>
          <w:szCs w:val="32"/>
          <w:lang w:val="en-US" w:eastAsia="zh-CN"/>
        </w:rPr>
        <w:t>20.老旧小区内的既有道路、配套管网更新改造。但须严格落实消防、地下管线安全管控相关技术要求。</w:t>
      </w:r>
    </w:p>
    <w:p w14:paraId="1C43BD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方正仿宋_GB2312" w:hAnsi="方正仿宋_GB2312" w:eastAsia="方正仿宋_GB2312" w:cs="方正仿宋_GB2312"/>
          <w:b w:val="0"/>
          <w:bCs w:val="0"/>
          <w:color w:val="auto"/>
          <w:sz w:val="32"/>
          <w:szCs w:val="32"/>
          <w:highlight w:val="none"/>
          <w:lang w:val="en-US" w:eastAsia="zh-CN"/>
        </w:rPr>
      </w:pP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上述免于办理清单项目位于城市</w:t>
      </w:r>
      <w:r>
        <w:rPr>
          <w:rFonts w:hint="eastAsia" w:ascii="方正仿宋_GB2312" w:hAnsi="方正仿宋_GB2312" w:eastAsia="方正仿宋_GB2312" w:cs="方正仿宋_GB2312"/>
          <w:b w:val="0"/>
          <w:bCs w:val="0"/>
          <w:color w:val="auto"/>
          <w:sz w:val="32"/>
          <w:szCs w:val="32"/>
          <w:highlight w:val="none"/>
          <w:lang w:eastAsia="zh-CN"/>
        </w:rPr>
        <w:t>主、次干道两侧涉及建筑</w:t>
      </w:r>
      <w:r>
        <w:rPr>
          <w:rFonts w:hint="eastAsia" w:ascii="仿宋" w:hAnsi="仿宋" w:eastAsia="仿宋" w:cs="仿宋"/>
          <w:b w:val="0"/>
          <w:bCs w:val="0"/>
          <w:i w:val="0"/>
          <w:iCs w:val="0"/>
          <w:caps w:val="0"/>
          <w:color w:val="auto"/>
          <w:spacing w:val="0"/>
          <w:kern w:val="0"/>
          <w:sz w:val="32"/>
          <w:szCs w:val="32"/>
          <w:highlight w:val="none"/>
          <w:shd w:val="clear" w:fill="FFFFFF"/>
          <w:vertAlign w:val="baseline"/>
          <w:lang w:val="en-US" w:eastAsia="zh-CN" w:bidi="ar"/>
        </w:rPr>
        <w:t>外立面改造的</w:t>
      </w:r>
      <w:r>
        <w:rPr>
          <w:rFonts w:hint="eastAsia" w:ascii="方正仿宋_GB2312" w:hAnsi="方正仿宋_GB2312" w:eastAsia="方正仿宋_GB2312" w:cs="方正仿宋_GB2312"/>
          <w:b w:val="0"/>
          <w:bCs w:val="0"/>
          <w:color w:val="auto"/>
          <w:sz w:val="32"/>
          <w:szCs w:val="32"/>
          <w:highlight w:val="none"/>
          <w:lang w:eastAsia="zh-CN"/>
        </w:rPr>
        <w:t>需</w:t>
      </w:r>
      <w:r>
        <w:rPr>
          <w:rFonts w:hint="eastAsia" w:ascii="方正仿宋_GB2312" w:hAnsi="方正仿宋_GB2312" w:eastAsia="方正仿宋_GB2312" w:cs="方正仿宋_GB2312"/>
          <w:b w:val="0"/>
          <w:bCs w:val="0"/>
          <w:color w:val="auto"/>
          <w:sz w:val="32"/>
          <w:szCs w:val="32"/>
          <w:highlight w:val="none"/>
          <w:lang w:val="en-US" w:eastAsia="zh-CN"/>
        </w:rPr>
        <w:t>审定建设工程设计方案。</w:t>
      </w:r>
    </w:p>
    <w:p w14:paraId="419A947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baseline"/>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vertAlign w:val="baseline"/>
          <w:lang w:val="en-US" w:eastAsia="zh-CN" w:bidi="ar"/>
        </w:rPr>
        <w:t>　</w:t>
      </w:r>
      <w:r>
        <w:rPr>
          <w:rFonts w:hint="eastAsia" w:ascii="黑体" w:hAnsi="黑体" w:eastAsia="黑体" w:cs="黑体"/>
          <w:i w:val="0"/>
          <w:iCs w:val="0"/>
          <w:caps w:val="0"/>
          <w:color w:val="000000"/>
          <w:spacing w:val="0"/>
          <w:kern w:val="0"/>
          <w:sz w:val="32"/>
          <w:szCs w:val="32"/>
          <w:shd w:val="clear" w:fill="FFFFFF"/>
          <w:vertAlign w:val="baseline"/>
          <w:lang w:val="en-US" w:eastAsia="zh-CN" w:bidi="ar"/>
        </w:rPr>
        <w:t>　三、相关要求</w:t>
      </w:r>
    </w:p>
    <w:p w14:paraId="57FA04F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baseline"/>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vertAlign w:val="baseline"/>
          <w:lang w:val="en-US" w:eastAsia="zh-CN" w:bidi="ar"/>
        </w:rPr>
        <w:t>　　（一）以上建设项目在满足安全、消防等规范要求前提下，应按照各相关职能部门的技术规范要求进行建设，不得违反道路交通、城市市容市貌、物业管理等有关法律法规规定。违反有关法律法规规定的，相关行政主管部门应按照规定对违法行为进行认定处理。</w:t>
      </w:r>
    </w:p>
    <w:p w14:paraId="5AD179F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baseline"/>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vertAlign w:val="baseline"/>
          <w:lang w:val="en-US" w:eastAsia="zh-CN" w:bidi="ar"/>
        </w:rPr>
        <w:t>　　（二）以上建设项目涉及其他权属人利益的，项目实施主体应当取得相关权属人同意，建设、运营中若有损害或者破坏周围环境、设施，使国家或个人遭受损失的，还应当承担修复、补偿、赔偿等法律责任。</w:t>
      </w:r>
    </w:p>
    <w:p w14:paraId="460F858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baseline"/>
        <w:rPr>
          <w:rFonts w:hint="eastAsia" w:ascii="仿宋" w:hAnsi="仿宋" w:eastAsia="仿宋" w:cs="仿宋"/>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i w:val="0"/>
          <w:iCs w:val="0"/>
          <w:caps w:val="0"/>
          <w:color w:val="000000"/>
          <w:spacing w:val="0"/>
          <w:kern w:val="0"/>
          <w:sz w:val="32"/>
          <w:szCs w:val="32"/>
          <w:shd w:val="clear" w:fill="FFFFFF"/>
          <w:vertAlign w:val="baseline"/>
          <w:lang w:val="en-US" w:eastAsia="zh-CN" w:bidi="ar"/>
        </w:rPr>
        <w:t>（三）市自然资源局可根据国家、自治区、市有关政策及“放管服”改革要求对豁免清单进行动态调整更新。中心城区以外范围，各旗县区自然资源局（分局）可在本清单基础上，自行增减后另行发布。</w:t>
      </w:r>
    </w:p>
    <w:p w14:paraId="60B0526C">
      <w:pPr>
        <w:keepNext w:val="0"/>
        <w:keepLines w:val="0"/>
        <w:widowControl/>
        <w:suppressLineNumbers w:val="0"/>
        <w:ind w:firstLine="640" w:firstLineChars="200"/>
        <w:jc w:val="left"/>
        <w:rPr>
          <w:rFonts w:hint="default" w:ascii="仿宋" w:hAnsi="仿宋" w:eastAsia="仿宋" w:cs="仿宋"/>
          <w:i w:val="0"/>
          <w:iCs w:val="0"/>
          <w:caps w:val="0"/>
          <w:color w:val="000000"/>
          <w:spacing w:val="0"/>
          <w:kern w:val="0"/>
          <w:sz w:val="32"/>
          <w:szCs w:val="32"/>
          <w:shd w:val="clear" w:fill="FFFFFF"/>
          <w:vertAlign w:val="baseline"/>
          <w:lang w:val="en-US" w:eastAsia="zh-CN" w:bidi="ar"/>
        </w:rPr>
      </w:pPr>
      <w:r>
        <w:rPr>
          <w:rFonts w:hint="eastAsia" w:ascii="仿宋_GB2312" w:hAnsi="仿宋_GB2312" w:eastAsia="仿宋_GB2312" w:cs="仿宋_GB2312"/>
          <w:sz w:val="32"/>
          <w:szCs w:val="32"/>
          <w:lang w:val="en-US" w:eastAsia="zh-CN"/>
        </w:rPr>
        <w:t>（四）</w:t>
      </w:r>
      <w:r>
        <w:rPr>
          <w:rFonts w:ascii="仿宋_GB2312" w:hAnsi="宋体" w:eastAsia="仿宋_GB2312" w:cs="仿宋_GB2312"/>
          <w:color w:val="000000"/>
          <w:kern w:val="0"/>
          <w:sz w:val="32"/>
          <w:szCs w:val="32"/>
          <w:lang w:val="en-US" w:eastAsia="zh-CN" w:bidi="ar"/>
        </w:rPr>
        <w:t>本清单自发布之日起施行。《</w:t>
      </w:r>
      <w:r>
        <w:rPr>
          <w:rFonts w:hint="eastAsia" w:ascii="仿宋_GB2312" w:hAnsi="宋体" w:eastAsia="仿宋_GB2312" w:cs="仿宋_GB2312"/>
          <w:color w:val="000000"/>
          <w:kern w:val="0"/>
          <w:sz w:val="32"/>
          <w:szCs w:val="32"/>
          <w:lang w:val="en-US" w:eastAsia="zh-CN" w:bidi="ar"/>
        </w:rPr>
        <w:t>赤峰市中心城区建设工程规划许可“豁免”清单》（赤自然资便函〔2025〕109号）自行废止。</w:t>
      </w:r>
    </w:p>
    <w:p w14:paraId="28A4C55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黑体" w:hAnsi="黑体" w:eastAsia="黑体" w:cs="黑体"/>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i w:val="0"/>
          <w:iCs w:val="0"/>
          <w:caps w:val="0"/>
          <w:color w:val="000000"/>
          <w:spacing w:val="0"/>
          <w:kern w:val="0"/>
          <w:sz w:val="32"/>
          <w:szCs w:val="32"/>
          <w:shd w:val="clear" w:fill="FFFFFF"/>
          <w:vertAlign w:val="baseline"/>
          <w:lang w:val="en-US" w:eastAsia="zh-CN" w:bidi="ar"/>
        </w:rPr>
        <w:t>四、术语解释</w:t>
      </w:r>
    </w:p>
    <w:p w14:paraId="34991ED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 w:hAnsi="仿宋" w:eastAsia="仿宋" w:cs="仿宋"/>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i w:val="0"/>
          <w:iCs w:val="0"/>
          <w:caps w:val="0"/>
          <w:color w:val="000000"/>
          <w:spacing w:val="0"/>
          <w:kern w:val="0"/>
          <w:sz w:val="32"/>
          <w:szCs w:val="32"/>
          <w:shd w:val="clear" w:fill="FFFFFF"/>
          <w:vertAlign w:val="baseline"/>
          <w:lang w:val="en-US" w:eastAsia="zh-CN" w:bidi="ar"/>
        </w:rPr>
        <w:t>（一）无需办理：是指依据《中华人民共和国城乡规划法》或其他法律法规，不需办理《建设工程规划许可证》，为减少办事企业、群众咨询和材料准备负担，而提前通过文件形式明确“无需办理”情形。</w:t>
      </w:r>
    </w:p>
    <w:p w14:paraId="1268F5F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 w:hAnsi="仿宋" w:eastAsia="仿宋" w:cs="仿宋"/>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i w:val="0"/>
          <w:iCs w:val="0"/>
          <w:caps w:val="0"/>
          <w:color w:val="000000"/>
          <w:spacing w:val="0"/>
          <w:kern w:val="0"/>
          <w:sz w:val="32"/>
          <w:szCs w:val="32"/>
          <w:shd w:val="clear" w:fill="FFFFFF"/>
          <w:vertAlign w:val="baseline"/>
          <w:lang w:val="en-US" w:eastAsia="zh-CN" w:bidi="ar"/>
        </w:rPr>
        <w:t>（二）免于办理：是指依据《中华人民共和国城乡规划法》或其他法律法规，原本需要办理《建设工程规划许可证》，但本着简化审批，提升管理效率的原则，进行《建设工程规划许可证》手续豁免。</w:t>
      </w:r>
    </w:p>
    <w:p w14:paraId="40B28869">
      <w:pPr>
        <w:widowControl w:val="0"/>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（三）既有街巷：特指中心城区平房区、城中村内部自然形成的内部街巷，不属于城市总体规划确定及建成的城市市政路网体系。</w:t>
      </w:r>
    </w:p>
    <w:p w14:paraId="407E5C2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default" w:ascii="仿宋" w:hAnsi="仿宋" w:eastAsia="仿宋" w:cs="仿宋"/>
          <w:i w:val="0"/>
          <w:iCs w:val="0"/>
          <w:caps w:val="0"/>
          <w:color w:val="000000"/>
          <w:spacing w:val="0"/>
          <w:kern w:val="0"/>
          <w:sz w:val="32"/>
          <w:szCs w:val="32"/>
          <w:shd w:val="clear" w:fill="FFFFFF"/>
          <w:vertAlign w:val="baseline"/>
          <w:lang w:val="en-US" w:eastAsia="zh-CN" w:bidi="ar"/>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B10717-F05C-40C7-B4CD-3BD0A7485F0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C4CC553-20B3-4BD2-B5B5-D151AF702CCF}"/>
  </w:font>
  <w:font w:name="仿宋">
    <w:panose1 w:val="02010609060101010101"/>
    <w:charset w:val="86"/>
    <w:family w:val="auto"/>
    <w:pitch w:val="default"/>
    <w:sig w:usb0="800002BF" w:usb1="38CF7CFA" w:usb2="00000016" w:usb3="00000000" w:csb0="00040001" w:csb1="00000000"/>
    <w:embedRegular r:id="rId3" w:fontKey="{9039AEE7-A07A-41EE-BF28-7D49B226B173}"/>
  </w:font>
  <w:font w:name="方正小标宋简体">
    <w:panose1 w:val="03000509000000000000"/>
    <w:charset w:val="86"/>
    <w:family w:val="auto"/>
    <w:pitch w:val="default"/>
    <w:sig w:usb0="00000001" w:usb1="080E0000" w:usb2="00000000" w:usb3="00000000" w:csb0="00040000" w:csb1="00000000"/>
    <w:embedRegular r:id="rId4" w:fontKey="{5C251E45-B618-464A-BB7F-26338D3AC22A}"/>
  </w:font>
  <w:font w:name="仿宋_GB2312">
    <w:panose1 w:val="02010609030101010101"/>
    <w:charset w:val="86"/>
    <w:family w:val="auto"/>
    <w:pitch w:val="default"/>
    <w:sig w:usb0="00000001" w:usb1="080E0000" w:usb2="00000000" w:usb3="00000000" w:csb0="00040000" w:csb1="00000000"/>
    <w:embedRegular r:id="rId5" w:fontKey="{7CDD92C8-D178-4824-9BCE-F9F93CBC5C6C}"/>
  </w:font>
  <w:font w:name="方正仿宋_GB2312">
    <w:panose1 w:val="02000000000000000000"/>
    <w:charset w:val="86"/>
    <w:family w:val="auto"/>
    <w:pitch w:val="default"/>
    <w:sig w:usb0="A00002BF" w:usb1="184F6CFA" w:usb2="00000012" w:usb3="00000000" w:csb0="00040001" w:csb1="00000000"/>
    <w:embedRegular r:id="rId6" w:fontKey="{BBC8E29C-4127-43FE-B0E6-0359B99E7D56}"/>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747B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0A8D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B0A8D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A50644"/>
    <w:multiLevelType w:val="singleLevel"/>
    <w:tmpl w:val="28A5064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Njc5YjU1MTE5ZGFkNDAxMTIxMmE3NmQ0ZGZjZTEifQ=="/>
  </w:docVars>
  <w:rsids>
    <w:rsidRoot w:val="24D81F57"/>
    <w:rsid w:val="03BC5300"/>
    <w:rsid w:val="045954B6"/>
    <w:rsid w:val="07DE62F4"/>
    <w:rsid w:val="0F0B14E3"/>
    <w:rsid w:val="13601AC0"/>
    <w:rsid w:val="15090F10"/>
    <w:rsid w:val="157652E4"/>
    <w:rsid w:val="17E4547F"/>
    <w:rsid w:val="1A260E59"/>
    <w:rsid w:val="1B246358"/>
    <w:rsid w:val="21D53688"/>
    <w:rsid w:val="22C64D45"/>
    <w:rsid w:val="246F263F"/>
    <w:rsid w:val="24D81F57"/>
    <w:rsid w:val="309B0AC2"/>
    <w:rsid w:val="31DD19A0"/>
    <w:rsid w:val="39383F25"/>
    <w:rsid w:val="41267C88"/>
    <w:rsid w:val="41575322"/>
    <w:rsid w:val="455556D7"/>
    <w:rsid w:val="460C39F6"/>
    <w:rsid w:val="4FD74DAC"/>
    <w:rsid w:val="51BC194B"/>
    <w:rsid w:val="582B69EB"/>
    <w:rsid w:val="586C3333"/>
    <w:rsid w:val="59BB4C27"/>
    <w:rsid w:val="5BCC44D7"/>
    <w:rsid w:val="60701C8A"/>
    <w:rsid w:val="611577E7"/>
    <w:rsid w:val="64A41100"/>
    <w:rsid w:val="651B081B"/>
    <w:rsid w:val="768219A7"/>
    <w:rsid w:val="77B425C1"/>
    <w:rsid w:val="79534077"/>
    <w:rsid w:val="7B1F47EC"/>
    <w:rsid w:val="7C7E4A5C"/>
    <w:rsid w:val="7CD90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2538</Words>
  <Characters>2600</Characters>
  <Lines>0</Lines>
  <Paragraphs>0</Paragraphs>
  <TotalTime>10</TotalTime>
  <ScaleCrop>false</ScaleCrop>
  <LinksUpToDate>false</LinksUpToDate>
  <CharactersWithSpaces>2613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2024-10-23T00:37:00Z</dcterms:created>
  <dc:creator>孟</dc:creator>
  <cp:lastModifiedBy>往事随风</cp:lastModifiedBy>
  <cp:lastPrinted>2025-03-24T02:12:00Z</cp:lastPrinted>
  <dcterms:modified xsi:type="dcterms:W3CDTF">2026-07-20T03:04:46Z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CFD8BEE63D064F29A5867A2A83BD62AD_13</vt:lpwstr>
  </property>
  <property fmtid="{D5CDD505-2E9C-101B-9397-08002B2CF9AE}" pid="4" name="KSOTemplateDocerSaveRecord">
    <vt:lpwstr>eyJoZGlkIjoiMzAyNzZiMWRiZjNmZTQ2YWU2MDgyM2E1MjRiOGUyNzEiLCJ1c2VySWQiOiI3NTQyOTAwMzIifQ==</vt:lpwstr>
  </property>
</Properties>
</file>